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6DA11" w14:textId="77777777" w:rsidR="00A374EA" w:rsidRPr="00F15619" w:rsidRDefault="0030574D">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End w:id="0"/>
      <w:r w:rsidRPr="00F1561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tres de septiembre de dos mil veinticinco. </w:t>
      </w:r>
    </w:p>
    <w:p w14:paraId="30E8AC9F" w14:textId="7D7BE35B" w:rsidR="00A374EA" w:rsidRPr="00F15619" w:rsidRDefault="0030574D">
      <w:pPr>
        <w:tabs>
          <w:tab w:val="left" w:pos="5812"/>
        </w:tabs>
        <w:spacing w:before="240" w:after="240" w:line="360" w:lineRule="auto"/>
        <w:jc w:val="both"/>
        <w:rPr>
          <w:rFonts w:ascii="Palatino Linotype" w:eastAsia="Palatino Linotype" w:hAnsi="Palatino Linotype" w:cs="Palatino Linotype"/>
          <w:sz w:val="22"/>
          <w:szCs w:val="22"/>
        </w:rPr>
      </w:pPr>
      <w:bookmarkStart w:id="1" w:name="_heading=h.daj3j2xo6q66" w:colFirst="0" w:colLast="0"/>
      <w:bookmarkEnd w:id="1"/>
      <w:r w:rsidRPr="00F15619">
        <w:rPr>
          <w:rFonts w:ascii="Palatino Linotype" w:eastAsia="Palatino Linotype" w:hAnsi="Palatino Linotype" w:cs="Palatino Linotype"/>
          <w:b/>
          <w:sz w:val="22"/>
          <w:szCs w:val="22"/>
        </w:rPr>
        <w:t>VISTO</w:t>
      </w:r>
      <w:r w:rsidRPr="00F15619">
        <w:rPr>
          <w:rFonts w:ascii="Palatino Linotype" w:eastAsia="Palatino Linotype" w:hAnsi="Palatino Linotype" w:cs="Palatino Linotype"/>
          <w:sz w:val="22"/>
          <w:szCs w:val="22"/>
        </w:rPr>
        <w:t xml:space="preserve"> el expediente formado con motivo del recurso de revisión </w:t>
      </w:r>
      <w:r w:rsidRPr="00F15619">
        <w:rPr>
          <w:rFonts w:ascii="Palatino Linotype" w:eastAsia="Palatino Linotype" w:hAnsi="Palatino Linotype" w:cs="Palatino Linotype"/>
          <w:b/>
          <w:sz w:val="22"/>
          <w:szCs w:val="22"/>
        </w:rPr>
        <w:t>08259/INFOEM/IP/RR/2025</w:t>
      </w:r>
      <w:r w:rsidRPr="00F15619">
        <w:rPr>
          <w:rFonts w:ascii="Palatino Linotype" w:eastAsia="Palatino Linotype" w:hAnsi="Palatino Linotype" w:cs="Palatino Linotype"/>
          <w:sz w:val="22"/>
          <w:szCs w:val="22"/>
        </w:rPr>
        <w:t>, interpuesto</w:t>
      </w:r>
      <w:r w:rsidRPr="00F15619">
        <w:t xml:space="preserve"> por </w:t>
      </w:r>
      <w:r w:rsidR="00DB0637">
        <w:rPr>
          <w:rFonts w:ascii="Palatino Linotype" w:eastAsia="Palatino Linotype" w:hAnsi="Palatino Linotype" w:cs="Palatino Linotype"/>
          <w:b/>
          <w:sz w:val="22"/>
          <w:szCs w:val="22"/>
        </w:rPr>
        <w:t>XXXXX XXXX XXXXXX</w:t>
      </w:r>
      <w:r w:rsidRPr="00F15619">
        <w:rPr>
          <w:rFonts w:ascii="Palatino Linotype" w:eastAsia="Palatino Linotype" w:hAnsi="Palatino Linotype" w:cs="Palatino Linotype"/>
          <w:b/>
          <w:sz w:val="22"/>
          <w:szCs w:val="22"/>
        </w:rPr>
        <w:t>,</w:t>
      </w:r>
      <w:r w:rsidRPr="00F15619">
        <w:rPr>
          <w:rFonts w:ascii="Palatino Linotype" w:eastAsia="Palatino Linotype" w:hAnsi="Palatino Linotype" w:cs="Palatino Linotype"/>
          <w:sz w:val="22"/>
          <w:szCs w:val="22"/>
        </w:rPr>
        <w:t xml:space="preserve"> en lo sucesivo</w:t>
      </w:r>
      <w:r w:rsidRPr="00F15619">
        <w:rPr>
          <w:rFonts w:ascii="Palatino Linotype" w:eastAsia="Palatino Linotype" w:hAnsi="Palatino Linotype" w:cs="Palatino Linotype"/>
          <w:b/>
          <w:sz w:val="22"/>
          <w:szCs w:val="22"/>
        </w:rPr>
        <w:t xml:space="preserve"> </w:t>
      </w:r>
      <w:r w:rsidRPr="00F15619">
        <w:rPr>
          <w:rFonts w:ascii="Palatino Linotype" w:eastAsia="Palatino Linotype" w:hAnsi="Palatino Linotype" w:cs="Palatino Linotype"/>
          <w:sz w:val="22"/>
          <w:szCs w:val="22"/>
        </w:rPr>
        <w:t xml:space="preserve">la parte </w:t>
      </w:r>
      <w:r w:rsidRPr="00F15619">
        <w:rPr>
          <w:rFonts w:ascii="Palatino Linotype" w:eastAsia="Palatino Linotype" w:hAnsi="Palatino Linotype" w:cs="Palatino Linotype"/>
          <w:b/>
          <w:sz w:val="22"/>
          <w:szCs w:val="22"/>
        </w:rPr>
        <w:t>Recurrente,</w:t>
      </w:r>
      <w:r w:rsidRPr="00F15619">
        <w:rPr>
          <w:rFonts w:ascii="Palatino Linotype" w:eastAsia="Palatino Linotype" w:hAnsi="Palatino Linotype" w:cs="Palatino Linotype"/>
          <w:sz w:val="22"/>
          <w:szCs w:val="22"/>
        </w:rPr>
        <w:t xml:space="preserve"> en contra de la respuesta a la solicitud de información con número de folio</w:t>
      </w:r>
      <w:r w:rsidRPr="00F15619">
        <w:t xml:space="preserve"> </w:t>
      </w:r>
      <w:r w:rsidRPr="00F15619">
        <w:rPr>
          <w:rFonts w:ascii="Palatino Linotype" w:eastAsia="Palatino Linotype" w:hAnsi="Palatino Linotype" w:cs="Palatino Linotype"/>
          <w:b/>
          <w:sz w:val="22"/>
          <w:szCs w:val="22"/>
        </w:rPr>
        <w:t xml:space="preserve">00341/ATIZARA/IP/2025, </w:t>
      </w:r>
      <w:r w:rsidRPr="00F15619">
        <w:rPr>
          <w:rFonts w:ascii="Palatino Linotype" w:eastAsia="Palatino Linotype" w:hAnsi="Palatino Linotype" w:cs="Palatino Linotype"/>
          <w:sz w:val="22"/>
          <w:szCs w:val="22"/>
        </w:rPr>
        <w:t>por parte del</w:t>
      </w:r>
      <w:r w:rsidRPr="00F15619">
        <w:t xml:space="preserve"> </w:t>
      </w:r>
      <w:r w:rsidRPr="00F15619">
        <w:rPr>
          <w:rFonts w:ascii="Palatino Linotype" w:eastAsia="Palatino Linotype" w:hAnsi="Palatino Linotype" w:cs="Palatino Linotype"/>
          <w:b/>
          <w:sz w:val="22"/>
          <w:szCs w:val="22"/>
        </w:rPr>
        <w:t xml:space="preserve">Ayuntamiento de Atizapán de Zaragoza, </w:t>
      </w:r>
      <w:r w:rsidRPr="00F15619">
        <w:rPr>
          <w:rFonts w:ascii="Palatino Linotype" w:eastAsia="Palatino Linotype" w:hAnsi="Palatino Linotype" w:cs="Palatino Linotype"/>
          <w:sz w:val="22"/>
          <w:szCs w:val="22"/>
        </w:rPr>
        <w:t xml:space="preserve">en lo sucesivo el </w:t>
      </w:r>
      <w:r w:rsidRPr="00F15619">
        <w:rPr>
          <w:rFonts w:ascii="Palatino Linotype" w:eastAsia="Palatino Linotype" w:hAnsi="Palatino Linotype" w:cs="Palatino Linotype"/>
          <w:b/>
          <w:sz w:val="22"/>
          <w:szCs w:val="22"/>
        </w:rPr>
        <w:t xml:space="preserve">Sujeto Obligado, </w:t>
      </w:r>
      <w:r w:rsidRPr="00F15619">
        <w:rPr>
          <w:rFonts w:ascii="Palatino Linotype" w:eastAsia="Palatino Linotype" w:hAnsi="Palatino Linotype" w:cs="Palatino Linotype"/>
          <w:sz w:val="22"/>
          <w:szCs w:val="22"/>
        </w:rPr>
        <w:t xml:space="preserve">se procede a dictar la presente resolución con base en los siguientes: </w:t>
      </w:r>
    </w:p>
    <w:p w14:paraId="69331F8F" w14:textId="77777777" w:rsidR="00A374EA" w:rsidRPr="00F15619" w:rsidRDefault="0030574D">
      <w:pPr>
        <w:spacing w:before="240" w:after="240" w:line="360" w:lineRule="auto"/>
        <w:jc w:val="center"/>
        <w:rPr>
          <w:rFonts w:ascii="Palatino Linotype" w:eastAsia="Palatino Linotype" w:hAnsi="Palatino Linotype" w:cs="Palatino Linotype"/>
          <w:b/>
          <w:sz w:val="22"/>
          <w:szCs w:val="22"/>
        </w:rPr>
      </w:pPr>
      <w:r w:rsidRPr="00F15619">
        <w:rPr>
          <w:rFonts w:ascii="Palatino Linotype" w:eastAsia="Palatino Linotype" w:hAnsi="Palatino Linotype" w:cs="Palatino Linotype"/>
          <w:b/>
          <w:sz w:val="22"/>
          <w:szCs w:val="22"/>
        </w:rPr>
        <w:t>I. A N T E C E D E N T E S</w:t>
      </w:r>
    </w:p>
    <w:p w14:paraId="694E9BF2" w14:textId="77777777" w:rsidR="00A374EA" w:rsidRPr="00F15619" w:rsidRDefault="0030574D">
      <w:pPr>
        <w:spacing w:before="240" w:after="240" w:line="360" w:lineRule="auto"/>
        <w:jc w:val="both"/>
        <w:rPr>
          <w:rFonts w:ascii="Palatino Linotype" w:eastAsia="Palatino Linotype" w:hAnsi="Palatino Linotype" w:cs="Palatino Linotype"/>
          <w:sz w:val="22"/>
          <w:szCs w:val="22"/>
        </w:rPr>
      </w:pPr>
      <w:bookmarkStart w:id="2" w:name="_heading=h.gjdgxs" w:colFirst="0" w:colLast="0"/>
      <w:bookmarkEnd w:id="2"/>
      <w:r w:rsidRPr="00F15619">
        <w:rPr>
          <w:rFonts w:ascii="Palatino Linotype" w:eastAsia="Palatino Linotype" w:hAnsi="Palatino Linotype" w:cs="Palatino Linotype"/>
          <w:b/>
          <w:sz w:val="22"/>
          <w:szCs w:val="22"/>
        </w:rPr>
        <w:t>1. Solicitud de acceso a la información.</w:t>
      </w:r>
      <w:r w:rsidRPr="00F15619">
        <w:rPr>
          <w:rFonts w:ascii="Palatino Linotype" w:eastAsia="Palatino Linotype" w:hAnsi="Palatino Linotype" w:cs="Palatino Linotype"/>
          <w:sz w:val="22"/>
          <w:szCs w:val="22"/>
        </w:rPr>
        <w:t xml:space="preserve"> El </w:t>
      </w:r>
      <w:r w:rsidRPr="00F15619">
        <w:rPr>
          <w:rFonts w:ascii="Palatino Linotype" w:eastAsia="Palatino Linotype" w:hAnsi="Palatino Linotype" w:cs="Palatino Linotype"/>
          <w:b/>
          <w:sz w:val="22"/>
          <w:szCs w:val="22"/>
        </w:rPr>
        <w:t>veintiocho de mayo de dos mil veinticinco,</w:t>
      </w:r>
      <w:r w:rsidRPr="00F15619">
        <w:rPr>
          <w:rFonts w:ascii="Palatino Linotype" w:eastAsia="Palatino Linotype" w:hAnsi="Palatino Linotype" w:cs="Palatino Linotype"/>
          <w:sz w:val="22"/>
          <w:szCs w:val="22"/>
        </w:rPr>
        <w:t xml:space="preserve"> la parte </w:t>
      </w:r>
      <w:r w:rsidRPr="00F15619">
        <w:rPr>
          <w:rFonts w:ascii="Palatino Linotype" w:eastAsia="Palatino Linotype" w:hAnsi="Palatino Linotype" w:cs="Palatino Linotype"/>
          <w:b/>
          <w:sz w:val="22"/>
          <w:szCs w:val="22"/>
        </w:rPr>
        <w:t xml:space="preserve">Recurrente </w:t>
      </w:r>
      <w:r w:rsidRPr="00F15619">
        <w:rPr>
          <w:rFonts w:ascii="Palatino Linotype" w:eastAsia="Palatino Linotype" w:hAnsi="Palatino Linotype" w:cs="Palatino Linotype"/>
          <w:sz w:val="22"/>
          <w:szCs w:val="22"/>
        </w:rPr>
        <w:t xml:space="preserve">presentó la solicitud de acceso a la información pública ante el </w:t>
      </w:r>
      <w:r w:rsidRPr="00F15619">
        <w:rPr>
          <w:rFonts w:ascii="Palatino Linotype" w:eastAsia="Palatino Linotype" w:hAnsi="Palatino Linotype" w:cs="Palatino Linotype"/>
          <w:b/>
          <w:sz w:val="22"/>
          <w:szCs w:val="22"/>
        </w:rPr>
        <w:t>Sujeto Obligado</w:t>
      </w:r>
      <w:r w:rsidRPr="00F15619">
        <w:rPr>
          <w:rFonts w:ascii="Palatino Linotype" w:eastAsia="Palatino Linotype" w:hAnsi="Palatino Linotype" w:cs="Palatino Linotype"/>
          <w:sz w:val="22"/>
          <w:szCs w:val="22"/>
        </w:rPr>
        <w:t xml:space="preserve">, a través del Sistema de Acceso a la Información Mexiquense, en lo subsecuente el </w:t>
      </w:r>
      <w:r w:rsidRPr="00F15619">
        <w:rPr>
          <w:rFonts w:ascii="Palatino Linotype" w:eastAsia="Palatino Linotype" w:hAnsi="Palatino Linotype" w:cs="Palatino Linotype"/>
          <w:b/>
          <w:sz w:val="22"/>
          <w:szCs w:val="22"/>
        </w:rPr>
        <w:t xml:space="preserve">SAIMEX, </w:t>
      </w:r>
      <w:r w:rsidRPr="00F15619">
        <w:rPr>
          <w:rFonts w:ascii="Palatino Linotype" w:eastAsia="Palatino Linotype" w:hAnsi="Palatino Linotype" w:cs="Palatino Linotype"/>
          <w:sz w:val="22"/>
          <w:szCs w:val="22"/>
        </w:rPr>
        <w:t xml:space="preserve"> mediante la cual requirió lo siguiente:</w:t>
      </w:r>
    </w:p>
    <w:p w14:paraId="07C17B71" w14:textId="77777777" w:rsidR="00A374EA" w:rsidRPr="00F15619" w:rsidRDefault="0030574D">
      <w:pPr>
        <w:tabs>
          <w:tab w:val="left" w:pos="4678"/>
        </w:tabs>
        <w:spacing w:before="120" w:after="120"/>
        <w:ind w:left="851" w:right="902"/>
        <w:jc w:val="both"/>
        <w:rPr>
          <w:rFonts w:ascii="Palatino Linotype" w:eastAsia="Palatino Linotype" w:hAnsi="Palatino Linotype" w:cs="Palatino Linotype"/>
          <w:b/>
          <w:i/>
          <w:sz w:val="22"/>
          <w:szCs w:val="22"/>
        </w:rPr>
      </w:pPr>
      <w:r w:rsidRPr="00F15619">
        <w:rPr>
          <w:rFonts w:ascii="Palatino Linotype" w:eastAsia="Palatino Linotype" w:hAnsi="Palatino Linotype" w:cs="Palatino Linotype"/>
          <w:i/>
          <w:sz w:val="22"/>
          <w:szCs w:val="22"/>
        </w:rPr>
        <w:t xml:space="preserve"> “Todos los nombramientos emitidos de enero a la fecha, de los titulares de las áreas que conforman la estructura </w:t>
      </w:r>
      <w:proofErr w:type="spellStart"/>
      <w:r w:rsidRPr="00F15619">
        <w:rPr>
          <w:rFonts w:ascii="Palatino Linotype" w:eastAsia="Palatino Linotype" w:hAnsi="Palatino Linotype" w:cs="Palatino Linotype"/>
          <w:i/>
          <w:sz w:val="22"/>
          <w:szCs w:val="22"/>
        </w:rPr>
        <w:t>organica</w:t>
      </w:r>
      <w:proofErr w:type="spellEnd"/>
      <w:r w:rsidRPr="00F15619">
        <w:rPr>
          <w:rFonts w:ascii="Palatino Linotype" w:eastAsia="Palatino Linotype" w:hAnsi="Palatino Linotype" w:cs="Palatino Linotype"/>
          <w:i/>
          <w:sz w:val="22"/>
          <w:szCs w:val="22"/>
        </w:rPr>
        <w:t xml:space="preserve"> del Ayuntamiento</w:t>
      </w:r>
      <w:r w:rsidRPr="00F15619">
        <w:rPr>
          <w:rFonts w:ascii="Palatino Linotype" w:eastAsia="Palatino Linotype" w:hAnsi="Palatino Linotype" w:cs="Palatino Linotype"/>
          <w:b/>
          <w:i/>
          <w:sz w:val="22"/>
          <w:szCs w:val="22"/>
        </w:rPr>
        <w:t>”</w:t>
      </w:r>
      <w:r w:rsidRPr="00F15619">
        <w:rPr>
          <w:rFonts w:ascii="Palatino Linotype" w:eastAsia="Palatino Linotype" w:hAnsi="Palatino Linotype" w:cs="Palatino Linotype"/>
          <w:i/>
          <w:sz w:val="22"/>
          <w:szCs w:val="22"/>
        </w:rPr>
        <w:t xml:space="preserve"> (sic) </w:t>
      </w:r>
    </w:p>
    <w:p w14:paraId="24A96070" w14:textId="77777777" w:rsidR="00A374EA" w:rsidRPr="00F15619" w:rsidRDefault="0030574D">
      <w:pPr>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F15619">
        <w:rPr>
          <w:rFonts w:ascii="Palatino Linotype" w:eastAsia="Palatino Linotype" w:hAnsi="Palatino Linotype" w:cs="Palatino Linotype"/>
          <w:b/>
          <w:sz w:val="22"/>
          <w:szCs w:val="22"/>
        </w:rPr>
        <w:t>Modalidad de Entrega:</w:t>
      </w:r>
      <w:r w:rsidRPr="00F15619">
        <w:rPr>
          <w:rFonts w:ascii="Palatino Linotype" w:eastAsia="Palatino Linotype" w:hAnsi="Palatino Linotype" w:cs="Palatino Linotype"/>
          <w:sz w:val="22"/>
          <w:szCs w:val="22"/>
        </w:rPr>
        <w:t xml:space="preserve"> a través del</w:t>
      </w:r>
      <w:r w:rsidRPr="00F15619">
        <w:rPr>
          <w:rFonts w:ascii="Palatino Linotype" w:eastAsia="Palatino Linotype" w:hAnsi="Palatino Linotype" w:cs="Palatino Linotype"/>
          <w:b/>
          <w:sz w:val="22"/>
          <w:szCs w:val="22"/>
        </w:rPr>
        <w:t xml:space="preserve"> SAIMEX.</w:t>
      </w:r>
    </w:p>
    <w:p w14:paraId="10E57FFB" w14:textId="77777777" w:rsidR="00A374EA" w:rsidRPr="00F15619" w:rsidRDefault="0030574D">
      <w:pPr>
        <w:spacing w:before="240" w:after="240" w:line="360" w:lineRule="auto"/>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b/>
          <w:sz w:val="22"/>
          <w:szCs w:val="22"/>
        </w:rPr>
        <w:t>2.</w:t>
      </w:r>
      <w:r w:rsidRPr="00F15619">
        <w:t xml:space="preserve"> </w:t>
      </w:r>
      <w:r w:rsidRPr="00F15619">
        <w:rPr>
          <w:rFonts w:ascii="Palatino Linotype" w:eastAsia="Palatino Linotype" w:hAnsi="Palatino Linotype" w:cs="Palatino Linotype"/>
          <w:b/>
          <w:sz w:val="22"/>
          <w:szCs w:val="22"/>
        </w:rPr>
        <w:t xml:space="preserve">Prórroga. </w:t>
      </w:r>
      <w:r w:rsidRPr="00F15619">
        <w:rPr>
          <w:rFonts w:ascii="Palatino Linotype" w:eastAsia="Palatino Linotype" w:hAnsi="Palatino Linotype" w:cs="Palatino Linotype"/>
          <w:sz w:val="22"/>
          <w:szCs w:val="22"/>
        </w:rPr>
        <w:t xml:space="preserve">El </w:t>
      </w:r>
      <w:r w:rsidRPr="00F15619">
        <w:rPr>
          <w:rFonts w:ascii="Palatino Linotype" w:eastAsia="Palatino Linotype" w:hAnsi="Palatino Linotype" w:cs="Palatino Linotype"/>
          <w:b/>
          <w:sz w:val="22"/>
          <w:szCs w:val="22"/>
        </w:rPr>
        <w:t xml:space="preserve">dieciocho de junio de dos mil veinticinco, </w:t>
      </w:r>
      <w:r w:rsidRPr="00F15619">
        <w:rPr>
          <w:rFonts w:ascii="Palatino Linotype" w:eastAsia="Palatino Linotype" w:hAnsi="Palatino Linotype" w:cs="Palatino Linotype"/>
          <w:sz w:val="22"/>
          <w:szCs w:val="22"/>
        </w:rPr>
        <w:t xml:space="preserve">el </w:t>
      </w:r>
      <w:r w:rsidRPr="00F15619">
        <w:rPr>
          <w:rFonts w:ascii="Palatino Linotype" w:eastAsia="Palatino Linotype" w:hAnsi="Palatino Linotype" w:cs="Palatino Linotype"/>
          <w:b/>
          <w:sz w:val="22"/>
          <w:szCs w:val="22"/>
        </w:rPr>
        <w:t xml:space="preserve">Sujeto Obligado </w:t>
      </w:r>
      <w:r w:rsidRPr="00F15619">
        <w:rPr>
          <w:rFonts w:ascii="Palatino Linotype" w:eastAsia="Palatino Linotype" w:hAnsi="Palatino Linotype" w:cs="Palatino Linotype"/>
          <w:sz w:val="22"/>
          <w:szCs w:val="22"/>
        </w:rPr>
        <w:t xml:space="preserve">notificó a través del </w:t>
      </w:r>
      <w:r w:rsidRPr="00F15619">
        <w:rPr>
          <w:rFonts w:ascii="Palatino Linotype" w:eastAsia="Palatino Linotype" w:hAnsi="Palatino Linotype" w:cs="Palatino Linotype"/>
          <w:b/>
          <w:sz w:val="22"/>
          <w:szCs w:val="22"/>
        </w:rPr>
        <w:t>SAIMEX</w:t>
      </w:r>
      <w:r w:rsidRPr="00F15619">
        <w:rPr>
          <w:rFonts w:ascii="Palatino Linotype" w:eastAsia="Palatino Linotype" w:hAnsi="Palatino Linotype" w:cs="Palatino Linotype"/>
          <w:sz w:val="22"/>
          <w:szCs w:val="22"/>
        </w:rPr>
        <w:t>, la prórroga para dar respuesta a la solicitud de información, en los siguientes términos:</w:t>
      </w:r>
    </w:p>
    <w:p w14:paraId="4F6B8B1C" w14:textId="77777777" w:rsidR="00A374EA" w:rsidRPr="00F15619" w:rsidRDefault="0030574D">
      <w:pPr>
        <w:spacing w:before="240" w:after="240"/>
        <w:ind w:left="851" w:right="900"/>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i/>
          <w:sz w:val="22"/>
          <w:szCs w:val="22"/>
        </w:rPr>
        <w:t xml:space="preserve">“…Con fundamento en los artículos 4, 23 fracción IV, 24 último párrafo, 53 fracción VI, 59, 160, 163 segundo párrafo y demás relativos de la Ley de Transparencia y Acceso a la Información Pública del Estado de México y </w:t>
      </w:r>
      <w:r w:rsidRPr="00F15619">
        <w:rPr>
          <w:rFonts w:ascii="Palatino Linotype" w:eastAsia="Palatino Linotype" w:hAnsi="Palatino Linotype" w:cs="Palatino Linotype"/>
          <w:i/>
          <w:sz w:val="22"/>
          <w:szCs w:val="22"/>
        </w:rPr>
        <w:lastRenderedPageBreak/>
        <w:t xml:space="preserve">Municipios, se solicita la prórroga para la entrega de la información, ya que la entrega de </w:t>
      </w:r>
      <w:proofErr w:type="gramStart"/>
      <w:r w:rsidRPr="00F15619">
        <w:rPr>
          <w:rFonts w:ascii="Palatino Linotype" w:eastAsia="Palatino Linotype" w:hAnsi="Palatino Linotype" w:cs="Palatino Linotype"/>
          <w:i/>
          <w:sz w:val="22"/>
          <w:szCs w:val="22"/>
        </w:rPr>
        <w:t>la misma</w:t>
      </w:r>
      <w:proofErr w:type="gramEnd"/>
      <w:r w:rsidRPr="00F15619">
        <w:rPr>
          <w:rFonts w:ascii="Palatino Linotype" w:eastAsia="Palatino Linotype" w:hAnsi="Palatino Linotype" w:cs="Palatino Linotype"/>
          <w:i/>
          <w:sz w:val="22"/>
          <w:szCs w:val="22"/>
        </w:rPr>
        <w:t xml:space="preserve"> requiere un procesamiento toda vez que contiene datos personales, respecto de los cuales resulta necesario realizar una versión pública de los mismos, máxime de señalar que el número de solicitudes recibidas por esta Dependencia retrasa la búsqueda de la información, por lo que resulta necesaria la ampliación de plazo legal para la correcta atención de dicha solicitud…” (sic)</w:t>
      </w:r>
    </w:p>
    <w:p w14:paraId="6BC4A396" w14:textId="77777777" w:rsidR="00A374EA" w:rsidRPr="00F15619" w:rsidRDefault="0030574D">
      <w:pPr>
        <w:spacing w:line="360" w:lineRule="auto"/>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 xml:space="preserve">Como refiere el </w:t>
      </w:r>
      <w:r w:rsidRPr="00F15619">
        <w:rPr>
          <w:rFonts w:ascii="Palatino Linotype" w:eastAsia="Palatino Linotype" w:hAnsi="Palatino Linotype" w:cs="Palatino Linotype"/>
          <w:b/>
          <w:sz w:val="22"/>
          <w:szCs w:val="22"/>
        </w:rPr>
        <w:t>Sujeto Obligado</w:t>
      </w:r>
      <w:r w:rsidRPr="00F15619">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71C49957" w14:textId="77777777" w:rsidR="00A374EA" w:rsidRPr="00F15619" w:rsidRDefault="0030574D">
      <w:pPr>
        <w:spacing w:before="240" w:after="240" w:line="360" w:lineRule="auto"/>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b/>
          <w:sz w:val="22"/>
          <w:szCs w:val="22"/>
        </w:rPr>
        <w:t xml:space="preserve">3. </w:t>
      </w:r>
      <w:hyperlink r:id="rId8">
        <w:r w:rsidRPr="00F15619">
          <w:rPr>
            <w:rFonts w:ascii="Palatino Linotype" w:eastAsia="Palatino Linotype" w:hAnsi="Palatino Linotype" w:cs="Palatino Linotype"/>
            <w:b/>
            <w:sz w:val="22"/>
            <w:szCs w:val="22"/>
          </w:rPr>
          <w:t>Respuesta</w:t>
        </w:r>
      </w:hyperlink>
      <w:r w:rsidRPr="00F15619">
        <w:rPr>
          <w:rFonts w:ascii="Palatino Linotype" w:eastAsia="Palatino Linotype" w:hAnsi="Palatino Linotype" w:cs="Palatino Linotype"/>
          <w:b/>
          <w:sz w:val="22"/>
          <w:szCs w:val="22"/>
        </w:rPr>
        <w:t xml:space="preserve">. </w:t>
      </w:r>
      <w:r w:rsidRPr="00F15619">
        <w:rPr>
          <w:rFonts w:ascii="Palatino Linotype" w:eastAsia="Palatino Linotype" w:hAnsi="Palatino Linotype" w:cs="Palatino Linotype"/>
          <w:sz w:val="22"/>
          <w:szCs w:val="22"/>
        </w:rPr>
        <w:t xml:space="preserve">El </w:t>
      </w:r>
      <w:r w:rsidRPr="00F15619">
        <w:rPr>
          <w:rFonts w:ascii="Palatino Linotype" w:eastAsia="Palatino Linotype" w:hAnsi="Palatino Linotype" w:cs="Palatino Linotype"/>
          <w:b/>
          <w:sz w:val="22"/>
          <w:szCs w:val="22"/>
        </w:rPr>
        <w:t>veintisiete de junio de dos mil veinticinco,</w:t>
      </w:r>
      <w:r w:rsidRPr="00F15619">
        <w:rPr>
          <w:rFonts w:ascii="Palatino Linotype" w:eastAsia="Palatino Linotype" w:hAnsi="Palatino Linotype" w:cs="Palatino Linotype"/>
          <w:sz w:val="22"/>
          <w:szCs w:val="22"/>
        </w:rPr>
        <w:t xml:space="preserve"> el </w:t>
      </w:r>
      <w:r w:rsidRPr="00F15619">
        <w:rPr>
          <w:rFonts w:ascii="Palatino Linotype" w:eastAsia="Palatino Linotype" w:hAnsi="Palatino Linotype" w:cs="Palatino Linotype"/>
          <w:b/>
          <w:sz w:val="22"/>
          <w:szCs w:val="22"/>
        </w:rPr>
        <w:t xml:space="preserve">Sujeto Obligado </w:t>
      </w:r>
      <w:r w:rsidRPr="00F15619">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1E3B9585" w14:textId="77777777" w:rsidR="00A374EA" w:rsidRPr="00F15619" w:rsidRDefault="0030574D">
      <w:pPr>
        <w:spacing w:before="240" w:after="240"/>
        <w:ind w:left="851" w:right="902"/>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i/>
          <w:sz w:val="22"/>
          <w:szCs w:val="22"/>
        </w:rPr>
        <w:t>“…Se atiende mediante memorándum anexo y soporte documenta…” (sic)</w:t>
      </w:r>
    </w:p>
    <w:p w14:paraId="6EE3CCFB" w14:textId="77777777" w:rsidR="00A374EA" w:rsidRPr="00F15619" w:rsidRDefault="0030574D">
      <w:pPr>
        <w:spacing w:before="240" w:after="240" w:line="360" w:lineRule="auto"/>
        <w:ind w:right="49"/>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 xml:space="preserve">El </w:t>
      </w:r>
      <w:r w:rsidRPr="00F15619">
        <w:rPr>
          <w:rFonts w:ascii="Palatino Linotype" w:eastAsia="Palatino Linotype" w:hAnsi="Palatino Linotype" w:cs="Palatino Linotype"/>
          <w:b/>
          <w:sz w:val="22"/>
          <w:szCs w:val="22"/>
        </w:rPr>
        <w:t xml:space="preserve">Sujeto Obligado </w:t>
      </w:r>
      <w:r w:rsidRPr="00F15619">
        <w:rPr>
          <w:rFonts w:ascii="Palatino Linotype" w:eastAsia="Palatino Linotype" w:hAnsi="Palatino Linotype" w:cs="Palatino Linotype"/>
          <w:sz w:val="22"/>
          <w:szCs w:val="22"/>
        </w:rPr>
        <w:t>adjuntó los siguientes documentos:</w:t>
      </w:r>
    </w:p>
    <w:p w14:paraId="343BA5D5" w14:textId="77777777" w:rsidR="00A374EA" w:rsidRPr="00F15619" w:rsidRDefault="0030574D">
      <w:pPr>
        <w:numPr>
          <w:ilvl w:val="0"/>
          <w:numId w:val="2"/>
        </w:numPr>
        <w:pBdr>
          <w:top w:val="nil"/>
          <w:left w:val="nil"/>
          <w:bottom w:val="nil"/>
          <w:right w:val="nil"/>
          <w:between w:val="nil"/>
        </w:pBdr>
        <w:spacing w:before="240" w:line="360" w:lineRule="auto"/>
        <w:ind w:right="49"/>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Oficio del 24 de junio de 2025, a través del cual la Subdirectora de Recursos Humanos</w:t>
      </w:r>
      <w:r w:rsidRPr="00F15619">
        <w:t xml:space="preserve"> informó que </w:t>
      </w:r>
      <w:r w:rsidRPr="00F15619">
        <w:rPr>
          <w:rFonts w:ascii="Palatino Linotype" w:eastAsia="Palatino Linotype" w:hAnsi="Palatino Linotype" w:cs="Palatino Linotype"/>
          <w:sz w:val="22"/>
          <w:szCs w:val="22"/>
        </w:rPr>
        <w:t>después de realizar una búsqueda exhaustiva y razonable de la información solicitada, hacía entrega de los nombramientos de designación del cargo conferido, del personal adscrito en las Dependencias, así como del Organismo Público Municipal Autónomo, que conforman la estructura orgánica del H. Ayuntamiento de Atizapán de Zaragoza.</w:t>
      </w:r>
    </w:p>
    <w:p w14:paraId="6F559E8A" w14:textId="77777777" w:rsidR="00A374EA" w:rsidRPr="00F15619" w:rsidRDefault="0030574D">
      <w:pPr>
        <w:numPr>
          <w:ilvl w:val="0"/>
          <w:numId w:val="2"/>
        </w:numPr>
        <w:pBdr>
          <w:top w:val="nil"/>
          <w:left w:val="nil"/>
          <w:bottom w:val="nil"/>
          <w:right w:val="nil"/>
          <w:between w:val="nil"/>
        </w:pBdr>
        <w:spacing w:after="240" w:line="360" w:lineRule="auto"/>
        <w:ind w:right="49"/>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lastRenderedPageBreak/>
        <w:t xml:space="preserve">Documento con 492 fojas relativas a nombramientos otorgados a diversos servidores públicos adscritos a las distintas unidades administrativas (Departamento, Unidad, Subdirección, Dirección, </w:t>
      </w:r>
      <w:proofErr w:type="spellStart"/>
      <w:r w:rsidRPr="00F15619">
        <w:rPr>
          <w:rFonts w:ascii="Palatino Linotype" w:eastAsia="Palatino Linotype" w:hAnsi="Palatino Linotype" w:cs="Palatino Linotype"/>
          <w:sz w:val="22"/>
          <w:szCs w:val="22"/>
        </w:rPr>
        <w:t>etc</w:t>
      </w:r>
      <w:proofErr w:type="spellEnd"/>
      <w:r w:rsidRPr="00F15619">
        <w:rPr>
          <w:rFonts w:ascii="Palatino Linotype" w:eastAsia="Palatino Linotype" w:hAnsi="Palatino Linotype" w:cs="Palatino Linotype"/>
          <w:sz w:val="22"/>
          <w:szCs w:val="22"/>
        </w:rPr>
        <w:t>), así como del organismo público municipal autónomo, en diversas fechas del ejercicio 2025.</w:t>
      </w:r>
    </w:p>
    <w:p w14:paraId="42AFFCE2" w14:textId="77777777" w:rsidR="00A374EA" w:rsidRPr="00F15619" w:rsidRDefault="0030574D">
      <w:pPr>
        <w:spacing w:before="240" w:after="240" w:line="360" w:lineRule="auto"/>
        <w:ind w:right="49"/>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b/>
          <w:sz w:val="22"/>
          <w:szCs w:val="22"/>
        </w:rPr>
        <w:t xml:space="preserve">4. Interposición del recurso de revisión. </w:t>
      </w:r>
      <w:r w:rsidRPr="00F15619">
        <w:rPr>
          <w:rFonts w:ascii="Palatino Linotype" w:eastAsia="Palatino Linotype" w:hAnsi="Palatino Linotype" w:cs="Palatino Linotype"/>
          <w:sz w:val="22"/>
          <w:szCs w:val="22"/>
        </w:rPr>
        <w:t xml:space="preserve">Inconforme con los términos de la respuesta emitida por parte del </w:t>
      </w:r>
      <w:r w:rsidRPr="00F15619">
        <w:rPr>
          <w:rFonts w:ascii="Palatino Linotype" w:eastAsia="Palatino Linotype" w:hAnsi="Palatino Linotype" w:cs="Palatino Linotype"/>
          <w:b/>
          <w:sz w:val="22"/>
          <w:szCs w:val="22"/>
        </w:rPr>
        <w:t>Sujeto Obligado</w:t>
      </w:r>
      <w:r w:rsidRPr="00F15619">
        <w:rPr>
          <w:rFonts w:ascii="Palatino Linotype" w:eastAsia="Palatino Linotype" w:hAnsi="Palatino Linotype" w:cs="Palatino Linotype"/>
          <w:sz w:val="22"/>
          <w:szCs w:val="22"/>
        </w:rPr>
        <w:t xml:space="preserve">, el </w:t>
      </w:r>
      <w:r w:rsidRPr="00F15619">
        <w:rPr>
          <w:rFonts w:ascii="Palatino Linotype" w:eastAsia="Palatino Linotype" w:hAnsi="Palatino Linotype" w:cs="Palatino Linotype"/>
          <w:b/>
          <w:sz w:val="22"/>
          <w:szCs w:val="22"/>
        </w:rPr>
        <w:t>ocho de julio de dos mil veinticinco,</w:t>
      </w:r>
      <w:r w:rsidRPr="00F15619">
        <w:rPr>
          <w:rFonts w:ascii="Palatino Linotype" w:eastAsia="Palatino Linotype" w:hAnsi="Palatino Linotype" w:cs="Palatino Linotype"/>
          <w:sz w:val="22"/>
          <w:szCs w:val="22"/>
        </w:rPr>
        <w:t xml:space="preserve"> la parte </w:t>
      </w:r>
      <w:r w:rsidRPr="00F15619">
        <w:rPr>
          <w:rFonts w:ascii="Palatino Linotype" w:eastAsia="Palatino Linotype" w:hAnsi="Palatino Linotype" w:cs="Palatino Linotype"/>
          <w:b/>
          <w:sz w:val="22"/>
          <w:szCs w:val="22"/>
        </w:rPr>
        <w:t>Recurrente</w:t>
      </w:r>
      <w:r w:rsidRPr="00F15619">
        <w:rPr>
          <w:rFonts w:ascii="Palatino Linotype" w:eastAsia="Palatino Linotype" w:hAnsi="Palatino Linotype" w:cs="Palatino Linotype"/>
          <w:sz w:val="22"/>
          <w:szCs w:val="22"/>
        </w:rPr>
        <w:t xml:space="preserve"> interpuso el recurso de revisión a través de </w:t>
      </w:r>
      <w:r w:rsidRPr="00F15619">
        <w:rPr>
          <w:rFonts w:ascii="Palatino Linotype" w:eastAsia="Palatino Linotype" w:hAnsi="Palatino Linotype" w:cs="Palatino Linotype"/>
          <w:b/>
          <w:sz w:val="22"/>
          <w:szCs w:val="22"/>
        </w:rPr>
        <w:t xml:space="preserve">SAIMEX, </w:t>
      </w:r>
      <w:r w:rsidRPr="00F15619">
        <w:rPr>
          <w:rFonts w:ascii="Palatino Linotype" w:eastAsia="Palatino Linotype" w:hAnsi="Palatino Linotype" w:cs="Palatino Linotype"/>
          <w:sz w:val="22"/>
          <w:szCs w:val="22"/>
        </w:rPr>
        <w:t>en donde se manifestó de la siguiente manera:</w:t>
      </w:r>
    </w:p>
    <w:p w14:paraId="7485418A" w14:textId="77777777" w:rsidR="00A374EA" w:rsidRPr="00F15619" w:rsidRDefault="0030574D">
      <w:pPr>
        <w:spacing w:before="240" w:after="240" w:line="360" w:lineRule="auto"/>
        <w:ind w:right="49"/>
        <w:jc w:val="both"/>
        <w:rPr>
          <w:rFonts w:ascii="Palatino Linotype" w:eastAsia="Palatino Linotype" w:hAnsi="Palatino Linotype" w:cs="Palatino Linotype"/>
          <w:b/>
          <w:sz w:val="22"/>
          <w:szCs w:val="22"/>
        </w:rPr>
      </w:pPr>
      <w:r w:rsidRPr="00F15619">
        <w:rPr>
          <w:rFonts w:ascii="Palatino Linotype" w:eastAsia="Palatino Linotype" w:hAnsi="Palatino Linotype" w:cs="Palatino Linotype"/>
          <w:b/>
          <w:sz w:val="22"/>
          <w:szCs w:val="22"/>
        </w:rPr>
        <w:t xml:space="preserve">Acto impugnado: </w:t>
      </w:r>
    </w:p>
    <w:p w14:paraId="37304A5D" w14:textId="77777777" w:rsidR="00A374EA" w:rsidRPr="00F15619" w:rsidRDefault="0030574D">
      <w:pPr>
        <w:tabs>
          <w:tab w:val="left" w:pos="2745"/>
        </w:tabs>
        <w:spacing w:before="240" w:after="240"/>
        <w:ind w:left="851" w:right="900"/>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i/>
          <w:sz w:val="22"/>
          <w:szCs w:val="22"/>
        </w:rPr>
        <w:t>"Entrega Incompleta de la Información" (sic)</w:t>
      </w:r>
    </w:p>
    <w:p w14:paraId="52A195BF" w14:textId="77777777" w:rsidR="00A374EA" w:rsidRPr="00F15619" w:rsidRDefault="0030574D">
      <w:pPr>
        <w:spacing w:line="360" w:lineRule="auto"/>
        <w:jc w:val="both"/>
        <w:rPr>
          <w:rFonts w:ascii="Palatino Linotype" w:eastAsia="Palatino Linotype" w:hAnsi="Palatino Linotype" w:cs="Palatino Linotype"/>
          <w:sz w:val="22"/>
          <w:szCs w:val="22"/>
        </w:rPr>
      </w:pPr>
      <w:bookmarkStart w:id="4" w:name="_heading=h.30j0zll" w:colFirst="0" w:colLast="0"/>
      <w:bookmarkEnd w:id="4"/>
      <w:r w:rsidRPr="00F15619">
        <w:rPr>
          <w:rFonts w:ascii="Palatino Linotype" w:eastAsia="Palatino Linotype" w:hAnsi="Palatino Linotype" w:cs="Palatino Linotype"/>
          <w:b/>
          <w:sz w:val="22"/>
          <w:szCs w:val="22"/>
        </w:rPr>
        <w:t>Y, Razones o motivos de inconformidad</w:t>
      </w:r>
      <w:r w:rsidRPr="00F15619">
        <w:rPr>
          <w:rFonts w:ascii="Palatino Linotype" w:eastAsia="Palatino Linotype" w:hAnsi="Palatino Linotype" w:cs="Palatino Linotype"/>
          <w:sz w:val="22"/>
          <w:szCs w:val="22"/>
        </w:rPr>
        <w:t>:</w:t>
      </w:r>
    </w:p>
    <w:p w14:paraId="1BFA9090" w14:textId="77777777" w:rsidR="00A374EA" w:rsidRPr="00F15619" w:rsidRDefault="0030574D">
      <w:pPr>
        <w:tabs>
          <w:tab w:val="left" w:pos="2745"/>
        </w:tabs>
        <w:spacing w:before="240" w:after="240"/>
        <w:ind w:left="851" w:right="900"/>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i/>
          <w:sz w:val="22"/>
          <w:szCs w:val="22"/>
        </w:rPr>
        <w:t>“Faltan nombramientos” (sic)</w:t>
      </w:r>
    </w:p>
    <w:p w14:paraId="7688A56C" w14:textId="77777777" w:rsidR="00A374EA" w:rsidRPr="00F15619" w:rsidRDefault="0030574D">
      <w:pPr>
        <w:spacing w:line="360" w:lineRule="auto"/>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b/>
          <w:sz w:val="22"/>
          <w:szCs w:val="22"/>
        </w:rPr>
        <w:t xml:space="preserve">5. Turno. </w:t>
      </w:r>
      <w:r w:rsidRPr="00F1561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F15619">
        <w:rPr>
          <w:rFonts w:ascii="Palatino Linotype" w:eastAsia="Palatino Linotype" w:hAnsi="Palatino Linotype" w:cs="Palatino Linotype"/>
          <w:b/>
          <w:sz w:val="22"/>
          <w:szCs w:val="22"/>
        </w:rPr>
        <w:t xml:space="preserve">Guadalupe Ramírez Peña, </w:t>
      </w:r>
      <w:r w:rsidRPr="00F15619">
        <w:rPr>
          <w:rFonts w:ascii="Palatino Linotype" w:eastAsia="Palatino Linotype" w:hAnsi="Palatino Linotype" w:cs="Palatino Linotype"/>
          <w:sz w:val="22"/>
          <w:szCs w:val="22"/>
        </w:rPr>
        <w:t xml:space="preserve">a efecto de que analizara sobre su admisión o su </w:t>
      </w:r>
      <w:proofErr w:type="spellStart"/>
      <w:r w:rsidRPr="00F15619">
        <w:rPr>
          <w:rFonts w:ascii="Palatino Linotype" w:eastAsia="Palatino Linotype" w:hAnsi="Palatino Linotype" w:cs="Palatino Linotype"/>
          <w:sz w:val="22"/>
          <w:szCs w:val="22"/>
        </w:rPr>
        <w:t>desechamiento</w:t>
      </w:r>
      <w:proofErr w:type="spellEnd"/>
      <w:r w:rsidRPr="00F15619">
        <w:rPr>
          <w:rFonts w:ascii="Palatino Linotype" w:eastAsia="Palatino Linotype" w:hAnsi="Palatino Linotype" w:cs="Palatino Linotype"/>
          <w:sz w:val="22"/>
          <w:szCs w:val="22"/>
        </w:rPr>
        <w:t>.</w:t>
      </w:r>
    </w:p>
    <w:p w14:paraId="733F1A84" w14:textId="77777777" w:rsidR="00A374EA" w:rsidRPr="00F15619" w:rsidRDefault="0030574D">
      <w:pPr>
        <w:spacing w:before="240" w:after="240" w:line="360" w:lineRule="auto"/>
        <w:jc w:val="both"/>
        <w:rPr>
          <w:rFonts w:ascii="Palatino Linotype" w:eastAsia="Palatino Linotype" w:hAnsi="Palatino Linotype" w:cs="Palatino Linotype"/>
          <w:b/>
          <w:sz w:val="22"/>
          <w:szCs w:val="22"/>
        </w:rPr>
      </w:pPr>
      <w:r w:rsidRPr="00F15619">
        <w:rPr>
          <w:rFonts w:ascii="Palatino Linotype" w:eastAsia="Palatino Linotype" w:hAnsi="Palatino Linotype" w:cs="Palatino Linotype"/>
          <w:b/>
          <w:sz w:val="22"/>
          <w:szCs w:val="22"/>
        </w:rPr>
        <w:t>6. Admisión del Recurso de revisión.</w:t>
      </w:r>
      <w:r w:rsidRPr="00F15619">
        <w:rPr>
          <w:rFonts w:ascii="Palatino Linotype" w:eastAsia="Palatino Linotype" w:hAnsi="Palatino Linotype" w:cs="Palatino Linotype"/>
          <w:sz w:val="22"/>
          <w:szCs w:val="22"/>
        </w:rPr>
        <w:t xml:space="preserve"> El</w:t>
      </w:r>
      <w:r w:rsidRPr="00F15619">
        <w:rPr>
          <w:rFonts w:ascii="Palatino Linotype" w:eastAsia="Palatino Linotype" w:hAnsi="Palatino Linotype" w:cs="Palatino Linotype"/>
          <w:b/>
          <w:sz w:val="22"/>
          <w:szCs w:val="22"/>
        </w:rPr>
        <w:t xml:space="preserve"> once de julio de dos mil veinticinco, </w:t>
      </w:r>
      <w:r w:rsidRPr="00F15619">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w:t>
      </w:r>
      <w:r w:rsidRPr="00F15619">
        <w:rPr>
          <w:rFonts w:ascii="Palatino Linotype" w:eastAsia="Palatino Linotype" w:hAnsi="Palatino Linotype" w:cs="Palatino Linotype"/>
          <w:sz w:val="22"/>
          <w:szCs w:val="22"/>
        </w:rPr>
        <w:lastRenderedPageBreak/>
        <w:t xml:space="preserve">que a su derecho resultara conveniente, ofrecieran pruebas, formularan alegatos y el </w:t>
      </w:r>
      <w:r w:rsidRPr="00F15619">
        <w:rPr>
          <w:rFonts w:ascii="Palatino Linotype" w:eastAsia="Palatino Linotype" w:hAnsi="Palatino Linotype" w:cs="Palatino Linotype"/>
          <w:b/>
          <w:sz w:val="22"/>
          <w:szCs w:val="22"/>
        </w:rPr>
        <w:t xml:space="preserve">Sujeto Obligado </w:t>
      </w:r>
      <w:r w:rsidRPr="00F15619">
        <w:rPr>
          <w:rFonts w:ascii="Palatino Linotype" w:eastAsia="Palatino Linotype" w:hAnsi="Palatino Linotype" w:cs="Palatino Linotype"/>
          <w:sz w:val="22"/>
          <w:szCs w:val="22"/>
        </w:rPr>
        <w:t>presentara su informe justificado.</w:t>
      </w:r>
    </w:p>
    <w:p w14:paraId="56E92493" w14:textId="77777777" w:rsidR="00A374EA" w:rsidRPr="00F15619" w:rsidRDefault="0030574D">
      <w:pPr>
        <w:spacing w:before="240" w:after="240" w:line="360" w:lineRule="auto"/>
        <w:jc w:val="both"/>
        <w:rPr>
          <w:rFonts w:ascii="Palatino Linotype" w:eastAsia="Palatino Linotype" w:hAnsi="Palatino Linotype" w:cs="Palatino Linotype"/>
          <w:sz w:val="22"/>
          <w:szCs w:val="22"/>
        </w:rPr>
      </w:pPr>
      <w:bookmarkStart w:id="5" w:name="_heading=h.2s8eyo1" w:colFirst="0" w:colLast="0"/>
      <w:bookmarkEnd w:id="5"/>
      <w:r w:rsidRPr="00F15619">
        <w:rPr>
          <w:rFonts w:ascii="Palatino Linotype" w:eastAsia="Palatino Linotype" w:hAnsi="Palatino Linotype" w:cs="Palatino Linotype"/>
          <w:b/>
          <w:sz w:val="22"/>
          <w:szCs w:val="22"/>
        </w:rPr>
        <w:t>7. Manifestaciones</w:t>
      </w:r>
      <w:r w:rsidRPr="00F15619">
        <w:rPr>
          <w:rFonts w:ascii="Palatino Linotype" w:eastAsia="Palatino Linotype" w:hAnsi="Palatino Linotype" w:cs="Palatino Linotype"/>
          <w:sz w:val="22"/>
          <w:szCs w:val="22"/>
        </w:rPr>
        <w:t xml:space="preserve">. De las constancias que obran en el SAIMEX, se advierte que el </w:t>
      </w:r>
      <w:r w:rsidRPr="00F15619">
        <w:rPr>
          <w:rFonts w:ascii="Palatino Linotype" w:eastAsia="Palatino Linotype" w:hAnsi="Palatino Linotype" w:cs="Palatino Linotype"/>
          <w:b/>
          <w:sz w:val="22"/>
          <w:szCs w:val="22"/>
        </w:rPr>
        <w:t xml:space="preserve">Sujeto Obligado </w:t>
      </w:r>
      <w:r w:rsidRPr="00F15619">
        <w:rPr>
          <w:rFonts w:ascii="Palatino Linotype" w:eastAsia="Palatino Linotype" w:hAnsi="Palatino Linotype" w:cs="Palatino Linotype"/>
          <w:sz w:val="22"/>
          <w:szCs w:val="22"/>
        </w:rPr>
        <w:t xml:space="preserve">el </w:t>
      </w:r>
      <w:r w:rsidRPr="00F15619">
        <w:rPr>
          <w:rFonts w:ascii="Palatino Linotype" w:eastAsia="Palatino Linotype" w:hAnsi="Palatino Linotype" w:cs="Palatino Linotype"/>
          <w:b/>
          <w:sz w:val="22"/>
          <w:szCs w:val="22"/>
        </w:rPr>
        <w:t>dieciséis de julio de dos mil veinticinco</w:t>
      </w:r>
      <w:r w:rsidRPr="00F15619">
        <w:rPr>
          <w:rFonts w:ascii="Palatino Linotype" w:eastAsia="Palatino Linotype" w:hAnsi="Palatino Linotype" w:cs="Palatino Linotype"/>
          <w:sz w:val="22"/>
          <w:szCs w:val="22"/>
        </w:rPr>
        <w:t xml:space="preserve"> rindió su informe justificado, a través de un archivo electrónico que contiene un oficio del 15 de julio de 2025, en el que medularmente la Dirección de Administración ratificó la respuesta inicial, señalando que se hizo entrega en respuesta de los nombramientos que se localizaron en los archivos de esa dirección.</w:t>
      </w:r>
    </w:p>
    <w:p w14:paraId="492D0786" w14:textId="77777777" w:rsidR="00A374EA" w:rsidRPr="00F15619" w:rsidRDefault="0030574D">
      <w:pPr>
        <w:spacing w:before="240" w:after="240" w:line="360" w:lineRule="auto"/>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Una vez analizada la información, se hizo del conocimiento de la persona solicitante a efecto de que manifestara lo que a su derecho estimara conveniente, siendo omisa en ejercer dicha prerrogativa.</w:t>
      </w:r>
    </w:p>
    <w:p w14:paraId="5F867DA3" w14:textId="77777777" w:rsidR="00A374EA" w:rsidRPr="00F15619" w:rsidRDefault="0030574D">
      <w:pPr>
        <w:spacing w:before="240" w:after="240" w:line="360" w:lineRule="auto"/>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b/>
          <w:sz w:val="22"/>
          <w:szCs w:val="22"/>
        </w:rPr>
        <w:t xml:space="preserve">8. Cierre de instrucción. </w:t>
      </w:r>
      <w:r w:rsidRPr="00F1561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F15619">
        <w:rPr>
          <w:rFonts w:ascii="Palatino Linotype" w:eastAsia="Palatino Linotype" w:hAnsi="Palatino Linotype" w:cs="Palatino Linotype"/>
          <w:b/>
          <w:sz w:val="22"/>
          <w:szCs w:val="22"/>
        </w:rPr>
        <w:t>primero de septiembre de dos mil veinticinco</w:t>
      </w:r>
      <w:r w:rsidRPr="00F15619">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458ECDE0" w14:textId="77777777" w:rsidR="00A374EA" w:rsidRPr="00F15619" w:rsidRDefault="0030574D">
      <w:pPr>
        <w:spacing w:before="240" w:after="240" w:line="360" w:lineRule="auto"/>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127CE74A" w14:textId="77777777" w:rsidR="00A374EA" w:rsidRPr="00F15619" w:rsidRDefault="0030574D">
      <w:pPr>
        <w:widowControl w:val="0"/>
        <w:spacing w:before="240" w:after="240" w:line="360" w:lineRule="auto"/>
        <w:jc w:val="center"/>
        <w:rPr>
          <w:rFonts w:ascii="Palatino Linotype" w:eastAsia="Palatino Linotype" w:hAnsi="Palatino Linotype" w:cs="Palatino Linotype"/>
          <w:b/>
          <w:sz w:val="22"/>
          <w:szCs w:val="22"/>
        </w:rPr>
      </w:pPr>
      <w:r w:rsidRPr="00F15619">
        <w:rPr>
          <w:rFonts w:ascii="Palatino Linotype" w:eastAsia="Palatino Linotype" w:hAnsi="Palatino Linotype" w:cs="Palatino Linotype"/>
          <w:b/>
          <w:sz w:val="22"/>
          <w:szCs w:val="22"/>
        </w:rPr>
        <w:t>II. C O N S I D E R A N D O S</w:t>
      </w:r>
    </w:p>
    <w:p w14:paraId="5CC1BE59" w14:textId="77777777" w:rsidR="00A374EA" w:rsidRPr="00F15619" w:rsidRDefault="0030574D">
      <w:pPr>
        <w:spacing w:before="240" w:after="240" w:line="360" w:lineRule="auto"/>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b/>
          <w:sz w:val="22"/>
          <w:szCs w:val="22"/>
        </w:rPr>
        <w:t>Primero. Competencia.</w:t>
      </w:r>
      <w:r w:rsidRPr="00F1561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w:t>
      </w:r>
      <w:r w:rsidRPr="00F15619">
        <w:rPr>
          <w:rFonts w:ascii="Palatino Linotype" w:eastAsia="Palatino Linotype" w:hAnsi="Palatino Linotype" w:cs="Palatino Linotype"/>
          <w:sz w:val="22"/>
          <w:szCs w:val="22"/>
        </w:rPr>
        <w:lastRenderedPageBreak/>
        <w:t>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FB04C94" w14:textId="77777777" w:rsidR="00A374EA" w:rsidRPr="00F15619" w:rsidRDefault="0030574D">
      <w:pPr>
        <w:spacing w:before="240" w:after="240" w:line="360" w:lineRule="auto"/>
        <w:jc w:val="both"/>
        <w:rPr>
          <w:rFonts w:ascii="Palatino Linotype" w:eastAsia="Palatino Linotype" w:hAnsi="Palatino Linotype" w:cs="Palatino Linotype"/>
          <w:sz w:val="22"/>
          <w:szCs w:val="22"/>
        </w:rPr>
      </w:pPr>
      <w:bookmarkStart w:id="6" w:name="_heading=h.tyjcwt" w:colFirst="0" w:colLast="0"/>
      <w:bookmarkEnd w:id="6"/>
      <w:r w:rsidRPr="00F15619">
        <w:rPr>
          <w:rFonts w:ascii="Palatino Linotype" w:eastAsia="Palatino Linotype" w:hAnsi="Palatino Linotype" w:cs="Palatino Linotype"/>
          <w:b/>
          <w:sz w:val="22"/>
          <w:szCs w:val="22"/>
        </w:rPr>
        <w:t>Segundo. Oportunidad y Procedibilidad del Recurso de Revisión</w:t>
      </w:r>
      <w:r w:rsidRPr="00F15619">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97680FC" w14:textId="77777777" w:rsidR="00A374EA" w:rsidRPr="00F15619" w:rsidRDefault="0030574D">
      <w:pPr>
        <w:spacing w:before="240" w:after="240" w:line="360" w:lineRule="auto"/>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F15619">
        <w:rPr>
          <w:rFonts w:ascii="Palatino Linotype" w:eastAsia="Palatino Linotype" w:hAnsi="Palatino Linotype" w:cs="Palatino Linotype"/>
          <w:b/>
          <w:sz w:val="22"/>
          <w:szCs w:val="22"/>
        </w:rPr>
        <w:t xml:space="preserve">Sujeto Obligado </w:t>
      </w:r>
      <w:r w:rsidRPr="00F15619">
        <w:rPr>
          <w:rFonts w:ascii="Palatino Linotype" w:eastAsia="Palatino Linotype" w:hAnsi="Palatino Linotype" w:cs="Palatino Linotype"/>
          <w:sz w:val="22"/>
          <w:szCs w:val="22"/>
        </w:rPr>
        <w:t xml:space="preserve">remitió la respuesta a la solicitud de información el día </w:t>
      </w:r>
      <w:r w:rsidRPr="00F15619">
        <w:rPr>
          <w:rFonts w:ascii="Palatino Linotype" w:eastAsia="Palatino Linotype" w:hAnsi="Palatino Linotype" w:cs="Palatino Linotype"/>
          <w:b/>
          <w:sz w:val="22"/>
          <w:szCs w:val="22"/>
        </w:rPr>
        <w:t xml:space="preserve">veintisiete de junio de dos mil veinticinco, </w:t>
      </w:r>
      <w:r w:rsidRPr="00F15619">
        <w:rPr>
          <w:rFonts w:ascii="Palatino Linotype" w:eastAsia="Palatino Linotype" w:hAnsi="Palatino Linotype" w:cs="Palatino Linotype"/>
          <w:sz w:val="22"/>
          <w:szCs w:val="22"/>
        </w:rPr>
        <w:t xml:space="preserve">mientras que el recurso de revisión interpuesto por la parte </w:t>
      </w:r>
      <w:r w:rsidRPr="00F15619">
        <w:rPr>
          <w:rFonts w:ascii="Palatino Linotype" w:eastAsia="Palatino Linotype" w:hAnsi="Palatino Linotype" w:cs="Palatino Linotype"/>
          <w:b/>
          <w:sz w:val="22"/>
          <w:szCs w:val="22"/>
        </w:rPr>
        <w:t xml:space="preserve">Recurrente, </w:t>
      </w:r>
      <w:r w:rsidRPr="00F15619">
        <w:rPr>
          <w:rFonts w:ascii="Palatino Linotype" w:eastAsia="Palatino Linotype" w:hAnsi="Palatino Linotype" w:cs="Palatino Linotype"/>
          <w:sz w:val="22"/>
          <w:szCs w:val="22"/>
        </w:rPr>
        <w:t>se tuvo por presentado el día</w:t>
      </w:r>
      <w:r w:rsidRPr="00F15619">
        <w:rPr>
          <w:rFonts w:ascii="Palatino Linotype" w:eastAsia="Palatino Linotype" w:hAnsi="Palatino Linotype" w:cs="Palatino Linotype"/>
          <w:b/>
          <w:sz w:val="22"/>
          <w:szCs w:val="22"/>
        </w:rPr>
        <w:t xml:space="preserve"> ocho de julio de dos mil veinticinco, </w:t>
      </w:r>
      <w:r w:rsidRPr="00F15619">
        <w:rPr>
          <w:rFonts w:ascii="Palatino Linotype" w:eastAsia="Palatino Linotype" w:hAnsi="Palatino Linotype" w:cs="Palatino Linotype"/>
          <w:sz w:val="22"/>
          <w:szCs w:val="22"/>
        </w:rPr>
        <w:t xml:space="preserve">esto es, al </w:t>
      </w:r>
      <w:r w:rsidRPr="00F15619">
        <w:rPr>
          <w:rFonts w:ascii="Palatino Linotype" w:eastAsia="Palatino Linotype" w:hAnsi="Palatino Linotype" w:cs="Palatino Linotype"/>
          <w:b/>
          <w:sz w:val="22"/>
          <w:szCs w:val="22"/>
          <w:u w:val="single"/>
        </w:rPr>
        <w:t>séptimo</w:t>
      </w:r>
      <w:r w:rsidRPr="00F15619">
        <w:rPr>
          <w:rFonts w:ascii="Palatino Linotype" w:eastAsia="Palatino Linotype" w:hAnsi="Palatino Linotype" w:cs="Palatino Linotype"/>
          <w:b/>
          <w:sz w:val="22"/>
          <w:szCs w:val="22"/>
        </w:rPr>
        <w:t xml:space="preserve"> </w:t>
      </w:r>
      <w:r w:rsidRPr="00F15619">
        <w:rPr>
          <w:rFonts w:ascii="Palatino Linotype" w:eastAsia="Palatino Linotype" w:hAnsi="Palatino Linotype" w:cs="Palatino Linotype"/>
          <w:sz w:val="22"/>
          <w:szCs w:val="22"/>
        </w:rPr>
        <w:t>día hábil posterior a aquel en el que tuvo conocimiento de la respuesta impugnada. En este sentido, se concluye que el presente recurso de revisión se encuentra dentro de los márgenes temporales previstos en las disposiciones legales referidas.</w:t>
      </w:r>
    </w:p>
    <w:p w14:paraId="523F3EBA" w14:textId="77777777" w:rsidR="00A374EA" w:rsidRPr="00F15619" w:rsidRDefault="0030574D">
      <w:pPr>
        <w:tabs>
          <w:tab w:val="left" w:pos="7938"/>
        </w:tabs>
        <w:spacing w:line="360" w:lineRule="auto"/>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 xml:space="preserve">Al mismo tiempo, por cuanto hace a la procedibilidad del recurso de revisión, una vez realizado el análisis del formato de interposición del recurso, se concluye la acreditación plena de los elementos formales precisados por el artículo 180 de la Ley de Transparencia y </w:t>
      </w:r>
      <w:r w:rsidRPr="00F15619">
        <w:rPr>
          <w:rFonts w:ascii="Palatino Linotype" w:eastAsia="Palatino Linotype" w:hAnsi="Palatino Linotype" w:cs="Palatino Linotype"/>
          <w:sz w:val="22"/>
          <w:szCs w:val="22"/>
        </w:rPr>
        <w:lastRenderedPageBreak/>
        <w:t>Acceso a la Información Pública del Estado de México y Municipios, en atención a que fue presentado mediante el formato visible en el SAIMEX.</w:t>
      </w:r>
    </w:p>
    <w:p w14:paraId="5F565716" w14:textId="77777777" w:rsidR="00A374EA" w:rsidRPr="00F15619" w:rsidRDefault="00A374EA">
      <w:pPr>
        <w:tabs>
          <w:tab w:val="left" w:pos="7938"/>
        </w:tabs>
        <w:spacing w:line="360" w:lineRule="auto"/>
        <w:jc w:val="both"/>
        <w:rPr>
          <w:rFonts w:ascii="Palatino Linotype" w:eastAsia="Palatino Linotype" w:hAnsi="Palatino Linotype" w:cs="Palatino Linotype"/>
          <w:sz w:val="22"/>
          <w:szCs w:val="22"/>
        </w:rPr>
      </w:pPr>
    </w:p>
    <w:p w14:paraId="0E57C7F4" w14:textId="77777777" w:rsidR="00A374EA" w:rsidRPr="00F15619" w:rsidRDefault="0030574D">
      <w:pPr>
        <w:spacing w:before="240" w:after="240" w:line="360" w:lineRule="auto"/>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F15619">
        <w:rPr>
          <w:rFonts w:ascii="Palatino Linotype" w:eastAsia="Palatino Linotype" w:hAnsi="Palatino Linotype" w:cs="Palatino Linotype"/>
          <w:b/>
          <w:sz w:val="22"/>
          <w:szCs w:val="22"/>
        </w:rPr>
        <w:t>Recurrente</w:t>
      </w:r>
      <w:r w:rsidRPr="00F15619">
        <w:rPr>
          <w:rFonts w:ascii="Palatino Linotype" w:eastAsia="Palatino Linotype" w:hAnsi="Palatino Linotype" w:cs="Palatino Linotype"/>
          <w:sz w:val="22"/>
          <w:szCs w:val="22"/>
        </w:rPr>
        <w:t xml:space="preserve"> en sus motivos de inconformidad, de acuerdo al artículo 179, fracción V del ordenamiento legal citado, que a la letra dice: </w:t>
      </w:r>
    </w:p>
    <w:p w14:paraId="589E90C3" w14:textId="77777777" w:rsidR="00A374EA" w:rsidRPr="00F15619" w:rsidRDefault="0030574D">
      <w:pPr>
        <w:tabs>
          <w:tab w:val="left" w:pos="7938"/>
        </w:tabs>
        <w:spacing w:before="120" w:after="120"/>
        <w:ind w:left="851" w:right="902"/>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i/>
          <w:sz w:val="22"/>
          <w:szCs w:val="22"/>
        </w:rPr>
        <w:t>“</w:t>
      </w:r>
      <w:r w:rsidRPr="00F15619">
        <w:rPr>
          <w:rFonts w:ascii="Palatino Linotype" w:eastAsia="Palatino Linotype" w:hAnsi="Palatino Linotype" w:cs="Palatino Linotype"/>
          <w:b/>
          <w:i/>
          <w:sz w:val="22"/>
          <w:szCs w:val="22"/>
        </w:rPr>
        <w:t>Artículo 179.</w:t>
      </w:r>
      <w:r w:rsidRPr="00F1561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62480B9" w14:textId="77777777" w:rsidR="00A374EA" w:rsidRPr="00F15619" w:rsidRDefault="0030574D">
      <w:pPr>
        <w:spacing w:before="120" w:after="120"/>
        <w:ind w:left="1134"/>
        <w:rPr>
          <w:rFonts w:ascii="Palatino Linotype" w:eastAsia="Palatino Linotype" w:hAnsi="Palatino Linotype" w:cs="Palatino Linotype"/>
          <w:i/>
          <w:sz w:val="22"/>
          <w:szCs w:val="22"/>
        </w:rPr>
      </w:pPr>
      <w:r w:rsidRPr="00F15619">
        <w:rPr>
          <w:rFonts w:ascii="Palatino Linotype" w:eastAsia="Palatino Linotype" w:hAnsi="Palatino Linotype" w:cs="Palatino Linotype"/>
          <w:b/>
          <w:i/>
          <w:sz w:val="22"/>
          <w:szCs w:val="22"/>
        </w:rPr>
        <w:t>V. La entrega de información incompleta;</w:t>
      </w:r>
    </w:p>
    <w:p w14:paraId="516B2B06" w14:textId="77777777" w:rsidR="00A374EA" w:rsidRPr="00F15619" w:rsidRDefault="0030574D">
      <w:pPr>
        <w:spacing w:before="240" w:after="240" w:line="360" w:lineRule="auto"/>
        <w:jc w:val="both"/>
        <w:rPr>
          <w:rFonts w:ascii="Palatino Linotype" w:eastAsia="Palatino Linotype" w:hAnsi="Palatino Linotype" w:cs="Palatino Linotype"/>
          <w:b/>
          <w:sz w:val="22"/>
          <w:szCs w:val="22"/>
        </w:rPr>
      </w:pPr>
      <w:r w:rsidRPr="00F15619">
        <w:rPr>
          <w:rFonts w:ascii="Palatino Linotype" w:eastAsia="Palatino Linotype" w:hAnsi="Palatino Linotype" w:cs="Palatino Linotype"/>
          <w:b/>
          <w:sz w:val="22"/>
          <w:szCs w:val="22"/>
        </w:rPr>
        <w:t xml:space="preserve">Tercero. Materia de la revisión. </w:t>
      </w:r>
      <w:r w:rsidRPr="00F15619">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F15619">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F15619">
        <w:rPr>
          <w:rFonts w:ascii="Palatino Linotype" w:eastAsia="Palatino Linotype" w:hAnsi="Palatino Linotype" w:cs="Palatino Linotype"/>
          <w:sz w:val="22"/>
          <w:szCs w:val="22"/>
        </w:rPr>
        <w:t xml:space="preserve">de la parte </w:t>
      </w:r>
      <w:r w:rsidRPr="00F15619">
        <w:rPr>
          <w:rFonts w:ascii="Palatino Linotype" w:eastAsia="Palatino Linotype" w:hAnsi="Palatino Linotype" w:cs="Palatino Linotype"/>
          <w:b/>
          <w:sz w:val="22"/>
          <w:szCs w:val="22"/>
        </w:rPr>
        <w:t>Recurrente</w:t>
      </w:r>
      <w:r w:rsidRPr="00F15619">
        <w:rPr>
          <w:rFonts w:ascii="Palatino Linotype" w:eastAsia="Palatino Linotype" w:hAnsi="Palatino Linotype" w:cs="Palatino Linotype"/>
          <w:sz w:val="22"/>
          <w:szCs w:val="22"/>
        </w:rPr>
        <w:t>, o en su defecto, en caso de ser procedente, ordenar la entrega de información.</w:t>
      </w:r>
    </w:p>
    <w:p w14:paraId="175E5BA6" w14:textId="77777777" w:rsidR="00A374EA" w:rsidRPr="00F15619" w:rsidRDefault="0030574D">
      <w:pPr>
        <w:spacing w:before="240" w:after="240" w:line="360" w:lineRule="auto"/>
        <w:jc w:val="both"/>
        <w:rPr>
          <w:rFonts w:ascii="Palatino Linotype" w:eastAsia="Palatino Linotype" w:hAnsi="Palatino Linotype" w:cs="Palatino Linotype"/>
          <w:sz w:val="22"/>
          <w:szCs w:val="22"/>
        </w:rPr>
      </w:pPr>
      <w:bookmarkStart w:id="7" w:name="_heading=h.2et92p0" w:colFirst="0" w:colLast="0"/>
      <w:bookmarkEnd w:id="7"/>
      <w:r w:rsidRPr="00F15619">
        <w:rPr>
          <w:rFonts w:ascii="Palatino Linotype" w:eastAsia="Palatino Linotype" w:hAnsi="Palatino Linotype" w:cs="Palatino Linotype"/>
          <w:b/>
          <w:sz w:val="22"/>
          <w:szCs w:val="22"/>
        </w:rPr>
        <w:t xml:space="preserve">Cuarto. Estudio del asunto. </w:t>
      </w:r>
      <w:r w:rsidRPr="00F15619">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9EEBA50" w14:textId="77777777" w:rsidR="00A374EA" w:rsidRPr="00F15619" w:rsidRDefault="0030574D">
      <w:pPr>
        <w:spacing w:before="120" w:after="120"/>
        <w:ind w:left="851" w:right="902"/>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i/>
          <w:sz w:val="22"/>
          <w:szCs w:val="22"/>
        </w:rPr>
        <w:t>“</w:t>
      </w:r>
      <w:r w:rsidRPr="00F15619">
        <w:rPr>
          <w:rFonts w:ascii="Palatino Linotype" w:eastAsia="Palatino Linotype" w:hAnsi="Palatino Linotype" w:cs="Palatino Linotype"/>
          <w:b/>
          <w:i/>
          <w:sz w:val="22"/>
          <w:szCs w:val="22"/>
        </w:rPr>
        <w:t>Artículo 4</w:t>
      </w:r>
      <w:r w:rsidRPr="00F1561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w:t>
      </w:r>
      <w:r w:rsidRPr="00F15619">
        <w:rPr>
          <w:rFonts w:ascii="Palatino Linotype" w:eastAsia="Palatino Linotype" w:hAnsi="Palatino Linotype" w:cs="Palatino Linotype"/>
          <w:i/>
          <w:sz w:val="22"/>
          <w:szCs w:val="22"/>
        </w:rPr>
        <w:lastRenderedPageBreak/>
        <w:t xml:space="preserve">solicitar información pública, sin necesidad de acreditar personalidad ni interés jurídico. </w:t>
      </w:r>
    </w:p>
    <w:p w14:paraId="766E3BB7" w14:textId="77777777" w:rsidR="00A374EA" w:rsidRPr="00F15619" w:rsidRDefault="0030574D">
      <w:pPr>
        <w:spacing w:before="120" w:after="120"/>
        <w:ind w:left="851" w:right="902"/>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1561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DF5E592" w14:textId="77777777" w:rsidR="00A374EA" w:rsidRPr="00F15619" w:rsidRDefault="0030574D">
      <w:pPr>
        <w:spacing w:before="120" w:after="120"/>
        <w:ind w:left="851" w:right="902"/>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15619">
        <w:rPr>
          <w:rFonts w:ascii="Palatino Linotype" w:eastAsia="Palatino Linotype" w:hAnsi="Palatino Linotype" w:cs="Palatino Linotype"/>
          <w:i/>
          <w:sz w:val="22"/>
          <w:szCs w:val="22"/>
        </w:rPr>
        <w:t>.”</w:t>
      </w:r>
    </w:p>
    <w:p w14:paraId="5D750940" w14:textId="77777777" w:rsidR="00A374EA" w:rsidRPr="00F15619" w:rsidRDefault="0030574D">
      <w:pPr>
        <w:spacing w:before="240" w:after="240" w:line="360" w:lineRule="auto"/>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DF0B5C9" w14:textId="77777777" w:rsidR="00A374EA" w:rsidRPr="00F15619" w:rsidRDefault="0030574D">
      <w:pPr>
        <w:spacing w:before="120" w:after="120"/>
        <w:ind w:left="851" w:right="902"/>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b/>
          <w:i/>
          <w:sz w:val="22"/>
          <w:szCs w:val="22"/>
        </w:rPr>
        <w:t>“Artículo 12.-</w:t>
      </w:r>
      <w:r w:rsidRPr="00F1561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67AE28B" w14:textId="77777777" w:rsidR="00A374EA" w:rsidRPr="00F15619" w:rsidRDefault="0030574D">
      <w:pPr>
        <w:spacing w:before="120" w:after="120"/>
        <w:ind w:left="851" w:right="902"/>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15619">
        <w:rPr>
          <w:rFonts w:ascii="Palatino Linotype" w:eastAsia="Palatino Linotype" w:hAnsi="Palatino Linotype" w:cs="Palatino Linotype"/>
          <w:i/>
          <w:sz w:val="22"/>
          <w:szCs w:val="22"/>
        </w:rPr>
        <w:t xml:space="preserve">. </w:t>
      </w:r>
      <w:r w:rsidRPr="00F15619">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7351D884" w14:textId="77777777" w:rsidR="00A374EA" w:rsidRPr="00F15619" w:rsidRDefault="0030574D">
      <w:pPr>
        <w:spacing w:before="240" w:after="240" w:line="360" w:lineRule="auto"/>
        <w:ind w:right="-93"/>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25EC40FB" w14:textId="77777777" w:rsidR="00A374EA" w:rsidRPr="00F15619" w:rsidRDefault="0030574D">
      <w:pPr>
        <w:spacing w:before="240" w:after="240" w:line="360" w:lineRule="auto"/>
        <w:jc w:val="both"/>
        <w:rPr>
          <w:rFonts w:ascii="Palatino Linotype" w:eastAsia="Palatino Linotype" w:hAnsi="Palatino Linotype" w:cs="Palatino Linotype"/>
          <w:b/>
          <w:sz w:val="22"/>
          <w:szCs w:val="22"/>
        </w:rPr>
      </w:pPr>
      <w:r w:rsidRPr="00F15619">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F15619">
        <w:rPr>
          <w:rFonts w:ascii="Palatino Linotype" w:eastAsia="Palatino Linotype" w:hAnsi="Palatino Linotype" w:cs="Palatino Linotype"/>
          <w:b/>
          <w:sz w:val="22"/>
          <w:szCs w:val="22"/>
        </w:rPr>
        <w:t xml:space="preserve"> </w:t>
      </w:r>
    </w:p>
    <w:p w14:paraId="7385AEED" w14:textId="77777777" w:rsidR="00A374EA" w:rsidRPr="00F15619" w:rsidRDefault="0030574D">
      <w:pPr>
        <w:spacing w:before="120" w:after="120"/>
        <w:ind w:left="1134" w:right="902"/>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i/>
          <w:sz w:val="22"/>
          <w:szCs w:val="22"/>
        </w:rPr>
        <w:t xml:space="preserve"> “</w:t>
      </w:r>
      <w:r w:rsidRPr="00F15619">
        <w:rPr>
          <w:rFonts w:ascii="Palatino Linotype" w:eastAsia="Palatino Linotype" w:hAnsi="Palatino Linotype" w:cs="Palatino Linotype"/>
          <w:b/>
          <w:i/>
          <w:sz w:val="22"/>
          <w:szCs w:val="22"/>
        </w:rPr>
        <w:t>No existe obligación de elaborar documentos ad hoc para atender las solicitudes de acceso a la información.</w:t>
      </w:r>
      <w:r w:rsidRPr="00F1561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A94C0D1" w14:textId="77777777" w:rsidR="00A374EA" w:rsidRPr="00F15619" w:rsidRDefault="0030574D">
      <w:pPr>
        <w:spacing w:before="120" w:after="120" w:line="360" w:lineRule="auto"/>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7B6028A" w14:textId="77777777" w:rsidR="00A374EA" w:rsidRPr="00F15619" w:rsidRDefault="0030574D">
      <w:pPr>
        <w:spacing w:before="120" w:after="120" w:line="360" w:lineRule="auto"/>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C8C688F" w14:textId="77777777" w:rsidR="00A374EA" w:rsidRPr="00F15619" w:rsidRDefault="0030574D">
      <w:pPr>
        <w:spacing w:before="120" w:after="120"/>
        <w:ind w:left="851" w:right="902"/>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i/>
          <w:sz w:val="22"/>
          <w:szCs w:val="22"/>
        </w:rPr>
        <w:t>“</w:t>
      </w:r>
      <w:r w:rsidRPr="00F15619">
        <w:rPr>
          <w:rFonts w:ascii="Palatino Linotype" w:eastAsia="Palatino Linotype" w:hAnsi="Palatino Linotype" w:cs="Palatino Linotype"/>
          <w:b/>
          <w:i/>
          <w:sz w:val="22"/>
          <w:szCs w:val="22"/>
        </w:rPr>
        <w:t xml:space="preserve">Artículo 3. </w:t>
      </w:r>
      <w:r w:rsidRPr="00F15619">
        <w:rPr>
          <w:rFonts w:ascii="Palatino Linotype" w:eastAsia="Palatino Linotype" w:hAnsi="Palatino Linotype" w:cs="Palatino Linotype"/>
          <w:i/>
          <w:sz w:val="22"/>
          <w:szCs w:val="22"/>
        </w:rPr>
        <w:t>Para los efectos de la presente Ley se entenderá por:</w:t>
      </w:r>
    </w:p>
    <w:p w14:paraId="41941C87" w14:textId="77777777" w:rsidR="00A374EA" w:rsidRPr="00F15619" w:rsidRDefault="0030574D">
      <w:pPr>
        <w:spacing w:before="120" w:after="120"/>
        <w:ind w:left="1134" w:right="902"/>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i/>
          <w:sz w:val="22"/>
          <w:szCs w:val="22"/>
        </w:rPr>
        <w:t>…</w:t>
      </w:r>
    </w:p>
    <w:p w14:paraId="6A173411" w14:textId="77777777" w:rsidR="00A374EA" w:rsidRPr="00F15619" w:rsidRDefault="0030574D">
      <w:pPr>
        <w:spacing w:before="120" w:after="120"/>
        <w:ind w:left="1134" w:right="902"/>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b/>
          <w:i/>
          <w:sz w:val="22"/>
          <w:szCs w:val="22"/>
        </w:rPr>
        <w:t>XI. Documento:</w:t>
      </w:r>
      <w:r w:rsidRPr="00F15619">
        <w:rPr>
          <w:rFonts w:ascii="Palatino Linotype" w:eastAsia="Palatino Linotype" w:hAnsi="Palatino Linotype" w:cs="Palatino Linotype"/>
          <w:i/>
          <w:sz w:val="22"/>
          <w:szCs w:val="22"/>
        </w:rPr>
        <w:t xml:space="preserve"> Los expedientes, reportes, estudios, actas</w:t>
      </w:r>
      <w:r w:rsidRPr="00F15619">
        <w:rPr>
          <w:rFonts w:ascii="Palatino Linotype" w:eastAsia="Palatino Linotype" w:hAnsi="Palatino Linotype" w:cs="Palatino Linotype"/>
          <w:b/>
          <w:i/>
          <w:sz w:val="22"/>
          <w:szCs w:val="22"/>
        </w:rPr>
        <w:t>,</w:t>
      </w:r>
      <w:r w:rsidRPr="00F1561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73565E4" w14:textId="77777777" w:rsidR="00A374EA" w:rsidRPr="00F15619" w:rsidRDefault="0030574D">
      <w:pPr>
        <w:spacing w:before="240" w:after="240" w:line="360" w:lineRule="auto"/>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6929D03" w14:textId="77777777" w:rsidR="00A374EA" w:rsidRPr="00F15619" w:rsidRDefault="0030574D">
      <w:pPr>
        <w:spacing w:before="120" w:after="120"/>
        <w:ind w:left="851" w:right="902"/>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b/>
          <w:sz w:val="22"/>
          <w:szCs w:val="22"/>
        </w:rPr>
        <w:t>“</w:t>
      </w:r>
      <w:r w:rsidRPr="00F1561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1561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F15619">
        <w:rPr>
          <w:rFonts w:ascii="Palatino Linotype" w:eastAsia="Palatino Linotype" w:hAnsi="Palatino Linotype" w:cs="Palatino Linotype"/>
          <w:i/>
          <w:sz w:val="22"/>
          <w:szCs w:val="22"/>
        </w:rPr>
        <w:lastRenderedPageBreak/>
        <w:t>órganos u organismos públicos, en virtud del ejercicio de sus funciones de derecho público, sin importar su fuente, soporte o fecha de elaboración.</w:t>
      </w:r>
    </w:p>
    <w:p w14:paraId="719E7D57" w14:textId="77777777" w:rsidR="00A374EA" w:rsidRPr="00F15619" w:rsidRDefault="0030574D">
      <w:pPr>
        <w:spacing w:before="120" w:after="120"/>
        <w:ind w:left="851" w:right="902"/>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83B592E" w14:textId="77777777" w:rsidR="00A374EA" w:rsidRPr="00F15619" w:rsidRDefault="0030574D">
      <w:pPr>
        <w:spacing w:before="120" w:after="120"/>
        <w:ind w:left="1134" w:right="902"/>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7D92D2D" w14:textId="77777777" w:rsidR="00A374EA" w:rsidRPr="00F15619" w:rsidRDefault="0030574D">
      <w:pPr>
        <w:spacing w:before="120" w:after="120"/>
        <w:ind w:left="1134" w:right="902"/>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71A6EDAA" w14:textId="77777777" w:rsidR="00A374EA" w:rsidRPr="00F15619" w:rsidRDefault="0030574D">
      <w:pPr>
        <w:spacing w:before="120" w:after="120"/>
        <w:ind w:left="1134" w:right="902"/>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2BF87630" w14:textId="77777777" w:rsidR="00A374EA" w:rsidRPr="00F15619" w:rsidRDefault="0030574D">
      <w:pPr>
        <w:spacing w:before="240" w:after="240" w:line="360" w:lineRule="auto"/>
        <w:ind w:right="51"/>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5DAEAC6" w14:textId="77777777" w:rsidR="00A374EA" w:rsidRPr="00F15619" w:rsidRDefault="0030574D">
      <w:pPr>
        <w:spacing w:before="240" w:after="240" w:line="360" w:lineRule="auto"/>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w:t>
      </w:r>
      <w:r w:rsidRPr="00F15619">
        <w:rPr>
          <w:rFonts w:ascii="Palatino Linotype" w:eastAsia="Palatino Linotype" w:hAnsi="Palatino Linotype" w:cs="Palatino Linotype"/>
          <w:sz w:val="22"/>
          <w:szCs w:val="22"/>
        </w:rPr>
        <w:lastRenderedPageBreak/>
        <w:t>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6A6D97E0" w14:textId="77777777" w:rsidR="00A374EA" w:rsidRPr="00F15619" w:rsidRDefault="0030574D">
      <w:pPr>
        <w:spacing w:before="240" w:after="240" w:line="360" w:lineRule="auto"/>
        <w:ind w:right="51"/>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F15619">
        <w:rPr>
          <w:rFonts w:ascii="Palatino Linotype" w:eastAsia="Palatino Linotype" w:hAnsi="Palatino Linotype" w:cs="Palatino Linotype"/>
          <w:b/>
          <w:sz w:val="22"/>
          <w:szCs w:val="22"/>
        </w:rPr>
        <w:t>Recurrente</w:t>
      </w:r>
      <w:r w:rsidRPr="00F15619">
        <w:rPr>
          <w:rFonts w:ascii="Palatino Linotype" w:eastAsia="Palatino Linotype" w:hAnsi="Palatino Linotype" w:cs="Palatino Linotype"/>
          <w:sz w:val="22"/>
          <w:szCs w:val="22"/>
        </w:rPr>
        <w:t xml:space="preserve"> requirió al </w:t>
      </w:r>
      <w:r w:rsidRPr="00F15619">
        <w:rPr>
          <w:rFonts w:ascii="Palatino Linotype" w:eastAsia="Palatino Linotype" w:hAnsi="Palatino Linotype" w:cs="Palatino Linotype"/>
          <w:b/>
          <w:sz w:val="22"/>
          <w:szCs w:val="22"/>
        </w:rPr>
        <w:t xml:space="preserve">Sujeto Obligado </w:t>
      </w:r>
      <w:r w:rsidRPr="00F15619">
        <w:rPr>
          <w:rFonts w:ascii="Palatino Linotype" w:eastAsia="Palatino Linotype" w:hAnsi="Palatino Linotype" w:cs="Palatino Linotype"/>
          <w:sz w:val="22"/>
          <w:szCs w:val="22"/>
        </w:rPr>
        <w:t>le proporcione lo siguiente:</w:t>
      </w:r>
    </w:p>
    <w:p w14:paraId="09686696" w14:textId="77777777" w:rsidR="00A374EA" w:rsidRPr="00F15619" w:rsidRDefault="0030574D">
      <w:pPr>
        <w:numPr>
          <w:ilvl w:val="0"/>
          <w:numId w:val="1"/>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b/>
          <w:sz w:val="22"/>
          <w:szCs w:val="22"/>
        </w:rPr>
      </w:pPr>
      <w:r w:rsidRPr="00F15619">
        <w:rPr>
          <w:rFonts w:ascii="Palatino Linotype" w:eastAsia="Palatino Linotype" w:hAnsi="Palatino Linotype" w:cs="Palatino Linotype"/>
          <w:b/>
          <w:sz w:val="22"/>
          <w:szCs w:val="22"/>
        </w:rPr>
        <w:t>Todos los nombramientos emitidos desde el 01 de enero al 28 de mayo de 2025, de los titulares de las áreas que conforman la estructura orgánica del Ayuntamiento de Atizapán de Zaragoza.</w:t>
      </w:r>
    </w:p>
    <w:p w14:paraId="053445CA" w14:textId="77777777" w:rsidR="00A374EA" w:rsidRPr="00F15619" w:rsidRDefault="0030574D">
      <w:pPr>
        <w:spacing w:before="240" w:after="240" w:line="360" w:lineRule="auto"/>
        <w:ind w:right="49"/>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 xml:space="preserve">En respuesta, el </w:t>
      </w:r>
      <w:r w:rsidRPr="00F15619">
        <w:rPr>
          <w:rFonts w:ascii="Palatino Linotype" w:eastAsia="Palatino Linotype" w:hAnsi="Palatino Linotype" w:cs="Palatino Linotype"/>
          <w:b/>
          <w:sz w:val="22"/>
          <w:szCs w:val="22"/>
        </w:rPr>
        <w:t xml:space="preserve">Sujeto Obligado </w:t>
      </w:r>
      <w:r w:rsidRPr="00F15619">
        <w:rPr>
          <w:rFonts w:ascii="Palatino Linotype" w:eastAsia="Palatino Linotype" w:hAnsi="Palatino Linotype" w:cs="Palatino Linotype"/>
          <w:sz w:val="22"/>
          <w:szCs w:val="22"/>
        </w:rPr>
        <w:t>por conducto de la Subdirectora de Recursos Humanos informó que después de realizar una búsqueda exhaustiva y razonable de la información solicitada, hacía entrega de los nombramientos de designación del cargo conferido, del personal adscrito en las Dependencias, así como del Organismo Público Municipal Autónomo, que conforman la estructura orgánica del H. Ayuntamiento de Atizapán de Zaragoza.</w:t>
      </w:r>
    </w:p>
    <w:p w14:paraId="4165F9D3" w14:textId="77777777" w:rsidR="00A374EA" w:rsidRPr="00F15619" w:rsidRDefault="0030574D">
      <w:pPr>
        <w:spacing w:before="240" w:after="240" w:line="360" w:lineRule="auto"/>
        <w:ind w:right="49"/>
        <w:jc w:val="both"/>
        <w:rPr>
          <w:rFonts w:ascii="Palatino Linotype" w:eastAsia="Palatino Linotype" w:hAnsi="Palatino Linotype" w:cs="Palatino Linotype"/>
          <w:b/>
          <w:sz w:val="22"/>
          <w:szCs w:val="22"/>
        </w:rPr>
      </w:pPr>
      <w:r w:rsidRPr="00F15619">
        <w:rPr>
          <w:rFonts w:ascii="Palatino Linotype" w:eastAsia="Palatino Linotype" w:hAnsi="Palatino Linotype" w:cs="Palatino Linotype"/>
          <w:sz w:val="22"/>
          <w:szCs w:val="22"/>
        </w:rPr>
        <w:t xml:space="preserve">Al no estar conforme con los términos de la respuesta emitida, la parte </w:t>
      </w:r>
      <w:r w:rsidRPr="00F15619">
        <w:rPr>
          <w:rFonts w:ascii="Palatino Linotype" w:eastAsia="Palatino Linotype" w:hAnsi="Palatino Linotype" w:cs="Palatino Linotype"/>
          <w:b/>
          <w:sz w:val="22"/>
          <w:szCs w:val="22"/>
        </w:rPr>
        <w:t xml:space="preserve">Recurrente </w:t>
      </w:r>
      <w:r w:rsidRPr="00F15619">
        <w:rPr>
          <w:rFonts w:ascii="Palatino Linotype" w:eastAsia="Palatino Linotype" w:hAnsi="Palatino Linotype" w:cs="Palatino Linotype"/>
          <w:sz w:val="22"/>
          <w:szCs w:val="22"/>
        </w:rPr>
        <w:t xml:space="preserve">interpuso el recurso de revisión que nos ocupa, donde señaló como motivo de inconformidad la entrega de información incompleta, </w:t>
      </w:r>
      <w:r w:rsidRPr="00F15619">
        <w:rPr>
          <w:rFonts w:ascii="Palatino Linotype" w:eastAsia="Palatino Linotype" w:hAnsi="Palatino Linotype" w:cs="Palatino Linotype"/>
          <w:b/>
          <w:sz w:val="22"/>
          <w:szCs w:val="22"/>
        </w:rPr>
        <w:t>ya que refiere que hacen falta nombramientos.</w:t>
      </w:r>
    </w:p>
    <w:p w14:paraId="002DEA46" w14:textId="77777777" w:rsidR="00A374EA" w:rsidRPr="00F15619" w:rsidRDefault="0030574D">
      <w:pPr>
        <w:spacing w:line="360" w:lineRule="auto"/>
        <w:ind w:right="49"/>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 xml:space="preserve">En la etapa de manifestaciones el </w:t>
      </w:r>
      <w:r w:rsidRPr="00F15619">
        <w:rPr>
          <w:rFonts w:ascii="Palatino Linotype" w:eastAsia="Palatino Linotype" w:hAnsi="Palatino Linotype" w:cs="Palatino Linotype"/>
          <w:b/>
          <w:sz w:val="22"/>
          <w:szCs w:val="22"/>
        </w:rPr>
        <w:t xml:space="preserve">Sujeto Obligado </w:t>
      </w:r>
      <w:r w:rsidRPr="00F15619">
        <w:rPr>
          <w:rFonts w:ascii="Palatino Linotype" w:eastAsia="Palatino Linotype" w:hAnsi="Palatino Linotype" w:cs="Palatino Linotype"/>
          <w:sz w:val="22"/>
          <w:szCs w:val="22"/>
        </w:rPr>
        <w:t xml:space="preserve">ratificó en lo sustancial la respuesta proporcionada en primera instancia, agregando por conducto de la Dirección de Administración ratificó la respuesta inicial, señalando que se hizo entrega en respuesta de </w:t>
      </w:r>
      <w:r w:rsidRPr="00F15619">
        <w:rPr>
          <w:rFonts w:ascii="Palatino Linotype" w:eastAsia="Palatino Linotype" w:hAnsi="Palatino Linotype" w:cs="Palatino Linotype"/>
          <w:sz w:val="22"/>
          <w:szCs w:val="22"/>
        </w:rPr>
        <w:lastRenderedPageBreak/>
        <w:t>los nombramientos que se localizaron en los archivos de esa dirección</w:t>
      </w:r>
      <w:r w:rsidRPr="00F15619">
        <w:t xml:space="preserve"> </w:t>
      </w:r>
      <w:r w:rsidRPr="00F15619">
        <w:rPr>
          <w:rFonts w:ascii="Palatino Linotype" w:eastAsia="Palatino Linotype" w:hAnsi="Palatino Linotype" w:cs="Palatino Linotype"/>
          <w:sz w:val="22"/>
          <w:szCs w:val="22"/>
        </w:rPr>
        <w:t>a la fecha de la solicitud.</w:t>
      </w:r>
    </w:p>
    <w:p w14:paraId="7C813201" w14:textId="77777777" w:rsidR="00A374EA" w:rsidRPr="00F15619" w:rsidRDefault="00A374EA">
      <w:pPr>
        <w:spacing w:line="360" w:lineRule="auto"/>
        <w:ind w:right="49"/>
        <w:jc w:val="both"/>
        <w:rPr>
          <w:rFonts w:ascii="Palatino Linotype" w:eastAsia="Palatino Linotype" w:hAnsi="Palatino Linotype" w:cs="Palatino Linotype"/>
          <w:sz w:val="22"/>
          <w:szCs w:val="22"/>
        </w:rPr>
      </w:pPr>
    </w:p>
    <w:p w14:paraId="03684183" w14:textId="77777777" w:rsidR="00A374EA" w:rsidRPr="00F15619" w:rsidRDefault="0030574D">
      <w:pPr>
        <w:spacing w:line="360" w:lineRule="auto"/>
        <w:ind w:right="49"/>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 xml:space="preserve">Por su lado, la parte </w:t>
      </w:r>
      <w:r w:rsidRPr="00F15619">
        <w:rPr>
          <w:rFonts w:ascii="Palatino Linotype" w:eastAsia="Palatino Linotype" w:hAnsi="Palatino Linotype" w:cs="Palatino Linotype"/>
          <w:b/>
          <w:sz w:val="22"/>
          <w:szCs w:val="22"/>
        </w:rPr>
        <w:t xml:space="preserve">Recurrente </w:t>
      </w:r>
      <w:r w:rsidRPr="00F15619">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51A5E4BA" w14:textId="77777777" w:rsidR="00A374EA" w:rsidRPr="00F15619" w:rsidRDefault="00A374EA">
      <w:pPr>
        <w:spacing w:line="360" w:lineRule="auto"/>
        <w:ind w:right="49"/>
        <w:jc w:val="both"/>
        <w:rPr>
          <w:rFonts w:ascii="Palatino Linotype" w:eastAsia="Palatino Linotype" w:hAnsi="Palatino Linotype" w:cs="Palatino Linotype"/>
          <w:sz w:val="22"/>
          <w:szCs w:val="22"/>
        </w:rPr>
      </w:pPr>
    </w:p>
    <w:p w14:paraId="64449EDE" w14:textId="77777777" w:rsidR="00A374EA" w:rsidRPr="00F15619" w:rsidRDefault="0030574D">
      <w:pPr>
        <w:spacing w:line="360" w:lineRule="auto"/>
        <w:ind w:right="-28"/>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Atento a lo anterior, en el caso resulta conveniente recordar que quien se pronunció fue la Subdirección de Recursos Humanos que depende de la Dirección de Administración, por lo que resulta dable invocar lo que establece el Reglamento Orgánico de la Administración Pública Municipal de Atizapán de Zaragoza, en su numeral 49, a saber:</w:t>
      </w:r>
    </w:p>
    <w:p w14:paraId="378F88AF" w14:textId="77777777" w:rsidR="00A374EA" w:rsidRPr="00F15619" w:rsidRDefault="00A374EA">
      <w:pPr>
        <w:spacing w:line="360" w:lineRule="auto"/>
        <w:ind w:right="-28"/>
        <w:jc w:val="both"/>
        <w:rPr>
          <w:rFonts w:ascii="Palatino Linotype" w:eastAsia="Palatino Linotype" w:hAnsi="Palatino Linotype" w:cs="Palatino Linotype"/>
          <w:sz w:val="22"/>
          <w:szCs w:val="22"/>
        </w:rPr>
      </w:pPr>
    </w:p>
    <w:p w14:paraId="187B79D8" w14:textId="77777777" w:rsidR="00A374EA" w:rsidRPr="00F15619" w:rsidRDefault="0030574D">
      <w:pPr>
        <w:ind w:left="567" w:right="567"/>
        <w:jc w:val="both"/>
        <w:rPr>
          <w:rFonts w:ascii="Palatino Linotype" w:eastAsia="Palatino Linotype" w:hAnsi="Palatino Linotype" w:cs="Palatino Linotype"/>
          <w:b/>
          <w:i/>
          <w:sz w:val="22"/>
          <w:szCs w:val="22"/>
        </w:rPr>
      </w:pPr>
      <w:r w:rsidRPr="00F15619">
        <w:rPr>
          <w:rFonts w:ascii="Palatino Linotype" w:eastAsia="Palatino Linotype" w:hAnsi="Palatino Linotype" w:cs="Palatino Linotype"/>
          <w:b/>
          <w:i/>
          <w:sz w:val="22"/>
          <w:szCs w:val="22"/>
        </w:rPr>
        <w:t>ARTÍCULO 49.- Para el estudio, planeación y despacho de los asuntos de su competencia la Dirección de Administración, se integrará de la siguiente manera:</w:t>
      </w:r>
    </w:p>
    <w:p w14:paraId="53FE05E5" w14:textId="77777777" w:rsidR="00A374EA" w:rsidRPr="00F15619" w:rsidRDefault="0030574D">
      <w:pPr>
        <w:ind w:left="567" w:right="567"/>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i/>
          <w:sz w:val="22"/>
          <w:szCs w:val="22"/>
        </w:rPr>
        <w:t>(…)</w:t>
      </w:r>
    </w:p>
    <w:p w14:paraId="53350565" w14:textId="77777777" w:rsidR="00A374EA" w:rsidRPr="00F15619" w:rsidRDefault="0030574D">
      <w:pPr>
        <w:ind w:left="567" w:right="567"/>
        <w:jc w:val="both"/>
        <w:rPr>
          <w:rFonts w:ascii="Palatino Linotype" w:eastAsia="Palatino Linotype" w:hAnsi="Palatino Linotype" w:cs="Palatino Linotype"/>
          <w:b/>
          <w:i/>
          <w:sz w:val="22"/>
          <w:szCs w:val="22"/>
        </w:rPr>
      </w:pPr>
      <w:r w:rsidRPr="00F15619">
        <w:rPr>
          <w:rFonts w:ascii="Palatino Linotype" w:eastAsia="Palatino Linotype" w:hAnsi="Palatino Linotype" w:cs="Palatino Linotype"/>
          <w:b/>
          <w:i/>
          <w:sz w:val="22"/>
          <w:szCs w:val="22"/>
        </w:rPr>
        <w:t>III Subdirección de Recursos Humanos</w:t>
      </w:r>
    </w:p>
    <w:p w14:paraId="341CE06A" w14:textId="77777777" w:rsidR="00A374EA" w:rsidRPr="00F15619" w:rsidRDefault="0030574D">
      <w:pPr>
        <w:ind w:left="567" w:right="567"/>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i/>
          <w:sz w:val="22"/>
          <w:szCs w:val="22"/>
        </w:rPr>
        <w:t>III.I Departamento de Nóminas y Pagos</w:t>
      </w:r>
    </w:p>
    <w:p w14:paraId="52DA0B7D" w14:textId="77777777" w:rsidR="00A374EA" w:rsidRPr="00F15619" w:rsidRDefault="0030574D">
      <w:pPr>
        <w:ind w:left="567" w:right="567"/>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i/>
          <w:sz w:val="22"/>
          <w:szCs w:val="22"/>
        </w:rPr>
        <w:t>III.II Departamento de Relaciones Laborales</w:t>
      </w:r>
    </w:p>
    <w:p w14:paraId="11F7911B" w14:textId="77777777" w:rsidR="00A374EA" w:rsidRPr="00F15619" w:rsidRDefault="0030574D">
      <w:pPr>
        <w:ind w:left="567" w:right="567"/>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i/>
          <w:sz w:val="22"/>
          <w:szCs w:val="22"/>
        </w:rPr>
        <w:t>(…)</w:t>
      </w:r>
    </w:p>
    <w:p w14:paraId="6186725A" w14:textId="77777777" w:rsidR="00A374EA" w:rsidRPr="00F15619" w:rsidRDefault="00A374EA">
      <w:pPr>
        <w:spacing w:line="360" w:lineRule="auto"/>
        <w:ind w:right="-28"/>
        <w:jc w:val="both"/>
        <w:rPr>
          <w:rFonts w:ascii="Palatino Linotype" w:eastAsia="Palatino Linotype" w:hAnsi="Palatino Linotype" w:cs="Palatino Linotype"/>
          <w:sz w:val="22"/>
          <w:szCs w:val="22"/>
        </w:rPr>
      </w:pPr>
    </w:p>
    <w:p w14:paraId="7DDDD3B6" w14:textId="77777777" w:rsidR="00A374EA" w:rsidRPr="00F15619" w:rsidRDefault="0030574D">
      <w:pPr>
        <w:spacing w:line="360" w:lineRule="auto"/>
        <w:ind w:right="-28"/>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 xml:space="preserve">De igual forma el numeral 48 del marco normativo en referencia, establece que </w:t>
      </w:r>
      <w:r w:rsidRPr="00F15619">
        <w:rPr>
          <w:rFonts w:ascii="Palatino Linotype" w:eastAsia="Palatino Linotype" w:hAnsi="Palatino Linotype" w:cs="Palatino Linotype"/>
          <w:i/>
          <w:sz w:val="22"/>
          <w:szCs w:val="22"/>
        </w:rPr>
        <w:t xml:space="preserve">“Al frente de la Dirección de Administración estará el Director que ejercerá las atribuciones, facultades y obligaciones que las disposiciones legales aplicables le confieren expresamente. El titular de la Dirección de Administración se auxiliará con el personal administrativo que se determine conforme al presupuesto y tendrá las siguientes facultades:… </w:t>
      </w:r>
      <w:r w:rsidRPr="00F15619">
        <w:rPr>
          <w:rFonts w:ascii="Palatino Linotype" w:eastAsia="Palatino Linotype" w:hAnsi="Palatino Linotype" w:cs="Palatino Linotype"/>
          <w:i/>
          <w:sz w:val="22"/>
          <w:szCs w:val="22"/>
          <w:u w:val="single"/>
        </w:rPr>
        <w:t>V. Elaborar y registrar los nombramientos de los funcionarios municipales, recabando la firma de autorización del Presidente Municipal</w:t>
      </w:r>
      <w:r w:rsidRPr="00F15619">
        <w:rPr>
          <w:rFonts w:ascii="Palatino Linotype" w:eastAsia="Palatino Linotype" w:hAnsi="Palatino Linotype" w:cs="Palatino Linotype"/>
          <w:i/>
          <w:sz w:val="22"/>
          <w:szCs w:val="22"/>
        </w:rPr>
        <w:t>;…”</w:t>
      </w:r>
    </w:p>
    <w:p w14:paraId="420FF856" w14:textId="77777777" w:rsidR="00A374EA" w:rsidRPr="00F15619" w:rsidRDefault="00A374EA">
      <w:pPr>
        <w:spacing w:line="360" w:lineRule="auto"/>
        <w:ind w:right="-28"/>
        <w:jc w:val="both"/>
        <w:rPr>
          <w:rFonts w:ascii="Palatino Linotype" w:eastAsia="Palatino Linotype" w:hAnsi="Palatino Linotype" w:cs="Palatino Linotype"/>
          <w:sz w:val="22"/>
          <w:szCs w:val="22"/>
        </w:rPr>
      </w:pPr>
    </w:p>
    <w:p w14:paraId="79B6C199" w14:textId="77777777" w:rsidR="00A374EA" w:rsidRPr="00F15619" w:rsidRDefault="0030574D">
      <w:pPr>
        <w:spacing w:line="360" w:lineRule="auto"/>
        <w:ind w:right="-93"/>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lastRenderedPageBreak/>
        <w:t xml:space="preserve">En ese contexto, ante las funciones que le confieren a la unidad administrativa referida, se arriba a la conclusión de que el </w:t>
      </w:r>
      <w:r w:rsidRPr="00F15619">
        <w:rPr>
          <w:rFonts w:ascii="Palatino Linotype" w:eastAsia="Palatino Linotype" w:hAnsi="Palatino Linotype" w:cs="Palatino Linotype"/>
          <w:b/>
          <w:sz w:val="22"/>
          <w:szCs w:val="22"/>
        </w:rPr>
        <w:t>Sujeto Obligado</w:t>
      </w:r>
      <w:r w:rsidRPr="00F15619">
        <w:rPr>
          <w:rFonts w:ascii="Palatino Linotype" w:eastAsia="Palatino Linotype" w:hAnsi="Palatino Linotype" w:cs="Palatino Linotype"/>
          <w:sz w:val="22"/>
          <w:szCs w:val="22"/>
        </w:rPr>
        <w:t xml:space="preserve"> siguió el procedimiento establecido por el artículo 162 de la Ley de Transparencia y Acceso a la Información Pública del Estado de México y Municipios, al turnar la solicitud al área en la que pudiera obrar la información de conformidad con la fracción XXXIX del artículo tercero de la legislación local vigente en materia de transparencia:</w:t>
      </w:r>
    </w:p>
    <w:p w14:paraId="732DF9EC" w14:textId="77777777" w:rsidR="00A374EA" w:rsidRPr="00F15619" w:rsidRDefault="00A374EA">
      <w:pPr>
        <w:spacing w:line="360" w:lineRule="auto"/>
        <w:ind w:right="-93"/>
        <w:jc w:val="both"/>
        <w:rPr>
          <w:rFonts w:ascii="Palatino Linotype" w:eastAsia="Palatino Linotype" w:hAnsi="Palatino Linotype" w:cs="Palatino Linotype"/>
          <w:sz w:val="22"/>
          <w:szCs w:val="22"/>
        </w:rPr>
      </w:pPr>
    </w:p>
    <w:p w14:paraId="45D9CFF1" w14:textId="77777777" w:rsidR="00A374EA" w:rsidRPr="00F15619" w:rsidRDefault="0030574D">
      <w:pPr>
        <w:ind w:left="851" w:right="822"/>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b/>
          <w:i/>
          <w:sz w:val="22"/>
          <w:szCs w:val="22"/>
        </w:rPr>
        <w:t>XXXIX.</w:t>
      </w:r>
      <w:r w:rsidRPr="00F15619">
        <w:rPr>
          <w:rFonts w:ascii="Palatino Linotype" w:eastAsia="Palatino Linotype" w:hAnsi="Palatino Linotype" w:cs="Palatino Linotype"/>
          <w:i/>
          <w:sz w:val="22"/>
          <w:szCs w:val="22"/>
        </w:rPr>
        <w:t xml:space="preserve"> </w:t>
      </w:r>
      <w:r w:rsidRPr="00F15619">
        <w:rPr>
          <w:rFonts w:ascii="Palatino Linotype" w:eastAsia="Palatino Linotype" w:hAnsi="Palatino Linotype" w:cs="Palatino Linotype"/>
          <w:b/>
          <w:i/>
          <w:sz w:val="22"/>
          <w:szCs w:val="22"/>
        </w:rPr>
        <w:t xml:space="preserve">Servidor público habilitado: </w:t>
      </w:r>
      <w:r w:rsidRPr="00F15619">
        <w:rPr>
          <w:rFonts w:ascii="Palatino Linotype" w:eastAsia="Palatino Linotype" w:hAnsi="Palatino Linotype" w:cs="Palatino Linotype"/>
          <w:i/>
          <w:sz w:val="22"/>
          <w:szCs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00B181B" w14:textId="77777777" w:rsidR="00A374EA" w:rsidRPr="00F15619" w:rsidRDefault="00A374EA">
      <w:pPr>
        <w:spacing w:line="360" w:lineRule="auto"/>
        <w:ind w:right="-93"/>
        <w:jc w:val="both"/>
        <w:rPr>
          <w:rFonts w:ascii="Palatino Linotype" w:eastAsia="Palatino Linotype" w:hAnsi="Palatino Linotype" w:cs="Palatino Linotype"/>
          <w:sz w:val="22"/>
          <w:szCs w:val="22"/>
        </w:rPr>
      </w:pPr>
    </w:p>
    <w:p w14:paraId="54A8AF8E" w14:textId="77777777" w:rsidR="00A374EA" w:rsidRPr="00F15619" w:rsidRDefault="0030574D">
      <w:pPr>
        <w:spacing w:line="360" w:lineRule="auto"/>
        <w:ind w:right="-93"/>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Así las cosas, se advierte que efectivamente la Unidad de Transparencia cumplió con lo establecido en el artículo 162 de la Ley de Transparencia y Acceso a la Información Pública del Estado de México y Municipios, el cual menciona lo siguiente:</w:t>
      </w:r>
    </w:p>
    <w:p w14:paraId="6663BC11" w14:textId="77777777" w:rsidR="00A374EA" w:rsidRPr="00F15619" w:rsidRDefault="00A374EA">
      <w:pPr>
        <w:spacing w:line="360" w:lineRule="auto"/>
        <w:ind w:right="-93"/>
        <w:jc w:val="both"/>
        <w:rPr>
          <w:rFonts w:ascii="Palatino Linotype" w:eastAsia="Palatino Linotype" w:hAnsi="Palatino Linotype" w:cs="Palatino Linotype"/>
          <w:sz w:val="22"/>
          <w:szCs w:val="22"/>
        </w:rPr>
      </w:pPr>
    </w:p>
    <w:p w14:paraId="1B32BE15" w14:textId="77777777" w:rsidR="00A374EA" w:rsidRPr="00F15619" w:rsidRDefault="0030574D">
      <w:pPr>
        <w:ind w:left="851" w:right="822"/>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i/>
          <w:sz w:val="22"/>
          <w:szCs w:val="22"/>
        </w:rPr>
        <w:t>“</w:t>
      </w:r>
      <w:r w:rsidRPr="00F15619">
        <w:rPr>
          <w:rFonts w:ascii="Palatino Linotype" w:eastAsia="Palatino Linotype" w:hAnsi="Palatino Linotype" w:cs="Palatino Linotype"/>
          <w:b/>
          <w:i/>
          <w:sz w:val="22"/>
          <w:szCs w:val="22"/>
        </w:rPr>
        <w:t>Artículo 162.</w:t>
      </w:r>
      <w:r w:rsidRPr="00F15619">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4B2E04F" w14:textId="77777777" w:rsidR="00A374EA" w:rsidRPr="00F15619" w:rsidRDefault="00A374EA">
      <w:pPr>
        <w:spacing w:line="360" w:lineRule="auto"/>
        <w:ind w:right="-28"/>
        <w:jc w:val="both"/>
        <w:rPr>
          <w:rFonts w:ascii="Palatino Linotype" w:eastAsia="Palatino Linotype" w:hAnsi="Palatino Linotype" w:cs="Palatino Linotype"/>
          <w:sz w:val="22"/>
          <w:szCs w:val="22"/>
        </w:rPr>
      </w:pPr>
    </w:p>
    <w:p w14:paraId="5D53DE69" w14:textId="77777777" w:rsidR="00A374EA" w:rsidRPr="00F15619" w:rsidRDefault="0030574D">
      <w:pPr>
        <w:spacing w:line="360" w:lineRule="auto"/>
        <w:ind w:right="-28"/>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 xml:space="preserve">Ahora bien, respecto a lo solicitado por la hoy parte </w:t>
      </w:r>
      <w:r w:rsidRPr="00F15619">
        <w:rPr>
          <w:rFonts w:ascii="Palatino Linotype" w:eastAsia="Palatino Linotype" w:hAnsi="Palatino Linotype" w:cs="Palatino Linotype"/>
          <w:b/>
          <w:sz w:val="22"/>
          <w:szCs w:val="22"/>
        </w:rPr>
        <w:t>Recurrente</w:t>
      </w:r>
      <w:r w:rsidRPr="00F15619">
        <w:rPr>
          <w:rFonts w:ascii="Palatino Linotype" w:eastAsia="Palatino Linotype" w:hAnsi="Palatino Linotype" w:cs="Palatino Linotype"/>
          <w:sz w:val="22"/>
          <w:szCs w:val="22"/>
        </w:rPr>
        <w:t>, resulta necesario traer a contexto el contenido de los artículos 5, 45, y 48, fracción I de la Ley del Trabajo de los Servidores Públicos del Estado de México y Municipios, que disponen lo siguiente:</w:t>
      </w:r>
    </w:p>
    <w:p w14:paraId="75884652" w14:textId="77777777" w:rsidR="00A374EA" w:rsidRPr="00F15619" w:rsidRDefault="00A374EA">
      <w:pPr>
        <w:spacing w:line="360" w:lineRule="auto"/>
        <w:ind w:right="-28"/>
        <w:jc w:val="both"/>
        <w:rPr>
          <w:rFonts w:ascii="Palatino Linotype" w:eastAsia="Palatino Linotype" w:hAnsi="Palatino Linotype" w:cs="Palatino Linotype"/>
          <w:sz w:val="22"/>
          <w:szCs w:val="22"/>
        </w:rPr>
      </w:pPr>
    </w:p>
    <w:p w14:paraId="07FEB260" w14:textId="77777777" w:rsidR="00A374EA" w:rsidRPr="00F15619" w:rsidRDefault="0030574D">
      <w:pPr>
        <w:ind w:left="567" w:right="567"/>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i/>
          <w:sz w:val="22"/>
          <w:szCs w:val="22"/>
        </w:rPr>
        <w:t>“</w:t>
      </w:r>
      <w:r w:rsidRPr="00F15619">
        <w:rPr>
          <w:rFonts w:ascii="Palatino Linotype" w:eastAsia="Palatino Linotype" w:hAnsi="Palatino Linotype" w:cs="Palatino Linotype"/>
          <w:b/>
          <w:i/>
          <w:sz w:val="22"/>
          <w:szCs w:val="22"/>
        </w:rPr>
        <w:t>ARTÍCULO 5.- La relación de trabajo</w:t>
      </w:r>
      <w:r w:rsidRPr="00F15619">
        <w:rPr>
          <w:rFonts w:ascii="Palatino Linotype" w:eastAsia="Palatino Linotype" w:hAnsi="Palatino Linotype" w:cs="Palatino Linotype"/>
          <w:i/>
          <w:sz w:val="22"/>
          <w:szCs w:val="22"/>
        </w:rPr>
        <w:t xml:space="preserve"> entre las instituciones públicas y sus servidores públicos </w:t>
      </w:r>
      <w:r w:rsidRPr="00F15619">
        <w:rPr>
          <w:rFonts w:ascii="Palatino Linotype" w:eastAsia="Palatino Linotype" w:hAnsi="Palatino Linotype" w:cs="Palatino Linotype"/>
          <w:b/>
          <w:i/>
          <w:sz w:val="22"/>
          <w:szCs w:val="22"/>
        </w:rPr>
        <w:t xml:space="preserve">se entiende establecida mediante nombramiento, formato único de movimiento de personal, contrato o por cualquier otro acto que tenga </w:t>
      </w:r>
      <w:r w:rsidRPr="00F15619">
        <w:rPr>
          <w:rFonts w:ascii="Palatino Linotype" w:eastAsia="Palatino Linotype" w:hAnsi="Palatino Linotype" w:cs="Palatino Linotype"/>
          <w:b/>
          <w:i/>
          <w:sz w:val="22"/>
          <w:szCs w:val="22"/>
        </w:rPr>
        <w:lastRenderedPageBreak/>
        <w:t>como consecuencia la prestación personal subordinada del servicio y la percepción de un sueldo.</w:t>
      </w:r>
    </w:p>
    <w:p w14:paraId="510DC6A5" w14:textId="77777777" w:rsidR="00A374EA" w:rsidRPr="00F15619" w:rsidRDefault="0030574D">
      <w:pPr>
        <w:ind w:left="567" w:right="567"/>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i/>
          <w:sz w:val="22"/>
          <w:szCs w:val="22"/>
        </w:rPr>
        <w:t>…</w:t>
      </w:r>
    </w:p>
    <w:p w14:paraId="188A8382" w14:textId="77777777" w:rsidR="00A374EA" w:rsidRPr="00F15619" w:rsidRDefault="0030574D">
      <w:pPr>
        <w:ind w:left="567" w:right="567"/>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b/>
          <w:i/>
          <w:sz w:val="22"/>
          <w:szCs w:val="22"/>
        </w:rPr>
        <w:t xml:space="preserve">ARTÍCULO 45.-Los servidores públicos prestarán sus servicios mediante </w:t>
      </w:r>
      <w:r w:rsidRPr="00F15619">
        <w:rPr>
          <w:rFonts w:ascii="Palatino Linotype" w:eastAsia="Palatino Linotype" w:hAnsi="Palatino Linotype" w:cs="Palatino Linotype"/>
          <w:b/>
          <w:i/>
          <w:sz w:val="22"/>
          <w:szCs w:val="22"/>
          <w:u w:val="single"/>
        </w:rPr>
        <w:t>nombramiento</w:t>
      </w:r>
      <w:r w:rsidRPr="00F15619">
        <w:rPr>
          <w:rFonts w:ascii="Palatino Linotype" w:eastAsia="Palatino Linotype" w:hAnsi="Palatino Linotype" w:cs="Palatino Linotype"/>
          <w:b/>
          <w:i/>
          <w:sz w:val="22"/>
          <w:szCs w:val="22"/>
        </w:rPr>
        <w:t xml:space="preserve">, </w:t>
      </w:r>
      <w:r w:rsidRPr="00F15619">
        <w:rPr>
          <w:rFonts w:ascii="Palatino Linotype" w:eastAsia="Palatino Linotype" w:hAnsi="Palatino Linotype" w:cs="Palatino Linotype"/>
          <w:i/>
          <w:sz w:val="22"/>
          <w:szCs w:val="22"/>
        </w:rPr>
        <w:t>contrato o formato único de Movimientos de Personal expedidos por quien estuviere facultado legalmente para extenderlo.</w:t>
      </w:r>
    </w:p>
    <w:p w14:paraId="14E3C45B" w14:textId="77777777" w:rsidR="00A374EA" w:rsidRPr="00F15619" w:rsidRDefault="0030574D">
      <w:pPr>
        <w:ind w:left="567" w:right="567"/>
        <w:jc w:val="both"/>
        <w:rPr>
          <w:rFonts w:ascii="Palatino Linotype" w:eastAsia="Palatino Linotype" w:hAnsi="Palatino Linotype" w:cs="Palatino Linotype"/>
          <w:b/>
          <w:i/>
          <w:sz w:val="22"/>
          <w:szCs w:val="22"/>
        </w:rPr>
      </w:pPr>
      <w:r w:rsidRPr="00F15619">
        <w:rPr>
          <w:rFonts w:ascii="Palatino Linotype" w:eastAsia="Palatino Linotype" w:hAnsi="Palatino Linotype" w:cs="Palatino Linotype"/>
          <w:b/>
          <w:i/>
          <w:sz w:val="22"/>
          <w:szCs w:val="22"/>
        </w:rPr>
        <w:t>…</w:t>
      </w:r>
    </w:p>
    <w:p w14:paraId="00F09E65" w14:textId="77777777" w:rsidR="00A374EA" w:rsidRPr="00F15619" w:rsidRDefault="0030574D">
      <w:pPr>
        <w:ind w:left="567" w:right="567"/>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b/>
          <w:i/>
          <w:sz w:val="22"/>
          <w:szCs w:val="22"/>
        </w:rPr>
        <w:t>ARTÍCULO 48. Para iniciar la prestación de los servicios se requiere:</w:t>
      </w:r>
      <w:r w:rsidRPr="00F15619">
        <w:rPr>
          <w:rFonts w:ascii="Palatino Linotype" w:eastAsia="Palatino Linotype" w:hAnsi="Palatino Linotype" w:cs="Palatino Linotype"/>
          <w:i/>
          <w:sz w:val="22"/>
          <w:szCs w:val="22"/>
        </w:rPr>
        <w:t xml:space="preserve"> </w:t>
      </w:r>
    </w:p>
    <w:p w14:paraId="29F9392C" w14:textId="77777777" w:rsidR="00A374EA" w:rsidRPr="00F15619" w:rsidRDefault="0030574D">
      <w:pPr>
        <w:ind w:left="567" w:right="567"/>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b/>
          <w:i/>
          <w:sz w:val="22"/>
          <w:szCs w:val="22"/>
        </w:rPr>
        <w:t xml:space="preserve">I. Tener conferido el </w:t>
      </w:r>
      <w:r w:rsidRPr="00F15619">
        <w:rPr>
          <w:rFonts w:ascii="Palatino Linotype" w:eastAsia="Palatino Linotype" w:hAnsi="Palatino Linotype" w:cs="Palatino Linotype"/>
          <w:b/>
          <w:i/>
          <w:sz w:val="22"/>
          <w:szCs w:val="22"/>
          <w:u w:val="single"/>
        </w:rPr>
        <w:t>nombramiento</w:t>
      </w:r>
      <w:r w:rsidRPr="00F15619">
        <w:rPr>
          <w:rFonts w:ascii="Palatino Linotype" w:eastAsia="Palatino Linotype" w:hAnsi="Palatino Linotype" w:cs="Palatino Linotype"/>
          <w:b/>
          <w:i/>
          <w:sz w:val="22"/>
          <w:szCs w:val="22"/>
        </w:rPr>
        <w:t>, contrato respectivo o formato único de Movimientos de Personal;</w:t>
      </w:r>
      <w:r w:rsidRPr="00F15619">
        <w:rPr>
          <w:rFonts w:ascii="Palatino Linotype" w:eastAsia="Palatino Linotype" w:hAnsi="Palatino Linotype" w:cs="Palatino Linotype"/>
          <w:i/>
          <w:sz w:val="22"/>
          <w:szCs w:val="22"/>
        </w:rPr>
        <w:t xml:space="preserve"> </w:t>
      </w:r>
    </w:p>
    <w:p w14:paraId="59131477" w14:textId="77777777" w:rsidR="00A374EA" w:rsidRPr="00F15619" w:rsidRDefault="0030574D">
      <w:pPr>
        <w:spacing w:line="360" w:lineRule="auto"/>
        <w:ind w:left="567" w:right="-28"/>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 Sic.</w:t>
      </w:r>
    </w:p>
    <w:p w14:paraId="4C050983" w14:textId="77777777" w:rsidR="00A374EA" w:rsidRPr="00F15619" w:rsidRDefault="00A374EA">
      <w:pPr>
        <w:spacing w:line="360" w:lineRule="auto"/>
        <w:ind w:right="-28"/>
        <w:jc w:val="both"/>
        <w:rPr>
          <w:rFonts w:ascii="Palatino Linotype" w:eastAsia="Palatino Linotype" w:hAnsi="Palatino Linotype" w:cs="Palatino Linotype"/>
          <w:sz w:val="22"/>
          <w:szCs w:val="22"/>
        </w:rPr>
      </w:pPr>
    </w:p>
    <w:p w14:paraId="784AB483" w14:textId="77777777" w:rsidR="00A374EA" w:rsidRPr="00F15619" w:rsidRDefault="0030574D">
      <w:pPr>
        <w:spacing w:line="360" w:lineRule="auto"/>
        <w:ind w:right="-28"/>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 xml:space="preserve">De lo anterior, podemos advertir que </w:t>
      </w:r>
      <w:r w:rsidRPr="00F15619">
        <w:rPr>
          <w:rFonts w:ascii="Palatino Linotype" w:eastAsia="Palatino Linotype" w:hAnsi="Palatino Linotype" w:cs="Palatino Linotype"/>
          <w:b/>
          <w:sz w:val="22"/>
          <w:szCs w:val="22"/>
        </w:rPr>
        <w:t>las relaciones de trabajo entre los servidores públicos del Estado y sus municipios</w:t>
      </w:r>
      <w:r w:rsidRPr="00F15619">
        <w:rPr>
          <w:rFonts w:ascii="Palatino Linotype" w:eastAsia="Palatino Linotype" w:hAnsi="Palatino Linotype" w:cs="Palatino Linotype"/>
          <w:sz w:val="22"/>
          <w:szCs w:val="22"/>
        </w:rPr>
        <w:t xml:space="preserve"> se encuentran reguladas por la Ley del Trabajo de los Servidores Públicos del Estado y Municipios, la cual indica expresamente que las mismas </w:t>
      </w:r>
      <w:r w:rsidRPr="00F15619">
        <w:rPr>
          <w:rFonts w:ascii="Palatino Linotype" w:eastAsia="Palatino Linotype" w:hAnsi="Palatino Linotype" w:cs="Palatino Linotype"/>
          <w:b/>
          <w:sz w:val="22"/>
          <w:szCs w:val="22"/>
        </w:rPr>
        <w:t>se entenderán establecidas mediante el nombramiento, formato único de movimientos de personal, contrato o cualquiera que tenga como consecuencia la prestación personal subordinada del servicio y la percepción de un sueldo</w:t>
      </w:r>
      <w:r w:rsidRPr="00F15619">
        <w:rPr>
          <w:rFonts w:ascii="Palatino Linotype" w:eastAsia="Palatino Linotype" w:hAnsi="Palatino Linotype" w:cs="Palatino Linotype"/>
          <w:sz w:val="22"/>
          <w:szCs w:val="22"/>
        </w:rPr>
        <w:t>; de manera que, todos los servidores públicos prestan necesariamente sus servicios a través de cualquiera de dichos documentos, ya que son requisitos para configurar la relación laboral entre estos y las instituciones públicas, debiendo ser expedidos por quien tenga facultades para ello.</w:t>
      </w:r>
    </w:p>
    <w:p w14:paraId="64FC0232" w14:textId="77777777" w:rsidR="00A374EA" w:rsidRPr="00F15619" w:rsidRDefault="00A374EA">
      <w:pPr>
        <w:spacing w:line="360" w:lineRule="auto"/>
        <w:ind w:right="-28"/>
        <w:jc w:val="both"/>
        <w:rPr>
          <w:rFonts w:ascii="Palatino Linotype" w:eastAsia="Palatino Linotype" w:hAnsi="Palatino Linotype" w:cs="Palatino Linotype"/>
          <w:sz w:val="22"/>
          <w:szCs w:val="22"/>
        </w:rPr>
      </w:pPr>
    </w:p>
    <w:p w14:paraId="32ED14B4" w14:textId="77777777" w:rsidR="00A374EA" w:rsidRPr="00F15619" w:rsidRDefault="0030574D">
      <w:pPr>
        <w:spacing w:line="360" w:lineRule="auto"/>
        <w:ind w:right="-28"/>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Mientras que el artículo 98, fracción XVII de la Ley de Trabajo Ley del Trabajo de los Servidores Públicos del Estado y Municipios, dispone que las instituciones públicas -entendidas como cada uno de los poderes públicos del Estado, los municipios y los tribunales administrativos; así como los organismos descentralizados, fideicomisos de carácter estatal y municipal, y los órganos autónomos que sus leyes de creación así lo determinen-, tienen, entre otras obligaciones, la de integrar los expedientes de los servidores públicos bajo su adscripción, como se lee en seguida:</w:t>
      </w:r>
    </w:p>
    <w:p w14:paraId="4C3FFD61" w14:textId="77777777" w:rsidR="00A374EA" w:rsidRPr="00F15619" w:rsidRDefault="00A374EA">
      <w:pPr>
        <w:spacing w:line="360" w:lineRule="auto"/>
        <w:ind w:right="-28"/>
        <w:jc w:val="both"/>
        <w:rPr>
          <w:rFonts w:ascii="Palatino Linotype" w:eastAsia="Palatino Linotype" w:hAnsi="Palatino Linotype" w:cs="Palatino Linotype"/>
          <w:sz w:val="22"/>
          <w:szCs w:val="22"/>
        </w:rPr>
      </w:pPr>
    </w:p>
    <w:p w14:paraId="4DE850B9" w14:textId="77777777" w:rsidR="00A374EA" w:rsidRPr="00F15619" w:rsidRDefault="0030574D">
      <w:pPr>
        <w:ind w:left="567" w:right="567"/>
        <w:jc w:val="both"/>
        <w:rPr>
          <w:rFonts w:ascii="Palatino Linotype" w:eastAsia="Palatino Linotype" w:hAnsi="Palatino Linotype" w:cs="Palatino Linotype"/>
          <w:b/>
          <w:i/>
          <w:sz w:val="22"/>
          <w:szCs w:val="22"/>
        </w:rPr>
      </w:pPr>
      <w:r w:rsidRPr="00F15619">
        <w:rPr>
          <w:rFonts w:ascii="Palatino Linotype" w:eastAsia="Palatino Linotype" w:hAnsi="Palatino Linotype" w:cs="Palatino Linotype"/>
          <w:b/>
          <w:i/>
          <w:sz w:val="22"/>
          <w:szCs w:val="22"/>
        </w:rPr>
        <w:t>“ARTÍCULO 98.</w:t>
      </w:r>
      <w:r w:rsidRPr="00F15619">
        <w:rPr>
          <w:rFonts w:ascii="Palatino Linotype" w:eastAsia="Palatino Linotype" w:hAnsi="Palatino Linotype" w:cs="Palatino Linotype"/>
          <w:i/>
          <w:sz w:val="22"/>
          <w:szCs w:val="22"/>
        </w:rPr>
        <w:t xml:space="preserve"> </w:t>
      </w:r>
      <w:r w:rsidRPr="00F15619">
        <w:rPr>
          <w:rFonts w:ascii="Palatino Linotype" w:eastAsia="Palatino Linotype" w:hAnsi="Palatino Linotype" w:cs="Palatino Linotype"/>
          <w:b/>
          <w:i/>
          <w:sz w:val="22"/>
          <w:szCs w:val="22"/>
        </w:rPr>
        <w:t>Son obligaciones de las instituciones públicas:</w:t>
      </w:r>
    </w:p>
    <w:p w14:paraId="646DA4EB" w14:textId="77777777" w:rsidR="00A374EA" w:rsidRPr="00F15619" w:rsidRDefault="0030574D">
      <w:pPr>
        <w:ind w:left="567" w:right="567"/>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i/>
          <w:sz w:val="22"/>
          <w:szCs w:val="22"/>
        </w:rPr>
        <w:t>…</w:t>
      </w:r>
    </w:p>
    <w:p w14:paraId="5D5CB1CC" w14:textId="77777777" w:rsidR="00A374EA" w:rsidRPr="00F15619" w:rsidRDefault="0030574D">
      <w:pPr>
        <w:ind w:left="567" w:right="567"/>
        <w:jc w:val="both"/>
        <w:rPr>
          <w:rFonts w:ascii="Palatino Linotype" w:eastAsia="Palatino Linotype" w:hAnsi="Palatino Linotype" w:cs="Palatino Linotype"/>
          <w:i/>
          <w:sz w:val="22"/>
          <w:szCs w:val="22"/>
        </w:rPr>
      </w:pPr>
      <w:r w:rsidRPr="00F15619">
        <w:rPr>
          <w:rFonts w:ascii="Palatino Linotype" w:eastAsia="Palatino Linotype" w:hAnsi="Palatino Linotype" w:cs="Palatino Linotype"/>
          <w:i/>
          <w:sz w:val="22"/>
          <w:szCs w:val="22"/>
        </w:rPr>
        <w:t>XVII. Integrar los expedientes de los servidores públicos y proporcionar las constancias que éstos soliciten para el trámite de los asuntos de su interés en los términos que señalen los ordenamientos respectivos…”</w:t>
      </w:r>
    </w:p>
    <w:p w14:paraId="481DC490" w14:textId="77777777" w:rsidR="00A374EA" w:rsidRPr="00F15619" w:rsidRDefault="00A374EA">
      <w:pPr>
        <w:spacing w:line="360" w:lineRule="auto"/>
        <w:ind w:right="-28"/>
        <w:jc w:val="both"/>
        <w:rPr>
          <w:rFonts w:ascii="Palatino Linotype" w:eastAsia="Palatino Linotype" w:hAnsi="Palatino Linotype" w:cs="Palatino Linotype"/>
          <w:sz w:val="22"/>
          <w:szCs w:val="22"/>
        </w:rPr>
      </w:pPr>
    </w:p>
    <w:p w14:paraId="390A9FE8" w14:textId="77777777" w:rsidR="00A374EA" w:rsidRPr="00F15619" w:rsidRDefault="0030574D">
      <w:pPr>
        <w:spacing w:line="360" w:lineRule="auto"/>
        <w:ind w:right="-28"/>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 xml:space="preserve">Ahora bien, una vez establecido lo anterior, cabe hacer mención que el particular se adolece de la entrega de información incompleta, para lo cual, </w:t>
      </w:r>
      <w:r w:rsidRPr="00F15619">
        <w:rPr>
          <w:rFonts w:ascii="Palatino Linotype" w:eastAsia="Palatino Linotype" w:hAnsi="Palatino Linotype" w:cs="Palatino Linotype"/>
          <w:b/>
          <w:sz w:val="22"/>
          <w:szCs w:val="22"/>
        </w:rPr>
        <w:t>es de recordar que el Sujeto Obligado</w:t>
      </w:r>
      <w:r w:rsidRPr="00F15619">
        <w:rPr>
          <w:rFonts w:ascii="Palatino Linotype" w:eastAsia="Palatino Linotype" w:hAnsi="Palatino Linotype" w:cs="Palatino Linotype"/>
          <w:sz w:val="22"/>
          <w:szCs w:val="22"/>
        </w:rPr>
        <w:t xml:space="preserve"> a través de la respuesta primigenia por conducto de la Subdirección de Recursos Humanos remitió los nombramientos otorgados a diversos servidores públicos adscritos a las distintas unidades administrativas (Departamento, Unidad, Subdirección, Dirección, </w:t>
      </w:r>
      <w:proofErr w:type="spellStart"/>
      <w:r w:rsidRPr="00F15619">
        <w:rPr>
          <w:rFonts w:ascii="Palatino Linotype" w:eastAsia="Palatino Linotype" w:hAnsi="Palatino Linotype" w:cs="Palatino Linotype"/>
          <w:sz w:val="22"/>
          <w:szCs w:val="22"/>
        </w:rPr>
        <w:t>etc</w:t>
      </w:r>
      <w:proofErr w:type="spellEnd"/>
      <w:r w:rsidRPr="00F15619">
        <w:rPr>
          <w:rFonts w:ascii="Palatino Linotype" w:eastAsia="Palatino Linotype" w:hAnsi="Palatino Linotype" w:cs="Palatino Linotype"/>
          <w:sz w:val="22"/>
          <w:szCs w:val="22"/>
        </w:rPr>
        <w:t>), así como del organismo público municipal autónomo, en diversas fechas del ejercicio 2025.</w:t>
      </w:r>
    </w:p>
    <w:p w14:paraId="67A547B8" w14:textId="77777777" w:rsidR="00A374EA" w:rsidRPr="00F15619" w:rsidRDefault="00A374EA">
      <w:pPr>
        <w:spacing w:line="360" w:lineRule="auto"/>
        <w:ind w:right="-28"/>
        <w:jc w:val="both"/>
        <w:rPr>
          <w:rFonts w:ascii="Palatino Linotype" w:eastAsia="Palatino Linotype" w:hAnsi="Palatino Linotype" w:cs="Palatino Linotype"/>
          <w:sz w:val="22"/>
          <w:szCs w:val="22"/>
        </w:rPr>
      </w:pPr>
    </w:p>
    <w:p w14:paraId="4ABD3FC6" w14:textId="77777777" w:rsidR="00A374EA" w:rsidRPr="00F15619" w:rsidRDefault="0030574D">
      <w:pPr>
        <w:spacing w:line="360" w:lineRule="auto"/>
        <w:ind w:right="-28"/>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Además, atendiendo los motivos de inconformidad hechos valer por el particular, se advierte que vía informe justificado la Dirección de Administración precisó que, no se negó el acceso a la información solicitada, pues se remitieron los nombramientos con los que se contaba en sus archivos a la fecha de la solicitud.</w:t>
      </w:r>
    </w:p>
    <w:p w14:paraId="59447847" w14:textId="77777777" w:rsidR="00A374EA" w:rsidRPr="00F15619" w:rsidRDefault="00A374EA">
      <w:pPr>
        <w:spacing w:line="360" w:lineRule="auto"/>
        <w:ind w:right="-28"/>
        <w:jc w:val="both"/>
        <w:rPr>
          <w:rFonts w:ascii="Palatino Linotype" w:eastAsia="Palatino Linotype" w:hAnsi="Palatino Linotype" w:cs="Palatino Linotype"/>
          <w:sz w:val="22"/>
          <w:szCs w:val="22"/>
        </w:rPr>
      </w:pPr>
    </w:p>
    <w:p w14:paraId="32C72478" w14:textId="77777777" w:rsidR="00A374EA" w:rsidRPr="00F15619" w:rsidRDefault="0030574D">
      <w:pPr>
        <w:spacing w:line="360" w:lineRule="auto"/>
        <w:ind w:right="-28"/>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 xml:space="preserve">Atento a lo anterior, se estima que, </w:t>
      </w:r>
      <w:r w:rsidRPr="00F15619">
        <w:rPr>
          <w:rFonts w:ascii="Palatino Linotype" w:eastAsia="Palatino Linotype" w:hAnsi="Palatino Linotype" w:cs="Palatino Linotype"/>
          <w:b/>
          <w:sz w:val="22"/>
          <w:szCs w:val="22"/>
        </w:rPr>
        <w:t>el Sujeto Obligado</w:t>
      </w:r>
      <w:r w:rsidRPr="00F15619">
        <w:rPr>
          <w:rFonts w:ascii="Palatino Linotype" w:eastAsia="Palatino Linotype" w:hAnsi="Palatino Linotype" w:cs="Palatino Linotype"/>
          <w:sz w:val="22"/>
          <w:szCs w:val="22"/>
        </w:rPr>
        <w:t xml:space="preserve"> a través del Titular de la Unidad de Transparencia turnó la solicitud de información conforme a lo establecido en el numeral 162 de la Ley de Transparencia Local, es decir cumplió con el procedimiento para realizar la búsqueda exhaustiva y razonable de la información solicitada; en atención al turno remitido, el servidor público habilitado de la Subdirección de Recursos Humanos se pronunció al respecto y entregó la información con la que cuenta al momento en que fue formulada la fecha de la solicitud de información. </w:t>
      </w:r>
    </w:p>
    <w:p w14:paraId="1CCEDFEB" w14:textId="77777777" w:rsidR="00A374EA" w:rsidRPr="00F15619" w:rsidRDefault="00A374EA">
      <w:pPr>
        <w:spacing w:line="360" w:lineRule="auto"/>
        <w:ind w:right="-28"/>
        <w:jc w:val="both"/>
        <w:rPr>
          <w:rFonts w:ascii="Palatino Linotype" w:eastAsia="Palatino Linotype" w:hAnsi="Palatino Linotype" w:cs="Palatino Linotype"/>
          <w:sz w:val="22"/>
          <w:szCs w:val="22"/>
        </w:rPr>
      </w:pPr>
    </w:p>
    <w:p w14:paraId="4771096C" w14:textId="77777777" w:rsidR="00A374EA" w:rsidRPr="00F15619" w:rsidRDefault="0030574D">
      <w:pPr>
        <w:spacing w:line="360" w:lineRule="auto"/>
        <w:ind w:right="-28"/>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lastRenderedPageBreak/>
        <w:t xml:space="preserve">En ese sentido, se considera que la autoridad satisfizo en su totalidad el derecho de acceso a la información de </w:t>
      </w:r>
      <w:r w:rsidRPr="00F15619">
        <w:rPr>
          <w:rFonts w:ascii="Palatino Linotype" w:eastAsia="Palatino Linotype" w:hAnsi="Palatino Linotype" w:cs="Palatino Linotype"/>
          <w:b/>
          <w:sz w:val="22"/>
          <w:szCs w:val="22"/>
        </w:rPr>
        <w:t xml:space="preserve">la parte Recurrente, </w:t>
      </w:r>
      <w:r w:rsidRPr="00F15619">
        <w:rPr>
          <w:rFonts w:ascii="Palatino Linotype" w:eastAsia="Palatino Linotype" w:hAnsi="Palatino Linotype" w:cs="Palatino Linotype"/>
          <w:sz w:val="22"/>
          <w:szCs w:val="22"/>
        </w:rPr>
        <w:t>a través de la entrega de información remitida en la respuesta primigenia.</w:t>
      </w:r>
    </w:p>
    <w:p w14:paraId="56833FE9" w14:textId="77777777" w:rsidR="00A374EA" w:rsidRPr="00F15619" w:rsidRDefault="00A374EA">
      <w:pPr>
        <w:spacing w:line="360" w:lineRule="auto"/>
        <w:ind w:right="-28"/>
        <w:jc w:val="both"/>
        <w:rPr>
          <w:rFonts w:ascii="Palatino Linotype" w:eastAsia="Palatino Linotype" w:hAnsi="Palatino Linotype" w:cs="Palatino Linotype"/>
          <w:sz w:val="22"/>
          <w:szCs w:val="22"/>
        </w:rPr>
      </w:pPr>
    </w:p>
    <w:p w14:paraId="0437B905" w14:textId="77777777" w:rsidR="00A374EA" w:rsidRPr="00F15619" w:rsidRDefault="0030574D">
      <w:pPr>
        <w:spacing w:line="360" w:lineRule="auto"/>
        <w:ind w:right="-28"/>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 xml:space="preserve">Ahora bien, es importante precisar que respecto a las documentales remitidas por </w:t>
      </w:r>
      <w:r w:rsidRPr="00F15619">
        <w:rPr>
          <w:rFonts w:ascii="Palatino Linotype" w:eastAsia="Palatino Linotype" w:hAnsi="Palatino Linotype" w:cs="Palatino Linotype"/>
          <w:b/>
          <w:sz w:val="22"/>
          <w:szCs w:val="22"/>
        </w:rPr>
        <w:t xml:space="preserve">el Sujeto Obligado </w:t>
      </w:r>
      <w:r w:rsidRPr="00F15619">
        <w:rPr>
          <w:rFonts w:ascii="Palatino Linotype" w:eastAsia="Palatino Linotype" w:hAnsi="Palatino Linotype" w:cs="Palatino Linotype"/>
          <w:sz w:val="22"/>
          <w:szCs w:val="22"/>
        </w:rPr>
        <w:t xml:space="preserve">a fin de dar respuesta a la solicitud planteada, este Órgano Garante no está facultado para manifestarse sobre la veracidad de la información proporcionada. </w:t>
      </w:r>
    </w:p>
    <w:p w14:paraId="68C1B374" w14:textId="77777777" w:rsidR="00A374EA" w:rsidRPr="00F15619" w:rsidRDefault="00A374EA">
      <w:pPr>
        <w:spacing w:line="360" w:lineRule="auto"/>
        <w:jc w:val="both"/>
        <w:rPr>
          <w:rFonts w:ascii="Palatino Linotype" w:eastAsia="Palatino Linotype" w:hAnsi="Palatino Linotype" w:cs="Palatino Linotype"/>
          <w:sz w:val="22"/>
          <w:szCs w:val="22"/>
        </w:rPr>
      </w:pPr>
    </w:p>
    <w:p w14:paraId="6A0E63A5" w14:textId="77777777" w:rsidR="00A374EA" w:rsidRPr="00F15619" w:rsidRDefault="0030574D">
      <w:pPr>
        <w:spacing w:line="360" w:lineRule="auto"/>
        <w:jc w:val="both"/>
        <w:rPr>
          <w:rFonts w:ascii="Palatino Linotype" w:eastAsia="Palatino Linotype" w:hAnsi="Palatino Linotype" w:cs="Palatino Linotype"/>
          <w:b/>
          <w:sz w:val="22"/>
          <w:szCs w:val="22"/>
        </w:rPr>
      </w:pPr>
      <w:r w:rsidRPr="00F15619">
        <w:rPr>
          <w:rFonts w:ascii="Palatino Linotype" w:eastAsia="Palatino Linotype" w:hAnsi="Palatino Linotype" w:cs="Palatino Linotype"/>
          <w:sz w:val="22"/>
          <w:szCs w:val="22"/>
        </w:rPr>
        <w:t xml:space="preserve">Bajo las consideraciones expuestas, se tiene que los motivos de inconformidad esgrimidos por la parte </w:t>
      </w:r>
      <w:r w:rsidRPr="00F15619">
        <w:rPr>
          <w:rFonts w:ascii="Palatino Linotype" w:eastAsia="Palatino Linotype" w:hAnsi="Palatino Linotype" w:cs="Palatino Linotype"/>
          <w:b/>
          <w:sz w:val="22"/>
          <w:szCs w:val="22"/>
        </w:rPr>
        <w:t xml:space="preserve">Recurrente </w:t>
      </w:r>
      <w:r w:rsidRPr="00F15619">
        <w:rPr>
          <w:rFonts w:ascii="Palatino Linotype" w:eastAsia="Palatino Linotype" w:hAnsi="Palatino Linotype" w:cs="Palatino Linotype"/>
          <w:sz w:val="22"/>
          <w:szCs w:val="22"/>
        </w:rPr>
        <w:t xml:space="preserve">devienen infundados; siendo procedente </w:t>
      </w:r>
      <w:r w:rsidRPr="00F15619">
        <w:rPr>
          <w:rFonts w:ascii="Palatino Linotype" w:eastAsia="Palatino Linotype" w:hAnsi="Palatino Linotype" w:cs="Palatino Linotype"/>
          <w:b/>
          <w:sz w:val="22"/>
          <w:szCs w:val="22"/>
        </w:rPr>
        <w:t xml:space="preserve">Confirmar </w:t>
      </w:r>
      <w:r w:rsidRPr="00F15619">
        <w:rPr>
          <w:rFonts w:ascii="Palatino Linotype" w:eastAsia="Palatino Linotype" w:hAnsi="Palatino Linotype" w:cs="Palatino Linotype"/>
          <w:sz w:val="22"/>
          <w:szCs w:val="22"/>
        </w:rPr>
        <w:t xml:space="preserve">la respuesta del </w:t>
      </w:r>
      <w:r w:rsidRPr="00F15619">
        <w:rPr>
          <w:rFonts w:ascii="Palatino Linotype" w:eastAsia="Palatino Linotype" w:hAnsi="Palatino Linotype" w:cs="Palatino Linotype"/>
          <w:b/>
          <w:sz w:val="22"/>
          <w:szCs w:val="22"/>
        </w:rPr>
        <w:t>Sujeto Obligado.</w:t>
      </w:r>
    </w:p>
    <w:p w14:paraId="4511B078" w14:textId="77777777" w:rsidR="00A374EA" w:rsidRPr="00F15619" w:rsidRDefault="00A374EA">
      <w:pPr>
        <w:spacing w:line="360" w:lineRule="auto"/>
        <w:jc w:val="both"/>
        <w:rPr>
          <w:rFonts w:ascii="Palatino Linotype" w:eastAsia="Palatino Linotype" w:hAnsi="Palatino Linotype" w:cs="Palatino Linotype"/>
          <w:sz w:val="22"/>
          <w:szCs w:val="22"/>
        </w:rPr>
      </w:pPr>
    </w:p>
    <w:p w14:paraId="52ABCB47" w14:textId="77777777" w:rsidR="00A374EA" w:rsidRPr="00F15619" w:rsidRDefault="0030574D">
      <w:pPr>
        <w:spacing w:line="360" w:lineRule="auto"/>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23A23AE9" w14:textId="77777777" w:rsidR="00A374EA" w:rsidRPr="00F15619" w:rsidRDefault="0030574D">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F15619">
        <w:rPr>
          <w:rFonts w:ascii="Palatino Linotype" w:eastAsia="Palatino Linotype" w:hAnsi="Palatino Linotype" w:cs="Palatino Linotype"/>
          <w:b/>
          <w:sz w:val="22"/>
          <w:szCs w:val="22"/>
        </w:rPr>
        <w:t>III. R E S U E L V E</w:t>
      </w:r>
    </w:p>
    <w:p w14:paraId="21BAC780" w14:textId="77777777" w:rsidR="00A374EA" w:rsidRPr="00F15619" w:rsidRDefault="0030574D">
      <w:pPr>
        <w:spacing w:before="240" w:after="240" w:line="360" w:lineRule="auto"/>
        <w:jc w:val="both"/>
        <w:rPr>
          <w:rFonts w:ascii="Palatino Linotype" w:eastAsia="Palatino Linotype" w:hAnsi="Palatino Linotype" w:cs="Palatino Linotype"/>
          <w:sz w:val="22"/>
          <w:szCs w:val="22"/>
        </w:rPr>
      </w:pPr>
      <w:bookmarkStart w:id="8" w:name="_heading=h.1t3h5sf" w:colFirst="0" w:colLast="0"/>
      <w:bookmarkEnd w:id="8"/>
      <w:r w:rsidRPr="00F15619">
        <w:rPr>
          <w:rFonts w:ascii="Palatino Linotype" w:eastAsia="Palatino Linotype" w:hAnsi="Palatino Linotype" w:cs="Palatino Linotype"/>
          <w:b/>
          <w:sz w:val="22"/>
          <w:szCs w:val="22"/>
        </w:rPr>
        <w:t xml:space="preserve">Primero. </w:t>
      </w:r>
      <w:r w:rsidRPr="00F15619">
        <w:rPr>
          <w:rFonts w:ascii="Palatino Linotype" w:eastAsia="Palatino Linotype" w:hAnsi="Palatino Linotype" w:cs="Palatino Linotype"/>
          <w:sz w:val="22"/>
          <w:szCs w:val="22"/>
        </w:rPr>
        <w:t xml:space="preserve">Son </w:t>
      </w:r>
      <w:r w:rsidRPr="00F15619">
        <w:rPr>
          <w:rFonts w:ascii="Palatino Linotype" w:eastAsia="Palatino Linotype" w:hAnsi="Palatino Linotype" w:cs="Palatino Linotype"/>
          <w:b/>
          <w:sz w:val="22"/>
          <w:szCs w:val="22"/>
        </w:rPr>
        <w:t>infundadas</w:t>
      </w:r>
      <w:r w:rsidRPr="00F15619">
        <w:rPr>
          <w:rFonts w:ascii="Palatino Linotype" w:eastAsia="Palatino Linotype" w:hAnsi="Palatino Linotype" w:cs="Palatino Linotype"/>
          <w:sz w:val="22"/>
          <w:szCs w:val="22"/>
        </w:rPr>
        <w:t xml:space="preserve"> las razones o motivos de inconformidad hechos valer por la parte </w:t>
      </w:r>
      <w:r w:rsidRPr="00F15619">
        <w:rPr>
          <w:rFonts w:ascii="Palatino Linotype" w:eastAsia="Palatino Linotype" w:hAnsi="Palatino Linotype" w:cs="Palatino Linotype"/>
          <w:b/>
          <w:sz w:val="22"/>
          <w:szCs w:val="22"/>
        </w:rPr>
        <w:t>Recurrente</w:t>
      </w:r>
      <w:r w:rsidRPr="00F15619">
        <w:rPr>
          <w:rFonts w:ascii="Palatino Linotype" w:eastAsia="Palatino Linotype" w:hAnsi="Palatino Linotype" w:cs="Palatino Linotype"/>
          <w:sz w:val="22"/>
          <w:szCs w:val="22"/>
        </w:rPr>
        <w:t xml:space="preserve"> en el recurso de revisión </w:t>
      </w:r>
      <w:r w:rsidRPr="00F15619">
        <w:rPr>
          <w:rFonts w:ascii="Palatino Linotype" w:eastAsia="Palatino Linotype" w:hAnsi="Palatino Linotype" w:cs="Palatino Linotype"/>
          <w:b/>
          <w:sz w:val="22"/>
          <w:szCs w:val="22"/>
        </w:rPr>
        <w:t>08259/INFOEM/IP/RR/2025</w:t>
      </w:r>
      <w:r w:rsidRPr="00F15619">
        <w:rPr>
          <w:rFonts w:ascii="Palatino Linotype" w:eastAsia="Palatino Linotype" w:hAnsi="Palatino Linotype" w:cs="Palatino Linotype"/>
          <w:sz w:val="22"/>
          <w:szCs w:val="22"/>
        </w:rPr>
        <w:t xml:space="preserve">, por lo que, en términos de los argumentos de derecho señalados en el considerando </w:t>
      </w:r>
      <w:r w:rsidRPr="00F15619">
        <w:rPr>
          <w:rFonts w:ascii="Palatino Linotype" w:eastAsia="Palatino Linotype" w:hAnsi="Palatino Linotype" w:cs="Palatino Linotype"/>
          <w:b/>
          <w:sz w:val="22"/>
          <w:szCs w:val="22"/>
        </w:rPr>
        <w:t>Cuarto</w:t>
      </w:r>
      <w:r w:rsidRPr="00F15619">
        <w:rPr>
          <w:rFonts w:ascii="Palatino Linotype" w:eastAsia="Palatino Linotype" w:hAnsi="Palatino Linotype" w:cs="Palatino Linotype"/>
          <w:sz w:val="22"/>
          <w:szCs w:val="22"/>
        </w:rPr>
        <w:t>, se</w:t>
      </w:r>
      <w:r w:rsidRPr="00F15619">
        <w:rPr>
          <w:rFonts w:ascii="Palatino Linotype" w:eastAsia="Palatino Linotype" w:hAnsi="Palatino Linotype" w:cs="Palatino Linotype"/>
          <w:b/>
          <w:sz w:val="22"/>
          <w:szCs w:val="22"/>
        </w:rPr>
        <w:t xml:space="preserve"> Confirma </w:t>
      </w:r>
      <w:r w:rsidRPr="00F15619">
        <w:rPr>
          <w:rFonts w:ascii="Palatino Linotype" w:eastAsia="Palatino Linotype" w:hAnsi="Palatino Linotype" w:cs="Palatino Linotype"/>
          <w:sz w:val="22"/>
          <w:szCs w:val="22"/>
        </w:rPr>
        <w:t xml:space="preserve">la respuesta del </w:t>
      </w:r>
      <w:r w:rsidRPr="00F15619">
        <w:rPr>
          <w:rFonts w:ascii="Palatino Linotype" w:eastAsia="Palatino Linotype" w:hAnsi="Palatino Linotype" w:cs="Palatino Linotype"/>
          <w:b/>
          <w:sz w:val="22"/>
          <w:szCs w:val="22"/>
        </w:rPr>
        <w:t>Sujeto Obligado</w:t>
      </w:r>
      <w:r w:rsidRPr="00F15619">
        <w:rPr>
          <w:rFonts w:ascii="Palatino Linotype" w:eastAsia="Palatino Linotype" w:hAnsi="Palatino Linotype" w:cs="Palatino Linotype"/>
          <w:sz w:val="22"/>
          <w:szCs w:val="22"/>
        </w:rPr>
        <w:t>.</w:t>
      </w:r>
    </w:p>
    <w:p w14:paraId="15843E96" w14:textId="77777777" w:rsidR="00A374EA" w:rsidRPr="00F15619" w:rsidRDefault="0030574D">
      <w:pPr>
        <w:spacing w:before="240" w:after="240" w:line="360" w:lineRule="auto"/>
        <w:jc w:val="both"/>
        <w:rPr>
          <w:rFonts w:ascii="Palatino Linotype" w:eastAsia="Palatino Linotype" w:hAnsi="Palatino Linotype" w:cs="Palatino Linotype"/>
          <w:sz w:val="22"/>
          <w:szCs w:val="22"/>
        </w:rPr>
      </w:pPr>
      <w:bookmarkStart w:id="9" w:name="_heading=h.lnxbz9" w:colFirst="0" w:colLast="0"/>
      <w:bookmarkEnd w:id="9"/>
      <w:r w:rsidRPr="00F15619">
        <w:rPr>
          <w:rFonts w:ascii="Palatino Linotype" w:eastAsia="Palatino Linotype" w:hAnsi="Palatino Linotype" w:cs="Palatino Linotype"/>
          <w:b/>
          <w:sz w:val="22"/>
          <w:szCs w:val="22"/>
        </w:rPr>
        <w:t xml:space="preserve">Segundo. Notifíquese, </w:t>
      </w:r>
      <w:r w:rsidRPr="00F15619">
        <w:rPr>
          <w:rFonts w:ascii="Palatino Linotype" w:eastAsia="Palatino Linotype" w:hAnsi="Palatino Linotype" w:cs="Palatino Linotype"/>
          <w:sz w:val="22"/>
          <w:szCs w:val="22"/>
        </w:rPr>
        <w:t xml:space="preserve">vía </w:t>
      </w:r>
      <w:r w:rsidRPr="00F15619">
        <w:rPr>
          <w:rFonts w:ascii="Palatino Linotype" w:eastAsia="Palatino Linotype" w:hAnsi="Palatino Linotype" w:cs="Palatino Linotype"/>
          <w:b/>
          <w:sz w:val="22"/>
          <w:szCs w:val="22"/>
        </w:rPr>
        <w:t xml:space="preserve">SAIMEX, </w:t>
      </w:r>
      <w:r w:rsidRPr="00F15619">
        <w:rPr>
          <w:rFonts w:ascii="Palatino Linotype" w:eastAsia="Palatino Linotype" w:hAnsi="Palatino Linotype" w:cs="Palatino Linotype"/>
          <w:sz w:val="22"/>
          <w:szCs w:val="22"/>
        </w:rPr>
        <w:t xml:space="preserve">al Titular de la Unidad de Transparencia del </w:t>
      </w:r>
      <w:r w:rsidRPr="00F15619">
        <w:rPr>
          <w:rFonts w:ascii="Palatino Linotype" w:eastAsia="Palatino Linotype" w:hAnsi="Palatino Linotype" w:cs="Palatino Linotype"/>
          <w:b/>
          <w:sz w:val="22"/>
          <w:szCs w:val="22"/>
        </w:rPr>
        <w:t>Sujeto Obligado</w:t>
      </w:r>
      <w:r w:rsidRPr="00F15619">
        <w:rPr>
          <w:rFonts w:ascii="Palatino Linotype" w:eastAsia="Palatino Linotype" w:hAnsi="Palatino Linotype" w:cs="Palatino Linotype"/>
          <w:sz w:val="22"/>
          <w:szCs w:val="22"/>
        </w:rPr>
        <w:t xml:space="preserve"> para su conocimiento, la presente resolución.</w:t>
      </w:r>
    </w:p>
    <w:p w14:paraId="0D61C61B" w14:textId="77777777" w:rsidR="00A374EA" w:rsidRPr="00F15619" w:rsidRDefault="0030574D">
      <w:pPr>
        <w:spacing w:before="240" w:after="240" w:line="360" w:lineRule="auto"/>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b/>
          <w:sz w:val="22"/>
          <w:szCs w:val="22"/>
        </w:rPr>
        <w:lastRenderedPageBreak/>
        <w:t xml:space="preserve">Tercero.  Notifíquese, </w:t>
      </w:r>
      <w:r w:rsidRPr="00F15619">
        <w:rPr>
          <w:rFonts w:ascii="Palatino Linotype" w:eastAsia="Palatino Linotype" w:hAnsi="Palatino Linotype" w:cs="Palatino Linotype"/>
          <w:sz w:val="22"/>
          <w:szCs w:val="22"/>
        </w:rPr>
        <w:t xml:space="preserve">vía </w:t>
      </w:r>
      <w:r w:rsidRPr="00F15619">
        <w:rPr>
          <w:rFonts w:ascii="Palatino Linotype" w:eastAsia="Palatino Linotype" w:hAnsi="Palatino Linotype" w:cs="Palatino Linotype"/>
          <w:b/>
          <w:sz w:val="22"/>
          <w:szCs w:val="22"/>
        </w:rPr>
        <w:t xml:space="preserve">SAIMEX, </w:t>
      </w:r>
      <w:r w:rsidRPr="00F15619">
        <w:rPr>
          <w:rFonts w:ascii="Palatino Linotype" w:eastAsia="Palatino Linotype" w:hAnsi="Palatino Linotype" w:cs="Palatino Linotype"/>
          <w:sz w:val="22"/>
          <w:szCs w:val="22"/>
        </w:rPr>
        <w:t xml:space="preserve">a la parte </w:t>
      </w:r>
      <w:r w:rsidRPr="00F15619">
        <w:rPr>
          <w:rFonts w:ascii="Palatino Linotype" w:eastAsia="Palatino Linotype" w:hAnsi="Palatino Linotype" w:cs="Palatino Linotype"/>
          <w:b/>
          <w:sz w:val="22"/>
          <w:szCs w:val="22"/>
        </w:rPr>
        <w:t>Recurrente</w:t>
      </w:r>
      <w:r w:rsidRPr="00F15619">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AF9A377" w14:textId="77777777" w:rsidR="00A374EA" w:rsidRPr="0030574D" w:rsidRDefault="0030574D">
      <w:pPr>
        <w:tabs>
          <w:tab w:val="left" w:pos="8647"/>
        </w:tabs>
        <w:spacing w:before="240" w:after="240" w:line="360" w:lineRule="auto"/>
        <w:ind w:right="51"/>
        <w:jc w:val="both"/>
        <w:rPr>
          <w:rFonts w:ascii="Palatino Linotype" w:eastAsia="Palatino Linotype" w:hAnsi="Palatino Linotype" w:cs="Palatino Linotype"/>
          <w:sz w:val="22"/>
          <w:szCs w:val="22"/>
        </w:rPr>
      </w:pPr>
      <w:r w:rsidRPr="00F15619">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p>
    <w:p w14:paraId="56010C22" w14:textId="77777777" w:rsidR="00A374EA" w:rsidRPr="0030574D" w:rsidRDefault="00A374EA">
      <w:pPr>
        <w:spacing w:line="360" w:lineRule="auto"/>
        <w:jc w:val="both"/>
        <w:rPr>
          <w:rFonts w:ascii="Palatino Linotype" w:eastAsia="Palatino Linotype" w:hAnsi="Palatino Linotype" w:cs="Palatino Linotype"/>
          <w:sz w:val="22"/>
          <w:szCs w:val="22"/>
        </w:rPr>
      </w:pPr>
    </w:p>
    <w:p w14:paraId="013B5098" w14:textId="77777777" w:rsidR="00A374EA" w:rsidRPr="0030574D" w:rsidRDefault="00A374EA">
      <w:pPr>
        <w:spacing w:line="360" w:lineRule="auto"/>
        <w:jc w:val="center"/>
        <w:rPr>
          <w:rFonts w:ascii="Palatino Linotype" w:eastAsia="Palatino Linotype" w:hAnsi="Palatino Linotype" w:cs="Palatino Linotype"/>
          <w:sz w:val="22"/>
          <w:szCs w:val="22"/>
        </w:rPr>
      </w:pPr>
    </w:p>
    <w:p w14:paraId="5B8F7B55" w14:textId="77777777" w:rsidR="00A374EA" w:rsidRPr="0030574D" w:rsidRDefault="00A374EA">
      <w:pPr>
        <w:spacing w:line="360" w:lineRule="auto"/>
        <w:jc w:val="both"/>
        <w:rPr>
          <w:rFonts w:ascii="Palatino Linotype" w:eastAsia="Palatino Linotype" w:hAnsi="Palatino Linotype" w:cs="Palatino Linotype"/>
          <w:sz w:val="22"/>
          <w:szCs w:val="22"/>
        </w:rPr>
      </w:pPr>
    </w:p>
    <w:p w14:paraId="2A7B5ADA" w14:textId="77777777" w:rsidR="00A374EA" w:rsidRPr="0030574D" w:rsidRDefault="00A374EA">
      <w:pPr>
        <w:spacing w:line="360" w:lineRule="auto"/>
        <w:jc w:val="both"/>
        <w:rPr>
          <w:rFonts w:ascii="Palatino Linotype" w:eastAsia="Palatino Linotype" w:hAnsi="Palatino Linotype" w:cs="Palatino Linotype"/>
          <w:sz w:val="22"/>
          <w:szCs w:val="22"/>
        </w:rPr>
      </w:pPr>
    </w:p>
    <w:p w14:paraId="59591C82" w14:textId="77777777" w:rsidR="00A374EA" w:rsidRPr="0030574D" w:rsidRDefault="00A374EA">
      <w:pPr>
        <w:spacing w:line="360" w:lineRule="auto"/>
        <w:jc w:val="both"/>
        <w:rPr>
          <w:rFonts w:ascii="Palatino Linotype" w:eastAsia="Palatino Linotype" w:hAnsi="Palatino Linotype" w:cs="Palatino Linotype"/>
          <w:sz w:val="22"/>
          <w:szCs w:val="22"/>
        </w:rPr>
      </w:pPr>
    </w:p>
    <w:p w14:paraId="4AA793B9" w14:textId="77777777" w:rsidR="00A374EA" w:rsidRPr="0030574D" w:rsidRDefault="00A374EA">
      <w:pPr>
        <w:spacing w:line="360" w:lineRule="auto"/>
        <w:jc w:val="both"/>
        <w:rPr>
          <w:rFonts w:ascii="Palatino Linotype" w:eastAsia="Palatino Linotype" w:hAnsi="Palatino Linotype" w:cs="Palatino Linotype"/>
          <w:sz w:val="22"/>
          <w:szCs w:val="22"/>
        </w:rPr>
      </w:pPr>
    </w:p>
    <w:p w14:paraId="19DAFAA6" w14:textId="77777777" w:rsidR="00A374EA" w:rsidRPr="0030574D" w:rsidRDefault="00A374EA">
      <w:pPr>
        <w:spacing w:line="360" w:lineRule="auto"/>
        <w:jc w:val="both"/>
        <w:rPr>
          <w:rFonts w:ascii="Palatino Linotype" w:eastAsia="Palatino Linotype" w:hAnsi="Palatino Linotype" w:cs="Palatino Linotype"/>
          <w:sz w:val="22"/>
          <w:szCs w:val="22"/>
        </w:rPr>
      </w:pPr>
    </w:p>
    <w:p w14:paraId="00CE6F00" w14:textId="77777777" w:rsidR="00A374EA" w:rsidRPr="0030574D" w:rsidRDefault="00A374EA">
      <w:pPr>
        <w:spacing w:line="360" w:lineRule="auto"/>
        <w:jc w:val="both"/>
        <w:rPr>
          <w:rFonts w:ascii="Palatino Linotype" w:eastAsia="Palatino Linotype" w:hAnsi="Palatino Linotype" w:cs="Palatino Linotype"/>
          <w:sz w:val="22"/>
          <w:szCs w:val="22"/>
        </w:rPr>
      </w:pPr>
    </w:p>
    <w:p w14:paraId="0A850B6D" w14:textId="77777777" w:rsidR="00A374EA" w:rsidRPr="0030574D" w:rsidRDefault="00A374EA">
      <w:pPr>
        <w:spacing w:line="360" w:lineRule="auto"/>
        <w:jc w:val="both"/>
        <w:rPr>
          <w:rFonts w:ascii="Palatino Linotype" w:eastAsia="Palatino Linotype" w:hAnsi="Palatino Linotype" w:cs="Palatino Linotype"/>
          <w:sz w:val="22"/>
          <w:szCs w:val="22"/>
        </w:rPr>
      </w:pPr>
    </w:p>
    <w:p w14:paraId="2D13FF76" w14:textId="77777777" w:rsidR="00A374EA" w:rsidRPr="0030574D" w:rsidRDefault="00A374EA">
      <w:pPr>
        <w:spacing w:line="360" w:lineRule="auto"/>
        <w:jc w:val="both"/>
        <w:rPr>
          <w:rFonts w:ascii="Palatino Linotype" w:eastAsia="Palatino Linotype" w:hAnsi="Palatino Linotype" w:cs="Palatino Linotype"/>
          <w:sz w:val="22"/>
          <w:szCs w:val="22"/>
        </w:rPr>
      </w:pPr>
    </w:p>
    <w:p w14:paraId="733C0CF2" w14:textId="77777777" w:rsidR="00A374EA" w:rsidRPr="0030574D" w:rsidRDefault="00A374EA">
      <w:pPr>
        <w:spacing w:line="360" w:lineRule="auto"/>
        <w:jc w:val="both"/>
        <w:rPr>
          <w:rFonts w:ascii="Palatino Linotype" w:eastAsia="Palatino Linotype" w:hAnsi="Palatino Linotype" w:cs="Palatino Linotype"/>
          <w:sz w:val="22"/>
          <w:szCs w:val="22"/>
        </w:rPr>
      </w:pPr>
    </w:p>
    <w:p w14:paraId="61C99583" w14:textId="77777777" w:rsidR="00A374EA" w:rsidRPr="0030574D" w:rsidRDefault="00A374EA">
      <w:pPr>
        <w:spacing w:line="360" w:lineRule="auto"/>
        <w:jc w:val="both"/>
        <w:rPr>
          <w:rFonts w:ascii="Palatino Linotype" w:eastAsia="Palatino Linotype" w:hAnsi="Palatino Linotype" w:cs="Palatino Linotype"/>
          <w:sz w:val="22"/>
          <w:szCs w:val="22"/>
        </w:rPr>
      </w:pPr>
    </w:p>
    <w:p w14:paraId="0D79B2E9" w14:textId="77777777" w:rsidR="00A374EA" w:rsidRPr="0030574D" w:rsidRDefault="00A374EA">
      <w:pPr>
        <w:spacing w:line="360" w:lineRule="auto"/>
        <w:jc w:val="both"/>
        <w:rPr>
          <w:rFonts w:ascii="Palatino Linotype" w:eastAsia="Palatino Linotype" w:hAnsi="Palatino Linotype" w:cs="Palatino Linotype"/>
          <w:sz w:val="22"/>
          <w:szCs w:val="22"/>
        </w:rPr>
      </w:pPr>
    </w:p>
    <w:p w14:paraId="10D152D7" w14:textId="77777777" w:rsidR="00A374EA" w:rsidRPr="0030574D" w:rsidRDefault="00A374EA">
      <w:pPr>
        <w:spacing w:line="360" w:lineRule="auto"/>
        <w:jc w:val="both"/>
        <w:rPr>
          <w:rFonts w:ascii="Palatino Linotype" w:eastAsia="Palatino Linotype" w:hAnsi="Palatino Linotype" w:cs="Palatino Linotype"/>
          <w:sz w:val="22"/>
          <w:szCs w:val="22"/>
        </w:rPr>
      </w:pPr>
    </w:p>
    <w:p w14:paraId="4963AC71" w14:textId="77777777" w:rsidR="00A374EA" w:rsidRPr="0030574D" w:rsidRDefault="00A374EA">
      <w:pPr>
        <w:spacing w:line="360" w:lineRule="auto"/>
        <w:jc w:val="both"/>
        <w:rPr>
          <w:rFonts w:ascii="Palatino Linotype" w:eastAsia="Palatino Linotype" w:hAnsi="Palatino Linotype" w:cs="Palatino Linotype"/>
          <w:sz w:val="22"/>
          <w:szCs w:val="22"/>
        </w:rPr>
      </w:pPr>
    </w:p>
    <w:p w14:paraId="0FDB3695" w14:textId="77777777" w:rsidR="00A374EA" w:rsidRPr="0030574D" w:rsidRDefault="00A374EA">
      <w:pPr>
        <w:spacing w:line="360" w:lineRule="auto"/>
        <w:jc w:val="both"/>
        <w:rPr>
          <w:rFonts w:ascii="Palatino Linotype" w:eastAsia="Palatino Linotype" w:hAnsi="Palatino Linotype" w:cs="Palatino Linotype"/>
          <w:sz w:val="22"/>
          <w:szCs w:val="22"/>
        </w:rPr>
      </w:pPr>
    </w:p>
    <w:p w14:paraId="67C9A933" w14:textId="77777777" w:rsidR="00A374EA" w:rsidRPr="0030574D" w:rsidRDefault="00A374EA">
      <w:pPr>
        <w:spacing w:line="360" w:lineRule="auto"/>
        <w:jc w:val="both"/>
        <w:rPr>
          <w:rFonts w:ascii="Palatino Linotype" w:eastAsia="Palatino Linotype" w:hAnsi="Palatino Linotype" w:cs="Palatino Linotype"/>
          <w:sz w:val="22"/>
          <w:szCs w:val="22"/>
        </w:rPr>
      </w:pPr>
    </w:p>
    <w:p w14:paraId="3E6CF6C6" w14:textId="77777777" w:rsidR="00A374EA" w:rsidRPr="0030574D" w:rsidRDefault="00A374EA">
      <w:pPr>
        <w:spacing w:line="360" w:lineRule="auto"/>
        <w:jc w:val="both"/>
        <w:rPr>
          <w:rFonts w:ascii="Palatino Linotype" w:eastAsia="Palatino Linotype" w:hAnsi="Palatino Linotype" w:cs="Palatino Linotype"/>
          <w:sz w:val="22"/>
          <w:szCs w:val="22"/>
        </w:rPr>
      </w:pPr>
    </w:p>
    <w:p w14:paraId="7543DD52" w14:textId="77777777" w:rsidR="00A374EA" w:rsidRPr="0030574D" w:rsidRDefault="00A374EA">
      <w:pPr>
        <w:spacing w:line="360" w:lineRule="auto"/>
        <w:jc w:val="both"/>
        <w:rPr>
          <w:rFonts w:ascii="Palatino Linotype" w:eastAsia="Palatino Linotype" w:hAnsi="Palatino Linotype" w:cs="Palatino Linotype"/>
          <w:sz w:val="22"/>
          <w:szCs w:val="22"/>
        </w:rPr>
      </w:pPr>
    </w:p>
    <w:p w14:paraId="478E995C" w14:textId="77777777" w:rsidR="00A374EA" w:rsidRPr="0030574D" w:rsidRDefault="00A374EA">
      <w:pPr>
        <w:spacing w:line="360" w:lineRule="auto"/>
        <w:jc w:val="both"/>
        <w:rPr>
          <w:rFonts w:ascii="Palatino Linotype" w:eastAsia="Palatino Linotype" w:hAnsi="Palatino Linotype" w:cs="Palatino Linotype"/>
          <w:sz w:val="22"/>
          <w:szCs w:val="22"/>
        </w:rPr>
      </w:pPr>
    </w:p>
    <w:sectPr w:rsidR="00A374EA" w:rsidRPr="0030574D">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7902E" w14:textId="77777777" w:rsidR="002F630A" w:rsidRDefault="002F630A">
      <w:r>
        <w:separator/>
      </w:r>
    </w:p>
  </w:endnote>
  <w:endnote w:type="continuationSeparator" w:id="0">
    <w:p w14:paraId="2DE1D2FC" w14:textId="77777777" w:rsidR="002F630A" w:rsidRDefault="002F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6D37" w14:textId="77777777" w:rsidR="00A374EA" w:rsidRDefault="0030574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15619">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15619">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p>
  <w:p w14:paraId="10B68C42" w14:textId="77777777" w:rsidR="00A374EA" w:rsidRDefault="00A374E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1090" w14:textId="77777777" w:rsidR="00A374EA" w:rsidRDefault="0030574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1561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15619">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p>
  <w:p w14:paraId="6A082B7E" w14:textId="77777777" w:rsidR="00A374EA" w:rsidRDefault="00A374E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EA504" w14:textId="77777777" w:rsidR="002F630A" w:rsidRDefault="002F630A">
      <w:r>
        <w:separator/>
      </w:r>
    </w:p>
  </w:footnote>
  <w:footnote w:type="continuationSeparator" w:id="0">
    <w:p w14:paraId="4B06046E" w14:textId="77777777" w:rsidR="002F630A" w:rsidRDefault="002F6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13C89" w14:textId="77777777" w:rsidR="00A374EA" w:rsidRDefault="0030574D">
    <w:pPr>
      <w:rPr>
        <w:rFonts w:ascii="Cambria" w:eastAsia="Cambria" w:hAnsi="Cambria" w:cs="Cambria"/>
        <w:color w:val="000000"/>
      </w:rPr>
    </w:pPr>
    <w:r>
      <w:rPr>
        <w:noProof/>
      </w:rPr>
      <w:drawing>
        <wp:anchor distT="0" distB="0" distL="0" distR="0" simplePos="0" relativeHeight="251658240" behindDoc="1" locked="0" layoutInCell="1" hidden="0" allowOverlap="1" wp14:anchorId="31CFE7E0" wp14:editId="0FFF42A9">
          <wp:simplePos x="0" y="0"/>
          <wp:positionH relativeFrom="column">
            <wp:posOffset>-1080090</wp:posOffset>
          </wp:positionH>
          <wp:positionV relativeFrom="paragraph">
            <wp:posOffset>-488261</wp:posOffset>
          </wp:positionV>
          <wp:extent cx="7809865" cy="10165715"/>
          <wp:effectExtent l="0" t="0" r="0" b="0"/>
          <wp:wrapNone/>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c"/>
      <w:tblW w:w="5953" w:type="dxa"/>
      <w:tblInd w:w="3261" w:type="dxa"/>
      <w:tblLayout w:type="fixed"/>
      <w:tblLook w:val="0400" w:firstRow="0" w:lastRow="0" w:firstColumn="0" w:lastColumn="0" w:noHBand="0" w:noVBand="1"/>
    </w:tblPr>
    <w:tblGrid>
      <w:gridCol w:w="2489"/>
      <w:gridCol w:w="3464"/>
    </w:tblGrid>
    <w:tr w:rsidR="00A374EA" w14:paraId="009077F9" w14:textId="77777777">
      <w:tc>
        <w:tcPr>
          <w:tcW w:w="2489" w:type="dxa"/>
        </w:tcPr>
        <w:p w14:paraId="40FC4C08" w14:textId="77777777" w:rsidR="00A374EA" w:rsidRDefault="0030574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29FD96D7" w14:textId="77777777" w:rsidR="00A374EA" w:rsidRDefault="0030574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08259/INFOEM/IP/RR/2025</w:t>
          </w:r>
        </w:p>
      </w:tc>
    </w:tr>
    <w:tr w:rsidR="00A374EA" w14:paraId="2686E5E8" w14:textId="77777777">
      <w:trPr>
        <w:trHeight w:val="228"/>
      </w:trPr>
      <w:tc>
        <w:tcPr>
          <w:tcW w:w="2489" w:type="dxa"/>
          <w:vAlign w:val="center"/>
        </w:tcPr>
        <w:p w14:paraId="415731F8" w14:textId="77777777" w:rsidR="00A374EA" w:rsidRDefault="0030574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4924DEDF" w14:textId="77777777" w:rsidR="00A374EA" w:rsidRDefault="0030574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Atizapán de Zaragoza</w:t>
          </w:r>
        </w:p>
      </w:tc>
    </w:tr>
    <w:tr w:rsidR="00A374EA" w14:paraId="6E4B7479" w14:textId="77777777">
      <w:tc>
        <w:tcPr>
          <w:tcW w:w="2489" w:type="dxa"/>
          <w:vAlign w:val="center"/>
        </w:tcPr>
        <w:p w14:paraId="202EC768" w14:textId="77777777" w:rsidR="00A374EA" w:rsidRDefault="0030574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3DA49741" w14:textId="77777777" w:rsidR="00A374EA" w:rsidRDefault="0030574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FC03A52" w14:textId="77777777" w:rsidR="00A374EA" w:rsidRDefault="0030574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911D" w14:textId="77777777" w:rsidR="00A374EA" w:rsidRDefault="0030574D">
    <w:pPr>
      <w:widowControl w:val="0"/>
      <w:pBdr>
        <w:top w:val="nil"/>
        <w:left w:val="nil"/>
        <w:bottom w:val="nil"/>
        <w:right w:val="nil"/>
        <w:between w:val="nil"/>
      </w:pBdr>
      <w:spacing w:line="276" w:lineRule="auto"/>
      <w:rPr>
        <w:rFonts w:ascii="Palatino Linotype" w:eastAsia="Palatino Linotype" w:hAnsi="Palatino Linotype" w:cs="Palatino Linotype"/>
        <w:sz w:val="16"/>
        <w:szCs w:val="16"/>
      </w:rPr>
    </w:pPr>
    <w:r>
      <w:rPr>
        <w:noProof/>
      </w:rPr>
      <w:drawing>
        <wp:anchor distT="0" distB="0" distL="0" distR="0" simplePos="0" relativeHeight="251659264" behindDoc="1" locked="0" layoutInCell="1" hidden="0" allowOverlap="1" wp14:anchorId="4EAD0F68" wp14:editId="6034E398">
          <wp:simplePos x="0" y="0"/>
          <wp:positionH relativeFrom="column">
            <wp:posOffset>-1080132</wp:posOffset>
          </wp:positionH>
          <wp:positionV relativeFrom="paragraph">
            <wp:posOffset>-369891</wp:posOffset>
          </wp:positionV>
          <wp:extent cx="7809865" cy="10165715"/>
          <wp:effectExtent l="0" t="0" r="0" b="0"/>
          <wp:wrapNone/>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d"/>
      <w:tblW w:w="5953" w:type="dxa"/>
      <w:tblInd w:w="3261" w:type="dxa"/>
      <w:tblLayout w:type="fixed"/>
      <w:tblLook w:val="0400" w:firstRow="0" w:lastRow="0" w:firstColumn="0" w:lastColumn="0" w:noHBand="0" w:noVBand="1"/>
    </w:tblPr>
    <w:tblGrid>
      <w:gridCol w:w="2489"/>
      <w:gridCol w:w="3464"/>
    </w:tblGrid>
    <w:tr w:rsidR="00A374EA" w14:paraId="7E245512" w14:textId="77777777">
      <w:tc>
        <w:tcPr>
          <w:tcW w:w="2489" w:type="dxa"/>
        </w:tcPr>
        <w:p w14:paraId="2F7FDCC1" w14:textId="77777777" w:rsidR="00A374EA" w:rsidRDefault="0030574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57449C12" w14:textId="77777777" w:rsidR="00A374EA" w:rsidRDefault="0030574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08259/INFOEM/IP/RR/2025</w:t>
          </w:r>
        </w:p>
      </w:tc>
    </w:tr>
    <w:tr w:rsidR="00A374EA" w14:paraId="0C0FFB07" w14:textId="77777777">
      <w:tc>
        <w:tcPr>
          <w:tcW w:w="2489" w:type="dxa"/>
        </w:tcPr>
        <w:p w14:paraId="52E0A161" w14:textId="77777777" w:rsidR="00A374EA" w:rsidRDefault="0030574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0E9BDA3C" w14:textId="362D5608" w:rsidR="00A374EA" w:rsidRDefault="00DB063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XXXX XXXXXX </w:t>
          </w:r>
        </w:p>
      </w:tc>
    </w:tr>
    <w:tr w:rsidR="00A374EA" w14:paraId="2C3CAC3F" w14:textId="77777777">
      <w:trPr>
        <w:trHeight w:val="228"/>
      </w:trPr>
      <w:tc>
        <w:tcPr>
          <w:tcW w:w="2489" w:type="dxa"/>
          <w:vAlign w:val="center"/>
        </w:tcPr>
        <w:p w14:paraId="5C1DFD1B" w14:textId="77777777" w:rsidR="00A374EA" w:rsidRDefault="0030574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0583CC2E" w14:textId="77777777" w:rsidR="00A374EA" w:rsidRDefault="0030574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Atizapán de Zaragoza</w:t>
          </w:r>
        </w:p>
      </w:tc>
    </w:tr>
    <w:tr w:rsidR="00A374EA" w14:paraId="06190B0C" w14:textId="77777777">
      <w:tc>
        <w:tcPr>
          <w:tcW w:w="2489" w:type="dxa"/>
          <w:vAlign w:val="center"/>
        </w:tcPr>
        <w:p w14:paraId="2EA8B4D2" w14:textId="77777777" w:rsidR="00A374EA" w:rsidRDefault="0030574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92D9E27" w14:textId="77777777" w:rsidR="00A374EA" w:rsidRDefault="0030574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9C98CC7" w14:textId="77777777" w:rsidR="00A374EA" w:rsidRDefault="00A374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702EB"/>
    <w:multiLevelType w:val="multilevel"/>
    <w:tmpl w:val="3D80CA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C322536"/>
    <w:multiLevelType w:val="multilevel"/>
    <w:tmpl w:val="A5288978"/>
    <w:lvl w:ilvl="0">
      <w:start w:val="1"/>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934436454">
    <w:abstractNumId w:val="1"/>
  </w:num>
  <w:num w:numId="2" w16cid:durableId="1572227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4EA"/>
    <w:rsid w:val="002D431D"/>
    <w:rsid w:val="002F630A"/>
    <w:rsid w:val="0030574D"/>
    <w:rsid w:val="00617FD2"/>
    <w:rsid w:val="00A374EA"/>
    <w:rsid w:val="00DB0637"/>
    <w:rsid w:val="00F156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E3F4B"/>
  <w15:docId w15:val="{178AA56A-502C-4663-B1E5-35FBA073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a">
    <w:basedOn w:val="TableNormalf2"/>
    <w:tblPr>
      <w:tblStyleRowBandSize w:val="1"/>
      <w:tblStyleColBandSize w:val="1"/>
      <w:tblCellMar>
        <w:left w:w="115" w:type="dxa"/>
        <w:right w:w="115" w:type="dxa"/>
      </w:tblCellMar>
    </w:tblPr>
  </w:style>
  <w:style w:type="table" w:customStyle="1" w:styleId="a0">
    <w:basedOn w:val="TableNormalf2"/>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2"/>
    <w:tblPr>
      <w:tblStyleRowBandSize w:val="1"/>
      <w:tblStyleColBandSize w:val="1"/>
      <w:tblCellMar>
        <w:left w:w="115" w:type="dxa"/>
        <w:right w:w="115" w:type="dxa"/>
      </w:tblCellMar>
    </w:tblPr>
  </w:style>
  <w:style w:type="table" w:customStyle="1" w:styleId="a2">
    <w:basedOn w:val="TableNormalf2"/>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1"/>
    <w:tblPr>
      <w:tblStyleRowBandSize w:val="1"/>
      <w:tblStyleColBandSize w:val="1"/>
      <w:tblCellMar>
        <w:left w:w="115" w:type="dxa"/>
        <w:right w:w="115" w:type="dxa"/>
      </w:tblCellMar>
    </w:tblPr>
  </w:style>
  <w:style w:type="table" w:customStyle="1" w:styleId="a4">
    <w:basedOn w:val="TableNormalf1"/>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0"/>
    <w:tblPr>
      <w:tblStyleRowBandSize w:val="1"/>
      <w:tblStyleColBandSize w:val="1"/>
      <w:tblCellMar>
        <w:left w:w="108" w:type="dxa"/>
        <w:right w:w="108" w:type="dxa"/>
      </w:tblCellMar>
    </w:tblPr>
  </w:style>
  <w:style w:type="table" w:customStyle="1" w:styleId="a6">
    <w:basedOn w:val="TableNormalf0"/>
    <w:tblPr>
      <w:tblStyleRowBandSize w:val="1"/>
      <w:tblStyleColBandSize w:val="1"/>
      <w:tblCellMar>
        <w:left w:w="108" w:type="dxa"/>
        <w:right w:w="108" w:type="dxa"/>
      </w:tblCellMar>
    </w:tblPr>
  </w:style>
  <w:style w:type="table" w:customStyle="1" w:styleId="a7">
    <w:basedOn w:val="TableNormalf0"/>
    <w:tblPr>
      <w:tblStyleRowBandSize w:val="1"/>
      <w:tblStyleColBandSize w:val="1"/>
      <w:tblCellMar>
        <w:left w:w="108" w:type="dxa"/>
        <w:right w:w="108" w:type="dxa"/>
      </w:tblCellMar>
    </w:tblPr>
  </w:style>
  <w:style w:type="table" w:customStyle="1" w:styleId="a8">
    <w:basedOn w:val="TableNormalf0"/>
    <w:tblPr>
      <w:tblStyleRowBandSize w:val="1"/>
      <w:tblStyleColBandSize w:val="1"/>
      <w:tblCellMar>
        <w:left w:w="108" w:type="dxa"/>
        <w:right w:w="108" w:type="dxa"/>
      </w:tblCellMar>
    </w:tblPr>
  </w:style>
  <w:style w:type="table" w:customStyle="1" w:styleId="a9">
    <w:basedOn w:val="TableNormalf0"/>
    <w:tblPr>
      <w:tblStyleRowBandSize w:val="1"/>
      <w:tblStyleColBandSize w:val="1"/>
      <w:tblCellMar>
        <w:left w:w="108" w:type="dxa"/>
        <w:right w:w="108" w:type="dxa"/>
      </w:tblCellMar>
    </w:tblPr>
  </w:style>
  <w:style w:type="table" w:customStyle="1" w:styleId="aa">
    <w:basedOn w:val="TableNormalf0"/>
    <w:tblPr>
      <w:tblStyleRowBandSize w:val="1"/>
      <w:tblStyleColBandSize w:val="1"/>
      <w:tblCellMar>
        <w:left w:w="115" w:type="dxa"/>
        <w:right w:w="115" w:type="dxa"/>
      </w:tblCellMar>
    </w:tblPr>
  </w:style>
  <w:style w:type="table" w:customStyle="1" w:styleId="ab">
    <w:basedOn w:val="TableNormalf0"/>
    <w:tblPr>
      <w:tblStyleRowBandSize w:val="1"/>
      <w:tblStyleColBandSize w:val="1"/>
      <w:tblCellMar>
        <w:left w:w="115" w:type="dxa"/>
        <w:right w:w="115" w:type="dxa"/>
      </w:tblCellMar>
    </w:tblPr>
  </w:style>
  <w:style w:type="table" w:customStyle="1" w:styleId="ac">
    <w:basedOn w:val="TableNormalf"/>
    <w:tblPr>
      <w:tblStyleRowBandSize w:val="1"/>
      <w:tblStyleColBandSize w:val="1"/>
      <w:tblCellMar>
        <w:left w:w="108" w:type="dxa"/>
        <w:right w:w="108" w:type="dxa"/>
      </w:tblCellMar>
    </w:tblPr>
  </w:style>
  <w:style w:type="table" w:customStyle="1" w:styleId="ad">
    <w:basedOn w:val="TableNormalf"/>
    <w:tblPr>
      <w:tblStyleRowBandSize w:val="1"/>
      <w:tblStyleColBandSize w:val="1"/>
      <w:tblCellMar>
        <w:left w:w="115" w:type="dxa"/>
        <w:right w:w="115" w:type="dxa"/>
      </w:tblCellMar>
    </w:tblPr>
  </w:style>
  <w:style w:type="table" w:customStyle="1" w:styleId="ae">
    <w:basedOn w:val="TableNormalf"/>
    <w:tblPr>
      <w:tblStyleRowBandSize w:val="1"/>
      <w:tblStyleColBandSize w:val="1"/>
      <w:tblCellMar>
        <w:left w:w="115" w:type="dxa"/>
        <w:right w:w="115" w:type="dxa"/>
      </w:tblCellMar>
    </w:tblPr>
  </w:style>
  <w:style w:type="table" w:customStyle="1" w:styleId="af">
    <w:basedOn w:val="TableNormale"/>
    <w:tblPr>
      <w:tblStyleRowBandSize w:val="1"/>
      <w:tblStyleColBandSize w:val="1"/>
      <w:tblCellMar>
        <w:left w:w="115" w:type="dxa"/>
        <w:right w:w="115" w:type="dxa"/>
      </w:tblCellMar>
    </w:tblPr>
  </w:style>
  <w:style w:type="table" w:customStyle="1" w:styleId="af0">
    <w:basedOn w:val="TableNormale"/>
    <w:tblPr>
      <w:tblStyleRowBandSize w:val="1"/>
      <w:tblStyleColBandSize w:val="1"/>
      <w:tblCellMar>
        <w:left w:w="115" w:type="dxa"/>
        <w:right w:w="115" w:type="dxa"/>
      </w:tblCellMar>
    </w:tblPr>
  </w:style>
  <w:style w:type="table" w:customStyle="1" w:styleId="af1">
    <w:basedOn w:val="TableNormale"/>
    <w:tblPr>
      <w:tblStyleRowBandSize w:val="1"/>
      <w:tblStyleColBandSize w:val="1"/>
      <w:tblCellMar>
        <w:left w:w="115" w:type="dxa"/>
        <w:right w:w="115" w:type="dxa"/>
      </w:tblCellMar>
    </w:tblPr>
  </w:style>
  <w:style w:type="table" w:customStyle="1" w:styleId="af2">
    <w:basedOn w:val="TableNormald"/>
    <w:tblPr>
      <w:tblStyleRowBandSize w:val="1"/>
      <w:tblStyleColBandSize w:val="1"/>
      <w:tblCellMar>
        <w:left w:w="115" w:type="dxa"/>
        <w:right w:w="115" w:type="dxa"/>
      </w:tblCellMar>
    </w:tblPr>
  </w:style>
  <w:style w:type="table" w:customStyle="1" w:styleId="af3">
    <w:basedOn w:val="TableNormald"/>
    <w:tblPr>
      <w:tblStyleRowBandSize w:val="1"/>
      <w:tblStyleColBandSize w:val="1"/>
      <w:tblCellMar>
        <w:left w:w="115" w:type="dxa"/>
        <w:right w:w="115" w:type="dxa"/>
      </w:tblCellMar>
    </w:tblPr>
  </w:style>
  <w:style w:type="table" w:customStyle="1" w:styleId="af4">
    <w:basedOn w:val="TableNormalc"/>
    <w:tblPr>
      <w:tblStyleRowBandSize w:val="1"/>
      <w:tblStyleColBandSize w:val="1"/>
      <w:tblCellMar>
        <w:left w:w="115" w:type="dxa"/>
        <w:right w:w="115" w:type="dxa"/>
      </w:tblCellMar>
    </w:tblPr>
  </w:style>
  <w:style w:type="table" w:customStyle="1" w:styleId="af5">
    <w:basedOn w:val="TableNormalc"/>
    <w:tblPr>
      <w:tblStyleRowBandSize w:val="1"/>
      <w:tblStyleColBandSize w:val="1"/>
      <w:tblCellMar>
        <w:left w:w="115" w:type="dxa"/>
        <w:right w:w="115" w:type="dxa"/>
      </w:tblCellMar>
    </w:tblPr>
  </w:style>
  <w:style w:type="table" w:customStyle="1" w:styleId="af6">
    <w:basedOn w:val="TableNormalb"/>
    <w:tblPr>
      <w:tblStyleRowBandSize w:val="1"/>
      <w:tblStyleColBandSize w:val="1"/>
      <w:tblCellMar>
        <w:left w:w="115" w:type="dxa"/>
        <w:right w:w="115" w:type="dxa"/>
      </w:tblCellMar>
    </w:tblPr>
  </w:style>
  <w:style w:type="table" w:customStyle="1" w:styleId="af7">
    <w:basedOn w:val="TableNormalb"/>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a"/>
    <w:tblPr>
      <w:tblStyleRowBandSize w:val="1"/>
      <w:tblStyleColBandSize w:val="1"/>
      <w:tblCellMar>
        <w:left w:w="115" w:type="dxa"/>
        <w:right w:w="115" w:type="dxa"/>
      </w:tblCellMar>
    </w:tblPr>
  </w:style>
  <w:style w:type="table" w:customStyle="1" w:styleId="af9">
    <w:basedOn w:val="TableNormala"/>
    <w:tblPr>
      <w:tblStyleRowBandSize w:val="1"/>
      <w:tblStyleColBandSize w:val="1"/>
      <w:tblCellMar>
        <w:left w:w="115" w:type="dxa"/>
        <w:right w:w="115" w:type="dxa"/>
      </w:tblCellMar>
    </w:tblPr>
  </w:style>
  <w:style w:type="table" w:customStyle="1" w:styleId="afa">
    <w:basedOn w:val="TableNormal9"/>
    <w:tblPr>
      <w:tblStyleRowBandSize w:val="1"/>
      <w:tblStyleColBandSize w:val="1"/>
      <w:tblCellMar>
        <w:left w:w="115" w:type="dxa"/>
        <w:right w:w="115" w:type="dxa"/>
      </w:tblCellMar>
    </w:tblPr>
  </w:style>
  <w:style w:type="table" w:customStyle="1" w:styleId="afb">
    <w:basedOn w:val="TableNormal9"/>
    <w:tblPr>
      <w:tblStyleRowBandSize w:val="1"/>
      <w:tblStyleColBandSize w:val="1"/>
      <w:tblCellMar>
        <w:left w:w="115" w:type="dxa"/>
        <w:right w:w="115" w:type="dxa"/>
      </w:tblCellMar>
    </w:tblPr>
  </w:style>
  <w:style w:type="table" w:customStyle="1" w:styleId="afc">
    <w:basedOn w:val="TableNormal8"/>
    <w:tblPr>
      <w:tblStyleRowBandSize w:val="1"/>
      <w:tblStyleColBandSize w:val="1"/>
      <w:tblCellMar>
        <w:left w:w="115" w:type="dxa"/>
        <w:right w:w="115" w:type="dxa"/>
      </w:tblCellMar>
    </w:tblPr>
  </w:style>
  <w:style w:type="table" w:customStyle="1" w:styleId="afd">
    <w:basedOn w:val="TableNormal8"/>
    <w:tblPr>
      <w:tblStyleRowBandSize w:val="1"/>
      <w:tblStyleColBandSize w:val="1"/>
      <w:tblCellMar>
        <w:left w:w="115" w:type="dxa"/>
        <w:right w:w="115" w:type="dxa"/>
      </w:tblCellMar>
    </w:tblPr>
  </w:style>
  <w:style w:type="table" w:customStyle="1" w:styleId="afe">
    <w:basedOn w:val="TableNormal7"/>
    <w:tblPr>
      <w:tblStyleRowBandSize w:val="1"/>
      <w:tblStyleColBandSize w:val="1"/>
      <w:tblCellMar>
        <w:left w:w="115" w:type="dxa"/>
        <w:right w:w="115" w:type="dxa"/>
      </w:tblCellMar>
    </w:tblPr>
  </w:style>
  <w:style w:type="table" w:customStyle="1" w:styleId="aff">
    <w:basedOn w:val="TableNormal7"/>
    <w:tblPr>
      <w:tblStyleRowBandSize w:val="1"/>
      <w:tblStyleColBandSize w:val="1"/>
      <w:tblCellMar>
        <w:left w:w="115" w:type="dxa"/>
        <w:right w:w="115" w:type="dxa"/>
      </w:tblCellMar>
    </w:tblPr>
  </w:style>
  <w:style w:type="table" w:customStyle="1" w:styleId="aff0">
    <w:basedOn w:val="TableNormal6"/>
    <w:tblPr>
      <w:tblStyleRowBandSize w:val="1"/>
      <w:tblStyleColBandSize w:val="1"/>
      <w:tblCellMar>
        <w:left w:w="115" w:type="dxa"/>
        <w:right w:w="115" w:type="dxa"/>
      </w:tblCellMar>
    </w:tblPr>
  </w:style>
  <w:style w:type="table" w:customStyle="1" w:styleId="aff1">
    <w:basedOn w:val="TableNormal6"/>
    <w:tblPr>
      <w:tblStyleRowBandSize w:val="1"/>
      <w:tblStyleColBandSize w:val="1"/>
      <w:tblCellMar>
        <w:left w:w="115" w:type="dxa"/>
        <w:right w:w="115" w:type="dxa"/>
      </w:tblCellMar>
    </w:tblPr>
  </w:style>
  <w:style w:type="table" w:customStyle="1" w:styleId="aff2">
    <w:basedOn w:val="TableNormal5"/>
    <w:tblPr>
      <w:tblStyleRowBandSize w:val="1"/>
      <w:tblStyleColBandSize w:val="1"/>
      <w:tblCellMar>
        <w:left w:w="115" w:type="dxa"/>
        <w:right w:w="115" w:type="dxa"/>
      </w:tblCellMar>
    </w:tblPr>
  </w:style>
  <w:style w:type="table" w:customStyle="1" w:styleId="aff3">
    <w:basedOn w:val="TableNormal5"/>
    <w:tblPr>
      <w:tblStyleRowBandSize w:val="1"/>
      <w:tblStyleColBandSize w:val="1"/>
      <w:tblCellMar>
        <w:left w:w="115" w:type="dxa"/>
        <w:right w:w="115" w:type="dxa"/>
      </w:tblCellMar>
    </w:tblPr>
  </w:style>
  <w:style w:type="table" w:customStyle="1" w:styleId="aff4">
    <w:basedOn w:val="TableNormal4"/>
    <w:tblPr>
      <w:tblStyleRowBandSize w:val="1"/>
      <w:tblStyleColBandSize w:val="1"/>
      <w:tblCellMar>
        <w:left w:w="115" w:type="dxa"/>
        <w:right w:w="115" w:type="dxa"/>
      </w:tblCellMar>
    </w:tblPr>
  </w:style>
  <w:style w:type="table" w:customStyle="1" w:styleId="aff5">
    <w:basedOn w:val="TableNormal4"/>
    <w:tblPr>
      <w:tblStyleRowBandSize w:val="1"/>
      <w:tblStyleColBandSize w:val="1"/>
      <w:tblCellMar>
        <w:left w:w="115" w:type="dxa"/>
        <w:right w:w="115" w:type="dxa"/>
      </w:tblCellMar>
    </w:tblPr>
  </w:style>
  <w:style w:type="table" w:customStyle="1" w:styleId="aff6">
    <w:basedOn w:val="TableNormal3"/>
    <w:tblPr>
      <w:tblStyleRowBandSize w:val="1"/>
      <w:tblStyleColBandSize w:val="1"/>
      <w:tblCellMar>
        <w:left w:w="115" w:type="dxa"/>
        <w:right w:w="115" w:type="dxa"/>
      </w:tblCellMar>
    </w:tblPr>
  </w:style>
  <w:style w:type="table" w:customStyle="1" w:styleId="aff7">
    <w:basedOn w:val="TableNormal3"/>
    <w:tblPr>
      <w:tblStyleRowBandSize w:val="1"/>
      <w:tblStyleColBandSize w:val="1"/>
      <w:tblCellMar>
        <w:left w:w="115" w:type="dxa"/>
        <w:right w:w="115"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dgZCSOCS1k/VUy73njUOT0zchw==">CgMxLjAyCWguM3JkY3JqbjIOaC5kYWozajJ4bzZxNjYyCGguZ2pkZ3hzMgloLjNkeTZ2a20yCWguMzBqMHpsbDIJaC4yczhleW8xMghoLnR5amN3dDIJaC4yZXQ5MnAwMgloLjF0M2g1c2YyCGgubG54Yno5OAByITEzVjFFNW5PS3NmT1dvSTZJU3IxeUR5X25CUmNMejdOVw==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4706</Words>
  <Characters>25507</Characters>
  <Application>Microsoft Office Word</Application>
  <DocSecurity>0</DocSecurity>
  <Lines>455</Lines>
  <Paragraphs>118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2025-09-05T19:50:00Z</cp:lastPrinted>
  <dcterms:created xsi:type="dcterms:W3CDTF">2025-10-03T18:50:00Z</dcterms:created>
  <dcterms:modified xsi:type="dcterms:W3CDTF">2025-10-03T18:50:00Z</dcterms:modified>
</cp:coreProperties>
</file>