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heme="minorHAnsi" w:hAnsi="Palatino Linotype" w:cstheme="minorBidi"/>
          <w:color w:val="FF0000"/>
          <w:sz w:val="22"/>
          <w:szCs w:val="22"/>
          <w:lang w:val="es-ES" w:eastAsia="en-US"/>
        </w:rPr>
        <w:id w:val="-1872525245"/>
        <w:docPartObj>
          <w:docPartGallery w:val="Table of Contents"/>
          <w:docPartUnique/>
        </w:docPartObj>
      </w:sdtPr>
      <w:sdtEndPr>
        <w:rPr>
          <w:b/>
          <w:bCs/>
        </w:rPr>
      </w:sdtEndPr>
      <w:sdtContent>
        <w:p w14:paraId="6D3D8C7A" w14:textId="26B76CEF" w:rsidR="008D4BF2" w:rsidRPr="00D17611" w:rsidRDefault="008D4BF2" w:rsidP="008D4BF2">
          <w:pPr>
            <w:pStyle w:val="TtuloTDC"/>
            <w:spacing w:line="360" w:lineRule="auto"/>
            <w:jc w:val="center"/>
            <w:rPr>
              <w:rFonts w:ascii="Palatino Linotype" w:hAnsi="Palatino Linotype"/>
              <w:color w:val="auto"/>
              <w:sz w:val="22"/>
              <w:szCs w:val="22"/>
            </w:rPr>
          </w:pPr>
          <w:r w:rsidRPr="00D17611">
            <w:rPr>
              <w:rFonts w:ascii="Palatino Linotype" w:hAnsi="Palatino Linotype"/>
              <w:color w:val="auto"/>
              <w:sz w:val="22"/>
              <w:szCs w:val="22"/>
              <w:lang w:val="es-ES"/>
            </w:rPr>
            <w:t xml:space="preserve">RESOLUCIÓN DEL RECURSO DE REVISIÓN </w:t>
          </w:r>
          <w:r w:rsidR="00E51EF0" w:rsidRPr="00D17611">
            <w:rPr>
              <w:rFonts w:ascii="Palatino Linotype" w:eastAsia="Calibri" w:hAnsi="Palatino Linotype" w:cs="Tahoma"/>
              <w:color w:val="auto"/>
              <w:sz w:val="22"/>
              <w:szCs w:val="22"/>
            </w:rPr>
            <w:t>01861</w:t>
          </w:r>
          <w:r w:rsidRPr="00D17611">
            <w:rPr>
              <w:rFonts w:ascii="Palatino Linotype" w:eastAsia="Calibri" w:hAnsi="Palatino Linotype" w:cs="Tahoma"/>
              <w:color w:val="auto"/>
              <w:sz w:val="22"/>
              <w:szCs w:val="22"/>
            </w:rPr>
            <w:t>/INFOEM/IP/RR/2025</w:t>
          </w:r>
        </w:p>
        <w:p w14:paraId="01697719" w14:textId="77777777" w:rsidR="00F93435" w:rsidRPr="00D17611" w:rsidRDefault="008D4BF2">
          <w:pPr>
            <w:pStyle w:val="TDC1"/>
            <w:tabs>
              <w:tab w:val="right" w:leader="dot" w:pos="8921"/>
            </w:tabs>
            <w:rPr>
              <w:rFonts w:asciiTheme="minorHAnsi" w:eastAsiaTheme="minorEastAsia" w:hAnsiTheme="minorHAnsi"/>
              <w:noProof/>
              <w:color w:val="auto"/>
              <w:lang w:eastAsia="es-MX"/>
            </w:rPr>
          </w:pPr>
          <w:r w:rsidRPr="00D17611">
            <w:rPr>
              <w:color w:val="FF0000"/>
            </w:rPr>
            <w:fldChar w:fldCharType="begin"/>
          </w:r>
          <w:r w:rsidRPr="00D17611">
            <w:rPr>
              <w:color w:val="FF0000"/>
            </w:rPr>
            <w:instrText xml:space="preserve"> TOC \o "1-3" \h \z \u </w:instrText>
          </w:r>
          <w:r w:rsidRPr="00D17611">
            <w:rPr>
              <w:color w:val="FF0000"/>
            </w:rPr>
            <w:fldChar w:fldCharType="separate"/>
          </w:r>
          <w:hyperlink w:anchor="_Toc193806599" w:history="1">
            <w:r w:rsidR="00F93435" w:rsidRPr="00D17611">
              <w:rPr>
                <w:rStyle w:val="Hipervnculo"/>
                <w:rFonts w:eastAsia="Calibri"/>
                <w:noProof/>
                <w:lang w:val="es-ES"/>
              </w:rPr>
              <w:t>A N T E C E D E N T E S</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_Toc193806599 \h </w:instrText>
            </w:r>
            <w:r w:rsidR="00F93435" w:rsidRPr="00D17611">
              <w:rPr>
                <w:noProof/>
                <w:webHidden/>
              </w:rPr>
            </w:r>
            <w:r w:rsidR="00F93435" w:rsidRPr="00D17611">
              <w:rPr>
                <w:noProof/>
                <w:webHidden/>
              </w:rPr>
              <w:fldChar w:fldCharType="separate"/>
            </w:r>
            <w:r w:rsidR="00453BEB">
              <w:rPr>
                <w:noProof/>
                <w:webHidden/>
              </w:rPr>
              <w:t>2</w:t>
            </w:r>
            <w:r w:rsidR="00F93435" w:rsidRPr="00D17611">
              <w:rPr>
                <w:noProof/>
                <w:webHidden/>
              </w:rPr>
              <w:fldChar w:fldCharType="end"/>
            </w:r>
          </w:hyperlink>
        </w:p>
        <w:p w14:paraId="460AAFCE"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00" w:history="1">
            <w:r w:rsidR="00F93435" w:rsidRPr="00D17611">
              <w:rPr>
                <w:rStyle w:val="Hipervnculo"/>
                <w:rFonts w:eastAsia="Calibri"/>
                <w:noProof/>
                <w:lang w:val="es-ES"/>
              </w:rPr>
              <w:t>I. Presentación de la solicitud de información</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_Toc193806600 \h </w:instrText>
            </w:r>
            <w:r w:rsidR="00F93435" w:rsidRPr="00D17611">
              <w:rPr>
                <w:noProof/>
                <w:webHidden/>
              </w:rPr>
            </w:r>
            <w:r w:rsidR="00F93435" w:rsidRPr="00D17611">
              <w:rPr>
                <w:noProof/>
                <w:webHidden/>
              </w:rPr>
              <w:fldChar w:fldCharType="separate"/>
            </w:r>
            <w:r w:rsidR="00453BEB">
              <w:rPr>
                <w:noProof/>
                <w:webHidden/>
              </w:rPr>
              <w:t>2</w:t>
            </w:r>
            <w:r w:rsidR="00F93435" w:rsidRPr="00D17611">
              <w:rPr>
                <w:noProof/>
                <w:webHidden/>
              </w:rPr>
              <w:fldChar w:fldCharType="end"/>
            </w:r>
          </w:hyperlink>
        </w:p>
        <w:p w14:paraId="230754BF"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01" w:history="1">
            <w:r w:rsidR="00F93435" w:rsidRPr="00D17611">
              <w:rPr>
                <w:rStyle w:val="Hipervnculo"/>
                <w:rFonts w:eastAsia="Times New Roman"/>
                <w:noProof/>
                <w:lang w:eastAsia="es-ES"/>
              </w:rPr>
              <w:t>II. Respuesta del Sujeto Obligado</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_Toc193806601 \h </w:instrText>
            </w:r>
            <w:r w:rsidR="00F93435" w:rsidRPr="00D17611">
              <w:rPr>
                <w:noProof/>
                <w:webHidden/>
              </w:rPr>
            </w:r>
            <w:r w:rsidR="00F93435" w:rsidRPr="00D17611">
              <w:rPr>
                <w:noProof/>
                <w:webHidden/>
              </w:rPr>
              <w:fldChar w:fldCharType="separate"/>
            </w:r>
            <w:r w:rsidR="00453BEB">
              <w:rPr>
                <w:noProof/>
                <w:webHidden/>
              </w:rPr>
              <w:t>2</w:t>
            </w:r>
            <w:r w:rsidR="00F93435" w:rsidRPr="00D17611">
              <w:rPr>
                <w:noProof/>
                <w:webHidden/>
              </w:rPr>
              <w:fldChar w:fldCharType="end"/>
            </w:r>
          </w:hyperlink>
        </w:p>
        <w:p w14:paraId="6B4AD955"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02" w:history="1">
            <w:r w:rsidR="00F93435" w:rsidRPr="00D17611">
              <w:rPr>
                <w:rStyle w:val="Hipervnculo"/>
                <w:rFonts w:eastAsia="Calibri"/>
                <w:noProof/>
              </w:rPr>
              <w:t>III. Interposición del Recurso de Revisión</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_Toc193806602 \h </w:instrText>
            </w:r>
            <w:r w:rsidR="00F93435" w:rsidRPr="00D17611">
              <w:rPr>
                <w:noProof/>
                <w:webHidden/>
              </w:rPr>
            </w:r>
            <w:r w:rsidR="00F93435" w:rsidRPr="00D17611">
              <w:rPr>
                <w:noProof/>
                <w:webHidden/>
              </w:rPr>
              <w:fldChar w:fldCharType="separate"/>
            </w:r>
            <w:r w:rsidR="00453BEB">
              <w:rPr>
                <w:noProof/>
                <w:webHidden/>
              </w:rPr>
              <w:t>3</w:t>
            </w:r>
            <w:r w:rsidR="00F93435" w:rsidRPr="00D17611">
              <w:rPr>
                <w:noProof/>
                <w:webHidden/>
              </w:rPr>
              <w:fldChar w:fldCharType="end"/>
            </w:r>
          </w:hyperlink>
        </w:p>
        <w:p w14:paraId="318089B1"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03" w:history="1">
            <w:r w:rsidR="00F93435" w:rsidRPr="00D17611">
              <w:rPr>
                <w:rStyle w:val="Hipervnculo"/>
                <w:rFonts w:eastAsia="Calibri"/>
                <w:noProof/>
              </w:rPr>
              <w:t xml:space="preserve">IV. </w:t>
            </w:r>
            <w:r w:rsidR="00F93435" w:rsidRPr="00D17611">
              <w:rPr>
                <w:rStyle w:val="Hipervnculo"/>
                <w:rFonts w:eastAsia="Batang"/>
                <w:noProof/>
              </w:rPr>
              <w:t>Trámite del Recurso de Revisión</w:t>
            </w:r>
            <w:r w:rsidR="00F93435" w:rsidRPr="00D17611">
              <w:rPr>
                <w:rStyle w:val="Hipervnculo"/>
                <w:rFonts w:eastAsia="Calibri"/>
                <w:noProof/>
              </w:rPr>
              <w:t xml:space="preserve"> </w:t>
            </w:r>
            <w:r w:rsidR="00F93435" w:rsidRPr="00D17611">
              <w:rPr>
                <w:rStyle w:val="Hipervnculo"/>
                <w:rFonts w:eastAsia="Batang"/>
                <w:noProof/>
              </w:rPr>
              <w:t>ante este Instituto</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_Toc193806603 \h </w:instrText>
            </w:r>
            <w:r w:rsidR="00F93435" w:rsidRPr="00D17611">
              <w:rPr>
                <w:noProof/>
                <w:webHidden/>
              </w:rPr>
            </w:r>
            <w:r w:rsidR="00F93435" w:rsidRPr="00D17611">
              <w:rPr>
                <w:noProof/>
                <w:webHidden/>
              </w:rPr>
              <w:fldChar w:fldCharType="separate"/>
            </w:r>
            <w:r w:rsidR="00453BEB">
              <w:rPr>
                <w:noProof/>
                <w:webHidden/>
              </w:rPr>
              <w:t>4</w:t>
            </w:r>
            <w:r w:rsidR="00F93435" w:rsidRPr="00D17611">
              <w:rPr>
                <w:noProof/>
                <w:webHidden/>
              </w:rPr>
              <w:fldChar w:fldCharType="end"/>
            </w:r>
          </w:hyperlink>
        </w:p>
        <w:p w14:paraId="2B2F0FDD" w14:textId="77777777" w:rsidR="00F93435" w:rsidRPr="00D17611" w:rsidRDefault="00AB3E61">
          <w:pPr>
            <w:pStyle w:val="TDC3"/>
            <w:tabs>
              <w:tab w:val="right" w:leader="dot" w:pos="8921"/>
            </w:tabs>
            <w:rPr>
              <w:rFonts w:asciiTheme="minorHAnsi" w:eastAsiaTheme="minorEastAsia" w:hAnsiTheme="minorHAnsi"/>
              <w:noProof/>
              <w:color w:val="auto"/>
              <w:lang w:eastAsia="es-MX"/>
            </w:rPr>
          </w:pPr>
          <w:hyperlink w:anchor="_Toc193806604" w:history="1">
            <w:r w:rsidR="00F93435" w:rsidRPr="00D17611">
              <w:rPr>
                <w:rStyle w:val="Hipervnculo"/>
                <w:noProof/>
              </w:rPr>
              <w:t>a) Turno del Medio de Impugnación</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_Toc193806604 \h </w:instrText>
            </w:r>
            <w:r w:rsidR="00F93435" w:rsidRPr="00D17611">
              <w:rPr>
                <w:noProof/>
                <w:webHidden/>
              </w:rPr>
            </w:r>
            <w:r w:rsidR="00F93435" w:rsidRPr="00D17611">
              <w:rPr>
                <w:noProof/>
                <w:webHidden/>
              </w:rPr>
              <w:fldChar w:fldCharType="separate"/>
            </w:r>
            <w:r w:rsidR="00453BEB">
              <w:rPr>
                <w:noProof/>
                <w:webHidden/>
              </w:rPr>
              <w:t>4</w:t>
            </w:r>
            <w:r w:rsidR="00F93435" w:rsidRPr="00D17611">
              <w:rPr>
                <w:noProof/>
                <w:webHidden/>
              </w:rPr>
              <w:fldChar w:fldCharType="end"/>
            </w:r>
          </w:hyperlink>
        </w:p>
        <w:p w14:paraId="47804C7A" w14:textId="77777777" w:rsidR="00F93435" w:rsidRPr="00D17611" w:rsidRDefault="00AB3E61">
          <w:pPr>
            <w:pStyle w:val="TDC3"/>
            <w:tabs>
              <w:tab w:val="right" w:leader="dot" w:pos="8921"/>
            </w:tabs>
            <w:rPr>
              <w:rFonts w:asciiTheme="minorHAnsi" w:eastAsiaTheme="minorEastAsia" w:hAnsiTheme="minorHAnsi"/>
              <w:noProof/>
              <w:color w:val="auto"/>
              <w:lang w:eastAsia="es-MX"/>
            </w:rPr>
          </w:pPr>
          <w:hyperlink w:anchor="_Toc193806605" w:history="1">
            <w:r w:rsidR="00F93435" w:rsidRPr="00D17611">
              <w:rPr>
                <w:rStyle w:val="Hipervnculo"/>
                <w:noProof/>
              </w:rPr>
              <w:t>b) Admisión del Recurso de Revisión</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_Toc193806605 \h </w:instrText>
            </w:r>
            <w:r w:rsidR="00F93435" w:rsidRPr="00D17611">
              <w:rPr>
                <w:noProof/>
                <w:webHidden/>
              </w:rPr>
            </w:r>
            <w:r w:rsidR="00F93435" w:rsidRPr="00D17611">
              <w:rPr>
                <w:noProof/>
                <w:webHidden/>
              </w:rPr>
              <w:fldChar w:fldCharType="separate"/>
            </w:r>
            <w:r w:rsidR="00453BEB">
              <w:rPr>
                <w:noProof/>
                <w:webHidden/>
              </w:rPr>
              <w:t>4</w:t>
            </w:r>
            <w:r w:rsidR="00F93435" w:rsidRPr="00D17611">
              <w:rPr>
                <w:noProof/>
                <w:webHidden/>
              </w:rPr>
              <w:fldChar w:fldCharType="end"/>
            </w:r>
          </w:hyperlink>
        </w:p>
        <w:p w14:paraId="2002D132" w14:textId="77777777" w:rsidR="00F93435" w:rsidRPr="00D17611" w:rsidRDefault="00AB3E61">
          <w:pPr>
            <w:pStyle w:val="TDC3"/>
            <w:tabs>
              <w:tab w:val="right" w:leader="dot" w:pos="8921"/>
            </w:tabs>
            <w:rPr>
              <w:rFonts w:asciiTheme="minorHAnsi" w:eastAsiaTheme="minorEastAsia" w:hAnsiTheme="minorHAnsi"/>
              <w:noProof/>
              <w:color w:val="auto"/>
              <w:lang w:eastAsia="es-MX"/>
            </w:rPr>
          </w:pPr>
          <w:hyperlink w:anchor="_Toc193806606" w:history="1">
            <w:r w:rsidR="00F93435" w:rsidRPr="00D17611">
              <w:rPr>
                <w:rStyle w:val="Hipervnculo"/>
                <w:noProof/>
              </w:rPr>
              <w:t>c) Informe Justificado</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_Toc193806606 \h </w:instrText>
            </w:r>
            <w:r w:rsidR="00F93435" w:rsidRPr="00D17611">
              <w:rPr>
                <w:noProof/>
                <w:webHidden/>
              </w:rPr>
            </w:r>
            <w:r w:rsidR="00F93435" w:rsidRPr="00D17611">
              <w:rPr>
                <w:noProof/>
                <w:webHidden/>
              </w:rPr>
              <w:fldChar w:fldCharType="separate"/>
            </w:r>
            <w:r w:rsidR="00453BEB">
              <w:rPr>
                <w:noProof/>
                <w:webHidden/>
              </w:rPr>
              <w:t>4</w:t>
            </w:r>
            <w:r w:rsidR="00F93435" w:rsidRPr="00D17611">
              <w:rPr>
                <w:noProof/>
                <w:webHidden/>
              </w:rPr>
              <w:fldChar w:fldCharType="end"/>
            </w:r>
          </w:hyperlink>
        </w:p>
        <w:p w14:paraId="27201BB8" w14:textId="77777777" w:rsidR="00F93435" w:rsidRPr="00D17611" w:rsidRDefault="00AB3E61">
          <w:pPr>
            <w:pStyle w:val="TDC3"/>
            <w:tabs>
              <w:tab w:val="right" w:leader="dot" w:pos="8921"/>
            </w:tabs>
            <w:rPr>
              <w:rFonts w:asciiTheme="minorHAnsi" w:eastAsiaTheme="minorEastAsia" w:hAnsiTheme="minorHAnsi"/>
              <w:noProof/>
              <w:color w:val="auto"/>
              <w:lang w:eastAsia="es-MX"/>
            </w:rPr>
          </w:pPr>
          <w:hyperlink w:anchor="_Toc193806607" w:history="1">
            <w:r w:rsidR="00F93435" w:rsidRPr="00D17611">
              <w:rPr>
                <w:rStyle w:val="Hipervnculo"/>
                <w:noProof/>
              </w:rPr>
              <w:t>d) Vista al Informe Justificado</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_Toc193806607 \h </w:instrText>
            </w:r>
            <w:r w:rsidR="00F93435" w:rsidRPr="00D17611">
              <w:rPr>
                <w:noProof/>
                <w:webHidden/>
              </w:rPr>
            </w:r>
            <w:r w:rsidR="00F93435" w:rsidRPr="00D17611">
              <w:rPr>
                <w:noProof/>
                <w:webHidden/>
              </w:rPr>
              <w:fldChar w:fldCharType="separate"/>
            </w:r>
            <w:r w:rsidR="00453BEB">
              <w:rPr>
                <w:noProof/>
                <w:webHidden/>
              </w:rPr>
              <w:t>5</w:t>
            </w:r>
            <w:r w:rsidR="00F93435" w:rsidRPr="00D17611">
              <w:rPr>
                <w:noProof/>
                <w:webHidden/>
              </w:rPr>
              <w:fldChar w:fldCharType="end"/>
            </w:r>
          </w:hyperlink>
        </w:p>
        <w:p w14:paraId="15D4304C" w14:textId="77777777" w:rsidR="00F93435" w:rsidRPr="00D17611" w:rsidRDefault="00AB3E61">
          <w:pPr>
            <w:pStyle w:val="TDC3"/>
            <w:tabs>
              <w:tab w:val="right" w:leader="dot" w:pos="8921"/>
            </w:tabs>
            <w:rPr>
              <w:rFonts w:asciiTheme="minorHAnsi" w:eastAsiaTheme="minorEastAsia" w:hAnsiTheme="minorHAnsi"/>
              <w:noProof/>
              <w:color w:val="auto"/>
              <w:lang w:eastAsia="es-MX"/>
            </w:rPr>
          </w:pPr>
          <w:hyperlink w:anchor="_Toc193806608" w:history="1">
            <w:r w:rsidR="00F93435" w:rsidRPr="00D17611">
              <w:rPr>
                <w:rStyle w:val="Hipervnculo"/>
                <w:noProof/>
              </w:rPr>
              <w:t>e) Cierre de instrucción</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_Toc193806608 \h </w:instrText>
            </w:r>
            <w:r w:rsidR="00F93435" w:rsidRPr="00D17611">
              <w:rPr>
                <w:noProof/>
                <w:webHidden/>
              </w:rPr>
            </w:r>
            <w:r w:rsidR="00F93435" w:rsidRPr="00D17611">
              <w:rPr>
                <w:noProof/>
                <w:webHidden/>
              </w:rPr>
              <w:fldChar w:fldCharType="separate"/>
            </w:r>
            <w:r w:rsidR="00453BEB">
              <w:rPr>
                <w:noProof/>
                <w:webHidden/>
              </w:rPr>
              <w:t>5</w:t>
            </w:r>
            <w:r w:rsidR="00F93435" w:rsidRPr="00D17611">
              <w:rPr>
                <w:noProof/>
                <w:webHidden/>
              </w:rPr>
              <w:fldChar w:fldCharType="end"/>
            </w:r>
          </w:hyperlink>
        </w:p>
        <w:p w14:paraId="084D8DE8" w14:textId="77777777" w:rsidR="00F93435" w:rsidRPr="00D17611" w:rsidRDefault="00AB3E61">
          <w:pPr>
            <w:pStyle w:val="TDC1"/>
            <w:tabs>
              <w:tab w:val="right" w:leader="dot" w:pos="8921"/>
            </w:tabs>
            <w:rPr>
              <w:rFonts w:asciiTheme="minorHAnsi" w:eastAsiaTheme="minorEastAsia" w:hAnsiTheme="minorHAnsi"/>
              <w:noProof/>
              <w:color w:val="auto"/>
              <w:lang w:eastAsia="es-MX"/>
            </w:rPr>
          </w:pPr>
          <w:hyperlink w:anchor="_Toc193806609" w:history="1">
            <w:r w:rsidR="00F93435" w:rsidRPr="00D17611">
              <w:rPr>
                <w:rStyle w:val="Hipervnculo"/>
                <w:rFonts w:eastAsia="Times New Roman"/>
                <w:noProof/>
                <w:lang w:val="es-ES" w:eastAsia="es-ES"/>
              </w:rPr>
              <w:t>C O N S I D E R A N D O S</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_Toc193806609 \h </w:instrText>
            </w:r>
            <w:r w:rsidR="00F93435" w:rsidRPr="00D17611">
              <w:rPr>
                <w:noProof/>
                <w:webHidden/>
              </w:rPr>
            </w:r>
            <w:r w:rsidR="00F93435" w:rsidRPr="00D17611">
              <w:rPr>
                <w:noProof/>
                <w:webHidden/>
              </w:rPr>
              <w:fldChar w:fldCharType="separate"/>
            </w:r>
            <w:r w:rsidR="00453BEB">
              <w:rPr>
                <w:noProof/>
                <w:webHidden/>
              </w:rPr>
              <w:t>5</w:t>
            </w:r>
            <w:r w:rsidR="00F93435" w:rsidRPr="00D17611">
              <w:rPr>
                <w:noProof/>
                <w:webHidden/>
              </w:rPr>
              <w:fldChar w:fldCharType="end"/>
            </w:r>
          </w:hyperlink>
        </w:p>
        <w:p w14:paraId="2249BCE6"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10" w:history="1">
            <w:r w:rsidR="00F93435" w:rsidRPr="00D17611">
              <w:rPr>
                <w:rStyle w:val="Hipervnculo"/>
                <w:rFonts w:eastAsia="Calibri"/>
                <w:noProof/>
                <w:lang w:val="es-ES" w:eastAsia="es-MX"/>
              </w:rPr>
              <w:t xml:space="preserve">PRIMERO. </w:t>
            </w:r>
            <w:r w:rsidR="00F93435" w:rsidRPr="00D17611">
              <w:rPr>
                <w:rStyle w:val="Hipervnculo"/>
                <w:rFonts w:eastAsia="Times New Roman"/>
                <w:noProof/>
                <w:lang w:val="es-ES" w:eastAsia="es-ES"/>
              </w:rPr>
              <w:t>Competencia</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_Toc193806610 \h </w:instrText>
            </w:r>
            <w:r w:rsidR="00F93435" w:rsidRPr="00D17611">
              <w:rPr>
                <w:noProof/>
                <w:webHidden/>
              </w:rPr>
            </w:r>
            <w:r w:rsidR="00F93435" w:rsidRPr="00D17611">
              <w:rPr>
                <w:noProof/>
                <w:webHidden/>
              </w:rPr>
              <w:fldChar w:fldCharType="separate"/>
            </w:r>
            <w:r w:rsidR="00453BEB">
              <w:rPr>
                <w:noProof/>
                <w:webHidden/>
              </w:rPr>
              <w:t>6</w:t>
            </w:r>
            <w:r w:rsidR="00F93435" w:rsidRPr="00D17611">
              <w:rPr>
                <w:noProof/>
                <w:webHidden/>
              </w:rPr>
              <w:fldChar w:fldCharType="end"/>
            </w:r>
          </w:hyperlink>
        </w:p>
        <w:p w14:paraId="01E07F34"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11" w:history="1">
            <w:r w:rsidR="00F93435" w:rsidRPr="00D17611">
              <w:rPr>
                <w:rStyle w:val="Hipervnculo"/>
                <w:rFonts w:eastAsia="Calibri"/>
                <w:noProof/>
                <w:lang w:val="es-ES" w:eastAsia="es-MX"/>
              </w:rPr>
              <w:t xml:space="preserve">SEGUNDO. </w:t>
            </w:r>
            <w:r w:rsidR="00F93435" w:rsidRPr="00D17611">
              <w:rPr>
                <w:rStyle w:val="Hipervnculo"/>
                <w:rFonts w:eastAsia="Times New Roman"/>
                <w:noProof/>
                <w:lang w:val="es-ES" w:eastAsia="es-ES"/>
              </w:rPr>
              <w:t>Causales de improcedencia y sobreseimiento</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_Toc193806611 \h </w:instrText>
            </w:r>
            <w:r w:rsidR="00F93435" w:rsidRPr="00D17611">
              <w:rPr>
                <w:noProof/>
                <w:webHidden/>
              </w:rPr>
            </w:r>
            <w:r w:rsidR="00F93435" w:rsidRPr="00D17611">
              <w:rPr>
                <w:noProof/>
                <w:webHidden/>
              </w:rPr>
              <w:fldChar w:fldCharType="separate"/>
            </w:r>
            <w:r w:rsidR="00453BEB">
              <w:rPr>
                <w:noProof/>
                <w:webHidden/>
              </w:rPr>
              <w:t>6</w:t>
            </w:r>
            <w:r w:rsidR="00F93435" w:rsidRPr="00D17611">
              <w:rPr>
                <w:noProof/>
                <w:webHidden/>
              </w:rPr>
              <w:fldChar w:fldCharType="end"/>
            </w:r>
          </w:hyperlink>
        </w:p>
        <w:p w14:paraId="1C7C917C"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12" w:history="1">
            <w:r w:rsidR="00F93435" w:rsidRPr="00D17611">
              <w:rPr>
                <w:rStyle w:val="Hipervnculo"/>
                <w:rFonts w:eastAsia="Times New Roman"/>
                <w:noProof/>
                <w:lang w:val="es-ES" w:eastAsia="es-ES"/>
              </w:rPr>
              <w:t>TERCERO. Determinación de la Controversia</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_Toc193806612 \h </w:instrText>
            </w:r>
            <w:r w:rsidR="00F93435" w:rsidRPr="00D17611">
              <w:rPr>
                <w:noProof/>
                <w:webHidden/>
              </w:rPr>
            </w:r>
            <w:r w:rsidR="00F93435" w:rsidRPr="00D17611">
              <w:rPr>
                <w:noProof/>
                <w:webHidden/>
              </w:rPr>
              <w:fldChar w:fldCharType="separate"/>
            </w:r>
            <w:r w:rsidR="00453BEB">
              <w:rPr>
                <w:noProof/>
                <w:webHidden/>
              </w:rPr>
              <w:t>8</w:t>
            </w:r>
            <w:r w:rsidR="00F93435" w:rsidRPr="00D17611">
              <w:rPr>
                <w:noProof/>
                <w:webHidden/>
              </w:rPr>
              <w:fldChar w:fldCharType="end"/>
            </w:r>
          </w:hyperlink>
        </w:p>
        <w:p w14:paraId="71E6003D" w14:textId="77777777" w:rsidR="00F93435" w:rsidRPr="00D17611" w:rsidRDefault="00AB3E61">
          <w:pPr>
            <w:pStyle w:val="TDC2"/>
            <w:tabs>
              <w:tab w:val="right" w:leader="dot" w:pos="8921"/>
            </w:tabs>
            <w:rPr>
              <w:rFonts w:asciiTheme="minorHAnsi" w:eastAsiaTheme="minorEastAsia" w:hAnsiTheme="minorHAnsi"/>
              <w:noProof/>
              <w:color w:val="auto"/>
              <w:lang w:eastAsia="es-MX"/>
            </w:rPr>
          </w:pPr>
          <w:hyperlink w:anchor="_Toc193806613" w:history="1">
            <w:r w:rsidR="00F93435" w:rsidRPr="00D17611">
              <w:rPr>
                <w:rStyle w:val="Hipervnculo"/>
                <w:rFonts w:eastAsia="Times New Roman"/>
                <w:noProof/>
                <w:lang w:val="es-ES" w:eastAsia="es-ES"/>
              </w:rPr>
              <w:t xml:space="preserve">CUARTO. </w:t>
            </w:r>
            <w:r w:rsidR="00F93435" w:rsidRPr="00D17611">
              <w:rPr>
                <w:rStyle w:val="Hipervnculo"/>
                <w:rFonts w:eastAsia="Times New Roman"/>
                <w:noProof/>
                <w:lang w:eastAsia="es-ES"/>
              </w:rPr>
              <w:t>Marco normativo aplicable en materia de transparencia y acceso a la información pública</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_Toc193806613 \h </w:instrText>
            </w:r>
            <w:r w:rsidR="00F93435" w:rsidRPr="00D17611">
              <w:rPr>
                <w:noProof/>
                <w:webHidden/>
              </w:rPr>
            </w:r>
            <w:r w:rsidR="00F93435" w:rsidRPr="00D17611">
              <w:rPr>
                <w:noProof/>
                <w:webHidden/>
              </w:rPr>
              <w:fldChar w:fldCharType="separate"/>
            </w:r>
            <w:r w:rsidR="00453BEB">
              <w:rPr>
                <w:noProof/>
                <w:webHidden/>
              </w:rPr>
              <w:t>9</w:t>
            </w:r>
            <w:r w:rsidR="00F93435" w:rsidRPr="00D17611">
              <w:rPr>
                <w:noProof/>
                <w:webHidden/>
              </w:rPr>
              <w:fldChar w:fldCharType="end"/>
            </w:r>
          </w:hyperlink>
        </w:p>
        <w:p w14:paraId="1FA40BDD" w14:textId="77777777" w:rsidR="00F93435" w:rsidRPr="00D17611" w:rsidRDefault="00AB3E61">
          <w:pPr>
            <w:pStyle w:val="TDC1"/>
            <w:tabs>
              <w:tab w:val="right" w:leader="dot" w:pos="8921"/>
            </w:tabs>
            <w:rPr>
              <w:rFonts w:asciiTheme="minorHAnsi" w:eastAsiaTheme="minorEastAsia" w:hAnsiTheme="minorHAnsi"/>
              <w:noProof/>
              <w:color w:val="auto"/>
              <w:lang w:eastAsia="es-MX"/>
            </w:rPr>
          </w:pPr>
          <w:hyperlink w:anchor="_Toc193806614" w:history="1">
            <w:r w:rsidR="00F93435" w:rsidRPr="00D17611">
              <w:rPr>
                <w:rStyle w:val="Hipervnculo"/>
                <w:rFonts w:eastAsia="Times New Roman"/>
                <w:noProof/>
                <w:lang w:val="es-ES" w:eastAsia="es-ES"/>
              </w:rPr>
              <w:t>QUINTO. Estudio de Fondo</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_Toc193806614 \h </w:instrText>
            </w:r>
            <w:r w:rsidR="00F93435" w:rsidRPr="00D17611">
              <w:rPr>
                <w:noProof/>
                <w:webHidden/>
              </w:rPr>
            </w:r>
            <w:r w:rsidR="00F93435" w:rsidRPr="00D17611">
              <w:rPr>
                <w:noProof/>
                <w:webHidden/>
              </w:rPr>
              <w:fldChar w:fldCharType="separate"/>
            </w:r>
            <w:r w:rsidR="00453BEB">
              <w:rPr>
                <w:noProof/>
                <w:webHidden/>
              </w:rPr>
              <w:t>10</w:t>
            </w:r>
            <w:r w:rsidR="00F93435" w:rsidRPr="00D17611">
              <w:rPr>
                <w:noProof/>
                <w:webHidden/>
              </w:rPr>
              <w:fldChar w:fldCharType="end"/>
            </w:r>
          </w:hyperlink>
        </w:p>
        <w:p w14:paraId="7367DFBE" w14:textId="77777777" w:rsidR="00F93435" w:rsidRPr="00D17611" w:rsidRDefault="00AB3E61">
          <w:pPr>
            <w:pStyle w:val="TDC1"/>
            <w:tabs>
              <w:tab w:val="right" w:leader="dot" w:pos="8921"/>
            </w:tabs>
            <w:rPr>
              <w:rFonts w:asciiTheme="minorHAnsi" w:eastAsiaTheme="minorEastAsia" w:hAnsiTheme="minorHAnsi"/>
              <w:noProof/>
              <w:color w:val="auto"/>
              <w:lang w:eastAsia="es-MX"/>
            </w:rPr>
          </w:pPr>
          <w:hyperlink w:anchor="_Toc193806615" w:history="1">
            <w:r w:rsidR="00F93435" w:rsidRPr="00D17611">
              <w:rPr>
                <w:rStyle w:val="Hipervnculo"/>
                <w:noProof/>
              </w:rPr>
              <w:t>SEXTO. Decisión</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_Toc193806615 \h </w:instrText>
            </w:r>
            <w:r w:rsidR="00F93435" w:rsidRPr="00D17611">
              <w:rPr>
                <w:noProof/>
                <w:webHidden/>
              </w:rPr>
            </w:r>
            <w:r w:rsidR="00F93435" w:rsidRPr="00D17611">
              <w:rPr>
                <w:noProof/>
                <w:webHidden/>
              </w:rPr>
              <w:fldChar w:fldCharType="separate"/>
            </w:r>
            <w:r w:rsidR="00453BEB">
              <w:rPr>
                <w:noProof/>
                <w:webHidden/>
              </w:rPr>
              <w:t>16</w:t>
            </w:r>
            <w:r w:rsidR="00F93435" w:rsidRPr="00D17611">
              <w:rPr>
                <w:noProof/>
                <w:webHidden/>
              </w:rPr>
              <w:fldChar w:fldCharType="end"/>
            </w:r>
          </w:hyperlink>
        </w:p>
        <w:p w14:paraId="72FF80A5" w14:textId="77777777" w:rsidR="00F93435" w:rsidRPr="00D17611" w:rsidRDefault="00AB3E61">
          <w:pPr>
            <w:pStyle w:val="TDC1"/>
            <w:tabs>
              <w:tab w:val="right" w:leader="dot" w:pos="8921"/>
            </w:tabs>
            <w:rPr>
              <w:rFonts w:asciiTheme="minorHAnsi" w:eastAsiaTheme="minorEastAsia" w:hAnsiTheme="minorHAnsi"/>
              <w:noProof/>
              <w:color w:val="auto"/>
              <w:lang w:eastAsia="es-MX"/>
            </w:rPr>
          </w:pPr>
          <w:hyperlink w:anchor="_Toc193806616" w:history="1">
            <w:r w:rsidR="00F93435" w:rsidRPr="00D17611">
              <w:rPr>
                <w:rStyle w:val="Hipervnculo"/>
                <w:noProof/>
              </w:rPr>
              <w:t>R E S U E L V E</w:t>
            </w:r>
            <w:r w:rsidR="00F93435" w:rsidRPr="00D17611">
              <w:rPr>
                <w:noProof/>
                <w:webHidden/>
              </w:rPr>
              <w:tab/>
            </w:r>
            <w:r w:rsidR="00F93435" w:rsidRPr="00D17611">
              <w:rPr>
                <w:noProof/>
                <w:webHidden/>
              </w:rPr>
              <w:fldChar w:fldCharType="begin"/>
            </w:r>
            <w:r w:rsidR="00F93435" w:rsidRPr="00D17611">
              <w:rPr>
                <w:noProof/>
                <w:webHidden/>
              </w:rPr>
              <w:instrText xml:space="preserve"> PAGEREF _Toc193806616 \h </w:instrText>
            </w:r>
            <w:r w:rsidR="00F93435" w:rsidRPr="00D17611">
              <w:rPr>
                <w:noProof/>
                <w:webHidden/>
              </w:rPr>
            </w:r>
            <w:r w:rsidR="00F93435" w:rsidRPr="00D17611">
              <w:rPr>
                <w:noProof/>
                <w:webHidden/>
              </w:rPr>
              <w:fldChar w:fldCharType="separate"/>
            </w:r>
            <w:r w:rsidR="00453BEB">
              <w:rPr>
                <w:noProof/>
                <w:webHidden/>
              </w:rPr>
              <w:t>17</w:t>
            </w:r>
            <w:r w:rsidR="00F93435" w:rsidRPr="00D17611">
              <w:rPr>
                <w:noProof/>
                <w:webHidden/>
              </w:rPr>
              <w:fldChar w:fldCharType="end"/>
            </w:r>
          </w:hyperlink>
        </w:p>
        <w:p w14:paraId="6D4313BC" w14:textId="2E6FC0E4" w:rsidR="008D4BF2" w:rsidRPr="00D17611" w:rsidRDefault="008D4BF2" w:rsidP="00B56B1A">
          <w:pPr>
            <w:spacing w:line="360" w:lineRule="auto"/>
            <w:rPr>
              <w:color w:val="FF0000"/>
            </w:rPr>
          </w:pPr>
          <w:r w:rsidRPr="00D17611">
            <w:rPr>
              <w:b/>
              <w:bCs/>
              <w:color w:val="FF0000"/>
              <w:lang w:val="es-ES"/>
            </w:rPr>
            <w:fldChar w:fldCharType="end"/>
          </w:r>
        </w:p>
      </w:sdtContent>
    </w:sdt>
    <w:p w14:paraId="63E834DF" w14:textId="5C44D201" w:rsidR="00EC77D9" w:rsidRPr="00D17611" w:rsidRDefault="008D4BF2" w:rsidP="00A62148">
      <w:pPr>
        <w:tabs>
          <w:tab w:val="left" w:pos="8931"/>
        </w:tabs>
        <w:spacing w:after="0" w:line="360" w:lineRule="auto"/>
        <w:rPr>
          <w:rFonts w:eastAsia="Calibri" w:cs="Tahoma"/>
          <w:color w:val="FF0000"/>
          <w:lang w:val="es-ES"/>
        </w:rPr>
      </w:pPr>
      <w:r w:rsidRPr="00D17611">
        <w:rPr>
          <w:rFonts w:cs="Tahoma"/>
          <w:bCs/>
          <w:color w:val="FF0000"/>
        </w:rPr>
        <w:br w:type="column"/>
      </w:r>
      <w:r w:rsidR="00EC77D9" w:rsidRPr="00D17611">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00EC77D9" w:rsidRPr="00D17611">
        <w:rPr>
          <w:rFonts w:eastAsia="Calibri" w:cs="Tahoma"/>
          <w:color w:val="auto"/>
          <w:lang w:val="es-ES"/>
        </w:rPr>
        <w:t xml:space="preserve">Estado de México, de fecha </w:t>
      </w:r>
      <w:r w:rsidR="00E51EF0" w:rsidRPr="00D17611">
        <w:rPr>
          <w:rFonts w:eastAsia="Calibri" w:cs="Tahoma"/>
          <w:color w:val="auto"/>
          <w:lang w:val="es-ES"/>
        </w:rPr>
        <w:t>dos de abril de dos mil veinticinco.</w:t>
      </w:r>
    </w:p>
    <w:p w14:paraId="5E4128C6" w14:textId="31091B34" w:rsidR="00EC77D9" w:rsidRPr="00D17611" w:rsidRDefault="004F0E43" w:rsidP="00A62148">
      <w:pPr>
        <w:tabs>
          <w:tab w:val="left" w:pos="5580"/>
        </w:tabs>
        <w:spacing w:after="0" w:line="360" w:lineRule="auto"/>
        <w:rPr>
          <w:rFonts w:eastAsia="Calibri" w:cs="Tahoma"/>
          <w:b/>
          <w:bCs/>
          <w:color w:val="auto"/>
          <w:lang w:val="es-ES"/>
        </w:rPr>
      </w:pPr>
      <w:r w:rsidRPr="00D17611">
        <w:rPr>
          <w:rFonts w:eastAsia="Calibri" w:cs="Tahoma"/>
          <w:b/>
          <w:bCs/>
          <w:color w:val="auto"/>
          <w:lang w:val="es-ES"/>
        </w:rPr>
        <w:tab/>
      </w:r>
    </w:p>
    <w:p w14:paraId="04C62500" w14:textId="6705768A" w:rsidR="00EC77D9" w:rsidRPr="00D17611" w:rsidRDefault="00EC77D9" w:rsidP="00A62148">
      <w:pPr>
        <w:spacing w:after="0" w:line="360" w:lineRule="auto"/>
        <w:rPr>
          <w:rFonts w:ascii="Verdana" w:hAnsi="Verdana"/>
          <w:b/>
          <w:bCs/>
          <w:color w:val="auto"/>
        </w:rPr>
      </w:pPr>
      <w:r w:rsidRPr="00D17611">
        <w:rPr>
          <w:rFonts w:eastAsia="Calibri" w:cs="Tahoma"/>
          <w:b/>
          <w:bCs/>
          <w:color w:val="auto"/>
          <w:lang w:val="es-ES"/>
        </w:rPr>
        <w:t xml:space="preserve">VISTO </w:t>
      </w:r>
      <w:r w:rsidRPr="00D17611">
        <w:rPr>
          <w:rFonts w:eastAsia="Calibri" w:cs="Tahoma"/>
          <w:color w:val="auto"/>
          <w:lang w:val="es-ES"/>
        </w:rPr>
        <w:t xml:space="preserve">el expediente conformado con motivo del Recurso de Revisión </w:t>
      </w:r>
      <w:bookmarkStart w:id="0" w:name="_Hlk168055842"/>
      <w:r w:rsidR="00531689" w:rsidRPr="00B479B4">
        <w:rPr>
          <w:rFonts w:eastAsia="Calibri" w:cs="Tahoma"/>
          <w:b/>
          <w:color w:val="auto"/>
        </w:rPr>
        <w:t>01861/INFOEM/IP/RR/2025</w:t>
      </w:r>
      <w:bookmarkEnd w:id="0"/>
      <w:r w:rsidRPr="00D17611">
        <w:rPr>
          <w:rFonts w:eastAsia="Calibri" w:cs="Tahoma"/>
          <w:color w:val="auto"/>
        </w:rPr>
        <w:t>, interpuesto</w:t>
      </w:r>
      <w:r w:rsidR="00780B8A" w:rsidRPr="00D17611">
        <w:rPr>
          <w:rFonts w:eastAsia="Calibri" w:cs="Tahoma"/>
          <w:color w:val="auto"/>
        </w:rPr>
        <w:t xml:space="preserve"> </w:t>
      </w:r>
      <w:r w:rsidR="005477C1" w:rsidRPr="00D17611">
        <w:rPr>
          <w:rFonts w:eastAsia="Calibri" w:cs="Tahoma"/>
          <w:color w:val="auto"/>
        </w:rPr>
        <w:t>por</w:t>
      </w:r>
      <w:r w:rsidR="004E73CE" w:rsidRPr="00D17611">
        <w:rPr>
          <w:rFonts w:eastAsia="Calibri" w:cs="Tahoma"/>
          <w:color w:val="auto"/>
        </w:rPr>
        <w:t xml:space="preserve"> </w:t>
      </w:r>
      <w:r w:rsidR="00702314" w:rsidRPr="00702314">
        <w:rPr>
          <w:rFonts w:eastAsia="Calibri" w:cs="Tahoma"/>
          <w:highlight w:val="black"/>
        </w:rPr>
        <w:t>XXXXXXX</w:t>
      </w:r>
      <w:r w:rsidR="005477C1" w:rsidRPr="00D17611">
        <w:rPr>
          <w:rFonts w:eastAsia="Calibri" w:cs="Tahoma"/>
          <w:color w:val="auto"/>
        </w:rPr>
        <w:t xml:space="preserve">, en lo sucesivo </w:t>
      </w:r>
      <w:r w:rsidR="00C67EF9" w:rsidRPr="00D17611">
        <w:rPr>
          <w:rFonts w:eastAsia="Calibri" w:cs="Tahoma"/>
          <w:color w:val="auto"/>
        </w:rPr>
        <w:t>la persona</w:t>
      </w:r>
      <w:r w:rsidRPr="00D17611">
        <w:rPr>
          <w:rFonts w:cs="Tahoma"/>
          <w:color w:val="auto"/>
        </w:rPr>
        <w:t xml:space="preserve"> Recurrente o </w:t>
      </w:r>
      <w:r w:rsidR="00133F9E" w:rsidRPr="00D17611">
        <w:rPr>
          <w:rFonts w:cs="Tahoma"/>
          <w:color w:val="auto"/>
        </w:rPr>
        <w:t>Solicitante</w:t>
      </w:r>
      <w:r w:rsidRPr="00D17611">
        <w:rPr>
          <w:rFonts w:cs="Tahoma"/>
          <w:color w:val="auto"/>
        </w:rPr>
        <w:t>, en contra</w:t>
      </w:r>
      <w:r w:rsidR="00C67EF9" w:rsidRPr="00D17611">
        <w:rPr>
          <w:rFonts w:cs="Tahoma"/>
          <w:color w:val="auto"/>
        </w:rPr>
        <w:t xml:space="preserve"> </w:t>
      </w:r>
      <w:r w:rsidRPr="00D17611">
        <w:rPr>
          <w:rFonts w:cs="Tahoma"/>
          <w:color w:val="auto"/>
        </w:rPr>
        <w:t xml:space="preserve">de </w:t>
      </w:r>
      <w:r w:rsidR="00C67EF9" w:rsidRPr="00D17611">
        <w:rPr>
          <w:rFonts w:cs="Tahoma"/>
          <w:color w:val="auto"/>
        </w:rPr>
        <w:t xml:space="preserve">la </w:t>
      </w:r>
      <w:r w:rsidRPr="00D17611">
        <w:rPr>
          <w:rFonts w:cs="Tahoma"/>
          <w:color w:val="auto"/>
        </w:rPr>
        <w:t xml:space="preserve">respuesta del Sujeto Obligado, </w:t>
      </w:r>
      <w:r w:rsidR="00133F9E" w:rsidRPr="00B479B4">
        <w:rPr>
          <w:rFonts w:eastAsia="Calibri" w:cs="Tahoma"/>
          <w:b/>
          <w:color w:val="auto"/>
        </w:rPr>
        <w:t>Ayuntamiento de la Paz</w:t>
      </w:r>
      <w:r w:rsidR="005477C1" w:rsidRPr="00B479B4">
        <w:rPr>
          <w:rFonts w:cs="Tahoma"/>
          <w:b/>
          <w:color w:val="auto"/>
        </w:rPr>
        <w:t xml:space="preserve">, </w:t>
      </w:r>
      <w:r w:rsidRPr="00D17611">
        <w:rPr>
          <w:rFonts w:cs="Tahoma"/>
          <w:color w:val="auto"/>
        </w:rPr>
        <w:t xml:space="preserve">a la solicitud de acceso a la información </w:t>
      </w:r>
      <w:r w:rsidR="005477C1" w:rsidRPr="00D17611">
        <w:rPr>
          <w:rFonts w:cs="Tahoma"/>
          <w:color w:val="auto"/>
        </w:rPr>
        <w:t>pública</w:t>
      </w:r>
      <w:r w:rsidR="005477C1" w:rsidRPr="00D17611">
        <w:rPr>
          <w:rFonts w:ascii="Verdana" w:hAnsi="Verdana"/>
          <w:b/>
          <w:bCs/>
          <w:color w:val="auto"/>
        </w:rPr>
        <w:t xml:space="preserve"> </w:t>
      </w:r>
      <w:r w:rsidR="00531689" w:rsidRPr="00D17611">
        <w:rPr>
          <w:rFonts w:eastAsia="Calibri" w:cs="Tahoma"/>
          <w:color w:val="auto"/>
        </w:rPr>
        <w:t>00105/LAPAZ/IP/2025</w:t>
      </w:r>
      <w:r w:rsidRPr="00D17611">
        <w:rPr>
          <w:rFonts w:cs="Tahoma"/>
          <w:iCs/>
          <w:color w:val="auto"/>
        </w:rPr>
        <w:t>,</w:t>
      </w:r>
      <w:r w:rsidRPr="00D17611">
        <w:rPr>
          <w:rFonts w:cs="Tahoma"/>
          <w:color w:val="auto"/>
        </w:rPr>
        <w:t xml:space="preserve"> se emite</w:t>
      </w:r>
      <w:r w:rsidRPr="00D17611">
        <w:rPr>
          <w:rFonts w:cs="Tahoma"/>
          <w:bCs/>
          <w:color w:val="auto"/>
        </w:rPr>
        <w:t xml:space="preserve"> la </w:t>
      </w:r>
      <w:bookmarkStart w:id="1" w:name="_GoBack"/>
      <w:bookmarkEnd w:id="1"/>
      <w:r w:rsidRPr="00D17611">
        <w:rPr>
          <w:rFonts w:cs="Tahoma"/>
          <w:bCs/>
          <w:color w:val="auto"/>
        </w:rPr>
        <w:t>presente Resolución, con base en los Antecedentes y Considerandos que se exponen a continuación:</w:t>
      </w:r>
      <w:r w:rsidR="00702314">
        <w:rPr>
          <w:rFonts w:cs="Tahoma"/>
          <w:bCs/>
          <w:color w:val="auto"/>
        </w:rPr>
        <w:t xml:space="preserve"> </w:t>
      </w:r>
    </w:p>
    <w:p w14:paraId="40862826" w14:textId="77777777" w:rsidR="00EC77D9" w:rsidRPr="00D17611" w:rsidRDefault="00EC77D9" w:rsidP="00A62148">
      <w:pPr>
        <w:spacing w:after="0" w:line="360" w:lineRule="auto"/>
        <w:rPr>
          <w:rFonts w:eastAsia="Calibri" w:cs="Tahoma"/>
          <w:b/>
          <w:bCs/>
          <w:color w:val="auto"/>
          <w:lang w:val="es-ES"/>
        </w:rPr>
      </w:pPr>
    </w:p>
    <w:p w14:paraId="75BF07A7" w14:textId="1B1A449D" w:rsidR="00EC77D9" w:rsidRPr="00D17611" w:rsidRDefault="00EC77D9" w:rsidP="008D4BF2">
      <w:pPr>
        <w:pStyle w:val="Ttulo1"/>
        <w:rPr>
          <w:rFonts w:eastAsia="Calibri"/>
          <w:color w:val="auto"/>
          <w:lang w:val="es-ES"/>
        </w:rPr>
      </w:pPr>
      <w:bookmarkStart w:id="2" w:name="_Toc190871535"/>
      <w:bookmarkStart w:id="3" w:name="_Toc193806599"/>
      <w:r w:rsidRPr="00D17611">
        <w:rPr>
          <w:rFonts w:eastAsia="Calibri"/>
          <w:color w:val="auto"/>
          <w:lang w:val="es-ES"/>
        </w:rPr>
        <w:t>A N T E C E D E N T E S</w:t>
      </w:r>
      <w:bookmarkEnd w:id="2"/>
      <w:bookmarkEnd w:id="3"/>
    </w:p>
    <w:p w14:paraId="3C95874E" w14:textId="77777777" w:rsidR="00EC77D9" w:rsidRPr="00D17611" w:rsidRDefault="00EC77D9" w:rsidP="00A62148">
      <w:pPr>
        <w:spacing w:after="0" w:line="360" w:lineRule="auto"/>
        <w:rPr>
          <w:color w:val="FF0000"/>
          <w:lang w:val="es-ES"/>
        </w:rPr>
      </w:pPr>
    </w:p>
    <w:p w14:paraId="4F749C11" w14:textId="16E58D7E" w:rsidR="00EC77D9" w:rsidRPr="00D17611" w:rsidRDefault="00EC77D9" w:rsidP="008D4BF2">
      <w:pPr>
        <w:pStyle w:val="Ttulo2"/>
        <w:rPr>
          <w:rFonts w:eastAsia="Calibri"/>
          <w:color w:val="auto"/>
          <w:lang w:val="es-ES"/>
        </w:rPr>
      </w:pPr>
      <w:bookmarkStart w:id="4" w:name="_Toc190871536"/>
      <w:bookmarkStart w:id="5" w:name="_Toc193806600"/>
      <w:r w:rsidRPr="00D17611">
        <w:rPr>
          <w:rFonts w:eastAsia="Calibri"/>
          <w:color w:val="auto"/>
          <w:lang w:val="es-ES"/>
        </w:rPr>
        <w:t>I. Presentación</w:t>
      </w:r>
      <w:r w:rsidR="00C672B0" w:rsidRPr="00D17611">
        <w:rPr>
          <w:rFonts w:eastAsia="Calibri"/>
          <w:color w:val="auto"/>
          <w:lang w:val="es-ES"/>
        </w:rPr>
        <w:t xml:space="preserve"> de la solicitud de información</w:t>
      </w:r>
      <w:bookmarkEnd w:id="4"/>
      <w:bookmarkEnd w:id="5"/>
    </w:p>
    <w:p w14:paraId="2856D2CB" w14:textId="77777777" w:rsidR="000F08D4" w:rsidRPr="00D17611" w:rsidRDefault="000F08D4" w:rsidP="00A62148">
      <w:pPr>
        <w:spacing w:after="0" w:line="360" w:lineRule="auto"/>
        <w:rPr>
          <w:rFonts w:cs="Tahoma"/>
          <w:color w:val="FF0000"/>
        </w:rPr>
      </w:pPr>
    </w:p>
    <w:p w14:paraId="46A55CEB" w14:textId="2609F579" w:rsidR="00D17D14" w:rsidRPr="00D17611" w:rsidRDefault="00EA79A8" w:rsidP="00A62148">
      <w:pPr>
        <w:spacing w:after="0" w:line="360" w:lineRule="auto"/>
        <w:rPr>
          <w:rFonts w:eastAsia="Calibri" w:cs="Tahoma"/>
          <w:color w:val="auto"/>
        </w:rPr>
      </w:pPr>
      <w:r w:rsidRPr="00D17611">
        <w:rPr>
          <w:rFonts w:eastAsia="Calibri" w:cs="Tahoma"/>
          <w:color w:val="auto"/>
        </w:rPr>
        <w:t>El</w:t>
      </w:r>
      <w:r w:rsidR="004E73CE" w:rsidRPr="00D17611">
        <w:rPr>
          <w:rFonts w:eastAsia="Calibri" w:cs="Tahoma"/>
          <w:color w:val="auto"/>
        </w:rPr>
        <w:t xml:space="preserve"> </w:t>
      </w:r>
      <w:r w:rsidR="00FA6522" w:rsidRPr="00D17611">
        <w:rPr>
          <w:rFonts w:eastAsia="Calibri" w:cs="Tahoma"/>
          <w:color w:val="auto"/>
        </w:rPr>
        <w:t xml:space="preserve">once de febrero de dos mil veinticinco, </w:t>
      </w:r>
      <w:r w:rsidR="000F08D4" w:rsidRPr="00D17611">
        <w:rPr>
          <w:rFonts w:eastAsia="Calibri" w:cs="Tahoma"/>
          <w:color w:val="auto"/>
          <w:lang w:val="es-ES"/>
        </w:rPr>
        <w:t xml:space="preserve">se presentó una solicitud de información </w:t>
      </w:r>
      <w:r w:rsidR="009C1D2E" w:rsidRPr="00D17611">
        <w:rPr>
          <w:rFonts w:eastAsia="Calibri" w:cs="Tahoma"/>
          <w:color w:val="auto"/>
          <w:lang w:val="es-ES"/>
        </w:rPr>
        <w:t>por la persona Recurrente</w:t>
      </w:r>
      <w:r w:rsidR="000F08D4" w:rsidRPr="00D17611">
        <w:rPr>
          <w:rFonts w:eastAsia="Calibri" w:cs="Tahoma"/>
          <w:color w:val="auto"/>
          <w:lang w:val="es-ES"/>
        </w:rPr>
        <w:t>, a través del Sistema de Acceso a la Información Mexiquense (SAIMEX),</w:t>
      </w:r>
      <w:r w:rsidR="000F08D4" w:rsidRPr="00D17611">
        <w:rPr>
          <w:rFonts w:eastAsia="Calibri" w:cs="Times New Roman"/>
          <w:b/>
          <w:bCs/>
          <w:color w:val="auto"/>
        </w:rPr>
        <w:t xml:space="preserve"> </w:t>
      </w:r>
      <w:r w:rsidR="000F08D4" w:rsidRPr="00D17611">
        <w:rPr>
          <w:rFonts w:eastAsia="Calibri" w:cs="Tahoma"/>
          <w:color w:val="auto"/>
          <w:lang w:val="es-ES"/>
        </w:rPr>
        <w:t>ante</w:t>
      </w:r>
      <w:r w:rsidR="00C573A0" w:rsidRPr="00D17611">
        <w:rPr>
          <w:rFonts w:eastAsia="Calibri" w:cs="Tahoma"/>
          <w:color w:val="auto"/>
          <w:lang w:val="es-ES"/>
        </w:rPr>
        <w:t xml:space="preserve"> el</w:t>
      </w:r>
      <w:r w:rsidR="005477C1" w:rsidRPr="00D17611">
        <w:rPr>
          <w:rFonts w:eastAsia="Calibri" w:cs="Tahoma"/>
          <w:color w:val="auto"/>
        </w:rPr>
        <w:t xml:space="preserve"> </w:t>
      </w:r>
      <w:r w:rsidR="00133F9E" w:rsidRPr="00D17611">
        <w:rPr>
          <w:rFonts w:eastAsia="Calibri" w:cs="Tahoma"/>
          <w:color w:val="auto"/>
        </w:rPr>
        <w:t>Ayuntamiento de la Paz</w:t>
      </w:r>
      <w:r w:rsidR="000F08D4" w:rsidRPr="00D17611">
        <w:rPr>
          <w:rFonts w:eastAsia="Calibri" w:cs="Tahoma"/>
          <w:color w:val="auto"/>
        </w:rPr>
        <w:t xml:space="preserve">, </w:t>
      </w:r>
      <w:r w:rsidR="000F08D4" w:rsidRPr="00D17611">
        <w:rPr>
          <w:rFonts w:cs="Tahoma"/>
          <w:color w:val="auto"/>
        </w:rPr>
        <w:t>en los siguientes términos</w:t>
      </w:r>
      <w:r w:rsidR="002736F9" w:rsidRPr="00D17611">
        <w:rPr>
          <w:rFonts w:cs="Tahoma"/>
          <w:color w:val="auto"/>
        </w:rPr>
        <w:t>:</w:t>
      </w:r>
    </w:p>
    <w:p w14:paraId="50EA853A" w14:textId="77777777" w:rsidR="00D17D14" w:rsidRPr="00D17611" w:rsidRDefault="00D17D14" w:rsidP="00A62148">
      <w:pPr>
        <w:spacing w:after="0" w:line="360" w:lineRule="auto"/>
        <w:rPr>
          <w:rFonts w:cs="Tahoma"/>
          <w:color w:val="FF0000"/>
        </w:rPr>
      </w:pPr>
    </w:p>
    <w:p w14:paraId="3C749962" w14:textId="77777777" w:rsidR="00EC77D9" w:rsidRPr="00D17611" w:rsidRDefault="00EC77D9" w:rsidP="00E02D8B">
      <w:pPr>
        <w:spacing w:after="0" w:line="360" w:lineRule="auto"/>
        <w:ind w:left="567" w:right="567"/>
        <w:rPr>
          <w:rFonts w:eastAsia="Times New Roman" w:cs="Arial"/>
          <w:b/>
          <w:bCs/>
          <w:i/>
          <w:iCs/>
          <w:color w:val="auto"/>
          <w:sz w:val="20"/>
          <w:szCs w:val="20"/>
          <w:lang w:eastAsia="es-ES"/>
        </w:rPr>
      </w:pPr>
      <w:r w:rsidRPr="00D17611">
        <w:rPr>
          <w:rFonts w:cs="Tahoma"/>
          <w:b/>
          <w:bCs/>
          <w:i/>
          <w:color w:val="auto"/>
          <w:sz w:val="20"/>
          <w:szCs w:val="20"/>
        </w:rPr>
        <w:t>“</w:t>
      </w:r>
      <w:r w:rsidRPr="00D17611">
        <w:rPr>
          <w:rFonts w:eastAsia="Times New Roman" w:cs="Arial"/>
          <w:b/>
          <w:bCs/>
          <w:i/>
          <w:iCs/>
          <w:color w:val="auto"/>
          <w:sz w:val="20"/>
          <w:szCs w:val="20"/>
          <w:lang w:eastAsia="es-ES"/>
        </w:rPr>
        <w:t>DESCRIPCIÓN CLARA Y PRECISA DE LA INFORMACIÓN SOLICITADA</w:t>
      </w:r>
    </w:p>
    <w:p w14:paraId="689200E8" w14:textId="62C61E67" w:rsidR="00435EA7" w:rsidRPr="00D17611" w:rsidRDefault="00FA6522" w:rsidP="00FA6522">
      <w:pPr>
        <w:spacing w:after="0" w:line="360" w:lineRule="auto"/>
        <w:ind w:left="567" w:right="567"/>
        <w:rPr>
          <w:rFonts w:eastAsia="Times New Roman" w:cs="Arial"/>
          <w:bCs/>
          <w:i/>
          <w:iCs/>
          <w:color w:val="auto"/>
          <w:sz w:val="20"/>
          <w:szCs w:val="20"/>
          <w:lang w:eastAsia="es-ES"/>
        </w:rPr>
      </w:pPr>
      <w:bookmarkStart w:id="6" w:name="_Hlk168055945"/>
      <w:r w:rsidRPr="00D17611">
        <w:rPr>
          <w:rFonts w:eastAsia="Times New Roman" w:cs="Arial"/>
          <w:bCs/>
          <w:i/>
          <w:iCs/>
          <w:color w:val="auto"/>
          <w:sz w:val="20"/>
          <w:szCs w:val="20"/>
          <w:lang w:eastAsia="es-ES"/>
        </w:rPr>
        <w:t xml:space="preserve">Convenio laboral firmado con el sindicato </w:t>
      </w:r>
      <w:proofErr w:type="spellStart"/>
      <w:r w:rsidRPr="00D17611">
        <w:rPr>
          <w:rFonts w:eastAsia="Times New Roman" w:cs="Arial"/>
          <w:bCs/>
          <w:i/>
          <w:iCs/>
          <w:color w:val="auto"/>
          <w:sz w:val="20"/>
          <w:szCs w:val="20"/>
          <w:lang w:eastAsia="es-ES"/>
        </w:rPr>
        <w:t>Suteym</w:t>
      </w:r>
      <w:proofErr w:type="spellEnd"/>
      <w:r w:rsidRPr="00D17611">
        <w:rPr>
          <w:rFonts w:eastAsia="Times New Roman" w:cs="Arial"/>
          <w:bCs/>
          <w:i/>
          <w:iCs/>
          <w:color w:val="auto"/>
          <w:sz w:val="20"/>
          <w:szCs w:val="20"/>
          <w:lang w:eastAsia="es-ES"/>
        </w:rPr>
        <w:t xml:space="preserve"> y el H ayuntamiento del año 2024” (Sic)</w:t>
      </w:r>
    </w:p>
    <w:p w14:paraId="658938D9" w14:textId="77777777" w:rsidR="00FA6522" w:rsidRPr="00D17611" w:rsidRDefault="00FA6522" w:rsidP="00A62148">
      <w:pPr>
        <w:tabs>
          <w:tab w:val="left" w:pos="4667"/>
        </w:tabs>
        <w:spacing w:after="0" w:line="360" w:lineRule="auto"/>
        <w:ind w:left="567" w:right="567"/>
        <w:rPr>
          <w:rFonts w:eastAsia="Times New Roman" w:cs="Tahoma"/>
          <w:b/>
          <w:bCs/>
          <w:i/>
          <w:iCs/>
          <w:color w:val="auto"/>
          <w:sz w:val="20"/>
          <w:szCs w:val="20"/>
          <w:lang w:eastAsia="es-ES"/>
        </w:rPr>
      </w:pPr>
    </w:p>
    <w:p w14:paraId="1DAB7206" w14:textId="191C2A5D" w:rsidR="00EC77D9" w:rsidRPr="00D17611" w:rsidRDefault="00EC77D9" w:rsidP="00A62148">
      <w:pPr>
        <w:tabs>
          <w:tab w:val="left" w:pos="4667"/>
        </w:tabs>
        <w:spacing w:after="0" w:line="360" w:lineRule="auto"/>
        <w:ind w:left="567" w:right="567"/>
        <w:rPr>
          <w:rFonts w:eastAsia="Times New Roman" w:cs="Tahoma"/>
          <w:b/>
          <w:bCs/>
          <w:i/>
          <w:iCs/>
          <w:color w:val="auto"/>
          <w:sz w:val="20"/>
          <w:szCs w:val="20"/>
          <w:lang w:eastAsia="es-ES"/>
        </w:rPr>
      </w:pPr>
      <w:r w:rsidRPr="00D17611">
        <w:rPr>
          <w:rFonts w:eastAsia="Times New Roman" w:cs="Tahoma"/>
          <w:b/>
          <w:bCs/>
          <w:i/>
          <w:iCs/>
          <w:color w:val="auto"/>
          <w:sz w:val="20"/>
          <w:szCs w:val="20"/>
          <w:lang w:eastAsia="es-ES"/>
        </w:rPr>
        <w:t>“MODALIDAD DE ENTREGA</w:t>
      </w:r>
    </w:p>
    <w:p w14:paraId="4C266D02" w14:textId="3E9CE1FA" w:rsidR="00CD4962" w:rsidRPr="00D17611" w:rsidRDefault="00EC77D9" w:rsidP="00A62148">
      <w:pPr>
        <w:spacing w:after="0" w:line="360" w:lineRule="auto"/>
        <w:ind w:left="567" w:right="567"/>
        <w:rPr>
          <w:rFonts w:eastAsia="Times New Roman" w:cs="Arial"/>
          <w:bCs/>
          <w:i/>
          <w:iCs/>
          <w:color w:val="auto"/>
          <w:sz w:val="20"/>
          <w:szCs w:val="20"/>
          <w:lang w:eastAsia="es-ES"/>
        </w:rPr>
      </w:pPr>
      <w:r w:rsidRPr="00D17611">
        <w:rPr>
          <w:rFonts w:eastAsia="Times New Roman" w:cs="Arial"/>
          <w:bCs/>
          <w:i/>
          <w:iCs/>
          <w:color w:val="auto"/>
          <w:sz w:val="20"/>
          <w:szCs w:val="20"/>
          <w:lang w:eastAsia="es-ES"/>
        </w:rPr>
        <w:t xml:space="preserve">A través del SAIMEX” </w:t>
      </w:r>
      <w:bookmarkEnd w:id="6"/>
    </w:p>
    <w:p w14:paraId="44D2076E" w14:textId="77777777" w:rsidR="00E161BB" w:rsidRPr="00D17611" w:rsidRDefault="00E161BB" w:rsidP="00A62148">
      <w:pPr>
        <w:tabs>
          <w:tab w:val="left" w:pos="4667"/>
        </w:tabs>
        <w:spacing w:after="0" w:line="360" w:lineRule="auto"/>
        <w:ind w:right="567"/>
        <w:rPr>
          <w:rFonts w:eastAsia="Times New Roman" w:cs="Tahoma"/>
          <w:b/>
          <w:bCs/>
          <w:color w:val="FF0000"/>
          <w:szCs w:val="24"/>
          <w:lang w:eastAsia="es-ES"/>
        </w:rPr>
      </w:pPr>
    </w:p>
    <w:p w14:paraId="1F1DE128" w14:textId="37E1397D" w:rsidR="003D0B51" w:rsidRPr="00D17611" w:rsidRDefault="00A05C78" w:rsidP="008D4BF2">
      <w:pPr>
        <w:pStyle w:val="Ttulo2"/>
        <w:rPr>
          <w:rFonts w:eastAsia="Times New Roman"/>
          <w:color w:val="auto"/>
          <w:lang w:eastAsia="es-ES"/>
        </w:rPr>
      </w:pPr>
      <w:bookmarkStart w:id="7" w:name="_Toc190871537"/>
      <w:bookmarkStart w:id="8" w:name="_Toc193806601"/>
      <w:r w:rsidRPr="00D17611">
        <w:rPr>
          <w:rFonts w:eastAsia="Times New Roman"/>
          <w:color w:val="auto"/>
          <w:lang w:eastAsia="es-ES"/>
        </w:rPr>
        <w:t>I</w:t>
      </w:r>
      <w:r w:rsidR="00265193" w:rsidRPr="00D17611">
        <w:rPr>
          <w:rFonts w:eastAsia="Times New Roman"/>
          <w:color w:val="auto"/>
          <w:lang w:eastAsia="es-ES"/>
        </w:rPr>
        <w:t>I</w:t>
      </w:r>
      <w:r w:rsidR="001756F2" w:rsidRPr="00D17611">
        <w:rPr>
          <w:rFonts w:eastAsia="Times New Roman"/>
          <w:color w:val="auto"/>
          <w:lang w:eastAsia="es-ES"/>
        </w:rPr>
        <w:t>. Respuesta</w:t>
      </w:r>
      <w:r w:rsidR="00E161BB" w:rsidRPr="00D17611">
        <w:rPr>
          <w:rFonts w:eastAsia="Times New Roman"/>
          <w:color w:val="auto"/>
          <w:lang w:eastAsia="es-ES"/>
        </w:rPr>
        <w:t xml:space="preserve"> del Sujeto Obligado</w:t>
      </w:r>
      <w:bookmarkEnd w:id="7"/>
      <w:bookmarkEnd w:id="8"/>
    </w:p>
    <w:p w14:paraId="538CCB70" w14:textId="77777777" w:rsidR="005477C1" w:rsidRPr="00D17611" w:rsidRDefault="005477C1" w:rsidP="005477C1">
      <w:pPr>
        <w:tabs>
          <w:tab w:val="left" w:pos="4667"/>
        </w:tabs>
        <w:spacing w:after="0" w:line="360" w:lineRule="auto"/>
        <w:ind w:right="567"/>
        <w:rPr>
          <w:rFonts w:eastAsia="Times New Roman" w:cs="Tahoma"/>
          <w:b/>
          <w:bCs/>
          <w:color w:val="FF0000"/>
          <w:szCs w:val="24"/>
          <w:lang w:eastAsia="es-ES"/>
        </w:rPr>
      </w:pPr>
    </w:p>
    <w:p w14:paraId="0C1FC0D0" w14:textId="44BB1E7B" w:rsidR="00FA6522" w:rsidRPr="00D17611" w:rsidRDefault="00E6783D" w:rsidP="00A62148">
      <w:pPr>
        <w:autoSpaceDE w:val="0"/>
        <w:autoSpaceDN w:val="0"/>
        <w:adjustRightInd w:val="0"/>
        <w:spacing w:after="0" w:line="360" w:lineRule="auto"/>
        <w:contextualSpacing/>
        <w:rPr>
          <w:rFonts w:eastAsia="Times New Roman" w:cs="Tahoma"/>
          <w:color w:val="auto"/>
          <w:lang w:eastAsia="es-ES"/>
        </w:rPr>
      </w:pPr>
      <w:bookmarkStart w:id="9" w:name="_Hlk170906280"/>
      <w:r w:rsidRPr="00D17611">
        <w:rPr>
          <w:rFonts w:eastAsia="Calibri" w:cs="Tahoma"/>
          <w:color w:val="auto"/>
        </w:rPr>
        <w:lastRenderedPageBreak/>
        <w:t xml:space="preserve">El </w:t>
      </w:r>
      <w:r w:rsidR="00FA6522" w:rsidRPr="00D17611">
        <w:rPr>
          <w:rFonts w:eastAsia="Calibri" w:cs="Tahoma"/>
          <w:color w:val="auto"/>
        </w:rPr>
        <w:t>veinte</w:t>
      </w:r>
      <w:r w:rsidR="005477C1" w:rsidRPr="00D17611">
        <w:rPr>
          <w:rFonts w:eastAsia="Calibri" w:cs="Tahoma"/>
          <w:color w:val="auto"/>
        </w:rPr>
        <w:t xml:space="preserve"> de febrero de dos </w:t>
      </w:r>
      <w:r w:rsidR="00E161BB" w:rsidRPr="00D17611">
        <w:rPr>
          <w:rFonts w:eastAsia="Calibri" w:cs="Tahoma"/>
          <w:color w:val="auto"/>
        </w:rPr>
        <w:t xml:space="preserve">mil veinticinco, </w:t>
      </w:r>
      <w:r w:rsidRPr="00D17611">
        <w:rPr>
          <w:rFonts w:eastAsia="Calibri" w:cs="Tahoma"/>
          <w:color w:val="auto"/>
        </w:rPr>
        <w:t xml:space="preserve">el Sujeto Obligado notificó al Particular, mediante el </w:t>
      </w:r>
      <w:r w:rsidRPr="00D17611">
        <w:rPr>
          <w:rFonts w:eastAsia="Times New Roman" w:cs="Tahoma"/>
          <w:color w:val="auto"/>
          <w:lang w:eastAsia="es-ES"/>
        </w:rPr>
        <w:t xml:space="preserve">Sistema de Acceso a la Información Mexiquense (SAIMEX), la respuesta a la solicitud de acceso a la información, </w:t>
      </w:r>
      <w:r w:rsidR="00FA6522" w:rsidRPr="00D17611">
        <w:rPr>
          <w:rFonts w:eastAsia="Times New Roman" w:cs="Tahoma"/>
          <w:color w:val="auto"/>
          <w:lang w:eastAsia="es-ES"/>
        </w:rPr>
        <w:t>a través de un escrito de la misma fecha, suscrito por la Titular de la Coordinación de la Unidad de Transparencia, por medio del cual menciona lo siguiente:</w:t>
      </w:r>
    </w:p>
    <w:p w14:paraId="761FA722" w14:textId="77777777" w:rsidR="00435EA7" w:rsidRPr="00D17611" w:rsidRDefault="00435EA7" w:rsidP="00FA6522">
      <w:pPr>
        <w:spacing w:after="0" w:line="360" w:lineRule="auto"/>
        <w:ind w:left="567" w:right="567"/>
        <w:rPr>
          <w:rFonts w:eastAsia="Times New Roman" w:cs="Arial"/>
          <w:bCs/>
          <w:i/>
          <w:iCs/>
          <w:color w:val="auto"/>
          <w:sz w:val="20"/>
          <w:szCs w:val="20"/>
          <w:lang w:eastAsia="es-ES"/>
        </w:rPr>
      </w:pPr>
    </w:p>
    <w:p w14:paraId="7BB510CD" w14:textId="77777777" w:rsidR="00FA6522" w:rsidRPr="00D17611" w:rsidRDefault="00BC05D7" w:rsidP="00FA6522">
      <w:pPr>
        <w:spacing w:after="0" w:line="360" w:lineRule="auto"/>
        <w:ind w:left="567" w:right="567"/>
        <w:rPr>
          <w:rFonts w:eastAsia="Times New Roman" w:cs="Arial"/>
          <w:bCs/>
          <w:i/>
          <w:iCs/>
          <w:color w:val="auto"/>
          <w:sz w:val="20"/>
          <w:szCs w:val="20"/>
          <w:lang w:eastAsia="es-ES"/>
        </w:rPr>
      </w:pPr>
      <w:r w:rsidRPr="00D17611">
        <w:rPr>
          <w:rFonts w:eastAsia="Times New Roman" w:cs="Arial"/>
          <w:bCs/>
          <w:i/>
          <w:iCs/>
          <w:color w:val="auto"/>
          <w:sz w:val="20"/>
          <w:szCs w:val="20"/>
          <w:lang w:eastAsia="es-ES"/>
        </w:rPr>
        <w:t>“…</w:t>
      </w:r>
      <w:r w:rsidR="00FA6522" w:rsidRPr="00D17611">
        <w:rPr>
          <w:rFonts w:eastAsia="Times New Roman" w:cs="Arial"/>
          <w:bCs/>
          <w:i/>
          <w:iCs/>
          <w:color w:val="auto"/>
          <w:sz w:val="20"/>
          <w:szCs w:val="20"/>
          <w:lang w:eastAsia="es-ES"/>
        </w:rPr>
        <w:t xml:space="preserve">Por este medio y de la manera más respetuosa hago de su conocimiento, que la información solicitada a través de este medio no es competencia de este sujeto obligado, ya que órgano al que menciona (sindicato) cuenta con su unidad interna de Transparencia, por lo cual me permito dirigirlo a su siguiente </w:t>
      </w:r>
      <w:proofErr w:type="spellStart"/>
      <w:r w:rsidR="00FA6522" w:rsidRPr="00D17611">
        <w:rPr>
          <w:rFonts w:eastAsia="Times New Roman" w:cs="Arial"/>
          <w:bCs/>
          <w:i/>
          <w:iCs/>
          <w:color w:val="auto"/>
          <w:sz w:val="20"/>
          <w:szCs w:val="20"/>
          <w:lang w:eastAsia="es-ES"/>
        </w:rPr>
        <w:t>pagina</w:t>
      </w:r>
      <w:proofErr w:type="spellEnd"/>
      <w:r w:rsidR="00FA6522" w:rsidRPr="00D17611">
        <w:rPr>
          <w:rFonts w:eastAsia="Times New Roman" w:cs="Arial"/>
          <w:bCs/>
          <w:i/>
          <w:iCs/>
          <w:color w:val="auto"/>
          <w:sz w:val="20"/>
          <w:szCs w:val="20"/>
          <w:lang w:eastAsia="es-ES"/>
        </w:rPr>
        <w:t xml:space="preserve"> y/o correo electrónico: SUTEYMLaPAz22.26@gmail.com </w:t>
      </w:r>
    </w:p>
    <w:p w14:paraId="36661A2E" w14:textId="77777777" w:rsidR="00FA6522" w:rsidRPr="00D17611" w:rsidRDefault="00FA6522" w:rsidP="00FA6522">
      <w:pPr>
        <w:spacing w:after="0" w:line="360" w:lineRule="auto"/>
        <w:ind w:left="567" w:right="567"/>
        <w:rPr>
          <w:rFonts w:eastAsia="Times New Roman" w:cs="Arial"/>
          <w:bCs/>
          <w:i/>
          <w:iCs/>
          <w:color w:val="auto"/>
          <w:sz w:val="20"/>
          <w:szCs w:val="20"/>
          <w:lang w:eastAsia="es-ES"/>
        </w:rPr>
      </w:pPr>
    </w:p>
    <w:p w14:paraId="06F1D7E8" w14:textId="28CD86C5" w:rsidR="004520C8" w:rsidRPr="00D17611" w:rsidRDefault="00FA6522" w:rsidP="00FA6522">
      <w:pPr>
        <w:spacing w:after="0" w:line="360" w:lineRule="auto"/>
        <w:ind w:left="567" w:right="567"/>
        <w:rPr>
          <w:rFonts w:eastAsia="Times New Roman" w:cs="Arial"/>
          <w:bCs/>
          <w:i/>
          <w:iCs/>
          <w:color w:val="auto"/>
          <w:sz w:val="20"/>
          <w:szCs w:val="20"/>
          <w:lang w:eastAsia="es-ES"/>
        </w:rPr>
      </w:pPr>
      <w:r w:rsidRPr="00D17611">
        <w:rPr>
          <w:rFonts w:eastAsia="Times New Roman" w:cs="Arial"/>
          <w:bCs/>
          <w:i/>
          <w:iCs/>
          <w:color w:val="auto"/>
          <w:sz w:val="20"/>
          <w:szCs w:val="20"/>
          <w:lang w:eastAsia="es-ES"/>
        </w:rPr>
        <w:t>Sin otro punto que aclarar me despido recordándole que la Unidad de Transparencia se encuentra a sus órdenes…” (Sic)</w:t>
      </w:r>
    </w:p>
    <w:p w14:paraId="74B5C630" w14:textId="77777777" w:rsidR="007B0D14" w:rsidRPr="00D17611" w:rsidRDefault="007B0D14" w:rsidP="00703C9F">
      <w:pPr>
        <w:spacing w:after="0" w:line="360" w:lineRule="auto"/>
        <w:ind w:right="567"/>
        <w:rPr>
          <w:rFonts w:eastAsia="Times New Roman" w:cs="Arial"/>
          <w:bCs/>
          <w:i/>
          <w:iCs/>
          <w:color w:val="FF0000"/>
          <w:sz w:val="20"/>
          <w:szCs w:val="20"/>
          <w:lang w:eastAsia="es-ES"/>
        </w:rPr>
      </w:pPr>
    </w:p>
    <w:p w14:paraId="56912486" w14:textId="54653D4D" w:rsidR="00EC77D9" w:rsidRPr="00D17611" w:rsidRDefault="00EC77D9" w:rsidP="008D4BF2">
      <w:pPr>
        <w:pStyle w:val="Ttulo2"/>
        <w:rPr>
          <w:rFonts w:eastAsia="Calibri"/>
          <w:color w:val="auto"/>
        </w:rPr>
      </w:pPr>
      <w:bookmarkStart w:id="10" w:name="_Toc190871538"/>
      <w:bookmarkStart w:id="11" w:name="_Toc193806602"/>
      <w:bookmarkEnd w:id="9"/>
      <w:r w:rsidRPr="00D17611">
        <w:rPr>
          <w:rFonts w:eastAsia="Calibri"/>
          <w:color w:val="auto"/>
        </w:rPr>
        <w:t>I</w:t>
      </w:r>
      <w:r w:rsidR="007B0D14" w:rsidRPr="00D17611">
        <w:rPr>
          <w:rFonts w:eastAsia="Calibri"/>
          <w:color w:val="auto"/>
        </w:rPr>
        <w:t>II</w:t>
      </w:r>
      <w:r w:rsidRPr="00D17611">
        <w:rPr>
          <w:rFonts w:eastAsia="Calibri"/>
          <w:color w:val="auto"/>
        </w:rPr>
        <w:t>. Interpo</w:t>
      </w:r>
      <w:r w:rsidR="007B0D14" w:rsidRPr="00D17611">
        <w:rPr>
          <w:rFonts w:eastAsia="Calibri"/>
          <w:color w:val="auto"/>
        </w:rPr>
        <w:t>sición del Recurso de Revisión</w:t>
      </w:r>
      <w:bookmarkEnd w:id="10"/>
      <w:bookmarkEnd w:id="11"/>
    </w:p>
    <w:p w14:paraId="193305E5" w14:textId="77777777" w:rsidR="00EC77D9" w:rsidRPr="00D17611" w:rsidRDefault="00EC77D9" w:rsidP="00A62148">
      <w:pPr>
        <w:spacing w:after="0" w:line="360" w:lineRule="auto"/>
        <w:rPr>
          <w:rFonts w:eastAsia="Times New Roman" w:cs="Tahoma"/>
          <w:bCs/>
          <w:color w:val="FF0000"/>
          <w:lang w:eastAsia="es-ES"/>
        </w:rPr>
      </w:pPr>
    </w:p>
    <w:p w14:paraId="24595562" w14:textId="51C14341" w:rsidR="00EC77D9" w:rsidRPr="00D17611" w:rsidRDefault="00F1768D" w:rsidP="00A62148">
      <w:pPr>
        <w:spacing w:after="0" w:line="360" w:lineRule="auto"/>
        <w:rPr>
          <w:rFonts w:eastAsia="Times New Roman" w:cs="Tahoma"/>
          <w:b/>
          <w:bCs/>
          <w:color w:val="auto"/>
          <w:lang w:eastAsia="es-ES"/>
        </w:rPr>
      </w:pPr>
      <w:r w:rsidRPr="00D17611">
        <w:rPr>
          <w:rFonts w:eastAsia="Times New Roman" w:cs="Tahoma"/>
          <w:bCs/>
          <w:color w:val="auto"/>
          <w:lang w:val="es-ES" w:eastAsia="es-ES"/>
        </w:rPr>
        <w:t xml:space="preserve">El </w:t>
      </w:r>
      <w:r w:rsidR="00FA6522" w:rsidRPr="00D17611">
        <w:rPr>
          <w:rFonts w:eastAsia="Times New Roman" w:cs="Tahoma"/>
          <w:bCs/>
          <w:color w:val="auto"/>
          <w:lang w:val="es-ES" w:eastAsia="es-ES"/>
        </w:rPr>
        <w:t xml:space="preserve">veinticuatro de febrero de dos mil veinticinco, se recibió </w:t>
      </w:r>
      <w:r w:rsidR="00EE6AAF" w:rsidRPr="00D17611">
        <w:rPr>
          <w:rFonts w:eastAsia="Times New Roman" w:cs="Tahoma"/>
          <w:bCs/>
          <w:color w:val="auto"/>
          <w:lang w:eastAsia="es-ES"/>
        </w:rPr>
        <w:t xml:space="preserve">en este Instituto, a través del </w:t>
      </w:r>
      <w:r w:rsidR="00EE6AAF" w:rsidRPr="00D17611">
        <w:rPr>
          <w:rFonts w:eastAsia="Times New Roman" w:cs="Tahoma"/>
          <w:bCs/>
          <w:color w:val="auto"/>
          <w:lang w:val="es-ES" w:eastAsia="es-ES"/>
        </w:rPr>
        <w:t>Sistema de Acceso a la Información Mexiquense (SAIMEX)</w:t>
      </w:r>
      <w:r w:rsidR="00EE6AAF" w:rsidRPr="00D17611">
        <w:rPr>
          <w:rFonts w:eastAsia="Times New Roman" w:cs="Tahoma"/>
          <w:bCs/>
          <w:color w:val="auto"/>
          <w:lang w:eastAsia="es-ES"/>
        </w:rPr>
        <w:t>,</w:t>
      </w:r>
      <w:r w:rsidR="00FA6522" w:rsidRPr="00D17611">
        <w:rPr>
          <w:rFonts w:eastAsia="Times New Roman" w:cs="Tahoma"/>
          <w:bCs/>
          <w:color w:val="auto"/>
          <w:lang w:eastAsia="es-ES"/>
        </w:rPr>
        <w:t xml:space="preserve"> </w:t>
      </w:r>
      <w:r w:rsidR="00FA6522" w:rsidRPr="00D17611">
        <w:rPr>
          <w:rFonts w:eastAsia="Times New Roman" w:cs="Tahoma"/>
          <w:b/>
          <w:bCs/>
          <w:color w:val="auto"/>
          <w:lang w:eastAsia="es-ES"/>
        </w:rPr>
        <w:t>(ya que si bien, se tuvo por interpuesto el veintidós de dicho mes y año, este fue inhábil por lo que se tuvo por presentado el día hábil subsecuente)</w:t>
      </w:r>
      <w:r w:rsidR="00EE6AAF" w:rsidRPr="00D17611">
        <w:rPr>
          <w:rFonts w:eastAsia="Times New Roman" w:cs="Tahoma"/>
          <w:bCs/>
          <w:color w:val="auto"/>
          <w:lang w:eastAsia="es-ES"/>
        </w:rPr>
        <w:t xml:space="preserve"> el Recurso de Revisión interpuesto por la p</w:t>
      </w:r>
      <w:r w:rsidR="00D55E2F" w:rsidRPr="00D17611">
        <w:rPr>
          <w:rFonts w:eastAsia="Times New Roman" w:cs="Tahoma"/>
          <w:bCs/>
          <w:color w:val="auto"/>
          <w:lang w:eastAsia="es-ES"/>
        </w:rPr>
        <w:t>ersona</w:t>
      </w:r>
      <w:r w:rsidR="00EE6AAF" w:rsidRPr="00D17611">
        <w:rPr>
          <w:rFonts w:eastAsia="Times New Roman" w:cs="Tahoma"/>
          <w:bCs/>
          <w:color w:val="auto"/>
          <w:lang w:eastAsia="es-ES"/>
        </w:rPr>
        <w:t xml:space="preserve"> Recurrente, en contra</w:t>
      </w:r>
      <w:r w:rsidR="0068447E" w:rsidRPr="00D17611">
        <w:rPr>
          <w:rFonts w:eastAsia="Times New Roman" w:cs="Tahoma"/>
          <w:bCs/>
          <w:color w:val="auto"/>
          <w:lang w:eastAsia="es-ES"/>
        </w:rPr>
        <w:t xml:space="preserve"> </w:t>
      </w:r>
      <w:r w:rsidR="00EE6AAF" w:rsidRPr="00D17611">
        <w:rPr>
          <w:rFonts w:eastAsia="Times New Roman" w:cs="Tahoma"/>
          <w:bCs/>
          <w:color w:val="auto"/>
          <w:lang w:eastAsia="es-ES"/>
        </w:rPr>
        <w:t>de</w:t>
      </w:r>
      <w:r w:rsidR="0068447E" w:rsidRPr="00D17611">
        <w:rPr>
          <w:rFonts w:eastAsia="Times New Roman" w:cs="Tahoma"/>
          <w:bCs/>
          <w:color w:val="auto"/>
          <w:lang w:eastAsia="es-ES"/>
        </w:rPr>
        <w:t xml:space="preserve"> la</w:t>
      </w:r>
      <w:r w:rsidR="007B0D14" w:rsidRPr="00D17611">
        <w:rPr>
          <w:rFonts w:eastAsia="Times New Roman" w:cs="Tahoma"/>
          <w:bCs/>
          <w:color w:val="auto"/>
          <w:lang w:eastAsia="es-ES"/>
        </w:rPr>
        <w:t xml:space="preserve"> respuesta del Sujeto Obligado</w:t>
      </w:r>
      <w:r w:rsidR="00B90EF8" w:rsidRPr="00D17611">
        <w:rPr>
          <w:rFonts w:eastAsia="Calibri" w:cs="Times New Roman"/>
          <w:color w:val="auto"/>
        </w:rPr>
        <w:t xml:space="preserve">, </w:t>
      </w:r>
      <w:r w:rsidR="00EE6AAF" w:rsidRPr="00D17611">
        <w:rPr>
          <w:rFonts w:eastAsia="Times New Roman" w:cs="Tahoma"/>
          <w:bCs/>
          <w:color w:val="auto"/>
          <w:lang w:eastAsia="es-ES"/>
        </w:rPr>
        <w:t>en los siguientes términos:</w:t>
      </w:r>
    </w:p>
    <w:p w14:paraId="1900B5E9" w14:textId="77777777" w:rsidR="003D0B51" w:rsidRPr="00D17611" w:rsidRDefault="003D0B51" w:rsidP="00A62148">
      <w:pPr>
        <w:spacing w:after="0" w:line="360" w:lineRule="auto"/>
        <w:rPr>
          <w:rFonts w:eastAsia="Times New Roman" w:cs="Tahoma"/>
          <w:b/>
          <w:bCs/>
          <w:color w:val="FF0000"/>
          <w:lang w:val="es-ES" w:eastAsia="es-ES"/>
        </w:rPr>
      </w:pPr>
    </w:p>
    <w:p w14:paraId="122D4953" w14:textId="77777777" w:rsidR="00EC77D9" w:rsidRPr="00D17611" w:rsidRDefault="00EC77D9" w:rsidP="00A62148">
      <w:pPr>
        <w:spacing w:after="0" w:line="360" w:lineRule="auto"/>
        <w:ind w:left="567" w:right="567"/>
        <w:rPr>
          <w:rFonts w:eastAsia="Times New Roman" w:cs="Tahoma"/>
          <w:b/>
          <w:bCs/>
          <w:i/>
          <w:iCs/>
          <w:color w:val="auto"/>
          <w:sz w:val="20"/>
          <w:szCs w:val="20"/>
          <w:lang w:eastAsia="es-ES"/>
        </w:rPr>
      </w:pPr>
      <w:r w:rsidRPr="00D17611">
        <w:rPr>
          <w:rFonts w:eastAsia="Times New Roman" w:cs="Tahoma"/>
          <w:b/>
          <w:bCs/>
          <w:i/>
          <w:iCs/>
          <w:color w:val="auto"/>
          <w:sz w:val="20"/>
          <w:szCs w:val="20"/>
          <w:lang w:eastAsia="es-ES"/>
        </w:rPr>
        <w:t>“ACTO IMPUGNADO</w:t>
      </w:r>
    </w:p>
    <w:p w14:paraId="6E62BBE2" w14:textId="576FC9BE" w:rsidR="00EC77D9" w:rsidRPr="00D17611" w:rsidRDefault="00FA6522" w:rsidP="00A62148">
      <w:pPr>
        <w:spacing w:after="0" w:line="360" w:lineRule="auto"/>
        <w:ind w:left="567" w:right="567"/>
        <w:rPr>
          <w:rFonts w:eastAsia="Times New Roman" w:cs="Tahoma"/>
          <w:bCs/>
          <w:i/>
          <w:color w:val="auto"/>
          <w:sz w:val="20"/>
          <w:szCs w:val="20"/>
          <w:lang w:eastAsia="es-ES"/>
        </w:rPr>
      </w:pPr>
      <w:r w:rsidRPr="00D17611">
        <w:rPr>
          <w:rFonts w:eastAsia="Times New Roman" w:cs="Tahoma"/>
          <w:bCs/>
          <w:i/>
          <w:color w:val="auto"/>
          <w:sz w:val="20"/>
          <w:szCs w:val="20"/>
          <w:lang w:eastAsia="es-ES"/>
        </w:rPr>
        <w:t xml:space="preserve">RECURSO DE REVISION” </w:t>
      </w:r>
      <w:r w:rsidR="00703C9F" w:rsidRPr="00D17611">
        <w:rPr>
          <w:rFonts w:eastAsia="Times New Roman" w:cs="Tahoma"/>
          <w:bCs/>
          <w:i/>
          <w:color w:val="auto"/>
          <w:sz w:val="20"/>
          <w:szCs w:val="20"/>
          <w:lang w:eastAsia="es-ES"/>
        </w:rPr>
        <w:t xml:space="preserve"> (Sic</w:t>
      </w:r>
      <w:r w:rsidR="00E86948" w:rsidRPr="00D17611">
        <w:rPr>
          <w:rFonts w:eastAsia="Times New Roman" w:cs="Tahoma"/>
          <w:bCs/>
          <w:i/>
          <w:color w:val="auto"/>
          <w:sz w:val="20"/>
          <w:szCs w:val="20"/>
          <w:lang w:eastAsia="es-ES"/>
        </w:rPr>
        <w:t>)</w:t>
      </w:r>
    </w:p>
    <w:p w14:paraId="5CCEB8EC" w14:textId="200EAB7C" w:rsidR="00EC77D9" w:rsidRPr="00D17611" w:rsidRDefault="00EC77D9" w:rsidP="00A62148">
      <w:pPr>
        <w:spacing w:after="0" w:line="360" w:lineRule="auto"/>
        <w:ind w:left="567" w:right="567"/>
        <w:rPr>
          <w:rFonts w:eastAsia="Times New Roman" w:cs="Tahoma"/>
          <w:bCs/>
          <w:i/>
          <w:color w:val="FF0000"/>
          <w:sz w:val="20"/>
          <w:szCs w:val="20"/>
          <w:lang w:eastAsia="es-ES"/>
        </w:rPr>
      </w:pPr>
    </w:p>
    <w:p w14:paraId="01991E43" w14:textId="7A969951" w:rsidR="00EC77D9" w:rsidRPr="00D17611" w:rsidRDefault="00EC77D9" w:rsidP="00A62148">
      <w:pPr>
        <w:spacing w:after="0" w:line="360" w:lineRule="auto"/>
        <w:ind w:left="567" w:right="567"/>
        <w:rPr>
          <w:rFonts w:eastAsia="Times New Roman" w:cs="Tahoma"/>
          <w:b/>
          <w:bCs/>
          <w:i/>
          <w:color w:val="auto"/>
          <w:sz w:val="20"/>
          <w:szCs w:val="20"/>
          <w:lang w:eastAsia="es-ES"/>
        </w:rPr>
      </w:pPr>
      <w:r w:rsidRPr="00D17611">
        <w:rPr>
          <w:rFonts w:eastAsia="Times New Roman" w:cs="Tahoma"/>
          <w:b/>
          <w:bCs/>
          <w:i/>
          <w:color w:val="auto"/>
          <w:sz w:val="20"/>
          <w:szCs w:val="20"/>
          <w:lang w:eastAsia="es-ES"/>
        </w:rPr>
        <w:t>“RAZONES O MOTIVOS DE LA INCONFORMIDAD</w:t>
      </w:r>
    </w:p>
    <w:p w14:paraId="5B23B6FE" w14:textId="3136D656" w:rsidR="00703C9F" w:rsidRPr="00D17611" w:rsidRDefault="00FA6522" w:rsidP="00703C9F">
      <w:pPr>
        <w:spacing w:after="0" w:line="360" w:lineRule="auto"/>
        <w:ind w:left="567" w:right="567"/>
        <w:rPr>
          <w:rFonts w:eastAsia="Times New Roman" w:cs="Tahoma"/>
          <w:bCs/>
          <w:i/>
          <w:color w:val="auto"/>
          <w:sz w:val="20"/>
          <w:szCs w:val="20"/>
          <w:lang w:eastAsia="es-ES"/>
        </w:rPr>
      </w:pPr>
      <w:r w:rsidRPr="00D17611">
        <w:rPr>
          <w:rFonts w:eastAsia="Times New Roman" w:cs="Tahoma"/>
          <w:bCs/>
          <w:i/>
          <w:color w:val="auto"/>
          <w:sz w:val="20"/>
          <w:szCs w:val="20"/>
          <w:lang w:eastAsia="es-ES"/>
        </w:rPr>
        <w:t>LOS CONVENIOS SON FIRMADOS POR LA PRESIDENTA Y SECRETARIO DELA YUANTAMIENTO TENIENDO COMO RESULTADO UN CONVENIO LABORAL Y ES INFORMACION QUE DEBE DE ESTAR EN SUS ARCHIVOS” (Sic)</w:t>
      </w:r>
    </w:p>
    <w:p w14:paraId="1FC9770A" w14:textId="77777777" w:rsidR="00FA6522" w:rsidRPr="00D17611" w:rsidRDefault="00FA6522" w:rsidP="00703C9F">
      <w:pPr>
        <w:spacing w:after="0" w:line="360" w:lineRule="auto"/>
        <w:ind w:left="567" w:right="567"/>
        <w:rPr>
          <w:rFonts w:eastAsia="Times New Roman" w:cs="Tahoma"/>
          <w:bCs/>
          <w:i/>
          <w:color w:val="FF0000"/>
          <w:lang w:eastAsia="es-ES"/>
        </w:rPr>
      </w:pPr>
    </w:p>
    <w:p w14:paraId="32EBD4AE" w14:textId="51EA325E" w:rsidR="00EC77D9" w:rsidRPr="00D17611" w:rsidRDefault="007B0D14" w:rsidP="008D4BF2">
      <w:pPr>
        <w:pStyle w:val="Ttulo2"/>
        <w:rPr>
          <w:rFonts w:eastAsia="Batang"/>
          <w:color w:val="auto"/>
        </w:rPr>
      </w:pPr>
      <w:bookmarkStart w:id="12" w:name="_Toc190871539"/>
      <w:bookmarkStart w:id="13" w:name="_Toc193806603"/>
      <w:r w:rsidRPr="00D17611">
        <w:rPr>
          <w:rFonts w:eastAsia="Calibri"/>
          <w:color w:val="auto"/>
        </w:rPr>
        <w:t>I</w:t>
      </w:r>
      <w:r w:rsidR="00EC77D9" w:rsidRPr="00D17611">
        <w:rPr>
          <w:rFonts w:eastAsia="Calibri"/>
          <w:color w:val="auto"/>
        </w:rPr>
        <w:t xml:space="preserve">V. </w:t>
      </w:r>
      <w:r w:rsidR="00EC77D9" w:rsidRPr="00D17611">
        <w:rPr>
          <w:rFonts w:eastAsia="Batang"/>
          <w:color w:val="auto"/>
        </w:rPr>
        <w:t>Trámite del Recurso de Revisión</w:t>
      </w:r>
      <w:r w:rsidR="00EC77D9" w:rsidRPr="00D17611">
        <w:rPr>
          <w:rFonts w:eastAsia="Calibri"/>
          <w:color w:val="auto"/>
        </w:rPr>
        <w:t xml:space="preserve"> </w:t>
      </w:r>
      <w:r w:rsidRPr="00D17611">
        <w:rPr>
          <w:rFonts w:eastAsia="Batang"/>
          <w:color w:val="auto"/>
        </w:rPr>
        <w:t>ante este Instituto</w:t>
      </w:r>
      <w:bookmarkEnd w:id="12"/>
      <w:bookmarkEnd w:id="13"/>
    </w:p>
    <w:p w14:paraId="1C4ADB40" w14:textId="77777777" w:rsidR="00EC77D9" w:rsidRPr="00D17611" w:rsidRDefault="00EC77D9" w:rsidP="00A62148">
      <w:pPr>
        <w:spacing w:after="0" w:line="360" w:lineRule="auto"/>
        <w:rPr>
          <w:rFonts w:eastAsia="Batang" w:cs="Tahoma"/>
          <w:bCs/>
          <w:color w:val="auto"/>
        </w:rPr>
      </w:pPr>
    </w:p>
    <w:p w14:paraId="7EC9EE07" w14:textId="2160E911" w:rsidR="00EC77D9" w:rsidRPr="00D17611" w:rsidRDefault="00EC77D9" w:rsidP="00A62148">
      <w:pPr>
        <w:spacing w:after="0" w:line="360" w:lineRule="auto"/>
        <w:rPr>
          <w:rFonts w:eastAsia="Times New Roman" w:cs="Tahoma"/>
          <w:bCs/>
          <w:color w:val="auto"/>
          <w:lang w:val="es-ES" w:eastAsia="es-ES"/>
        </w:rPr>
      </w:pPr>
      <w:bookmarkStart w:id="14" w:name="_Toc190871540"/>
      <w:bookmarkStart w:id="15" w:name="_Toc193806604"/>
      <w:r w:rsidRPr="00D17611">
        <w:rPr>
          <w:rStyle w:val="Ttulo3Car"/>
          <w:color w:val="auto"/>
        </w:rPr>
        <w:t>a) Turno del Medio de Impugnación</w:t>
      </w:r>
      <w:bookmarkEnd w:id="14"/>
      <w:bookmarkEnd w:id="15"/>
      <w:r w:rsidRPr="00D17611">
        <w:rPr>
          <w:rFonts w:eastAsia="Batang" w:cs="Tahoma"/>
          <w:b/>
          <w:bCs/>
          <w:color w:val="auto"/>
        </w:rPr>
        <w:t>.</w:t>
      </w:r>
      <w:r w:rsidR="00824195" w:rsidRPr="00D17611">
        <w:rPr>
          <w:rFonts w:eastAsia="Batang" w:cs="Tahoma"/>
          <w:bCs/>
          <w:color w:val="auto"/>
        </w:rPr>
        <w:t xml:space="preserve"> </w:t>
      </w:r>
      <w:r w:rsidR="00824195" w:rsidRPr="00D17611">
        <w:rPr>
          <w:rFonts w:eastAsia="Times New Roman" w:cs="Tahoma"/>
          <w:bCs/>
          <w:color w:val="auto"/>
          <w:lang w:val="es-ES" w:eastAsia="es-ES"/>
        </w:rPr>
        <w:t>El</w:t>
      </w:r>
      <w:r w:rsidR="007252BC" w:rsidRPr="00D17611">
        <w:rPr>
          <w:rFonts w:eastAsia="Times New Roman" w:cs="Tahoma"/>
          <w:bCs/>
          <w:color w:val="auto"/>
          <w:lang w:val="es-ES" w:eastAsia="es-ES"/>
        </w:rPr>
        <w:t xml:space="preserve"> veintidós de febrero de dos mil veinticinco, </w:t>
      </w:r>
      <w:r w:rsidRPr="00D17611">
        <w:rPr>
          <w:rFonts w:eastAsia="Batang" w:cs="Tahoma"/>
          <w:bCs/>
          <w:color w:val="auto"/>
        </w:rPr>
        <w:t xml:space="preserve">el </w:t>
      </w:r>
      <w:r w:rsidRPr="00D17611">
        <w:rPr>
          <w:rFonts w:eastAsia="Calibri" w:cs="Tahoma"/>
          <w:color w:val="auto"/>
          <w:lang w:val="es-ES"/>
        </w:rPr>
        <w:t>Sistema de Acceso a la Información Mexiquense (SAIMEX),</w:t>
      </w:r>
      <w:r w:rsidRPr="00D17611">
        <w:rPr>
          <w:rFonts w:eastAsia="Batang" w:cs="Tahoma"/>
          <w:bCs/>
          <w:color w:val="auto"/>
        </w:rPr>
        <w:t xml:space="preserve"> asignó el número de expediente</w:t>
      </w:r>
      <w:r w:rsidR="00394EBC" w:rsidRPr="00D17611">
        <w:rPr>
          <w:color w:val="auto"/>
        </w:rPr>
        <w:t xml:space="preserve"> </w:t>
      </w:r>
      <w:r w:rsidR="00394EBC" w:rsidRPr="00D17611">
        <w:rPr>
          <w:rFonts w:eastAsia="Calibri" w:cs="Tahoma"/>
          <w:b/>
          <w:bCs/>
          <w:color w:val="auto"/>
        </w:rPr>
        <w:t>0</w:t>
      </w:r>
      <w:r w:rsidR="00F25711" w:rsidRPr="00D17611">
        <w:rPr>
          <w:rFonts w:eastAsia="Calibri" w:cs="Tahoma"/>
          <w:b/>
          <w:bCs/>
          <w:color w:val="auto"/>
        </w:rPr>
        <w:t>1861</w:t>
      </w:r>
      <w:r w:rsidR="007B0D14" w:rsidRPr="00D17611">
        <w:rPr>
          <w:rFonts w:eastAsia="Calibri" w:cs="Tahoma"/>
          <w:b/>
          <w:bCs/>
          <w:color w:val="auto"/>
        </w:rPr>
        <w:t>/INFOEM/IP/RR/2025</w:t>
      </w:r>
      <w:r w:rsidRPr="00D17611">
        <w:rPr>
          <w:rFonts w:eastAsia="Batang" w:cs="Tahoma"/>
          <w:bCs/>
          <w:color w:val="auto"/>
        </w:rPr>
        <w:t xml:space="preserve">, al Medio de Impugnación que nos ocupa, con base en el sistema aprobado por el Pleno de este </w:t>
      </w:r>
      <w:r w:rsidR="00394EBC" w:rsidRPr="00D17611">
        <w:rPr>
          <w:rFonts w:eastAsia="Batang" w:cs="Tahoma"/>
          <w:bCs/>
          <w:color w:val="auto"/>
        </w:rPr>
        <w:t>Organismo</w:t>
      </w:r>
      <w:r w:rsidRPr="00D17611">
        <w:rPr>
          <w:rFonts w:eastAsia="Batang" w:cs="Tahoma"/>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D17611" w:rsidRDefault="00EC77D9" w:rsidP="00A62148">
      <w:pPr>
        <w:spacing w:after="0" w:line="360" w:lineRule="auto"/>
        <w:rPr>
          <w:rFonts w:eastAsia="Batang" w:cs="Tahoma"/>
          <w:bCs/>
          <w:color w:val="FF0000"/>
        </w:rPr>
      </w:pPr>
    </w:p>
    <w:p w14:paraId="2E948D3C" w14:textId="01B8DF3F" w:rsidR="003D0B51" w:rsidRPr="00D17611" w:rsidRDefault="00EC77D9" w:rsidP="00A62148">
      <w:pPr>
        <w:spacing w:after="0" w:line="360" w:lineRule="auto"/>
        <w:rPr>
          <w:rFonts w:eastAsia="Batang" w:cs="Tahoma"/>
          <w:bCs/>
          <w:color w:val="auto"/>
        </w:rPr>
      </w:pPr>
      <w:bookmarkStart w:id="16" w:name="_Toc190871541"/>
      <w:bookmarkStart w:id="17" w:name="_Toc193806605"/>
      <w:r w:rsidRPr="00D17611">
        <w:rPr>
          <w:rStyle w:val="Ttulo3Car"/>
          <w:color w:val="auto"/>
        </w:rPr>
        <w:t>b) Admisión del Recurso de Revisión</w:t>
      </w:r>
      <w:bookmarkEnd w:id="16"/>
      <w:bookmarkEnd w:id="17"/>
      <w:r w:rsidRPr="00D17611">
        <w:rPr>
          <w:rFonts w:eastAsia="Times New Roman" w:cs="Tahoma"/>
          <w:b/>
          <w:bCs/>
          <w:color w:val="auto"/>
          <w:lang w:val="es-ES_tradnl" w:eastAsia="es-ES"/>
        </w:rPr>
        <w:t xml:space="preserve">. </w:t>
      </w:r>
      <w:r w:rsidRPr="00D17611">
        <w:rPr>
          <w:rFonts w:eastAsia="Batang" w:cs="Tahoma"/>
          <w:bCs/>
          <w:color w:val="auto"/>
        </w:rPr>
        <w:t>El</w:t>
      </w:r>
      <w:r w:rsidR="00A37D74" w:rsidRPr="00D17611">
        <w:rPr>
          <w:rFonts w:eastAsia="Batang" w:cs="Tahoma"/>
          <w:bCs/>
          <w:color w:val="auto"/>
        </w:rPr>
        <w:t xml:space="preserve"> </w:t>
      </w:r>
      <w:r w:rsidR="00F25711" w:rsidRPr="00D17611">
        <w:rPr>
          <w:rFonts w:eastAsia="Batang" w:cs="Tahoma"/>
          <w:bCs/>
          <w:color w:val="auto"/>
        </w:rPr>
        <w:t xml:space="preserve">veintisiete de febrero de dos mil veinticinco, </w:t>
      </w:r>
      <w:r w:rsidRPr="00D17611">
        <w:rPr>
          <w:rFonts w:eastAsia="Times New Roman" w:cs="Tahoma"/>
          <w:bCs/>
          <w:color w:val="auto"/>
          <w:lang w:val="es-ES_tradnl" w:eastAsia="es-ES"/>
        </w:rPr>
        <w:t xml:space="preserve">se acordó la admisión del Recurso de Revisión interpuesto por </w:t>
      </w:r>
      <w:r w:rsidR="00B064A4" w:rsidRPr="00D17611">
        <w:rPr>
          <w:rFonts w:eastAsia="Times New Roman" w:cs="Tahoma"/>
          <w:bCs/>
          <w:color w:val="auto"/>
          <w:lang w:val="es-ES_tradnl" w:eastAsia="es-ES"/>
        </w:rPr>
        <w:t>la persona</w:t>
      </w:r>
      <w:r w:rsidRPr="00D17611">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D17611">
        <w:rPr>
          <w:rFonts w:eastAsia="Times New Roman" w:cs="Tahoma"/>
          <w:bCs/>
          <w:color w:val="auto"/>
          <w:lang w:val="es-ES_tradnl" w:eastAsia="es-ES"/>
        </w:rPr>
        <w:t xml:space="preserve"> </w:t>
      </w:r>
      <w:r w:rsidR="001756F2" w:rsidRPr="00D17611">
        <w:rPr>
          <w:rFonts w:eastAsia="Times New Roman" w:cs="Tahoma"/>
          <w:bCs/>
          <w:color w:val="auto"/>
          <w:lang w:val="es-ES_tradnl" w:eastAsia="es-ES"/>
        </w:rPr>
        <w:t>el</w:t>
      </w:r>
      <w:r w:rsidR="00F622DA" w:rsidRPr="00D17611">
        <w:rPr>
          <w:rFonts w:eastAsia="Times New Roman" w:cs="Tahoma"/>
          <w:bCs/>
          <w:color w:val="auto"/>
          <w:lang w:val="es-ES_tradnl" w:eastAsia="es-ES"/>
        </w:rPr>
        <w:t xml:space="preserve"> mismo día</w:t>
      </w:r>
      <w:r w:rsidR="00CB7980" w:rsidRPr="00D17611">
        <w:rPr>
          <w:rFonts w:eastAsia="Times New Roman" w:cs="Tahoma"/>
          <w:bCs/>
          <w:color w:val="auto"/>
          <w:lang w:val="es-ES_tradnl" w:eastAsia="es-ES"/>
        </w:rPr>
        <w:t xml:space="preserve">, </w:t>
      </w:r>
      <w:r w:rsidRPr="00D17611">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5054E53" w14:textId="77777777" w:rsidR="00AE3612" w:rsidRPr="00D17611" w:rsidRDefault="00AE3612" w:rsidP="00A62148">
      <w:pPr>
        <w:widowControl w:val="0"/>
        <w:spacing w:after="0" w:line="360" w:lineRule="auto"/>
        <w:rPr>
          <w:rFonts w:eastAsia="Times New Roman" w:cs="Tahoma"/>
          <w:b/>
          <w:color w:val="FF0000"/>
          <w:lang w:eastAsia="es-ES"/>
        </w:rPr>
      </w:pPr>
    </w:p>
    <w:p w14:paraId="53A68458" w14:textId="6AB9EF36" w:rsidR="00E7102B" w:rsidRPr="00D17611" w:rsidRDefault="008D4BF2" w:rsidP="008D4BF2">
      <w:pPr>
        <w:spacing w:after="0" w:line="360" w:lineRule="auto"/>
        <w:rPr>
          <w:rFonts w:eastAsia="Times New Roman" w:cs="Times New Roman"/>
          <w:color w:val="auto"/>
        </w:rPr>
      </w:pPr>
      <w:bookmarkStart w:id="18" w:name="_Toc190871542"/>
      <w:bookmarkStart w:id="19" w:name="_Toc193806606"/>
      <w:r w:rsidRPr="00D17611">
        <w:rPr>
          <w:rStyle w:val="Ttulo3Car"/>
          <w:color w:val="auto"/>
        </w:rPr>
        <w:t>c) Informe Justificado</w:t>
      </w:r>
      <w:bookmarkEnd w:id="18"/>
      <w:bookmarkEnd w:id="19"/>
      <w:r w:rsidRPr="00D17611">
        <w:rPr>
          <w:rFonts w:eastAsia="Times New Roman" w:cs="Times New Roman"/>
          <w:b/>
          <w:color w:val="auto"/>
        </w:rPr>
        <w:t>.</w:t>
      </w:r>
      <w:r w:rsidRPr="00D17611">
        <w:rPr>
          <w:rFonts w:eastAsia="Times New Roman" w:cs="Times New Roman"/>
          <w:color w:val="auto"/>
        </w:rPr>
        <w:t xml:space="preserve"> En </w:t>
      </w:r>
      <w:r w:rsidR="00F25711" w:rsidRPr="00D17611">
        <w:rPr>
          <w:rFonts w:eastAsia="Times New Roman" w:cs="Times New Roman"/>
          <w:color w:val="auto"/>
        </w:rPr>
        <w:t xml:space="preserve">cuatro de marzo de dos mil veinticinco, </w:t>
      </w:r>
      <w:r w:rsidRPr="00D17611">
        <w:rPr>
          <w:rFonts w:eastAsia="Times New Roman" w:cs="Times New Roman"/>
          <w:color w:val="auto"/>
        </w:rPr>
        <w:t xml:space="preserve">el Sujeto Obligado a través del SAIMEX, presentó en el apartado de Informe Justificado, </w:t>
      </w:r>
      <w:r w:rsidR="00E7102B" w:rsidRPr="00D17611">
        <w:rPr>
          <w:rFonts w:eastAsia="Times New Roman" w:cs="Times New Roman"/>
          <w:color w:val="auto"/>
        </w:rPr>
        <w:t xml:space="preserve"> </w:t>
      </w:r>
      <w:r w:rsidR="00F25711" w:rsidRPr="00D17611">
        <w:rPr>
          <w:rFonts w:eastAsia="Times New Roman" w:cs="Times New Roman"/>
          <w:color w:val="auto"/>
        </w:rPr>
        <w:t xml:space="preserve">a través de la digitalización del oficio CESLP/202/02/25 del veintiocho de febrero de dos mil veinticinco, suscrito por el Secretario General de Sección de </w:t>
      </w:r>
      <w:r w:rsidR="00133F9E" w:rsidRPr="00D17611">
        <w:rPr>
          <w:rFonts w:eastAsia="Times New Roman" w:cs="Times New Roman"/>
          <w:color w:val="auto"/>
        </w:rPr>
        <w:t>l</w:t>
      </w:r>
      <w:r w:rsidR="00F25711" w:rsidRPr="00D17611">
        <w:rPr>
          <w:rFonts w:eastAsia="Times New Roman" w:cs="Times New Roman"/>
          <w:color w:val="auto"/>
        </w:rPr>
        <w:t>a Paz</w:t>
      </w:r>
      <w:r w:rsidR="00C20FC7" w:rsidRPr="00D17611">
        <w:rPr>
          <w:rFonts w:eastAsia="Times New Roman" w:cs="Times New Roman"/>
          <w:color w:val="auto"/>
        </w:rPr>
        <w:t xml:space="preserve"> del </w:t>
      </w:r>
      <w:r w:rsidR="00C20FC7" w:rsidRPr="00D17611">
        <w:t xml:space="preserve">Sindicato Único de </w:t>
      </w:r>
      <w:r w:rsidR="00C20FC7" w:rsidRPr="00D17611">
        <w:rPr>
          <w:rFonts w:cs="Tahoma"/>
          <w:color w:val="auto"/>
        </w:rPr>
        <w:t xml:space="preserve"> Trabajadores de los Poderes, Municipios e Instituciones Descentralizadas del Estado de México</w:t>
      </w:r>
      <w:r w:rsidR="00F25711" w:rsidRPr="00D17611">
        <w:rPr>
          <w:rFonts w:eastAsia="Times New Roman" w:cs="Times New Roman"/>
          <w:color w:val="auto"/>
        </w:rPr>
        <w:t>, dirigido a la Titular de la Coordinación de la Unidad de Transparencia del Ayuntamiento, por medio del cual se menciona lo siguiente:</w:t>
      </w:r>
    </w:p>
    <w:p w14:paraId="76A14EF1" w14:textId="77777777" w:rsidR="00F25711" w:rsidRPr="00D17611" w:rsidRDefault="00F25711" w:rsidP="008D4BF2">
      <w:pPr>
        <w:spacing w:after="0" w:line="360" w:lineRule="auto"/>
        <w:rPr>
          <w:rFonts w:eastAsia="Times New Roman" w:cs="Times New Roman"/>
          <w:color w:val="auto"/>
        </w:rPr>
      </w:pPr>
    </w:p>
    <w:p w14:paraId="72D3F5EF" w14:textId="36AC8195" w:rsidR="00F25711" w:rsidRPr="00D17611" w:rsidRDefault="00F25711" w:rsidP="00F25711">
      <w:pPr>
        <w:spacing w:after="0" w:line="360" w:lineRule="auto"/>
        <w:ind w:left="567" w:right="567"/>
        <w:rPr>
          <w:rFonts w:eastAsia="Times New Roman" w:cs="Arial"/>
          <w:bCs/>
          <w:i/>
          <w:iCs/>
          <w:color w:val="auto"/>
          <w:sz w:val="20"/>
          <w:szCs w:val="20"/>
          <w:lang w:eastAsia="es-ES"/>
        </w:rPr>
      </w:pPr>
      <w:r w:rsidRPr="00D17611">
        <w:rPr>
          <w:rFonts w:eastAsia="Times New Roman" w:cs="Arial"/>
          <w:bCs/>
          <w:i/>
          <w:iCs/>
          <w:color w:val="auto"/>
          <w:sz w:val="20"/>
          <w:szCs w:val="20"/>
          <w:lang w:eastAsia="es-ES"/>
        </w:rPr>
        <w:lastRenderedPageBreak/>
        <w:t xml:space="preserve">“…Por medio de la presente, me dirijo a usted de la forma más respetuosa para comunicarle que con base en su oficio LA PAZ/PM/UT/2025/00024 recibido con fecha el día 21 de febrero del 2025, hacemos mención que solo se han firmado los convenios 2022, 2023 y 2024, aun estan pendiente las firmas de los convenios 2025 y 2026 por lo </w:t>
      </w:r>
      <w:proofErr w:type="spellStart"/>
      <w:r w:rsidRPr="00D17611">
        <w:rPr>
          <w:rFonts w:eastAsia="Times New Roman" w:cs="Arial"/>
          <w:bCs/>
          <w:i/>
          <w:iCs/>
          <w:color w:val="auto"/>
          <w:sz w:val="20"/>
          <w:szCs w:val="20"/>
          <w:lang w:eastAsia="es-ES"/>
        </w:rPr>
        <w:t>cuál</w:t>
      </w:r>
      <w:proofErr w:type="spellEnd"/>
      <w:r w:rsidRPr="00D17611">
        <w:rPr>
          <w:rFonts w:eastAsia="Times New Roman" w:cs="Arial"/>
          <w:bCs/>
          <w:i/>
          <w:iCs/>
          <w:color w:val="auto"/>
          <w:sz w:val="20"/>
          <w:szCs w:val="20"/>
          <w:lang w:eastAsia="es-ES"/>
        </w:rPr>
        <w:t xml:space="preserve"> no se puede atender a su petición. Reitero que estamos en la mejor disponibilidad de trabajo y colaboración con la administración actual, también informarle que el área de presidencia cuentan con los convenios originales 2022, 2023 y 2024 si los requiere…” (Sic)</w:t>
      </w:r>
    </w:p>
    <w:p w14:paraId="5572A103" w14:textId="77777777" w:rsidR="008D4BF2" w:rsidRPr="00D17611" w:rsidRDefault="008D4BF2" w:rsidP="008D4BF2">
      <w:pPr>
        <w:spacing w:after="0" w:line="360" w:lineRule="auto"/>
        <w:rPr>
          <w:rFonts w:eastAsia="Times New Roman" w:cs="Times New Roman"/>
          <w:color w:val="FF0000"/>
        </w:rPr>
      </w:pPr>
    </w:p>
    <w:p w14:paraId="079A72E3" w14:textId="3F20CD20" w:rsidR="00AE3612" w:rsidRPr="00D17611" w:rsidRDefault="008D4BF2" w:rsidP="00327371">
      <w:pPr>
        <w:spacing w:after="0" w:line="360" w:lineRule="auto"/>
        <w:rPr>
          <w:rFonts w:eastAsia="Times New Roman" w:cs="Times New Roman"/>
          <w:b/>
          <w:bCs/>
          <w:color w:val="auto"/>
        </w:rPr>
      </w:pPr>
      <w:bookmarkStart w:id="20" w:name="_Toc190871543"/>
      <w:bookmarkStart w:id="21" w:name="_Toc193806607"/>
      <w:r w:rsidRPr="00D17611">
        <w:rPr>
          <w:rStyle w:val="Ttulo3Car"/>
          <w:color w:val="auto"/>
        </w:rPr>
        <w:t>d) Vista al Informe Justificado</w:t>
      </w:r>
      <w:bookmarkEnd w:id="20"/>
      <w:bookmarkEnd w:id="21"/>
      <w:r w:rsidRPr="00D17611">
        <w:rPr>
          <w:rFonts w:eastAsia="Times New Roman" w:cs="Times New Roman"/>
          <w:b/>
          <w:color w:val="auto"/>
        </w:rPr>
        <w:t xml:space="preserve">. </w:t>
      </w:r>
      <w:r w:rsidRPr="00D17611">
        <w:rPr>
          <w:rFonts w:eastAsia="Times New Roman" w:cs="Times New Roman"/>
          <w:color w:val="auto"/>
        </w:rPr>
        <w:t>El</w:t>
      </w:r>
      <w:r w:rsidR="00BE64B2" w:rsidRPr="00D17611">
        <w:rPr>
          <w:rFonts w:eastAsia="Times New Roman" w:cs="Times New Roman"/>
          <w:color w:val="auto"/>
        </w:rPr>
        <w:t xml:space="preserve"> </w:t>
      </w:r>
      <w:r w:rsidR="007B5105" w:rsidRPr="00D17611">
        <w:rPr>
          <w:rFonts w:eastAsia="Times New Roman" w:cs="Times New Roman"/>
          <w:color w:val="auto"/>
        </w:rPr>
        <w:t>veinti</w:t>
      </w:r>
      <w:r w:rsidR="00BE64B2" w:rsidRPr="00D17611">
        <w:rPr>
          <w:rFonts w:eastAsia="Times New Roman" w:cs="Times New Roman"/>
          <w:color w:val="auto"/>
        </w:rPr>
        <w:t>cinco</w:t>
      </w:r>
      <w:r w:rsidR="00327371" w:rsidRPr="00D17611">
        <w:rPr>
          <w:rFonts w:eastAsia="Times New Roman" w:cs="Times New Roman"/>
          <w:color w:val="auto"/>
        </w:rPr>
        <w:t xml:space="preserve"> de marzo de dos mil veinticinco</w:t>
      </w:r>
      <w:r w:rsidRPr="00D17611">
        <w:rPr>
          <w:rFonts w:eastAsia="Times New Roman" w:cs="Times New Roman"/>
          <w:color w:val="auto"/>
        </w:rPr>
        <w:t>,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r w:rsidR="00327371" w:rsidRPr="00D17611">
        <w:rPr>
          <w:color w:val="auto"/>
        </w:rPr>
        <w:t xml:space="preserve"> </w:t>
      </w:r>
    </w:p>
    <w:p w14:paraId="4C451A82" w14:textId="77777777" w:rsidR="008D4BF2" w:rsidRPr="00D17611" w:rsidRDefault="008D4BF2" w:rsidP="008D4BF2">
      <w:pPr>
        <w:spacing w:after="0" w:line="360" w:lineRule="auto"/>
        <w:rPr>
          <w:rFonts w:eastAsia="Times New Roman" w:cs="Tahoma"/>
          <w:b/>
          <w:color w:val="FF0000"/>
          <w:lang w:eastAsia="es-ES"/>
        </w:rPr>
      </w:pPr>
    </w:p>
    <w:p w14:paraId="35AAACA3" w14:textId="2C72C34C" w:rsidR="00EC77D9" w:rsidRPr="00D17611" w:rsidRDefault="008D4BF2" w:rsidP="00A62148">
      <w:pPr>
        <w:widowControl w:val="0"/>
        <w:spacing w:after="0" w:line="360" w:lineRule="auto"/>
        <w:rPr>
          <w:rFonts w:eastAsia="Times New Roman" w:cs="Tahoma"/>
          <w:color w:val="auto"/>
          <w:lang w:eastAsia="es-ES"/>
        </w:rPr>
      </w:pPr>
      <w:bookmarkStart w:id="22" w:name="_Toc190871544"/>
      <w:bookmarkStart w:id="23" w:name="_Toc193806608"/>
      <w:r w:rsidRPr="00D17611">
        <w:rPr>
          <w:rStyle w:val="Ttulo3Car"/>
          <w:color w:val="auto"/>
        </w:rPr>
        <w:t>e</w:t>
      </w:r>
      <w:r w:rsidR="00EC77D9" w:rsidRPr="00D17611">
        <w:rPr>
          <w:rStyle w:val="Ttulo3Car"/>
          <w:color w:val="auto"/>
        </w:rPr>
        <w:t>) Cierre de instrucción</w:t>
      </w:r>
      <w:bookmarkEnd w:id="22"/>
      <w:bookmarkEnd w:id="23"/>
      <w:r w:rsidR="00EC77D9" w:rsidRPr="00D17611">
        <w:rPr>
          <w:rFonts w:eastAsia="Times New Roman" w:cs="Tahoma"/>
          <w:b/>
          <w:color w:val="auto"/>
          <w:lang w:eastAsia="es-ES"/>
        </w:rPr>
        <w:t>.</w:t>
      </w:r>
      <w:r w:rsidR="00EC77D9" w:rsidRPr="00D17611">
        <w:rPr>
          <w:rFonts w:eastAsia="Times New Roman" w:cs="Tahoma"/>
          <w:color w:val="auto"/>
          <w:lang w:eastAsia="es-ES"/>
        </w:rPr>
        <w:t xml:space="preserve"> El </w:t>
      </w:r>
      <w:r w:rsidR="003233F0">
        <w:rPr>
          <w:rFonts w:eastAsia="Times New Roman" w:cs="Tahoma"/>
          <w:color w:val="auto"/>
          <w:lang w:eastAsia="es-ES"/>
        </w:rPr>
        <w:t xml:space="preserve">cuatro de abril </w:t>
      </w:r>
      <w:r w:rsidR="00BC0F95" w:rsidRPr="00D17611">
        <w:rPr>
          <w:rFonts w:eastAsia="Times New Roman" w:cs="Tahoma"/>
          <w:color w:val="auto"/>
          <w:lang w:eastAsia="es-ES"/>
        </w:rPr>
        <w:t xml:space="preserve">de dos mil veinticinco, </w:t>
      </w:r>
      <w:r w:rsidR="00EC77D9" w:rsidRPr="00D17611">
        <w:rPr>
          <w:rFonts w:eastAsia="Times New Roman" w:cs="Tahoma"/>
          <w:color w:val="auto"/>
          <w:lang w:eastAsia="es-ES"/>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D17611">
        <w:rPr>
          <w:rFonts w:eastAsia="Times New Roman" w:cs="Tahoma"/>
          <w:color w:val="auto"/>
          <w:lang w:eastAsia="es-ES"/>
        </w:rPr>
        <w:t>mismo día</w:t>
      </w:r>
      <w:r w:rsidR="00EC77D9" w:rsidRPr="00D17611">
        <w:rPr>
          <w:rFonts w:eastAsia="Times New Roman" w:cs="Tahoma"/>
          <w:color w:val="auto"/>
          <w:lang w:eastAsia="es-ES"/>
        </w:rPr>
        <w:t xml:space="preserve">, a través del </w:t>
      </w:r>
      <w:r w:rsidR="00EC77D9" w:rsidRPr="00D17611">
        <w:rPr>
          <w:rFonts w:eastAsia="Times New Roman" w:cs="Tahoma"/>
          <w:color w:val="auto"/>
          <w:lang w:val="es-ES" w:eastAsia="es-ES"/>
        </w:rPr>
        <w:t>Sistema de Acceso a la Información Mexiquense (SAIMEX)</w:t>
      </w:r>
      <w:r w:rsidR="00EC77D9" w:rsidRPr="00D17611">
        <w:rPr>
          <w:rFonts w:eastAsia="Times New Roman" w:cs="Tahoma"/>
          <w:color w:val="auto"/>
          <w:lang w:eastAsia="es-ES"/>
        </w:rPr>
        <w:t xml:space="preserve">. </w:t>
      </w:r>
    </w:p>
    <w:p w14:paraId="5AB5C251" w14:textId="77777777" w:rsidR="00232DCC" w:rsidRPr="00D17611" w:rsidRDefault="00232DCC" w:rsidP="00A62148">
      <w:pPr>
        <w:spacing w:after="0" w:line="360" w:lineRule="auto"/>
        <w:rPr>
          <w:rFonts w:eastAsia="Times New Roman" w:cs="Tahoma"/>
          <w:color w:val="auto"/>
          <w:lang w:eastAsia="es-ES"/>
        </w:rPr>
      </w:pPr>
    </w:p>
    <w:p w14:paraId="77C7A5C4" w14:textId="77777777" w:rsidR="00EC77D9" w:rsidRPr="00D17611" w:rsidRDefault="00EC77D9" w:rsidP="00A62148">
      <w:pPr>
        <w:spacing w:after="0" w:line="360" w:lineRule="auto"/>
        <w:rPr>
          <w:rFonts w:eastAsia="Times New Roman" w:cs="Tahoma"/>
          <w:color w:val="auto"/>
          <w:lang w:eastAsia="es-ES"/>
        </w:rPr>
      </w:pPr>
      <w:r w:rsidRPr="00D17611">
        <w:rPr>
          <w:rFonts w:eastAsia="Times New Roman" w:cs="Tahoma"/>
          <w:color w:val="auto"/>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D17611" w:rsidRDefault="008E4F87" w:rsidP="00A62148">
      <w:pPr>
        <w:spacing w:after="0" w:line="360" w:lineRule="auto"/>
        <w:rPr>
          <w:rFonts w:eastAsia="Times New Roman" w:cs="Tahoma"/>
          <w:bCs/>
          <w:iCs/>
          <w:color w:val="auto"/>
          <w:lang w:val="es-ES" w:eastAsia="es-ES"/>
        </w:rPr>
      </w:pPr>
    </w:p>
    <w:p w14:paraId="4B442488" w14:textId="652AEB0D" w:rsidR="00EC77D9" w:rsidRPr="00D17611" w:rsidRDefault="007B0D14" w:rsidP="008D4BF2">
      <w:pPr>
        <w:pStyle w:val="Ttulo1"/>
        <w:rPr>
          <w:rFonts w:eastAsia="Times New Roman"/>
          <w:color w:val="auto"/>
          <w:lang w:val="es-ES" w:eastAsia="es-ES"/>
        </w:rPr>
      </w:pPr>
      <w:bookmarkStart w:id="24" w:name="_Toc190871545"/>
      <w:bookmarkStart w:id="25" w:name="_Toc193806609"/>
      <w:r w:rsidRPr="00D17611">
        <w:rPr>
          <w:rFonts w:eastAsia="Times New Roman"/>
          <w:color w:val="auto"/>
          <w:lang w:val="es-ES" w:eastAsia="es-ES"/>
        </w:rPr>
        <w:t>C O N S I D E R A N D O S</w:t>
      </w:r>
      <w:bookmarkEnd w:id="24"/>
      <w:bookmarkEnd w:id="25"/>
    </w:p>
    <w:p w14:paraId="7A8CFE1B" w14:textId="77777777" w:rsidR="008E4F87" w:rsidRPr="00D17611" w:rsidRDefault="008E4F87" w:rsidP="00A62148">
      <w:pPr>
        <w:spacing w:after="0" w:line="360" w:lineRule="auto"/>
        <w:jc w:val="center"/>
        <w:rPr>
          <w:rFonts w:eastAsia="Times New Roman" w:cs="Tahoma"/>
          <w:b/>
          <w:color w:val="FF0000"/>
          <w:lang w:val="es-ES" w:eastAsia="es-ES"/>
        </w:rPr>
      </w:pPr>
    </w:p>
    <w:p w14:paraId="2B2C70F6" w14:textId="5C1317CA" w:rsidR="00EC77D9" w:rsidRPr="00D17611" w:rsidRDefault="00EC77D9" w:rsidP="008D4BF2">
      <w:pPr>
        <w:pStyle w:val="Ttulo2"/>
        <w:rPr>
          <w:rFonts w:eastAsia="Times New Roman"/>
          <w:color w:val="auto"/>
          <w:lang w:val="es-ES" w:eastAsia="es-ES"/>
        </w:rPr>
      </w:pPr>
      <w:bookmarkStart w:id="26" w:name="_Toc190871546"/>
      <w:bookmarkStart w:id="27" w:name="_Toc193806610"/>
      <w:r w:rsidRPr="00D17611">
        <w:rPr>
          <w:rFonts w:eastAsia="Calibri"/>
          <w:color w:val="auto"/>
          <w:lang w:val="es-ES" w:eastAsia="es-MX"/>
        </w:rPr>
        <w:lastRenderedPageBreak/>
        <w:t xml:space="preserve">PRIMERO. </w:t>
      </w:r>
      <w:r w:rsidR="007B0D14" w:rsidRPr="00D17611">
        <w:rPr>
          <w:rFonts w:eastAsia="Times New Roman"/>
          <w:color w:val="auto"/>
          <w:lang w:val="es-ES" w:eastAsia="es-ES"/>
        </w:rPr>
        <w:t>Competencia</w:t>
      </w:r>
      <w:bookmarkEnd w:id="26"/>
      <w:bookmarkEnd w:id="27"/>
    </w:p>
    <w:p w14:paraId="62F65765" w14:textId="77777777" w:rsidR="00EC77D9" w:rsidRPr="00D17611" w:rsidRDefault="00EC77D9" w:rsidP="00A62148">
      <w:pPr>
        <w:autoSpaceDE w:val="0"/>
        <w:autoSpaceDN w:val="0"/>
        <w:adjustRightInd w:val="0"/>
        <w:spacing w:after="0" w:line="360" w:lineRule="auto"/>
        <w:rPr>
          <w:rFonts w:eastAsia="Times New Roman" w:cs="Tahoma"/>
          <w:b/>
          <w:color w:val="auto"/>
          <w:lang w:val="es-ES" w:eastAsia="es-ES"/>
        </w:rPr>
      </w:pPr>
    </w:p>
    <w:p w14:paraId="1F83A937" w14:textId="2999B9F9" w:rsidR="00EC77D9" w:rsidRPr="00D17611" w:rsidRDefault="00EC77D9" w:rsidP="00A62148">
      <w:pPr>
        <w:spacing w:after="0" w:line="360" w:lineRule="auto"/>
        <w:rPr>
          <w:rFonts w:eastAsia="Times New Roman" w:cs="Tahoma"/>
          <w:bCs/>
          <w:color w:val="auto"/>
          <w:lang w:eastAsia="es-ES"/>
        </w:rPr>
      </w:pPr>
      <w:bookmarkStart w:id="28" w:name="_Hlk63334754"/>
      <w:r w:rsidRPr="00D17611">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D17611">
        <w:rPr>
          <w:rFonts w:eastAsia="Times New Roman" w:cs="Tahoma"/>
          <w:bCs/>
          <w:color w:val="auto"/>
          <w:lang w:eastAsia="es-ES"/>
        </w:rPr>
        <w:t>ersona</w:t>
      </w:r>
      <w:r w:rsidRPr="00D17611">
        <w:rPr>
          <w:rFonts w:eastAsia="Times New Roman" w:cs="Tahoma"/>
          <w:bCs/>
          <w:color w:val="auto"/>
          <w:lang w:eastAsia="es-ES"/>
        </w:rPr>
        <w:t xml:space="preserve"> recurrente, conforme a lo dispuesto en los artículos 5°, párrafos</w:t>
      </w:r>
      <w:r w:rsidR="00B12193" w:rsidRPr="00D17611">
        <w:rPr>
          <w:rFonts w:eastAsia="Times New Roman" w:cs="Tahoma"/>
          <w:bCs/>
          <w:color w:val="auto"/>
          <w:lang w:eastAsia="es-ES"/>
        </w:rPr>
        <w:t xml:space="preserve"> trigésimo </w:t>
      </w:r>
      <w:r w:rsidR="00133F9E" w:rsidRPr="00D17611">
        <w:rPr>
          <w:rFonts w:eastAsia="Times New Roman" w:cs="Tahoma"/>
          <w:bCs/>
          <w:color w:val="auto"/>
          <w:lang w:eastAsia="es-ES"/>
        </w:rPr>
        <w:t>séptimo</w:t>
      </w:r>
      <w:r w:rsidR="00B12193" w:rsidRPr="00D17611">
        <w:rPr>
          <w:rFonts w:eastAsia="Times New Roman" w:cs="Tahoma"/>
          <w:bCs/>
          <w:color w:val="auto"/>
          <w:lang w:eastAsia="es-ES"/>
        </w:rPr>
        <w:t xml:space="preserve">, trigésimo </w:t>
      </w:r>
      <w:r w:rsidR="00133F9E" w:rsidRPr="00D17611">
        <w:rPr>
          <w:rFonts w:eastAsia="Times New Roman" w:cs="Tahoma"/>
          <w:bCs/>
          <w:color w:val="auto"/>
          <w:lang w:eastAsia="es-ES"/>
        </w:rPr>
        <w:t>octavo</w:t>
      </w:r>
      <w:r w:rsidR="00B12193" w:rsidRPr="00D17611">
        <w:rPr>
          <w:rFonts w:eastAsia="Times New Roman" w:cs="Tahoma"/>
          <w:bCs/>
          <w:color w:val="auto"/>
          <w:lang w:eastAsia="es-ES"/>
        </w:rPr>
        <w:t xml:space="preserve"> y trigésimo </w:t>
      </w:r>
      <w:r w:rsidR="00133F9E" w:rsidRPr="00D17611">
        <w:rPr>
          <w:rFonts w:eastAsia="Times New Roman" w:cs="Tahoma"/>
          <w:bCs/>
          <w:color w:val="auto"/>
          <w:lang w:eastAsia="es-ES"/>
        </w:rPr>
        <w:t>noveno</w:t>
      </w:r>
      <w:r w:rsidRPr="00D17611">
        <w:rPr>
          <w:rFonts w:eastAsia="Times New Roman" w:cs="Tahoma"/>
          <w:bCs/>
          <w:color w:val="auto"/>
          <w:lang w:eastAsia="es-ES"/>
        </w:rPr>
        <w:t>, fracciones I, II, III, IV y V de la Constitución Política del Estado Libre y Soberano de México; 1°, 2°, fracciones II y IV; 13, 29, 36, fracciones I y II; 176, 178, 179, 181</w:t>
      </w:r>
      <w:r w:rsidR="00133F9E" w:rsidRPr="00D17611">
        <w:rPr>
          <w:rFonts w:eastAsia="Times New Roman" w:cs="Tahoma"/>
          <w:bCs/>
          <w:color w:val="auto"/>
          <w:lang w:eastAsia="es-ES"/>
        </w:rPr>
        <w:t>,</w:t>
      </w:r>
      <w:r w:rsidRPr="00D17611">
        <w:rPr>
          <w:rFonts w:eastAsia="Times New Roman" w:cs="Tahoma"/>
          <w:bCs/>
          <w:color w:val="auto"/>
          <w:lang w:eastAsia="es-ES"/>
        </w:rPr>
        <w:t xml:space="preserve"> párrafo tercero, 185, 188 y 189 de la Ley Transparencia y Acceso a la Información Pública del Estado de México y Municipios;</w:t>
      </w:r>
      <w:r w:rsidRPr="00D17611">
        <w:rPr>
          <w:rFonts w:eastAsia="Times New Roman" w:cs="Times New Roman"/>
          <w:bCs/>
          <w:color w:val="auto"/>
          <w:lang w:eastAsia="es-ES"/>
        </w:rPr>
        <w:t xml:space="preserve"> 7°, </w:t>
      </w:r>
      <w:r w:rsidR="00ED609B" w:rsidRPr="00D17611">
        <w:rPr>
          <w:rFonts w:eastAsia="Times New Roman" w:cs="Tahoma"/>
          <w:bCs/>
          <w:color w:val="auto"/>
          <w:lang w:eastAsia="es-ES"/>
        </w:rPr>
        <w:t>9°, fracciones I y XXIII</w:t>
      </w:r>
      <w:r w:rsidRPr="00D17611">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28"/>
    </w:p>
    <w:p w14:paraId="18FF6F8F" w14:textId="77777777" w:rsidR="00EC77D9" w:rsidRPr="00D17611" w:rsidRDefault="00EC77D9" w:rsidP="00A62148">
      <w:pPr>
        <w:spacing w:after="0" w:line="360" w:lineRule="auto"/>
        <w:rPr>
          <w:color w:val="auto"/>
        </w:rPr>
      </w:pPr>
    </w:p>
    <w:p w14:paraId="1A678CDB" w14:textId="5D9B0AE3" w:rsidR="00EC77D9" w:rsidRPr="00D17611" w:rsidRDefault="00EC77D9" w:rsidP="008D4BF2">
      <w:pPr>
        <w:pStyle w:val="Ttulo2"/>
        <w:rPr>
          <w:rFonts w:eastAsia="Times New Roman"/>
          <w:color w:val="auto"/>
          <w:lang w:val="es-ES" w:eastAsia="es-ES"/>
        </w:rPr>
      </w:pPr>
      <w:bookmarkStart w:id="29" w:name="_Toc190871547"/>
      <w:bookmarkStart w:id="30" w:name="_Toc193806611"/>
      <w:r w:rsidRPr="00D17611">
        <w:rPr>
          <w:rFonts w:eastAsia="Calibri"/>
          <w:color w:val="auto"/>
          <w:lang w:val="es-ES" w:eastAsia="es-MX"/>
        </w:rPr>
        <w:t xml:space="preserve">SEGUNDO. </w:t>
      </w:r>
      <w:r w:rsidRPr="00D17611">
        <w:rPr>
          <w:rFonts w:eastAsia="Times New Roman"/>
          <w:color w:val="auto"/>
          <w:lang w:val="es-ES" w:eastAsia="es-ES"/>
        </w:rPr>
        <w:t>Causales de</w:t>
      </w:r>
      <w:r w:rsidR="007B0D14" w:rsidRPr="00D17611">
        <w:rPr>
          <w:rFonts w:eastAsia="Times New Roman"/>
          <w:color w:val="auto"/>
          <w:lang w:val="es-ES" w:eastAsia="es-ES"/>
        </w:rPr>
        <w:t xml:space="preserve"> improcedencia y sobreseimiento</w:t>
      </w:r>
      <w:bookmarkEnd w:id="29"/>
      <w:bookmarkEnd w:id="30"/>
    </w:p>
    <w:p w14:paraId="53A4CC85" w14:textId="77777777" w:rsidR="007F20F1" w:rsidRPr="00D17611" w:rsidRDefault="007F20F1" w:rsidP="00A62148">
      <w:pPr>
        <w:autoSpaceDE w:val="0"/>
        <w:autoSpaceDN w:val="0"/>
        <w:adjustRightInd w:val="0"/>
        <w:spacing w:after="0" w:line="360" w:lineRule="auto"/>
        <w:rPr>
          <w:rFonts w:eastAsia="Times New Roman" w:cs="Tahoma"/>
          <w:color w:val="auto"/>
          <w:lang w:val="es-ES" w:eastAsia="es-ES"/>
        </w:rPr>
      </w:pPr>
    </w:p>
    <w:p w14:paraId="5E0147CF" w14:textId="77777777" w:rsidR="00EC77D9" w:rsidRPr="00D17611" w:rsidRDefault="00EC77D9" w:rsidP="00A62148">
      <w:pPr>
        <w:autoSpaceDE w:val="0"/>
        <w:autoSpaceDN w:val="0"/>
        <w:adjustRightInd w:val="0"/>
        <w:spacing w:after="0" w:line="360" w:lineRule="auto"/>
        <w:rPr>
          <w:rFonts w:eastAsia="Times New Roman" w:cs="Tahoma"/>
          <w:color w:val="auto"/>
          <w:lang w:val="es-ES" w:eastAsia="es-ES"/>
        </w:rPr>
      </w:pPr>
      <w:r w:rsidRPr="00D17611">
        <w:rPr>
          <w:rFonts w:eastAsia="Times New Roman" w:cs="Tahoma"/>
          <w:color w:val="auto"/>
          <w:lang w:val="es-ES" w:eastAsia="es-ES"/>
        </w:rPr>
        <w:t xml:space="preserve">De las constancias que forma parte del Recurso de Revisión que se analiza, se advierte que previo al estudio del fondo de la </w:t>
      </w:r>
      <w:r w:rsidRPr="00D17611">
        <w:rPr>
          <w:rFonts w:eastAsia="Times New Roman" w:cs="Tahoma"/>
          <w:i/>
          <w:color w:val="auto"/>
          <w:lang w:val="es-ES" w:eastAsia="es-ES"/>
        </w:rPr>
        <w:t>litis</w:t>
      </w:r>
      <w:r w:rsidRPr="00D17611">
        <w:rPr>
          <w:rFonts w:eastAsia="Times New Roman" w:cs="Tahoma"/>
          <w:color w:val="auto"/>
          <w:lang w:val="es-ES" w:eastAsia="es-ES"/>
        </w:rPr>
        <w:t>, es necesario estudiar las causales de improcedencia y sobreseimiento que se adviertan, para determinar lo que en Derecho proceda.</w:t>
      </w:r>
    </w:p>
    <w:p w14:paraId="722CCBD4" w14:textId="77777777" w:rsidR="00EC77D9" w:rsidRPr="00D17611" w:rsidRDefault="00EC77D9" w:rsidP="00A62148">
      <w:pPr>
        <w:autoSpaceDE w:val="0"/>
        <w:autoSpaceDN w:val="0"/>
        <w:adjustRightInd w:val="0"/>
        <w:spacing w:after="0" w:line="360" w:lineRule="auto"/>
        <w:rPr>
          <w:rFonts w:eastAsia="Times New Roman" w:cs="Tahoma"/>
          <w:color w:val="FF0000"/>
          <w:lang w:val="es-ES" w:eastAsia="es-ES"/>
        </w:rPr>
      </w:pPr>
    </w:p>
    <w:p w14:paraId="3B9478FB" w14:textId="77777777" w:rsidR="00EC77D9" w:rsidRPr="00D17611" w:rsidRDefault="00EC77D9" w:rsidP="00A62148">
      <w:pPr>
        <w:spacing w:after="0" w:line="360" w:lineRule="auto"/>
        <w:rPr>
          <w:b/>
          <w:color w:val="auto"/>
          <w:lang w:val="es-ES"/>
        </w:rPr>
      </w:pPr>
      <w:r w:rsidRPr="00D17611">
        <w:rPr>
          <w:b/>
          <w:color w:val="auto"/>
          <w:lang w:val="es-ES"/>
        </w:rPr>
        <w:t>Causales de improcedencia</w:t>
      </w:r>
    </w:p>
    <w:p w14:paraId="49F1FD7D" w14:textId="77777777" w:rsidR="00EC77D9" w:rsidRPr="00D17611" w:rsidRDefault="00EC77D9" w:rsidP="00A62148">
      <w:pPr>
        <w:spacing w:after="0" w:line="360" w:lineRule="auto"/>
        <w:rPr>
          <w:color w:val="auto"/>
        </w:rPr>
      </w:pPr>
    </w:p>
    <w:p w14:paraId="16D4B38A" w14:textId="77777777" w:rsidR="00EC1C03" w:rsidRPr="00D17611" w:rsidRDefault="00EC1C03" w:rsidP="00A62148">
      <w:pPr>
        <w:spacing w:after="0" w:line="360" w:lineRule="auto"/>
        <w:rPr>
          <w:color w:val="auto"/>
        </w:rPr>
      </w:pPr>
      <w:r w:rsidRPr="00D17611">
        <w:rPr>
          <w:color w:val="auto"/>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D17611">
        <w:rPr>
          <w:color w:val="auto"/>
        </w:rPr>
        <w:lastRenderedPageBreak/>
        <w:t>actualice alguno de los supuestos establecidos en el artículo 191 de la Ley de Transparencia y Acceso a la Información Pública del Estado de México y Municipios, por ser improcedente.</w:t>
      </w:r>
    </w:p>
    <w:p w14:paraId="78F86E3A" w14:textId="77777777" w:rsidR="00EC1C03" w:rsidRPr="00D17611" w:rsidRDefault="00EC1C03" w:rsidP="00A62148">
      <w:pPr>
        <w:spacing w:after="0" w:line="360" w:lineRule="auto"/>
        <w:rPr>
          <w:color w:val="auto"/>
        </w:rPr>
      </w:pPr>
    </w:p>
    <w:p w14:paraId="6DA990A4" w14:textId="77777777" w:rsidR="00EC1C03" w:rsidRPr="00D17611" w:rsidRDefault="00EC1C03" w:rsidP="00A62148">
      <w:pPr>
        <w:spacing w:after="0" w:line="360" w:lineRule="auto"/>
        <w:rPr>
          <w:color w:val="auto"/>
        </w:rPr>
      </w:pPr>
      <w:r w:rsidRPr="00D17611">
        <w:rPr>
          <w:color w:val="auto"/>
        </w:rPr>
        <w:t>En el presente caso, </w:t>
      </w:r>
      <w:r w:rsidRPr="00D17611">
        <w:rPr>
          <w:b/>
          <w:color w:val="auto"/>
        </w:rPr>
        <w:t>no se actualiza ninguna de las causales de improcedencia</w:t>
      </w:r>
      <w:r w:rsidRPr="00D17611">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D17611" w:rsidRDefault="00EC1C03" w:rsidP="00A62148">
      <w:pPr>
        <w:spacing w:after="0" w:line="360" w:lineRule="auto"/>
        <w:rPr>
          <w:color w:val="auto"/>
        </w:rPr>
      </w:pPr>
    </w:p>
    <w:p w14:paraId="09400D35" w14:textId="6E0ABB6D" w:rsidR="00DD5123" w:rsidRPr="00D17611" w:rsidRDefault="00EC1C03" w:rsidP="00A62148">
      <w:pPr>
        <w:spacing w:after="0" w:line="360" w:lineRule="auto"/>
        <w:rPr>
          <w:rFonts w:eastAsia="Calibri" w:cs="Tahoma"/>
          <w:color w:val="auto"/>
        </w:rPr>
      </w:pPr>
      <w:r w:rsidRPr="00D17611">
        <w:rPr>
          <w:rFonts w:eastAsia="Times New Roman" w:cs="Tahoma"/>
          <w:color w:val="auto"/>
          <w:lang w:eastAsia="es-ES"/>
        </w:rPr>
        <w:t>Asimismo, se actualiza la</w:t>
      </w:r>
      <w:r w:rsidR="00F9270B" w:rsidRPr="00D17611">
        <w:rPr>
          <w:rFonts w:eastAsia="Times New Roman" w:cs="Tahoma"/>
          <w:color w:val="auto"/>
          <w:lang w:eastAsia="es-ES"/>
        </w:rPr>
        <w:t xml:space="preserve"> causal </w:t>
      </w:r>
      <w:r w:rsidRPr="00D17611">
        <w:rPr>
          <w:rFonts w:eastAsia="Times New Roman" w:cs="Tahoma"/>
          <w:color w:val="auto"/>
          <w:lang w:eastAsia="es-ES"/>
        </w:rPr>
        <w:t>de procedencia del Recurso de Revisión señalada en el artículo 179,</w:t>
      </w:r>
      <w:r w:rsidR="00F9270B" w:rsidRPr="00D17611">
        <w:rPr>
          <w:rFonts w:eastAsia="Times New Roman" w:cs="Tahoma"/>
          <w:color w:val="auto"/>
          <w:lang w:eastAsia="es-ES"/>
        </w:rPr>
        <w:t xml:space="preserve"> fracci</w:t>
      </w:r>
      <w:r w:rsidR="00BF7D46" w:rsidRPr="00D17611">
        <w:rPr>
          <w:rFonts w:eastAsia="Times New Roman" w:cs="Tahoma"/>
          <w:color w:val="auto"/>
          <w:lang w:eastAsia="es-ES"/>
        </w:rPr>
        <w:t>ón</w:t>
      </w:r>
      <w:r w:rsidR="00F9270B" w:rsidRPr="00D17611">
        <w:rPr>
          <w:rFonts w:eastAsia="Times New Roman" w:cs="Tahoma"/>
          <w:color w:val="auto"/>
          <w:lang w:eastAsia="es-ES"/>
        </w:rPr>
        <w:t xml:space="preserve"> </w:t>
      </w:r>
      <w:r w:rsidR="007B5105" w:rsidRPr="00D17611">
        <w:rPr>
          <w:rFonts w:eastAsia="Times New Roman" w:cs="Tahoma"/>
          <w:color w:val="auto"/>
          <w:lang w:eastAsia="es-ES"/>
        </w:rPr>
        <w:t>IV</w:t>
      </w:r>
      <w:r w:rsidRPr="00D17611">
        <w:rPr>
          <w:rFonts w:eastAsia="Times New Roman" w:cs="Tahoma"/>
          <w:color w:val="auto"/>
          <w:lang w:eastAsia="es-ES"/>
        </w:rPr>
        <w:t xml:space="preserve">, de la Ley en cita, </w:t>
      </w:r>
      <w:r w:rsidRPr="00D17611">
        <w:rPr>
          <w:rFonts w:eastAsia="Calibri" w:cs="Tahoma"/>
          <w:color w:val="auto"/>
        </w:rPr>
        <w:t xml:space="preserve">pues la persona Recurrente se inconformó con la </w:t>
      </w:r>
      <w:r w:rsidR="007B5105" w:rsidRPr="00D17611">
        <w:rPr>
          <w:rFonts w:eastAsia="Calibri" w:cs="Tahoma"/>
          <w:color w:val="auto"/>
        </w:rPr>
        <w:t>declaración de incompetencia por el Sujeto Obligado.</w:t>
      </w:r>
    </w:p>
    <w:p w14:paraId="087490CC" w14:textId="77777777" w:rsidR="00EC1C03" w:rsidRPr="00D17611" w:rsidRDefault="00EC1C03" w:rsidP="00A62148">
      <w:pPr>
        <w:spacing w:after="0" w:line="360" w:lineRule="auto"/>
        <w:rPr>
          <w:rFonts w:eastAsia="Calibri" w:cs="Tahoma"/>
          <w:color w:val="FF0000"/>
        </w:rPr>
      </w:pPr>
    </w:p>
    <w:p w14:paraId="7B14536E" w14:textId="0FC6FBCF" w:rsidR="00EC77D9" w:rsidRPr="00D17611" w:rsidRDefault="00EC77D9" w:rsidP="00A62148">
      <w:pPr>
        <w:spacing w:after="0" w:line="360" w:lineRule="auto"/>
        <w:rPr>
          <w:rFonts w:eastAsia="Times New Roman" w:cs="Tahoma"/>
          <w:b/>
          <w:bCs/>
          <w:color w:val="auto"/>
          <w:lang w:eastAsia="es-ES"/>
        </w:rPr>
      </w:pPr>
      <w:r w:rsidRPr="00D17611">
        <w:rPr>
          <w:rFonts w:eastAsia="Times New Roman" w:cs="Tahoma"/>
          <w:b/>
          <w:bCs/>
          <w:color w:val="auto"/>
          <w:lang w:eastAsia="es-ES"/>
        </w:rPr>
        <w:t>Causales de sobreseimiento</w:t>
      </w:r>
    </w:p>
    <w:p w14:paraId="535575C5" w14:textId="77777777" w:rsidR="008E4F87" w:rsidRPr="00D17611" w:rsidRDefault="008E4F87" w:rsidP="00A62148">
      <w:pPr>
        <w:spacing w:after="0" w:line="360" w:lineRule="auto"/>
        <w:rPr>
          <w:rFonts w:eastAsia="Times New Roman" w:cs="Tahoma"/>
          <w:bCs/>
          <w:color w:val="auto"/>
          <w:lang w:eastAsia="es-ES"/>
        </w:rPr>
      </w:pPr>
    </w:p>
    <w:p w14:paraId="63CB641D" w14:textId="21D3BF0F" w:rsidR="006607EA" w:rsidRPr="00D17611" w:rsidRDefault="00EC77D9" w:rsidP="00A62148">
      <w:pPr>
        <w:spacing w:after="0" w:line="360" w:lineRule="auto"/>
        <w:rPr>
          <w:rFonts w:eastAsia="Times New Roman" w:cs="Tahoma"/>
          <w:bCs/>
          <w:color w:val="auto"/>
          <w:lang w:eastAsia="es-ES"/>
        </w:rPr>
      </w:pPr>
      <w:r w:rsidRPr="00D17611">
        <w:rPr>
          <w:rFonts w:eastAsia="Times New Roman" w:cs="Tahoma"/>
          <w:bCs/>
          <w:color w:val="auto"/>
          <w:lang w:eastAsia="es-ES"/>
        </w:rPr>
        <w:t>Por ser de previo y especial pronunciamiento, este Instituto analiza si se actualiza alguna causal de sobreseimiento.</w:t>
      </w:r>
      <w:r w:rsidR="00B61BF0" w:rsidRPr="00D17611">
        <w:rPr>
          <w:rFonts w:eastAsia="Times New Roman" w:cs="Tahoma"/>
          <w:bCs/>
          <w:color w:val="auto"/>
          <w:lang w:eastAsia="es-ES"/>
        </w:rPr>
        <w:t xml:space="preserve"> </w:t>
      </w:r>
    </w:p>
    <w:p w14:paraId="1DA7DE69" w14:textId="77777777" w:rsidR="006607EA" w:rsidRPr="00D17611" w:rsidRDefault="006607EA" w:rsidP="00A62148">
      <w:pPr>
        <w:spacing w:after="0" w:line="360" w:lineRule="auto"/>
        <w:rPr>
          <w:rFonts w:eastAsia="Times New Roman" w:cs="Tahoma"/>
          <w:bCs/>
          <w:color w:val="auto"/>
          <w:lang w:eastAsia="es-ES"/>
        </w:rPr>
      </w:pPr>
    </w:p>
    <w:p w14:paraId="0D0171D0" w14:textId="5BFAD7EA" w:rsidR="00EC77D9" w:rsidRPr="00D17611" w:rsidRDefault="00EC77D9" w:rsidP="00A62148">
      <w:pPr>
        <w:spacing w:after="0" w:line="360" w:lineRule="auto"/>
        <w:rPr>
          <w:rFonts w:eastAsia="Times New Roman" w:cs="Tahoma"/>
          <w:color w:val="auto"/>
          <w:lang w:eastAsia="es-ES"/>
        </w:rPr>
      </w:pPr>
      <w:r w:rsidRPr="00D17611">
        <w:rPr>
          <w:rFonts w:eastAsia="Times New Roman" w:cs="Tahoma"/>
          <w:bCs/>
          <w:color w:val="auto"/>
          <w:lang w:eastAsia="es-ES"/>
        </w:rPr>
        <w:t>Sobre el tema, e</w:t>
      </w:r>
      <w:r w:rsidRPr="00D17611">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D55E2F" w:rsidRPr="00D17611">
        <w:rPr>
          <w:rFonts w:eastAsia="Times New Roman" w:cs="Tahoma"/>
          <w:color w:val="auto"/>
          <w:lang w:eastAsia="es-ES"/>
        </w:rPr>
        <w:t xml:space="preserve">persona </w:t>
      </w:r>
      <w:r w:rsidRPr="00D17611">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453748E2" w14:textId="5E3E0CC7" w:rsidR="00DC6ABD" w:rsidRPr="00D17611" w:rsidRDefault="00EC77D9" w:rsidP="00A62148">
      <w:pPr>
        <w:spacing w:after="0" w:line="360" w:lineRule="auto"/>
        <w:rPr>
          <w:rFonts w:eastAsia="Times New Roman" w:cs="Tahoma"/>
          <w:bCs/>
          <w:color w:val="auto"/>
          <w:lang w:eastAsia="es-ES"/>
        </w:rPr>
      </w:pPr>
      <w:r w:rsidRPr="00D17611">
        <w:rPr>
          <w:rFonts w:eastAsia="Times New Roman" w:cs="Tahoma"/>
          <w:bCs/>
          <w:color w:val="auto"/>
          <w:lang w:eastAsia="es-ES"/>
        </w:rPr>
        <w:lastRenderedPageBreak/>
        <w:t xml:space="preserve">Por tales motivos, se considera procedente entrar al fondo del presente asunto. </w:t>
      </w:r>
    </w:p>
    <w:p w14:paraId="4ACD5B8E" w14:textId="77777777" w:rsidR="009E7021" w:rsidRPr="00D17611" w:rsidRDefault="009E7021" w:rsidP="00A62148">
      <w:pPr>
        <w:spacing w:after="0" w:line="360" w:lineRule="auto"/>
        <w:rPr>
          <w:rFonts w:eastAsia="Times New Roman" w:cs="Tahoma"/>
          <w:bCs/>
          <w:color w:val="FF0000"/>
          <w:lang w:eastAsia="es-ES"/>
        </w:rPr>
      </w:pPr>
    </w:p>
    <w:p w14:paraId="2AEBE5D0" w14:textId="3CF49288" w:rsidR="00A2050F" w:rsidRPr="00D17611" w:rsidRDefault="00EC77D9" w:rsidP="008D4BF2">
      <w:pPr>
        <w:pStyle w:val="Ttulo2"/>
        <w:rPr>
          <w:rFonts w:eastAsia="Times New Roman"/>
          <w:color w:val="auto"/>
          <w:lang w:val="es-ES" w:eastAsia="es-ES"/>
        </w:rPr>
      </w:pPr>
      <w:bookmarkStart w:id="31" w:name="_Toc190871548"/>
      <w:bookmarkStart w:id="32" w:name="_Toc193806612"/>
      <w:r w:rsidRPr="00D17611">
        <w:rPr>
          <w:rFonts w:eastAsia="Times New Roman"/>
          <w:color w:val="auto"/>
          <w:lang w:val="es-ES" w:eastAsia="es-ES"/>
        </w:rPr>
        <w:t>TERCERO. De</w:t>
      </w:r>
      <w:r w:rsidR="007B0D14" w:rsidRPr="00D17611">
        <w:rPr>
          <w:rFonts w:eastAsia="Times New Roman"/>
          <w:color w:val="auto"/>
          <w:lang w:val="es-ES" w:eastAsia="es-ES"/>
        </w:rPr>
        <w:t>terminación de la Controversia</w:t>
      </w:r>
      <w:bookmarkEnd w:id="31"/>
      <w:bookmarkEnd w:id="32"/>
    </w:p>
    <w:p w14:paraId="66946365" w14:textId="65B5F57A" w:rsidR="00A2050F" w:rsidRPr="00D17611" w:rsidRDefault="00A2050F" w:rsidP="00A62148">
      <w:pPr>
        <w:spacing w:after="0" w:line="360" w:lineRule="auto"/>
        <w:rPr>
          <w:rFonts w:eastAsia="Times New Roman" w:cs="Tahoma"/>
          <w:b/>
          <w:bCs/>
          <w:iCs/>
          <w:color w:val="FF0000"/>
          <w:lang w:val="es-ES" w:eastAsia="es-ES"/>
        </w:rPr>
      </w:pPr>
    </w:p>
    <w:p w14:paraId="0CF41EA8" w14:textId="46700552" w:rsidR="00B52CA7" w:rsidRPr="00D17611" w:rsidRDefault="00A2050F" w:rsidP="00A62148">
      <w:pPr>
        <w:spacing w:after="0" w:line="360" w:lineRule="auto"/>
        <w:rPr>
          <w:rFonts w:cs="Tahoma"/>
          <w:color w:val="FF0000"/>
        </w:rPr>
      </w:pPr>
      <w:r w:rsidRPr="00D17611">
        <w:rPr>
          <w:rFonts w:cs="Tahoma"/>
          <w:color w:val="auto"/>
        </w:rPr>
        <w:t xml:space="preserve">Con el objetivo de ilustrar la controversia planteada, resulta conveniente precisar, que una vez realizado el estudio de las constancias que integran el expediente en el que se actúa, se desprende que el Particular </w:t>
      </w:r>
      <w:r w:rsidR="00D17D14" w:rsidRPr="00D17611">
        <w:rPr>
          <w:rFonts w:cs="Tahoma"/>
          <w:color w:val="auto"/>
        </w:rPr>
        <w:t>requirió</w:t>
      </w:r>
      <w:r w:rsidR="00C22BE9" w:rsidRPr="00D17611">
        <w:rPr>
          <w:rFonts w:cs="Tahoma"/>
          <w:color w:val="auto"/>
        </w:rPr>
        <w:t xml:space="preserve">, </w:t>
      </w:r>
      <w:r w:rsidR="00E54403" w:rsidRPr="00D17611">
        <w:rPr>
          <w:rFonts w:cs="Tahoma"/>
          <w:color w:val="auto"/>
        </w:rPr>
        <w:t xml:space="preserve">el </w:t>
      </w:r>
      <w:r w:rsidR="00133F9E" w:rsidRPr="00D17611">
        <w:rPr>
          <w:rFonts w:cs="Tahoma"/>
          <w:color w:val="auto"/>
        </w:rPr>
        <w:t>C</w:t>
      </w:r>
      <w:r w:rsidR="00E54403" w:rsidRPr="00D17611">
        <w:rPr>
          <w:rFonts w:cs="Tahoma"/>
          <w:color w:val="auto"/>
        </w:rPr>
        <w:t xml:space="preserve">onvenio </w:t>
      </w:r>
      <w:r w:rsidR="00133F9E" w:rsidRPr="00D17611">
        <w:rPr>
          <w:rFonts w:cs="Tahoma"/>
          <w:color w:val="auto"/>
        </w:rPr>
        <w:t>L</w:t>
      </w:r>
      <w:r w:rsidR="00E54403" w:rsidRPr="00D17611">
        <w:rPr>
          <w:rFonts w:cs="Tahoma"/>
          <w:color w:val="auto"/>
        </w:rPr>
        <w:t xml:space="preserve">aboral firmado </w:t>
      </w:r>
      <w:r w:rsidR="00133F9E" w:rsidRPr="00D17611">
        <w:rPr>
          <w:rFonts w:cs="Tahoma"/>
          <w:color w:val="auto"/>
        </w:rPr>
        <w:t>entre</w:t>
      </w:r>
      <w:r w:rsidR="00E54403" w:rsidRPr="00D17611">
        <w:rPr>
          <w:rFonts w:cs="Tahoma"/>
          <w:color w:val="auto"/>
        </w:rPr>
        <w:t xml:space="preserve"> el Sindicato Único de Trabajadores de los Poderes, Municipios e Instituciones Descentralizadas del Estado de México y el </w:t>
      </w:r>
      <w:r w:rsidR="00133F9E" w:rsidRPr="00D17611">
        <w:rPr>
          <w:rFonts w:cs="Tahoma"/>
          <w:color w:val="auto"/>
        </w:rPr>
        <w:t>Ayuntamiento, para el ejercicio fiscal</w:t>
      </w:r>
      <w:r w:rsidR="00E54403" w:rsidRPr="00D17611">
        <w:rPr>
          <w:rFonts w:cs="Tahoma"/>
          <w:color w:val="auto"/>
        </w:rPr>
        <w:t xml:space="preserve"> dos mil veinticuatro.</w:t>
      </w:r>
    </w:p>
    <w:p w14:paraId="02035709" w14:textId="77777777" w:rsidR="007B0D14" w:rsidRPr="00D17611" w:rsidRDefault="007B0D14" w:rsidP="00A62148">
      <w:pPr>
        <w:spacing w:after="0" w:line="360" w:lineRule="auto"/>
        <w:rPr>
          <w:rFonts w:cs="Tahoma"/>
          <w:color w:val="FF0000"/>
        </w:rPr>
      </w:pPr>
    </w:p>
    <w:p w14:paraId="28134CA5" w14:textId="77777777" w:rsidR="00133F9E" w:rsidRPr="00D17611" w:rsidRDefault="00E54403" w:rsidP="00A62148">
      <w:pPr>
        <w:spacing w:after="0" w:line="360" w:lineRule="auto"/>
      </w:pPr>
      <w:r w:rsidRPr="00D17611">
        <w:t xml:space="preserve">En respuesta el ente Recurrido, refirió que el Sujeto Obligado no </w:t>
      </w:r>
      <w:r w:rsidR="00133F9E" w:rsidRPr="00D17611">
        <w:t xml:space="preserve">era </w:t>
      </w:r>
      <w:r w:rsidRPr="00D17611">
        <w:t xml:space="preserve">competente para conocer de lo solicitado, ya que </w:t>
      </w:r>
      <w:r w:rsidR="00133F9E" w:rsidRPr="00D17611">
        <w:t>el gremio</w:t>
      </w:r>
      <w:r w:rsidRPr="00D17611">
        <w:t xml:space="preserve"> c</w:t>
      </w:r>
      <w:r w:rsidR="00133F9E" w:rsidRPr="00D17611">
        <w:t xml:space="preserve">ontaba </w:t>
      </w:r>
      <w:r w:rsidRPr="00D17611">
        <w:t xml:space="preserve">con su </w:t>
      </w:r>
      <w:r w:rsidR="00133F9E" w:rsidRPr="00D17611">
        <w:t>U</w:t>
      </w:r>
      <w:r w:rsidRPr="00D17611">
        <w:t>nidad de Transparencia</w:t>
      </w:r>
      <w:r w:rsidR="00B706D2" w:rsidRPr="00D17611">
        <w:t xml:space="preserve">; ante dicha circunstancia, la parte Recurrente se inconformó con la declaración de incompetencia por el </w:t>
      </w:r>
      <w:r w:rsidR="00133F9E" w:rsidRPr="00D17611">
        <w:t>S</w:t>
      </w:r>
      <w:r w:rsidR="00B706D2" w:rsidRPr="00D17611">
        <w:t xml:space="preserve">ujeto </w:t>
      </w:r>
      <w:r w:rsidR="00133F9E" w:rsidRPr="00D17611">
        <w:t>O</w:t>
      </w:r>
      <w:r w:rsidR="00B706D2" w:rsidRPr="00D17611">
        <w:t xml:space="preserve">bligado, lo cual actualiza el supuesto previsto en el artículo 179, fracción IV, de la Ley de Transparencia y Acceso a la Información Pública del Estado de México y Municipios. </w:t>
      </w:r>
    </w:p>
    <w:p w14:paraId="745EEEEA" w14:textId="77777777" w:rsidR="00133F9E" w:rsidRPr="00D17611" w:rsidRDefault="00133F9E" w:rsidP="00A62148">
      <w:pPr>
        <w:spacing w:after="0" w:line="360" w:lineRule="auto"/>
      </w:pPr>
    </w:p>
    <w:p w14:paraId="162B0620" w14:textId="1B77032F" w:rsidR="00E54403" w:rsidRPr="00D17611" w:rsidRDefault="00B706D2" w:rsidP="00A62148">
      <w:pPr>
        <w:spacing w:after="0" w:line="360" w:lineRule="auto"/>
        <w:rPr>
          <w:color w:val="FF0000"/>
        </w:rPr>
      </w:pPr>
      <w:r w:rsidRPr="00D17611">
        <w:t xml:space="preserve">Así las cosas, una vez  admitido y notificado </w:t>
      </w:r>
      <w:r w:rsidR="00133F9E" w:rsidRPr="00D17611">
        <w:t>el</w:t>
      </w:r>
      <w:r w:rsidRPr="00D17611">
        <w:t xml:space="preserve"> Recurso de Revisión a las partes, el Sujeto Obligado </w:t>
      </w:r>
      <w:r w:rsidR="00133F9E" w:rsidRPr="00D17611">
        <w:t xml:space="preserve">proporcionó un oficio mediante el cual </w:t>
      </w:r>
      <w:r w:rsidRPr="00D17611">
        <w:t>el Comité Ejecutivo Sección la Paz,</w:t>
      </w:r>
      <w:r w:rsidR="00133F9E" w:rsidRPr="00D17611">
        <w:t xml:space="preserve"> le</w:t>
      </w:r>
      <w:r w:rsidRPr="00D17611">
        <w:t xml:space="preserve"> señaló que el Ayuntamiento ha firmado los convenios de dos mil veintidós, dos mil veintitrés y dos mil veinticuatro, señalando además que los de dos mil veinticinco y dos mil veintiséis están pendientes de firmar, haciendo mención que los convenios originales de dos mil veintidós, dos mil veintitrés y dos mil veinticuatro se encuentran en el área de presidencia.</w:t>
      </w:r>
    </w:p>
    <w:p w14:paraId="05E80A14" w14:textId="77777777" w:rsidR="00790D5E" w:rsidRPr="00D17611" w:rsidRDefault="00790D5E" w:rsidP="00A62148">
      <w:pPr>
        <w:tabs>
          <w:tab w:val="left" w:pos="4962"/>
        </w:tabs>
        <w:spacing w:after="0" w:line="360" w:lineRule="auto"/>
        <w:rPr>
          <w:rFonts w:eastAsia="Times New Roman" w:cs="Arial"/>
          <w:bCs/>
          <w:i/>
          <w:iCs/>
          <w:color w:val="auto"/>
          <w:sz w:val="20"/>
          <w:szCs w:val="20"/>
          <w:lang w:eastAsia="es-ES"/>
        </w:rPr>
      </w:pPr>
    </w:p>
    <w:p w14:paraId="6F1CFCEB" w14:textId="629BAE36" w:rsidR="00EC77D9" w:rsidRPr="00D17611" w:rsidRDefault="00EC77D9" w:rsidP="00A62148">
      <w:pPr>
        <w:tabs>
          <w:tab w:val="left" w:pos="4962"/>
        </w:tabs>
        <w:spacing w:after="0" w:line="360" w:lineRule="auto"/>
        <w:rPr>
          <w:rFonts w:eastAsia="Calibri" w:cs="Tahoma"/>
          <w:bCs/>
          <w:color w:val="auto"/>
        </w:rPr>
      </w:pPr>
      <w:r w:rsidRPr="00D17611">
        <w:rPr>
          <w:rFonts w:eastAsia="Calibri" w:cs="Tahoma"/>
          <w:iCs/>
          <w:color w:val="auto"/>
          <w:lang w:val="es-ES" w:eastAsia="es-ES_tradnl"/>
        </w:rPr>
        <w:t>Lo anterior, se desprende de las documentales que obran en el expediente de referencia, materia de la presente resolución, consistente en: la solic</w:t>
      </w:r>
      <w:r w:rsidR="00B23CB3" w:rsidRPr="00D17611">
        <w:rPr>
          <w:rFonts w:eastAsia="Calibri" w:cs="Tahoma"/>
          <w:iCs/>
          <w:color w:val="auto"/>
          <w:lang w:val="es-ES" w:eastAsia="es-ES_tradnl"/>
        </w:rPr>
        <w:t xml:space="preserve">itud de acceso a la información, </w:t>
      </w:r>
      <w:r w:rsidRPr="00D17611">
        <w:rPr>
          <w:rFonts w:eastAsia="Calibri" w:cs="Tahoma"/>
          <w:iCs/>
          <w:color w:val="auto"/>
          <w:lang w:eastAsia="es-ES_tradnl"/>
        </w:rPr>
        <w:t xml:space="preserve">el escrito </w:t>
      </w:r>
      <w:proofErr w:type="spellStart"/>
      <w:r w:rsidRPr="00D17611">
        <w:rPr>
          <w:rFonts w:eastAsia="Calibri" w:cs="Tahoma"/>
          <w:iCs/>
          <w:color w:val="auto"/>
          <w:lang w:eastAsia="es-ES_tradnl"/>
        </w:rPr>
        <w:t>recursal</w:t>
      </w:r>
      <w:proofErr w:type="spellEnd"/>
      <w:r w:rsidR="00B23CB3" w:rsidRPr="00D17611">
        <w:rPr>
          <w:rFonts w:eastAsia="Calibri" w:cs="Tahoma"/>
          <w:iCs/>
          <w:color w:val="auto"/>
          <w:lang w:eastAsia="es-ES_tradnl"/>
        </w:rPr>
        <w:t xml:space="preserve"> y el informe justificado</w:t>
      </w:r>
      <w:r w:rsidRPr="00D17611">
        <w:rPr>
          <w:rFonts w:eastAsia="Calibri" w:cs="Tahoma"/>
          <w:iCs/>
          <w:color w:val="auto"/>
          <w:lang w:eastAsia="es-ES_tradnl"/>
        </w:rPr>
        <w:t xml:space="preserve">; </w:t>
      </w:r>
      <w:r w:rsidRPr="00D17611">
        <w:rPr>
          <w:rFonts w:eastAsia="Calibri" w:cs="Tahoma"/>
          <w:bCs/>
          <w:color w:val="auto"/>
        </w:rPr>
        <w:t xml:space="preserve">instrumentales que se toman en cuenta a efecto de resolver el presente medio de impugnación, conforme a lo dispuesto por el artículo 185, </w:t>
      </w:r>
      <w:r w:rsidRPr="00D17611">
        <w:rPr>
          <w:rFonts w:eastAsia="Calibri" w:cs="Tahoma"/>
          <w:bCs/>
          <w:color w:val="auto"/>
        </w:rPr>
        <w:lastRenderedPageBreak/>
        <w:t>fracción IV, de la Ley de Transparencia y Acceso a la Información Pública del Estado de México y Municipios.</w:t>
      </w:r>
    </w:p>
    <w:p w14:paraId="461FBDF4" w14:textId="77777777" w:rsidR="00EC77D9" w:rsidRPr="00D17611" w:rsidRDefault="00EC77D9" w:rsidP="00A62148">
      <w:pPr>
        <w:spacing w:after="0" w:line="360" w:lineRule="auto"/>
        <w:rPr>
          <w:rFonts w:eastAsia="Calibri" w:cs="Tahoma"/>
          <w:color w:val="auto"/>
          <w:lang w:eastAsia="es-ES_tradnl"/>
        </w:rPr>
      </w:pPr>
    </w:p>
    <w:p w14:paraId="4AC719C6" w14:textId="34C4CC42" w:rsidR="00EC77D9" w:rsidRPr="00D17611" w:rsidRDefault="00EC77D9" w:rsidP="008D4BF2">
      <w:pPr>
        <w:pStyle w:val="Ttulo2"/>
        <w:rPr>
          <w:rFonts w:eastAsia="Times New Roman"/>
          <w:color w:val="auto"/>
          <w:lang w:eastAsia="es-ES"/>
        </w:rPr>
      </w:pPr>
      <w:bookmarkStart w:id="33" w:name="_Toc190871549"/>
      <w:bookmarkStart w:id="34" w:name="_Toc193806613"/>
      <w:r w:rsidRPr="00D17611">
        <w:rPr>
          <w:rFonts w:eastAsia="Times New Roman"/>
          <w:color w:val="auto"/>
          <w:lang w:val="es-ES" w:eastAsia="es-ES"/>
        </w:rPr>
        <w:t xml:space="preserve">CUARTO. </w:t>
      </w:r>
      <w:r w:rsidRPr="00D17611">
        <w:rPr>
          <w:rFonts w:eastAsia="Times New Roman"/>
          <w:color w:val="auto"/>
          <w:lang w:eastAsia="es-ES"/>
        </w:rPr>
        <w:t>Marco normativo aplicable en materia de transparencia y acceso a la informaci</w:t>
      </w:r>
      <w:r w:rsidR="00D94DEB" w:rsidRPr="00D17611">
        <w:rPr>
          <w:rFonts w:eastAsia="Times New Roman"/>
          <w:color w:val="auto"/>
          <w:lang w:eastAsia="es-ES"/>
        </w:rPr>
        <w:t>ón pública</w:t>
      </w:r>
      <w:bookmarkEnd w:id="33"/>
      <w:bookmarkEnd w:id="34"/>
    </w:p>
    <w:p w14:paraId="53349C7E" w14:textId="77777777" w:rsidR="00EC77D9" w:rsidRPr="00D17611" w:rsidRDefault="00EC77D9" w:rsidP="00A62148">
      <w:pPr>
        <w:autoSpaceDE w:val="0"/>
        <w:autoSpaceDN w:val="0"/>
        <w:adjustRightInd w:val="0"/>
        <w:spacing w:after="0" w:line="360" w:lineRule="auto"/>
        <w:rPr>
          <w:rFonts w:eastAsia="Times New Roman" w:cs="Tahoma"/>
          <w:bCs/>
          <w:iCs/>
          <w:color w:val="FF0000"/>
          <w:lang w:val="es-ES" w:eastAsia="es-ES"/>
        </w:rPr>
      </w:pPr>
    </w:p>
    <w:p w14:paraId="24646644" w14:textId="77777777" w:rsidR="00EC77D9" w:rsidRPr="00D17611" w:rsidRDefault="00EC77D9" w:rsidP="00A62148">
      <w:pPr>
        <w:spacing w:after="0" w:line="360" w:lineRule="auto"/>
        <w:rPr>
          <w:rFonts w:eastAsia="Times New Roman" w:cs="Tahoma"/>
          <w:bCs/>
          <w:iCs/>
          <w:color w:val="auto"/>
          <w:lang w:eastAsia="es-ES"/>
        </w:rPr>
      </w:pPr>
      <w:r w:rsidRPr="00D17611">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D17611" w:rsidRDefault="00B61BF0" w:rsidP="00A62148">
      <w:pPr>
        <w:spacing w:after="0" w:line="360" w:lineRule="auto"/>
        <w:rPr>
          <w:rFonts w:eastAsia="Times New Roman" w:cs="Tahoma"/>
          <w:bCs/>
          <w:iCs/>
          <w:color w:val="FF0000"/>
          <w:lang w:eastAsia="es-ES"/>
        </w:rPr>
      </w:pPr>
    </w:p>
    <w:p w14:paraId="3ECDEC3B" w14:textId="77777777" w:rsidR="00EC77D9" w:rsidRPr="00D17611" w:rsidRDefault="00EC77D9" w:rsidP="00A62148">
      <w:pPr>
        <w:spacing w:after="0" w:line="360" w:lineRule="auto"/>
        <w:rPr>
          <w:rFonts w:eastAsia="Times New Roman" w:cs="Tahoma"/>
          <w:bCs/>
          <w:iCs/>
          <w:color w:val="auto"/>
          <w:lang w:eastAsia="es-ES"/>
        </w:rPr>
      </w:pPr>
      <w:r w:rsidRPr="00D17611">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D17611" w:rsidRDefault="00EC77D9" w:rsidP="00A62148">
      <w:pPr>
        <w:spacing w:after="0" w:line="360" w:lineRule="auto"/>
        <w:rPr>
          <w:rFonts w:eastAsia="Times New Roman" w:cs="Tahoma"/>
          <w:bCs/>
          <w:iCs/>
          <w:color w:val="auto"/>
          <w:lang w:eastAsia="es-ES"/>
        </w:rPr>
      </w:pPr>
    </w:p>
    <w:p w14:paraId="16EC33CD" w14:textId="77777777" w:rsidR="00EC77D9" w:rsidRPr="00D17611" w:rsidRDefault="00EC77D9" w:rsidP="00A62148">
      <w:pPr>
        <w:spacing w:after="0" w:line="360" w:lineRule="auto"/>
        <w:rPr>
          <w:rFonts w:eastAsia="Times New Roman" w:cs="Tahoma"/>
          <w:bCs/>
          <w:iCs/>
          <w:color w:val="auto"/>
          <w:lang w:eastAsia="es-ES"/>
        </w:rPr>
      </w:pPr>
      <w:r w:rsidRPr="00D17611">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D17611" w:rsidRDefault="00EC77D9" w:rsidP="00A62148">
      <w:pPr>
        <w:spacing w:after="0" w:line="360" w:lineRule="auto"/>
        <w:rPr>
          <w:rFonts w:eastAsia="Times New Roman" w:cs="Tahoma"/>
          <w:bCs/>
          <w:iCs/>
          <w:color w:val="auto"/>
          <w:lang w:eastAsia="es-ES"/>
        </w:rPr>
      </w:pPr>
    </w:p>
    <w:p w14:paraId="5AAC1DAC" w14:textId="77777777" w:rsidR="00EC77D9" w:rsidRPr="00D17611" w:rsidRDefault="00EC77D9" w:rsidP="00A62148">
      <w:pPr>
        <w:spacing w:after="0" w:line="360" w:lineRule="auto"/>
        <w:rPr>
          <w:rFonts w:eastAsia="Times New Roman" w:cs="Tahoma"/>
          <w:bCs/>
          <w:iCs/>
          <w:color w:val="auto"/>
          <w:lang w:eastAsia="es-ES"/>
        </w:rPr>
      </w:pPr>
      <w:r w:rsidRPr="00D17611">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D17611" w:rsidRDefault="00EC77D9" w:rsidP="00A62148">
      <w:pPr>
        <w:spacing w:after="0" w:line="360" w:lineRule="auto"/>
        <w:rPr>
          <w:rFonts w:eastAsia="Times New Roman" w:cs="Tahoma"/>
          <w:bCs/>
          <w:iCs/>
          <w:color w:val="auto"/>
          <w:lang w:eastAsia="es-ES"/>
        </w:rPr>
      </w:pPr>
    </w:p>
    <w:p w14:paraId="1A199F11" w14:textId="77777777" w:rsidR="00EC77D9" w:rsidRPr="00D17611" w:rsidRDefault="00EC77D9" w:rsidP="00A62148">
      <w:pPr>
        <w:widowControl w:val="0"/>
        <w:spacing w:after="0" w:line="360" w:lineRule="auto"/>
        <w:rPr>
          <w:rFonts w:eastAsia="Times New Roman" w:cs="Tahoma"/>
          <w:bCs/>
          <w:iCs/>
          <w:color w:val="auto"/>
          <w:lang w:eastAsia="es-ES"/>
        </w:rPr>
      </w:pPr>
      <w:r w:rsidRPr="00D17611">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3F8177B" w14:textId="77777777" w:rsidR="00EC77D9" w:rsidRPr="00D17611" w:rsidRDefault="00EC77D9" w:rsidP="00A62148">
      <w:pPr>
        <w:spacing w:after="0" w:line="360" w:lineRule="auto"/>
        <w:rPr>
          <w:rFonts w:eastAsia="Times New Roman" w:cs="Tahoma"/>
          <w:bCs/>
          <w:iCs/>
          <w:color w:val="auto"/>
          <w:lang w:eastAsia="es-ES"/>
        </w:rPr>
      </w:pPr>
    </w:p>
    <w:p w14:paraId="6B93EA99" w14:textId="2691E2CA" w:rsidR="00EC77D9" w:rsidRPr="00D17611" w:rsidRDefault="00EC77D9" w:rsidP="00A62148">
      <w:pPr>
        <w:spacing w:after="0" w:line="360" w:lineRule="auto"/>
        <w:rPr>
          <w:rFonts w:eastAsia="Times New Roman" w:cs="Tahoma"/>
          <w:bCs/>
          <w:iCs/>
          <w:color w:val="auto"/>
          <w:lang w:eastAsia="es-ES"/>
        </w:rPr>
      </w:pPr>
      <w:r w:rsidRPr="00D17611">
        <w:rPr>
          <w:rFonts w:eastAsia="Times New Roman" w:cs="Tahoma"/>
          <w:bCs/>
          <w:iCs/>
          <w:color w:val="auto"/>
          <w:lang w:eastAsia="es-ES"/>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D17611" w:rsidRDefault="006A52AF" w:rsidP="00A62148">
      <w:pPr>
        <w:spacing w:after="0" w:line="360" w:lineRule="auto"/>
        <w:rPr>
          <w:rFonts w:eastAsia="Times New Roman" w:cs="Tahoma"/>
          <w:bCs/>
          <w:iCs/>
          <w:color w:val="FF0000"/>
          <w:lang w:eastAsia="es-ES"/>
        </w:rPr>
      </w:pPr>
    </w:p>
    <w:p w14:paraId="438CA9E5" w14:textId="3DD9ACE7" w:rsidR="009B3229" w:rsidRPr="00D17611" w:rsidRDefault="00D94DEB" w:rsidP="003B4BC4">
      <w:pPr>
        <w:pStyle w:val="Ttulo1"/>
        <w:jc w:val="left"/>
        <w:rPr>
          <w:rFonts w:eastAsia="Times New Roman"/>
          <w:color w:val="auto"/>
          <w:lang w:val="es-ES" w:eastAsia="es-ES"/>
        </w:rPr>
      </w:pPr>
      <w:bookmarkStart w:id="35" w:name="_Toc193806614"/>
      <w:r w:rsidRPr="00D17611">
        <w:rPr>
          <w:rFonts w:eastAsia="Times New Roman"/>
          <w:color w:val="auto"/>
          <w:lang w:val="es-ES" w:eastAsia="es-ES"/>
        </w:rPr>
        <w:t>QUINTO. Estudio de Fondo</w:t>
      </w:r>
      <w:bookmarkEnd w:id="35"/>
    </w:p>
    <w:p w14:paraId="2093D816" w14:textId="77777777" w:rsidR="00790D5E" w:rsidRPr="00D17611" w:rsidRDefault="00790D5E" w:rsidP="00A62148">
      <w:pPr>
        <w:spacing w:after="0" w:line="360" w:lineRule="auto"/>
      </w:pPr>
    </w:p>
    <w:p w14:paraId="1DF77150" w14:textId="77777777" w:rsidR="00E77F81" w:rsidRPr="00D17611" w:rsidRDefault="00790D5E" w:rsidP="00E77F81">
      <w:pPr>
        <w:spacing w:after="0" w:line="360" w:lineRule="auto"/>
      </w:pPr>
      <w:r w:rsidRPr="00D17611">
        <w:t xml:space="preserve">Una vez expuestas las posturas de las partes, se procede analizar el agravio hecho valer por el Particular, referente a la declaración de incompetencia del </w:t>
      </w:r>
      <w:r w:rsidR="00133F9E" w:rsidRPr="00D17611">
        <w:t>Ayuntamiento de la Paz</w:t>
      </w:r>
      <w:r w:rsidRPr="00D17611">
        <w:t xml:space="preserve">; para lo cual, </w:t>
      </w:r>
      <w:r w:rsidR="00E77F81" w:rsidRPr="00D17611">
        <w:t xml:space="preserve">cabe recordar que el Sujeto Obligado refirió que carecía de atribuciones para conocer con lo peticionado, pues </w:t>
      </w:r>
      <w:r w:rsidRPr="00D17611">
        <w:rPr>
          <w:rFonts w:cs="Tahoma"/>
          <w:color w:val="auto"/>
        </w:rPr>
        <w:t xml:space="preserve">el Sindicato Único de Trabajadores de los Poderes, Municipios e Instituciones Descentralizadas del Estado de México </w:t>
      </w:r>
      <w:r w:rsidR="00E77F81" w:rsidRPr="00D17611">
        <w:t>contaba con su propia Unidad de Transparencia.</w:t>
      </w:r>
      <w:r w:rsidRPr="00D17611">
        <w:t xml:space="preserve"> </w:t>
      </w:r>
    </w:p>
    <w:p w14:paraId="24720BD6" w14:textId="77777777" w:rsidR="00E77F81" w:rsidRPr="00D17611" w:rsidRDefault="00E77F81" w:rsidP="00E77F81">
      <w:pPr>
        <w:spacing w:after="0" w:line="360" w:lineRule="auto"/>
      </w:pPr>
    </w:p>
    <w:p w14:paraId="2221B602" w14:textId="2992ECB8" w:rsidR="002D11E1" w:rsidRPr="00D17611" w:rsidRDefault="00E77F81" w:rsidP="00E77F81">
      <w:pPr>
        <w:spacing w:after="0" w:line="360" w:lineRule="auto"/>
        <w:rPr>
          <w:b/>
        </w:rPr>
      </w:pPr>
      <w:r w:rsidRPr="00D17611">
        <w:t>A</w:t>
      </w:r>
      <w:r w:rsidR="002D11E1" w:rsidRPr="00D17611">
        <w:t xml:space="preserve">l respecto, los artículos 49, fracción II, 53, fracción III y 167 de la Ley de Transparencia y Acceso a la Información Pública del Estado de México, se desprende que las Unidades de Transparencia son responsables de orientar a los particulares respecto de la dependencia, entidad u órgano que pudiera tener la información requerida, </w:t>
      </w:r>
      <w:r w:rsidR="002D11E1" w:rsidRPr="00D17611">
        <w:rPr>
          <w:b/>
        </w:rPr>
        <w:t>cuando la misma no sea competencia del sujeto obligado ante el cual se formule la solicitud de acceso.</w:t>
      </w:r>
    </w:p>
    <w:p w14:paraId="584A0F8D" w14:textId="77777777" w:rsidR="002D11E1" w:rsidRPr="00D17611" w:rsidRDefault="002D11E1" w:rsidP="00790D5E">
      <w:pPr>
        <w:widowControl w:val="0"/>
        <w:autoSpaceDE w:val="0"/>
        <w:autoSpaceDN w:val="0"/>
        <w:adjustRightInd w:val="0"/>
        <w:spacing w:after="0" w:line="360" w:lineRule="auto"/>
        <w:contextualSpacing/>
      </w:pPr>
    </w:p>
    <w:p w14:paraId="24FA1263" w14:textId="2CC6DC30" w:rsidR="00790D5E" w:rsidRPr="00D17611" w:rsidRDefault="002D11E1" w:rsidP="00A62148">
      <w:pPr>
        <w:widowControl w:val="0"/>
        <w:autoSpaceDE w:val="0"/>
        <w:autoSpaceDN w:val="0"/>
        <w:adjustRightInd w:val="0"/>
        <w:spacing w:after="0" w:line="360" w:lineRule="auto"/>
        <w:contextualSpacing/>
        <w:rPr>
          <w:rFonts w:eastAsia="Times New Roman" w:cs="Tahoma"/>
          <w:bCs/>
          <w:iCs/>
          <w:color w:val="auto"/>
          <w:lang w:eastAsia="es-ES"/>
        </w:rPr>
      </w:pPr>
      <w:r w:rsidRPr="00D17611">
        <w:t xml:space="preserve">Asimismo, que los Comités de Transparencia tienen entre sus atribuciones confirmar, modificar o revocar la </w:t>
      </w:r>
      <w:r w:rsidRPr="00D17611">
        <w:rPr>
          <w:b/>
        </w:rPr>
        <w:t>declaración de incompetencia</w:t>
      </w:r>
      <w:r w:rsidRPr="00D17611">
        <w:t xml:space="preserve"> que realicen los titulares de las unidades administrativas.</w:t>
      </w:r>
    </w:p>
    <w:p w14:paraId="28A0159E" w14:textId="77777777" w:rsidR="00790D5E" w:rsidRPr="00D17611" w:rsidRDefault="00790D5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63F9DA0D" w14:textId="4DE5FD57" w:rsidR="002D11E1" w:rsidRPr="00D17611" w:rsidRDefault="002D11E1" w:rsidP="00A62148">
      <w:pPr>
        <w:widowControl w:val="0"/>
        <w:autoSpaceDE w:val="0"/>
        <w:autoSpaceDN w:val="0"/>
        <w:adjustRightInd w:val="0"/>
        <w:spacing w:after="0" w:line="360" w:lineRule="auto"/>
        <w:contextualSpacing/>
      </w:pPr>
      <w:r w:rsidRPr="00D17611">
        <w:t xml:space="preserve">Por lo que, cuando las Unidades de Transparencia determinen la notoria incompetencia por parte de los sujetos obligados deberán comunicar al solicitante la misma dentro de los </w:t>
      </w:r>
      <w:r w:rsidRPr="00D17611">
        <w:rPr>
          <w:b/>
        </w:rPr>
        <w:t>tres días posteriores a la recepción de la solicitud.</w:t>
      </w:r>
    </w:p>
    <w:p w14:paraId="0B34CB19" w14:textId="77777777" w:rsidR="002D11E1" w:rsidRPr="00D17611" w:rsidRDefault="002D11E1" w:rsidP="00A62148">
      <w:pPr>
        <w:widowControl w:val="0"/>
        <w:autoSpaceDE w:val="0"/>
        <w:autoSpaceDN w:val="0"/>
        <w:adjustRightInd w:val="0"/>
        <w:spacing w:after="0" w:line="360" w:lineRule="auto"/>
        <w:contextualSpacing/>
      </w:pPr>
    </w:p>
    <w:p w14:paraId="0360456B" w14:textId="3525AFF6" w:rsidR="002D11E1" w:rsidRPr="00D17611" w:rsidRDefault="002D11E1" w:rsidP="00A62148">
      <w:pPr>
        <w:widowControl w:val="0"/>
        <w:autoSpaceDE w:val="0"/>
        <w:autoSpaceDN w:val="0"/>
        <w:adjustRightInd w:val="0"/>
        <w:spacing w:after="0" w:line="360" w:lineRule="auto"/>
        <w:contextualSpacing/>
      </w:pPr>
      <w:r w:rsidRPr="00D17611">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01DC4F28" w14:textId="77777777" w:rsidR="002D11E1" w:rsidRPr="00D17611" w:rsidRDefault="002D11E1" w:rsidP="00A62148">
      <w:pPr>
        <w:widowControl w:val="0"/>
        <w:autoSpaceDE w:val="0"/>
        <w:autoSpaceDN w:val="0"/>
        <w:adjustRightInd w:val="0"/>
        <w:spacing w:after="0" w:line="360" w:lineRule="auto"/>
        <w:contextualSpacing/>
      </w:pPr>
    </w:p>
    <w:p w14:paraId="54C97D5F" w14:textId="77777777" w:rsidR="002D11E1" w:rsidRPr="00D17611" w:rsidRDefault="002D11E1" w:rsidP="002D11E1">
      <w:pPr>
        <w:pStyle w:val="Prrafodelista"/>
        <w:widowControl w:val="0"/>
        <w:numPr>
          <w:ilvl w:val="0"/>
          <w:numId w:val="15"/>
        </w:numPr>
        <w:autoSpaceDE w:val="0"/>
        <w:autoSpaceDN w:val="0"/>
        <w:adjustRightInd w:val="0"/>
        <w:spacing w:after="0" w:line="360" w:lineRule="auto"/>
      </w:pPr>
      <w:r w:rsidRPr="00D17611">
        <w:rPr>
          <w:b/>
        </w:rPr>
        <w:t>Competencia:</w:t>
      </w:r>
      <w:r w:rsidRPr="00D17611">
        <w:t xml:space="preserve"> La capacidad de una autoridad para conocer sobre una materia o asunto. </w:t>
      </w:r>
    </w:p>
    <w:p w14:paraId="7BD55C63" w14:textId="50DB7BE7" w:rsidR="002D11E1" w:rsidRPr="00D17611" w:rsidRDefault="002D11E1" w:rsidP="002D11E1">
      <w:pPr>
        <w:pStyle w:val="Prrafodelista"/>
        <w:widowControl w:val="0"/>
        <w:numPr>
          <w:ilvl w:val="0"/>
          <w:numId w:val="15"/>
        </w:numPr>
        <w:autoSpaceDE w:val="0"/>
        <w:autoSpaceDN w:val="0"/>
        <w:adjustRightInd w:val="0"/>
        <w:spacing w:after="0" w:line="360" w:lineRule="auto"/>
      </w:pPr>
      <w:r w:rsidRPr="00D17611">
        <w:rPr>
          <w:b/>
        </w:rPr>
        <w:t>Incompetencia:</w:t>
      </w:r>
      <w:r w:rsidRPr="00D17611">
        <w:t xml:space="preserve"> Falta de Competencia.</w:t>
      </w:r>
    </w:p>
    <w:p w14:paraId="43463E46" w14:textId="77777777" w:rsidR="002D11E1" w:rsidRPr="00D17611" w:rsidRDefault="002D11E1"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0F2D3752" w14:textId="26047A22" w:rsidR="002D11E1" w:rsidRPr="00D17611" w:rsidRDefault="004D09B9" w:rsidP="00A62148">
      <w:pPr>
        <w:widowControl w:val="0"/>
        <w:autoSpaceDE w:val="0"/>
        <w:autoSpaceDN w:val="0"/>
        <w:adjustRightInd w:val="0"/>
        <w:spacing w:after="0" w:line="360" w:lineRule="auto"/>
        <w:contextualSpacing/>
      </w:pPr>
      <w:r w:rsidRPr="00D17611">
        <w:t>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w:t>
      </w:r>
    </w:p>
    <w:p w14:paraId="14CE3BD7" w14:textId="77777777" w:rsidR="004D09B9" w:rsidRPr="00D17611" w:rsidRDefault="004D09B9" w:rsidP="00A62148">
      <w:pPr>
        <w:widowControl w:val="0"/>
        <w:autoSpaceDE w:val="0"/>
        <w:autoSpaceDN w:val="0"/>
        <w:adjustRightInd w:val="0"/>
        <w:spacing w:after="0" w:line="360" w:lineRule="auto"/>
        <w:contextualSpacing/>
        <w:rPr>
          <w:b/>
        </w:rPr>
      </w:pPr>
    </w:p>
    <w:p w14:paraId="46DA5BE4" w14:textId="6CEB32B3" w:rsidR="004D09B9" w:rsidRPr="00D17611" w:rsidRDefault="004D09B9" w:rsidP="004D09B9">
      <w:pPr>
        <w:spacing w:after="0" w:line="360" w:lineRule="auto"/>
        <w:ind w:left="567" w:right="567"/>
        <w:rPr>
          <w:rFonts w:eastAsia="Times New Roman" w:cs="Arial"/>
          <w:bCs/>
          <w:i/>
          <w:iCs/>
          <w:color w:val="auto"/>
          <w:sz w:val="20"/>
          <w:szCs w:val="20"/>
          <w:lang w:eastAsia="es-ES"/>
        </w:rPr>
      </w:pPr>
      <w:r w:rsidRPr="00D17611">
        <w:rPr>
          <w:rFonts w:eastAsia="Times New Roman" w:cs="Arial"/>
          <w:b/>
          <w:bCs/>
          <w:i/>
          <w:iCs/>
          <w:color w:val="auto"/>
          <w:sz w:val="20"/>
          <w:szCs w:val="20"/>
          <w:lang w:eastAsia="es-ES"/>
        </w:rPr>
        <w:t>“LEGITIMACIÓN DE FUNCIONARIOS PÚBLICOS. LOS TRIBUNALES DE AMPARO, POR ESTAR VINCULADOS CON EL CONCEPTO DE COMPETENCIA A QUE SE REFIERE EL ARTÍCULO 16 CONSTITUCIONAL, NO PUEDEN CONOCER DE AQUÉLLA</w:t>
      </w:r>
      <w:r w:rsidRPr="00D17611">
        <w:rPr>
          <w:rFonts w:eastAsia="Times New Roman" w:cs="Arial"/>
          <w:bCs/>
          <w:i/>
          <w:iCs/>
          <w:color w:val="auto"/>
          <w:sz w:val="20"/>
          <w:szCs w:val="20"/>
          <w:lang w:eastAsia="es-ES"/>
        </w:rPr>
        <w:t>.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3420E9EA" w14:textId="77777777" w:rsidR="004D09B9" w:rsidRPr="00D17611" w:rsidRDefault="004D09B9" w:rsidP="00A62148">
      <w:pPr>
        <w:widowControl w:val="0"/>
        <w:autoSpaceDE w:val="0"/>
        <w:autoSpaceDN w:val="0"/>
        <w:adjustRightInd w:val="0"/>
        <w:spacing w:after="0" w:line="360" w:lineRule="auto"/>
        <w:contextualSpacing/>
      </w:pPr>
    </w:p>
    <w:p w14:paraId="0AD1663C" w14:textId="77777777" w:rsidR="00E77F81" w:rsidRPr="00D17611" w:rsidRDefault="000E1203" w:rsidP="00E77F81">
      <w:pPr>
        <w:widowControl w:val="0"/>
        <w:autoSpaceDE w:val="0"/>
        <w:autoSpaceDN w:val="0"/>
        <w:adjustRightInd w:val="0"/>
        <w:spacing w:after="0" w:line="360" w:lineRule="auto"/>
        <w:contextualSpacing/>
      </w:pPr>
      <w:r w:rsidRPr="00D17611">
        <w:lastRenderedPageBreak/>
        <w:t xml:space="preserve">De la misma manera, resulta necesario traer a colación, el Criterio </w:t>
      </w:r>
      <w:r w:rsidR="00E77F81" w:rsidRPr="00D17611">
        <w:t>Orientador</w:t>
      </w:r>
      <w:r w:rsidRPr="00D17611">
        <w:t xml:space="preserve">, de la Segunda Época, con número de registro SO/013/2017, emitido por el </w:t>
      </w:r>
      <w:r w:rsidR="00E77F81" w:rsidRPr="00D17611">
        <w:t xml:space="preserve">entonces </w:t>
      </w:r>
      <w:r w:rsidRPr="00D17611">
        <w:t xml:space="preserve">Instituto Nacional de Transparencia, Acceso a la Información y Protección de Datos Personales, el cual se encontraba vigente a la fecha de la solicitud, </w:t>
      </w:r>
      <w:r w:rsidR="00E77F81" w:rsidRPr="00D17611">
        <w:t>mismo que dispone que</w:t>
      </w:r>
      <w:r w:rsidR="00C52211" w:rsidRPr="00D17611">
        <w:t xml:space="preserve"> la incompetencia implica que, de conformidad con las atribuciones conferidas al Sujeto Obligado, no habría razón por la cual éste deba contar con la información solicitada, en cuyo caso, tendría que orientar al particular para que acuda a la instancia competente. </w:t>
      </w:r>
    </w:p>
    <w:p w14:paraId="5A82B746" w14:textId="77777777" w:rsidR="00E77F81" w:rsidRPr="00D17611" w:rsidRDefault="00E77F81" w:rsidP="00E77F81">
      <w:pPr>
        <w:widowControl w:val="0"/>
        <w:autoSpaceDE w:val="0"/>
        <w:autoSpaceDN w:val="0"/>
        <w:adjustRightInd w:val="0"/>
        <w:spacing w:after="0" w:line="360" w:lineRule="auto"/>
        <w:contextualSpacing/>
      </w:pPr>
    </w:p>
    <w:p w14:paraId="200A6A43" w14:textId="1E4BBC47" w:rsidR="00C52211" w:rsidRPr="00D17611" w:rsidRDefault="00C52211" w:rsidP="00E77F81">
      <w:pPr>
        <w:widowControl w:val="0"/>
        <w:autoSpaceDE w:val="0"/>
        <w:autoSpaceDN w:val="0"/>
        <w:adjustRightInd w:val="0"/>
        <w:spacing w:after="0" w:line="360" w:lineRule="auto"/>
        <w:contextualSpacing/>
      </w:pPr>
      <w:r w:rsidRPr="00D17611">
        <w:t>En otro orden de ideas, dicho concepto refiere a la ausencia de atribuciones por parte de los Entes sujetos a la Ley de Transparencia, para contar con la información que se requiere, es decir, se trata de una situación que se dilucida a partir de las facultades atribuidas a éste.</w:t>
      </w:r>
    </w:p>
    <w:p w14:paraId="65E50D31" w14:textId="77777777" w:rsidR="00C52211" w:rsidRPr="00D17611" w:rsidRDefault="00C52211" w:rsidP="00C52211">
      <w:pPr>
        <w:widowControl w:val="0"/>
        <w:autoSpaceDE w:val="0"/>
        <w:autoSpaceDN w:val="0"/>
        <w:adjustRightInd w:val="0"/>
        <w:spacing w:after="0" w:line="360" w:lineRule="auto"/>
        <w:contextualSpacing/>
      </w:pPr>
    </w:p>
    <w:p w14:paraId="1B476561" w14:textId="18C18FE8" w:rsidR="00EC2D6A" w:rsidRPr="00D17611" w:rsidRDefault="00C52211" w:rsidP="00C52211">
      <w:pPr>
        <w:widowControl w:val="0"/>
        <w:autoSpaceDE w:val="0"/>
        <w:autoSpaceDN w:val="0"/>
        <w:adjustRightInd w:val="0"/>
        <w:spacing w:after="0" w:line="360" w:lineRule="auto"/>
        <w:contextualSpacing/>
      </w:pPr>
      <w:r w:rsidRPr="00D17611">
        <w:t>Por tanto, a continuación, se analiza si en la especie, el Ente Recurrido cuenta con atribuciones para conocer sobre la información requerida, para lo cual, en principio, resulta necesario traer a colación</w:t>
      </w:r>
      <w:r w:rsidR="008E5DEC" w:rsidRPr="00D17611">
        <w:t xml:space="preserve"> el artículo </w:t>
      </w:r>
      <w:r w:rsidR="00EC2D6A" w:rsidRPr="00D17611">
        <w:t xml:space="preserve">95 del Bando Municipal dos mil veinticinco del </w:t>
      </w:r>
      <w:r w:rsidR="00133F9E" w:rsidRPr="00D17611">
        <w:t>Ayuntamiento de la Paz</w:t>
      </w:r>
      <w:r w:rsidR="00EC2D6A" w:rsidRPr="00D17611">
        <w:t xml:space="preserve">, señala que el Ayuntamiento </w:t>
      </w:r>
      <w:r w:rsidR="00EC2D6A" w:rsidRPr="00D17611">
        <w:rPr>
          <w:b/>
        </w:rPr>
        <w:t>tendrá la facultad de suscribir convenios</w:t>
      </w:r>
      <w:r w:rsidR="00E77F81" w:rsidRPr="00D17611">
        <w:t>.</w:t>
      </w:r>
    </w:p>
    <w:p w14:paraId="217AA1BF" w14:textId="77777777" w:rsidR="00EC2D6A" w:rsidRPr="00D17611" w:rsidRDefault="00EC2D6A" w:rsidP="00C52211">
      <w:pPr>
        <w:widowControl w:val="0"/>
        <w:autoSpaceDE w:val="0"/>
        <w:autoSpaceDN w:val="0"/>
        <w:adjustRightInd w:val="0"/>
        <w:spacing w:after="0" w:line="360" w:lineRule="auto"/>
        <w:contextualSpacing/>
      </w:pPr>
    </w:p>
    <w:p w14:paraId="7E65AB2E" w14:textId="1700CBB8" w:rsidR="00EC2D6A" w:rsidRPr="00D17611" w:rsidRDefault="00A53213" w:rsidP="00C52211">
      <w:pPr>
        <w:widowControl w:val="0"/>
        <w:autoSpaceDE w:val="0"/>
        <w:autoSpaceDN w:val="0"/>
        <w:adjustRightInd w:val="0"/>
        <w:spacing w:after="0" w:line="360" w:lineRule="auto"/>
        <w:contextualSpacing/>
      </w:pPr>
      <w:r w:rsidRPr="00D17611">
        <w:t xml:space="preserve">Ese orden de ideas, el Reglamento Orgánico Municipal del </w:t>
      </w:r>
      <w:r w:rsidR="00133F9E" w:rsidRPr="00D17611">
        <w:t>Ayuntamiento de la Paz</w:t>
      </w:r>
      <w:r w:rsidRPr="00D17611">
        <w:t xml:space="preserve"> dos mil veinticinco, en su artículo 15 establece que la Presidencia Municipal cuenta con una Dirección Jurídica y Consultiva la cual a través de su titular y mediante la delegación de funciones dentro de sus atribuciones se encarga entre otras cosas de </w:t>
      </w:r>
      <w:r w:rsidR="00A463F8" w:rsidRPr="00D17611">
        <w:rPr>
          <w:b/>
        </w:rPr>
        <w:t xml:space="preserve">participar en la elaboración, revisión y análisis de los </w:t>
      </w:r>
      <w:r w:rsidR="00A463F8" w:rsidRPr="00D17611">
        <w:t>contratos</w:t>
      </w:r>
      <w:r w:rsidR="00A463F8" w:rsidRPr="00D17611">
        <w:rPr>
          <w:b/>
        </w:rPr>
        <w:t>, convenios</w:t>
      </w:r>
      <w:r w:rsidR="00A463F8" w:rsidRPr="00D17611">
        <w:t>, licitaciones y demás instrumentos jurídicos y administrativos celebrados por el Ayuntamiento o por los titulares de las dependencias de la Administración Pública Municipal en el ámbito de su competencia.</w:t>
      </w:r>
    </w:p>
    <w:p w14:paraId="0B721486" w14:textId="77777777" w:rsidR="00EC38DF" w:rsidRPr="00D17611" w:rsidRDefault="00EC38DF" w:rsidP="00C52211">
      <w:pPr>
        <w:widowControl w:val="0"/>
        <w:autoSpaceDE w:val="0"/>
        <w:autoSpaceDN w:val="0"/>
        <w:adjustRightInd w:val="0"/>
        <w:spacing w:after="0" w:line="360" w:lineRule="auto"/>
        <w:contextualSpacing/>
      </w:pPr>
    </w:p>
    <w:p w14:paraId="1F37FA87" w14:textId="2ECD65FE" w:rsidR="00C52211" w:rsidRPr="00D17611" w:rsidRDefault="00EC38DF" w:rsidP="00C52211">
      <w:pPr>
        <w:widowControl w:val="0"/>
        <w:autoSpaceDE w:val="0"/>
        <w:autoSpaceDN w:val="0"/>
        <w:adjustRightInd w:val="0"/>
        <w:spacing w:after="0" w:line="360" w:lineRule="auto"/>
        <w:contextualSpacing/>
      </w:pPr>
      <w:r w:rsidRPr="00D17611">
        <w:t xml:space="preserve">En ese contexto, el artículo </w:t>
      </w:r>
      <w:r w:rsidR="008E5DEC" w:rsidRPr="00D17611">
        <w:t>54 de la Ley del Trabajo de los Servidores Públicos del Estado y Municipios, establece que</w:t>
      </w:r>
      <w:r w:rsidRPr="00D17611">
        <w:t xml:space="preserve"> los ayuntamientos celebran </w:t>
      </w:r>
      <w:r w:rsidRPr="00D17611">
        <w:rPr>
          <w:b/>
        </w:rPr>
        <w:t xml:space="preserve">los convenios de sueldos y </w:t>
      </w:r>
      <w:r w:rsidRPr="00D17611">
        <w:rPr>
          <w:b/>
        </w:rPr>
        <w:lastRenderedPageBreak/>
        <w:t>prestaciones celebrados con el Sindicato, los cuales</w:t>
      </w:r>
      <w:r w:rsidR="008E5DEC" w:rsidRPr="00D17611">
        <w:t xml:space="preserve"> se aplicaran solo para los trabajadores miembros y reconocidos por la agrupación sindical.</w:t>
      </w:r>
    </w:p>
    <w:p w14:paraId="6C65DA2C" w14:textId="77777777" w:rsidR="00EC2D6A" w:rsidRPr="00D17611" w:rsidRDefault="00EC2D6A" w:rsidP="00C52211">
      <w:pPr>
        <w:widowControl w:val="0"/>
        <w:autoSpaceDE w:val="0"/>
        <w:autoSpaceDN w:val="0"/>
        <w:adjustRightInd w:val="0"/>
        <w:spacing w:after="0" w:line="360" w:lineRule="auto"/>
        <w:contextualSpacing/>
      </w:pPr>
    </w:p>
    <w:p w14:paraId="1A6FB403" w14:textId="5CC41A47" w:rsidR="00EC2D6A" w:rsidRPr="00D17611" w:rsidRDefault="00EC2D6A" w:rsidP="00C52211">
      <w:pPr>
        <w:widowControl w:val="0"/>
        <w:autoSpaceDE w:val="0"/>
        <w:autoSpaceDN w:val="0"/>
        <w:adjustRightInd w:val="0"/>
        <w:spacing w:after="0" w:line="360" w:lineRule="auto"/>
        <w:contextualSpacing/>
      </w:pPr>
      <w:r w:rsidRPr="00D17611">
        <w:t>Por otra parte, el artículo 82 de la Ley en comento, precisa que las instituciones públicas realizarán anualmente, con la participación del sindicato que corresponda, los estudios técnicos pertinentes para el incremento de sueldos y otras prestaciones de los servidores públicos, que permitan equilibrar el poder adquisitivo de éstos, conforme a la capacidad y disponibilidad presupuestal de la institución pública; asimismo se podrán realizar revisiones, en cuanto a incrementos salariales se refiere, en caso de presentarse una situación económica en el país que, repercutiendo en los sueldos</w:t>
      </w:r>
      <w:r w:rsidR="00EC38DF" w:rsidRPr="00D17611">
        <w:t>.</w:t>
      </w:r>
    </w:p>
    <w:p w14:paraId="6A30F71F" w14:textId="77777777" w:rsidR="00EC38DF" w:rsidRPr="00D17611" w:rsidRDefault="00EC38DF" w:rsidP="00C52211">
      <w:pPr>
        <w:widowControl w:val="0"/>
        <w:autoSpaceDE w:val="0"/>
        <w:autoSpaceDN w:val="0"/>
        <w:adjustRightInd w:val="0"/>
        <w:spacing w:after="0" w:line="360" w:lineRule="auto"/>
        <w:contextualSpacing/>
      </w:pPr>
    </w:p>
    <w:p w14:paraId="73855E97" w14:textId="64A63897" w:rsidR="00EC38DF" w:rsidRPr="00D17611" w:rsidRDefault="00EC38DF" w:rsidP="00C52211">
      <w:pPr>
        <w:widowControl w:val="0"/>
        <w:autoSpaceDE w:val="0"/>
        <w:autoSpaceDN w:val="0"/>
        <w:adjustRightInd w:val="0"/>
        <w:spacing w:after="0" w:line="360" w:lineRule="auto"/>
        <w:contextualSpacing/>
      </w:pPr>
      <w:r w:rsidRPr="00D17611">
        <w:t>Conforme a lo anterior, se advierte que el Convenio de sueldos y prestaciones, tiene como finalidad que derivado de la participación entre una institución pública y un gremio, que el presente caso es el Sindicato Único de Trabajadores de los Poderes, Municipios e Instituciones Descentralizadas del Estado de México, se realicen los estudios técnicos pertenecientes al incremento de salario y otras prestaciones conforme a la capacidad y disponibilidad presupuestal de la institución pública, entre otras cuestiones.</w:t>
      </w:r>
    </w:p>
    <w:p w14:paraId="32C8AB07" w14:textId="77777777" w:rsidR="005D788F" w:rsidRPr="00D17611" w:rsidRDefault="005D788F" w:rsidP="00C52211">
      <w:pPr>
        <w:widowControl w:val="0"/>
        <w:autoSpaceDE w:val="0"/>
        <w:autoSpaceDN w:val="0"/>
        <w:adjustRightInd w:val="0"/>
        <w:spacing w:after="0" w:line="360" w:lineRule="auto"/>
        <w:contextualSpacing/>
      </w:pPr>
    </w:p>
    <w:p w14:paraId="189263DD" w14:textId="07783656" w:rsidR="005D788F" w:rsidRPr="00D17611" w:rsidRDefault="004224F1" w:rsidP="00C52211">
      <w:pPr>
        <w:widowControl w:val="0"/>
        <w:autoSpaceDE w:val="0"/>
        <w:autoSpaceDN w:val="0"/>
        <w:adjustRightInd w:val="0"/>
        <w:spacing w:after="0" w:line="360" w:lineRule="auto"/>
        <w:contextualSpacing/>
      </w:pPr>
      <w:r w:rsidRPr="00D17611">
        <w:t>Lo cual toma relevancia, pues se localizó en la cuenta oficial del Ayuntamiento de la Paz 2022-2024, de Facebook, que el dieciocho de octubre de dos mil veintitrés, la entonces Presidenta Municipal firmó el Convenio Laboral, con el Sindicato mencionado, tal como se muestra a continuación:</w:t>
      </w:r>
    </w:p>
    <w:p w14:paraId="283FF9C6" w14:textId="77777777" w:rsidR="004224F1" w:rsidRPr="00D17611" w:rsidRDefault="004224F1" w:rsidP="00C52211">
      <w:pPr>
        <w:widowControl w:val="0"/>
        <w:autoSpaceDE w:val="0"/>
        <w:autoSpaceDN w:val="0"/>
        <w:adjustRightInd w:val="0"/>
        <w:spacing w:after="0" w:line="360" w:lineRule="auto"/>
        <w:contextualSpacing/>
      </w:pPr>
    </w:p>
    <w:p w14:paraId="1238E8D4" w14:textId="77777777" w:rsidR="001E07C0" w:rsidRPr="00D17611" w:rsidRDefault="001E07C0" w:rsidP="00C52211">
      <w:pPr>
        <w:widowControl w:val="0"/>
        <w:autoSpaceDE w:val="0"/>
        <w:autoSpaceDN w:val="0"/>
        <w:adjustRightInd w:val="0"/>
        <w:spacing w:after="0" w:line="360" w:lineRule="auto"/>
        <w:contextualSpacing/>
      </w:pPr>
    </w:p>
    <w:p w14:paraId="7E13332F" w14:textId="77777777" w:rsidR="001E07C0" w:rsidRPr="00D17611" w:rsidRDefault="001E07C0" w:rsidP="00C52211">
      <w:pPr>
        <w:widowControl w:val="0"/>
        <w:autoSpaceDE w:val="0"/>
        <w:autoSpaceDN w:val="0"/>
        <w:adjustRightInd w:val="0"/>
        <w:spacing w:after="0" w:line="360" w:lineRule="auto"/>
        <w:contextualSpacing/>
      </w:pPr>
    </w:p>
    <w:p w14:paraId="28073EA7" w14:textId="77777777" w:rsidR="004224F1" w:rsidRPr="00D17611" w:rsidRDefault="004224F1" w:rsidP="004224F1">
      <w:pPr>
        <w:widowControl w:val="0"/>
        <w:autoSpaceDE w:val="0"/>
        <w:autoSpaceDN w:val="0"/>
        <w:adjustRightInd w:val="0"/>
        <w:spacing w:after="0" w:line="360" w:lineRule="auto"/>
        <w:contextualSpacing/>
        <w:jc w:val="center"/>
      </w:pPr>
      <w:r w:rsidRPr="00D17611">
        <w:rPr>
          <w:noProof/>
          <w:lang w:eastAsia="es-MX"/>
        </w:rPr>
        <w:lastRenderedPageBreak/>
        <w:drawing>
          <wp:inline distT="0" distB="0" distL="0" distR="0" wp14:anchorId="6F668118" wp14:editId="21874012">
            <wp:extent cx="4076700" cy="1828291"/>
            <wp:effectExtent l="0" t="0" r="0" b="635"/>
            <wp:docPr id="1020903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059" cy="1832488"/>
                    </a:xfrm>
                    <a:prstGeom prst="rect">
                      <a:avLst/>
                    </a:prstGeom>
                    <a:noFill/>
                    <a:ln>
                      <a:noFill/>
                    </a:ln>
                  </pic:spPr>
                </pic:pic>
              </a:graphicData>
            </a:graphic>
          </wp:inline>
        </w:drawing>
      </w:r>
    </w:p>
    <w:p w14:paraId="206E0E8B" w14:textId="77777777" w:rsidR="001E07C0" w:rsidRPr="00D17611" w:rsidRDefault="001E07C0" w:rsidP="004224F1">
      <w:pPr>
        <w:widowControl w:val="0"/>
        <w:autoSpaceDE w:val="0"/>
        <w:autoSpaceDN w:val="0"/>
        <w:adjustRightInd w:val="0"/>
        <w:spacing w:after="0" w:line="360" w:lineRule="auto"/>
        <w:contextualSpacing/>
        <w:jc w:val="center"/>
      </w:pPr>
    </w:p>
    <w:p w14:paraId="63EEBA4F" w14:textId="1E93D2B5" w:rsidR="004224F1" w:rsidRPr="00D17611" w:rsidRDefault="004224F1" w:rsidP="004224F1">
      <w:pPr>
        <w:widowControl w:val="0"/>
        <w:autoSpaceDE w:val="0"/>
        <w:autoSpaceDN w:val="0"/>
        <w:adjustRightInd w:val="0"/>
        <w:spacing w:after="0" w:line="360" w:lineRule="auto"/>
        <w:contextualSpacing/>
        <w:jc w:val="center"/>
      </w:pPr>
      <w:r w:rsidRPr="00D17611">
        <w:rPr>
          <w:noProof/>
          <w:lang w:eastAsia="es-MX"/>
        </w:rPr>
        <w:drawing>
          <wp:inline distT="0" distB="0" distL="0" distR="0" wp14:anchorId="00ABFE60" wp14:editId="5C068BC7">
            <wp:extent cx="5667375" cy="4086225"/>
            <wp:effectExtent l="0" t="0" r="9525" b="9525"/>
            <wp:docPr id="18917297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4086225"/>
                    </a:xfrm>
                    <a:prstGeom prst="rect">
                      <a:avLst/>
                    </a:prstGeom>
                    <a:noFill/>
                    <a:ln>
                      <a:noFill/>
                    </a:ln>
                  </pic:spPr>
                </pic:pic>
              </a:graphicData>
            </a:graphic>
          </wp:inline>
        </w:drawing>
      </w:r>
    </w:p>
    <w:p w14:paraId="57D5F516" w14:textId="77777777" w:rsidR="00EC38DF" w:rsidRPr="00D17611" w:rsidRDefault="00EC38DF" w:rsidP="00C52211">
      <w:pPr>
        <w:widowControl w:val="0"/>
        <w:autoSpaceDE w:val="0"/>
        <w:autoSpaceDN w:val="0"/>
        <w:adjustRightInd w:val="0"/>
        <w:spacing w:after="0" w:line="360" w:lineRule="auto"/>
        <w:contextualSpacing/>
      </w:pPr>
    </w:p>
    <w:p w14:paraId="5946AC70" w14:textId="2A013AE0" w:rsidR="00C52211" w:rsidRPr="00D17611" w:rsidRDefault="00B72B8D" w:rsidP="004224F1">
      <w:pPr>
        <w:autoSpaceDE w:val="0"/>
        <w:autoSpaceDN w:val="0"/>
        <w:adjustRightInd w:val="0"/>
        <w:spacing w:after="0" w:line="360" w:lineRule="auto"/>
        <w:contextualSpacing/>
      </w:pPr>
      <w:r w:rsidRPr="00D17611">
        <w:t xml:space="preserve">Como se logra vislumbrar, en el caso en concreto, existe una competencia concurrente del </w:t>
      </w:r>
      <w:r w:rsidR="00133F9E" w:rsidRPr="00D17611">
        <w:t>Ayuntamiento de la Paz</w:t>
      </w:r>
      <w:r w:rsidRPr="00D17611">
        <w:t xml:space="preserve"> y el Sindicato Único de Trabajadores de los Poderes, Municipios e Instituciones Descentralizadas del Estado de México</w:t>
      </w:r>
      <w:r w:rsidR="004224F1" w:rsidRPr="00D17611">
        <w:t>,</w:t>
      </w:r>
      <w:r w:rsidRPr="00D17611">
        <w:t xml:space="preserve"> para conocer de lo solicitado, toda vez </w:t>
      </w:r>
      <w:r w:rsidRPr="00D17611">
        <w:lastRenderedPageBreak/>
        <w:t>que ambas partes al celebra</w:t>
      </w:r>
      <w:r w:rsidR="004224F1" w:rsidRPr="00D17611">
        <w:t>r</w:t>
      </w:r>
      <w:r w:rsidRPr="00D17611">
        <w:t xml:space="preserve"> </w:t>
      </w:r>
      <w:r w:rsidR="004224F1" w:rsidRPr="00D17611">
        <w:t xml:space="preserve">el </w:t>
      </w:r>
      <w:r w:rsidRPr="00D17611">
        <w:t>convenio deben contar con la información dentro de sus archivos.</w:t>
      </w:r>
    </w:p>
    <w:p w14:paraId="03E22398" w14:textId="77777777" w:rsidR="004224F1" w:rsidRPr="00D17611" w:rsidRDefault="004224F1" w:rsidP="00C52211">
      <w:pPr>
        <w:widowControl w:val="0"/>
        <w:autoSpaceDE w:val="0"/>
        <w:autoSpaceDN w:val="0"/>
        <w:adjustRightInd w:val="0"/>
        <w:spacing w:after="0" w:line="360" w:lineRule="auto"/>
        <w:contextualSpacing/>
      </w:pPr>
    </w:p>
    <w:p w14:paraId="2CEE75C9" w14:textId="5124323E" w:rsidR="004224F1" w:rsidRPr="00D17611" w:rsidRDefault="004224F1" w:rsidP="004224F1">
      <w:pPr>
        <w:spacing w:after="0" w:line="360" w:lineRule="auto"/>
      </w:pPr>
      <w:r w:rsidRPr="00D17611">
        <w:rPr>
          <w:rFonts w:cs="Tahoma"/>
          <w:color w:val="auto"/>
        </w:rPr>
        <w:t xml:space="preserve">Hecho que se robustece, pues durante la sustanciación del Recurso de Revisión el Sujeto Obligado remitió un oficio </w:t>
      </w:r>
      <w:r w:rsidR="001E07C0" w:rsidRPr="00D17611">
        <w:rPr>
          <w:rFonts w:cs="Tahoma"/>
          <w:color w:val="auto"/>
        </w:rPr>
        <w:t>por parte</w:t>
      </w:r>
      <w:r w:rsidRPr="00D17611">
        <w:rPr>
          <w:rFonts w:cs="Tahoma"/>
          <w:color w:val="auto"/>
        </w:rPr>
        <w:t xml:space="preserve"> del </w:t>
      </w:r>
      <w:r w:rsidRPr="00D17611">
        <w:t xml:space="preserve">Comité Ejecutivo Sección la Paz del Sindicato Único </w:t>
      </w:r>
      <w:r w:rsidR="001E07C0" w:rsidRPr="00D17611">
        <w:t xml:space="preserve">de </w:t>
      </w:r>
      <w:r w:rsidR="001E07C0" w:rsidRPr="00D17611">
        <w:rPr>
          <w:rFonts w:cs="Tahoma"/>
          <w:color w:val="auto"/>
        </w:rPr>
        <w:t>Trabajadores</w:t>
      </w:r>
      <w:r w:rsidRPr="00D17611">
        <w:rPr>
          <w:rFonts w:cs="Tahoma"/>
          <w:color w:val="auto"/>
        </w:rPr>
        <w:t xml:space="preserve"> de los Poderes, Municipios e Instituciones Descentralizadas del Estado de México</w:t>
      </w:r>
      <w:r w:rsidRPr="00D17611">
        <w:t xml:space="preserve">, a través del cual señaló que el Ayuntamiento había firmado el convenio del ejercicio fiscal </w:t>
      </w:r>
      <w:r w:rsidRPr="00D17611">
        <w:rPr>
          <w:u w:val="single"/>
        </w:rPr>
        <w:t>dos mil veinticuatro</w:t>
      </w:r>
      <w:r w:rsidRPr="00D17611">
        <w:t>; además, afirmó que los convenios</w:t>
      </w:r>
      <w:r w:rsidR="0019039F" w:rsidRPr="00D17611">
        <w:t xml:space="preserve"> originales obraban en los archivos de la Presidencia Municipal.</w:t>
      </w:r>
    </w:p>
    <w:p w14:paraId="749FF35B" w14:textId="77777777" w:rsidR="004224F1" w:rsidRPr="00D17611" w:rsidRDefault="004224F1" w:rsidP="004224F1">
      <w:pPr>
        <w:spacing w:after="0" w:line="360" w:lineRule="auto"/>
      </w:pPr>
    </w:p>
    <w:p w14:paraId="4DF2F6CD" w14:textId="4923553C" w:rsidR="00434EA5" w:rsidRPr="00D17611" w:rsidRDefault="00237AD0" w:rsidP="00C52211">
      <w:pPr>
        <w:widowControl w:val="0"/>
        <w:autoSpaceDE w:val="0"/>
        <w:autoSpaceDN w:val="0"/>
        <w:adjustRightInd w:val="0"/>
        <w:spacing w:after="0" w:line="360" w:lineRule="auto"/>
        <w:contextualSpacing/>
        <w:rPr>
          <w:rFonts w:cs="Tahoma"/>
          <w:b/>
          <w:bCs/>
          <w:color w:val="auto"/>
        </w:rPr>
      </w:pPr>
      <w:r w:rsidRPr="00D17611">
        <w:t>De tales circunstancias se advierte que el Ente Recurrido es competente para conocer</w:t>
      </w:r>
      <w:r w:rsidRPr="00D17611">
        <w:rPr>
          <w:rFonts w:cs="Tahoma"/>
          <w:color w:val="auto"/>
        </w:rPr>
        <w:t xml:space="preserve"> del </w:t>
      </w:r>
      <w:r w:rsidR="0019039F" w:rsidRPr="00D17611">
        <w:rPr>
          <w:rFonts w:cs="Tahoma"/>
          <w:color w:val="auto"/>
        </w:rPr>
        <w:t>C</w:t>
      </w:r>
      <w:r w:rsidRPr="00D17611">
        <w:rPr>
          <w:rFonts w:cs="Tahoma"/>
          <w:color w:val="auto"/>
        </w:rPr>
        <w:t xml:space="preserve">onvenio </w:t>
      </w:r>
      <w:r w:rsidR="0019039F" w:rsidRPr="00D17611">
        <w:rPr>
          <w:rFonts w:cs="Tahoma"/>
          <w:color w:val="auto"/>
        </w:rPr>
        <w:t>L</w:t>
      </w:r>
      <w:r w:rsidRPr="00D17611">
        <w:rPr>
          <w:rFonts w:cs="Tahoma"/>
          <w:color w:val="auto"/>
        </w:rPr>
        <w:t xml:space="preserve">aboral firmado </w:t>
      </w:r>
      <w:r w:rsidR="0019039F" w:rsidRPr="00D17611">
        <w:rPr>
          <w:rFonts w:cs="Tahoma"/>
          <w:color w:val="auto"/>
        </w:rPr>
        <w:t xml:space="preserve">por el Ayuntamiento de la Paz y </w:t>
      </w:r>
      <w:r w:rsidRPr="00D17611">
        <w:rPr>
          <w:rFonts w:cs="Tahoma"/>
          <w:color w:val="auto"/>
        </w:rPr>
        <w:t>el Sindicato Único de Trabajadores de los Poderes, Municipios e Instituciones Descentralizadas del Estado de México y el Ayuntamiento</w:t>
      </w:r>
      <w:r w:rsidR="0019039F" w:rsidRPr="00D17611">
        <w:rPr>
          <w:rFonts w:cs="Tahoma"/>
          <w:color w:val="auto"/>
        </w:rPr>
        <w:t xml:space="preserve">, para el ejercicio fiscal </w:t>
      </w:r>
      <w:r w:rsidRPr="00D17611">
        <w:rPr>
          <w:rFonts w:cs="Tahoma"/>
          <w:color w:val="auto"/>
        </w:rPr>
        <w:t>dos mil veinticuatro</w:t>
      </w:r>
      <w:r w:rsidR="0019039F" w:rsidRPr="00D17611">
        <w:rPr>
          <w:rFonts w:cs="Tahoma"/>
          <w:color w:val="auto"/>
        </w:rPr>
        <w:t xml:space="preserve">, lo cual da como resultado que el agravio sea </w:t>
      </w:r>
      <w:r w:rsidR="0019039F" w:rsidRPr="00D17611">
        <w:rPr>
          <w:rFonts w:cs="Tahoma"/>
          <w:b/>
          <w:bCs/>
          <w:color w:val="auto"/>
        </w:rPr>
        <w:t>FUNDADO.</w:t>
      </w:r>
    </w:p>
    <w:p w14:paraId="4E8FFE5F" w14:textId="77777777" w:rsidR="00237AD0" w:rsidRPr="00D17611" w:rsidRDefault="00237AD0" w:rsidP="00C52211">
      <w:pPr>
        <w:widowControl w:val="0"/>
        <w:autoSpaceDE w:val="0"/>
        <w:autoSpaceDN w:val="0"/>
        <w:adjustRightInd w:val="0"/>
        <w:spacing w:after="0" w:line="360" w:lineRule="auto"/>
        <w:contextualSpacing/>
        <w:rPr>
          <w:rFonts w:cs="Tahoma"/>
          <w:color w:val="auto"/>
        </w:rPr>
      </w:pPr>
    </w:p>
    <w:p w14:paraId="7397363C" w14:textId="1000A48C" w:rsidR="004A0FB2" w:rsidRPr="00D17611" w:rsidRDefault="0019039F" w:rsidP="004A0FB2">
      <w:pPr>
        <w:widowControl w:val="0"/>
        <w:autoSpaceDE w:val="0"/>
        <w:autoSpaceDN w:val="0"/>
        <w:adjustRightInd w:val="0"/>
        <w:spacing w:after="0" w:line="360" w:lineRule="auto"/>
        <w:contextualSpacing/>
        <w:rPr>
          <w:rFonts w:cs="Tahoma"/>
          <w:color w:val="auto"/>
        </w:rPr>
      </w:pPr>
      <w:r w:rsidRPr="00D17611">
        <w:t>Por tal circunstancia</w:t>
      </w:r>
      <w:r w:rsidR="004A0FB2" w:rsidRPr="00D17611">
        <w:t>, se considera que deberá realizar una búsqueda exhaustiva y razonable, en términos del artículo 162 de la Ley de Transparencia y Acceso a la Información Pública del Estado de México y Municipios, en los archivos de todas las áreas competentes, entre las cuales, se encuentra la Dirección Jurídica y Consultiva</w:t>
      </w:r>
      <w:r w:rsidRPr="00D17611">
        <w:t xml:space="preserve"> y la Presidencia Municipal</w:t>
      </w:r>
      <w:r w:rsidR="004A0FB2" w:rsidRPr="00D17611">
        <w:t xml:space="preserve">, a efecto de que entregue el </w:t>
      </w:r>
      <w:r w:rsidRPr="00D17611">
        <w:rPr>
          <w:rFonts w:cs="Tahoma"/>
          <w:color w:val="auto"/>
        </w:rPr>
        <w:t>C</w:t>
      </w:r>
      <w:r w:rsidR="004A0FB2" w:rsidRPr="00D17611">
        <w:rPr>
          <w:rFonts w:cs="Tahoma"/>
          <w:color w:val="auto"/>
        </w:rPr>
        <w:t xml:space="preserve">onvenio </w:t>
      </w:r>
      <w:r w:rsidRPr="00D17611">
        <w:rPr>
          <w:rFonts w:cs="Tahoma"/>
          <w:color w:val="auto"/>
        </w:rPr>
        <w:t>L</w:t>
      </w:r>
      <w:r w:rsidR="004A0FB2" w:rsidRPr="00D17611">
        <w:rPr>
          <w:rFonts w:cs="Tahoma"/>
          <w:color w:val="auto"/>
        </w:rPr>
        <w:t>aboral</w:t>
      </w:r>
      <w:r w:rsidRPr="00D17611">
        <w:rPr>
          <w:rFonts w:cs="Tahoma"/>
          <w:color w:val="auto"/>
        </w:rPr>
        <w:t>, del ejercicio fiscal dos mil veinticuatro</w:t>
      </w:r>
      <w:r w:rsidR="004A0FB2" w:rsidRPr="00D17611">
        <w:rPr>
          <w:rFonts w:cs="Tahoma"/>
          <w:color w:val="auto"/>
        </w:rPr>
        <w:t>.</w:t>
      </w:r>
    </w:p>
    <w:p w14:paraId="626FEF28" w14:textId="6FB50712" w:rsidR="004A0FB2" w:rsidRPr="00D17611" w:rsidRDefault="004A0FB2" w:rsidP="00237AD0">
      <w:pPr>
        <w:spacing w:after="0" w:line="360" w:lineRule="auto"/>
      </w:pPr>
    </w:p>
    <w:p w14:paraId="7FABDB64" w14:textId="02624841" w:rsidR="004A0FB2" w:rsidRPr="00D17611" w:rsidRDefault="004A0FB2" w:rsidP="00237AD0">
      <w:pPr>
        <w:spacing w:after="0" w:line="360" w:lineRule="auto"/>
      </w:pPr>
      <w:r w:rsidRPr="00D17611">
        <w:t xml:space="preserve">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w:t>
      </w:r>
      <w:r w:rsidRPr="00D17611">
        <w:lastRenderedPageBreak/>
        <w:t>presentarla conforme al interés del solicitante, además, que tampoco deberá generarla, resumirla, efectuar cálculos o practicar investigaciones.</w:t>
      </w:r>
    </w:p>
    <w:p w14:paraId="6B02938A" w14:textId="77777777" w:rsidR="004A0FB2" w:rsidRPr="00D17611" w:rsidRDefault="004A0FB2" w:rsidP="00237AD0">
      <w:pPr>
        <w:spacing w:after="0" w:line="360" w:lineRule="auto"/>
      </w:pPr>
    </w:p>
    <w:p w14:paraId="051E6665" w14:textId="7D3421A8" w:rsidR="00237AD0" w:rsidRPr="00D17611" w:rsidRDefault="004A0FB2" w:rsidP="00C52211">
      <w:pPr>
        <w:widowControl w:val="0"/>
        <w:autoSpaceDE w:val="0"/>
        <w:autoSpaceDN w:val="0"/>
        <w:adjustRightInd w:val="0"/>
        <w:spacing w:after="0" w:line="360" w:lineRule="auto"/>
        <w:contextualSpacing/>
      </w:pPr>
      <w:r w:rsidRPr="00D17611">
        <w:t>De esta manera, el derecho de acceso a la información pública se satisface en aquellos casos en que se entregue el soporte documental en el que conste la información solicitada, sin necesidad de elaborar documentos ad hoc,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69FB630C" w14:textId="77777777" w:rsidR="00C20FC7" w:rsidRPr="00D17611" w:rsidRDefault="00C20FC7" w:rsidP="00A62148">
      <w:pPr>
        <w:tabs>
          <w:tab w:val="left" w:pos="4962"/>
        </w:tabs>
        <w:spacing w:after="0" w:line="360" w:lineRule="auto"/>
        <w:rPr>
          <w:rFonts w:eastAsia="Times New Roman" w:cs="Times New Roman"/>
          <w:bCs/>
          <w:color w:val="FF0000"/>
          <w:lang w:eastAsia="es-ES"/>
        </w:rPr>
      </w:pPr>
    </w:p>
    <w:p w14:paraId="6C13AE21" w14:textId="5E92D49E" w:rsidR="00C20FC7" w:rsidRPr="00D17611" w:rsidRDefault="004A0FB2" w:rsidP="00A62148">
      <w:pPr>
        <w:tabs>
          <w:tab w:val="left" w:pos="4962"/>
        </w:tabs>
        <w:spacing w:after="0" w:line="360" w:lineRule="auto"/>
        <w:rPr>
          <w:rFonts w:eastAsia="Times New Roman" w:cs="Times New Roman"/>
          <w:bCs/>
          <w:color w:val="FF0000"/>
          <w:lang w:eastAsia="es-ES"/>
        </w:rPr>
      </w:pPr>
      <w:r w:rsidRPr="00D17611">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convenio solicitado.</w:t>
      </w:r>
    </w:p>
    <w:p w14:paraId="5C400918" w14:textId="77777777" w:rsidR="0019039F" w:rsidRPr="00D17611" w:rsidRDefault="0019039F" w:rsidP="00A62148">
      <w:pPr>
        <w:tabs>
          <w:tab w:val="left" w:pos="4962"/>
        </w:tabs>
        <w:spacing w:after="0" w:line="360" w:lineRule="auto"/>
        <w:rPr>
          <w:rFonts w:eastAsia="Times New Roman" w:cs="Times New Roman"/>
          <w:bCs/>
          <w:color w:val="FF0000"/>
          <w:lang w:eastAsia="es-ES"/>
        </w:rPr>
      </w:pPr>
    </w:p>
    <w:p w14:paraId="577ADF86" w14:textId="16CA9013" w:rsidR="0019039F" w:rsidRPr="00D17611" w:rsidRDefault="00F63625" w:rsidP="00A62148">
      <w:pPr>
        <w:tabs>
          <w:tab w:val="left" w:pos="4962"/>
        </w:tabs>
        <w:spacing w:after="0" w:line="360" w:lineRule="auto"/>
        <w:rPr>
          <w:rFonts w:eastAsia="Times New Roman" w:cs="Times New Roman"/>
          <w:color w:val="222222"/>
          <w:lang w:val="es-ES" w:eastAsia="es-MX"/>
        </w:rPr>
      </w:pPr>
      <w:r w:rsidRPr="00D17611">
        <w:rPr>
          <w:rFonts w:eastAsia="Times New Roman" w:cs="Times New Roman"/>
          <w:color w:val="222222"/>
          <w:lang w:val="es-ES" w:eastAsia="es-MX"/>
        </w:rPr>
        <w:t xml:space="preserve">Finalmente, </w:t>
      </w:r>
      <w:r w:rsidR="0019039F" w:rsidRPr="00D17611">
        <w:rPr>
          <w:rFonts w:eastAsia="Times New Roman" w:cs="Times New Roman"/>
          <w:color w:val="222222"/>
          <w:lang w:val="es-ES" w:eastAsia="es-MX"/>
        </w:rPr>
        <w:t xml:space="preserve">este Instituto revisó los Convenios Laborales publicados por el </w:t>
      </w:r>
      <w:r w:rsidR="0019039F" w:rsidRPr="00D17611">
        <w:t xml:space="preserve">Sindicato Único de Trabajadores de los Poderes, Municipios e Instituciones Descentralizadas del Estado de México, en su Portal de Información Pública de Oficio Mexiquense y se </w:t>
      </w:r>
      <w:proofErr w:type="spellStart"/>
      <w:r w:rsidR="0019039F" w:rsidRPr="00D17611">
        <w:t>logro</w:t>
      </w:r>
      <w:proofErr w:type="spellEnd"/>
      <w:r w:rsidR="0019039F" w:rsidRPr="00D17611">
        <w:t xml:space="preserve"> vislumbrar que estos no contienen datos clasificables, por lo que, deberá entregar el peticionado en versión íntegra.</w:t>
      </w:r>
    </w:p>
    <w:p w14:paraId="22CCC56B" w14:textId="77777777" w:rsidR="0019039F" w:rsidRPr="00D17611" w:rsidRDefault="0019039F" w:rsidP="003B4BC4">
      <w:pPr>
        <w:pStyle w:val="Ttulo1"/>
        <w:jc w:val="left"/>
        <w:rPr>
          <w:color w:val="auto"/>
        </w:rPr>
      </w:pPr>
      <w:bookmarkStart w:id="36" w:name="_Toc193806615"/>
    </w:p>
    <w:p w14:paraId="721E9830" w14:textId="7405EFC8" w:rsidR="002049A1" w:rsidRPr="00D17611" w:rsidRDefault="002049A1" w:rsidP="003B4BC4">
      <w:pPr>
        <w:pStyle w:val="Ttulo1"/>
        <w:jc w:val="left"/>
        <w:rPr>
          <w:color w:val="auto"/>
        </w:rPr>
      </w:pPr>
      <w:r w:rsidRPr="00D17611">
        <w:rPr>
          <w:color w:val="auto"/>
        </w:rPr>
        <w:t>SEXTO. Decisión</w:t>
      </w:r>
      <w:bookmarkEnd w:id="36"/>
    </w:p>
    <w:p w14:paraId="6A524571" w14:textId="77777777" w:rsidR="00453584" w:rsidRPr="00D17611" w:rsidRDefault="00453584" w:rsidP="002049A1">
      <w:pPr>
        <w:spacing w:after="0" w:line="360" w:lineRule="auto"/>
        <w:rPr>
          <w:b/>
          <w:color w:val="FF0000"/>
        </w:rPr>
      </w:pPr>
    </w:p>
    <w:p w14:paraId="0674E78E" w14:textId="28C9D6C8" w:rsidR="002049A1" w:rsidRPr="00D17611" w:rsidRDefault="002049A1" w:rsidP="002049A1">
      <w:pPr>
        <w:spacing w:after="0" w:line="360" w:lineRule="auto"/>
        <w:ind w:right="-93"/>
        <w:rPr>
          <w:color w:val="auto"/>
        </w:rPr>
      </w:pPr>
      <w:r w:rsidRPr="00D17611">
        <w:rPr>
          <w:rFonts w:cs="Tahoma"/>
          <w:color w:val="auto"/>
        </w:rPr>
        <w:t xml:space="preserve">Con fundamento en el artículo 186, fracción III, de la Ley de Transparencia y Acceso a la Información Pública del Estado de México y Municipios, este Instituto considera procedente </w:t>
      </w:r>
      <w:r w:rsidRPr="00D17611">
        <w:rPr>
          <w:rFonts w:cs="Tahoma"/>
          <w:b/>
          <w:color w:val="auto"/>
        </w:rPr>
        <w:t xml:space="preserve">REVOCAR </w:t>
      </w:r>
      <w:r w:rsidRPr="00D17611">
        <w:rPr>
          <w:color w:val="auto"/>
        </w:rPr>
        <w:t xml:space="preserve">la respuesta otorgada </w:t>
      </w:r>
      <w:r w:rsidR="00F63625" w:rsidRPr="00D17611">
        <w:rPr>
          <w:color w:val="auto"/>
        </w:rPr>
        <w:t xml:space="preserve">por el </w:t>
      </w:r>
      <w:r w:rsidR="00133F9E" w:rsidRPr="00D17611">
        <w:rPr>
          <w:color w:val="auto"/>
        </w:rPr>
        <w:t>Ayuntamiento de la Paz</w:t>
      </w:r>
      <w:r w:rsidR="00F63625" w:rsidRPr="00D17611">
        <w:rPr>
          <w:color w:val="auto"/>
        </w:rPr>
        <w:t xml:space="preserve">, a efecto de que, previa </w:t>
      </w:r>
      <w:r w:rsidR="00F63625" w:rsidRPr="00D17611">
        <w:rPr>
          <w:color w:val="auto"/>
        </w:rPr>
        <w:lastRenderedPageBreak/>
        <w:t>búsqueda exhaustiva y razonable en todas las áreas competentes, entregue, el convenio requerido.</w:t>
      </w:r>
    </w:p>
    <w:p w14:paraId="4DE3F738" w14:textId="77777777" w:rsidR="002049A1" w:rsidRPr="00D17611" w:rsidRDefault="002049A1" w:rsidP="002049A1">
      <w:pPr>
        <w:spacing w:after="0" w:line="360" w:lineRule="auto"/>
        <w:ind w:right="-93"/>
        <w:rPr>
          <w:color w:val="FF0000"/>
        </w:rPr>
      </w:pPr>
    </w:p>
    <w:p w14:paraId="3D9007DF" w14:textId="77777777" w:rsidR="002049A1" w:rsidRPr="00D17611" w:rsidRDefault="002049A1" w:rsidP="002049A1">
      <w:pPr>
        <w:spacing w:after="0" w:line="360" w:lineRule="auto"/>
        <w:rPr>
          <w:b/>
          <w:color w:val="auto"/>
        </w:rPr>
      </w:pPr>
      <w:r w:rsidRPr="00D17611">
        <w:rPr>
          <w:b/>
          <w:color w:val="auto"/>
        </w:rPr>
        <w:t>Términos de la Resolución para conocimiento del Particular</w:t>
      </w:r>
    </w:p>
    <w:p w14:paraId="598AB866" w14:textId="77777777" w:rsidR="002049A1" w:rsidRPr="00D17611" w:rsidRDefault="002049A1" w:rsidP="002049A1">
      <w:pPr>
        <w:spacing w:after="0" w:line="360" w:lineRule="auto"/>
        <w:rPr>
          <w:b/>
          <w:color w:val="FF0000"/>
        </w:rPr>
      </w:pPr>
    </w:p>
    <w:p w14:paraId="7762C2D5" w14:textId="5C2243DB" w:rsidR="001E07C0" w:rsidRPr="00D17611" w:rsidRDefault="002049A1" w:rsidP="002049A1">
      <w:pPr>
        <w:spacing w:after="0" w:line="360" w:lineRule="auto"/>
        <w:rPr>
          <w:rFonts w:eastAsia="Calibri" w:cs="Times New Roman"/>
          <w:color w:val="auto"/>
        </w:rPr>
      </w:pPr>
      <w:r w:rsidRPr="00D17611">
        <w:rPr>
          <w:color w:val="auto"/>
        </w:rPr>
        <w:t xml:space="preserve">Se le hace del conocimiento al Particular, que, en el presente caso, se le concede la razón, pues el Sujeto Obligado, </w:t>
      </w:r>
      <w:r w:rsidR="001400A3" w:rsidRPr="00D17611">
        <w:rPr>
          <w:color w:val="auto"/>
        </w:rPr>
        <w:t xml:space="preserve">si </w:t>
      </w:r>
      <w:r w:rsidR="001E07C0" w:rsidRPr="00D17611">
        <w:rPr>
          <w:color w:val="auto"/>
        </w:rPr>
        <w:t xml:space="preserve">tiene competencia para conocer de lo peticionad, pues se pudo corroborar que </w:t>
      </w:r>
      <w:r w:rsidR="001400A3" w:rsidRPr="00D17611">
        <w:rPr>
          <w:color w:val="auto"/>
        </w:rPr>
        <w:t xml:space="preserve">ha celebrado el </w:t>
      </w:r>
      <w:r w:rsidR="001E07C0" w:rsidRPr="00D17611">
        <w:rPr>
          <w:color w:val="auto"/>
        </w:rPr>
        <w:t>Convenio peticionado.</w:t>
      </w:r>
    </w:p>
    <w:p w14:paraId="461746E5" w14:textId="77777777" w:rsidR="001E07C0" w:rsidRPr="00D17611" w:rsidRDefault="001E07C0" w:rsidP="002049A1">
      <w:pPr>
        <w:spacing w:after="0" w:line="360" w:lineRule="auto"/>
        <w:rPr>
          <w:rFonts w:eastAsia="Calibri" w:cs="Times New Roman"/>
          <w:color w:val="auto"/>
        </w:rPr>
      </w:pPr>
    </w:p>
    <w:p w14:paraId="6B198A00" w14:textId="4D441891" w:rsidR="001E07C0" w:rsidRPr="00D17611" w:rsidRDefault="001E07C0" w:rsidP="002049A1">
      <w:pPr>
        <w:spacing w:after="0" w:line="360" w:lineRule="auto"/>
        <w:rPr>
          <w:rFonts w:eastAsia="Times New Roman" w:cs="Tahoma"/>
          <w:bCs/>
          <w:iCs/>
          <w:color w:val="auto"/>
          <w:lang w:val="es-ES" w:eastAsia="es-ES"/>
        </w:rPr>
      </w:pPr>
      <w:r w:rsidRPr="00D17611">
        <w:rPr>
          <w:rFonts w:eastAsia="Times New Roman" w:cs="Tahoma"/>
          <w:bCs/>
          <w:iCs/>
          <w:color w:val="auto"/>
          <w:lang w:val="es-ES" w:eastAsia="es-ES"/>
        </w:rPr>
        <w:t>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w:t>
      </w:r>
    </w:p>
    <w:p w14:paraId="58CC540C" w14:textId="77777777" w:rsidR="001E07C0" w:rsidRPr="00D17611" w:rsidRDefault="001E07C0" w:rsidP="002049A1">
      <w:pPr>
        <w:spacing w:after="0" w:line="360" w:lineRule="auto"/>
        <w:rPr>
          <w:rFonts w:eastAsia="Calibri" w:cs="Times New Roman"/>
          <w:color w:val="auto"/>
        </w:rPr>
      </w:pPr>
    </w:p>
    <w:p w14:paraId="08A58B65" w14:textId="31C13DE8" w:rsidR="002049A1" w:rsidRPr="00D17611" w:rsidRDefault="001E07C0" w:rsidP="002049A1">
      <w:pPr>
        <w:spacing w:after="0" w:line="360" w:lineRule="auto"/>
        <w:rPr>
          <w:color w:val="auto"/>
        </w:rPr>
      </w:pPr>
      <w:r w:rsidRPr="00D17611">
        <w:rPr>
          <w:rFonts w:eastAsia="Calibri" w:cs="Times New Roman"/>
          <w:color w:val="auto"/>
        </w:rPr>
        <w:t>F</w:t>
      </w:r>
      <w:r w:rsidR="002049A1" w:rsidRPr="00D17611">
        <w:rPr>
          <w:rFonts w:eastAsia="Calibri" w:cs="Times New Roman"/>
          <w:color w:val="auto"/>
        </w:rPr>
        <w:t>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400558DD" w14:textId="77777777" w:rsidR="00311A16" w:rsidRPr="00D17611" w:rsidRDefault="00311A16" w:rsidP="002049A1">
      <w:pPr>
        <w:spacing w:after="0" w:line="360" w:lineRule="auto"/>
        <w:rPr>
          <w:color w:val="auto"/>
        </w:rPr>
      </w:pPr>
    </w:p>
    <w:p w14:paraId="51E1632E" w14:textId="77777777" w:rsidR="002049A1" w:rsidRPr="00D17611" w:rsidRDefault="002049A1" w:rsidP="002049A1">
      <w:pPr>
        <w:spacing w:after="0" w:line="360" w:lineRule="auto"/>
        <w:rPr>
          <w:color w:val="auto"/>
        </w:rPr>
      </w:pPr>
      <w:r w:rsidRPr="00D17611">
        <w:rPr>
          <w:color w:val="auto"/>
        </w:rPr>
        <w:t>Por lo expuesto y fundado, este Pleno:</w:t>
      </w:r>
    </w:p>
    <w:p w14:paraId="4EA6AC1C" w14:textId="77777777" w:rsidR="002049A1" w:rsidRPr="00D17611" w:rsidRDefault="002049A1" w:rsidP="002049A1">
      <w:pPr>
        <w:spacing w:after="0" w:line="360" w:lineRule="auto"/>
        <w:rPr>
          <w:b/>
          <w:color w:val="FF0000"/>
        </w:rPr>
      </w:pPr>
    </w:p>
    <w:p w14:paraId="6B258430" w14:textId="77777777" w:rsidR="002049A1" w:rsidRPr="00D17611" w:rsidRDefault="002049A1" w:rsidP="003B4BC4">
      <w:pPr>
        <w:pStyle w:val="Ttulo1"/>
        <w:rPr>
          <w:color w:val="auto"/>
        </w:rPr>
      </w:pPr>
      <w:bookmarkStart w:id="37" w:name="_Toc193806616"/>
      <w:r w:rsidRPr="00D17611">
        <w:rPr>
          <w:color w:val="auto"/>
        </w:rPr>
        <w:t>R E S U E L V E</w:t>
      </w:r>
      <w:bookmarkEnd w:id="37"/>
    </w:p>
    <w:p w14:paraId="194D135C" w14:textId="77777777" w:rsidR="002049A1" w:rsidRPr="00D17611" w:rsidRDefault="002049A1" w:rsidP="002049A1">
      <w:pPr>
        <w:spacing w:after="0" w:line="360" w:lineRule="auto"/>
        <w:rPr>
          <w:color w:val="auto"/>
        </w:rPr>
      </w:pPr>
    </w:p>
    <w:p w14:paraId="3CEC75E2" w14:textId="59308EC4" w:rsidR="002049A1" w:rsidRPr="00D17611" w:rsidRDefault="002049A1" w:rsidP="002049A1">
      <w:pPr>
        <w:spacing w:after="0" w:line="360" w:lineRule="auto"/>
        <w:rPr>
          <w:color w:val="auto"/>
        </w:rPr>
      </w:pPr>
      <w:r w:rsidRPr="00D17611">
        <w:rPr>
          <w:b/>
          <w:color w:val="auto"/>
        </w:rPr>
        <w:t xml:space="preserve">PRIMERO. </w:t>
      </w:r>
      <w:r w:rsidRPr="00D17611">
        <w:rPr>
          <w:color w:val="auto"/>
        </w:rPr>
        <w:t xml:space="preserve">Se </w:t>
      </w:r>
      <w:r w:rsidRPr="00D17611">
        <w:rPr>
          <w:b/>
          <w:color w:val="auto"/>
        </w:rPr>
        <w:t xml:space="preserve">REVOCA </w:t>
      </w:r>
      <w:r w:rsidRPr="00D17611">
        <w:rPr>
          <w:color w:val="auto"/>
        </w:rPr>
        <w:t>la respuesta otorgada por el Sujeto Obligado a la solicitud de acceso a la información</w:t>
      </w:r>
      <w:r w:rsidR="001400A3" w:rsidRPr="00D17611">
        <w:rPr>
          <w:color w:val="auto"/>
        </w:rPr>
        <w:t xml:space="preserve"> 00105/LAPAZ/IP/2025</w:t>
      </w:r>
      <w:r w:rsidRPr="00D17611">
        <w:rPr>
          <w:color w:val="auto"/>
        </w:rPr>
        <w:t xml:space="preserve">, por resultar </w:t>
      </w:r>
      <w:r w:rsidRPr="00D17611">
        <w:rPr>
          <w:b/>
          <w:color w:val="auto"/>
        </w:rPr>
        <w:t xml:space="preserve">FUNDADOS </w:t>
      </w:r>
      <w:r w:rsidRPr="00D17611">
        <w:rPr>
          <w:color w:val="auto"/>
        </w:rPr>
        <w:t>los agravios</w:t>
      </w:r>
      <w:r w:rsidRPr="00D17611">
        <w:rPr>
          <w:b/>
          <w:color w:val="auto"/>
        </w:rPr>
        <w:t xml:space="preserve"> </w:t>
      </w:r>
      <w:r w:rsidRPr="00D17611">
        <w:rPr>
          <w:color w:val="auto"/>
        </w:rPr>
        <w:t>hechos valer por el Particular, en el Recurso de Revisión</w:t>
      </w:r>
      <w:r w:rsidRPr="00D17611">
        <w:rPr>
          <w:b/>
          <w:color w:val="auto"/>
        </w:rPr>
        <w:t xml:space="preserve">, </w:t>
      </w:r>
      <w:r w:rsidRPr="00D17611">
        <w:rPr>
          <w:color w:val="auto"/>
        </w:rPr>
        <w:t xml:space="preserve">en términos de los Considerandos QUINTO y SEXTO de la presente Resolución.  </w:t>
      </w:r>
    </w:p>
    <w:p w14:paraId="79C18136" w14:textId="77777777" w:rsidR="001E07C0" w:rsidRPr="00D17611" w:rsidRDefault="001E07C0" w:rsidP="002049A1">
      <w:pPr>
        <w:spacing w:after="0" w:line="360" w:lineRule="auto"/>
        <w:rPr>
          <w:color w:val="auto"/>
        </w:rPr>
      </w:pPr>
    </w:p>
    <w:p w14:paraId="19CD1039" w14:textId="72E09F5A" w:rsidR="002049A1" w:rsidRPr="00D17611" w:rsidRDefault="002049A1" w:rsidP="002049A1">
      <w:pPr>
        <w:spacing w:after="0" w:line="360" w:lineRule="auto"/>
        <w:rPr>
          <w:color w:val="FF0000"/>
        </w:rPr>
      </w:pPr>
      <w:r w:rsidRPr="00D17611">
        <w:rPr>
          <w:b/>
          <w:color w:val="auto"/>
        </w:rPr>
        <w:t xml:space="preserve">SEGUNDO. </w:t>
      </w:r>
      <w:r w:rsidRPr="00D17611">
        <w:rPr>
          <w:color w:val="auto"/>
        </w:rPr>
        <w:t xml:space="preserve">Se </w:t>
      </w:r>
      <w:r w:rsidRPr="00D17611">
        <w:rPr>
          <w:b/>
          <w:color w:val="auto"/>
        </w:rPr>
        <w:t>ORDENA</w:t>
      </w:r>
      <w:r w:rsidRPr="00D17611">
        <w:rPr>
          <w:color w:val="auto"/>
        </w:rPr>
        <w:t xml:space="preserve"> al Sujeto Obligado, a efecto de que, previa búsqueda exhaustiva y razonable en las áreas competentes, a través del Sistema de Acceso a la Información Mexiquense (SAIMEX), entregue</w:t>
      </w:r>
      <w:r w:rsidR="001E07C0" w:rsidRPr="00D17611">
        <w:rPr>
          <w:color w:val="auto"/>
        </w:rPr>
        <w:t xml:space="preserve"> el documento con el que contara al once de febrero de dos mil veinticinco, que </w:t>
      </w:r>
      <w:proofErr w:type="spellStart"/>
      <w:r w:rsidR="001E07C0" w:rsidRPr="00D17611">
        <w:rPr>
          <w:color w:val="auto"/>
        </w:rPr>
        <w:t>de</w:t>
      </w:r>
      <w:proofErr w:type="spellEnd"/>
      <w:r w:rsidR="001E07C0" w:rsidRPr="00D17611">
        <w:rPr>
          <w:color w:val="auto"/>
        </w:rPr>
        <w:t xml:space="preserve"> cuenta de </w:t>
      </w:r>
      <w:r w:rsidR="00453584" w:rsidRPr="00D17611">
        <w:rPr>
          <w:color w:val="auto"/>
        </w:rPr>
        <w:t>lo</w:t>
      </w:r>
      <w:r w:rsidR="00311A16" w:rsidRPr="00D17611">
        <w:rPr>
          <w:color w:val="auto"/>
        </w:rPr>
        <w:t xml:space="preserve"> siguiente: </w:t>
      </w:r>
    </w:p>
    <w:p w14:paraId="6AF40FC1" w14:textId="77777777" w:rsidR="002049A1" w:rsidRPr="00D17611" w:rsidRDefault="002049A1" w:rsidP="002049A1">
      <w:pPr>
        <w:spacing w:after="0" w:line="360" w:lineRule="auto"/>
        <w:rPr>
          <w:rFonts w:cs="Tahoma"/>
          <w:color w:val="FF0000"/>
        </w:rPr>
      </w:pPr>
    </w:p>
    <w:p w14:paraId="5F51BB12" w14:textId="652686E9" w:rsidR="001400A3" w:rsidRPr="00D17611" w:rsidRDefault="001400A3" w:rsidP="001400A3">
      <w:pPr>
        <w:pStyle w:val="Prrafodelista"/>
        <w:widowControl w:val="0"/>
        <w:numPr>
          <w:ilvl w:val="0"/>
          <w:numId w:val="16"/>
        </w:numPr>
        <w:autoSpaceDE w:val="0"/>
        <w:autoSpaceDN w:val="0"/>
        <w:adjustRightInd w:val="0"/>
        <w:spacing w:after="0" w:line="360" w:lineRule="auto"/>
        <w:rPr>
          <w:rFonts w:cs="Tahoma"/>
          <w:color w:val="auto"/>
        </w:rPr>
      </w:pPr>
      <w:r w:rsidRPr="00D17611">
        <w:rPr>
          <w:color w:val="auto"/>
        </w:rPr>
        <w:t xml:space="preserve">El </w:t>
      </w:r>
      <w:r w:rsidR="001E07C0" w:rsidRPr="00D17611">
        <w:rPr>
          <w:rFonts w:cs="Tahoma"/>
          <w:color w:val="auto"/>
        </w:rPr>
        <w:t>C</w:t>
      </w:r>
      <w:r w:rsidRPr="00D17611">
        <w:rPr>
          <w:rFonts w:cs="Tahoma"/>
          <w:color w:val="auto"/>
        </w:rPr>
        <w:t xml:space="preserve">onvenio </w:t>
      </w:r>
      <w:r w:rsidR="001E07C0" w:rsidRPr="00D17611">
        <w:rPr>
          <w:rFonts w:cs="Tahoma"/>
          <w:color w:val="auto"/>
        </w:rPr>
        <w:t>L</w:t>
      </w:r>
      <w:r w:rsidRPr="00D17611">
        <w:rPr>
          <w:rFonts w:cs="Tahoma"/>
          <w:color w:val="auto"/>
        </w:rPr>
        <w:t xml:space="preserve">aboral </w:t>
      </w:r>
      <w:r w:rsidR="001E07C0" w:rsidRPr="00D17611">
        <w:rPr>
          <w:rFonts w:cs="Tahoma"/>
          <w:color w:val="auto"/>
        </w:rPr>
        <w:t xml:space="preserve">suscrito entre </w:t>
      </w:r>
      <w:r w:rsidR="00094DB6" w:rsidRPr="00D17611">
        <w:rPr>
          <w:rFonts w:cs="Tahoma"/>
          <w:color w:val="auto"/>
        </w:rPr>
        <w:t xml:space="preserve">el </w:t>
      </w:r>
      <w:r w:rsidR="00133F9E" w:rsidRPr="00D17611">
        <w:rPr>
          <w:rFonts w:cs="Tahoma"/>
          <w:color w:val="auto"/>
        </w:rPr>
        <w:t>Ayuntamiento de la Paz</w:t>
      </w:r>
      <w:r w:rsidRPr="00D17611">
        <w:rPr>
          <w:rFonts w:cs="Tahoma"/>
          <w:color w:val="auto"/>
        </w:rPr>
        <w:t xml:space="preserve"> </w:t>
      </w:r>
      <w:r w:rsidR="001E07C0" w:rsidRPr="00D17611">
        <w:rPr>
          <w:rFonts w:cs="Tahoma"/>
          <w:color w:val="auto"/>
        </w:rPr>
        <w:t xml:space="preserve">y </w:t>
      </w:r>
      <w:r w:rsidRPr="00D17611">
        <w:rPr>
          <w:rFonts w:cs="Tahoma"/>
          <w:color w:val="auto"/>
        </w:rPr>
        <w:t>el Sindicato Único de Trabajadores de los Poderes, Municipios e Instituciones Descentralizadas del Estado de México</w:t>
      </w:r>
      <w:r w:rsidR="001E07C0" w:rsidRPr="00D17611">
        <w:rPr>
          <w:rFonts w:cs="Tahoma"/>
          <w:color w:val="auto"/>
        </w:rPr>
        <w:t xml:space="preserve">, para el </w:t>
      </w:r>
      <w:r w:rsidRPr="00D17611">
        <w:rPr>
          <w:rFonts w:cs="Tahoma"/>
          <w:color w:val="auto"/>
        </w:rPr>
        <w:t>ejercicio fiscal dos mil veinticuatro.</w:t>
      </w:r>
    </w:p>
    <w:p w14:paraId="4208AEA6" w14:textId="77777777" w:rsidR="002049A1" w:rsidRPr="00D17611" w:rsidRDefault="002049A1" w:rsidP="002049A1">
      <w:pPr>
        <w:pBdr>
          <w:top w:val="nil"/>
          <w:left w:val="nil"/>
          <w:bottom w:val="nil"/>
          <w:right w:val="nil"/>
          <w:between w:val="nil"/>
        </w:pBdr>
        <w:spacing w:after="0" w:line="360" w:lineRule="auto"/>
        <w:ind w:right="-28"/>
        <w:rPr>
          <w:color w:val="FF0000"/>
        </w:rPr>
      </w:pPr>
    </w:p>
    <w:p w14:paraId="11048EFD" w14:textId="77777777" w:rsidR="001E07C0" w:rsidRPr="00D17611" w:rsidRDefault="001E07C0" w:rsidP="001E07C0">
      <w:pPr>
        <w:spacing w:after="0" w:line="360" w:lineRule="auto"/>
        <w:rPr>
          <w:rFonts w:eastAsia="Times New Roman" w:cs="Tahoma"/>
          <w:b/>
          <w:bCs/>
          <w:iCs/>
          <w:color w:val="auto"/>
          <w:lang w:val="es-ES" w:eastAsia="es-ES"/>
        </w:rPr>
      </w:pPr>
      <w:r w:rsidRPr="00D17611">
        <w:rPr>
          <w:rFonts w:eastAsia="Times New Roman" w:cs="Tahoma"/>
          <w:b/>
          <w:bCs/>
          <w:iCs/>
          <w:color w:val="auto"/>
          <w:lang w:val="es-ES" w:eastAsia="es-ES"/>
        </w:rPr>
        <w:t xml:space="preserve">TERCERO. </w:t>
      </w:r>
      <w:r w:rsidRPr="00D17611">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D17611">
        <w:rPr>
          <w:rFonts w:eastAsia="Times New Roman" w:cs="Tahoma"/>
          <w:b/>
          <w:bCs/>
          <w:iCs/>
          <w:color w:val="auto"/>
          <w:lang w:val="es-ES" w:eastAsia="es-ES"/>
        </w:rPr>
        <w:t xml:space="preserve">.  </w:t>
      </w:r>
    </w:p>
    <w:p w14:paraId="76EE4C09" w14:textId="77777777" w:rsidR="001E07C0" w:rsidRPr="00D17611" w:rsidRDefault="001E07C0" w:rsidP="001E07C0">
      <w:pPr>
        <w:spacing w:after="0" w:line="360" w:lineRule="auto"/>
        <w:rPr>
          <w:rFonts w:eastAsia="Times New Roman" w:cs="Tahoma"/>
          <w:b/>
          <w:bCs/>
          <w:iCs/>
          <w:color w:val="auto"/>
          <w:lang w:val="es-ES" w:eastAsia="es-ES"/>
        </w:rPr>
      </w:pPr>
    </w:p>
    <w:p w14:paraId="5AEE3572" w14:textId="3CA0BE50" w:rsidR="002049A1" w:rsidRPr="00D17611" w:rsidRDefault="001E07C0" w:rsidP="002049A1">
      <w:pPr>
        <w:spacing w:after="0" w:line="360" w:lineRule="auto"/>
        <w:ind w:right="-28"/>
        <w:rPr>
          <w:b/>
          <w:color w:val="auto"/>
        </w:rPr>
      </w:pPr>
      <w:r w:rsidRPr="00D17611">
        <w:rPr>
          <w:b/>
          <w:color w:val="auto"/>
        </w:rPr>
        <w:t xml:space="preserve">CUARTO. </w:t>
      </w:r>
      <w:r w:rsidR="002049A1" w:rsidRPr="00D17611">
        <w:rPr>
          <w:rFonts w:eastAsia="Calibri" w:cs="Tahoma"/>
          <w:b/>
          <w:bCs/>
          <w:iCs/>
          <w:color w:val="auto"/>
        </w:rPr>
        <w:t>NOTIFÍQUESE</w:t>
      </w:r>
      <w:r w:rsidR="002049A1" w:rsidRPr="00D17611">
        <w:rPr>
          <w:b/>
          <w:bCs/>
          <w:color w:val="auto"/>
        </w:rPr>
        <w:t xml:space="preserve"> POR SAIMEX</w:t>
      </w:r>
      <w:r w:rsidR="002049A1" w:rsidRPr="00D17611">
        <w:rPr>
          <w:color w:val="auto"/>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F854A8D" w14:textId="77777777" w:rsidR="002049A1" w:rsidRPr="00D17611" w:rsidRDefault="002049A1" w:rsidP="002049A1">
      <w:pPr>
        <w:spacing w:after="0" w:line="360" w:lineRule="auto"/>
        <w:ind w:right="-28"/>
        <w:rPr>
          <w:color w:val="auto"/>
        </w:rPr>
      </w:pPr>
    </w:p>
    <w:p w14:paraId="3789F1E5" w14:textId="77777777" w:rsidR="002049A1" w:rsidRPr="00D17611" w:rsidRDefault="002049A1" w:rsidP="002049A1">
      <w:pPr>
        <w:spacing w:after="0" w:line="360" w:lineRule="auto"/>
        <w:rPr>
          <w:color w:val="auto"/>
        </w:rPr>
      </w:pPr>
      <w:r w:rsidRPr="00D17611">
        <w:rPr>
          <w:color w:val="auto"/>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2119C9B" w14:textId="77777777" w:rsidR="002049A1" w:rsidRPr="00D17611" w:rsidRDefault="002049A1" w:rsidP="002049A1">
      <w:pPr>
        <w:spacing w:after="0" w:line="360" w:lineRule="auto"/>
        <w:rPr>
          <w:color w:val="auto"/>
        </w:rPr>
      </w:pPr>
    </w:p>
    <w:p w14:paraId="38B1CBEA" w14:textId="266BC4FD" w:rsidR="002049A1" w:rsidRPr="00D17611" w:rsidRDefault="001E07C0" w:rsidP="002049A1">
      <w:pPr>
        <w:spacing w:after="0" w:line="360" w:lineRule="auto"/>
        <w:rPr>
          <w:rFonts w:eastAsia="Calibri" w:cs="Tahoma"/>
          <w:b/>
          <w:bCs/>
          <w:iCs/>
          <w:color w:val="auto"/>
        </w:rPr>
      </w:pPr>
      <w:r w:rsidRPr="00D17611">
        <w:rPr>
          <w:rFonts w:eastAsia="Calibri" w:cs="Tahoma"/>
          <w:b/>
          <w:bCs/>
          <w:iCs/>
          <w:color w:val="auto"/>
        </w:rPr>
        <w:t xml:space="preserve">QUINTO. </w:t>
      </w:r>
      <w:r w:rsidR="002049A1" w:rsidRPr="00D17611">
        <w:rPr>
          <w:rFonts w:eastAsia="Calibri" w:cs="Tahoma"/>
          <w:b/>
          <w:bCs/>
          <w:iCs/>
          <w:color w:val="auto"/>
        </w:rPr>
        <w:t>NOTIFÍQUESE POR SAIMEX</w:t>
      </w:r>
      <w:r w:rsidR="002049A1" w:rsidRPr="00D17611">
        <w:rPr>
          <w:color w:val="auto"/>
        </w:rPr>
        <w:t xml:space="preserve"> </w:t>
      </w:r>
      <w:r w:rsidR="002049A1" w:rsidRPr="00D17611">
        <w:rPr>
          <w:rFonts w:eastAsia="Calibri" w:cs="Tahoma"/>
          <w:iCs/>
          <w:color w:val="auto"/>
        </w:rPr>
        <w:t xml:space="preserve">a </w:t>
      </w:r>
      <w:r w:rsidR="002049A1" w:rsidRPr="00D17611">
        <w:rPr>
          <w:rFonts w:eastAsia="Calibri" w:cs="Tahoma"/>
          <w:bCs/>
          <w:iCs/>
          <w:color w:val="auto"/>
        </w:rPr>
        <w:t xml:space="preserve">la persona </w:t>
      </w:r>
      <w:r w:rsidR="002049A1" w:rsidRPr="00D17611">
        <w:rPr>
          <w:rFonts w:eastAsia="Calibri" w:cs="Tahoma"/>
          <w:iCs/>
          <w:color w:val="auto"/>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7E88F2D" w14:textId="77777777" w:rsidR="002049A1" w:rsidRPr="00D17611" w:rsidRDefault="002049A1" w:rsidP="002049A1">
      <w:pPr>
        <w:spacing w:after="0" w:line="360" w:lineRule="auto"/>
        <w:rPr>
          <w:b/>
          <w:color w:val="auto"/>
        </w:rPr>
      </w:pPr>
    </w:p>
    <w:p w14:paraId="4FC9698B" w14:textId="3C7A9D78" w:rsidR="002049A1" w:rsidRPr="001400A3" w:rsidRDefault="002049A1" w:rsidP="002049A1">
      <w:pPr>
        <w:spacing w:after="0" w:line="360" w:lineRule="auto"/>
        <w:rPr>
          <w:color w:val="auto"/>
        </w:rPr>
      </w:pPr>
      <w:r w:rsidRPr="00D17611">
        <w:rPr>
          <w:color w:val="auto"/>
        </w:rPr>
        <w:t>ASÍ LO RESUELVE, POR </w:t>
      </w:r>
      <w:r w:rsidRPr="00D17611">
        <w:rPr>
          <w:b/>
          <w:color w:val="auto"/>
        </w:rPr>
        <w:t>UNANIMIDAD</w:t>
      </w:r>
      <w:r w:rsidRPr="00D17611">
        <w:rPr>
          <w:color w:val="auto"/>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47171C" w:rsidRPr="00D17611">
        <w:rPr>
          <w:color w:val="auto"/>
        </w:rPr>
        <w:t xml:space="preserve"> </w:t>
      </w:r>
      <w:r w:rsidR="001400A3" w:rsidRPr="00D17611">
        <w:rPr>
          <w:color w:val="auto"/>
        </w:rPr>
        <w:t xml:space="preserve">DÉCIMA SEGUNDA </w:t>
      </w:r>
      <w:r w:rsidR="0072251E" w:rsidRPr="00D17611">
        <w:rPr>
          <w:color w:val="auto"/>
        </w:rPr>
        <w:t>SESIÓN</w:t>
      </w:r>
      <w:r w:rsidRPr="00D17611">
        <w:rPr>
          <w:color w:val="auto"/>
        </w:rPr>
        <w:t xml:space="preserve"> ORDINARIA, CELEBRADA </w:t>
      </w:r>
      <w:r w:rsidR="0072251E" w:rsidRPr="00D17611">
        <w:rPr>
          <w:color w:val="auto"/>
        </w:rPr>
        <w:t>EL</w:t>
      </w:r>
      <w:r w:rsidR="001400A3" w:rsidRPr="00D17611">
        <w:rPr>
          <w:color w:val="auto"/>
        </w:rPr>
        <w:t xml:space="preserve"> DOS DE ABRIL </w:t>
      </w:r>
      <w:r w:rsidR="0047171C" w:rsidRPr="00D17611">
        <w:rPr>
          <w:color w:val="auto"/>
        </w:rPr>
        <w:t xml:space="preserve">DE </w:t>
      </w:r>
      <w:r w:rsidRPr="00D17611">
        <w:rPr>
          <w:color w:val="auto"/>
        </w:rPr>
        <w:t>DOS MIL VEINTICINCO, ANTE EL SECRETARIO TÉCNICO DEL PLENO, ALEXIS TAPIA RAMÍREZ.</w:t>
      </w:r>
    </w:p>
    <w:p w14:paraId="7CE2DC2C" w14:textId="77777777" w:rsidR="002049A1" w:rsidRPr="001400A3" w:rsidRDefault="002049A1" w:rsidP="002049A1">
      <w:pPr>
        <w:spacing w:after="0" w:line="360" w:lineRule="auto"/>
        <w:ind w:right="-28"/>
        <w:contextualSpacing/>
        <w:rPr>
          <w:rFonts w:eastAsia="Calibri" w:cs="Tahoma"/>
          <w:bCs/>
          <w:color w:val="auto"/>
        </w:rPr>
      </w:pPr>
    </w:p>
    <w:p w14:paraId="26258CA8" w14:textId="77777777" w:rsidR="002049A1" w:rsidRPr="001400A3" w:rsidRDefault="002049A1" w:rsidP="002049A1">
      <w:pPr>
        <w:spacing w:after="0" w:line="360" w:lineRule="auto"/>
        <w:ind w:right="-28"/>
        <w:contextualSpacing/>
        <w:rPr>
          <w:rFonts w:eastAsia="Calibri" w:cs="Tahoma"/>
          <w:bCs/>
          <w:color w:val="auto"/>
        </w:rPr>
      </w:pPr>
    </w:p>
    <w:p w14:paraId="0991C880" w14:textId="77777777" w:rsidR="002049A1" w:rsidRPr="001400A3" w:rsidRDefault="002049A1" w:rsidP="002049A1">
      <w:pPr>
        <w:spacing w:after="0" w:line="360" w:lineRule="auto"/>
        <w:rPr>
          <w:rFonts w:eastAsia="Calibri" w:cs="Times New Roman"/>
          <w:color w:val="auto"/>
        </w:rPr>
      </w:pPr>
      <w:r w:rsidRPr="001400A3">
        <w:rPr>
          <w:rFonts w:eastAsia="Calibri" w:cs="Times New Roman"/>
          <w:color w:val="auto"/>
        </w:rPr>
        <w:t xml:space="preserve"> </w:t>
      </w:r>
    </w:p>
    <w:p w14:paraId="38C58435" w14:textId="77777777" w:rsidR="002049A1" w:rsidRPr="001400A3" w:rsidRDefault="002049A1" w:rsidP="002049A1">
      <w:pPr>
        <w:spacing w:after="0" w:line="360" w:lineRule="auto"/>
        <w:rPr>
          <w:rFonts w:eastAsia="Times New Roman" w:cs="Tahoma"/>
          <w:color w:val="auto"/>
          <w:lang w:eastAsia="es-ES"/>
        </w:rPr>
      </w:pPr>
    </w:p>
    <w:p w14:paraId="0C6DB774" w14:textId="77777777" w:rsidR="002049A1" w:rsidRPr="001400A3" w:rsidRDefault="002049A1" w:rsidP="002049A1">
      <w:pPr>
        <w:tabs>
          <w:tab w:val="left" w:pos="993"/>
        </w:tabs>
        <w:spacing w:after="0" w:line="360" w:lineRule="auto"/>
        <w:ind w:right="-28"/>
        <w:rPr>
          <w:rFonts w:cs="Tahoma"/>
          <w:color w:val="auto"/>
        </w:rPr>
      </w:pPr>
    </w:p>
    <w:p w14:paraId="68239A94"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38EE1DDF"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21FCC264"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78BA29A7"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18DCD5C5"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6B01A1D5" w14:textId="77777777" w:rsidR="002049A1" w:rsidRPr="00E51EF0" w:rsidRDefault="002049A1" w:rsidP="002049A1">
      <w:pPr>
        <w:spacing w:after="0" w:line="360" w:lineRule="auto"/>
        <w:rPr>
          <w:rFonts w:eastAsia="Calibri" w:cs="Times New Roman"/>
          <w:color w:val="FF0000"/>
        </w:rPr>
      </w:pPr>
    </w:p>
    <w:p w14:paraId="38AA5C38"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bCs/>
          <w:iCs/>
          <w:color w:val="FF0000"/>
          <w:szCs w:val="20"/>
          <w:lang w:val="x-none" w:eastAsia="es-ES"/>
        </w:rPr>
      </w:pPr>
    </w:p>
    <w:p w14:paraId="7AA0A349" w14:textId="77777777" w:rsidR="002049A1" w:rsidRPr="00E51EF0" w:rsidRDefault="002049A1" w:rsidP="002049A1">
      <w:pPr>
        <w:spacing w:after="0" w:line="360" w:lineRule="auto"/>
        <w:contextualSpacing/>
        <w:rPr>
          <w:rFonts w:eastAsia="Calibri" w:cs="Tahoma"/>
          <w:bCs/>
          <w:color w:val="FF0000"/>
          <w:szCs w:val="24"/>
        </w:rPr>
      </w:pPr>
    </w:p>
    <w:p w14:paraId="7FA52AA4" w14:textId="77777777" w:rsidR="002049A1" w:rsidRPr="00E51EF0" w:rsidRDefault="002049A1" w:rsidP="002049A1">
      <w:pPr>
        <w:spacing w:after="0" w:line="360" w:lineRule="auto"/>
        <w:rPr>
          <w:bCs/>
          <w:iCs/>
          <w:color w:val="FF0000"/>
          <w:lang w:val="es-ES"/>
        </w:rPr>
      </w:pPr>
    </w:p>
    <w:p w14:paraId="7E61D0FB" w14:textId="77777777" w:rsidR="002049A1" w:rsidRPr="00E51EF0" w:rsidRDefault="002049A1" w:rsidP="002049A1">
      <w:pPr>
        <w:spacing w:after="0" w:line="360" w:lineRule="auto"/>
        <w:rPr>
          <w:color w:val="FF0000"/>
        </w:rPr>
      </w:pPr>
    </w:p>
    <w:p w14:paraId="099B33AF" w14:textId="77777777" w:rsidR="002049A1" w:rsidRPr="00E51EF0" w:rsidRDefault="002049A1" w:rsidP="002049A1">
      <w:pPr>
        <w:spacing w:after="0" w:line="360" w:lineRule="auto"/>
        <w:rPr>
          <w:color w:val="FF0000"/>
        </w:rPr>
      </w:pPr>
    </w:p>
    <w:p w14:paraId="221A75DA" w14:textId="77777777" w:rsidR="002049A1" w:rsidRPr="00E51EF0" w:rsidRDefault="002049A1" w:rsidP="002049A1">
      <w:pPr>
        <w:pStyle w:val="NormalWeb"/>
        <w:spacing w:after="0" w:line="360" w:lineRule="auto"/>
        <w:rPr>
          <w:rFonts w:ascii="Palatino Linotype" w:hAnsi="Palatino Linotype"/>
          <w:color w:val="FF0000"/>
          <w:sz w:val="22"/>
          <w:szCs w:val="22"/>
        </w:rPr>
      </w:pPr>
    </w:p>
    <w:p w14:paraId="6C27E54A" w14:textId="77777777" w:rsidR="002049A1" w:rsidRPr="00E51EF0" w:rsidRDefault="002049A1" w:rsidP="002049A1">
      <w:pPr>
        <w:pStyle w:val="NormalWeb"/>
        <w:spacing w:after="0" w:line="360" w:lineRule="auto"/>
        <w:rPr>
          <w:rFonts w:ascii="Palatino Linotype" w:hAnsi="Palatino Linotype"/>
          <w:color w:val="FF0000"/>
          <w:sz w:val="22"/>
          <w:szCs w:val="22"/>
        </w:rPr>
      </w:pPr>
    </w:p>
    <w:p w14:paraId="51943175"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3D3A2CCC"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7BD55909"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42C5A0AF" w14:textId="77777777" w:rsidR="002049A1" w:rsidRPr="00E51EF0" w:rsidRDefault="002049A1" w:rsidP="002049A1">
      <w:pPr>
        <w:widowControl w:val="0"/>
        <w:autoSpaceDE w:val="0"/>
        <w:autoSpaceDN w:val="0"/>
        <w:adjustRightInd w:val="0"/>
        <w:spacing w:after="0" w:line="360" w:lineRule="auto"/>
        <w:contextualSpacing/>
        <w:rPr>
          <w:rFonts w:eastAsia="Times New Roman" w:cs="Times New Roman"/>
          <w:color w:val="FF0000"/>
          <w:lang w:eastAsia="es-ES"/>
        </w:rPr>
      </w:pPr>
    </w:p>
    <w:p w14:paraId="3538753C" w14:textId="77777777" w:rsidR="000D34E7" w:rsidRPr="00E51EF0" w:rsidRDefault="000D34E7" w:rsidP="00A62148">
      <w:pPr>
        <w:spacing w:after="0" w:line="360" w:lineRule="auto"/>
        <w:rPr>
          <w:color w:val="FF0000"/>
        </w:rPr>
      </w:pPr>
    </w:p>
    <w:p w14:paraId="51F65D21" w14:textId="77777777" w:rsidR="000D34E7" w:rsidRPr="00E51EF0" w:rsidRDefault="000D34E7" w:rsidP="00A62148">
      <w:pPr>
        <w:spacing w:after="0" w:line="360" w:lineRule="auto"/>
        <w:rPr>
          <w:color w:val="FF0000"/>
        </w:rPr>
      </w:pPr>
    </w:p>
    <w:p w14:paraId="735FAF20" w14:textId="77777777" w:rsidR="000D34E7" w:rsidRPr="00E51EF0" w:rsidRDefault="000D34E7" w:rsidP="00A62148">
      <w:pPr>
        <w:spacing w:after="0" w:line="360" w:lineRule="auto"/>
        <w:rPr>
          <w:color w:val="FF0000"/>
        </w:rPr>
      </w:pPr>
    </w:p>
    <w:sectPr w:rsidR="000D34E7" w:rsidRPr="00E51EF0" w:rsidSect="009B3229">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7719C" w14:textId="77777777" w:rsidR="00AB3E61" w:rsidRDefault="00AB3E61" w:rsidP="00EC77D9">
      <w:pPr>
        <w:spacing w:after="0" w:line="240" w:lineRule="auto"/>
      </w:pPr>
      <w:r>
        <w:separator/>
      </w:r>
    </w:p>
  </w:endnote>
  <w:endnote w:type="continuationSeparator" w:id="0">
    <w:p w14:paraId="548EF4C4" w14:textId="77777777" w:rsidR="00AB3E61" w:rsidRDefault="00AB3E61"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790D5E" w:rsidRDefault="00790D5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3BEB">
              <w:rPr>
                <w:b/>
                <w:bCs/>
                <w:noProof/>
              </w:rPr>
              <w:t>20</w:t>
            </w:r>
            <w:r>
              <w:rPr>
                <w:b/>
                <w:bCs/>
                <w:sz w:val="24"/>
                <w:szCs w:val="24"/>
              </w:rPr>
              <w:fldChar w:fldCharType="end"/>
            </w:r>
          </w:p>
        </w:sdtContent>
      </w:sdt>
    </w:sdtContent>
  </w:sdt>
  <w:p w14:paraId="16BDDDFD" w14:textId="77777777" w:rsidR="00790D5E" w:rsidRDefault="00790D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790D5E" w:rsidRDefault="00790D5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3BEB">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3BEB">
              <w:rPr>
                <w:b/>
                <w:bCs/>
                <w:noProof/>
              </w:rPr>
              <w:t>20</w:t>
            </w:r>
            <w:r>
              <w:rPr>
                <w:b/>
                <w:bCs/>
                <w:sz w:val="24"/>
                <w:szCs w:val="24"/>
              </w:rPr>
              <w:fldChar w:fldCharType="end"/>
            </w:r>
          </w:p>
        </w:sdtContent>
      </w:sdt>
    </w:sdtContent>
  </w:sdt>
  <w:p w14:paraId="480CB874" w14:textId="77777777" w:rsidR="00790D5E" w:rsidRDefault="00790D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790D5E" w:rsidRDefault="00790D5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3BE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3BEB">
              <w:rPr>
                <w:b/>
                <w:bCs/>
                <w:noProof/>
              </w:rPr>
              <w:t>20</w:t>
            </w:r>
            <w:r>
              <w:rPr>
                <w:b/>
                <w:bCs/>
                <w:sz w:val="24"/>
                <w:szCs w:val="24"/>
              </w:rPr>
              <w:fldChar w:fldCharType="end"/>
            </w:r>
          </w:p>
        </w:sdtContent>
      </w:sdt>
    </w:sdtContent>
  </w:sdt>
  <w:p w14:paraId="604FB1E6" w14:textId="77777777" w:rsidR="00790D5E" w:rsidRDefault="00790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952B" w14:textId="77777777" w:rsidR="00AB3E61" w:rsidRDefault="00AB3E61" w:rsidP="00EC77D9">
      <w:pPr>
        <w:spacing w:after="0" w:line="240" w:lineRule="auto"/>
      </w:pPr>
      <w:r>
        <w:separator/>
      </w:r>
    </w:p>
  </w:footnote>
  <w:footnote w:type="continuationSeparator" w:id="0">
    <w:p w14:paraId="60A0F79F" w14:textId="77777777" w:rsidR="00AB3E61" w:rsidRDefault="00AB3E61"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790D5E" w:rsidRPr="00E152D8" w14:paraId="4A0009A6" w14:textId="77777777" w:rsidTr="00F34E0A">
      <w:trPr>
        <w:trHeight w:val="132"/>
      </w:trPr>
      <w:tc>
        <w:tcPr>
          <w:tcW w:w="2691" w:type="dxa"/>
        </w:tcPr>
        <w:p w14:paraId="76E98208" w14:textId="77777777" w:rsidR="00790D5E" w:rsidRPr="00E152D8" w:rsidRDefault="00790D5E" w:rsidP="00F34E0A">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790D5E" w:rsidRPr="00EE1572" w:rsidRDefault="00790D5E" w:rsidP="00F34E0A">
          <w:pPr>
            <w:tabs>
              <w:tab w:val="right" w:pos="8838"/>
            </w:tabs>
            <w:ind w:left="-28" w:right="-32"/>
            <w:rPr>
              <w:rFonts w:eastAsia="Calibri" w:cs="Tahoma"/>
            </w:rPr>
          </w:pPr>
          <w:r w:rsidRPr="00EE1572">
            <w:rPr>
              <w:rFonts w:eastAsia="Calibri" w:cs="Tahoma"/>
            </w:rPr>
            <w:t>03846/INFOEM/IP/RR/2020</w:t>
          </w:r>
        </w:p>
      </w:tc>
    </w:tr>
    <w:tr w:rsidR="00790D5E" w:rsidRPr="00E152D8" w14:paraId="4AB4C711" w14:textId="77777777" w:rsidTr="00F34E0A">
      <w:trPr>
        <w:trHeight w:val="261"/>
      </w:trPr>
      <w:tc>
        <w:tcPr>
          <w:tcW w:w="2691" w:type="dxa"/>
        </w:tcPr>
        <w:p w14:paraId="7E7EF0C1" w14:textId="77777777" w:rsidR="00790D5E" w:rsidRPr="00E152D8" w:rsidRDefault="00790D5E"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790D5E" w:rsidRPr="00EE1572" w:rsidRDefault="00790D5E" w:rsidP="00F34E0A">
          <w:pPr>
            <w:tabs>
              <w:tab w:val="right" w:pos="8838"/>
            </w:tabs>
            <w:ind w:right="-32"/>
            <w:rPr>
              <w:rFonts w:eastAsia="Calibri" w:cs="Tahoma"/>
              <w:lang w:val="es-MX"/>
            </w:rPr>
          </w:pPr>
          <w:r>
            <w:rPr>
              <w:rFonts w:eastAsia="Calibri" w:cs="Tahoma"/>
              <w:lang w:val="es-MX"/>
            </w:rPr>
            <w:t>Ayuntamiento de Valle de Chalco Solidaridad</w:t>
          </w:r>
        </w:p>
      </w:tc>
    </w:tr>
    <w:tr w:rsidR="00790D5E" w:rsidRPr="00E152D8" w14:paraId="4659C8A1" w14:textId="77777777" w:rsidTr="00F34E0A">
      <w:trPr>
        <w:trHeight w:val="261"/>
      </w:trPr>
      <w:tc>
        <w:tcPr>
          <w:tcW w:w="2691" w:type="dxa"/>
        </w:tcPr>
        <w:p w14:paraId="1445B823" w14:textId="77777777" w:rsidR="00790D5E" w:rsidRPr="00E152D8" w:rsidRDefault="00790D5E" w:rsidP="00F34E0A">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790D5E" w:rsidRPr="00E152D8" w:rsidRDefault="00790D5E" w:rsidP="00F34E0A">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790D5E" w:rsidRDefault="00AB3E61">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9323" w14:textId="77777777" w:rsidR="00790D5E" w:rsidRDefault="00790D5E"/>
  <w:tbl>
    <w:tblPr>
      <w:tblStyle w:val="Tablaconcuadrcula"/>
      <w:tblW w:w="6804"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790D5E" w:rsidRPr="00E152D8" w14:paraId="62A5EE36" w14:textId="77777777" w:rsidTr="00E86948">
      <w:trPr>
        <w:trHeight w:val="138"/>
      </w:trPr>
      <w:tc>
        <w:tcPr>
          <w:tcW w:w="2401" w:type="dxa"/>
          <w:vAlign w:val="center"/>
        </w:tcPr>
        <w:p w14:paraId="028A99F9" w14:textId="77777777" w:rsidR="00790D5E" w:rsidRPr="00E152D8" w:rsidRDefault="00790D5E" w:rsidP="00F34E0A">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47D3F5F5" w:rsidR="00790D5E" w:rsidRPr="00051642" w:rsidRDefault="00790D5E" w:rsidP="00F34E0A">
          <w:pPr>
            <w:tabs>
              <w:tab w:val="right" w:pos="8838"/>
            </w:tabs>
            <w:ind w:right="-32"/>
            <w:rPr>
              <w:rFonts w:eastAsia="Calibri" w:cs="Tahoma"/>
            </w:rPr>
          </w:pPr>
          <w:r>
            <w:rPr>
              <w:rFonts w:eastAsia="Calibri" w:cs="Tahoma"/>
              <w:lang w:val="es-MX"/>
            </w:rPr>
            <w:t>01861/INFOEM/IP/RR/2025</w:t>
          </w:r>
        </w:p>
      </w:tc>
    </w:tr>
    <w:tr w:rsidR="00790D5E" w:rsidRPr="00E152D8" w14:paraId="25EB3B4F" w14:textId="77777777" w:rsidTr="00E86948">
      <w:trPr>
        <w:trHeight w:val="273"/>
      </w:trPr>
      <w:tc>
        <w:tcPr>
          <w:tcW w:w="2401" w:type="dxa"/>
        </w:tcPr>
        <w:p w14:paraId="12B07625" w14:textId="77777777" w:rsidR="00790D5E" w:rsidRPr="00E152D8" w:rsidRDefault="00790D5E"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47461B13" w:rsidR="00790D5E" w:rsidRPr="00051642" w:rsidRDefault="00133F9E" w:rsidP="004E73CE">
          <w:pPr>
            <w:tabs>
              <w:tab w:val="right" w:pos="8838"/>
            </w:tabs>
            <w:ind w:left="-28" w:right="-32"/>
            <w:rPr>
              <w:rFonts w:eastAsia="Calibri" w:cs="Tahoma"/>
              <w:lang w:val="es-MX"/>
            </w:rPr>
          </w:pPr>
          <w:r>
            <w:rPr>
              <w:rFonts w:eastAsia="Calibri" w:cs="Tahoma"/>
              <w:lang w:val="es-MX"/>
            </w:rPr>
            <w:t>Ayuntamiento de la Paz</w:t>
          </w:r>
        </w:p>
      </w:tc>
    </w:tr>
    <w:tr w:rsidR="00790D5E" w:rsidRPr="00E152D8" w14:paraId="2B76E1FC" w14:textId="77777777" w:rsidTr="00E86948">
      <w:trPr>
        <w:trHeight w:val="273"/>
      </w:trPr>
      <w:tc>
        <w:tcPr>
          <w:tcW w:w="2401" w:type="dxa"/>
        </w:tcPr>
        <w:p w14:paraId="4C4F10A1" w14:textId="77777777" w:rsidR="00790D5E" w:rsidRPr="00E152D8" w:rsidRDefault="00790D5E"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77777777" w:rsidR="00790D5E" w:rsidRPr="00E152D8" w:rsidRDefault="00790D5E" w:rsidP="009E6F8A">
          <w:pPr>
            <w:tabs>
              <w:tab w:val="right" w:pos="8838"/>
            </w:tabs>
            <w:ind w:left="-28" w:right="-32"/>
            <w:rPr>
              <w:rFonts w:eastAsia="Calibri" w:cs="Tahoma"/>
              <w:b/>
              <w:lang w:val="es-MX"/>
            </w:rPr>
          </w:pPr>
          <w:r w:rsidRPr="00E152D8">
            <w:rPr>
              <w:rFonts w:eastAsia="Calibri" w:cs="Tahoma"/>
              <w:lang w:val="es-MX"/>
            </w:rPr>
            <w:t>Luis Gustavo Parra Noriega</w:t>
          </w:r>
        </w:p>
      </w:tc>
    </w:tr>
  </w:tbl>
  <w:p w14:paraId="0AC850F3" w14:textId="77777777" w:rsidR="00790D5E" w:rsidRDefault="00AB3E61" w:rsidP="00F34E0A">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AD62" w14:textId="77777777" w:rsidR="00790D5E" w:rsidRDefault="00790D5E"/>
  <w:tbl>
    <w:tblPr>
      <w:tblStyle w:val="Tablaconcuadrcula"/>
      <w:tblW w:w="6950"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790D5E" w:rsidRPr="00E152D8" w14:paraId="03E85E0E" w14:textId="77777777" w:rsidTr="00E86948">
      <w:trPr>
        <w:trHeight w:val="132"/>
      </w:trPr>
      <w:tc>
        <w:tcPr>
          <w:tcW w:w="2410" w:type="dxa"/>
        </w:tcPr>
        <w:p w14:paraId="67360501" w14:textId="1B94502D" w:rsidR="00790D5E" w:rsidRPr="00E152D8" w:rsidRDefault="00790D5E" w:rsidP="00F34E0A">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540" w:type="dxa"/>
          <w:gridSpan w:val="2"/>
        </w:tcPr>
        <w:p w14:paraId="1E6AD7E0" w14:textId="0FC195C0" w:rsidR="00790D5E" w:rsidRPr="00051642" w:rsidRDefault="00790D5E" w:rsidP="009B3229">
          <w:pPr>
            <w:tabs>
              <w:tab w:val="right" w:pos="8838"/>
            </w:tabs>
            <w:ind w:right="-32"/>
            <w:rPr>
              <w:rFonts w:eastAsia="Calibri" w:cs="Tahoma"/>
            </w:rPr>
          </w:pPr>
          <w:r w:rsidRPr="00E51EF0">
            <w:rPr>
              <w:rFonts w:eastAsia="Calibri" w:cs="Tahoma"/>
              <w:lang w:val="es-MX"/>
            </w:rPr>
            <w:t>01861/INFOEM/IP/RR/2025</w:t>
          </w:r>
        </w:p>
      </w:tc>
    </w:tr>
    <w:tr w:rsidR="00790D5E" w:rsidRPr="00E152D8" w14:paraId="5E1FE5FD" w14:textId="77777777" w:rsidTr="00E86948">
      <w:trPr>
        <w:trHeight w:val="132"/>
      </w:trPr>
      <w:tc>
        <w:tcPr>
          <w:tcW w:w="2410" w:type="dxa"/>
        </w:tcPr>
        <w:p w14:paraId="046D02FA" w14:textId="77777777" w:rsidR="00790D5E" w:rsidRPr="004E73CE" w:rsidRDefault="00790D5E" w:rsidP="004E73CE">
          <w:pPr>
            <w:tabs>
              <w:tab w:val="right" w:pos="8838"/>
            </w:tabs>
            <w:ind w:right="-32"/>
            <w:rPr>
              <w:rFonts w:eastAsia="Calibri" w:cs="Tahoma"/>
              <w:b/>
              <w:lang w:val="es-MX"/>
            </w:rPr>
          </w:pPr>
          <w:r w:rsidRPr="004E73CE">
            <w:rPr>
              <w:rFonts w:eastAsia="Calibri" w:cs="Tahoma"/>
              <w:b/>
              <w:lang w:val="es-MX"/>
            </w:rPr>
            <w:t>Recurrente:</w:t>
          </w:r>
          <w:r w:rsidRPr="004E73CE">
            <w:rPr>
              <w:rFonts w:eastAsia="Calibri" w:cs="Tahoma"/>
              <w:b/>
              <w:lang w:val="es-MX"/>
            </w:rPr>
            <w:tab/>
          </w:r>
        </w:p>
      </w:tc>
      <w:tc>
        <w:tcPr>
          <w:tcW w:w="4540" w:type="dxa"/>
          <w:gridSpan w:val="2"/>
        </w:tcPr>
        <w:p w14:paraId="6517D3A9" w14:textId="4E4ECF33" w:rsidR="00790D5E" w:rsidRPr="00E152D8" w:rsidRDefault="00702314" w:rsidP="004E73CE">
          <w:pPr>
            <w:tabs>
              <w:tab w:val="right" w:pos="8838"/>
            </w:tabs>
            <w:ind w:right="-32"/>
            <w:rPr>
              <w:rFonts w:eastAsia="Calibri" w:cs="Tahoma"/>
              <w:lang w:val="es-MX"/>
            </w:rPr>
          </w:pPr>
          <w:r w:rsidRPr="00702314">
            <w:rPr>
              <w:rFonts w:eastAsia="Calibri" w:cs="Tahoma"/>
              <w:highlight w:val="black"/>
              <w:lang w:val="es-MX"/>
            </w:rPr>
            <w:t>XXXXXXX</w:t>
          </w:r>
        </w:p>
      </w:tc>
    </w:tr>
    <w:tr w:rsidR="00790D5E" w:rsidRPr="00E152D8" w14:paraId="55B580D4" w14:textId="77777777" w:rsidTr="00E86948">
      <w:trPr>
        <w:gridAfter w:val="1"/>
        <w:wAfter w:w="429" w:type="dxa"/>
        <w:trHeight w:val="261"/>
      </w:trPr>
      <w:tc>
        <w:tcPr>
          <w:tcW w:w="2410" w:type="dxa"/>
        </w:tcPr>
        <w:p w14:paraId="08C714D2" w14:textId="77777777" w:rsidR="00790D5E" w:rsidRPr="00E152D8" w:rsidRDefault="00790D5E"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58768412" w14:textId="233FF0CF" w:rsidR="00790D5E" w:rsidRPr="00FD6846" w:rsidRDefault="00133F9E" w:rsidP="00197665">
          <w:pPr>
            <w:tabs>
              <w:tab w:val="right" w:pos="8838"/>
            </w:tabs>
            <w:ind w:right="-32"/>
          </w:pPr>
          <w:r>
            <w:rPr>
              <w:rFonts w:eastAsia="Calibri" w:cs="Tahoma"/>
              <w:lang w:val="es-MX"/>
            </w:rPr>
            <w:t>Ayuntamiento de la Paz</w:t>
          </w:r>
        </w:p>
      </w:tc>
    </w:tr>
    <w:tr w:rsidR="00790D5E" w:rsidRPr="00E152D8" w14:paraId="3EC166B6" w14:textId="77777777" w:rsidTr="00E86948">
      <w:trPr>
        <w:trHeight w:val="261"/>
      </w:trPr>
      <w:tc>
        <w:tcPr>
          <w:tcW w:w="2410" w:type="dxa"/>
        </w:tcPr>
        <w:p w14:paraId="2F1C1A23" w14:textId="77777777" w:rsidR="00790D5E" w:rsidRPr="00E152D8" w:rsidRDefault="00790D5E" w:rsidP="00F34E0A">
          <w:pPr>
            <w:tabs>
              <w:tab w:val="right" w:pos="8838"/>
            </w:tabs>
            <w:ind w:right="-105"/>
            <w:rPr>
              <w:rFonts w:eastAsia="Calibri" w:cs="Tahoma"/>
              <w:b/>
              <w:lang w:val="es-MX"/>
            </w:rPr>
          </w:pPr>
          <w:r w:rsidRPr="00E152D8">
            <w:rPr>
              <w:rFonts w:eastAsia="Calibri" w:cs="Tahoma"/>
              <w:b/>
              <w:lang w:val="es-MX"/>
            </w:rPr>
            <w:t>Comisionado Ponente:</w:t>
          </w:r>
        </w:p>
      </w:tc>
      <w:tc>
        <w:tcPr>
          <w:tcW w:w="4540" w:type="dxa"/>
          <w:gridSpan w:val="2"/>
        </w:tcPr>
        <w:p w14:paraId="64237160" w14:textId="77777777" w:rsidR="00790D5E" w:rsidRPr="00E152D8" w:rsidRDefault="00790D5E"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790D5E" w:rsidRDefault="00AB3E61" w:rsidP="00F34E0A">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65C"/>
    <w:multiLevelType w:val="hybridMultilevel"/>
    <w:tmpl w:val="DD6AE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12A450F"/>
    <w:multiLevelType w:val="hybridMultilevel"/>
    <w:tmpl w:val="3A508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CA742D"/>
    <w:multiLevelType w:val="hybridMultilevel"/>
    <w:tmpl w:val="76AAFE1E"/>
    <w:lvl w:ilvl="0" w:tplc="9C4A5F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854B3D"/>
    <w:multiLevelType w:val="hybridMultilevel"/>
    <w:tmpl w:val="6902FC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8153116"/>
    <w:multiLevelType w:val="hybridMultilevel"/>
    <w:tmpl w:val="D206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574845"/>
    <w:multiLevelType w:val="hybridMultilevel"/>
    <w:tmpl w:val="9E14D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E3890"/>
    <w:multiLevelType w:val="hybridMultilevel"/>
    <w:tmpl w:val="6BE4A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D94450C"/>
    <w:multiLevelType w:val="hybridMultilevel"/>
    <w:tmpl w:val="5100DE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7"/>
  </w:num>
  <w:num w:numId="5">
    <w:abstractNumId w:val="1"/>
  </w:num>
  <w:num w:numId="6">
    <w:abstractNumId w:val="11"/>
  </w:num>
  <w:num w:numId="7">
    <w:abstractNumId w:val="14"/>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4"/>
  </w:num>
  <w:num w:numId="13">
    <w:abstractNumId w:val="9"/>
  </w:num>
  <w:num w:numId="14">
    <w:abstractNumId w:val="12"/>
  </w:num>
  <w:num w:numId="15">
    <w:abstractNumId w:val="10"/>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00178"/>
    <w:rsid w:val="00002AB0"/>
    <w:rsid w:val="00002DA0"/>
    <w:rsid w:val="00005346"/>
    <w:rsid w:val="0001164A"/>
    <w:rsid w:val="000118C2"/>
    <w:rsid w:val="0001218F"/>
    <w:rsid w:val="00012400"/>
    <w:rsid w:val="00013F59"/>
    <w:rsid w:val="000144E2"/>
    <w:rsid w:val="00016654"/>
    <w:rsid w:val="00020AB8"/>
    <w:rsid w:val="00032952"/>
    <w:rsid w:val="000355E1"/>
    <w:rsid w:val="000374E9"/>
    <w:rsid w:val="0004033B"/>
    <w:rsid w:val="00042549"/>
    <w:rsid w:val="00042F3F"/>
    <w:rsid w:val="00047686"/>
    <w:rsid w:val="000512B5"/>
    <w:rsid w:val="00051EE6"/>
    <w:rsid w:val="00054D31"/>
    <w:rsid w:val="00055ECC"/>
    <w:rsid w:val="000615C6"/>
    <w:rsid w:val="00061DFC"/>
    <w:rsid w:val="00061E08"/>
    <w:rsid w:val="00063582"/>
    <w:rsid w:val="00066FDF"/>
    <w:rsid w:val="00070CB0"/>
    <w:rsid w:val="00071380"/>
    <w:rsid w:val="00073AD2"/>
    <w:rsid w:val="00077A6E"/>
    <w:rsid w:val="00077B14"/>
    <w:rsid w:val="00081C90"/>
    <w:rsid w:val="000823E5"/>
    <w:rsid w:val="00084522"/>
    <w:rsid w:val="00084933"/>
    <w:rsid w:val="00092121"/>
    <w:rsid w:val="0009234B"/>
    <w:rsid w:val="00094453"/>
    <w:rsid w:val="00094DB6"/>
    <w:rsid w:val="000964A3"/>
    <w:rsid w:val="00096C42"/>
    <w:rsid w:val="000A4685"/>
    <w:rsid w:val="000B1245"/>
    <w:rsid w:val="000B5550"/>
    <w:rsid w:val="000B5614"/>
    <w:rsid w:val="000B6867"/>
    <w:rsid w:val="000C006D"/>
    <w:rsid w:val="000C00CC"/>
    <w:rsid w:val="000C64B6"/>
    <w:rsid w:val="000D1D08"/>
    <w:rsid w:val="000D214C"/>
    <w:rsid w:val="000D30AB"/>
    <w:rsid w:val="000D34E7"/>
    <w:rsid w:val="000D3754"/>
    <w:rsid w:val="000D3D74"/>
    <w:rsid w:val="000D64A4"/>
    <w:rsid w:val="000E05B1"/>
    <w:rsid w:val="000E1203"/>
    <w:rsid w:val="000E12E9"/>
    <w:rsid w:val="000E20C2"/>
    <w:rsid w:val="000E6B78"/>
    <w:rsid w:val="000F08D4"/>
    <w:rsid w:val="000F4364"/>
    <w:rsid w:val="000F5705"/>
    <w:rsid w:val="000F62E3"/>
    <w:rsid w:val="000F6396"/>
    <w:rsid w:val="000F6C3B"/>
    <w:rsid w:val="000F7377"/>
    <w:rsid w:val="000F7477"/>
    <w:rsid w:val="000F7709"/>
    <w:rsid w:val="001049AC"/>
    <w:rsid w:val="00104B20"/>
    <w:rsid w:val="00107737"/>
    <w:rsid w:val="001132A0"/>
    <w:rsid w:val="00120610"/>
    <w:rsid w:val="00122140"/>
    <w:rsid w:val="00123122"/>
    <w:rsid w:val="001252D3"/>
    <w:rsid w:val="00127270"/>
    <w:rsid w:val="0013032C"/>
    <w:rsid w:val="00132209"/>
    <w:rsid w:val="0013258E"/>
    <w:rsid w:val="001327F2"/>
    <w:rsid w:val="00133F9E"/>
    <w:rsid w:val="0013697B"/>
    <w:rsid w:val="001400A3"/>
    <w:rsid w:val="00140FE8"/>
    <w:rsid w:val="001448D9"/>
    <w:rsid w:val="00152DB9"/>
    <w:rsid w:val="001570AC"/>
    <w:rsid w:val="001613C8"/>
    <w:rsid w:val="00165240"/>
    <w:rsid w:val="00165CC4"/>
    <w:rsid w:val="001700C7"/>
    <w:rsid w:val="00172038"/>
    <w:rsid w:val="00172233"/>
    <w:rsid w:val="00173914"/>
    <w:rsid w:val="001756F2"/>
    <w:rsid w:val="00180096"/>
    <w:rsid w:val="00182C11"/>
    <w:rsid w:val="00185104"/>
    <w:rsid w:val="001855D3"/>
    <w:rsid w:val="0019039F"/>
    <w:rsid w:val="00191FDE"/>
    <w:rsid w:val="001928BD"/>
    <w:rsid w:val="00194952"/>
    <w:rsid w:val="001952CF"/>
    <w:rsid w:val="00196794"/>
    <w:rsid w:val="00197665"/>
    <w:rsid w:val="00197E2A"/>
    <w:rsid w:val="001A6395"/>
    <w:rsid w:val="001A7755"/>
    <w:rsid w:val="001B0790"/>
    <w:rsid w:val="001B223B"/>
    <w:rsid w:val="001B6A39"/>
    <w:rsid w:val="001C21EE"/>
    <w:rsid w:val="001C2619"/>
    <w:rsid w:val="001C2EBC"/>
    <w:rsid w:val="001C62B4"/>
    <w:rsid w:val="001C7C96"/>
    <w:rsid w:val="001D0453"/>
    <w:rsid w:val="001D3031"/>
    <w:rsid w:val="001D7434"/>
    <w:rsid w:val="001E01FD"/>
    <w:rsid w:val="001E07C0"/>
    <w:rsid w:val="001E0CFE"/>
    <w:rsid w:val="001E478B"/>
    <w:rsid w:val="001E5E4A"/>
    <w:rsid w:val="001E69B5"/>
    <w:rsid w:val="001F1688"/>
    <w:rsid w:val="001F1B13"/>
    <w:rsid w:val="001F55A5"/>
    <w:rsid w:val="001F560E"/>
    <w:rsid w:val="001F6AAF"/>
    <w:rsid w:val="0020058C"/>
    <w:rsid w:val="002031DD"/>
    <w:rsid w:val="002049A1"/>
    <w:rsid w:val="002049A7"/>
    <w:rsid w:val="00206B4A"/>
    <w:rsid w:val="00207C6F"/>
    <w:rsid w:val="00220B1D"/>
    <w:rsid w:val="002245BC"/>
    <w:rsid w:val="00232DCC"/>
    <w:rsid w:val="00237AD0"/>
    <w:rsid w:val="0024566F"/>
    <w:rsid w:val="002552D9"/>
    <w:rsid w:val="00255743"/>
    <w:rsid w:val="00255DE0"/>
    <w:rsid w:val="00265193"/>
    <w:rsid w:val="00265B53"/>
    <w:rsid w:val="00270575"/>
    <w:rsid w:val="002708CA"/>
    <w:rsid w:val="002711D3"/>
    <w:rsid w:val="002736F9"/>
    <w:rsid w:val="002753AC"/>
    <w:rsid w:val="002762F3"/>
    <w:rsid w:val="002771B1"/>
    <w:rsid w:val="00281566"/>
    <w:rsid w:val="0028160B"/>
    <w:rsid w:val="0028211E"/>
    <w:rsid w:val="0029016A"/>
    <w:rsid w:val="002912C0"/>
    <w:rsid w:val="00292591"/>
    <w:rsid w:val="00293B70"/>
    <w:rsid w:val="002945EF"/>
    <w:rsid w:val="0029541E"/>
    <w:rsid w:val="0029791B"/>
    <w:rsid w:val="002A2639"/>
    <w:rsid w:val="002A2920"/>
    <w:rsid w:val="002A5550"/>
    <w:rsid w:val="002A5660"/>
    <w:rsid w:val="002A6F8F"/>
    <w:rsid w:val="002A7380"/>
    <w:rsid w:val="002B2A85"/>
    <w:rsid w:val="002B2DFE"/>
    <w:rsid w:val="002B5F46"/>
    <w:rsid w:val="002B67F9"/>
    <w:rsid w:val="002D034A"/>
    <w:rsid w:val="002D11E1"/>
    <w:rsid w:val="002D2283"/>
    <w:rsid w:val="002D4674"/>
    <w:rsid w:val="002E19CF"/>
    <w:rsid w:val="002E44C3"/>
    <w:rsid w:val="002E4B22"/>
    <w:rsid w:val="002E6038"/>
    <w:rsid w:val="002F07DF"/>
    <w:rsid w:val="002F34C3"/>
    <w:rsid w:val="002F48EA"/>
    <w:rsid w:val="003044BA"/>
    <w:rsid w:val="00304AD6"/>
    <w:rsid w:val="00311A16"/>
    <w:rsid w:val="00311C91"/>
    <w:rsid w:val="00320553"/>
    <w:rsid w:val="003219DA"/>
    <w:rsid w:val="003233F0"/>
    <w:rsid w:val="00324215"/>
    <w:rsid w:val="00324F7C"/>
    <w:rsid w:val="00327371"/>
    <w:rsid w:val="003318DB"/>
    <w:rsid w:val="00334E76"/>
    <w:rsid w:val="00341434"/>
    <w:rsid w:val="00341982"/>
    <w:rsid w:val="00344C97"/>
    <w:rsid w:val="0034595E"/>
    <w:rsid w:val="003459B3"/>
    <w:rsid w:val="00345CD3"/>
    <w:rsid w:val="00355FC7"/>
    <w:rsid w:val="0035655F"/>
    <w:rsid w:val="00356A74"/>
    <w:rsid w:val="003573E6"/>
    <w:rsid w:val="00361155"/>
    <w:rsid w:val="00361D01"/>
    <w:rsid w:val="003644DC"/>
    <w:rsid w:val="00364B33"/>
    <w:rsid w:val="003672E3"/>
    <w:rsid w:val="00372CF6"/>
    <w:rsid w:val="00375AEB"/>
    <w:rsid w:val="00377F05"/>
    <w:rsid w:val="003810F6"/>
    <w:rsid w:val="00382767"/>
    <w:rsid w:val="00383F4C"/>
    <w:rsid w:val="00392509"/>
    <w:rsid w:val="00392B31"/>
    <w:rsid w:val="00393B51"/>
    <w:rsid w:val="0039476D"/>
    <w:rsid w:val="00394979"/>
    <w:rsid w:val="00394EBC"/>
    <w:rsid w:val="003A16C1"/>
    <w:rsid w:val="003A1D06"/>
    <w:rsid w:val="003A280A"/>
    <w:rsid w:val="003A2DD8"/>
    <w:rsid w:val="003A3736"/>
    <w:rsid w:val="003A3D30"/>
    <w:rsid w:val="003B121B"/>
    <w:rsid w:val="003B1CBE"/>
    <w:rsid w:val="003B444F"/>
    <w:rsid w:val="003B4BC4"/>
    <w:rsid w:val="003B66D4"/>
    <w:rsid w:val="003B7EAA"/>
    <w:rsid w:val="003C2350"/>
    <w:rsid w:val="003C2F7C"/>
    <w:rsid w:val="003C39F9"/>
    <w:rsid w:val="003C7592"/>
    <w:rsid w:val="003D0090"/>
    <w:rsid w:val="003D0737"/>
    <w:rsid w:val="003D0B51"/>
    <w:rsid w:val="003D130A"/>
    <w:rsid w:val="003D3877"/>
    <w:rsid w:val="003D3AD3"/>
    <w:rsid w:val="003D4253"/>
    <w:rsid w:val="003D4DFE"/>
    <w:rsid w:val="003D7C2C"/>
    <w:rsid w:val="003D7C8B"/>
    <w:rsid w:val="003E263F"/>
    <w:rsid w:val="003E3B2A"/>
    <w:rsid w:val="003E5DCB"/>
    <w:rsid w:val="004003DF"/>
    <w:rsid w:val="0040057B"/>
    <w:rsid w:val="0040331B"/>
    <w:rsid w:val="00404187"/>
    <w:rsid w:val="00404348"/>
    <w:rsid w:val="00405044"/>
    <w:rsid w:val="004061A3"/>
    <w:rsid w:val="004063F9"/>
    <w:rsid w:val="00407974"/>
    <w:rsid w:val="004100AC"/>
    <w:rsid w:val="004224F1"/>
    <w:rsid w:val="00427609"/>
    <w:rsid w:val="00430E8A"/>
    <w:rsid w:val="00431452"/>
    <w:rsid w:val="00431D14"/>
    <w:rsid w:val="00434EA5"/>
    <w:rsid w:val="00435EA7"/>
    <w:rsid w:val="00437156"/>
    <w:rsid w:val="00437331"/>
    <w:rsid w:val="00443F0D"/>
    <w:rsid w:val="004453F4"/>
    <w:rsid w:val="00451C54"/>
    <w:rsid w:val="004520C8"/>
    <w:rsid w:val="00453584"/>
    <w:rsid w:val="00453BEB"/>
    <w:rsid w:val="00454CCA"/>
    <w:rsid w:val="004617CA"/>
    <w:rsid w:val="00463532"/>
    <w:rsid w:val="004655A7"/>
    <w:rsid w:val="00470FD1"/>
    <w:rsid w:val="0047171C"/>
    <w:rsid w:val="00471720"/>
    <w:rsid w:val="004732B4"/>
    <w:rsid w:val="004850BB"/>
    <w:rsid w:val="00487553"/>
    <w:rsid w:val="004902BE"/>
    <w:rsid w:val="0049048A"/>
    <w:rsid w:val="00494A1F"/>
    <w:rsid w:val="00494ADB"/>
    <w:rsid w:val="004957E2"/>
    <w:rsid w:val="004A0FB2"/>
    <w:rsid w:val="004A5EC7"/>
    <w:rsid w:val="004A7050"/>
    <w:rsid w:val="004B20E0"/>
    <w:rsid w:val="004B54D0"/>
    <w:rsid w:val="004B7098"/>
    <w:rsid w:val="004B7612"/>
    <w:rsid w:val="004C09DA"/>
    <w:rsid w:val="004C139E"/>
    <w:rsid w:val="004C2175"/>
    <w:rsid w:val="004C2C37"/>
    <w:rsid w:val="004C6C16"/>
    <w:rsid w:val="004D09B9"/>
    <w:rsid w:val="004D33FF"/>
    <w:rsid w:val="004D526B"/>
    <w:rsid w:val="004D5B25"/>
    <w:rsid w:val="004D7869"/>
    <w:rsid w:val="004E44D2"/>
    <w:rsid w:val="004E4BC7"/>
    <w:rsid w:val="004E5AED"/>
    <w:rsid w:val="004E73CE"/>
    <w:rsid w:val="004F0E43"/>
    <w:rsid w:val="004F4D4E"/>
    <w:rsid w:val="004F7F38"/>
    <w:rsid w:val="00502FA9"/>
    <w:rsid w:val="00504617"/>
    <w:rsid w:val="005057E9"/>
    <w:rsid w:val="0050747C"/>
    <w:rsid w:val="00511A67"/>
    <w:rsid w:val="00515860"/>
    <w:rsid w:val="00520569"/>
    <w:rsid w:val="00520E25"/>
    <w:rsid w:val="00526532"/>
    <w:rsid w:val="00531689"/>
    <w:rsid w:val="00533430"/>
    <w:rsid w:val="0053490D"/>
    <w:rsid w:val="00537966"/>
    <w:rsid w:val="0054037C"/>
    <w:rsid w:val="00541CD3"/>
    <w:rsid w:val="00543143"/>
    <w:rsid w:val="005439B3"/>
    <w:rsid w:val="0054421E"/>
    <w:rsid w:val="0054509E"/>
    <w:rsid w:val="00545CEE"/>
    <w:rsid w:val="005477C1"/>
    <w:rsid w:val="00551348"/>
    <w:rsid w:val="00551D7E"/>
    <w:rsid w:val="0055491F"/>
    <w:rsid w:val="00555330"/>
    <w:rsid w:val="005556DE"/>
    <w:rsid w:val="00563865"/>
    <w:rsid w:val="005647A2"/>
    <w:rsid w:val="00565D80"/>
    <w:rsid w:val="00577C8E"/>
    <w:rsid w:val="0058579C"/>
    <w:rsid w:val="0059130C"/>
    <w:rsid w:val="00591706"/>
    <w:rsid w:val="005923D2"/>
    <w:rsid w:val="00594920"/>
    <w:rsid w:val="005A0B5F"/>
    <w:rsid w:val="005A0CE3"/>
    <w:rsid w:val="005A21DB"/>
    <w:rsid w:val="005A2DBB"/>
    <w:rsid w:val="005B14D2"/>
    <w:rsid w:val="005B1A75"/>
    <w:rsid w:val="005B351C"/>
    <w:rsid w:val="005B6354"/>
    <w:rsid w:val="005B709F"/>
    <w:rsid w:val="005B78CE"/>
    <w:rsid w:val="005D1AB8"/>
    <w:rsid w:val="005D3BC9"/>
    <w:rsid w:val="005D6A89"/>
    <w:rsid w:val="005D788F"/>
    <w:rsid w:val="005E24DB"/>
    <w:rsid w:val="005E24F8"/>
    <w:rsid w:val="005E310D"/>
    <w:rsid w:val="005E34EA"/>
    <w:rsid w:val="005E6021"/>
    <w:rsid w:val="005E7AE7"/>
    <w:rsid w:val="005F3E3D"/>
    <w:rsid w:val="005F4789"/>
    <w:rsid w:val="005F5459"/>
    <w:rsid w:val="005F68B9"/>
    <w:rsid w:val="005F71FE"/>
    <w:rsid w:val="005F7AB9"/>
    <w:rsid w:val="00601AF0"/>
    <w:rsid w:val="0060301A"/>
    <w:rsid w:val="00603286"/>
    <w:rsid w:val="00605FAD"/>
    <w:rsid w:val="006069B1"/>
    <w:rsid w:val="00610BB9"/>
    <w:rsid w:val="006120A3"/>
    <w:rsid w:val="00617C09"/>
    <w:rsid w:val="00617C0F"/>
    <w:rsid w:val="00621B46"/>
    <w:rsid w:val="006301F7"/>
    <w:rsid w:val="00634B59"/>
    <w:rsid w:val="00636809"/>
    <w:rsid w:val="006502FE"/>
    <w:rsid w:val="00657F1C"/>
    <w:rsid w:val="006607EA"/>
    <w:rsid w:val="006654FC"/>
    <w:rsid w:val="00666AA9"/>
    <w:rsid w:val="00667419"/>
    <w:rsid w:val="00667F19"/>
    <w:rsid w:val="00670BBA"/>
    <w:rsid w:val="006724BD"/>
    <w:rsid w:val="00672A52"/>
    <w:rsid w:val="00672FE0"/>
    <w:rsid w:val="00681069"/>
    <w:rsid w:val="00683D04"/>
    <w:rsid w:val="00683E00"/>
    <w:rsid w:val="00683FC3"/>
    <w:rsid w:val="0068447E"/>
    <w:rsid w:val="00686C69"/>
    <w:rsid w:val="00687A5B"/>
    <w:rsid w:val="00695D3F"/>
    <w:rsid w:val="006A0DD0"/>
    <w:rsid w:val="006A117F"/>
    <w:rsid w:val="006A271A"/>
    <w:rsid w:val="006A52AF"/>
    <w:rsid w:val="006A54DA"/>
    <w:rsid w:val="006A7D41"/>
    <w:rsid w:val="006B2DBE"/>
    <w:rsid w:val="006C291D"/>
    <w:rsid w:val="006C35BB"/>
    <w:rsid w:val="006C3EF4"/>
    <w:rsid w:val="006C4C51"/>
    <w:rsid w:val="006C5476"/>
    <w:rsid w:val="006C78B0"/>
    <w:rsid w:val="006D607E"/>
    <w:rsid w:val="006D72E9"/>
    <w:rsid w:val="006E3C98"/>
    <w:rsid w:val="006E4169"/>
    <w:rsid w:val="006E4CE6"/>
    <w:rsid w:val="006F011A"/>
    <w:rsid w:val="006F0B2A"/>
    <w:rsid w:val="006F1C52"/>
    <w:rsid w:val="006F1D63"/>
    <w:rsid w:val="006F6518"/>
    <w:rsid w:val="00702314"/>
    <w:rsid w:val="00703548"/>
    <w:rsid w:val="00703C07"/>
    <w:rsid w:val="00703C9F"/>
    <w:rsid w:val="0070685D"/>
    <w:rsid w:val="0071529C"/>
    <w:rsid w:val="00716A83"/>
    <w:rsid w:val="007173BE"/>
    <w:rsid w:val="00717F92"/>
    <w:rsid w:val="007202EE"/>
    <w:rsid w:val="007221BA"/>
    <w:rsid w:val="0072251E"/>
    <w:rsid w:val="007252BC"/>
    <w:rsid w:val="0072796F"/>
    <w:rsid w:val="0073646F"/>
    <w:rsid w:val="00737A52"/>
    <w:rsid w:val="00737A6B"/>
    <w:rsid w:val="007505E8"/>
    <w:rsid w:val="00752F21"/>
    <w:rsid w:val="0075406E"/>
    <w:rsid w:val="00754711"/>
    <w:rsid w:val="0076755B"/>
    <w:rsid w:val="007727DE"/>
    <w:rsid w:val="00773098"/>
    <w:rsid w:val="0077314F"/>
    <w:rsid w:val="00773977"/>
    <w:rsid w:val="00774C31"/>
    <w:rsid w:val="00775A95"/>
    <w:rsid w:val="00775DBC"/>
    <w:rsid w:val="00780243"/>
    <w:rsid w:val="00780B8A"/>
    <w:rsid w:val="007811D0"/>
    <w:rsid w:val="00782DF8"/>
    <w:rsid w:val="00784FF6"/>
    <w:rsid w:val="00786A7B"/>
    <w:rsid w:val="00787D60"/>
    <w:rsid w:val="00790D5E"/>
    <w:rsid w:val="007913CC"/>
    <w:rsid w:val="00792D79"/>
    <w:rsid w:val="00793831"/>
    <w:rsid w:val="007A0DC6"/>
    <w:rsid w:val="007A5636"/>
    <w:rsid w:val="007B02AA"/>
    <w:rsid w:val="007B0D14"/>
    <w:rsid w:val="007B4060"/>
    <w:rsid w:val="007B5105"/>
    <w:rsid w:val="007B77CD"/>
    <w:rsid w:val="007B781E"/>
    <w:rsid w:val="007C1DD1"/>
    <w:rsid w:val="007C5E6F"/>
    <w:rsid w:val="007C5E89"/>
    <w:rsid w:val="007C7368"/>
    <w:rsid w:val="007C7B40"/>
    <w:rsid w:val="007D1ADE"/>
    <w:rsid w:val="007D32AF"/>
    <w:rsid w:val="007D3602"/>
    <w:rsid w:val="007D64DF"/>
    <w:rsid w:val="007D6E5D"/>
    <w:rsid w:val="007D71D0"/>
    <w:rsid w:val="007E4AAE"/>
    <w:rsid w:val="007E771E"/>
    <w:rsid w:val="007F1E03"/>
    <w:rsid w:val="007F20F1"/>
    <w:rsid w:val="007F228A"/>
    <w:rsid w:val="007F316A"/>
    <w:rsid w:val="00800152"/>
    <w:rsid w:val="00801331"/>
    <w:rsid w:val="00804735"/>
    <w:rsid w:val="008063AC"/>
    <w:rsid w:val="00806DB3"/>
    <w:rsid w:val="00807E43"/>
    <w:rsid w:val="00812612"/>
    <w:rsid w:val="008175CD"/>
    <w:rsid w:val="00817C75"/>
    <w:rsid w:val="00822B62"/>
    <w:rsid w:val="00822D03"/>
    <w:rsid w:val="00823825"/>
    <w:rsid w:val="008238C5"/>
    <w:rsid w:val="00824195"/>
    <w:rsid w:val="00824827"/>
    <w:rsid w:val="00825594"/>
    <w:rsid w:val="008263E3"/>
    <w:rsid w:val="00837814"/>
    <w:rsid w:val="00840587"/>
    <w:rsid w:val="00842C30"/>
    <w:rsid w:val="00844441"/>
    <w:rsid w:val="00845102"/>
    <w:rsid w:val="008462E0"/>
    <w:rsid w:val="00850E31"/>
    <w:rsid w:val="0085133C"/>
    <w:rsid w:val="00855CF6"/>
    <w:rsid w:val="00860287"/>
    <w:rsid w:val="0086489A"/>
    <w:rsid w:val="00871A8D"/>
    <w:rsid w:val="008851B3"/>
    <w:rsid w:val="00885EEA"/>
    <w:rsid w:val="008866A4"/>
    <w:rsid w:val="00886CD4"/>
    <w:rsid w:val="00890243"/>
    <w:rsid w:val="00893CB4"/>
    <w:rsid w:val="008942CE"/>
    <w:rsid w:val="00894760"/>
    <w:rsid w:val="00894B74"/>
    <w:rsid w:val="00895475"/>
    <w:rsid w:val="00896CD8"/>
    <w:rsid w:val="00896FB9"/>
    <w:rsid w:val="008A3936"/>
    <w:rsid w:val="008A558B"/>
    <w:rsid w:val="008A6086"/>
    <w:rsid w:val="008A6158"/>
    <w:rsid w:val="008A6E52"/>
    <w:rsid w:val="008B4387"/>
    <w:rsid w:val="008B60E3"/>
    <w:rsid w:val="008C1A3E"/>
    <w:rsid w:val="008C4CB3"/>
    <w:rsid w:val="008C576A"/>
    <w:rsid w:val="008C6F94"/>
    <w:rsid w:val="008C7A9D"/>
    <w:rsid w:val="008D4BF2"/>
    <w:rsid w:val="008D6C15"/>
    <w:rsid w:val="008E0E17"/>
    <w:rsid w:val="008E1582"/>
    <w:rsid w:val="008E3332"/>
    <w:rsid w:val="008E4F87"/>
    <w:rsid w:val="008E558B"/>
    <w:rsid w:val="008E5DEC"/>
    <w:rsid w:val="008E5F4B"/>
    <w:rsid w:val="008E78E6"/>
    <w:rsid w:val="008F179C"/>
    <w:rsid w:val="008F1933"/>
    <w:rsid w:val="008F5178"/>
    <w:rsid w:val="00904745"/>
    <w:rsid w:val="00910469"/>
    <w:rsid w:val="00911580"/>
    <w:rsid w:val="0091577C"/>
    <w:rsid w:val="00916765"/>
    <w:rsid w:val="00917C3C"/>
    <w:rsid w:val="009273E7"/>
    <w:rsid w:val="00931E64"/>
    <w:rsid w:val="00931EA9"/>
    <w:rsid w:val="0093261A"/>
    <w:rsid w:val="009337EE"/>
    <w:rsid w:val="009341FE"/>
    <w:rsid w:val="0093576C"/>
    <w:rsid w:val="00936C3A"/>
    <w:rsid w:val="00941D19"/>
    <w:rsid w:val="009428BC"/>
    <w:rsid w:val="009443DE"/>
    <w:rsid w:val="00945466"/>
    <w:rsid w:val="00950101"/>
    <w:rsid w:val="0095180B"/>
    <w:rsid w:val="0095381C"/>
    <w:rsid w:val="00953F07"/>
    <w:rsid w:val="009603B7"/>
    <w:rsid w:val="00963B00"/>
    <w:rsid w:val="0096478B"/>
    <w:rsid w:val="00966C3B"/>
    <w:rsid w:val="009673AA"/>
    <w:rsid w:val="00970AE3"/>
    <w:rsid w:val="009711D8"/>
    <w:rsid w:val="0097128D"/>
    <w:rsid w:val="00973B66"/>
    <w:rsid w:val="0097492D"/>
    <w:rsid w:val="00975E93"/>
    <w:rsid w:val="009813E7"/>
    <w:rsid w:val="00986275"/>
    <w:rsid w:val="009876BA"/>
    <w:rsid w:val="009933C5"/>
    <w:rsid w:val="009934BA"/>
    <w:rsid w:val="009955C1"/>
    <w:rsid w:val="009A07AE"/>
    <w:rsid w:val="009A3066"/>
    <w:rsid w:val="009A5A84"/>
    <w:rsid w:val="009B3229"/>
    <w:rsid w:val="009B4AE7"/>
    <w:rsid w:val="009B4F07"/>
    <w:rsid w:val="009B568A"/>
    <w:rsid w:val="009B5FF8"/>
    <w:rsid w:val="009B76B0"/>
    <w:rsid w:val="009B7B92"/>
    <w:rsid w:val="009C1D2E"/>
    <w:rsid w:val="009C399F"/>
    <w:rsid w:val="009C5452"/>
    <w:rsid w:val="009D3479"/>
    <w:rsid w:val="009E1FAE"/>
    <w:rsid w:val="009E4CDB"/>
    <w:rsid w:val="009E6F8A"/>
    <w:rsid w:val="009E7021"/>
    <w:rsid w:val="009F0623"/>
    <w:rsid w:val="009F2BE0"/>
    <w:rsid w:val="009F3FF7"/>
    <w:rsid w:val="009F41C9"/>
    <w:rsid w:val="009F51BE"/>
    <w:rsid w:val="00A01721"/>
    <w:rsid w:val="00A0338D"/>
    <w:rsid w:val="00A0396E"/>
    <w:rsid w:val="00A0453B"/>
    <w:rsid w:val="00A05C78"/>
    <w:rsid w:val="00A17D4E"/>
    <w:rsid w:val="00A2050F"/>
    <w:rsid w:val="00A20C59"/>
    <w:rsid w:val="00A21466"/>
    <w:rsid w:val="00A235FA"/>
    <w:rsid w:val="00A3160A"/>
    <w:rsid w:val="00A329C5"/>
    <w:rsid w:val="00A32BB9"/>
    <w:rsid w:val="00A33BF8"/>
    <w:rsid w:val="00A36B7F"/>
    <w:rsid w:val="00A37D74"/>
    <w:rsid w:val="00A431C0"/>
    <w:rsid w:val="00A463F8"/>
    <w:rsid w:val="00A47197"/>
    <w:rsid w:val="00A500EE"/>
    <w:rsid w:val="00A502CA"/>
    <w:rsid w:val="00A52C54"/>
    <w:rsid w:val="00A53213"/>
    <w:rsid w:val="00A54574"/>
    <w:rsid w:val="00A54976"/>
    <w:rsid w:val="00A56556"/>
    <w:rsid w:val="00A568F2"/>
    <w:rsid w:val="00A62148"/>
    <w:rsid w:val="00A62376"/>
    <w:rsid w:val="00A64BAC"/>
    <w:rsid w:val="00A66E98"/>
    <w:rsid w:val="00A67272"/>
    <w:rsid w:val="00A76FDA"/>
    <w:rsid w:val="00A7744F"/>
    <w:rsid w:val="00A7785B"/>
    <w:rsid w:val="00A83DE1"/>
    <w:rsid w:val="00A864C8"/>
    <w:rsid w:val="00A9167D"/>
    <w:rsid w:val="00A942BE"/>
    <w:rsid w:val="00A953B4"/>
    <w:rsid w:val="00A96314"/>
    <w:rsid w:val="00A96F3B"/>
    <w:rsid w:val="00AA0825"/>
    <w:rsid w:val="00AA2E44"/>
    <w:rsid w:val="00AA4DA6"/>
    <w:rsid w:val="00AA4DCE"/>
    <w:rsid w:val="00AA775E"/>
    <w:rsid w:val="00AB021B"/>
    <w:rsid w:val="00AB2B19"/>
    <w:rsid w:val="00AB3E61"/>
    <w:rsid w:val="00AB5E61"/>
    <w:rsid w:val="00AB6E48"/>
    <w:rsid w:val="00AC0F99"/>
    <w:rsid w:val="00AC2A23"/>
    <w:rsid w:val="00AC66FF"/>
    <w:rsid w:val="00AD2531"/>
    <w:rsid w:val="00AD294A"/>
    <w:rsid w:val="00AD7BB9"/>
    <w:rsid w:val="00AE0541"/>
    <w:rsid w:val="00AE3612"/>
    <w:rsid w:val="00AE68A4"/>
    <w:rsid w:val="00AF1426"/>
    <w:rsid w:val="00AF14A7"/>
    <w:rsid w:val="00AF43DD"/>
    <w:rsid w:val="00AF54A6"/>
    <w:rsid w:val="00AF590D"/>
    <w:rsid w:val="00AF6587"/>
    <w:rsid w:val="00B00BB0"/>
    <w:rsid w:val="00B014EB"/>
    <w:rsid w:val="00B0253B"/>
    <w:rsid w:val="00B02DD6"/>
    <w:rsid w:val="00B03065"/>
    <w:rsid w:val="00B04C84"/>
    <w:rsid w:val="00B0598B"/>
    <w:rsid w:val="00B064A4"/>
    <w:rsid w:val="00B11CEA"/>
    <w:rsid w:val="00B12193"/>
    <w:rsid w:val="00B172D4"/>
    <w:rsid w:val="00B21155"/>
    <w:rsid w:val="00B2169F"/>
    <w:rsid w:val="00B22482"/>
    <w:rsid w:val="00B23CB3"/>
    <w:rsid w:val="00B2451A"/>
    <w:rsid w:val="00B24607"/>
    <w:rsid w:val="00B24BBC"/>
    <w:rsid w:val="00B2617B"/>
    <w:rsid w:val="00B433C9"/>
    <w:rsid w:val="00B43F5C"/>
    <w:rsid w:val="00B470E8"/>
    <w:rsid w:val="00B479B4"/>
    <w:rsid w:val="00B52CA7"/>
    <w:rsid w:val="00B53856"/>
    <w:rsid w:val="00B56B1A"/>
    <w:rsid w:val="00B57108"/>
    <w:rsid w:val="00B614AA"/>
    <w:rsid w:val="00B617E5"/>
    <w:rsid w:val="00B61BF0"/>
    <w:rsid w:val="00B65594"/>
    <w:rsid w:val="00B66997"/>
    <w:rsid w:val="00B66E59"/>
    <w:rsid w:val="00B7032E"/>
    <w:rsid w:val="00B706D2"/>
    <w:rsid w:val="00B70FDE"/>
    <w:rsid w:val="00B7100A"/>
    <w:rsid w:val="00B72012"/>
    <w:rsid w:val="00B72B8D"/>
    <w:rsid w:val="00B74D72"/>
    <w:rsid w:val="00B76905"/>
    <w:rsid w:val="00B77668"/>
    <w:rsid w:val="00B8289E"/>
    <w:rsid w:val="00B9075D"/>
    <w:rsid w:val="00B90EF8"/>
    <w:rsid w:val="00B936C7"/>
    <w:rsid w:val="00B956E6"/>
    <w:rsid w:val="00B95F59"/>
    <w:rsid w:val="00BA050A"/>
    <w:rsid w:val="00BA3DDB"/>
    <w:rsid w:val="00BA5C25"/>
    <w:rsid w:val="00BB2153"/>
    <w:rsid w:val="00BB3910"/>
    <w:rsid w:val="00BB6216"/>
    <w:rsid w:val="00BB670F"/>
    <w:rsid w:val="00BB7194"/>
    <w:rsid w:val="00BB7A3E"/>
    <w:rsid w:val="00BC05D7"/>
    <w:rsid w:val="00BC0F95"/>
    <w:rsid w:val="00BC30E5"/>
    <w:rsid w:val="00BC4547"/>
    <w:rsid w:val="00BC74C1"/>
    <w:rsid w:val="00BD0FDF"/>
    <w:rsid w:val="00BD5986"/>
    <w:rsid w:val="00BD7F30"/>
    <w:rsid w:val="00BE39D1"/>
    <w:rsid w:val="00BE3B2E"/>
    <w:rsid w:val="00BE44F4"/>
    <w:rsid w:val="00BE4513"/>
    <w:rsid w:val="00BE64B2"/>
    <w:rsid w:val="00BE75BB"/>
    <w:rsid w:val="00BF1227"/>
    <w:rsid w:val="00BF1AF2"/>
    <w:rsid w:val="00BF2655"/>
    <w:rsid w:val="00BF3376"/>
    <w:rsid w:val="00BF79B2"/>
    <w:rsid w:val="00BF7D46"/>
    <w:rsid w:val="00C00AC6"/>
    <w:rsid w:val="00C0402C"/>
    <w:rsid w:val="00C06C72"/>
    <w:rsid w:val="00C11D49"/>
    <w:rsid w:val="00C12448"/>
    <w:rsid w:val="00C13E00"/>
    <w:rsid w:val="00C140F1"/>
    <w:rsid w:val="00C147F9"/>
    <w:rsid w:val="00C1531D"/>
    <w:rsid w:val="00C17F74"/>
    <w:rsid w:val="00C20BF0"/>
    <w:rsid w:val="00C20FC7"/>
    <w:rsid w:val="00C22BE9"/>
    <w:rsid w:val="00C238BB"/>
    <w:rsid w:val="00C24833"/>
    <w:rsid w:val="00C27F4A"/>
    <w:rsid w:val="00C31A4B"/>
    <w:rsid w:val="00C404E0"/>
    <w:rsid w:val="00C478B8"/>
    <w:rsid w:val="00C47955"/>
    <w:rsid w:val="00C50335"/>
    <w:rsid w:val="00C50842"/>
    <w:rsid w:val="00C52211"/>
    <w:rsid w:val="00C555B3"/>
    <w:rsid w:val="00C5585E"/>
    <w:rsid w:val="00C56B8B"/>
    <w:rsid w:val="00C573A0"/>
    <w:rsid w:val="00C60547"/>
    <w:rsid w:val="00C672B0"/>
    <w:rsid w:val="00C67EF9"/>
    <w:rsid w:val="00C71C92"/>
    <w:rsid w:val="00C72E9C"/>
    <w:rsid w:val="00C73D46"/>
    <w:rsid w:val="00C77736"/>
    <w:rsid w:val="00C82AC9"/>
    <w:rsid w:val="00C82FED"/>
    <w:rsid w:val="00C83219"/>
    <w:rsid w:val="00C867B6"/>
    <w:rsid w:val="00C87D0E"/>
    <w:rsid w:val="00C87FF5"/>
    <w:rsid w:val="00C90653"/>
    <w:rsid w:val="00C914D9"/>
    <w:rsid w:val="00C91799"/>
    <w:rsid w:val="00C92269"/>
    <w:rsid w:val="00C97CAB"/>
    <w:rsid w:val="00CA0F19"/>
    <w:rsid w:val="00CA4B18"/>
    <w:rsid w:val="00CA5434"/>
    <w:rsid w:val="00CA5E67"/>
    <w:rsid w:val="00CA6B04"/>
    <w:rsid w:val="00CB14D9"/>
    <w:rsid w:val="00CB3957"/>
    <w:rsid w:val="00CB3D04"/>
    <w:rsid w:val="00CB3E41"/>
    <w:rsid w:val="00CB7980"/>
    <w:rsid w:val="00CC26DB"/>
    <w:rsid w:val="00CC313F"/>
    <w:rsid w:val="00CC519B"/>
    <w:rsid w:val="00CD4962"/>
    <w:rsid w:val="00CD69E9"/>
    <w:rsid w:val="00CE0477"/>
    <w:rsid w:val="00CE3BBE"/>
    <w:rsid w:val="00CE52C5"/>
    <w:rsid w:val="00CE5773"/>
    <w:rsid w:val="00CE604B"/>
    <w:rsid w:val="00CE6D86"/>
    <w:rsid w:val="00CE6E93"/>
    <w:rsid w:val="00CF3906"/>
    <w:rsid w:val="00CF5BEA"/>
    <w:rsid w:val="00CF60DA"/>
    <w:rsid w:val="00D0073E"/>
    <w:rsid w:val="00D00C3E"/>
    <w:rsid w:val="00D01379"/>
    <w:rsid w:val="00D06A1A"/>
    <w:rsid w:val="00D15E32"/>
    <w:rsid w:val="00D1670B"/>
    <w:rsid w:val="00D1671B"/>
    <w:rsid w:val="00D17611"/>
    <w:rsid w:val="00D17D14"/>
    <w:rsid w:val="00D20D79"/>
    <w:rsid w:val="00D24FB2"/>
    <w:rsid w:val="00D25560"/>
    <w:rsid w:val="00D26876"/>
    <w:rsid w:val="00D30265"/>
    <w:rsid w:val="00D30E70"/>
    <w:rsid w:val="00D30F6C"/>
    <w:rsid w:val="00D3330B"/>
    <w:rsid w:val="00D359B1"/>
    <w:rsid w:val="00D376D0"/>
    <w:rsid w:val="00D4257C"/>
    <w:rsid w:val="00D445DC"/>
    <w:rsid w:val="00D47421"/>
    <w:rsid w:val="00D502AB"/>
    <w:rsid w:val="00D54702"/>
    <w:rsid w:val="00D54DBD"/>
    <w:rsid w:val="00D55E2F"/>
    <w:rsid w:val="00D569D4"/>
    <w:rsid w:val="00D56F7F"/>
    <w:rsid w:val="00D60F23"/>
    <w:rsid w:val="00D6151E"/>
    <w:rsid w:val="00D61C83"/>
    <w:rsid w:val="00D646C1"/>
    <w:rsid w:val="00D75F21"/>
    <w:rsid w:val="00D7649B"/>
    <w:rsid w:val="00D76E10"/>
    <w:rsid w:val="00D84796"/>
    <w:rsid w:val="00D849E5"/>
    <w:rsid w:val="00D86083"/>
    <w:rsid w:val="00D94DEB"/>
    <w:rsid w:val="00D96589"/>
    <w:rsid w:val="00D97102"/>
    <w:rsid w:val="00DA2042"/>
    <w:rsid w:val="00DA4C87"/>
    <w:rsid w:val="00DA6412"/>
    <w:rsid w:val="00DA74FF"/>
    <w:rsid w:val="00DB1BA4"/>
    <w:rsid w:val="00DB31D6"/>
    <w:rsid w:val="00DB5C3E"/>
    <w:rsid w:val="00DB677D"/>
    <w:rsid w:val="00DC3802"/>
    <w:rsid w:val="00DC6ABD"/>
    <w:rsid w:val="00DD0465"/>
    <w:rsid w:val="00DD1817"/>
    <w:rsid w:val="00DD2681"/>
    <w:rsid w:val="00DD407A"/>
    <w:rsid w:val="00DD5123"/>
    <w:rsid w:val="00DD6872"/>
    <w:rsid w:val="00DD6E79"/>
    <w:rsid w:val="00DD7483"/>
    <w:rsid w:val="00DD7A69"/>
    <w:rsid w:val="00DE37B9"/>
    <w:rsid w:val="00DE4F79"/>
    <w:rsid w:val="00DF1476"/>
    <w:rsid w:val="00E000AA"/>
    <w:rsid w:val="00E003E9"/>
    <w:rsid w:val="00E02D8B"/>
    <w:rsid w:val="00E03699"/>
    <w:rsid w:val="00E0386E"/>
    <w:rsid w:val="00E03FA3"/>
    <w:rsid w:val="00E075E2"/>
    <w:rsid w:val="00E10653"/>
    <w:rsid w:val="00E107E1"/>
    <w:rsid w:val="00E11886"/>
    <w:rsid w:val="00E1261C"/>
    <w:rsid w:val="00E14EDC"/>
    <w:rsid w:val="00E15450"/>
    <w:rsid w:val="00E156EB"/>
    <w:rsid w:val="00E161BB"/>
    <w:rsid w:val="00E16503"/>
    <w:rsid w:val="00E17875"/>
    <w:rsid w:val="00E21940"/>
    <w:rsid w:val="00E22B52"/>
    <w:rsid w:val="00E25189"/>
    <w:rsid w:val="00E34685"/>
    <w:rsid w:val="00E35735"/>
    <w:rsid w:val="00E36E12"/>
    <w:rsid w:val="00E40057"/>
    <w:rsid w:val="00E40424"/>
    <w:rsid w:val="00E40738"/>
    <w:rsid w:val="00E41269"/>
    <w:rsid w:val="00E4507A"/>
    <w:rsid w:val="00E5008F"/>
    <w:rsid w:val="00E50564"/>
    <w:rsid w:val="00E511FA"/>
    <w:rsid w:val="00E51EF0"/>
    <w:rsid w:val="00E529BB"/>
    <w:rsid w:val="00E53809"/>
    <w:rsid w:val="00E54403"/>
    <w:rsid w:val="00E57A08"/>
    <w:rsid w:val="00E61B48"/>
    <w:rsid w:val="00E6319B"/>
    <w:rsid w:val="00E635B7"/>
    <w:rsid w:val="00E6783D"/>
    <w:rsid w:val="00E702F3"/>
    <w:rsid w:val="00E70445"/>
    <w:rsid w:val="00E7102B"/>
    <w:rsid w:val="00E72BAF"/>
    <w:rsid w:val="00E752ED"/>
    <w:rsid w:val="00E75851"/>
    <w:rsid w:val="00E77F81"/>
    <w:rsid w:val="00E84509"/>
    <w:rsid w:val="00E84FAD"/>
    <w:rsid w:val="00E86948"/>
    <w:rsid w:val="00E90E82"/>
    <w:rsid w:val="00E91F15"/>
    <w:rsid w:val="00EA0E69"/>
    <w:rsid w:val="00EA2DD0"/>
    <w:rsid w:val="00EA35D9"/>
    <w:rsid w:val="00EA79A8"/>
    <w:rsid w:val="00EB2520"/>
    <w:rsid w:val="00EB3DC8"/>
    <w:rsid w:val="00EB4125"/>
    <w:rsid w:val="00EB466E"/>
    <w:rsid w:val="00EB495E"/>
    <w:rsid w:val="00EB6538"/>
    <w:rsid w:val="00EC1C03"/>
    <w:rsid w:val="00EC2D6A"/>
    <w:rsid w:val="00EC31FB"/>
    <w:rsid w:val="00EC38DF"/>
    <w:rsid w:val="00EC4A2E"/>
    <w:rsid w:val="00EC612F"/>
    <w:rsid w:val="00EC77D9"/>
    <w:rsid w:val="00ED3762"/>
    <w:rsid w:val="00ED609B"/>
    <w:rsid w:val="00ED7013"/>
    <w:rsid w:val="00EE4264"/>
    <w:rsid w:val="00EE6AAF"/>
    <w:rsid w:val="00EF077C"/>
    <w:rsid w:val="00EF2DE1"/>
    <w:rsid w:val="00F0085C"/>
    <w:rsid w:val="00F02F7E"/>
    <w:rsid w:val="00F03558"/>
    <w:rsid w:val="00F038A9"/>
    <w:rsid w:val="00F108D1"/>
    <w:rsid w:val="00F10CB5"/>
    <w:rsid w:val="00F15472"/>
    <w:rsid w:val="00F167B7"/>
    <w:rsid w:val="00F1768D"/>
    <w:rsid w:val="00F17FEF"/>
    <w:rsid w:val="00F21EE0"/>
    <w:rsid w:val="00F25711"/>
    <w:rsid w:val="00F2667C"/>
    <w:rsid w:val="00F27576"/>
    <w:rsid w:val="00F27E6C"/>
    <w:rsid w:val="00F33962"/>
    <w:rsid w:val="00F34E0A"/>
    <w:rsid w:val="00F36F8C"/>
    <w:rsid w:val="00F37243"/>
    <w:rsid w:val="00F41B18"/>
    <w:rsid w:val="00F47BE3"/>
    <w:rsid w:val="00F53AEA"/>
    <w:rsid w:val="00F5589F"/>
    <w:rsid w:val="00F56150"/>
    <w:rsid w:val="00F60083"/>
    <w:rsid w:val="00F622DA"/>
    <w:rsid w:val="00F632F8"/>
    <w:rsid w:val="00F63625"/>
    <w:rsid w:val="00F67477"/>
    <w:rsid w:val="00F70988"/>
    <w:rsid w:val="00F71515"/>
    <w:rsid w:val="00F72248"/>
    <w:rsid w:val="00F7251D"/>
    <w:rsid w:val="00F73369"/>
    <w:rsid w:val="00F7429E"/>
    <w:rsid w:val="00F752FD"/>
    <w:rsid w:val="00F75F69"/>
    <w:rsid w:val="00F84FF3"/>
    <w:rsid w:val="00F9270B"/>
    <w:rsid w:val="00F931F8"/>
    <w:rsid w:val="00F93351"/>
    <w:rsid w:val="00F93435"/>
    <w:rsid w:val="00F94E52"/>
    <w:rsid w:val="00F967B1"/>
    <w:rsid w:val="00F97FE7"/>
    <w:rsid w:val="00FA1E5E"/>
    <w:rsid w:val="00FA29C4"/>
    <w:rsid w:val="00FA38D9"/>
    <w:rsid w:val="00FA6522"/>
    <w:rsid w:val="00FA65FF"/>
    <w:rsid w:val="00FA701C"/>
    <w:rsid w:val="00FA764A"/>
    <w:rsid w:val="00FA7798"/>
    <w:rsid w:val="00FB21F8"/>
    <w:rsid w:val="00FB7385"/>
    <w:rsid w:val="00FC0A74"/>
    <w:rsid w:val="00FC7BAA"/>
    <w:rsid w:val="00FD11C2"/>
    <w:rsid w:val="00FD19A9"/>
    <w:rsid w:val="00FD2D2D"/>
    <w:rsid w:val="00FD4C03"/>
    <w:rsid w:val="00FD569A"/>
    <w:rsid w:val="00FD6846"/>
    <w:rsid w:val="00FD7076"/>
    <w:rsid w:val="00FE00F5"/>
    <w:rsid w:val="00FE02C9"/>
    <w:rsid w:val="00FE4AB3"/>
    <w:rsid w:val="00FE6217"/>
    <w:rsid w:val="00FF122F"/>
    <w:rsid w:val="00FF5246"/>
    <w:rsid w:val="00FF55AC"/>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FB9"/>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8D4BF2"/>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D4BF2"/>
    <w:pPr>
      <w:keepNext/>
      <w:keepLines/>
      <w:spacing w:after="0" w:line="36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D4BF2"/>
    <w:pPr>
      <w:keepNext/>
      <w:keepLines/>
      <w:spacing w:after="0" w:line="360" w:lineRule="auto"/>
      <w:jc w:val="left"/>
      <w:outlineLvl w:val="2"/>
    </w:pPr>
    <w:rPr>
      <w:rFonts w:eastAsiaTheme="majorEastAsia" w:cstheme="majorBidi"/>
      <w:b/>
      <w:color w:val="auto"/>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character" w:customStyle="1" w:styleId="Mencinsinresolver4">
    <w:name w:val="Mención sin resolver4"/>
    <w:basedOn w:val="Fuentedeprrafopredeter"/>
    <w:uiPriority w:val="99"/>
    <w:semiHidden/>
    <w:unhideWhenUsed/>
    <w:rsid w:val="00F622DA"/>
    <w:rPr>
      <w:color w:val="605E5C"/>
      <w:shd w:val="clear" w:color="auto" w:fill="E1DFDD"/>
    </w:rPr>
  </w:style>
  <w:style w:type="character" w:customStyle="1" w:styleId="Ttulo1Car">
    <w:name w:val="Título 1 Car"/>
    <w:basedOn w:val="Fuentedeprrafopredeter"/>
    <w:link w:val="Ttulo1"/>
    <w:uiPriority w:val="9"/>
    <w:rsid w:val="008D4BF2"/>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8D4BF2"/>
    <w:rPr>
      <w:rFonts w:ascii="Palatino Linotype" w:eastAsiaTheme="majorEastAsia" w:hAnsi="Palatino Linotype" w:cstheme="majorBidi"/>
      <w:b/>
      <w:color w:val="000000" w:themeColor="text1"/>
      <w:szCs w:val="26"/>
    </w:rPr>
  </w:style>
  <w:style w:type="character" w:customStyle="1" w:styleId="Ttulo3Car">
    <w:name w:val="Título 3 Car"/>
    <w:basedOn w:val="Fuentedeprrafopredeter"/>
    <w:link w:val="Ttulo3"/>
    <w:uiPriority w:val="9"/>
    <w:rsid w:val="008D4BF2"/>
    <w:rPr>
      <w:rFonts w:ascii="Palatino Linotype" w:eastAsiaTheme="majorEastAsia" w:hAnsi="Palatino Linotype" w:cstheme="majorBidi"/>
      <w:b/>
      <w:szCs w:val="24"/>
    </w:rPr>
  </w:style>
  <w:style w:type="paragraph" w:styleId="TtuloTDC">
    <w:name w:val="TOC Heading"/>
    <w:basedOn w:val="Ttulo1"/>
    <w:next w:val="Normal"/>
    <w:uiPriority w:val="39"/>
    <w:unhideWhenUsed/>
    <w:qFormat/>
    <w:rsid w:val="008D4BF2"/>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8D4BF2"/>
    <w:pPr>
      <w:spacing w:after="100"/>
    </w:pPr>
  </w:style>
  <w:style w:type="paragraph" w:styleId="TDC2">
    <w:name w:val="toc 2"/>
    <w:basedOn w:val="Normal"/>
    <w:next w:val="Normal"/>
    <w:autoRedefine/>
    <w:uiPriority w:val="39"/>
    <w:unhideWhenUsed/>
    <w:rsid w:val="008D4BF2"/>
    <w:pPr>
      <w:spacing w:after="100"/>
      <w:ind w:left="220"/>
    </w:pPr>
  </w:style>
  <w:style w:type="paragraph" w:styleId="TDC3">
    <w:name w:val="toc 3"/>
    <w:basedOn w:val="Normal"/>
    <w:next w:val="Normal"/>
    <w:autoRedefine/>
    <w:uiPriority w:val="39"/>
    <w:unhideWhenUsed/>
    <w:rsid w:val="008D4BF2"/>
    <w:pPr>
      <w:spacing w:after="100"/>
      <w:ind w:left="440"/>
    </w:pPr>
  </w:style>
  <w:style w:type="paragraph" w:customStyle="1" w:styleId="Default">
    <w:name w:val="Default"/>
    <w:rsid w:val="00EB2520"/>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10264203">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75743986">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26550073">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54450597">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1939681295">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32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F14C-1CCA-4DEF-8C4E-F507F3A0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4648</Words>
  <Characters>25570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HECTOR FABIAN ORDOÑEZ GARCIA</cp:lastModifiedBy>
  <cp:revision>4</cp:revision>
  <cp:lastPrinted>2025-04-04T16:06:00Z</cp:lastPrinted>
  <dcterms:created xsi:type="dcterms:W3CDTF">2025-04-04T16:05:00Z</dcterms:created>
  <dcterms:modified xsi:type="dcterms:W3CDTF">2025-04-28T20:39:00Z</dcterms:modified>
</cp:coreProperties>
</file>