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catorce de mayo del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02409/INFOEM/IP/RR/2024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XXXXXXXXXXXXX XXXXXXXX XXXXXXXXX,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00132/TLALNEPA/IP/2025,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sz w:val="22"/>
          <w:szCs w:val="22"/>
          <w:rtl w:val="0"/>
        </w:rPr>
        <w:t xml:space="preserve">Ayuntamiento de Tlalnepantla de Baz,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4d34og8" w:id="0"/>
      <w:bookmarkEnd w:id="0"/>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seis de febrero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mediante la cual requirió la información siguiente: </w:t>
      </w:r>
    </w:p>
    <w:p w:rsidR="00000000" w:rsidDel="00000000" w:rsidP="00000000" w:rsidRDefault="00000000" w:rsidRPr="00000000" w14:paraId="00000005">
      <w:pPr>
        <w:spacing w:after="120" w:before="120" w:lineRule="auto"/>
        <w:ind w:left="567"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los expedientes con los que fue dado de alta la Titular de Transparencia y el personal que labora en la Unidad de Transparencia, así como curriculum vitae, ultimo grado de estudio (comprobante), su declaración Patrimonial, salario que recibe de forma quincenal neto”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Modalidad de Entrega: </w:t>
      </w:r>
      <w:r w:rsidDel="00000000" w:rsidR="00000000" w:rsidRPr="00000000">
        <w:rPr>
          <w:rFonts w:ascii="Palatino Linotype" w:cs="Palatino Linotype" w:eastAsia="Palatino Linotype" w:hAnsi="Palatino Linotype"/>
          <w:sz w:val="22"/>
          <w:szCs w:val="22"/>
          <w:rtl w:val="0"/>
        </w:rPr>
        <w:t xml:space="preserve">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311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veintisiete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rsidR="00000000" w:rsidDel="00000000" w:rsidP="00000000" w:rsidRDefault="00000000" w:rsidRPr="00000000" w14:paraId="00000009">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LIZETTA CHAVEZ SANTIAGO” (sic)</w:t>
      </w:r>
    </w:p>
    <w:p w:rsidR="00000000" w:rsidDel="00000000" w:rsidP="00000000" w:rsidRDefault="00000000" w:rsidRPr="00000000" w14:paraId="0000000B">
      <w:pPr>
        <w:spacing w:after="240" w:before="240" w:line="360" w:lineRule="auto"/>
        <w:ind w:left="567" w:right="49"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C">
      <w:pPr>
        <w:spacing w:after="240" w:before="240" w:line="360"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“RESPUESTA SAIMEX 132.zip”: </w:t>
      </w:r>
      <w:r w:rsidDel="00000000" w:rsidR="00000000" w:rsidRPr="00000000">
        <w:rPr>
          <w:rFonts w:ascii="Palatino Linotype" w:cs="Palatino Linotype" w:eastAsia="Palatino Linotype" w:hAnsi="Palatino Linotype"/>
          <w:sz w:val="22"/>
          <w:szCs w:val="22"/>
          <w:rtl w:val="0"/>
        </w:rPr>
        <w:t xml:space="preserve">contiene los siguientes archivos: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before="240"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15-CT-08-ORD-2025.pdf</w:t>
      </w:r>
      <w:r w:rsidDel="00000000" w:rsidR="00000000" w:rsidRPr="00000000">
        <w:rPr>
          <w:rFonts w:ascii="Palatino Linotype" w:cs="Palatino Linotype" w:eastAsia="Palatino Linotype" w:hAnsi="Palatino Linotype"/>
          <w:sz w:val="22"/>
          <w:szCs w:val="22"/>
          <w:rtl w:val="0"/>
        </w:rPr>
        <w:t xml:space="preserve">: Acuerdo de clasificación número 15/CT/08-ORD/2025 de fecha veinticinco de febrero de dos mil veinticinco, mediante el cual se aprobó por unanimidad de votos, en la Octava Sesión Ordinaria del Comité de Transparencia, la clasificación total de la información como confidencial, de la información relativa al acta de nacimiento, constancia de la clave única de registro de población, comprobante de domicilio y certificado médico que forman parte de los expedientes del personal adscrito a la Unidad de Transparencia y Acceso a la Información Pública Municipal. </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16-CT-08-ORD-2025.pdf</w:t>
      </w:r>
      <w:r w:rsidDel="00000000" w:rsidR="00000000" w:rsidRPr="00000000">
        <w:rPr>
          <w:rFonts w:ascii="Palatino Linotype" w:cs="Palatino Linotype" w:eastAsia="Palatino Linotype" w:hAnsi="Palatino Linotype"/>
          <w:sz w:val="22"/>
          <w:szCs w:val="22"/>
          <w:rtl w:val="0"/>
        </w:rPr>
        <w:t xml:space="preserve">: Acuerdo de clasificación número 16/CT/08-ORD/2025 de fecha veinticinco de febrero de dos mil veinticinco, mediante el cual se aprobó por unanimidad de votos, en la Octava Sesión Ordinaria del Comité de Transparencia, la clasificación de la información como confidencial, de la información relativa a la huella dactilar, CURP, clave de elector, domicilio, fecha y lugar de nacimiento, matricula (cartilla militar, fecha de expedición de matrícula, número de folio y clave de verificación,  calificación, créditos, promedio, firma del interesado, folio, número de boleta, QR, firma del titular, firma del alumno y fotografía, RFC, estado civil, teléfono, correo electrónico. afiliación al IMMS, hijos, nacionalidad, edad, firma de quien lo solicita, y la versión pública del comprobante de estudios, certificado de competencia laboral, certificado de no deudor alimentario moroso, Constancia de no inhabilitación, Informe y/o certificado de no antecedentes penales y solicitud de empleo, documentos que obran en los expedientes del personal adscrito a la Unidad de Transparencia.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RESPUESTA OFICIALIA.pdf: </w:t>
      </w:r>
      <w:r w:rsidDel="00000000" w:rsidR="00000000" w:rsidRPr="00000000">
        <w:rPr>
          <w:rFonts w:ascii="Palatino Linotype" w:cs="Palatino Linotype" w:eastAsia="Palatino Linotype" w:hAnsi="Palatino Linotype"/>
          <w:sz w:val="22"/>
          <w:szCs w:val="22"/>
          <w:rtl w:val="0"/>
        </w:rPr>
        <w:t xml:space="preserve">Oficio número TLA/OM/0485/2025 de fecha veintiséis de febrero de dos mil veinticinco, mediante el cual el Oficial Mayor informó la entrega del oficio suscrito por el Subdirector de Recursos Humanos, plantilla (con sueldo) del personal adscrito a la Unidad de Transparencia, Ficha Curricular y expedientes laborales en versión pública, la cual fue confirmada por el Comité de Transparencia, mediante acuerdo 16/CT/08-ORD-2025 y la clasificación total aprobada mediante acuerdo 15/CT/08-ORD-2025.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40" w:line="360" w:lineRule="auto"/>
        <w:ind w:left="92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TLA/OM/0421/2025 de fecha veintiuno de febrero de dos mil veinticinco, mediante el cual informó la entrega de los expedientes de la Titular de la Unidad de Transparencia y del personal adscrito a la misma, así como fichas curriculares, comprobantes de grado de estudios y el salario quincenal neto. </w:t>
      </w:r>
    </w:p>
    <w:p w:rsidR="00000000" w:rsidDel="00000000" w:rsidP="00000000" w:rsidRDefault="00000000" w:rsidRPr="00000000" w14:paraId="00000011">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ANEXOS OFICIALIA M</w:t>
      </w:r>
      <w:r w:rsidDel="00000000" w:rsidR="00000000" w:rsidRPr="00000000">
        <w:rPr>
          <w:rFonts w:ascii="Palatino Linotype" w:cs="Palatino Linotype" w:eastAsia="Palatino Linotype" w:hAnsi="Palatino Linotype"/>
          <w:sz w:val="22"/>
          <w:szCs w:val="22"/>
          <w:rtl w:val="0"/>
        </w:rPr>
        <w:t xml:space="preserve">: contiene los siguientes documentos: </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after="240" w:before="240"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TRANSPARENCIA.xlsx</w:t>
      </w:r>
      <w:r w:rsidDel="00000000" w:rsidR="00000000" w:rsidRPr="00000000">
        <w:rPr>
          <w:rFonts w:ascii="Palatino Linotype" w:cs="Palatino Linotype" w:eastAsia="Palatino Linotype" w:hAnsi="Palatino Linotype"/>
          <w:sz w:val="22"/>
          <w:szCs w:val="22"/>
          <w:rtl w:val="0"/>
        </w:rPr>
        <w:t xml:space="preserve">: Documento en formato Excel, del que se advierte número de empleado, nombre, adscripción y total del monto que percibe los servidores públicos adscritos a la Unidad de Transparencia y Acceso a la Información Pública. </w:t>
      </w:r>
    </w:p>
    <w:p w:rsidR="00000000" w:rsidDel="00000000" w:rsidP="00000000" w:rsidRDefault="00000000" w:rsidRPr="00000000" w14:paraId="00000013">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77575" cy="953697"/>
            <wp:effectExtent b="0" l="0" r="0" t="0"/>
            <wp:docPr id="214310825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077575" cy="95369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before="240"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125126 LUIS ALBERTO DIAS HIDALGO.pdf</w:t>
      </w:r>
      <w:r w:rsidDel="00000000" w:rsidR="00000000" w:rsidRPr="00000000">
        <w:rPr>
          <w:rFonts w:ascii="Palatino Linotype" w:cs="Palatino Linotype" w:eastAsia="Palatino Linotype" w:hAnsi="Palatino Linotype"/>
          <w:sz w:val="22"/>
          <w:szCs w:val="22"/>
          <w:rtl w:val="0"/>
        </w:rPr>
        <w:t xml:space="preserve">: contiene información referente al servidor público Luis Alberto Días Hidalgo, tales como Certificado de competencia laboral en el estándar de competencia “Garantizar el derecho a la protección de datos personales”, Certificado de no deudor alimentario moroso, Informe de no antecedentes penales, Titulo de Licenciatura el “Comercio Internacional y Aduanas” y Constancia de no Inhabilitación. </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126050 SUSANA NIETO RIVERA.pdf</w:t>
      </w:r>
      <w:r w:rsidDel="00000000" w:rsidR="00000000" w:rsidRPr="00000000">
        <w:rPr>
          <w:rFonts w:ascii="Palatino Linotype" w:cs="Palatino Linotype" w:eastAsia="Palatino Linotype" w:hAnsi="Palatino Linotype"/>
          <w:sz w:val="22"/>
          <w:szCs w:val="22"/>
          <w:rtl w:val="0"/>
        </w:rPr>
        <w:t xml:space="preserve">: contiene información referente a la servidora pública Susana Nieto Rivera, tales como Certificado de estudios, cédula profesional, Certificado de no deudor alimentario moroso, Informe de no antecedentes penales y Constancia de no Inhabilitación. </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240" w:line="360" w:lineRule="auto"/>
        <w:ind w:left="92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128482 RAMIREZ CHAVEZ MARIA DE LA LUZ.pdf</w:t>
      </w:r>
      <w:r w:rsidDel="00000000" w:rsidR="00000000" w:rsidRPr="00000000">
        <w:rPr>
          <w:rFonts w:ascii="Palatino Linotype" w:cs="Palatino Linotype" w:eastAsia="Palatino Linotype" w:hAnsi="Palatino Linotype"/>
          <w:sz w:val="22"/>
          <w:szCs w:val="22"/>
          <w:rtl w:val="0"/>
        </w:rPr>
        <w:t xml:space="preserve">: contiene información referente a la servidora pública María de la Luz Ramírez González, tales como Título de Licenciatura en Economía, Informe de no antecedentes penales y Constancia de no Inhabilitación. </w:t>
      </w:r>
    </w:p>
    <w:p w:rsidR="00000000" w:rsidDel="00000000" w:rsidP="00000000" w:rsidRDefault="00000000" w:rsidRPr="00000000" w14:paraId="00000017">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Expediente Titular de Transparencia Version Publica.pdf</w:t>
      </w:r>
      <w:r w:rsidDel="00000000" w:rsidR="00000000" w:rsidRPr="00000000">
        <w:rPr>
          <w:rFonts w:ascii="Palatino Linotype" w:cs="Palatino Linotype" w:eastAsia="Palatino Linotype" w:hAnsi="Palatino Linotype"/>
          <w:sz w:val="22"/>
          <w:szCs w:val="22"/>
          <w:rtl w:val="0"/>
        </w:rPr>
        <w:t xml:space="preserve">: contiene información referente a la servidora pública Lizetta Chávez Santiago, tales como Certificado de competencia laboral en el estándar de competencia “Garantizar el derecho a la protección de datos personales”, Comprobante de estudios, Informe de no antecedentes penales, Solicitud de empleo, Certificado de no deudor alimentario moroso, Constancia de no Inhabilitación y Ficha Curricular. </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240" w:before="24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ACUERDO DE INCOMPETENCIA PARCIAL.pdf: </w:t>
      </w:r>
      <w:r w:rsidDel="00000000" w:rsidR="00000000" w:rsidRPr="00000000">
        <w:rPr>
          <w:rFonts w:ascii="Palatino Linotype" w:cs="Palatino Linotype" w:eastAsia="Palatino Linotype" w:hAnsi="Palatino Linotype"/>
          <w:sz w:val="22"/>
          <w:szCs w:val="22"/>
          <w:rtl w:val="0"/>
        </w:rPr>
        <w:t xml:space="preserve">Acuerdo, de fecha veintisiete de febrero de dos mil veinticinco, mediante el cual la Unidad de Transparencia informó al solicitante una incompetencia parcial, respecto a las declaraciones patrimoniales y de intereses, siendo competente la Secretaría de la Contraloría. </w:t>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tres de marzo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sin embargo, al corresponder a un día inhábil se tuvo por presentado el día </w:t>
      </w:r>
      <w:r w:rsidDel="00000000" w:rsidR="00000000" w:rsidRPr="00000000">
        <w:rPr>
          <w:rFonts w:ascii="Palatino Linotype" w:cs="Palatino Linotype" w:eastAsia="Palatino Linotype" w:hAnsi="Palatino Linotype"/>
          <w:b w:val="1"/>
          <w:sz w:val="22"/>
          <w:szCs w:val="22"/>
          <w:rtl w:val="0"/>
        </w:rPr>
        <w:t xml:space="preserve">cuatro de marzo de dos mil veinticinco;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A">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“Falta información,” (Sic)</w:t>
      </w:r>
      <w:r w:rsidDel="00000000" w:rsidR="00000000" w:rsidRPr="00000000">
        <w:rPr>
          <w:rtl w:val="0"/>
        </w:rPr>
      </w:r>
    </w:p>
    <w:p w:rsidR="00000000" w:rsidDel="00000000" w:rsidP="00000000" w:rsidRDefault="00000000" w:rsidRPr="00000000" w14:paraId="0000001B">
      <w:pPr>
        <w:spacing w:line="276" w:lineRule="auto"/>
        <w:ind w:left="567" w:right="900"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“No me envía información como la solicite” (Sic)</w:t>
      </w: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siete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F">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 </w:t>
      </w:r>
      <w:r w:rsidDel="00000000" w:rsidR="00000000" w:rsidRPr="00000000">
        <w:rPr>
          <w:rFonts w:ascii="Palatino Linotype" w:cs="Palatino Linotype" w:eastAsia="Palatino Linotype" w:hAnsi="Palatino Linotype"/>
          <w:sz w:val="22"/>
          <w:szCs w:val="22"/>
          <w:rtl w:val="0"/>
        </w:rPr>
        <w:t xml:space="preserve">De constancias del expediente electrónico del SAIMEX, se observa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el </w:t>
      </w:r>
      <w:r w:rsidDel="00000000" w:rsidR="00000000" w:rsidRPr="00000000">
        <w:rPr>
          <w:rFonts w:ascii="Palatino Linotype" w:cs="Palatino Linotype" w:eastAsia="Palatino Linotype" w:hAnsi="Palatino Linotype"/>
          <w:b w:val="1"/>
          <w:sz w:val="22"/>
          <w:szCs w:val="22"/>
          <w:rtl w:val="0"/>
        </w:rPr>
        <w:t xml:space="preserve">trece de marzo de dos mil veinticinco,</w:t>
      </w:r>
      <w:r w:rsidDel="00000000" w:rsidR="00000000" w:rsidRPr="00000000">
        <w:rPr>
          <w:rFonts w:ascii="Palatino Linotype" w:cs="Palatino Linotype" w:eastAsia="Palatino Linotype" w:hAnsi="Palatino Linotype"/>
          <w:sz w:val="22"/>
          <w:szCs w:val="22"/>
          <w:rtl w:val="0"/>
        </w:rPr>
        <w:t xml:space="preserve"> ello a través del siguiente archivo electrónico:</w:t>
      </w:r>
    </w:p>
    <w:p w:rsidR="00000000" w:rsidDel="00000000" w:rsidP="00000000" w:rsidRDefault="00000000" w:rsidRPr="00000000" w14:paraId="00000020">
      <w:pPr>
        <w:widowControl w:val="0"/>
        <w:spacing w:line="360" w:lineRule="auto"/>
        <w:ind w:left="567"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widowControl w:val="0"/>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MANIFESTACIONES RR 2409-25.zip”: </w:t>
      </w:r>
      <w:r w:rsidDel="00000000" w:rsidR="00000000" w:rsidRPr="00000000">
        <w:rPr>
          <w:rFonts w:ascii="Palatino Linotype" w:cs="Palatino Linotype" w:eastAsia="Palatino Linotype" w:hAnsi="Palatino Linotype"/>
          <w:sz w:val="22"/>
          <w:szCs w:val="22"/>
          <w:rtl w:val="0"/>
        </w:rPr>
        <w:t xml:space="preserve">Oficio número TLA/OM/0641/2025 de fecha diez de marzo de dos mil veinticinco, en el que medularmente ratifica la respuesta inicial.</w:t>
      </w:r>
    </w:p>
    <w:p w:rsidR="00000000" w:rsidDel="00000000" w:rsidP="00000000" w:rsidRDefault="00000000" w:rsidRPr="00000000" w14:paraId="00000022">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que fue hecho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treinta de abril de dos mil veinticinco, </w:t>
      </w:r>
      <w:r w:rsidDel="00000000" w:rsidR="00000000" w:rsidRPr="00000000">
        <w:rPr>
          <w:rFonts w:ascii="Palatino Linotype" w:cs="Palatino Linotype" w:eastAsia="Palatino Linotype" w:hAnsi="Palatino Linotype"/>
          <w:sz w:val="22"/>
          <w:szCs w:val="22"/>
          <w:rtl w:val="0"/>
        </w:rPr>
        <w:t xml:space="preserve">misma que fue omisa en realizar manifestaciones, por lo que se tiene por precluido su derecho para tal efecto. </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treinta de abril de dos mil veinticinco, </w:t>
      </w:r>
      <w:r w:rsidDel="00000000" w:rsidR="00000000" w:rsidRPr="00000000">
        <w:rPr>
          <w:rFonts w:ascii="Palatino Linotype" w:cs="Palatino Linotype" w:eastAsia="Palatino Linotype" w:hAnsi="Palatino Linotype"/>
          <w:sz w:val="22"/>
          <w:szCs w:val="22"/>
          <w:rtl w:val="0"/>
        </w:rPr>
        <w:t xml:space="preserve">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5">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8">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veintisiete de febrero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cuatro de marzo de dos mil veinticinco, </w:t>
      </w:r>
      <w:r w:rsidDel="00000000" w:rsidR="00000000" w:rsidRPr="00000000">
        <w:rPr>
          <w:rFonts w:ascii="Palatino Linotype" w:cs="Palatino Linotype" w:eastAsia="Palatino Linotype" w:hAnsi="Palatino Linotype"/>
          <w:sz w:val="22"/>
          <w:szCs w:val="22"/>
          <w:rtl w:val="0"/>
        </w:rPr>
        <w:t xml:space="preserve">esto es, al segundo </w:t>
      </w:r>
      <w:r w:rsidDel="00000000" w:rsidR="00000000" w:rsidRPr="00000000">
        <w:rPr>
          <w:rFonts w:ascii="Palatino Linotype" w:cs="Palatino Linotype" w:eastAsia="Palatino Linotype" w:hAnsi="Palatino Linotype"/>
          <w:b w:val="1"/>
          <w:sz w:val="22"/>
          <w:szCs w:val="22"/>
          <w:rtl w:val="0"/>
        </w:rPr>
        <w:t xml:space="preserve">día hábil siguiente a aquel en el que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proporcionó únicamente un seudónimo </w:t>
      </w:r>
      <w:r w:rsidDel="00000000" w:rsidR="00000000" w:rsidRPr="00000000">
        <w:rPr>
          <w:rFonts w:ascii="Palatino Linotype" w:cs="Palatino Linotype" w:eastAsia="Palatino Linotype" w:hAnsi="Palatino Linotype"/>
          <w:sz w:val="22"/>
          <w:szCs w:val="22"/>
          <w:rtl w:val="0"/>
        </w:rPr>
        <w:t xml:space="preserve">con el que desea que se le identifique</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o seudónimo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solicitante."(Énfasis añadido)</w:t>
      </w:r>
    </w:p>
    <w:p w:rsidR="00000000" w:rsidDel="00000000" w:rsidP="00000000" w:rsidRDefault="00000000" w:rsidRPr="00000000" w14:paraId="0000002E">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 del ordenamiento legal citado, que a la letra dice: </w:t>
      </w:r>
    </w:p>
    <w:p w:rsidR="00000000" w:rsidDel="00000000" w:rsidP="00000000" w:rsidRDefault="00000000" w:rsidRPr="00000000" w14:paraId="0000003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r w:rsidDel="00000000" w:rsidR="00000000" w:rsidRPr="00000000">
        <w:rPr>
          <w:rFonts w:ascii="Palatino Linotype" w:cs="Palatino Linotype" w:eastAsia="Palatino Linotype" w:hAnsi="Palatino Linotype"/>
          <w:b w:val="1"/>
          <w:i w:val="1"/>
          <w:sz w:val="22"/>
          <w:szCs w:val="22"/>
          <w:u w:val="singl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33">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e informe justificado otorgados por el Sujeto Obligado son adecuados y suficientes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59">
      <w:pPr>
        <w:numPr>
          <w:ilvl w:val="0"/>
          <w:numId w:val="10"/>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5A">
      <w:pPr>
        <w:numPr>
          <w:ilvl w:val="0"/>
          <w:numId w:val="10"/>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left="851" w:right="616"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profundizar en el estudio del presente asunto, es conveniente recordar que de un análisis a la solicitud de información, se advierte que la parte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proporcionará lo siguiente:</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los servidores públicos que integran la Unidad de Transparencia: </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pacing w:line="276" w:lineRule="auto"/>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Expedientes con los que fueron dados de alta, </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spacing w:line="276" w:lineRule="auto"/>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Currículum vitae,</w:t>
      </w:r>
    </w:p>
    <w:p w:rsidR="00000000" w:rsidDel="00000000" w:rsidP="00000000" w:rsidRDefault="00000000" w:rsidRPr="00000000" w14:paraId="00000061">
      <w:pPr>
        <w:numPr>
          <w:ilvl w:val="0"/>
          <w:numId w:val="8"/>
        </w:numPr>
        <w:pBdr>
          <w:top w:space="0" w:sz="0" w:val="nil"/>
          <w:left w:space="0" w:sz="0" w:val="nil"/>
          <w:bottom w:space="0" w:sz="0" w:val="nil"/>
          <w:right w:space="0" w:sz="0" w:val="nil"/>
          <w:between w:space="0" w:sz="0" w:val="nil"/>
        </w:pBdr>
        <w:spacing w:line="276" w:lineRule="auto"/>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Comprobante del último grado de estudio, </w:t>
      </w:r>
    </w:p>
    <w:p w:rsidR="00000000" w:rsidDel="00000000" w:rsidP="00000000" w:rsidRDefault="00000000" w:rsidRPr="00000000" w14:paraId="00000062">
      <w:pPr>
        <w:numPr>
          <w:ilvl w:val="0"/>
          <w:numId w:val="8"/>
        </w:numPr>
        <w:pBdr>
          <w:top w:space="0" w:sz="0" w:val="nil"/>
          <w:left w:space="0" w:sz="0" w:val="nil"/>
          <w:bottom w:space="0" w:sz="0" w:val="nil"/>
          <w:right w:space="0" w:sz="0" w:val="nil"/>
          <w:between w:space="0" w:sz="0" w:val="nil"/>
        </w:pBdr>
        <w:spacing w:line="276" w:lineRule="auto"/>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Declaración Patrimonial, </w:t>
      </w:r>
    </w:p>
    <w:p w:rsidR="00000000" w:rsidDel="00000000" w:rsidP="00000000" w:rsidRDefault="00000000" w:rsidRPr="00000000" w14:paraId="00000063">
      <w:pPr>
        <w:numPr>
          <w:ilvl w:val="0"/>
          <w:numId w:val="8"/>
        </w:numPr>
        <w:pBdr>
          <w:top w:space="0" w:sz="0" w:val="nil"/>
          <w:left w:space="0" w:sz="0" w:val="nil"/>
          <w:bottom w:space="0" w:sz="0" w:val="nil"/>
          <w:right w:space="0" w:sz="0" w:val="nil"/>
          <w:between w:space="0" w:sz="0" w:val="nil"/>
        </w:pBdr>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Salario que recibe de forma quincenal neto</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pronunció por conducto del Oficial Mayor quien informó la entrega de la plantilla con sueldo del personal adscrito a la Unidad de Transparencia, Ficha Curricular y expedientes laborales en versión pública, la cual fue confirmada por el Comité de Transparencia, mediante acuerdo 16/CT/08-ORD-2025 y la clasificación total aprobada mediante acuerdo 15/CT/08-ORD-2025. </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tesitura, una vez conocida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interpuso el recurso de revisión que nos ocupa, inconformándose medularmente respecto de la entrega de información incompleta.</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hizo entrega del Acuerdo de fecha veintisiete de febrero de dos mil veinticinco, mediante el cual la Unidad de Transparencia informó al solicitante una incompetencia parcial, respecto a las declaraciones patrimoniales y de intereses, siendo competente la Secretaría de la Contraloría</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durante la etapa de manifestaciones e informe justificado,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medularmente ratificó los términos de la respuesta, mientras que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fue omisa en rendir sus manifestaciones, por lo que se tiene por precluido el plazo para tal efecto y se procede a emitir la resolución que conforme a derecho corresponda. </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resulta necesario iniciar el presente análisis, recordando que desde la respuesta obra un pronunciamiento de la </w:t>
      </w:r>
      <w:r w:rsidDel="00000000" w:rsidR="00000000" w:rsidRPr="00000000">
        <w:rPr>
          <w:rFonts w:ascii="Palatino Linotype" w:cs="Palatino Linotype" w:eastAsia="Palatino Linotype" w:hAnsi="Palatino Linotype"/>
          <w:b w:val="1"/>
          <w:sz w:val="22"/>
          <w:szCs w:val="22"/>
          <w:rtl w:val="0"/>
        </w:rPr>
        <w:t xml:space="preserve">Oficialía Mayor </w:t>
      </w:r>
      <w:r w:rsidDel="00000000" w:rsidR="00000000" w:rsidRPr="00000000">
        <w:rPr>
          <w:rFonts w:ascii="Palatino Linotype" w:cs="Palatino Linotype" w:eastAsia="Palatino Linotype" w:hAnsi="Palatino Linotype"/>
          <w:sz w:val="22"/>
          <w:szCs w:val="22"/>
          <w:rtl w:val="0"/>
        </w:rPr>
        <w:t xml:space="preserve">y del</w:t>
      </w:r>
      <w:r w:rsidDel="00000000" w:rsidR="00000000" w:rsidRPr="00000000">
        <w:rPr>
          <w:rFonts w:ascii="Palatino Linotype" w:cs="Palatino Linotype" w:eastAsia="Palatino Linotype" w:hAnsi="Palatino Linotype"/>
          <w:b w:val="1"/>
          <w:sz w:val="22"/>
          <w:szCs w:val="22"/>
          <w:rtl w:val="0"/>
        </w:rPr>
        <w:t xml:space="preserve"> Subdirector de Recursos Humanos</w:t>
      </w:r>
      <w:r w:rsidDel="00000000" w:rsidR="00000000" w:rsidRPr="00000000">
        <w:rPr>
          <w:rFonts w:ascii="Palatino Linotype" w:cs="Palatino Linotype" w:eastAsia="Palatino Linotype" w:hAnsi="Palatino Linotype"/>
          <w:sz w:val="22"/>
          <w:szCs w:val="22"/>
          <w:rtl w:val="0"/>
        </w:rPr>
        <w:t xml:space="preserve">, las cuales de conformidad con lo establecido en el Reglamento Interior de la Administración Pública Municipal de Tlalnepantla de Baz, cuentan con las siguientes funciones: </w:t>
      </w:r>
    </w:p>
    <w:p w:rsidR="00000000" w:rsidDel="00000000" w:rsidP="00000000" w:rsidRDefault="00000000" w:rsidRPr="00000000" w14:paraId="0000006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21.</w:t>
      </w:r>
      <w:r w:rsidDel="00000000" w:rsidR="00000000" w:rsidRPr="00000000">
        <w:rPr>
          <w:rFonts w:ascii="Palatino Linotype" w:cs="Palatino Linotype" w:eastAsia="Palatino Linotype" w:hAnsi="Palatino Linotype"/>
          <w:i w:val="1"/>
          <w:sz w:val="22"/>
          <w:szCs w:val="22"/>
          <w:rtl w:val="0"/>
        </w:rPr>
        <w:t xml:space="preserve"> En el ejercicio de sus atribuciones y para el despacho eficiente, eficaz y expedito de las responsabilidades encomendadas, el Ayuntamiento contará con las siguientes dependencias, entidades y órganos autónomos:</w:t>
      </w:r>
    </w:p>
    <w:p w:rsidR="00000000" w:rsidDel="00000000" w:rsidP="00000000" w:rsidRDefault="00000000" w:rsidRPr="00000000" w14:paraId="0000006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6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Presidencia Municipal;</w:t>
      </w:r>
    </w:p>
    <w:p w:rsidR="00000000" w:rsidDel="00000000" w:rsidP="00000000" w:rsidRDefault="00000000" w:rsidRPr="00000000" w14:paraId="0000006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Secretaría del Ayuntamiento;</w:t>
      </w:r>
    </w:p>
    <w:p w:rsidR="00000000" w:rsidDel="00000000" w:rsidP="00000000" w:rsidRDefault="00000000" w:rsidRPr="00000000" w14:paraId="0000006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Secretaría de Integración Territorial;</w:t>
      </w:r>
    </w:p>
    <w:p w:rsidR="00000000" w:rsidDel="00000000" w:rsidP="00000000" w:rsidRDefault="00000000" w:rsidRPr="00000000" w14:paraId="0000006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Tesorería Municipal;</w:t>
      </w:r>
    </w:p>
    <w:p w:rsidR="00000000" w:rsidDel="00000000" w:rsidP="00000000" w:rsidRDefault="00000000" w:rsidRPr="00000000" w14:paraId="0000006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Contraloría Interna Municipal;</w:t>
      </w:r>
    </w:p>
    <w:p w:rsidR="00000000" w:rsidDel="00000000" w:rsidP="00000000" w:rsidRDefault="00000000" w:rsidRPr="00000000" w14:paraId="00000070">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Oficialía Mayor;</w:t>
      </w:r>
    </w:p>
    <w:p w:rsidR="00000000" w:rsidDel="00000000" w:rsidP="00000000" w:rsidRDefault="00000000" w:rsidRPr="00000000" w14:paraId="0000007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Dirección de Gobierno;</w:t>
      </w:r>
    </w:p>
    <w:p w:rsidR="00000000" w:rsidDel="00000000" w:rsidP="00000000" w:rsidRDefault="00000000" w:rsidRPr="00000000" w14:paraId="0000007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251.</w:t>
      </w:r>
      <w:r w:rsidDel="00000000" w:rsidR="00000000" w:rsidRPr="00000000">
        <w:rPr>
          <w:rFonts w:ascii="Palatino Linotype" w:cs="Palatino Linotype" w:eastAsia="Palatino Linotype" w:hAnsi="Palatino Linotype"/>
          <w:b w:val="1"/>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rtl w:val="0"/>
        </w:rPr>
        <w:t xml:space="preserve">Para el despacho de los asuntos de su competencia, la </w:t>
      </w:r>
      <w:r w:rsidDel="00000000" w:rsidR="00000000" w:rsidRPr="00000000">
        <w:rPr>
          <w:rFonts w:ascii="Palatino Linotype" w:cs="Palatino Linotype" w:eastAsia="Palatino Linotype" w:hAnsi="Palatino Linotype"/>
          <w:b w:val="1"/>
          <w:i w:val="1"/>
          <w:sz w:val="22"/>
          <w:szCs w:val="22"/>
          <w:rtl w:val="0"/>
        </w:rPr>
        <w:t xml:space="preserve">Oficialía Mayor, tendrá las siguientes facultades y obligaciones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Vigilar el cumplimiento de las disposiciones legales que regulen las relaciones entre las Dependencias de la Administración Pública Municipal y sus servidores públicos;</w:t>
      </w:r>
    </w:p>
    <w:p w:rsidR="00000000" w:rsidDel="00000000" w:rsidP="00000000" w:rsidRDefault="00000000" w:rsidRPr="00000000" w14:paraId="0000007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Poner a consideración de la persona titular de la Presidencia Municipal, los nombramientos, sueldos, renuncias, licencias y jubilaciones de las personas servidoras públicas de la Administración Pública Municipal, atendiendo a la normatividad aplicable, con excepción de aquellas personas servidoras públicas cuyo nombramiento sea determinado de manera distinta por otras disposiciones jurídicas vigentes;</w:t>
      </w:r>
    </w:p>
    <w:p w:rsidR="00000000" w:rsidDel="00000000" w:rsidP="00000000" w:rsidRDefault="00000000" w:rsidRPr="00000000" w14:paraId="0000007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Coordinar la integración del presupuesto del capítulo 1000 Servicios Personales y llevar el seguimiento de su ejercicio, a efecto de evitar impactos adicionales y sobregiros presupuestales;</w:t>
      </w:r>
    </w:p>
    <w:p w:rsidR="00000000" w:rsidDel="00000000" w:rsidP="00000000" w:rsidRDefault="00000000" w:rsidRPr="00000000" w14:paraId="0000007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Coordinar los trabajos de revisión anual del convenio colectivo de trabajo con la representación sindical, proyectando el costo de las prestaciones, atendiendo la capacidad financiera del Ayuntamiento; </w:t>
      </w:r>
    </w:p>
    <w:p w:rsidR="00000000" w:rsidDel="00000000" w:rsidP="00000000" w:rsidRDefault="00000000" w:rsidRPr="00000000" w14:paraId="0000007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Expedir y suscribir las credenciales y/o gafetes de identificación de las personas servidoras públicas municipales;</w:t>
      </w:r>
    </w:p>
    <w:p w:rsidR="00000000" w:rsidDel="00000000" w:rsidP="00000000" w:rsidRDefault="00000000" w:rsidRPr="00000000" w14:paraId="0000007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Dirigir acciones para que el escalafón de las personas servidoras públicas se aplique correctamente y se mantenga actualizado;</w:t>
      </w:r>
    </w:p>
    <w:p w:rsidR="00000000" w:rsidDel="00000000" w:rsidP="00000000" w:rsidRDefault="00000000" w:rsidRPr="00000000" w14:paraId="0000007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Planear el suministro oportuno a las dependencias, de los elementos y materiales de trabajo necesarios para el desempeño de sus funciones;</w:t>
      </w:r>
    </w:p>
    <w:p w:rsidR="00000000" w:rsidDel="00000000" w:rsidP="00000000" w:rsidRDefault="00000000" w:rsidRPr="00000000" w14:paraId="0000007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Controlar que el personal que las dependencias requieran sea debidamente seleccionado y contratado, cuando así lo establezcan las descripciones y especificaciones de los puestos, atendiendo a la normatividad aplicable;</w:t>
      </w:r>
    </w:p>
    <w:p w:rsidR="00000000" w:rsidDel="00000000" w:rsidP="00000000" w:rsidRDefault="00000000" w:rsidRPr="00000000" w14:paraId="0000007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Vigilar la integración de los expedientes del personal, así como la expedición de las credenciales de identificación laboral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Controlar que las adquisiciones y servicios cuenten previamente con la suficiencia presupuestal y demás documentación requerida incluyendo procedimiento de contratación;</w:t>
      </w:r>
    </w:p>
    <w:p w:rsidR="00000000" w:rsidDel="00000000" w:rsidP="00000000" w:rsidRDefault="00000000" w:rsidRPr="00000000" w14:paraId="0000007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252.</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Oficialía Mayor</w:t>
      </w:r>
      <w:r w:rsidDel="00000000" w:rsidR="00000000" w:rsidRPr="00000000">
        <w:rPr>
          <w:rFonts w:ascii="Palatino Linotype" w:cs="Palatino Linotype" w:eastAsia="Palatino Linotype" w:hAnsi="Palatino Linotype"/>
          <w:i w:val="1"/>
          <w:sz w:val="22"/>
          <w:szCs w:val="22"/>
          <w:rtl w:val="0"/>
        </w:rPr>
        <w:t xml:space="preserve"> contará con una persona titular que será responsable de la conducción, supervisión y ejecución de las funciones a que se refiere el artículo que antecede, y para su auxilio, </w:t>
      </w:r>
      <w:r w:rsidDel="00000000" w:rsidR="00000000" w:rsidRPr="00000000">
        <w:rPr>
          <w:rFonts w:ascii="Palatino Linotype" w:cs="Palatino Linotype" w:eastAsia="Palatino Linotype" w:hAnsi="Palatino Linotype"/>
          <w:b w:val="1"/>
          <w:i w:val="1"/>
          <w:sz w:val="22"/>
          <w:szCs w:val="22"/>
          <w:rtl w:val="0"/>
        </w:rPr>
        <w:t xml:space="preserve">tendrá a su cargo las siguientes unidades administrativas:</w:t>
        <w:br w:type="textWrapping"/>
      </w:r>
      <w:r w:rsidDel="00000000" w:rsidR="00000000" w:rsidRPr="00000000">
        <w:rPr>
          <w:rFonts w:ascii="Palatino Linotype" w:cs="Palatino Linotype" w:eastAsia="Palatino Linotype" w:hAnsi="Palatino Linotype"/>
          <w:i w:val="1"/>
          <w:sz w:val="22"/>
          <w:szCs w:val="22"/>
          <w:rtl w:val="0"/>
        </w:rPr>
        <w:t xml:space="preserve">I. Coordinación Técnica Administrativa;</w:t>
      </w:r>
    </w:p>
    <w:p w:rsidR="00000000" w:rsidDel="00000000" w:rsidP="00000000" w:rsidRDefault="00000000" w:rsidRPr="00000000" w14:paraId="0000008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Coordinación Jurídica;</w:t>
      </w:r>
    </w:p>
    <w:p w:rsidR="00000000" w:rsidDel="00000000" w:rsidP="00000000" w:rsidRDefault="00000000" w:rsidRPr="00000000" w14:paraId="0000008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Enlace Administrativo;</w:t>
      </w:r>
    </w:p>
    <w:p w:rsidR="00000000" w:rsidDel="00000000" w:rsidP="00000000" w:rsidRDefault="00000000" w:rsidRPr="00000000" w14:paraId="00000082">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Subdirección de Recursos Humanos;</w:t>
      </w:r>
    </w:p>
    <w:p w:rsidR="00000000" w:rsidDel="00000000" w:rsidP="00000000" w:rsidRDefault="00000000" w:rsidRPr="00000000" w14:paraId="0000008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Subdirección de Recursos Materiales; y</w:t>
      </w:r>
    </w:p>
    <w:p w:rsidR="00000000" w:rsidDel="00000000" w:rsidP="00000000" w:rsidRDefault="00000000" w:rsidRPr="00000000" w14:paraId="0000008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Subdirección de Servicios Generales.</w:t>
      </w:r>
    </w:p>
    <w:p w:rsidR="00000000" w:rsidDel="00000000" w:rsidP="00000000" w:rsidRDefault="00000000" w:rsidRPr="00000000" w14:paraId="0000008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259. </w:t>
      </w:r>
      <w:r w:rsidDel="00000000" w:rsidR="00000000" w:rsidRPr="00000000">
        <w:rPr>
          <w:rFonts w:ascii="Palatino Linotype" w:cs="Palatino Linotype" w:eastAsia="Palatino Linotype" w:hAnsi="Palatino Linotype"/>
          <w:i w:val="1"/>
          <w:sz w:val="22"/>
          <w:szCs w:val="22"/>
          <w:rtl w:val="0"/>
        </w:rPr>
        <w:t xml:space="preserve">Son facultades y obligaciones de la </w:t>
      </w:r>
      <w:r w:rsidDel="00000000" w:rsidR="00000000" w:rsidRPr="00000000">
        <w:rPr>
          <w:rFonts w:ascii="Palatino Linotype" w:cs="Palatino Linotype" w:eastAsia="Palatino Linotype" w:hAnsi="Palatino Linotype"/>
          <w:b w:val="1"/>
          <w:i w:val="1"/>
          <w:sz w:val="22"/>
          <w:szCs w:val="22"/>
          <w:rtl w:val="0"/>
        </w:rPr>
        <w:t xml:space="preserve">Subdirección de Recursos Humano</w:t>
      </w:r>
      <w:r w:rsidDel="00000000" w:rsidR="00000000" w:rsidRPr="00000000">
        <w:rPr>
          <w:rFonts w:ascii="Palatino Linotype" w:cs="Palatino Linotype" w:eastAsia="Palatino Linotype" w:hAnsi="Palatino Linotype"/>
          <w:i w:val="1"/>
          <w:sz w:val="22"/>
          <w:szCs w:val="22"/>
          <w:rtl w:val="0"/>
        </w:rPr>
        <w:t xml:space="preserve">s, las siguientes:</w:t>
      </w:r>
    </w:p>
    <w:p w:rsidR="00000000" w:rsidDel="00000000" w:rsidP="00000000" w:rsidRDefault="00000000" w:rsidRPr="00000000" w14:paraId="00000087">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rtl w:val="0"/>
        </w:rPr>
        <w:t xml:space="preserve">Administrar los recursos materiales, financieros, tecnológicos </w:t>
      </w:r>
      <w:r w:rsidDel="00000000" w:rsidR="00000000" w:rsidRPr="00000000">
        <w:rPr>
          <w:rFonts w:ascii="Palatino Linotype" w:cs="Palatino Linotype" w:eastAsia="Palatino Linotype" w:hAnsi="Palatino Linotype"/>
          <w:b w:val="1"/>
          <w:i w:val="1"/>
          <w:sz w:val="22"/>
          <w:szCs w:val="22"/>
          <w:u w:val="single"/>
          <w:rtl w:val="0"/>
        </w:rPr>
        <w:t xml:space="preserve">y humanos</w:t>
      </w:r>
      <w:r w:rsidDel="00000000" w:rsidR="00000000" w:rsidRPr="00000000">
        <w:rPr>
          <w:rFonts w:ascii="Palatino Linotype" w:cs="Palatino Linotype" w:eastAsia="Palatino Linotype" w:hAnsi="Palatino Linotype"/>
          <w:b w:val="1"/>
          <w:i w:val="1"/>
          <w:sz w:val="22"/>
          <w:szCs w:val="22"/>
          <w:rtl w:val="0"/>
        </w:rPr>
        <w:t xml:space="preserve"> a su cargo;</w:t>
      </w:r>
    </w:p>
    <w:p w:rsidR="00000000" w:rsidDel="00000000" w:rsidP="00000000" w:rsidRDefault="00000000" w:rsidRPr="00000000" w14:paraId="0000008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Acordar con la persona titular de la Oficialía Mayor, los asuntos de su competencia;</w:t>
      </w:r>
    </w:p>
    <w:p w:rsidR="00000000" w:rsidDel="00000000" w:rsidP="00000000" w:rsidRDefault="00000000" w:rsidRPr="00000000" w14:paraId="0000008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Proponer, previo acuerdo con la persona titular de la Oficialía Mayor, el nombramiento y remoción (altas, bajas, cambio de adscripción e incidencias laborales) del personal adscrito al Ayuntamiento, atendiendo la normatividad aplicable;</w:t>
      </w:r>
    </w:p>
    <w:p w:rsidR="00000000" w:rsidDel="00000000" w:rsidP="00000000" w:rsidRDefault="00000000" w:rsidRPr="00000000" w14:paraId="0000008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Dar seguimiento al desempeño de las unidades administrativas a su cargo;</w:t>
      </w:r>
    </w:p>
    <w:p w:rsidR="00000000" w:rsidDel="00000000" w:rsidP="00000000" w:rsidRDefault="00000000" w:rsidRPr="00000000" w14:paraId="0000008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Tramitar los nombramientos, credenciales, renuncias, licencias y jubilaciones de las personas servidoras públicas de la Administración Pública Municipal, en apego a la normatividad aplicable;</w:t>
      </w:r>
    </w:p>
    <w:p w:rsidR="00000000" w:rsidDel="00000000" w:rsidP="00000000" w:rsidRDefault="00000000" w:rsidRPr="00000000" w14:paraId="0000008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Mantener al corriente el escalafón de las personas trabajadoras al servicio del Ayuntamiento;</w:t>
      </w:r>
    </w:p>
    <w:p w:rsidR="00000000" w:rsidDel="00000000" w:rsidP="00000000" w:rsidRDefault="00000000" w:rsidRPr="00000000" w14:paraId="0000008E">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Llevar a cabo los trámites de selección y contratación del personal que requieran las Dependencias;</w:t>
      </w:r>
    </w:p>
    <w:p w:rsidR="00000000" w:rsidDel="00000000" w:rsidP="00000000" w:rsidRDefault="00000000" w:rsidRPr="00000000" w14:paraId="0000008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Coordinar la elaboración del Catálogo de Puestos por dependencia con el perfil de los puestos existentes, a efecto de optimizar los Recursos Humanos, de conformidad con la normatividad aplicable;</w:t>
      </w:r>
    </w:p>
    <w:p w:rsidR="00000000" w:rsidDel="00000000" w:rsidP="00000000" w:rsidRDefault="00000000" w:rsidRPr="00000000" w14:paraId="00000090">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XI. Supervisar la integración y actualización de expedientes del personal de las dependencias municipales;</w:t>
      </w:r>
    </w:p>
    <w:p w:rsidR="00000000" w:rsidDel="00000000" w:rsidP="00000000" w:rsidRDefault="00000000" w:rsidRPr="00000000" w14:paraId="0000009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Autorizar con su firma la expedición de Constancias de Prestación de Servicios a las personas servidoras públicas de la Administración Pública Municipal;</w:t>
      </w:r>
    </w:p>
    <w:p w:rsidR="00000000" w:rsidDel="00000000" w:rsidP="00000000" w:rsidRDefault="00000000" w:rsidRPr="00000000" w14:paraId="0000009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Formular y validar con su firma los oficios y circulares de carácter administrativo respecto de los asuntos de su competencia;</w:t>
      </w:r>
    </w:p>
    <w:p w:rsidR="00000000" w:rsidDel="00000000" w:rsidP="00000000" w:rsidRDefault="00000000" w:rsidRPr="00000000" w14:paraId="0000009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Acatar las políticas y disposiciones legales en materia de Administración de Personal;</w:t>
      </w:r>
    </w:p>
    <w:p w:rsidR="00000000" w:rsidDel="00000000" w:rsidP="00000000" w:rsidRDefault="00000000" w:rsidRPr="00000000" w14:paraId="0000009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Acordar con las personas titulares de sus Áreas, los asuntos de su competencia;</w:t>
      </w:r>
    </w:p>
    <w:p w:rsidR="00000000" w:rsidDel="00000000" w:rsidP="00000000" w:rsidRDefault="00000000" w:rsidRPr="00000000" w14:paraId="0000009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Diseñar y establecer los tabuladores de sueldos anuales del personal de la Administración Pública Municipal;</w:t>
      </w:r>
    </w:p>
    <w:p w:rsidR="00000000" w:rsidDel="00000000" w:rsidP="00000000" w:rsidRDefault="00000000" w:rsidRPr="00000000" w14:paraId="0000009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Efectuar la proyección anual del capítulo 1000 Servicios Personales del Presupuesto de Egresos, así como vigilar permanentemente su adecuado ejercicio, proponiendo las medidas y lineamientos para tal efecto;</w:t>
      </w:r>
    </w:p>
    <w:p w:rsidR="00000000" w:rsidDel="00000000" w:rsidP="00000000" w:rsidRDefault="00000000" w:rsidRPr="00000000" w14:paraId="00000097">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XVIII. Llevar a cabo el cálculo y la determinación de las nóminas ordinarias y extraordinarias, así como el pago de las remuneraciones y prestaciones las personas servidoras públicas municipales;</w:t>
      </w:r>
    </w:p>
    <w:p w:rsidR="00000000" w:rsidDel="00000000" w:rsidP="00000000" w:rsidRDefault="00000000" w:rsidRPr="00000000" w14:paraId="0000009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Impulsar y fortalecer la capacitación, actualización y certificación de las personas servidoras públicas municipales;</w:t>
      </w:r>
    </w:p>
    <w:p w:rsidR="00000000" w:rsidDel="00000000" w:rsidP="00000000" w:rsidRDefault="00000000" w:rsidRPr="00000000" w14:paraId="0000009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Llevar el registro de las personas servidoras públicas que hayan recibido capacitación y haber cursado la actualización, así como los que se hayan certificado;</w:t>
      </w:r>
    </w:p>
    <w:p w:rsidR="00000000" w:rsidDel="00000000" w:rsidP="00000000" w:rsidRDefault="00000000" w:rsidRPr="00000000" w14:paraId="0000009A">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XXI. Resguardar los expedientes de personal adscrito al Ayuntamiento; </w:t>
      </w:r>
    </w:p>
    <w:p w:rsidR="00000000" w:rsidDel="00000000" w:rsidP="00000000" w:rsidRDefault="00000000" w:rsidRPr="00000000" w14:paraId="0000009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Administrar el sistema de nómina y la Plataforma de Recaudación e Información de Seguridad Social PRISMA del ISSEMYM;</w:t>
      </w:r>
    </w:p>
    <w:p w:rsidR="00000000" w:rsidDel="00000000" w:rsidP="00000000" w:rsidRDefault="00000000" w:rsidRPr="00000000" w14:paraId="0000009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XXIII. Entregar los recibos de nómina a las personas servidoras públicas adscritas al Ayuntamiento;</w:t>
      </w:r>
    </w:p>
    <w:p w:rsidR="00000000" w:rsidDel="00000000" w:rsidP="00000000" w:rsidRDefault="00000000" w:rsidRPr="00000000" w14:paraId="0000009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Emitir el cálculo del impuesto sobre la renta, cuotas y aportaciones al ISSEMYM y el Impuesto sobre Erogaciones por Remuneraciones al Trabajo Personal (ISERTP);</w:t>
      </w:r>
    </w:p>
    <w:p w:rsidR="00000000" w:rsidDel="00000000" w:rsidP="00000000" w:rsidRDefault="00000000" w:rsidRPr="00000000" w14:paraId="0000009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Coadyuvar con la persona titular de la Coordinación Técnica Administrativa en las solicitudes de información que emita el Órgano Superior de Fiscalización del Estado de México, la Contraloría Interna Municipal y demás órganos de fiscalización competentes; y,</w:t>
      </w:r>
    </w:p>
    <w:p w:rsidR="00000000" w:rsidDel="00000000" w:rsidP="00000000" w:rsidRDefault="00000000" w:rsidRPr="00000000" w14:paraId="0000009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Las demás que le sean aplicables a través del marco normativo federal, estatal y municipal vigentes.”</w:t>
      </w:r>
    </w:p>
    <w:p w:rsidR="00000000" w:rsidDel="00000000" w:rsidP="00000000" w:rsidRDefault="00000000" w:rsidRPr="00000000" w14:paraId="000000A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esquematizado, se aprecia que en el asunto que nos ocupa, obra el pronunciamiento de las personas servidoras públicas habilitadas competentes, por consiguiente,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A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A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A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delimitado el ámbito competencial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procede al análisis de la información proporcionada, para ello debemos recordar que desde la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el expediente de los servidores públicos que integran la Unidad de Transparencia en versión pública, acompañado del acuerdo del Comité de Transparencia. Dicha circunstancia, motivó el recurso de revisión que en este acto se resuelve, por considerar que faltan documentos. </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se procede analizar cada requerimiento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con la finalidad de advertir si se colmó o no su derecho de acceso a la información pública.</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Expedientes con los que fueron dados de alta.</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de la solicitud, resulta conveniente traer a colación el artículo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47. Para ingresar al servicio público se requiere: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Presentar una solicitud utilizando la forma oficial que se autorice por la institución pública o dependencia correspondiente;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Ser de nacionalidad mexicana, con la excepción prevista en el artículo 17 de la presente ley;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Estar en pleno ejercicio de sus derechos civiles y políticos, en su caso;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Acreditar, cuando proceda, el cumplimiento de la Ley del Servicio Militar Nacional;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Derogada.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No haber sido separado anteriormente del servicio por las causas previstas en el artículo 93 de la presente ley;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Tener buena salud, lo que se comprobará con los certificados médicos correspondientes, en la forma en que se establezca en cada institución pública;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Cumplir con los requisitos que se establezcan para los diferentes puestos;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Acreditar por medio de los exámenes correspondientes los conocimientos y aptitudes necesarios para el desempeño del puesto; y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No estar inhabilitado para el ejercicio del servicio público.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Presentar certificado expedido por la Unidad del Registro de Deudores Alimentarios Morosos en el que conste, si se encuentra inscrito o no en el mismo.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Es así que, sobre el expediente del personal de los Sujetos Obligados, es que resulta oportuno traer a contexto el contenido del artículo 98 fracción XVII, de la Ley anteriormente mencionada que refiere que son obligaciones de las instituciones públicas, el </w:t>
      </w:r>
      <w:r w:rsidDel="00000000" w:rsidR="00000000" w:rsidRPr="00000000">
        <w:rPr>
          <w:rFonts w:ascii="Palatino Linotype" w:cs="Palatino Linotype" w:eastAsia="Palatino Linotype" w:hAnsi="Palatino Linotype"/>
          <w:b w:val="1"/>
          <w:sz w:val="22"/>
          <w:szCs w:val="22"/>
          <w:u w:val="single"/>
          <w:rtl w:val="0"/>
        </w:rPr>
        <w:t xml:space="preserve">integrar los expedientes de los servidores públicos</w:t>
      </w:r>
      <w:r w:rsidDel="00000000" w:rsidR="00000000" w:rsidRPr="00000000">
        <w:rPr>
          <w:rFonts w:ascii="Palatino Linotype" w:cs="Palatino Linotype" w:eastAsia="Palatino Linotype" w:hAnsi="Palatino Linotype"/>
          <w:sz w:val="22"/>
          <w:szCs w:val="22"/>
          <w:rtl w:val="0"/>
        </w:rPr>
        <w:t xml:space="preserve"> y proporcionar las constancias que éstos soliciten para el trámite de los asuntos de su interés en los términos que señalen los ordenamientos respectivos, se inserta su contenido íntegro:</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“TITULO CUARTO</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las Obligaciones de las Instituciones Públicas</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I</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las Obligaciones en General</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98. Son obligaciones de las instituciones públicas: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 Integrar los expedientes de los servidores públicos </w:t>
      </w:r>
      <w:r w:rsidDel="00000000" w:rsidR="00000000" w:rsidRPr="00000000">
        <w:rPr>
          <w:rFonts w:ascii="Palatino Linotype" w:cs="Palatino Linotype" w:eastAsia="Palatino Linotype" w:hAnsi="Palatino Linotype"/>
          <w:i w:val="1"/>
          <w:sz w:val="22"/>
          <w:szCs w:val="22"/>
          <w:rtl w:val="0"/>
        </w:rPr>
        <w:t xml:space="preserve">y proporcionar las constancias que éstos soliciten para el trámite de los asuntos de su interés en los términos que señalen los ordenamientos respectivos.</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lo expuesto hasta este punto, se tiene la obligación de integrar el expediente de personal, donde obran todos aquellos documentos que se relacionan con cada uno de los servidores públicos, así como los documentos que amparen que se cumplieron los requisitos establecidos en el artículo 47 de la Ley en Materia.</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anteriormente expuesto, resulta importante señalar que la Subdirección de Recursos Humanos, unidad administrativa competenete hizo entrega del listado de servidores públicos que se encuentran adscritos a la Unidad de Transparencia, tal y como se logra observar a continuación: </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050290"/>
            <wp:effectExtent b="0" l="0" r="0" t="0"/>
            <wp:docPr id="214310826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2130" cy="105029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 conformidad con lo reportado en el Portal de Información Pública de Oficio Mexiquense (IPOMEX), se advierte que la Unidad de Transparencia también cuenta con una Jefa de Unidad de Transparencia, tal como se desprende de la siguiente imagen ilustrativa:</w:t>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365500"/>
            <wp:effectExtent b="0" l="0" r="0" t="0"/>
            <wp:docPr id="214310825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1213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advierte que la Unidad de Transparencia se encuentra conformada por cinco servidores públicos, incluyendo la Titular de la Unidad de Transparencia.  </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es necesario recordar que la </w:t>
      </w:r>
      <w:r w:rsidDel="00000000" w:rsidR="00000000" w:rsidRPr="00000000">
        <w:rPr>
          <w:rFonts w:ascii="Palatino Linotype" w:cs="Palatino Linotype" w:eastAsia="Palatino Linotype" w:hAnsi="Palatino Linotype"/>
          <w:b w:val="1"/>
          <w:sz w:val="22"/>
          <w:szCs w:val="22"/>
          <w:rtl w:val="0"/>
        </w:rPr>
        <w:t xml:space="preserve">Oficialía Mayor </w:t>
      </w:r>
      <w:r w:rsidDel="00000000" w:rsidR="00000000" w:rsidRPr="00000000">
        <w:rPr>
          <w:rFonts w:ascii="Palatino Linotype" w:cs="Palatino Linotype" w:eastAsia="Palatino Linotype" w:hAnsi="Palatino Linotype"/>
          <w:sz w:val="22"/>
          <w:szCs w:val="22"/>
          <w:rtl w:val="0"/>
        </w:rPr>
        <w:t xml:space="preserve">en coordinación con la</w:t>
      </w:r>
      <w:r w:rsidDel="00000000" w:rsidR="00000000" w:rsidRPr="00000000">
        <w:rPr>
          <w:rFonts w:ascii="Palatino Linotype" w:cs="Palatino Linotype" w:eastAsia="Palatino Linotype" w:hAnsi="Palatino Linotype"/>
          <w:b w:val="1"/>
          <w:sz w:val="22"/>
          <w:szCs w:val="22"/>
          <w:rtl w:val="0"/>
        </w:rPr>
        <w:t xml:space="preserve"> Subdirección de Recursos Humanos</w:t>
      </w:r>
      <w:r w:rsidDel="00000000" w:rsidR="00000000" w:rsidRPr="00000000">
        <w:rPr>
          <w:rFonts w:ascii="Palatino Linotype" w:cs="Palatino Linotype" w:eastAsia="Palatino Linotype" w:hAnsi="Palatino Linotype"/>
          <w:sz w:val="22"/>
          <w:szCs w:val="22"/>
          <w:rtl w:val="0"/>
        </w:rPr>
        <w:t xml:space="preserve">, son las áreas que otorgaron respuesta a la presente solicitud de información, las cuales, cuentan con atribuciones, facultades y competencias para generar, administrar y poseer la información relativa a los expedientes laborales de los servidores públicos adscritos a la Unidad de Transparencia del Ayuntamiento de Tlalnepantla de Baz. </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conveniente realizar el siguiente recuadro comparativo, a efecto de esquematizar los requisitos contemplados por la norma en confronta con la información que proporcionó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esto con la finalidad de verificar si se colma la totalidad de los requerimientos:</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tbl>
      <w:tblPr>
        <w:tblStyle w:val="Table1"/>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2348"/>
        <w:gridCol w:w="2513"/>
        <w:gridCol w:w="2935"/>
        <w:tblGridChange w:id="0">
          <w:tblGrid>
            <w:gridCol w:w="704"/>
            <w:gridCol w:w="2348"/>
            <w:gridCol w:w="2513"/>
            <w:gridCol w:w="2935"/>
          </w:tblGrid>
        </w:tblGridChange>
      </w:tblGrid>
      <w:tr>
        <w:trPr>
          <w:cantSplit w:val="0"/>
          <w:tblHeader w:val="0"/>
        </w:trPr>
        <w:tc>
          <w:tcPr>
            <w:shd w:fill="ddd9c4" w:val="clear"/>
          </w:tcPr>
          <w:p w:rsidR="00000000" w:rsidDel="00000000" w:rsidP="00000000" w:rsidRDefault="00000000" w:rsidRPr="00000000" w14:paraId="000000DA">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tc>
        <w:tc>
          <w:tcPr>
            <w:shd w:fill="ddd9c4" w:val="clear"/>
          </w:tcPr>
          <w:p w:rsidR="00000000" w:rsidDel="00000000" w:rsidP="00000000" w:rsidRDefault="00000000" w:rsidRPr="00000000" w14:paraId="000000DB">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REQUISITOS CONFORME A LA NORMATIVIDAD</w:t>
            </w:r>
          </w:p>
        </w:tc>
        <w:tc>
          <w:tcPr>
            <w:shd w:fill="ddd9c4" w:val="clear"/>
          </w:tcPr>
          <w:p w:rsidR="00000000" w:rsidDel="00000000" w:rsidP="00000000" w:rsidRDefault="00000000" w:rsidRPr="00000000" w14:paraId="000000DC">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PROPORCIONADA</w:t>
            </w:r>
          </w:p>
        </w:tc>
        <w:tc>
          <w:tcPr>
            <w:shd w:fill="ddd9c4" w:val="clear"/>
          </w:tcPr>
          <w:p w:rsidR="00000000" w:rsidDel="00000000" w:rsidP="00000000" w:rsidRDefault="00000000" w:rsidRPr="00000000" w14:paraId="000000DD">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¿COLMA?</w:t>
            </w:r>
          </w:p>
        </w:tc>
      </w:tr>
      <w:tr>
        <w:trPr>
          <w:cantSplit w:val="0"/>
          <w:tblHeader w:val="0"/>
        </w:trPr>
        <w:tc>
          <w:tcPr>
            <w:shd w:fill="auto" w:val="clear"/>
          </w:tcPr>
          <w:p w:rsidR="00000000" w:rsidDel="00000000" w:rsidP="00000000" w:rsidRDefault="00000000" w:rsidRPr="00000000" w14:paraId="000000DE">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shd w:fill="auto" w:val="clear"/>
          </w:tcPr>
          <w:p w:rsidR="00000000" w:rsidDel="00000000" w:rsidP="00000000" w:rsidRDefault="00000000" w:rsidRPr="00000000" w14:paraId="000000DF">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Presentar una solicitud utilizando la forma oficial que se autorice por la institución pública o dependencia correspondiente.</w:t>
            </w:r>
          </w:p>
        </w:tc>
        <w:tc>
          <w:tcPr>
            <w:shd w:fill="auto" w:val="clear"/>
          </w:tcPr>
          <w:p w:rsidR="00000000" w:rsidDel="00000000" w:rsidP="00000000" w:rsidRDefault="00000000" w:rsidRPr="00000000" w14:paraId="000000E0">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 solicitud de empleo y ficha curricular en versión pública.</w:t>
            </w:r>
          </w:p>
        </w:tc>
        <w:tc>
          <w:tcPr>
            <w:shd w:fill="auto" w:val="clear"/>
          </w:tcPr>
          <w:p w:rsidR="00000000" w:rsidDel="00000000" w:rsidP="00000000" w:rsidRDefault="00000000" w:rsidRPr="00000000" w14:paraId="000000E1">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 </w:t>
            </w:r>
          </w:p>
          <w:p w:rsidR="00000000" w:rsidDel="00000000" w:rsidP="00000000" w:rsidRDefault="00000000" w:rsidRPr="00000000" w14:paraId="000000E2">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Únicamente hizo entrega de la solicitud de empleo y ficha curricular de la titular, haciendo falta los demás servidores públicos.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3">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shd w:fill="auto" w:val="clear"/>
          </w:tcPr>
          <w:p w:rsidR="00000000" w:rsidDel="00000000" w:rsidP="00000000" w:rsidRDefault="00000000" w:rsidRPr="00000000" w14:paraId="000000E4">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Ser de nacionalidad mexicana.</w:t>
            </w:r>
          </w:p>
        </w:tc>
        <w:tc>
          <w:tcPr>
            <w:shd w:fill="auto" w:val="clear"/>
          </w:tcPr>
          <w:p w:rsidR="00000000" w:rsidDel="00000000" w:rsidP="00000000" w:rsidRDefault="00000000" w:rsidRPr="00000000" w14:paraId="000000E5">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clasificó como confidencial</w:t>
            </w:r>
          </w:p>
        </w:tc>
        <w:tc>
          <w:tcPr>
            <w:shd w:fill="auto" w:val="clear"/>
          </w:tcPr>
          <w:p w:rsidR="00000000" w:rsidDel="00000000" w:rsidP="00000000" w:rsidRDefault="00000000" w:rsidRPr="00000000" w14:paraId="000000E6">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Atendió </w:t>
            </w:r>
          </w:p>
          <w:p w:rsidR="00000000" w:rsidDel="00000000" w:rsidP="00000000" w:rsidRDefault="00000000" w:rsidRPr="00000000" w14:paraId="000000E7">
            <w:pPr>
              <w:spacing w:line="276" w:lineRule="auto"/>
              <w:ind w:right="34"/>
              <w:jc w:val="center"/>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8">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auto" w:val="clear"/>
          </w:tcPr>
          <w:p w:rsidR="00000000" w:rsidDel="00000000" w:rsidP="00000000" w:rsidRDefault="00000000" w:rsidRPr="00000000" w14:paraId="000000E9">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Estar en pleno ejercicio de sus derechos civiles y políticos. </w:t>
            </w:r>
          </w:p>
        </w:tc>
        <w:tc>
          <w:tcPr>
            <w:shd w:fill="auto" w:val="clear"/>
          </w:tcPr>
          <w:p w:rsidR="00000000" w:rsidDel="00000000" w:rsidP="00000000" w:rsidRDefault="00000000" w:rsidRPr="00000000" w14:paraId="000000EA">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del cuatro Informes de no antecedentes penales correspondientes a cuatros servidores públicos en versión pública</w:t>
            </w:r>
          </w:p>
        </w:tc>
        <w:tc>
          <w:tcPr>
            <w:shd w:fill="auto" w:val="clear"/>
          </w:tcPr>
          <w:p w:rsidR="00000000" w:rsidDel="00000000" w:rsidP="00000000" w:rsidRDefault="00000000" w:rsidRPr="00000000" w14:paraId="000000EB">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 </w:t>
            </w:r>
          </w:p>
          <w:p w:rsidR="00000000" w:rsidDel="00000000" w:rsidP="00000000" w:rsidRDefault="00000000" w:rsidRPr="00000000" w14:paraId="000000EC">
            <w:pPr>
              <w:spacing w:line="276"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Únicamente hizo entrega de los servidores públicos que refiere en el listado entregado, haciendo falta lo referente al Jefe de la Unidad de Transparencia</w:t>
            </w:r>
          </w:p>
        </w:tc>
      </w:tr>
      <w:tr>
        <w:trPr>
          <w:cantSplit w:val="0"/>
          <w:tblHeader w:val="0"/>
        </w:trPr>
        <w:tc>
          <w:tcPr>
            <w:shd w:fill="auto" w:val="clear"/>
          </w:tcPr>
          <w:p w:rsidR="00000000" w:rsidDel="00000000" w:rsidP="00000000" w:rsidRDefault="00000000" w:rsidRPr="00000000" w14:paraId="000000ED">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Pr>
          <w:p w:rsidR="00000000" w:rsidDel="00000000" w:rsidP="00000000" w:rsidRDefault="00000000" w:rsidRPr="00000000" w14:paraId="000000EE">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Acreditar, cuando proceda, el cumplimiento de la Ley del Servicio Militar Nacional;</w:t>
            </w:r>
          </w:p>
        </w:tc>
        <w:tc>
          <w:tcPr>
            <w:shd w:fill="auto" w:val="clear"/>
          </w:tcPr>
          <w:p w:rsidR="00000000" w:rsidDel="00000000" w:rsidP="00000000" w:rsidRDefault="00000000" w:rsidRPr="00000000" w14:paraId="000000EF">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realizó pronunciamiento alguno </w:t>
            </w:r>
          </w:p>
        </w:tc>
        <w:tc>
          <w:tcPr>
            <w:shd w:fill="auto" w:val="clear"/>
          </w:tcPr>
          <w:p w:rsidR="00000000" w:rsidDel="00000000" w:rsidP="00000000" w:rsidRDefault="00000000" w:rsidRPr="00000000" w14:paraId="000000F0">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atendió </w:t>
            </w:r>
          </w:p>
          <w:p w:rsidR="00000000" w:rsidDel="00000000" w:rsidP="00000000" w:rsidRDefault="00000000" w:rsidRPr="00000000" w14:paraId="000000F1">
            <w:pPr>
              <w:spacing w:line="276"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 un documento que debe ser clasificado en su totalidad como confidencial.</w:t>
            </w:r>
          </w:p>
        </w:tc>
      </w:tr>
      <w:tr>
        <w:trPr>
          <w:cantSplit w:val="0"/>
          <w:tblHeader w:val="0"/>
        </w:trPr>
        <w:tc>
          <w:tcPr>
            <w:shd w:fill="auto" w:val="clear"/>
          </w:tcPr>
          <w:p w:rsidR="00000000" w:rsidDel="00000000" w:rsidP="00000000" w:rsidRDefault="00000000" w:rsidRPr="00000000" w14:paraId="000000F2">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w:t>
            </w:r>
          </w:p>
        </w:tc>
        <w:tc>
          <w:tcPr>
            <w:shd w:fill="auto" w:val="clear"/>
          </w:tcPr>
          <w:p w:rsidR="00000000" w:rsidDel="00000000" w:rsidP="00000000" w:rsidRDefault="00000000" w:rsidRPr="00000000" w14:paraId="000000F3">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haber sido separado anteriormente del servicio por las causas previstas en el artículo 93 de la Ley de Trabajo de los Servidores Públicos de la Entidad.</w:t>
            </w:r>
          </w:p>
        </w:tc>
        <w:tc>
          <w:tcPr>
            <w:shd w:fill="auto" w:val="clear"/>
          </w:tcPr>
          <w:p w:rsidR="00000000" w:rsidDel="00000000" w:rsidP="00000000" w:rsidRDefault="00000000" w:rsidRPr="00000000" w14:paraId="000000F4">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 las Constancias de no inhabilitación de cuatro servidores públicos en versión pública </w:t>
            </w:r>
          </w:p>
        </w:tc>
        <w:tc>
          <w:tcPr>
            <w:shd w:fill="auto" w:val="clear"/>
          </w:tcPr>
          <w:p w:rsidR="00000000" w:rsidDel="00000000" w:rsidP="00000000" w:rsidRDefault="00000000" w:rsidRPr="00000000" w14:paraId="000000F5">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 </w:t>
            </w:r>
          </w:p>
          <w:p w:rsidR="00000000" w:rsidDel="00000000" w:rsidP="00000000" w:rsidRDefault="00000000" w:rsidRPr="00000000" w14:paraId="000000F6">
            <w:pPr>
              <w:spacing w:line="276"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Únicamente hizo entrega de los servidores públicos que refiere en el listado entregado, haciendo falta lo referente al Jefe de la Unidad de Transparencia</w:t>
            </w:r>
          </w:p>
        </w:tc>
      </w:tr>
      <w:tr>
        <w:trPr>
          <w:cantSplit w:val="0"/>
          <w:tblHeader w:val="0"/>
        </w:trPr>
        <w:tc>
          <w:tcPr>
            <w:shd w:fill="auto" w:val="clear"/>
          </w:tcPr>
          <w:p w:rsidR="00000000" w:rsidDel="00000000" w:rsidP="00000000" w:rsidRDefault="00000000" w:rsidRPr="00000000" w14:paraId="000000F7">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6</w:t>
            </w:r>
          </w:p>
        </w:tc>
        <w:tc>
          <w:tcPr>
            <w:shd w:fill="auto" w:val="clear"/>
          </w:tcPr>
          <w:p w:rsidR="00000000" w:rsidDel="00000000" w:rsidP="00000000" w:rsidRDefault="00000000" w:rsidRPr="00000000" w14:paraId="000000F8">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Tener buena salud</w:t>
            </w:r>
          </w:p>
        </w:tc>
        <w:tc>
          <w:tcPr>
            <w:shd w:fill="auto" w:val="clear"/>
          </w:tcPr>
          <w:p w:rsidR="00000000" w:rsidDel="00000000" w:rsidP="00000000" w:rsidRDefault="00000000" w:rsidRPr="00000000" w14:paraId="000000F9">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clasifico como confidencial los certificados médicos </w:t>
            </w:r>
          </w:p>
        </w:tc>
        <w:tc>
          <w:tcPr>
            <w:shd w:fill="auto" w:val="clear"/>
          </w:tcPr>
          <w:p w:rsidR="00000000" w:rsidDel="00000000" w:rsidP="00000000" w:rsidRDefault="00000000" w:rsidRPr="00000000" w14:paraId="000000FA">
            <w:pPr>
              <w:spacing w:line="276"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Atendió </w:t>
            </w:r>
          </w:p>
        </w:tc>
      </w:tr>
      <w:tr>
        <w:trPr>
          <w:cantSplit w:val="0"/>
          <w:tblHeader w:val="0"/>
        </w:trPr>
        <w:tc>
          <w:tcPr>
            <w:shd w:fill="auto" w:val="clear"/>
          </w:tcPr>
          <w:p w:rsidR="00000000" w:rsidDel="00000000" w:rsidP="00000000" w:rsidRDefault="00000000" w:rsidRPr="00000000" w14:paraId="000000FB">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7</w:t>
            </w:r>
          </w:p>
        </w:tc>
        <w:tc>
          <w:tcPr>
            <w:vAlign w:val="center"/>
          </w:tcPr>
          <w:p w:rsidR="00000000" w:rsidDel="00000000" w:rsidP="00000000" w:rsidRDefault="00000000" w:rsidRPr="00000000" w14:paraId="000000FC">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Cumplir con los requisitos que se establezcan para los diferentes puestos.</w:t>
            </w:r>
          </w:p>
        </w:tc>
        <w:tc>
          <w:tcPr>
            <w:vAlign w:val="center"/>
          </w:tcPr>
          <w:p w:rsidR="00000000" w:rsidDel="00000000" w:rsidP="00000000" w:rsidRDefault="00000000" w:rsidRPr="00000000" w14:paraId="000000FD">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artículo 57 de la Ley de Transparencia a y Acceso a la Información Pública del Estado de México y Municipios establece que para ser nombrado titular de la Unidad de Transparencia, deberá contar con certificación en materia de acceso a la información, transparencia y protección de datos personales, que para tal efecto emita el Instituto. </w:t>
            </w:r>
          </w:p>
        </w:tc>
        <w:tc>
          <w:tcPr>
            <w:vAlign w:val="center"/>
          </w:tcPr>
          <w:p w:rsidR="00000000" w:rsidDel="00000000" w:rsidP="00000000" w:rsidRDefault="00000000" w:rsidRPr="00000000" w14:paraId="000000FE">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Atendió</w:t>
            </w:r>
          </w:p>
          <w:p w:rsidR="00000000" w:rsidDel="00000000" w:rsidP="00000000" w:rsidRDefault="00000000" w:rsidRPr="00000000" w14:paraId="000000FF">
            <w:pPr>
              <w:tabs>
                <w:tab w:val="left" w:leader="none" w:pos="284"/>
                <w:tab w:val="left" w:leader="none" w:pos="426"/>
              </w:tabs>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del certificado de competencia laboral en el estándar de competencia “</w:t>
            </w:r>
            <w:r w:rsidDel="00000000" w:rsidR="00000000" w:rsidRPr="00000000">
              <w:rPr>
                <w:rFonts w:ascii="Palatino Linotype" w:cs="Palatino Linotype" w:eastAsia="Palatino Linotype" w:hAnsi="Palatino Linotype"/>
                <w:i w:val="1"/>
                <w:sz w:val="20"/>
                <w:szCs w:val="20"/>
                <w:rtl w:val="0"/>
              </w:rPr>
              <w:t xml:space="preserve">Garantizar el Derecho de Acceso a la Información Pública</w:t>
            </w:r>
            <w:r w:rsidDel="00000000" w:rsidR="00000000" w:rsidRPr="00000000">
              <w:rPr>
                <w:rFonts w:ascii="Palatino Linotype" w:cs="Palatino Linotype" w:eastAsia="Palatino Linotype" w:hAnsi="Palatino Linotype"/>
                <w:sz w:val="20"/>
                <w:szCs w:val="20"/>
                <w:rtl w:val="0"/>
              </w:rPr>
              <w:t xml:space="preserve">”, en versión pública de la Titular de Transparencia. </w:t>
            </w:r>
          </w:p>
          <w:p w:rsidR="00000000" w:rsidDel="00000000" w:rsidP="00000000" w:rsidRDefault="00000000" w:rsidRPr="00000000" w14:paraId="00000100">
            <w:pPr>
              <w:spacing w:line="276" w:lineRule="auto"/>
              <w:ind w:right="-150"/>
              <w:jc w:val="both"/>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1">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8</w:t>
            </w:r>
          </w:p>
        </w:tc>
        <w:tc>
          <w:tcPr>
            <w:vAlign w:val="center"/>
          </w:tcPr>
          <w:p w:rsidR="00000000" w:rsidDel="00000000" w:rsidP="00000000" w:rsidRDefault="00000000" w:rsidRPr="00000000" w14:paraId="00000102">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Acreditar por medio de los exámenes correspondientes los conocimientos y aptitudes necesarios para el desempeño del puesto.</w:t>
            </w:r>
          </w:p>
        </w:tc>
        <w:tc>
          <w:tcPr>
            <w:vAlign w:val="center"/>
          </w:tcPr>
          <w:p w:rsidR="00000000" w:rsidDel="00000000" w:rsidP="00000000" w:rsidRDefault="00000000" w:rsidRPr="00000000" w14:paraId="00000103">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caso particular, según información obtenida de la fracción XII del artículo 92 de la Ley de Transparencia Local, relativa al “Perfil de puestos de los servidores públicos” contenida en el IPOMEX, no se establecen requisitos adicionales a los previstos en la normatividad.</w:t>
            </w:r>
          </w:p>
        </w:tc>
        <w:tc>
          <w:tcPr>
            <w:vAlign w:val="center"/>
          </w:tcPr>
          <w:p w:rsidR="00000000" w:rsidDel="00000000" w:rsidP="00000000" w:rsidRDefault="00000000" w:rsidRPr="00000000" w14:paraId="00000104">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N/A</w:t>
            </w:r>
          </w:p>
          <w:p w:rsidR="00000000" w:rsidDel="00000000" w:rsidP="00000000" w:rsidRDefault="00000000" w:rsidRPr="00000000" w14:paraId="00000105">
            <w:pPr>
              <w:tabs>
                <w:tab w:val="left" w:leader="none" w:pos="284"/>
                <w:tab w:val="left" w:leader="none" w:pos="426"/>
              </w:tabs>
              <w:ind w:right="49"/>
              <w:jc w:val="both"/>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6">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9</w:t>
            </w:r>
          </w:p>
        </w:tc>
        <w:tc>
          <w:tcPr>
            <w:vAlign w:val="center"/>
          </w:tcPr>
          <w:p w:rsidR="00000000" w:rsidDel="00000000" w:rsidP="00000000" w:rsidRDefault="00000000" w:rsidRPr="00000000" w14:paraId="00000107">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estar inhabilitado para el ejercicio del servicio público</w:t>
            </w:r>
          </w:p>
        </w:tc>
        <w:tc>
          <w:tcPr>
            <w:vAlign w:val="center"/>
          </w:tcPr>
          <w:p w:rsidR="00000000" w:rsidDel="00000000" w:rsidP="00000000" w:rsidRDefault="00000000" w:rsidRPr="00000000" w14:paraId="00000108">
            <w:pPr>
              <w:spacing w:line="276"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9">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 las Constancias de no inhabilitación de cuatro servidores públicos en versión pública</w:t>
            </w:r>
          </w:p>
        </w:tc>
        <w:tc>
          <w:tcPr>
            <w:vAlign w:val="center"/>
          </w:tcPr>
          <w:p w:rsidR="00000000" w:rsidDel="00000000" w:rsidP="00000000" w:rsidRDefault="00000000" w:rsidRPr="00000000" w14:paraId="0000010A">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 </w:t>
            </w:r>
          </w:p>
          <w:p w:rsidR="00000000" w:rsidDel="00000000" w:rsidP="00000000" w:rsidRDefault="00000000" w:rsidRPr="00000000" w14:paraId="0000010B">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Únicamente hizo entrega de los servidores públicos que refiere en el listado entregado, haciendo falta lo referente al Jefe de la Unidad de Transparencia</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C">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vAlign w:val="center"/>
          </w:tcPr>
          <w:p w:rsidR="00000000" w:rsidDel="00000000" w:rsidP="00000000" w:rsidRDefault="00000000" w:rsidRPr="00000000" w14:paraId="0000010D">
            <w:pPr>
              <w:spacing w:line="276" w:lineRule="auto"/>
              <w:ind w:right="4"/>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Presentar certificado expedido por la Unidad del Registro de Deudores Alimentarios Morosos en el que conste, si se encuentra inscrito o no en el mismo.</w:t>
            </w:r>
          </w:p>
        </w:tc>
        <w:tc>
          <w:tcPr>
            <w:vAlign w:val="center"/>
          </w:tcPr>
          <w:p w:rsidR="00000000" w:rsidDel="00000000" w:rsidP="00000000" w:rsidRDefault="00000000" w:rsidRPr="00000000" w14:paraId="0000010E">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del Certificado de no Deudor Alimentario Moroso de tres servidores públicos en versión pública</w:t>
            </w:r>
          </w:p>
        </w:tc>
        <w:tc>
          <w:tcPr>
            <w:vAlign w:val="center"/>
          </w:tcPr>
          <w:p w:rsidR="00000000" w:rsidDel="00000000" w:rsidP="00000000" w:rsidRDefault="00000000" w:rsidRPr="00000000" w14:paraId="0000010F">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 </w:t>
            </w:r>
          </w:p>
          <w:p w:rsidR="00000000" w:rsidDel="00000000" w:rsidP="00000000" w:rsidRDefault="00000000" w:rsidRPr="00000000" w14:paraId="00000110">
            <w:pPr>
              <w:tabs>
                <w:tab w:val="left" w:leader="none" w:pos="27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Únicamente hizo entrega de tres de los servidores públicos que refiere en el listado entregado, haciendo falta un servidor público y el Jefe de la Unidad de Transparencia</w:t>
            </w:r>
            <w:r w:rsidDel="00000000" w:rsidR="00000000" w:rsidRPr="00000000">
              <w:rPr>
                <w:rtl w:val="0"/>
              </w:rPr>
            </w:r>
          </w:p>
        </w:tc>
      </w:tr>
    </w:tbl>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76"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aprecia del recuadro de referencia,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parcialmente atendió los requerimientos del particular proporcionando los soportes documentales que obran en sus archivos; sin embargo, se visualiza que </w:t>
      </w:r>
      <w:r w:rsidDel="00000000" w:rsidR="00000000" w:rsidRPr="00000000">
        <w:rPr>
          <w:rFonts w:ascii="Palatino Linotype" w:cs="Palatino Linotype" w:eastAsia="Palatino Linotype" w:hAnsi="Palatino Linotype"/>
          <w:b w:val="1"/>
          <w:sz w:val="22"/>
          <w:szCs w:val="22"/>
          <w:u w:val="single"/>
          <w:rtl w:val="0"/>
        </w:rPr>
        <w:t xml:space="preserve">faltaron documentos por entregar</w:t>
      </w:r>
      <w:r w:rsidDel="00000000" w:rsidR="00000000" w:rsidRPr="00000000">
        <w:rPr>
          <w:rFonts w:ascii="Palatino Linotype" w:cs="Palatino Linotype" w:eastAsia="Palatino Linotype" w:hAnsi="Palatino Linotype"/>
          <w:sz w:val="22"/>
          <w:szCs w:val="22"/>
          <w:rtl w:val="0"/>
        </w:rPr>
        <w:t xml:space="preserve">, tales como solicitudes de empleo, fichas curriculares, Informes de no antecedentes penales, Constancia de No Inhabilitación para poder desempeñar el cargo y Certificado de no deudor alimentario de algunos servidores públicos; asimismo,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omitió clasificar como confidencial</w:t>
      </w:r>
      <w:r w:rsidDel="00000000" w:rsidR="00000000" w:rsidRPr="00000000">
        <w:rPr>
          <w:rFonts w:ascii="Palatino Linotype" w:cs="Palatino Linotype" w:eastAsia="Palatino Linotype" w:hAnsi="Palatino Linotype"/>
          <w:sz w:val="22"/>
          <w:szCs w:val="22"/>
          <w:rtl w:val="0"/>
        </w:rPr>
        <w:t xml:space="preserve">, la cartilla militar.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y a efecto de garantizar el derecho de acceso a la información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es necesario analizar la naturaleza de los mismos y determinar si colma con cada uno de los requerimientos. </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426"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empleo o documento análogo</w:t>
      </w:r>
    </w:p>
    <w:p w:rsidR="00000000" w:rsidDel="00000000" w:rsidP="00000000" w:rsidRDefault="00000000" w:rsidRPr="00000000" w14:paraId="00000117">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rsidR="00000000" w:rsidDel="00000000" w:rsidP="00000000" w:rsidRDefault="00000000" w:rsidRPr="00000000" w14:paraId="00000118">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necesario referir que de acuerdo con el artículo 47 de la Ley de Trabajo de los Servidores Públicos del Estado de México, para ingresar al servicio público se requiere presentar una solicitud por escrito, es decir, la entrega de este documento resulta ser un requisito indispensable para poder prestar servicios dentro de la Administración Pública. </w:t>
      </w:r>
    </w:p>
    <w:p w:rsidR="00000000" w:rsidDel="00000000" w:rsidP="00000000" w:rsidRDefault="00000000" w:rsidRPr="00000000" w14:paraId="0000011A">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y Municipios, se debe proporcionar en versión pública; sin embargo,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pronunciarse sobre las solicitudes de empleo de todos los servidores públicos que integran la Unidad de Transparencia, puesto que únicamente hizo entrega de la correspondiente a la Titular de la Unidad, por lo que al ser un documento obligatorio para ingresar al servicio público se presume que debe obrar en los archivos de dicho ente público; por lo tanto procede ordenar su entrega en versión pública de los servidores públicos faltantes.</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numPr>
          <w:ilvl w:val="0"/>
          <w:numId w:val="8"/>
        </w:numPr>
        <w:pBdr>
          <w:top w:space="0" w:sz="0" w:val="nil"/>
          <w:left w:space="0" w:sz="0" w:val="nil"/>
          <w:bottom w:space="0" w:sz="0" w:val="nil"/>
          <w:right w:space="0" w:sz="0" w:val="nil"/>
          <w:between w:space="0" w:sz="0" w:val="nil"/>
        </w:pBdr>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Currículum vitae </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720" w:hanging="36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de análisis, es el 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cuenta con las capacidades, conocimientos y experiencia necesaria para el cabal cumplimiento de sus funciones.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que se sustenta, con lo señalado por el entonces Instituto Nacional de Transparencia Acceso a la Información y Protección de Datos Personales, en su criterio orientador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before="240" w:line="276" w:lineRule="auto"/>
        <w:ind w:left="851" w:right="61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Curriculum Vitae de servidores públicos. Es obligación de los sujetos obligados otorgar acceso a versiones públicas de los mismos ante una solicitud de acceso. </w:t>
      </w:r>
      <w:r w:rsidDel="00000000" w:rsidR="00000000" w:rsidRPr="00000000">
        <w:rPr>
          <w:rFonts w:ascii="Palatino Linotype" w:cs="Palatino Linotype" w:eastAsia="Palatino Linotype" w:hAnsi="Palatino Linotype"/>
          <w:i w:val="1"/>
          <w:sz w:val="22"/>
          <w:szCs w:val="22"/>
          <w:rtl w:val="0"/>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debe apuntarse que esta constituye una obligación de transparencia,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i w:val="1"/>
          <w:sz w:val="22"/>
          <w:szCs w:val="22"/>
          <w:rtl w:val="0"/>
        </w:rPr>
        <w:t xml:space="preserve">, así como, en su caso, las sanciones administrativas de que haya sido objeto”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como se apreció en la cita, debe precisarse que dicha circunstancia no es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óbice para que se encuentre impedido a contar con dicha información respecto de todos los servidores públicos con los que tenga una relación laboral.</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000000" w:rsidDel="00000000" w:rsidP="00000000" w:rsidRDefault="00000000" w:rsidRPr="00000000" w14:paraId="0000012C">
      <w:pPr>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este orden de ideas, debemos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únicamente de la ficha curricular de la Titular de la Unidad de Transparencia, sin que se advierta manifestación alguna sobre los demás servidores públicos; por lo que resulta procedente ordenar previa búsqueda exhaustiva y razonable el Currículum Vitae, Ficha Curricular, Solicitud de empleo o documento análogo de los servidores públicos faltantes, adscritos a la Unidad de Transparencia al seis de febrero de dos mil veinticinco.</w:t>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Antecedentes no penales</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este punto, cabe precisar que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omitió emitir un pronunciamiento sobre la existencia de este documento, únicamente respecto a la Jefa de la Unidad de Transparencia, por consiguiente, es dable afirmar que no se emitió en apego a los principios de congruencia y exhaustividad, consagrados en el contenido del Criterio Orientador 02/2017 emitido por el entonces Instituto Nacional de Transparencia, Acceso a la Información y Protección de Datos Personales (INAI).</w:t>
      </w:r>
    </w:p>
    <w:p w:rsidR="00000000" w:rsidDel="00000000" w:rsidP="00000000" w:rsidRDefault="00000000" w:rsidRPr="00000000" w14:paraId="00000130">
      <w:pPr>
        <w:spacing w:line="360" w:lineRule="auto"/>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sz w:val="22"/>
          <w:szCs w:val="22"/>
          <w:rtl w:val="0"/>
        </w:rPr>
        <w:t xml:space="preserve">En tal tesitura, se advierte que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567"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Del="00000000" w:rsidR="00000000" w:rsidRPr="00000000">
        <w:rPr>
          <w:rFonts w:ascii="Palatino Linotype" w:cs="Palatino Linotype" w:eastAsia="Palatino Linotype" w:hAnsi="Palatino Linotype"/>
          <w:i w:val="1"/>
          <w:sz w:val="22"/>
          <w:szCs w:val="22"/>
          <w:rtl w:val="0"/>
        </w:rPr>
        <w:t xml:space="preserve">, lo que se traduce en una violación de derecho y libertades consagrados en nuestra Carta Magna y en la propia Ley Federal para Prevenir y Eliminar la Discriminación, específicamente en su artículo 1, fracción III.</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567" w:right="851"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Del="00000000" w:rsidR="00000000" w:rsidRPr="00000000">
        <w:rPr>
          <w:rFonts w:ascii="Palatino Linotype" w:cs="Palatino Linotype" w:eastAsia="Palatino Linotype" w:hAnsi="Palatino Linotype"/>
          <w:i w:val="1"/>
          <w:sz w:val="22"/>
          <w:szCs w:val="22"/>
          <w:rtl w:val="0"/>
        </w:rPr>
        <w:t xml:space="preserve">” (Énfasis añadido)</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 por lo que al no contar con un pronunciamiento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el sentido de la existencia de este documento, resulta procedente ordenar la entrega de los informe o certificado de no antecedentes penales del </w:t>
      </w:r>
      <w:r w:rsidDel="00000000" w:rsidR="00000000" w:rsidRPr="00000000">
        <w:rPr>
          <w:rFonts w:ascii="Palatino Linotype" w:cs="Palatino Linotype" w:eastAsia="Palatino Linotype" w:hAnsi="Palatino Linotype"/>
          <w:b w:val="1"/>
          <w:sz w:val="22"/>
          <w:szCs w:val="22"/>
          <w:u w:val="single"/>
          <w:rtl w:val="0"/>
        </w:rPr>
        <w:t xml:space="preserve">servidor público faltante.</w:t>
      </w:r>
    </w:p>
    <w:p w:rsidR="00000000" w:rsidDel="00000000" w:rsidP="00000000" w:rsidRDefault="00000000" w:rsidRPr="00000000" w14:paraId="0000013B">
      <w:pPr>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el caso de que este no obre en los archivos del Sujeto Obligado porque no se posean y/o administren, bastará con que así lo haga del conocimiento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términos de lo señalado por el segundo párrafo del artículo 19 de la Ley de Transparencia y Acceso a la Información Pública del Estado de México y Municipios.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ind w:left="720" w:right="-1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numPr>
          <w:ilvl w:val="0"/>
          <w:numId w:val="1"/>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Constancia de no inhabilitación </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el documento que expide la Secretaría de la Contraloría del Estado de México por medio del sistema electrónico extranet </w:t>
      </w:r>
      <w:hyperlink r:id="rId10">
        <w:r w:rsidDel="00000000" w:rsidR="00000000" w:rsidRPr="00000000">
          <w:rPr>
            <w:rFonts w:ascii="Palatino Linotype" w:cs="Palatino Linotype" w:eastAsia="Palatino Linotype" w:hAnsi="Palatino Linotype"/>
            <w:sz w:val="22"/>
            <w:szCs w:val="22"/>
            <w:u w:val="single"/>
            <w:rtl w:val="0"/>
          </w:rPr>
          <w:t xml:space="preserve">www.secogem.gob.mx/constancias/</w:t>
        </w:r>
      </w:hyperlink>
      <w:r w:rsidDel="00000000" w:rsidR="00000000" w:rsidRPr="00000000">
        <w:rPr>
          <w:rFonts w:ascii="Palatino Linotype" w:cs="Palatino Linotype" w:eastAsia="Palatino Linotype" w:hAnsi="Palatino Linotype"/>
          <w:sz w:val="22"/>
          <w:szCs w:val="22"/>
          <w:rtl w:val="0"/>
        </w:rPr>
        <w:t xml:space="preserve"> en el cual se informa si las personas físicas cuentan con alguna sanción o inhabilitación para ocupar un empleo, cargo o comisión de carácter público. </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este documento es de naturaleza pública, sin embargo, no pasa desapercibido mencionar que puede contener datos que actualizan la causal prevista en la fracción I del artículo 143 de la Ley de Transparencia del Estado de México y Municipios y procede su entrega en versión pública.</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no obstante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pronunciarse sobre la constancia de no inhabilitación de </w:t>
      </w:r>
      <w:r w:rsidDel="00000000" w:rsidR="00000000" w:rsidRPr="00000000">
        <w:rPr>
          <w:rFonts w:ascii="Palatino Linotype" w:cs="Palatino Linotype" w:eastAsia="Palatino Linotype" w:hAnsi="Palatino Linotype"/>
          <w:sz w:val="22"/>
          <w:szCs w:val="22"/>
          <w:u w:val="single"/>
          <w:rtl w:val="0"/>
        </w:rPr>
        <w:t xml:space="preserve">todos </w:t>
      </w:r>
      <w:r w:rsidDel="00000000" w:rsidR="00000000" w:rsidRPr="00000000">
        <w:rPr>
          <w:rFonts w:ascii="Palatino Linotype" w:cs="Palatino Linotype" w:eastAsia="Palatino Linotype" w:hAnsi="Palatino Linotype"/>
          <w:sz w:val="22"/>
          <w:szCs w:val="22"/>
          <w:rtl w:val="0"/>
        </w:rPr>
        <w:t xml:space="preserve">los servidores públicos que integran la Unidad de Transparencia, al ser un documento obligatorio para ingresar al servicio público se presume que debe obrar en los archivos de dicho ente público; por lo que procede ordenar su entrega en versión pública.</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6">
      <w:pPr>
        <w:numPr>
          <w:ilvl w:val="0"/>
          <w:numId w:val="1"/>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Certificado de no deudor alimentario moroso</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los certificados de no deudor alimentario moroso, es de indicar que la Ley General de los Derechos de las Niñas, Niños y Adolescentes </w:t>
      </w:r>
      <w:hyperlink r:id="rId11">
        <w:r w:rsidDel="00000000" w:rsidR="00000000" w:rsidRPr="00000000">
          <w:rPr>
            <w:rFonts w:ascii="Palatino Linotype" w:cs="Palatino Linotype" w:eastAsia="Palatino Linotype" w:hAnsi="Palatino Linotype"/>
            <w:sz w:val="22"/>
            <w:szCs w:val="22"/>
            <w:u w:val="single"/>
            <w:rtl w:val="0"/>
          </w:rPr>
          <w:t xml:space="preserve">https://www.diputados.gob.mx/LeyesBiblio/pdf/LGDNNA.pdf</w:t>
        </w:r>
      </w:hyperlink>
      <w:r w:rsidDel="00000000" w:rsidR="00000000" w:rsidRPr="00000000">
        <w:rPr>
          <w:rFonts w:ascii="Palatino Linotype" w:cs="Palatino Linotype" w:eastAsia="Palatino Linotype" w:hAnsi="Palatino Linotype"/>
          <w:sz w:val="22"/>
          <w:szCs w:val="22"/>
          <w:rtl w:val="0"/>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en el Proyecto de Decreto por el que se Reforman y Adicionan Diversas Disposiciones para crear el Registro de Deudores Alimentarios del Estado de México, disponible en la dirección electrónica </w:t>
      </w:r>
      <w:hyperlink r:id="rId12">
        <w:r w:rsidDel="00000000" w:rsidR="00000000" w:rsidRPr="00000000">
          <w:rPr>
            <w:rFonts w:ascii="Palatino Linotype" w:cs="Palatino Linotype" w:eastAsia="Palatino Linotype" w:hAnsi="Palatino Linotype"/>
            <w:sz w:val="22"/>
            <w:szCs w:val="22"/>
            <w:u w:val="single"/>
            <w:rtl w:val="0"/>
          </w:rPr>
          <w:t xml:space="preserve">https://legislacion.edomex.gob.mx/sites/legislacion.edomex.gob.mx/files/files/pdf/gct/2014/nov144.PDF</w:t>
        </w:r>
      </w:hyperlink>
      <w:r w:rsidDel="00000000" w:rsidR="00000000" w:rsidRPr="00000000">
        <w:rPr>
          <w:rFonts w:ascii="Palatino Linotype" w:cs="Palatino Linotype" w:eastAsia="Palatino Linotype" w:hAnsi="Palatino Linotype"/>
          <w:sz w:val="22"/>
          <w:szCs w:val="22"/>
          <w:rtl w:val="0"/>
        </w:rPr>
        <w:t xml:space="preserve">, advierte lo siguiente: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“4.146 Bis.- El área del Registro de Deudores Alimentarios Morosos, es una unidad administrativa del Registro Civil. Actos inscribibles en el Registro de Deudores Alimentarios Morosos. </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4.146 Ter.- En el Registro de Deudores Alimentarios Morosos se inscriben a las personas que el Juez de lo Familiar determina en términos del artículo 4.136 del presente Código.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Serán objeto de registro los empleadores que incumplan una orden de descuento para alimentos ordenada por el órgano jurisdiccional.</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datos que contendrá el Registro de Deudores Alimentarios Morosos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4.146 Quáter.- El Registro de Deudores Alimentarios Morosos contendrá: </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Nombre y Clave Única del Registro de Población del deudor alimentario;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Nombre del acreedor o acreedores alimentarios;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Datos del acta que acredite el vínculo entre deudor y acreedor alimentario, en su caso; </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Monto de la pensión decretada o convenida, en su caso, número de pagos incumplidos y monto del adeudo alimentario; </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Órgano jurisdiccional que ordenó el registro; </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Datos del expediente jurisdiccional de la que deriva su inscripción.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Datos del Certificado expedido por la Unidad del Registro de Deudores Alimentarios Morosos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4.146 Quinquies.- El Certificado expedido por la Unidad del Registro de Deudores Alimentarios Morosos contendrá lo siguiente: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Nombre y Clave Única de Registro de Población del solicitante;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sobre su inscripción o no en el registro de deudores alimentarios morosos.</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el caso que el solicitante se encuentre inscrito en el registro, la constancia incluirá además lo siguiente:</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Número de acreedores alimentarios;</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Monto de la pensión alimenticia decretada o convenida;</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Órgano jurisdiccional que ordenó el registro;</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Datos del expediente jurisdiccional de la que deriva su inscripción.</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Certificado a que se refiere el presente artículo será expedido el mismo día hábil de su solicitud.</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aquellos servidores públicos que se encuentren o no inscritos en dicho registro, procede su entrega en versión pública, ya que al ser un requisito sine qua non para ingresar al servicio público, se convierte en información que da certeza a la ciudadanía de que el Servidor Público que ostenta un cargo cumplió con los requisitos señalados en la Ley del Trabajo de los Servidores Públicos del Estado y Municipios, </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no pasa desapercibido, que el Certificado de No Deudor Alimentario pudiera contener información confidencial, como lo es de manera enunciativa más no limitativa el CURP y el RFC; por lo tanto, no procede su clasificación total sino su entrega en versión pública, cabe mencionar que 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únicamente hizo entrega de tres certificados de no deudor alimentario, sin embargo fue omiso en hacer entrega del correspondiente a la servidora pública Ramírez González María de la Luz y del Jefe de la Unidad de Transparencia; por lo que, resulta procedente ordenar su entrega en versión pública.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otra línea de pensamiento, debemos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omitió la clasificación de la cartilla militar</w:t>
      </w:r>
      <w:r w:rsidDel="00000000" w:rsidR="00000000" w:rsidRPr="00000000">
        <w:rPr>
          <w:rFonts w:ascii="Palatino Linotype" w:cs="Palatino Linotype" w:eastAsia="Palatino Linotype" w:hAnsi="Palatino Linotype"/>
          <w:sz w:val="22"/>
          <w:szCs w:val="22"/>
          <w:rtl w:val="0"/>
        </w:rPr>
        <w:t xml:space="preserve">, misma a la que le reviste la calidad de confidencial por las circunstancias que se analizan a continuación:</w:t>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numPr>
          <w:ilvl w:val="0"/>
          <w:numId w:val="9"/>
        </w:numPr>
        <w:pBdr>
          <w:top w:space="0" w:sz="0" w:val="nil"/>
          <w:left w:space="0" w:sz="0" w:val="nil"/>
          <w:bottom w:space="0" w:sz="0" w:val="nil"/>
          <w:right w:space="0" w:sz="0" w:val="nil"/>
          <w:between w:space="0" w:sz="0" w:val="nil"/>
        </w:pBdr>
        <w:spacing w:after="160" w:line="360" w:lineRule="auto"/>
        <w:ind w:left="284" w:hanging="28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Cartilla militar</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151.-</w:t>
      </w:r>
      <w:r w:rsidDel="00000000" w:rsidR="00000000" w:rsidRPr="00000000">
        <w:rPr>
          <w:rFonts w:ascii="Palatino Linotype" w:cs="Palatino Linotype" w:eastAsia="Palatino Linotype" w:hAnsi="Palatino Linotype"/>
          <w:i w:val="1"/>
          <w:sz w:val="22"/>
          <w:szCs w:val="22"/>
          <w:rtl w:val="0"/>
        </w:rPr>
        <w:t xml:space="preserve"> Una vez inscritos los mexicanos, se les expedirá gratuitamente la cartilla de identificación que acreditará su identidad y el cumplimiento de sus deberes militares, y contendrá:</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Un retrato de frente;</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Sus generales (nombre y apellidos paterno y materno, edad, ocupación, estado civil y domicilio);</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Matrícula;</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Clase a que pertenece;</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Corporación a que se le destine;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Unidad a la que deba incorporarse en caso de movilización;</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Firma de la autoridad que la expida;</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Firma del interesado, si sabe hacerlo;</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Sello de la Junta Municipal de Reclutamiento o Consulado;</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Huella digital.</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76" w:lineRule="auto"/>
        <w:ind w:left="567" w:right="55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el artículo 17 y 18 del Reglamento de la Ley del Servicio Militar, rezan así:</w:t>
      </w:r>
    </w:p>
    <w:p w:rsidR="00000000" w:rsidDel="00000000" w:rsidP="00000000" w:rsidRDefault="00000000" w:rsidRPr="00000000" w14:paraId="0000018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w:t>
      </w:r>
      <w:r w:rsidDel="00000000" w:rsidR="00000000" w:rsidRPr="00000000">
        <w:rPr>
          <w:rFonts w:ascii="Palatino Linotype" w:cs="Palatino Linotype" w:eastAsia="Palatino Linotype" w:hAnsi="Palatino Linotype"/>
          <w:i w:val="1"/>
          <w:sz w:val="22"/>
          <w:szCs w:val="22"/>
          <w:rtl w:val="0"/>
        </w:rPr>
        <w:t xml:space="preserve">- La inscripción de cada mexicano se hará una sola vez, entregándole gratuitamente una cartilla de identificación según modelo número uno.</w:t>
      </w:r>
    </w:p>
    <w:p w:rsidR="00000000" w:rsidDel="00000000" w:rsidP="00000000" w:rsidRDefault="00000000" w:rsidRPr="00000000" w14:paraId="0000018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Una vez hecha la inscripción ante las juntas municipales de reclutamiento o consulados y como consecuencia inmediata, se formarán en dichas oficinas los siguientes documentos:</w:t>
      </w:r>
    </w:p>
    <w:p w:rsidR="00000000" w:rsidDel="00000000" w:rsidP="00000000" w:rsidRDefault="00000000" w:rsidRPr="00000000" w14:paraId="0000018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Cartilla de identificación que se entregará al interesado...” </w:t>
      </w:r>
    </w:p>
    <w:p w:rsidR="00000000" w:rsidDel="00000000" w:rsidP="00000000" w:rsidRDefault="00000000" w:rsidRPr="00000000" w14:paraId="0000018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legales transcritos, se obtiene que el documento que permite acreditar la inscripción de cada mexicano, en cumplimiento a la Ley del Servicio Militar, lo es la cartilla de identificación que se entrega al interesado.</w:t>
      </w:r>
    </w:p>
    <w:p w:rsidR="00000000" w:rsidDel="00000000" w:rsidP="00000000" w:rsidRDefault="00000000" w:rsidRPr="00000000" w14:paraId="0000018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8">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w:t>
      </w:r>
      <w:r w:rsidDel="00000000" w:rsidR="00000000" w:rsidRPr="00000000">
        <w:rPr>
          <w:rFonts w:ascii="Palatino Linotype" w:cs="Palatino Linotype" w:eastAsia="Palatino Linotype" w:hAnsi="Palatino Linotype"/>
          <w:b w:val="1"/>
          <w:sz w:val="22"/>
          <w:szCs w:val="22"/>
          <w:rtl w:val="0"/>
        </w:rPr>
        <w:t xml:space="preserve">por lo que dicho documento debe tener el mismo tratamiento que el acta de nacimiento, es decir procede su clasificación de manera total.</w:t>
      </w:r>
    </w:p>
    <w:p w:rsidR="00000000" w:rsidDel="00000000" w:rsidP="00000000" w:rsidRDefault="00000000" w:rsidRPr="00000000" w14:paraId="00000189">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de lo expuesto en este apartado, a juicio de este Organismo Garante se estima que le asiste la razón al particular cuando señala que </w:t>
      </w:r>
      <w:r w:rsidDel="00000000" w:rsidR="00000000" w:rsidRPr="00000000">
        <w:rPr>
          <w:rFonts w:ascii="Palatino Linotype" w:cs="Palatino Linotype" w:eastAsia="Palatino Linotype" w:hAnsi="Palatino Linotype"/>
          <w:b w:val="1"/>
          <w:sz w:val="22"/>
          <w:szCs w:val="22"/>
          <w:rtl w:val="0"/>
        </w:rPr>
        <w:t xml:space="preserve">faltaron documentos por entregar, tales como las solicitudes de empleo, fichas curriculares, Informe o Certificado de Antecedentes no penales, constancia de no inhabilitación y el certificado de no deudor alimentario, asimismo, es dable afirmar que faltó clasificar en su totalidad la cartilla militar</w:t>
      </w:r>
      <w:r w:rsidDel="00000000" w:rsidR="00000000" w:rsidRPr="00000000">
        <w:rPr>
          <w:rFonts w:ascii="Palatino Linotype" w:cs="Palatino Linotype" w:eastAsia="Palatino Linotype" w:hAnsi="Palatino Linotype"/>
          <w:sz w:val="22"/>
          <w:szCs w:val="22"/>
          <w:rtl w:val="0"/>
        </w:rPr>
        <w:t xml:space="preserve">, por lo tanto, se colige que en efecto, la entrega de la información se encuentra incompleta y para dar cumplimiento a la presente determinación,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entrega de las documentales faltantes, así como del acuerdo en el que se clasifique la documental previamente señalada que por su naturaleza lo amerita.</w:t>
      </w:r>
    </w:p>
    <w:p w:rsidR="00000000" w:rsidDel="00000000" w:rsidP="00000000" w:rsidRDefault="00000000" w:rsidRPr="00000000" w14:paraId="0000018B">
      <w:pPr>
        <w:spacing w:before="240" w:line="360" w:lineRule="auto"/>
        <w:jc w:val="both"/>
        <w:rPr>
          <w:rFonts w:ascii="Palatino Linotype" w:cs="Palatino Linotype" w:eastAsia="Palatino Linotype" w:hAnsi="Palatino Linotype"/>
          <w:sz w:val="22"/>
          <w:szCs w:val="22"/>
        </w:rPr>
      </w:pPr>
      <w:bookmarkStart w:colFirst="0" w:colLast="0" w:name="_heading=h.ijv98pntcd5s" w:id="8"/>
      <w:bookmarkEnd w:id="8"/>
      <w:r w:rsidDel="00000000" w:rsidR="00000000" w:rsidRPr="00000000">
        <w:rPr>
          <w:rFonts w:ascii="Palatino Linotype" w:cs="Palatino Linotype" w:eastAsia="Palatino Linotype" w:hAnsi="Palatino Linotype"/>
          <w:sz w:val="22"/>
          <w:szCs w:val="22"/>
          <w:rtl w:val="0"/>
        </w:rPr>
        <w:t xml:space="preserve">●</w:t>
        <w:tab/>
      </w:r>
      <w:r w:rsidDel="00000000" w:rsidR="00000000" w:rsidRPr="00000000">
        <w:rPr>
          <w:rFonts w:ascii="Palatino Linotype" w:cs="Palatino Linotype" w:eastAsia="Palatino Linotype" w:hAnsi="Palatino Linotype"/>
          <w:b w:val="1"/>
          <w:sz w:val="22"/>
          <w:szCs w:val="22"/>
          <w:rtl w:val="0"/>
        </w:rPr>
        <w:t xml:space="preserve">Comprobante del último grado de estudio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8C">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 naturaleza de la información, conviene recordar que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rsidR="00000000" w:rsidDel="00000000" w:rsidP="00000000" w:rsidRDefault="00000000" w:rsidRPr="00000000" w14:paraId="0000018D">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el Título profesional y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rsidR="00000000" w:rsidDel="00000000" w:rsidP="00000000" w:rsidRDefault="00000000" w:rsidRPr="00000000" w14:paraId="0000018E">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w:t>
      </w:r>
    </w:p>
    <w:p w:rsidR="00000000" w:rsidDel="00000000" w:rsidP="00000000" w:rsidRDefault="00000000" w:rsidRPr="00000000" w14:paraId="0000018F">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debe tenerse presente que la naturaleza del documento que avale un nivel o grado de estudios,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por lo que, debe obrar en los archivos del Sujeto Obligado un documento que dé cuenta de lo solicitado.</w:t>
      </w:r>
    </w:p>
    <w:p w:rsidR="00000000" w:rsidDel="00000000" w:rsidP="00000000" w:rsidRDefault="00000000" w:rsidRPr="00000000" w14:paraId="00000190">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claro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respuesta hizo entrega de únicamente cuatro comprobantes de estudios de los siguientes servidores públicos: </w:t>
      </w:r>
    </w:p>
    <w:p w:rsidR="00000000" w:rsidDel="00000000" w:rsidP="00000000" w:rsidRDefault="00000000" w:rsidRPr="00000000" w14:paraId="00000191">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Luis Alberto Días Hidalgo</w:t>
      </w:r>
      <w:r w:rsidDel="00000000" w:rsidR="00000000" w:rsidRPr="00000000">
        <w:rPr>
          <w:rFonts w:ascii="Palatino Linotype" w:cs="Palatino Linotype" w:eastAsia="Palatino Linotype" w:hAnsi="Palatino Linotype"/>
          <w:sz w:val="22"/>
          <w:szCs w:val="22"/>
          <w:rtl w:val="0"/>
        </w:rPr>
        <w:t xml:space="preserve"> - Titulo de Licenciatura el “Comercio Internacional y Aduanas”</w:t>
      </w:r>
    </w:p>
    <w:p w:rsidR="00000000" w:rsidDel="00000000" w:rsidP="00000000" w:rsidRDefault="00000000" w:rsidRPr="00000000" w14:paraId="00000192">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María de la Luz Ramírez González - </w:t>
      </w:r>
      <w:r w:rsidDel="00000000" w:rsidR="00000000" w:rsidRPr="00000000">
        <w:rPr>
          <w:rFonts w:ascii="Palatino Linotype" w:cs="Palatino Linotype" w:eastAsia="Palatino Linotype" w:hAnsi="Palatino Linotype"/>
          <w:sz w:val="22"/>
          <w:szCs w:val="22"/>
          <w:rtl w:val="0"/>
        </w:rPr>
        <w:t xml:space="preserve">Titulo de Licenciatura en Economía</w:t>
      </w:r>
      <w:r w:rsidDel="00000000" w:rsidR="00000000" w:rsidRPr="00000000">
        <w:rPr>
          <w:rtl w:val="0"/>
        </w:rPr>
      </w:r>
    </w:p>
    <w:p w:rsidR="00000000" w:rsidDel="00000000" w:rsidP="00000000" w:rsidRDefault="00000000" w:rsidRPr="00000000" w14:paraId="00000193">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Susana Nieto Rivera</w:t>
      </w:r>
      <w:r w:rsidDel="00000000" w:rsidR="00000000" w:rsidRPr="00000000">
        <w:rPr>
          <w:rFonts w:ascii="Palatino Linotype" w:cs="Palatino Linotype" w:eastAsia="Palatino Linotype" w:hAnsi="Palatino Linotype"/>
          <w:sz w:val="22"/>
          <w:szCs w:val="22"/>
          <w:rtl w:val="0"/>
        </w:rPr>
        <w:t xml:space="preserve"> – Constancias de estudios y cédula profesional. </w:t>
      </w:r>
    </w:p>
    <w:p w:rsidR="00000000" w:rsidDel="00000000" w:rsidP="00000000" w:rsidRDefault="00000000" w:rsidRPr="00000000" w14:paraId="00000194">
      <w:pPr>
        <w:numPr>
          <w:ilvl w:val="0"/>
          <w:numId w:val="3"/>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Lizetta Chávez Santiago</w:t>
      </w:r>
      <w:r w:rsidDel="00000000" w:rsidR="00000000" w:rsidRPr="00000000">
        <w:rPr>
          <w:rFonts w:ascii="Palatino Linotype" w:cs="Palatino Linotype" w:eastAsia="Palatino Linotype" w:hAnsi="Palatino Linotype"/>
          <w:sz w:val="22"/>
          <w:szCs w:val="22"/>
          <w:rtl w:val="0"/>
        </w:rPr>
        <w:t xml:space="preserve"> – Certificado de estudios de la Licenciatura en Informática, de la que se dejó visible el promedio. </w:t>
      </w:r>
    </w:p>
    <w:p w:rsidR="00000000" w:rsidDel="00000000" w:rsidP="00000000" w:rsidRDefault="00000000" w:rsidRPr="00000000" w14:paraId="00000195">
      <w:pPr>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resulta evidente que la respuesta proporcionada no agotó los principios de congruencia y exhaustividad, ya que la servidora pública habilitada se limitó a proporcionar el documento que acredita el grado de estudios, de los servidores públicos que refirió en respuesta, sin embargo de la revisión al portal de Información Pública del Sujeto Obligado, se advierte que fue omiso en realizar manifestación alguna referente a la servidora pública que ostenta el cargo de Jefa de Unidad de Transparencia. </w:t>
      </w:r>
    </w:p>
    <w:p w:rsidR="00000000" w:rsidDel="00000000" w:rsidP="00000000" w:rsidRDefault="00000000" w:rsidRPr="00000000" w14:paraId="00000196">
      <w:pPr>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 aplicable el Criterio orientador 02/17 emitido por el entonces Instituto Nacional de Transparencia y Acceso a la Información y Protección de Datos Personales, de título y texto siguientes:</w:t>
      </w:r>
    </w:p>
    <w:p w:rsidR="00000000" w:rsidDel="00000000" w:rsidP="00000000" w:rsidRDefault="00000000" w:rsidRPr="00000000" w14:paraId="00000197">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9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este Organismo Garante, con la finalidad de garantizar el derecho humano de acceso a la información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a fin de reparar el agravio causado ante la omisión en que incurriera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ya que, como se señaló, su respuesta careció de los principios de congruencia y exhaustividad, se estima dable ordenar que, previa búsqueda exhaustiva y razonable, se haga entrega del soporte documental que acredite el último grado de estudios del servidor público faltante, en funciones al seis de febrero de dos mil veinticinco, con la salvedad que para el caso de que este no obre en sus archivos, por no estar obligado a contar con un documento que acredite el ultimo grado de estudios, en términos del artículo 57 de la Ley de la materia, bastara con que lo haga del conocimiento del Particular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19A">
      <w:pPr>
        <w:numPr>
          <w:ilvl w:val="0"/>
          <w:numId w:val="4"/>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Declaración Patrimonial</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del acuerdo mediante el cual la Unidad de Transparencia informó al solicitante una incompetencia parcial, respecto a las declaraciones patrimoniales y de intereses, siendo competente la Secretaría de la Contraloría. </w:t>
      </w:r>
    </w:p>
    <w:p w:rsidR="00000000" w:rsidDel="00000000" w:rsidP="00000000" w:rsidRDefault="00000000" w:rsidRPr="00000000" w14:paraId="0000019C">
      <w:pPr>
        <w:spacing w:after="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primer lugar, resulta necesario traer a colación el contenido de los artículos 110, 111, 112, fracción XVI de la Ley Orgánica Municipal del Estado de México, los cuales disponen:</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19D">
      <w:pPr>
        <w:tabs>
          <w:tab w:val="left" w:leader="none" w:pos="7655"/>
        </w:tabs>
        <w:spacing w:after="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110.- Las funciones de contraloría interna estarán a cargo del órgano que establezca el Ayuntamiento.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9E">
      <w:pPr>
        <w:tabs>
          <w:tab w:val="left" w:leader="none" w:pos="7655"/>
        </w:tabs>
        <w:spacing w:after="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111.- La contraloría municipal tendrá un titular denominado Contralor, quien será designado por el ayuntamiento a propuesta del presidente municipal. </w:t>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765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112. El órgano interno de control municipal, tendrá a su cargo las funciones siguientes:</w:t>
      </w:r>
    </w:p>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left" w:leader="none" w:pos="765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left" w:leader="none" w:pos="765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w:t>
      </w:r>
      <w:r w:rsidDel="00000000" w:rsidR="00000000" w:rsidRPr="00000000">
        <w:rPr>
          <w:rFonts w:ascii="Palatino Linotype" w:cs="Palatino Linotype" w:eastAsia="Palatino Linotype" w:hAnsi="Palatino Linotype"/>
          <w:b w:val="1"/>
          <w:i w:val="1"/>
          <w:sz w:val="22"/>
          <w:szCs w:val="22"/>
          <w:rtl w:val="0"/>
        </w:rPr>
        <w:t xml:space="preserve">Verificar que los servidores públicos municipales cumplan con la obligación de presentar oportunamente la manifestación de bienes,</w:t>
      </w:r>
      <w:r w:rsidDel="00000000" w:rsidR="00000000" w:rsidRPr="00000000">
        <w:rPr>
          <w:rFonts w:ascii="Palatino Linotype" w:cs="Palatino Linotype" w:eastAsia="Palatino Linotype" w:hAnsi="Palatino Linotype"/>
          <w:i w:val="1"/>
          <w:sz w:val="22"/>
          <w:szCs w:val="22"/>
          <w:rtl w:val="0"/>
        </w:rPr>
        <w:t xml:space="preserve"> en términos de la Ley de Responsabilidades de los Servidores Públicos del Estado y Municipios;”</w:t>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left" w:leader="none" w:pos="765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line="360" w:lineRule="auto"/>
        <w:ind w:right="104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es necesario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fracción XII, de la Ley General de Transparencia y Acceso a la Información Pública, precisan lo siguiente, con relación a las versiones públicas de las declaraciones patrimoniales y de intereses de los servidores públicos:</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La información en Versión Pública de las declaraciones patrimoniales, de los Servidores Públicos que así lo determinen, en los sistemas habilitados para ello de acuerdo a la normatividad aplicable. </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Los sujetos obligados deberán publicar la versión pública de la declaración de situación patrimonial de los(as) servidores(as) públicos(as), integrantes, miembros del sujeto obligado y/o toda persona que desempeñe un empleo, cargo o comisión y/o ejerza actos de autoridad, y que tiene la obligación de presentar declaración de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situación patrimonial en sus tres modalidades: inicio, modificación y de conclusión, de conformidad con la normatividad que resulte aplicable en la materia. </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 anterior con fundamento en lo establecido en el artículo 32 de la Ley General de Responsabilidades Administrativas, en el que se señala que están obligados a presentar las declaraciones de situación patrimonial y de intereses, bajo protesta de decir verdad y ante las Secretarías o su respectivo Órgano interno de control, todos los Servidores Públicos, en los términos previstos en dicha norma”</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correlación al artículo anterior, es dable precisar que el artículo 92, fracción XIII, de la Ley de Transparencia y Acceso a la Información Pública del Estado de México y Municipios, estipula lo siguiente:</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76"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 a XII… </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La información en versión pública de las declaraciones patrimoniales y de intereses de los servidores públicos que así lo determinen, en los sistemas habilitados para ello, de acuerdo a la normatividad aplicable; </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a LII…”</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aunque los preceptos legales descritos, establecen la obligatoriedad de los Sujetos Obligados a que publiquen de manera permanente y actualizada, de forma sencilla, precisa y entendible, la información generada correspondiente a las declaraciones patrimoniales de los servidores públicos que así lo determinen, es decir mediante autorización previa y específica de los mismos; sin embargo, dicha obligatoriedad se encuentra sujeta a la tablas de aplicabilidad de cada uno de los Sujetos Obligados.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es importante resaltar que de acuerdo a las “Tablas de aplicabilidad”, al Sujeto Obligado no le es aplicable el cumplimiento del artículo 92, fracción XIII de la Ley de la Materia, tal como se muestra a continuación: </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315818" cy="5012074"/>
            <wp:effectExtent b="0" l="0" r="0" t="0"/>
            <wp:docPr id="214310826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315818" cy="501207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4508500</wp:posOffset>
                </wp:positionV>
                <wp:extent cx="5257800" cy="285750"/>
                <wp:effectExtent b="0" l="0" r="0" t="0"/>
                <wp:wrapNone/>
                <wp:docPr id="2143108255" name=""/>
                <a:graphic>
                  <a:graphicData uri="http://schemas.microsoft.com/office/word/2010/wordprocessingShape">
                    <wps:wsp>
                      <wps:cNvSpPr/>
                      <wps:cNvPr id="2" name="Shape 2"/>
                      <wps:spPr>
                        <a:xfrm>
                          <a:off x="2736150" y="3656175"/>
                          <a:ext cx="5219700" cy="24765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4508500</wp:posOffset>
                </wp:positionV>
                <wp:extent cx="5257800" cy="285750"/>
                <wp:effectExtent b="0" l="0" r="0" t="0"/>
                <wp:wrapNone/>
                <wp:docPr id="214310825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257800" cy="285750"/>
                        </a:xfrm>
                        <a:prstGeom prst="rect"/>
                        <a:ln/>
                      </pic:spPr>
                    </pic:pic>
                  </a:graphicData>
                </a:graphic>
              </wp:anchor>
            </w:drawing>
          </mc:Fallback>
        </mc:AlternateConten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con base en lo señalado previamente, que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importante señalar que el artículo 32 de la Ley General de Responsabilidades Administrativas, establece:</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32</w:t>
      </w:r>
      <w:r w:rsidDel="00000000" w:rsidR="00000000" w:rsidRPr="00000000">
        <w:rPr>
          <w:rFonts w:ascii="Palatino Linotype" w:cs="Palatino Linotype" w:eastAsia="Palatino Linotype" w:hAnsi="Palatino Linotype"/>
          <w:i w:val="1"/>
          <w:sz w:val="22"/>
          <w:szCs w:val="22"/>
          <w:rtl w:val="0"/>
        </w:rPr>
        <w:t xml:space="preserve">.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 </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obligación de presentar su declaración de situación patrimonial, es exclusiva de aquellas personas que desempeñen un empleo, cargo o comisión en los entes públicos, en el ámbito federal y local.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la Ley de Responsabilidades Administrativas del Estado de México y Municipios establece en el artículo 2 fracción VI que tiene como objeto 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33.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Asimismo, deberán presentar su declaración fiscal anual, en los términos que disponga la legislación de la materia.</w:t>
      </w:r>
    </w:p>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34. La declaración de situación patrimonial, deberá presentarse en los siguientes plazos: </w:t>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Declaración inicial, dentro de los sesenta días naturales siguientes a la toma de posesión con motivo del: </w:t>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Ingreso al servicio público por primera vez. </w:t>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Reingreso al servicio público después de sesenta días naturales de la conclusión de su último encargo. </w:t>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Declaración de modificación patrimonial, durante el mes de mayo de cada año. </w:t>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Declaración de conclusión del encargo, dentro de los sesenta días naturales siguientes a la conclusión.</w:t>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cambio de dependencia o ente público en el mismo orden de gobierno, únicamente se dará aviso de dicha situación y no será necesario presentar la declaración de conclusión.</w:t>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35. La declaración de situación patrimonial, deberá ser presentada a través de medios electrónicos, empleándose medios de identificación electrónica.</w:t>
      </w:r>
    </w:p>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Secretaría de la Contraloría tendrá a su cargo el sistema de certificación de los medios de identificación electrónica que utilicen los servidores públicos y llevará el control de dicho medio.</w:t>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p>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 </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A </w:t>
      </w:r>
      <w:r w:rsidDel="00000000" w:rsidR="00000000" w:rsidRPr="00000000">
        <w:rPr>
          <w:rFonts w:ascii="Palatino Linotype" w:cs="Palatino Linotype" w:eastAsia="Palatino Linotype" w:hAnsi="Palatino Linotype"/>
          <w:b w:val="1"/>
          <w:i w:val="1"/>
          <w:sz w:val="22"/>
          <w:szCs w:val="22"/>
          <w:rtl w:val="0"/>
        </w:rPr>
        <w:t xml:space="preserve">la Dirección General de Responsabilidades Administrativas, corresponden las atribuciones siguiente</w:t>
      </w:r>
      <w:r w:rsidDel="00000000" w:rsidR="00000000" w:rsidRPr="00000000">
        <w:rPr>
          <w:rFonts w:ascii="Palatino Linotype" w:cs="Palatino Linotype" w:eastAsia="Palatino Linotype" w:hAnsi="Palatino Linotype"/>
          <w:i w:val="1"/>
          <w:sz w:val="22"/>
          <w:szCs w:val="22"/>
          <w:rtl w:val="0"/>
        </w:rPr>
        <w:t xml:space="preserve">s: </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V</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w:t>
      </w:r>
      <w:r w:rsidDel="00000000" w:rsidR="00000000" w:rsidRPr="00000000">
        <w:rPr>
          <w:rFonts w:ascii="Palatino Linotype" w:cs="Palatino Linotype" w:eastAsia="Palatino Linotype" w:hAnsi="Palatino Linotype"/>
          <w:b w:val="1"/>
          <w:i w:val="1"/>
          <w:sz w:val="22"/>
          <w:szCs w:val="22"/>
          <w:u w:val="single"/>
          <w:rtl w:val="0"/>
        </w:rPr>
        <w:t xml:space="preserve">Recibir las declaraciones de situación patrimonial, de intereses y el acuse de la presentación de la declaración fiscal de los servidores públicos de la Administración Pública Estatal y Municipal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 </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 XLII…”</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que, de los preceptos legales referidos, se advierte que a la Secretaría de la Contraloría le corresponde a través de la Dirección General de Responsabilidades Administrativas, recibir, registrar y resguardar las declaración fiscal de los servidores públicos de la Administración Pública Estatal y Municipal.</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esta línea de pensamiento resulta imnportante señalar que respecto de la Declaración Patrimonial, este Instituto advirtió que en la página oficial de la Secretaría de la Contraloría, en el apartado de Declaración Patrimonial y de Intereses, consultada en la liga electrónica </w:t>
      </w:r>
      <w:hyperlink r:id="rId15">
        <w:r w:rsidDel="00000000" w:rsidR="00000000" w:rsidRPr="00000000">
          <w:rPr>
            <w:rFonts w:ascii="Palatino Linotype" w:cs="Palatino Linotype" w:eastAsia="Palatino Linotype" w:hAnsi="Palatino Linotype"/>
            <w:sz w:val="22"/>
            <w:szCs w:val="22"/>
            <w:u w:val="single"/>
            <w:rtl w:val="0"/>
          </w:rPr>
          <w:t xml:space="preserve">https://portal.secogem.gob.mx/declaranet</w:t>
        </w:r>
      </w:hyperlink>
      <w:r w:rsidDel="00000000" w:rsidR="00000000" w:rsidRPr="00000000">
        <w:rPr>
          <w:rFonts w:ascii="Palatino Linotype" w:cs="Palatino Linotype" w:eastAsia="Palatino Linotype" w:hAnsi="Palatino Linotype"/>
          <w:sz w:val="22"/>
          <w:szCs w:val="22"/>
          <w:rtl w:val="0"/>
        </w:rPr>
        <w:t xml:space="preserve">, precisa que dicha dependencia ofrece el portal Decl@ranet, con la finalidad de facilitar a los servidores públicos del Estado de México, presenten su Declaración de Situación Patrimonial, Declaración de Intereses o Posible Conflicto de Intereses y presentación de Constancia de Declaración Fiscal.</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479646" cy="4475085"/>
            <wp:effectExtent b="0" l="0" r="0" t="0"/>
            <wp:docPr id="214310826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479646" cy="447508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que en dicho portal se precisa que el sistema Decl@ranet, </w:t>
      </w:r>
      <w:r w:rsidDel="00000000" w:rsidR="00000000" w:rsidRPr="00000000">
        <w:rPr>
          <w:rFonts w:ascii="Palatino Linotype" w:cs="Palatino Linotype" w:eastAsia="Palatino Linotype" w:hAnsi="Palatino Linotype"/>
          <w:b w:val="1"/>
          <w:sz w:val="22"/>
          <w:szCs w:val="22"/>
          <w:rtl w:val="0"/>
        </w:rPr>
        <w:t xml:space="preserve">es administrado por la Secretaría de la Contraloría,</w:t>
      </w:r>
      <w:r w:rsidDel="00000000" w:rsidR="00000000" w:rsidRPr="00000000">
        <w:rPr>
          <w:rFonts w:ascii="Palatino Linotype" w:cs="Palatino Linotype" w:eastAsia="Palatino Linotype" w:hAnsi="Palatino Linotype"/>
          <w:sz w:val="22"/>
          <w:szCs w:val="22"/>
          <w:rtl w:val="0"/>
        </w:rPr>
        <w:t xml:space="preserve"> y cuyo fin es que los servidores públicos del Estado de México, presenten su presenten su Declaración de Situación Patrimonial, Declaración de Intereses o Posible Conflicto de Intereses y presentación de Constancia de Declaración Fiscal.</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el Sistema Decl@ranet</w:t>
      </w:r>
      <w:r w:rsidDel="00000000" w:rsidR="00000000" w:rsidRPr="00000000">
        <w:rPr>
          <w:rFonts w:ascii="Palatino Linotype" w:cs="Palatino Linotype" w:eastAsia="Palatino Linotype" w:hAnsi="Palatino Linotype"/>
          <w:b w:val="1"/>
          <w:sz w:val="22"/>
          <w:szCs w:val="22"/>
          <w:rtl w:val="0"/>
        </w:rPr>
        <w:t xml:space="preserve">, es operado únicamente por la Secretaría de la Contraloría, por lo que, es la única dependencia que tiene acceso a las declaraciones presentadas por dicha plataforma</w:t>
      </w:r>
      <w:r w:rsidDel="00000000" w:rsidR="00000000" w:rsidRPr="00000000">
        <w:rPr>
          <w:rFonts w:ascii="Palatino Linotype" w:cs="Palatino Linotype" w:eastAsia="Palatino Linotype" w:hAnsi="Palatino Linotype"/>
          <w:sz w:val="22"/>
          <w:szCs w:val="22"/>
          <w:rtl w:val="0"/>
        </w:rPr>
        <w:t xml:space="preserve">; situación que se robustece con el Manual General de Organización de la Secretaría de la Contraloría, que señala que dicha dependencia cuenta con diversas unidades administrativas para el ejercicio de sus funciones, entre las cuales se encuentra el Departamento de Recepción y Análisis de Manifestación de Bienes y Declaración de Intereses, encargado de realizar la recepción, registro y resguardo de las declaraciones de situación patrimonial de los servidores públicos de las Administraciones Públicas Estatal y Municipal.</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al tenerse por acreditado que los Ayuntamientos </w:t>
      </w:r>
      <w:r w:rsidDel="00000000" w:rsidR="00000000" w:rsidRPr="00000000">
        <w:rPr>
          <w:rFonts w:ascii="Palatino Linotype" w:cs="Palatino Linotype" w:eastAsia="Palatino Linotype" w:hAnsi="Palatino Linotype"/>
          <w:b w:val="1"/>
          <w:sz w:val="22"/>
          <w:szCs w:val="22"/>
          <w:rtl w:val="0"/>
        </w:rPr>
        <w:t xml:space="preserve">únicamente verifican el cumplimiento de entrega de las declaraciones patrimoniales, sin que ellos funjan como intermediarios en la recepción y posterior entrega de las mismas ante la Secretaría de la Contraloría del Gobierno del Estado de México</w:t>
      </w:r>
      <w:r w:rsidDel="00000000" w:rsidR="00000000" w:rsidRPr="00000000">
        <w:rPr>
          <w:rFonts w:ascii="Palatino Linotype" w:cs="Palatino Linotype" w:eastAsia="Palatino Linotype" w:hAnsi="Palatino Linotype"/>
          <w:sz w:val="22"/>
          <w:szCs w:val="22"/>
          <w:rtl w:val="0"/>
        </w:rPr>
        <w:t xml:space="preserve">, es fácticamente imposible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de información que no genera, administra o posee en ejercicio de sus atribuciones.</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vislumbrar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incompetente para conocer de la información solicitada, pues el encargado de recibir, registrar y resguardar las declaraciones patrimoniales de los Ayuntamientos, incluyendo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únicamente la Secretaría de la Contraloría. </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en el presente caso, la incompetencia es notoria, pues de las atribuciones del Ente Recurrido, no se localizó ninguna donde se advierta que pueda contar con lo solicitado, también lo es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 manifestó en su respuesta.</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2">
      <w:pPr>
        <w:spacing w:line="360" w:lineRule="auto"/>
        <w:ind w:right="13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forma que, respecto a la Declaración de Incompetencia la Ley de Transparencia y Acceso a la Información Pública del Estado de México y Municipios, establece, en los artículos 49, fracción II y 167, lo siguiente: </w:t>
      </w:r>
    </w:p>
    <w:p w:rsidR="00000000" w:rsidDel="00000000" w:rsidP="00000000" w:rsidRDefault="00000000" w:rsidRPr="00000000" w14:paraId="000001F3">
      <w:pPr>
        <w:spacing w:line="360" w:lineRule="auto"/>
        <w:ind w:right="13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4">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F5">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F6">
      <w:pPr>
        <w:tabs>
          <w:tab w:val="left" w:leader="none" w:pos="851"/>
        </w:tabs>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1F7">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F8">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w:t>
      </w:r>
    </w:p>
    <w:p w:rsidR="00000000" w:rsidDel="00000000" w:rsidP="00000000" w:rsidRDefault="00000000" w:rsidRPr="00000000" w14:paraId="000001F9">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A">
      <w:pPr>
        <w:tabs>
          <w:tab w:val="left" w:leader="none" w:pos="142"/>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sz w:val="22"/>
          <w:szCs w:val="22"/>
          <w:rtl w:val="0"/>
        </w:rPr>
        <w:t xml:space="preserve"> en aquellos casos en los que no se trate de una notoria incompetencia. </w:t>
      </w:r>
    </w:p>
    <w:p w:rsidR="00000000" w:rsidDel="00000000" w:rsidP="00000000" w:rsidRDefault="00000000" w:rsidRPr="00000000" w14:paraId="000001FB">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C">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Puesto que la Ley también prevé que dicho acuerdo no es necesario cuando la Unidad de Transparencia determine que la incompetencia es notoria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rsidR="00000000" w:rsidDel="00000000" w:rsidP="00000000" w:rsidRDefault="00000000" w:rsidRPr="00000000" w14:paraId="000001FD">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E">
      <w:pPr>
        <w:tabs>
          <w:tab w:val="left" w:leader="none" w:pos="142"/>
          <w:tab w:val="left" w:leader="none" w:pos="284"/>
        </w:tabs>
        <w:spacing w:line="360" w:lineRule="auto"/>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sz w:val="22"/>
          <w:szCs w:val="22"/>
          <w:u w:val="single"/>
          <w:rtl w:val="0"/>
        </w:rPr>
        <w:t xml:space="preserve">para su aprobación. </w:t>
      </w:r>
    </w:p>
    <w:p w:rsidR="00000000" w:rsidDel="00000000" w:rsidP="00000000" w:rsidRDefault="00000000" w:rsidRPr="00000000" w14:paraId="000001FF">
      <w:pPr>
        <w:spacing w:line="360" w:lineRule="auto"/>
        <w:ind w:right="1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0">
      <w:pPr>
        <w:spacing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203">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4">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sz w:val="22"/>
          <w:szCs w:val="22"/>
          <w:rtl w:val="0"/>
        </w:rPr>
        <w:t xml:space="preserve">, como se lee enseguida:</w:t>
      </w:r>
    </w:p>
    <w:p w:rsidR="00000000" w:rsidDel="00000000" w:rsidP="00000000" w:rsidRDefault="00000000" w:rsidRPr="00000000" w14:paraId="00000205">
      <w:pPr>
        <w:spacing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06">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207">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8">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Es así que, ordenar al Comité de Transparencia del Sujeto Obligado que sesione para que emita un acuerdo en el que confirme la declaratoria de incompetencia para garantizar el derecho de la parte Recurrente, dilata los plazos del procedimiento, genera una carga adicional al Sujeto Obligado, y </w:t>
      </w:r>
      <w:r w:rsidDel="00000000" w:rsidR="00000000" w:rsidRPr="00000000">
        <w:rPr>
          <w:rFonts w:ascii="Palatino Linotype" w:cs="Palatino Linotype" w:eastAsia="Palatino Linotype" w:hAnsi="Palatino Linotype"/>
          <w:b w:val="1"/>
          <w:sz w:val="22"/>
          <w:szCs w:val="22"/>
          <w:u w:val="single"/>
          <w:rtl w:val="0"/>
        </w:rPr>
        <w:t xml:space="preserve">ello no modifica el hecho de que la parte Recurrente no obtendrá la información que es de su interés por esta vía. </w:t>
      </w:r>
    </w:p>
    <w:p w:rsidR="00000000" w:rsidDel="00000000" w:rsidP="00000000" w:rsidRDefault="00000000" w:rsidRPr="00000000" w14:paraId="0000020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instruir al Comité de Transparencia para que sesione y emita una resolución en la que se confirme una notoria incompetencia que ya fue declarada por el Sujeto Obligado y analizada por este Organismo Garante, se aparta de los principios de sencillez y rapidez establecidos por la Ley de Transparencia y Acceso a la Información Pública del Estado de México y Municipios, en sus artículos 2, fracciones II y III, 21 y 150. </w:t>
      </w:r>
    </w:p>
    <w:p w:rsidR="00000000" w:rsidDel="00000000" w:rsidP="00000000" w:rsidRDefault="00000000" w:rsidRPr="00000000" w14:paraId="000002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que, pese a que el Ayuntamiento de Tlalnepantla de Baz declinó su competencia respecto a la información relacionada con las declaraciones patrimoniales, también lo es que, en el caso particular no resulta dable ordenar el acuerdo que declare formalmente la incompetencia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pues como se advirtió del estudio la incompetencia resulta notaria.</w:t>
      </w:r>
    </w:p>
    <w:p w:rsidR="00000000" w:rsidDel="00000000" w:rsidP="00000000" w:rsidRDefault="00000000" w:rsidRPr="00000000" w14:paraId="000002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necesario precisar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el hecho de notificar a las personas solicitantes sobre la incompetencia cuando esta sea notoria, dentro del plazo de tres días siguientes a partir de la recepción de las solicitudes, permite que estas puedan presentar sin mayor dilación sus requerimientos de información ante los Sujetos Obligados competentes con la finalidad de obtener la información que es de su interés.</w:t>
      </w:r>
    </w:p>
    <w:p w:rsidR="00000000" w:rsidDel="00000000" w:rsidP="00000000" w:rsidRDefault="00000000" w:rsidRPr="00000000" w14:paraId="000002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0">
      <w:pPr>
        <w:spacing w:line="360" w:lineRule="auto"/>
        <w:jc w:val="both"/>
        <w:rPr>
          <w:rFonts w:ascii="Palatino Linotype" w:cs="Palatino Linotype" w:eastAsia="Palatino Linotype" w:hAnsi="Palatino Linotype"/>
          <w:sz w:val="22"/>
          <w:szCs w:val="22"/>
        </w:rPr>
      </w:pPr>
      <w:bookmarkStart w:colFirst="0" w:colLast="0" w:name="_heading=h.1fob9te" w:id="9"/>
      <w:bookmarkEnd w:id="9"/>
      <w:r w:rsidDel="00000000" w:rsidR="00000000" w:rsidRPr="00000000">
        <w:rPr>
          <w:rFonts w:ascii="Palatino Linotype" w:cs="Palatino Linotype" w:eastAsia="Palatino Linotype" w:hAnsi="Palatino Linotype"/>
          <w:sz w:val="22"/>
          <w:szCs w:val="22"/>
          <w:rtl w:val="0"/>
        </w:rPr>
        <w:t xml:space="preserve">Es por ello que resulta de suma importancia que las Unidades de Transparencia, cuando adviertan que dicho supuesto se actualiza, se ciñan al plazo que la normativa establece, a fin de ajustarse al principio de expeditez que en todo procedimiento en materia de transparencia se debe observar.</w:t>
      </w:r>
    </w:p>
    <w:p w:rsidR="00000000" w:rsidDel="00000000" w:rsidP="00000000" w:rsidRDefault="00000000" w:rsidRPr="00000000" w14:paraId="0000021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cuando se advierta una notoria incompetencia respecto de la información solicitada por un particular,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debe atender los plazos establecidos por la norma para declarar la incompetencia </w:t>
      </w:r>
      <w:r w:rsidDel="00000000" w:rsidR="00000000" w:rsidRPr="00000000">
        <w:rPr>
          <w:rFonts w:ascii="Palatino Linotype" w:cs="Palatino Linotype" w:eastAsia="Palatino Linotype" w:hAnsi="Palatino Linotype"/>
          <w:sz w:val="22"/>
          <w:szCs w:val="22"/>
          <w:rtl w:val="0"/>
        </w:rPr>
        <w:t xml:space="preserve">para entregar información, con el propósito de que los particulares puedan acudir ante las instancias correspondientes para formular las solicitudes que estimen pertinentes.</w:t>
      </w:r>
    </w:p>
    <w:p w:rsidR="00000000" w:rsidDel="00000000" w:rsidP="00000000" w:rsidRDefault="00000000" w:rsidRPr="00000000" w14:paraId="0000021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entendido, se determina que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su incompetencia y de este estudio se concluyó que la incompetencia resulta notoria, es por lo que el presente punto de análisis se da por atendido. </w:t>
      </w:r>
    </w:p>
    <w:p w:rsidR="00000000" w:rsidDel="00000000" w:rsidP="00000000" w:rsidRDefault="00000000" w:rsidRPr="00000000" w14:paraId="000002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6">
      <w:pPr>
        <w:numPr>
          <w:ilvl w:val="0"/>
          <w:numId w:val="8"/>
        </w:numPr>
        <w:pBdr>
          <w:top w:space="0" w:sz="0" w:val="nil"/>
          <w:left w:space="0" w:sz="0" w:val="nil"/>
          <w:bottom w:space="0" w:sz="0" w:val="nil"/>
          <w:right w:space="0" w:sz="0" w:val="nil"/>
          <w:between w:space="0" w:sz="0" w:val="nil"/>
        </w:pBdr>
        <w:ind w:left="72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Salario que recibe de forma quincenal neto</w:t>
      </w:r>
    </w:p>
    <w:p w:rsidR="00000000" w:rsidDel="00000000" w:rsidP="00000000" w:rsidRDefault="00000000" w:rsidRPr="00000000" w14:paraId="000002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Subdirección de Recursos Humanos hizo entrega del listado de servidores públicos adscritos a la Unidad de Transparencia y Acceso a la Información Pública del que se advierte el monto total; sin embargo, no se tiene certeza de que el monto referido sea mensual o quincenal o si es bruto o neto, tal y como se muestra a continuación: </w:t>
      </w:r>
    </w:p>
    <w:p w:rsidR="00000000" w:rsidDel="00000000" w:rsidP="00000000" w:rsidRDefault="00000000" w:rsidRPr="00000000" w14:paraId="000002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040130"/>
            <wp:effectExtent b="0" l="0" r="0" t="0"/>
            <wp:docPr id="214310826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612130" cy="104013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se procede a contextualizar la información solicitada, debido a que esta se relaciona con el </w:t>
      </w:r>
      <w:r w:rsidDel="00000000" w:rsidR="00000000" w:rsidRPr="00000000">
        <w:rPr>
          <w:rFonts w:ascii="Palatino Linotype" w:cs="Palatino Linotype" w:eastAsia="Palatino Linotype" w:hAnsi="Palatino Linotype"/>
          <w:b w:val="1"/>
          <w:sz w:val="22"/>
          <w:szCs w:val="22"/>
          <w:rtl w:val="0"/>
        </w:rPr>
        <w:t xml:space="preserve">sueldo de servidores públicos</w:t>
      </w:r>
      <w:r w:rsidDel="00000000" w:rsidR="00000000" w:rsidRPr="00000000">
        <w:rPr>
          <w:rFonts w:ascii="Palatino Linotype" w:cs="Palatino Linotype" w:eastAsia="Palatino Linotype" w:hAnsi="Palatino Linotype"/>
          <w:sz w:val="22"/>
          <w:szCs w:val="22"/>
          <w:rtl w:val="0"/>
        </w:rPr>
        <w:t xml:space="preserve">; el Glosario localizado en la página de Transparencia Presupuestaria de la Secretaría de Hacienda y Crédito Público (consultado en </w:t>
      </w:r>
      <w:hyperlink r:id="rId18">
        <w:r w:rsidDel="00000000" w:rsidR="00000000" w:rsidRPr="00000000">
          <w:rPr>
            <w:rFonts w:ascii="Palatino Linotype" w:cs="Palatino Linotype" w:eastAsia="Palatino Linotype" w:hAnsi="Palatino Linotype"/>
            <w:sz w:val="22"/>
            <w:szCs w:val="22"/>
            <w:u w:val="single"/>
            <w:rtl w:val="0"/>
          </w:rPr>
          <w:t xml:space="preserve">https://www.transparenciapresupuestaria.gob.mx/es/PTP/Glosario</w:t>
        </w:r>
      </w:hyperlink>
      <w:r w:rsidDel="00000000" w:rsidR="00000000" w:rsidRPr="00000000">
        <w:rPr>
          <w:rFonts w:ascii="Palatino Linotype" w:cs="Palatino Linotype" w:eastAsia="Palatino Linotype" w:hAnsi="Palatino Linotype"/>
          <w:sz w:val="22"/>
          <w:szCs w:val="22"/>
          <w:rtl w:val="0"/>
        </w:rPr>
        <w:t xml:space="preserve">), establece que la Nómina es el documento contable que contiene la relación de trabajadores e indica las percepciones monetarias de cada uno. También se refiere al recibo individual y justificativo que indica las percepciones monetarias de los trabajadores, incluyendo las prestaciones y deducciones correspondientes.</w:t>
      </w:r>
    </w:p>
    <w:p w:rsidR="00000000" w:rsidDel="00000000" w:rsidP="00000000" w:rsidRDefault="00000000" w:rsidRPr="00000000" w14:paraId="000002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el Glosario de términos más usuales en la Administración Pública Federal, emitido por la Secretaría de Hacienda y Crédito Público (</w:t>
      </w:r>
      <w:hyperlink r:id="rId19">
        <w:r w:rsidDel="00000000" w:rsidR="00000000" w:rsidRPr="00000000">
          <w:rPr>
            <w:rFonts w:ascii="Palatino Linotype" w:cs="Palatino Linotype" w:eastAsia="Palatino Linotype" w:hAnsi="Palatino Linotype"/>
            <w:sz w:val="22"/>
            <w:szCs w:val="22"/>
            <w:u w:val="single"/>
            <w:rtl w:val="0"/>
          </w:rPr>
          <w:t xml:space="preserve">http://www.apartados.hacienda.gob.mx/contabilidad/documentos/informe_cuenta/1998/cuenta_publica/Glosario/n.htm</w:t>
        </w:r>
      </w:hyperlink>
      <w:r w:rsidDel="00000000" w:rsidR="00000000" w:rsidRPr="00000000">
        <w:rPr>
          <w:rFonts w:ascii="Palatino Linotype" w:cs="Palatino Linotype" w:eastAsia="Palatino Linotype" w:hAnsi="Palatino Linotype"/>
          <w:sz w:val="22"/>
          <w:szCs w:val="22"/>
          <w:rtl w:val="0"/>
        </w:rPr>
        <w:t xml:space="preserve">), establece que la nómina es un listado general de los trabajadores de una institución, en el cual se asientan las percepciones brutas, deducciones y alcance neto de las mismas.</w:t>
      </w:r>
    </w:p>
    <w:p w:rsidR="00000000" w:rsidDel="00000000" w:rsidP="00000000" w:rsidRDefault="00000000" w:rsidRPr="00000000" w14:paraId="000002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puede advertir que la nómina se puede referir a lo siguiente:</w:t>
      </w:r>
    </w:p>
    <w:p w:rsidR="00000000" w:rsidDel="00000000" w:rsidP="00000000" w:rsidRDefault="00000000" w:rsidRPr="00000000" w14:paraId="0000022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21">
      <w:pPr>
        <w:tabs>
          <w:tab w:val="left" w:leader="none" w:pos="8222"/>
        </w:tabs>
        <w:ind w:left="567" w:right="709" w:firstLine="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b w:val="1"/>
          <w:sz w:val="22"/>
          <w:szCs w:val="22"/>
          <w:u w:val="single"/>
          <w:rtl w:val="0"/>
        </w:rPr>
        <w:t xml:space="preserve">Relación de trabajadores con las percepciones monetarias de cada uno.</w:t>
      </w:r>
    </w:p>
    <w:p w:rsidR="00000000" w:rsidDel="00000000" w:rsidP="00000000" w:rsidRDefault="00000000" w:rsidRPr="00000000" w14:paraId="00000222">
      <w:pPr>
        <w:tabs>
          <w:tab w:val="left" w:leader="none" w:pos="8222"/>
        </w:tabs>
        <w:ind w:left="567"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Recibo individual que contiene las prestaciones y deducciones de un trabajador.</w:t>
      </w:r>
    </w:p>
    <w:p w:rsidR="00000000" w:rsidDel="00000000" w:rsidP="00000000" w:rsidRDefault="00000000" w:rsidRPr="00000000" w14:paraId="00000223">
      <w:pPr>
        <w:tabs>
          <w:tab w:val="left" w:leader="none" w:pos="8222"/>
        </w:tabs>
        <w:ind w:left="567"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Listado general de los servidores públicos de una institución o dependencia, en el cual se asientan las percepciones brutas, deducciones y alcance neto de las mismas.</w:t>
      </w:r>
    </w:p>
    <w:p w:rsidR="00000000" w:rsidDel="00000000" w:rsidP="00000000" w:rsidRDefault="00000000" w:rsidRPr="00000000" w14:paraId="000002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22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22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rsidR="00000000" w:rsidDel="00000000" w:rsidP="00000000" w:rsidRDefault="00000000" w:rsidRPr="00000000" w14:paraId="0000022A">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2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D">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22E">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F">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230">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1">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232">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del precepto normativo se advierte que entre los documentos que tiene la obligación de conservar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encuentran los recibos de pago de salarios o </w:t>
      </w:r>
      <w:r w:rsidDel="00000000" w:rsidR="00000000" w:rsidRPr="00000000">
        <w:rPr>
          <w:rFonts w:ascii="Palatino Linotype" w:cs="Palatino Linotype" w:eastAsia="Palatino Linotype" w:hAnsi="Palatino Linotype"/>
          <w:sz w:val="22"/>
          <w:szCs w:val="22"/>
          <w:u w:val="single"/>
          <w:rtl w:val="0"/>
        </w:rPr>
        <w:t xml:space="preserve">las constancias documentales del pago de sueldos</w:t>
      </w:r>
      <w:r w:rsidDel="00000000" w:rsidR="00000000" w:rsidRPr="00000000">
        <w:rPr>
          <w:rFonts w:ascii="Palatino Linotype" w:cs="Palatino Linotype" w:eastAsia="Palatino Linotype" w:hAnsi="Palatino Linotype"/>
          <w:sz w:val="22"/>
          <w:szCs w:val="22"/>
          <w:rtl w:val="0"/>
        </w:rPr>
        <w:t xml:space="preserve">, 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23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hace a nuestra materia,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2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7">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238">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9">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23A">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B">
      <w:pPr>
        <w:spacing w:line="360" w:lineRule="auto"/>
        <w:ind w:right="134"/>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C">
      <w:pP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rsidR="00000000" w:rsidDel="00000000" w:rsidP="00000000" w:rsidRDefault="00000000" w:rsidRPr="00000000" w14:paraId="0000023D">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anteriormente expuesto y dado que el Sujeto Obligado no preciso si los montos señalados son netos o brutos; o bien si son quincenales o mensuales, es que resulta procedente ordenar la entrega del documento o documentos en los que se advierta el sueldo neto vigente de los servidores públicos adscritos a la Unidad de Transparencia, en funciones al seis de febrero de dos mil veinticinco.</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360" w:lineRule="auto"/>
        <w:ind w:right="-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no pasa desapercibido para este Instituto que de una de las constancias de estudios remitidas 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dejó a la vista el promedio del estudiante, información que da cuenta del grado de conocimientos adquiridos en una materia o durante el desarrollo escolar de una persona, es decir de su desarrollo escolar, por lo que corresponde a información que concierne a su vida privada que debe clasificarse como confidencial en términos del artículo 143, fracción I de la Ley de Transparencia, Acceso a la Información Pública y Protección de Datos Personales del Estado de México y Municipios; por lo que resulta procedente dar vista </w:t>
      </w:r>
      <w:r w:rsidDel="00000000" w:rsidR="00000000" w:rsidRPr="00000000">
        <w:rPr>
          <w:rFonts w:ascii="Palatino Linotype" w:cs="Palatino Linotype" w:eastAsia="Palatino Linotype" w:hAnsi="Palatino Linotype"/>
          <w:b w:val="1"/>
          <w:sz w:val="22"/>
          <w:szCs w:val="22"/>
          <w:rtl w:val="0"/>
        </w:rPr>
        <w:t xml:space="preserve">al Titular de la Dirección General de Protección de Datos Personales</w:t>
      </w:r>
      <w:r w:rsidDel="00000000" w:rsidR="00000000" w:rsidRPr="00000000">
        <w:rPr>
          <w:rFonts w:ascii="Palatino Linotype" w:cs="Palatino Linotype" w:eastAsia="Palatino Linotype" w:hAnsi="Palatino Linotype"/>
          <w:sz w:val="22"/>
          <w:szCs w:val="22"/>
          <w:rtl w:val="0"/>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360" w:lineRule="auto"/>
        <w:ind w:right="-9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2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el caso que ahora nos ocupa, resulta indispensable, analizar lo siguiente: </w:t>
      </w:r>
    </w:p>
    <w:p w:rsidR="00000000" w:rsidDel="00000000" w:rsidP="00000000" w:rsidRDefault="00000000" w:rsidRPr="00000000" w14:paraId="000002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6">
      <w:pPr>
        <w:widowControl w:val="0"/>
        <w:numPr>
          <w:ilvl w:val="0"/>
          <w:numId w:val="7"/>
        </w:numPr>
        <w:pBdr>
          <w:top w:space="0" w:sz="0" w:val="nil"/>
          <w:left w:space="0" w:sz="0" w:val="nil"/>
          <w:bottom w:space="0" w:sz="0" w:val="nil"/>
          <w:right w:space="0" w:sz="0" w:val="nil"/>
          <w:between w:space="0" w:sz="0" w:val="nil"/>
        </w:pBdr>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Fotografías de los servidores públicos. </w:t>
      </w:r>
      <w:r w:rsidDel="00000000" w:rsidR="00000000" w:rsidRPr="00000000">
        <w:rPr>
          <w:rFonts w:ascii="Palatino Linotype" w:cs="Palatino Linotype" w:eastAsia="Palatino Linotype" w:hAnsi="Palatino Linotype"/>
          <w:sz w:val="22"/>
          <w:szCs w:val="22"/>
          <w:rtl w:val="0"/>
        </w:rPr>
        <w:t xml:space="preserve">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rsidR="00000000" w:rsidDel="00000000" w:rsidP="00000000" w:rsidRDefault="00000000" w:rsidRPr="00000000" w14:paraId="0000024E">
      <w:pPr>
        <w:numPr>
          <w:ilvl w:val="0"/>
          <w:numId w:val="6"/>
        </w:numPr>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Firma de servidores públicos.</w:t>
      </w:r>
      <w:r w:rsidDel="00000000" w:rsidR="00000000" w:rsidRPr="00000000">
        <w:rPr>
          <w:rFonts w:ascii="Palatino Linotype" w:cs="Palatino Linotype" w:eastAsia="Palatino Linotype" w:hAnsi="Palatino Linotype"/>
          <w:sz w:val="22"/>
          <w:szCs w:val="22"/>
          <w:rtl w:val="0"/>
        </w:rPr>
        <w:t xml:space="preserve"> En el presente asunto, debido a que la firma se encuentra en el Aviso de Movimientos, esta guarda el carácter de público y, por lo tanto, no actualiza la causal de clasificación prevista en el artículo 143, fracción I, de la Ley de Transparencia y Acceso a la Información Pública del Estado de México y Municipios.</w:t>
      </w:r>
    </w:p>
    <w:p w:rsidR="00000000" w:rsidDel="00000000" w:rsidP="00000000" w:rsidRDefault="00000000" w:rsidRPr="00000000" w14:paraId="0000024F">
      <w:pP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Criterio orientador 02/19 emitido por el entonces Instituto Nacional de Transparencia, Acceso a la Información y Protección de Datos Personales, cuyo rubro y texto establecen lo siguiente:</w:t>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567" w:right="-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251">
      <w:pPr>
        <w:spacing w:line="360" w:lineRule="auto"/>
        <w:ind w:left="567" w:right="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no procede su clasificación.</w:t>
      </w:r>
    </w:p>
    <w:p w:rsidR="00000000" w:rsidDel="00000000" w:rsidP="00000000" w:rsidRDefault="00000000" w:rsidRPr="00000000" w14:paraId="00000252">
      <w:pPr>
        <w:spacing w:line="360" w:lineRule="auto"/>
        <w:ind w:left="567" w:right="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3">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254">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5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25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25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5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25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25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25E">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25F">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260">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26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6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26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6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26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6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68">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6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2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26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7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27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7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27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27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7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7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7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27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7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7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28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2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28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28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8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28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28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28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28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28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28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2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parcialmente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02409/INFOEM/IP/RR/2025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00132/TLALNEPA/IP/2025.</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r w:rsidDel="00000000" w:rsidR="00000000" w:rsidRPr="00000000">
        <w:rPr>
          <w:rtl w:val="0"/>
        </w:rPr>
      </w:r>
    </w:p>
    <w:p w:rsidR="00000000" w:rsidDel="00000000" w:rsidP="00000000" w:rsidRDefault="00000000" w:rsidRPr="00000000" w14:paraId="00000293">
      <w:pPr>
        <w:spacing w:after="240" w:before="240" w:line="360" w:lineRule="auto"/>
        <w:jc w:val="both"/>
        <w:rPr>
          <w:rFonts w:ascii="Palatino Linotype" w:cs="Palatino Linotype" w:eastAsia="Palatino Linotype" w:hAnsi="Palatino Linotype"/>
          <w:b w:val="1"/>
          <w:sz w:val="22"/>
          <w:szCs w:val="22"/>
        </w:rPr>
      </w:pPr>
      <w:bookmarkStart w:colFirst="0" w:colLast="0" w:name="_heading=h.26in1rg" w:id="10"/>
      <w:bookmarkEnd w:id="10"/>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02409/INFOEM/IP/RR/2025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p>
    <w:p w:rsidR="00000000" w:rsidDel="00000000" w:rsidP="00000000" w:rsidRDefault="00000000" w:rsidRPr="00000000" w14:paraId="00000294">
      <w:pPr>
        <w:spacing w:after="240" w:before="240" w:line="360" w:lineRule="auto"/>
        <w:ind w:right="49"/>
        <w:jc w:val="both"/>
        <w:rPr>
          <w:rFonts w:ascii="Palatino Linotype" w:cs="Palatino Linotype" w:eastAsia="Palatino Linotype" w:hAnsi="Palatino Linotype"/>
          <w:sz w:val="22"/>
          <w:szCs w:val="22"/>
        </w:rPr>
      </w:pPr>
      <w:bookmarkStart w:colFirst="0" w:colLast="0" w:name="_heading=h.3rdcrjn" w:id="11"/>
      <w:bookmarkEnd w:id="11"/>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w:t>
      </w:r>
      <w:r w:rsidDel="00000000" w:rsidR="00000000" w:rsidRPr="00000000">
        <w:rPr>
          <w:rFonts w:ascii="Palatino Linotype" w:cs="Palatino Linotype" w:eastAsia="Palatino Linotype" w:hAnsi="Palatino Linotype"/>
          <w:sz w:val="22"/>
          <w:szCs w:val="22"/>
          <w:rtl w:val="0"/>
        </w:rPr>
        <w:t xml:space="preserve">, previa búsqueda exhaustiva y razonable, de ser procedente en versión pública, de lo siguiente:</w:t>
      </w:r>
    </w:p>
    <w:p w:rsidR="00000000" w:rsidDel="00000000" w:rsidP="00000000" w:rsidRDefault="00000000" w:rsidRPr="00000000" w14:paraId="00000295">
      <w:pPr>
        <w:numPr>
          <w:ilvl w:val="0"/>
          <w:numId w:val="5"/>
        </w:numPr>
        <w:pBdr>
          <w:top w:space="0" w:sz="0" w:val="nil"/>
          <w:left w:space="0" w:sz="0" w:val="nil"/>
          <w:bottom w:space="0" w:sz="0" w:val="nil"/>
          <w:right w:space="0" w:sz="0" w:val="nil"/>
          <w:between w:space="0" w:sz="0" w:val="nil"/>
        </w:pBdr>
        <w:spacing w:before="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documentos faltantes de los expedientes de los servidores públicos adscritos a la Unidad de Transparencia al seis de febrero de dos mil veinticinco. </w:t>
      </w:r>
    </w:p>
    <w:p w:rsidR="00000000" w:rsidDel="00000000" w:rsidP="00000000" w:rsidRDefault="00000000" w:rsidRPr="00000000" w14:paraId="00000296">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Currículum Vitae, Ficha Curricular, solicitud de empleo o documento análogo, de los servidores públicos faltantes, adscritos a la Unidad de Transparencia al seis de febrero de dos mil veinticinco.</w:t>
      </w:r>
    </w:p>
    <w:p w:rsidR="00000000" w:rsidDel="00000000" w:rsidP="00000000" w:rsidRDefault="00000000" w:rsidRPr="00000000" w14:paraId="0000029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acredite el último grado de estudios de la Jefa de Unidad de Transparencia, en funciones al seis de febrero de dos mil veinticinco. </w:t>
      </w:r>
    </w:p>
    <w:p w:rsidR="00000000" w:rsidDel="00000000" w:rsidP="00000000" w:rsidRDefault="00000000" w:rsidRPr="00000000" w14:paraId="0000029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sueldo neto quincenal de los servidores públicos adscritos a la Unidad de Transparencia, vigente al seis de febrero de dos mil veinticinco. </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w:t>
      </w:r>
      <w:r w:rsidDel="00000000" w:rsidR="00000000" w:rsidRPr="00000000">
        <w:rPr>
          <w:rFonts w:ascii="Palatino Linotype" w:cs="Palatino Linotype" w:eastAsia="Palatino Linotype" w:hAnsi="Palatino Linotype"/>
          <w:b w:val="1"/>
          <w:i w:val="1"/>
          <w:sz w:val="22"/>
          <w:szCs w:val="22"/>
          <w:rtl w:val="0"/>
        </w:rPr>
        <w:t xml:space="preserve"> 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 así como el Acuerdo del Comité de Transparencia que clasifique en su totalidad como información confidencial la Cartilla de Servicio Militar.</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la información que se ordena en el numeral 1, referente al Informe o certificado de no antecedentes penales del servidor público faltante, y numeral 3), por no estar obligado a contar con un determinado grado de estudios, no obren en los archivos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porque no se posean y/o administren,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en términos de lo señalado por el segundo párrafo del artículo 19 de la Ley de Transparencia y Acceso a la Información Pública del Estado de México y Municipios.</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9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9F">
      <w:pPr>
        <w:spacing w:after="240" w:before="240" w:line="360" w:lineRule="auto"/>
        <w:ind w:right="49"/>
        <w:jc w:val="both"/>
        <w:rPr>
          <w:rFonts w:ascii="Palatino Linotype" w:cs="Palatino Linotype" w:eastAsia="Palatino Linotype" w:hAnsi="Palatino Linotype"/>
          <w:sz w:val="22"/>
          <w:szCs w:val="22"/>
        </w:rPr>
      </w:pPr>
      <w:bookmarkStart w:colFirst="0" w:colLast="0" w:name="_heading=h.3sdaeoa6ui75" w:id="12"/>
      <w:bookmarkEnd w:id="12"/>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Notifíquese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 </w:t>
      </w:r>
    </w:p>
    <w:p w:rsidR="00000000" w:rsidDel="00000000" w:rsidP="00000000" w:rsidRDefault="00000000" w:rsidRPr="00000000" w14:paraId="000002A0">
      <w:pPr>
        <w:spacing w:after="240" w:before="240" w:line="360" w:lineRule="auto"/>
        <w:ind w:right="49"/>
        <w:jc w:val="both"/>
        <w:rPr>
          <w:rFonts w:ascii="Palatino Linotype" w:cs="Palatino Linotype" w:eastAsia="Palatino Linotype" w:hAnsi="Palatino Linotype"/>
          <w:sz w:val="22"/>
          <w:szCs w:val="22"/>
        </w:rPr>
      </w:pPr>
      <w:bookmarkStart w:colFirst="0" w:colLast="0" w:name="_heading=h.phpvvpe8cqrq" w:id="13"/>
      <w:bookmarkEnd w:id="13"/>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2A1">
      <w:pPr>
        <w:widowControl w:val="0"/>
        <w:tabs>
          <w:tab w:val="left" w:leader="none" w:pos="1701"/>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Gírese oficio </w:t>
      </w:r>
      <w:r w:rsidDel="00000000" w:rsidR="00000000" w:rsidRPr="00000000">
        <w:rPr>
          <w:rFonts w:ascii="Palatino Linotype" w:cs="Palatino Linotype" w:eastAsia="Palatino Linotype" w:hAnsi="Palatino Linotype"/>
          <w:sz w:val="22"/>
          <w:szCs w:val="22"/>
          <w:rtl w:val="0"/>
        </w:rPr>
        <w:t xml:space="preserve">a la </w:t>
      </w:r>
      <w:r w:rsidDel="00000000" w:rsidR="00000000" w:rsidRPr="00000000">
        <w:rPr>
          <w:rFonts w:ascii="Palatino Linotype" w:cs="Palatino Linotype" w:eastAsia="Palatino Linotype" w:hAnsi="Palatino Linotype"/>
          <w:b w:val="1"/>
          <w:sz w:val="22"/>
          <w:szCs w:val="22"/>
          <w:rtl w:val="0"/>
        </w:rPr>
        <w:t xml:space="preserve">Dirección General de Protección de Datos Personales</w:t>
      </w:r>
      <w:r w:rsidDel="00000000" w:rsidR="00000000" w:rsidRPr="00000000">
        <w:rPr>
          <w:rFonts w:ascii="Palatino Linotype" w:cs="Palatino Linotype" w:eastAsia="Palatino Linotype" w:hAnsi="Palatino Linotype"/>
          <w:sz w:val="22"/>
          <w:szCs w:val="22"/>
          <w:rtl w:val="0"/>
        </w:rPr>
        <w:t xml:space="preserve"> en atención al artículo 82, fracción XXVII de la Ley de Protección de Datos Personales del Estado de México y Municipios, a fin de que determine lo conducente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2A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APROBÓ POR UNANIMIDAD DE VOTOS EL PLENO DEL INSTITUTO DE TRANSPARENCIA, ACCESO A LA INFORMACIÓN PÚBLICA Y PROTECCIÓN DE DATOS PERSONALES DEL ESTADO DE MÉXICO Y MUNICIPIOS, CONFORMADO POR LOS COMISIONADOS JOSÉ MARTÍNEZ VILCHIS (EMITIENDO VOTO PARTICULAR); MARÍA DEL ROSARIO MEJÍA AYALA (EMITIENDO VOTO PARTICULAR); SHARON CRISTINA MORALES MARTÍNEZ, LUIS GUSTAVO PARRA NORIEGA (EMITIENDO VOTO PARTICULAR); Y GUADALUPE RAMÍREZ PEÑA (EMITIENDO VOTO PARTICULAR); EN LA DÉCIMA SÉPTIMA SESIÓN ORDINARIA CELEBRADA EL CATORCE DE MAYO DE DOS MIL VEINTICINCO, ANTE EL SECRETARIO TÉCNICO DEL PLENO ALEXIS TAPIA RAMÍREZ.</w:t>
      </w:r>
    </w:p>
    <w:p w:rsidR="00000000" w:rsidDel="00000000" w:rsidP="00000000" w:rsidRDefault="00000000" w:rsidRPr="00000000" w14:paraId="000002A3">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4">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5">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A8">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9">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AA">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AB">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9">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A">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-488272</wp:posOffset>
          </wp:positionV>
          <wp:extent cx="7809865" cy="10165715"/>
          <wp:effectExtent b="0" l="0" r="0" t="0"/>
          <wp:wrapNone/>
          <wp:docPr id="21431082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811.0" w:type="dxa"/>
      <w:jc w:val="left"/>
      <w:tblInd w:w="3261.0" w:type="dxa"/>
      <w:tblLayout w:type="fixed"/>
      <w:tblLook w:val="0400"/>
    </w:tblPr>
    <w:tblGrid>
      <w:gridCol w:w="2489"/>
      <w:gridCol w:w="3322"/>
      <w:tblGridChange w:id="0">
        <w:tblGrid>
          <w:gridCol w:w="2489"/>
          <w:gridCol w:w="3322"/>
        </w:tblGrid>
      </w:tblGridChange>
    </w:tblGrid>
    <w:tr>
      <w:trPr>
        <w:cantSplit w:val="0"/>
        <w:tblHeader w:val="0"/>
      </w:trPr>
      <w:tc>
        <w:tcPr>
          <w:shd w:fill="auto" w:val="clear"/>
        </w:tcPr>
        <w:p w:rsidR="00000000" w:rsidDel="00000000" w:rsidP="00000000" w:rsidRDefault="00000000" w:rsidRPr="00000000" w14:paraId="000002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BC">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02409/INFOEM/IP/RR/2025</w:t>
          </w:r>
        </w:p>
      </w:tc>
    </w:tr>
    <w:tr>
      <w:trPr>
        <w:cantSplit w:val="0"/>
        <w:trHeight w:val="228" w:hRule="atLeast"/>
        <w:tblHeader w:val="0"/>
      </w:trPr>
      <w:tc>
        <w:tcPr>
          <w:shd w:fill="auto" w:val="clear"/>
          <w:vAlign w:val="center"/>
        </w:tcPr>
        <w:p w:rsidR="00000000" w:rsidDel="00000000" w:rsidP="00000000" w:rsidRDefault="00000000" w:rsidRPr="00000000" w14:paraId="000002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BE">
          <w:pPr>
            <w:ind w:left="-45" w:right="168"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Tlalnepantla de Baz</w:t>
          </w:r>
        </w:p>
      </w:tc>
    </w:tr>
    <w:tr>
      <w:trPr>
        <w:cantSplit w:val="0"/>
        <w:tblHeader w:val="0"/>
      </w:trPr>
      <w:tc>
        <w:tcPr>
          <w:shd w:fill="auto" w:val="clear"/>
          <w:vAlign w:val="center"/>
        </w:tcPr>
        <w:p w:rsidR="00000000" w:rsidDel="00000000" w:rsidP="00000000" w:rsidRDefault="00000000" w:rsidRPr="00000000" w14:paraId="000002BF">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C0">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C1">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-1080125</wp:posOffset>
          </wp:positionH>
          <wp:positionV relativeFrom="paragraph">
            <wp:posOffset>-369900</wp:posOffset>
          </wp:positionV>
          <wp:extent cx="7809865" cy="10165715"/>
          <wp:effectExtent b="0" l="0" r="0" t="0"/>
          <wp:wrapNone/>
          <wp:docPr id="214310825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6095.0" w:type="dxa"/>
      <w:jc w:val="left"/>
      <w:tblInd w:w="3261.0" w:type="dxa"/>
      <w:tblLayout w:type="fixed"/>
      <w:tblLook w:val="0400"/>
    </w:tblPr>
    <w:tblGrid>
      <w:gridCol w:w="2489"/>
      <w:gridCol w:w="3606"/>
      <w:tblGridChange w:id="0">
        <w:tblGrid>
          <w:gridCol w:w="2489"/>
          <w:gridCol w:w="3606"/>
        </w:tblGrid>
      </w:tblGridChange>
    </w:tblGrid>
    <w:tr>
      <w:trPr>
        <w:cantSplit w:val="0"/>
        <w:tblHeader w:val="0"/>
      </w:trPr>
      <w:tc>
        <w:tcPr>
          <w:shd w:fill="auto" w:val="clear"/>
        </w:tcPr>
        <w:p w:rsidR="00000000" w:rsidDel="00000000" w:rsidP="00000000" w:rsidRDefault="00000000" w:rsidRPr="00000000" w14:paraId="000002C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C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02409/INFOEM/IP/RR/2025</w:t>
          </w:r>
        </w:p>
      </w:tc>
    </w:tr>
    <w:tr>
      <w:trPr>
        <w:cantSplit w:val="0"/>
        <w:tblHeader w:val="0"/>
      </w:trPr>
      <w:tc>
        <w:tcPr>
          <w:shd w:fill="auto" w:val="clear"/>
        </w:tcPr>
        <w:p w:rsidR="00000000" w:rsidDel="00000000" w:rsidP="00000000" w:rsidRDefault="00000000" w:rsidRPr="00000000" w14:paraId="000002C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C6">
          <w:pPr>
            <w:ind w:right="175"/>
            <w:jc w:val="both"/>
            <w:rPr>
              <w:rFonts w:ascii="Palatino Linotype" w:cs="Palatino Linotype" w:eastAsia="Palatino Linotype" w:hAnsi="Palatino Linotype"/>
              <w:b w:val="1"/>
              <w:sz w:val="22"/>
              <w:szCs w:val="22"/>
            </w:rPr>
          </w:pPr>
          <w:bookmarkStart w:colFirst="0" w:colLast="0" w:name="_heading=h.2f115de6s3ai" w:id="14"/>
          <w:bookmarkEnd w:id="14"/>
          <w:r w:rsidDel="00000000" w:rsidR="00000000" w:rsidRPr="00000000">
            <w:rPr>
              <w:rFonts w:ascii="Palatino Linotype" w:cs="Palatino Linotype" w:eastAsia="Palatino Linotype" w:hAnsi="Palatino Linotype"/>
              <w:b w:val="1"/>
              <w:sz w:val="22"/>
              <w:szCs w:val="22"/>
              <w:rtl w:val="0"/>
            </w:rPr>
            <w:t xml:space="preserve">XXXXXXXXXXXXX XXXXXXXX XXXXXXXXX</w:t>
          </w:r>
        </w:p>
      </w:tc>
    </w:tr>
    <w:tr>
      <w:trPr>
        <w:cantSplit w:val="0"/>
        <w:trHeight w:val="228" w:hRule="atLeast"/>
        <w:tblHeader w:val="0"/>
      </w:trPr>
      <w:tc>
        <w:tcPr>
          <w:shd w:fill="auto" w:val="clear"/>
          <w:vAlign w:val="center"/>
        </w:tcPr>
        <w:p w:rsidR="00000000" w:rsidDel="00000000" w:rsidP="00000000" w:rsidRDefault="00000000" w:rsidRPr="00000000" w14:paraId="000002C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C8">
          <w:pPr>
            <w:ind w:right="17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Tlalnepantla de Baz</w:t>
          </w:r>
        </w:p>
      </w:tc>
    </w:tr>
    <w:tr>
      <w:trPr>
        <w:cantSplit w:val="0"/>
        <w:tblHeader w:val="0"/>
      </w:trPr>
      <w:tc>
        <w:tcPr>
          <w:shd w:fill="auto" w:val="clear"/>
          <w:vAlign w:val="center"/>
        </w:tcPr>
        <w:p w:rsidR="00000000" w:rsidDel="00000000" w:rsidP="00000000" w:rsidRDefault="00000000" w:rsidRPr="00000000" w14:paraId="000002C9">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CA">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6"/>
      <w:numFmt w:val="bullet"/>
      <w:lvlText w:val="-"/>
      <w:lvlJc w:val="left"/>
      <w:pPr>
        <w:ind w:left="927" w:hanging="360"/>
      </w:pPr>
      <w:rPr>
        <w:rFonts w:ascii="Palatino Linotype" w:cs="Palatino Linotype" w:eastAsia="Palatino Linotype" w:hAnsi="Palatino Linotype"/>
        <w:b w:val="1"/>
        <w:i w:val="1"/>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26F1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9"/>
    <w:tblPr>
      <w:tblStyleRowBandSize w:val="1"/>
      <w:tblStyleColBandSize w:val="1"/>
      <w:tblCellMar>
        <w:left w:w="115.0" w:type="dxa"/>
        <w:right w:w="115.0" w:type="dxa"/>
      </w:tblCellMar>
    </w:tblPr>
  </w:style>
  <w:style w:type="table" w:styleId="a0" w:customStyle="1">
    <w:basedOn w:val="TableNormal9"/>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806B5C"/>
    <w:rPr>
      <w:vertAlign w:val="superscript"/>
    </w:rPr>
  </w:style>
  <w:style w:type="table" w:styleId="a1" w:customStyle="1">
    <w:basedOn w:val="TableNormal9"/>
    <w:tblPr>
      <w:tblStyleRowBandSize w:val="1"/>
      <w:tblStyleColBandSize w:val="1"/>
      <w:tblCellMar>
        <w:left w:w="115.0" w:type="dxa"/>
        <w:right w:w="115.0" w:type="dxa"/>
      </w:tblCellMar>
    </w:tblPr>
  </w:style>
  <w:style w:type="table" w:styleId="a2" w:customStyle="1">
    <w:basedOn w:val="TableNormal9"/>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8"/>
    <w:tblPr>
      <w:tblStyleRowBandSize w:val="1"/>
      <w:tblStyleColBandSize w:val="1"/>
      <w:tblCellMar>
        <w:left w:w="115.0" w:type="dxa"/>
        <w:right w:w="115.0" w:type="dxa"/>
      </w:tblCellMar>
    </w:tblPr>
  </w:style>
  <w:style w:type="table" w:styleId="a4" w:customStyle="1">
    <w:basedOn w:val="TableNormal8"/>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2"/>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7"/>
    <w:tblPr>
      <w:tblStyleRowBandSize w:val="1"/>
      <w:tblStyleColBandSize w:val="1"/>
      <w:tblCellMar>
        <w:left w:w="108.0" w:type="dxa"/>
        <w:right w:w="108.0" w:type="dxa"/>
      </w:tblCellMar>
    </w:tblPr>
  </w:style>
  <w:style w:type="table" w:styleId="a6" w:customStyle="1">
    <w:basedOn w:val="TableNormal7"/>
    <w:tblPr>
      <w:tblStyleRowBandSize w:val="1"/>
      <w:tblStyleColBandSize w:val="1"/>
      <w:tblCellMar>
        <w:left w:w="108.0" w:type="dxa"/>
        <w:right w:w="108.0" w:type="dxa"/>
      </w:tblCellMar>
    </w:tblPr>
  </w:style>
  <w:style w:type="table" w:styleId="a7" w:customStyle="1">
    <w:basedOn w:val="TableNormal7"/>
    <w:tblPr>
      <w:tblStyleRowBandSize w:val="1"/>
      <w:tblStyleColBandSize w:val="1"/>
      <w:tblCellMar>
        <w:left w:w="108.0" w:type="dxa"/>
        <w:right w:w="108.0" w:type="dxa"/>
      </w:tblCellMar>
    </w:tblPr>
  </w:style>
  <w:style w:type="table" w:styleId="a8" w:customStyle="1">
    <w:basedOn w:val="TableNormal7"/>
    <w:tblPr>
      <w:tblStyleRowBandSize w:val="1"/>
      <w:tblStyleColBandSize w:val="1"/>
      <w:tblCellMar>
        <w:left w:w="108.0" w:type="dxa"/>
        <w:right w:w="108.0" w:type="dxa"/>
      </w:tblCellMar>
    </w:tblPr>
  </w:style>
  <w:style w:type="table" w:styleId="a9" w:customStyle="1">
    <w:basedOn w:val="TableNormal7"/>
    <w:tblPr>
      <w:tblStyleRowBandSize w:val="1"/>
      <w:tblStyleColBandSize w:val="1"/>
      <w:tblCellMar>
        <w:left w:w="108.0" w:type="dxa"/>
        <w:right w:w="108.0" w:type="dxa"/>
      </w:tblCellMar>
    </w:tblPr>
  </w:style>
  <w:style w:type="table" w:styleId="aa" w:customStyle="1">
    <w:basedOn w:val="TableNormal7"/>
    <w:tblPr>
      <w:tblStyleRowBandSize w:val="1"/>
      <w:tblStyleColBandSize w:val="1"/>
      <w:tblCellMar>
        <w:left w:w="115.0" w:type="dxa"/>
        <w:right w:w="115.0" w:type="dxa"/>
      </w:tblCellMar>
    </w:tblPr>
  </w:style>
  <w:style w:type="table" w:styleId="ab" w:customStyle="1">
    <w:basedOn w:val="TableNormal7"/>
    <w:tblPr>
      <w:tblStyleRowBandSize w:val="1"/>
      <w:tblStyleColBandSize w:val="1"/>
      <w:tblCellMar>
        <w:left w:w="115.0" w:type="dxa"/>
        <w:right w:w="115.0" w:type="dxa"/>
      </w:tblCellMar>
    </w:tblPr>
  </w:style>
  <w:style w:type="table" w:styleId="ac" w:customStyle="1">
    <w:basedOn w:val="TableNormal6"/>
    <w:tblPr>
      <w:tblStyleRowBandSize w:val="1"/>
      <w:tblStyleColBandSize w:val="1"/>
      <w:tblCellMar>
        <w:left w:w="108.0" w:type="dxa"/>
        <w:right w:w="108.0" w:type="dxa"/>
      </w:tblCellMar>
    </w:tblPr>
  </w:style>
  <w:style w:type="table" w:styleId="ad" w:customStyle="1">
    <w:basedOn w:val="TableNormal6"/>
    <w:tblPr>
      <w:tblStyleRowBandSize w:val="1"/>
      <w:tblStyleColBandSize w:val="1"/>
      <w:tblCellMar>
        <w:left w:w="115.0" w:type="dxa"/>
        <w:right w:w="115.0" w:type="dxa"/>
      </w:tblCellMar>
    </w:tblPr>
  </w:style>
  <w:style w:type="table" w:styleId="ae" w:customStyle="1">
    <w:basedOn w:val="TableNormal6"/>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left w:w="115.0" w:type="dxa"/>
        <w:right w:w="115.0" w:type="dxa"/>
      </w:tblCellMar>
    </w:tblPr>
  </w:style>
  <w:style w:type="table" w:styleId="af1" w:customStyle="1">
    <w:basedOn w:val="TableNormal5"/>
    <w:tblPr>
      <w:tblStyleRowBandSize w:val="1"/>
      <w:tblStyleColBandSize w:val="1"/>
      <w:tblCellMar>
        <w:left w:w="115.0" w:type="dxa"/>
        <w:right w:w="115.0" w:type="dxa"/>
      </w:tblCellMar>
    </w:tblPr>
  </w:style>
  <w:style w:type="table" w:styleId="af2" w:customStyle="1">
    <w:basedOn w:val="TableNormal4"/>
    <w:tblPr>
      <w:tblStyleRowBandSize w:val="1"/>
      <w:tblStyleColBandSize w:val="1"/>
      <w:tblCellMar>
        <w:left w:w="115.0" w:type="dxa"/>
        <w:right w:w="115.0" w:type="dxa"/>
      </w:tblCellMar>
    </w:tblPr>
  </w:style>
  <w:style w:type="table" w:styleId="af3" w:customStyle="1">
    <w:basedOn w:val="TableNormal4"/>
    <w:tblPr>
      <w:tblStyleRowBandSize w:val="1"/>
      <w:tblStyleColBandSize w:val="1"/>
      <w:tblCellMar>
        <w:left w:w="115.0" w:type="dxa"/>
        <w:right w:w="115.0" w:type="dxa"/>
      </w:tblCellMar>
    </w:tblPr>
  </w:style>
  <w:style w:type="table" w:styleId="af4" w:customStyle="1">
    <w:basedOn w:val="TableNormal3"/>
    <w:tblPr>
      <w:tblStyleRowBandSize w:val="1"/>
      <w:tblStyleColBandSize w:val="1"/>
      <w:tblCellMar>
        <w:left w:w="115.0" w:type="dxa"/>
        <w:right w:w="115.0" w:type="dxa"/>
      </w:tblCellMar>
    </w:tblPr>
  </w:style>
  <w:style w:type="table" w:styleId="af5" w:customStyle="1">
    <w:basedOn w:val="TableNormal3"/>
    <w:tblPr>
      <w:tblStyleRowBandSize w:val="1"/>
      <w:tblStyleColBandSize w:val="1"/>
      <w:tblCellMar>
        <w:left w:w="115.0" w:type="dxa"/>
        <w:right w:w="115.0" w:type="dxa"/>
      </w:tblCellMar>
    </w:tblPr>
  </w:style>
  <w:style w:type="paragraph" w:styleId="Listaconvietas">
    <w:name w:val="List Bullet"/>
    <w:basedOn w:val="Normal"/>
    <w:uiPriority w:val="99"/>
    <w:unhideWhenUsed w:val="1"/>
    <w:rsid w:val="00CA1155"/>
    <w:pPr>
      <w:numPr>
        <w:numId w:val="8"/>
      </w:numPr>
      <w:contextualSpacing w:val="1"/>
    </w:pPr>
    <w:rPr>
      <w:lang w:eastAsia="es-ES"/>
    </w:r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tblPr>
      <w:tblStyleRowBandSize w:val="1"/>
      <w:tblStyleColBandSize w:val="1"/>
      <w:tblCellMar>
        <w:left w:w="115.0" w:type="dxa"/>
        <w:right w:w="115.0" w:type="dxa"/>
      </w:tblCellMar>
    </w:tblPr>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1"/>
    <w:tblPr>
      <w:tblStyleRowBandSize w:val="1"/>
      <w:tblStyleColBandSize w:val="1"/>
      <w:tblCellMar>
        <w:left w:w="115.0" w:type="dxa"/>
        <w:right w:w="115.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diputados.gob.mx/LeyesBiblio/pdf/LGDNNA.pdf" TargetMode="External"/><Relationship Id="rId22" Type="http://schemas.openxmlformats.org/officeDocument/2006/relationships/footer" Target="footer1.xml"/><Relationship Id="rId10" Type="http://schemas.openxmlformats.org/officeDocument/2006/relationships/hyperlink" Target="http://www.secogem.gob.mx/constancias/" TargetMode="External"/><Relationship Id="rId21" Type="http://schemas.openxmlformats.org/officeDocument/2006/relationships/header" Target="header2.xml"/><Relationship Id="rId13" Type="http://schemas.openxmlformats.org/officeDocument/2006/relationships/image" Target="media/image3.png"/><Relationship Id="rId12" Type="http://schemas.openxmlformats.org/officeDocument/2006/relationships/hyperlink" Target="https://legislacion.edomex.gob.mx/sites/legislacion.edomex.gob.mx/files/files/pdf/gct/2014/nov144.PDF"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portal.secogem.gob.mx/declaranet" TargetMode="External"/><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www.apartados.hacienda.gob.mx/contabilidad/documentos/informe_cuenta/1998/cuenta_publica/Glosario/n.htm" TargetMode="External"/><Relationship Id="rId6" Type="http://schemas.openxmlformats.org/officeDocument/2006/relationships/customXml" Target="../customXML/item1.xml"/><Relationship Id="rId18" Type="http://schemas.openxmlformats.org/officeDocument/2006/relationships/hyperlink" Target="https://www.transparenciapresupuestaria.gob.mx/es/PTP/Glosario" TargetMode="Externa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A3CgNcA59XkEru+4twrRl0/+mw==">CgMxLjAyCWguNGQzNG9nODIIaC5namRneHMyCWguM2R5NnZrbTIJaC4zMGowemxsMgloLjJzOGV5bzEyCGgudHlqY3d0MgloLjN6bnlzaDcyCWguMmV0OTJwMDIOaC5panY5OHBudGNkNXMyCWguMWZvYjl0ZTIJaC4yNmluMXJnMgloLjNyZGNyam4yDmguM3NkYWVvYTZ1aTc1Mg5oLnBocHZ2cGU4Y3FycTIOaC4yZjExNWRlNnMzYWk4AHIhMXk3QlZkNi11bUt5RWhKZVAzdHhRbHJaOTZoekYwRE53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2025-05-29T18:30:00Z</dcterms:created>
  <dc:creator>USUARIO</dc:creator>
</cp:coreProperties>
</file>