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1C" w:rsidRPr="00F76A6A" w:rsidRDefault="00497E4A">
      <w:pPr>
        <w:tabs>
          <w:tab w:val="left" w:pos="0"/>
          <w:tab w:val="left" w:pos="3465"/>
        </w:tabs>
        <w:spacing w:line="360" w:lineRule="auto"/>
        <w:ind w:right="-989"/>
        <w:jc w:val="both"/>
        <w:rPr>
          <w:rFonts w:ascii="Palatino Linotype" w:eastAsia="Palatino Linotype" w:hAnsi="Palatino Linotype" w:cs="Palatino Linotype"/>
        </w:rPr>
      </w:pPr>
      <w:r w:rsidRPr="00F76A6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E35B1C" w:rsidRPr="00F76A6A" w:rsidRDefault="00E35B1C">
      <w:pPr>
        <w:tabs>
          <w:tab w:val="left" w:pos="0"/>
          <w:tab w:val="left" w:pos="3465"/>
        </w:tabs>
        <w:spacing w:line="360" w:lineRule="auto"/>
        <w:ind w:right="-989"/>
        <w:jc w:val="both"/>
        <w:rPr>
          <w:rFonts w:ascii="Palatino Linotype" w:eastAsia="Palatino Linotype" w:hAnsi="Palatino Linotype" w:cs="Palatino Linotype"/>
        </w:rPr>
      </w:pPr>
    </w:p>
    <w:p w:rsidR="00E35B1C" w:rsidRPr="00F76A6A" w:rsidRDefault="00497E4A">
      <w:pPr>
        <w:pBdr>
          <w:top w:val="nil"/>
          <w:left w:val="nil"/>
          <w:bottom w:val="nil"/>
          <w:right w:val="nil"/>
          <w:between w:val="nil"/>
        </w:pBdr>
        <w:tabs>
          <w:tab w:val="center" w:pos="4252"/>
          <w:tab w:val="right" w:pos="8504"/>
        </w:tabs>
        <w:spacing w:line="360" w:lineRule="auto"/>
        <w:ind w:right="-989"/>
        <w:jc w:val="both"/>
        <w:rPr>
          <w:rFonts w:ascii="Palatino Linotype" w:eastAsia="Palatino Linotype" w:hAnsi="Palatino Linotype" w:cs="Palatino Linotype"/>
          <w:b/>
          <w:color w:val="000000"/>
        </w:rPr>
      </w:pPr>
      <w:r w:rsidRPr="00F76A6A">
        <w:rPr>
          <w:rFonts w:ascii="Palatino Linotype" w:eastAsia="Palatino Linotype" w:hAnsi="Palatino Linotype" w:cs="Palatino Linotype"/>
          <w:b/>
          <w:color w:val="000000"/>
        </w:rPr>
        <w:t>VISTO</w:t>
      </w:r>
      <w:r w:rsidRPr="00F76A6A">
        <w:rPr>
          <w:rFonts w:ascii="Palatino Linotype" w:eastAsia="Palatino Linotype" w:hAnsi="Palatino Linotype" w:cs="Palatino Linotype"/>
          <w:color w:val="000000"/>
        </w:rPr>
        <w:t xml:space="preserve"> en el expediente electrónico formado con motivo del recurso de revisión número </w:t>
      </w:r>
      <w:r w:rsidRPr="00F76A6A">
        <w:rPr>
          <w:rFonts w:ascii="Palatino Linotype" w:eastAsia="Palatino Linotype" w:hAnsi="Palatino Linotype" w:cs="Palatino Linotype"/>
          <w:b/>
          <w:color w:val="000000"/>
        </w:rPr>
        <w:t>03908/INFOEM/IP/RR/2024</w:t>
      </w:r>
      <w:r w:rsidRPr="00F76A6A">
        <w:rPr>
          <w:rFonts w:ascii="Palatino Linotype" w:eastAsia="Palatino Linotype" w:hAnsi="Palatino Linotype" w:cs="Palatino Linotype"/>
          <w:color w:val="000000"/>
        </w:rPr>
        <w:t xml:space="preserve">, promovido por </w:t>
      </w:r>
      <w:r w:rsidRPr="00F76A6A">
        <w:rPr>
          <w:rFonts w:ascii="Palatino Linotype" w:eastAsia="Palatino Linotype" w:hAnsi="Palatino Linotype" w:cs="Palatino Linotype"/>
          <w:b/>
          <w:color w:val="000000"/>
        </w:rPr>
        <w:t>un usuario que no registro nombre alguno</w:t>
      </w:r>
      <w:r w:rsidRPr="00F76A6A">
        <w:rPr>
          <w:rFonts w:ascii="Palatino Linotype" w:eastAsia="Palatino Linotype" w:hAnsi="Palatino Linotype" w:cs="Palatino Linotype"/>
          <w:color w:val="000000"/>
        </w:rPr>
        <w:t xml:space="preserve">, a quien en lo sucesivo denominaremos </w:t>
      </w:r>
      <w:r w:rsidRPr="00F76A6A">
        <w:rPr>
          <w:rFonts w:ascii="Palatino Linotype" w:eastAsia="Palatino Linotype" w:hAnsi="Palatino Linotype" w:cs="Palatino Linotype"/>
          <w:b/>
          <w:color w:val="000000"/>
        </w:rPr>
        <w:t xml:space="preserve">RECURRENTE, </w:t>
      </w:r>
      <w:r w:rsidRPr="00F76A6A">
        <w:rPr>
          <w:rFonts w:ascii="Palatino Linotype" w:eastAsia="Palatino Linotype" w:hAnsi="Palatino Linotype" w:cs="Palatino Linotype"/>
          <w:color w:val="000000"/>
        </w:rPr>
        <w:t>en contra de la respuesta del</w:t>
      </w:r>
      <w:r w:rsidRPr="00F76A6A">
        <w:rPr>
          <w:rFonts w:ascii="Palatino Linotype" w:eastAsia="Palatino Linotype" w:hAnsi="Palatino Linotype" w:cs="Palatino Linotype"/>
          <w:b/>
          <w:color w:val="000000"/>
        </w:rPr>
        <w:t xml:space="preserve"> Organismo Público Descentralizado para la Prestación de los Servicios de Agua Potable, Alcantarillado y Saneamiento del Municipio de Tlalnepantla de Baz</w:t>
      </w:r>
      <w:r w:rsidRPr="00F76A6A">
        <w:rPr>
          <w:rFonts w:ascii="Palatino Linotype" w:eastAsia="Palatino Linotype" w:hAnsi="Palatino Linotype" w:cs="Palatino Linotype"/>
          <w:color w:val="000000"/>
        </w:rPr>
        <w:t xml:space="preserve">, en </w:t>
      </w:r>
      <w:r w:rsidRPr="00F76A6A">
        <w:rPr>
          <w:rFonts w:ascii="Palatino Linotype" w:eastAsia="Palatino Linotype" w:hAnsi="Palatino Linotype" w:cs="Palatino Linotype"/>
        </w:rPr>
        <w:t>adelante</w:t>
      </w:r>
      <w:r w:rsidRPr="00F76A6A">
        <w:rPr>
          <w:rFonts w:ascii="Palatino Linotype" w:eastAsia="Palatino Linotype" w:hAnsi="Palatino Linotype" w:cs="Palatino Linotype"/>
          <w:color w:val="000000"/>
        </w:rPr>
        <w:t xml:space="preserve"> el</w:t>
      </w:r>
      <w:r w:rsidRPr="00F76A6A">
        <w:rPr>
          <w:rFonts w:ascii="Palatino Linotype" w:eastAsia="Palatino Linotype" w:hAnsi="Palatino Linotype" w:cs="Palatino Linotype"/>
          <w:b/>
          <w:color w:val="000000"/>
        </w:rPr>
        <w:t xml:space="preserve"> SUJETO OBLIGADO, </w:t>
      </w:r>
      <w:r w:rsidRPr="00F76A6A">
        <w:rPr>
          <w:rFonts w:ascii="Palatino Linotype" w:eastAsia="Palatino Linotype" w:hAnsi="Palatino Linotype" w:cs="Palatino Linotype"/>
          <w:color w:val="000000"/>
        </w:rPr>
        <w:t>se procede a dictar la presente resolución, con base en los siguientes:</w:t>
      </w:r>
    </w:p>
    <w:p w:rsidR="00E35B1C" w:rsidRPr="00F76A6A" w:rsidRDefault="00E35B1C">
      <w:pPr>
        <w:tabs>
          <w:tab w:val="left" w:pos="0"/>
        </w:tabs>
        <w:spacing w:line="360" w:lineRule="auto"/>
        <w:ind w:right="-989"/>
        <w:jc w:val="both"/>
        <w:rPr>
          <w:rFonts w:ascii="Palatino Linotype" w:eastAsia="Palatino Linotype" w:hAnsi="Palatino Linotype" w:cs="Palatino Linotype"/>
        </w:rPr>
      </w:pPr>
    </w:p>
    <w:p w:rsidR="00E35B1C" w:rsidRPr="00F76A6A" w:rsidRDefault="00497E4A">
      <w:pPr>
        <w:pStyle w:val="Ttulo2"/>
        <w:ind w:right="-989"/>
        <w:jc w:val="center"/>
        <w:rPr>
          <w:rFonts w:ascii="Palatino Linotype" w:eastAsia="Palatino Linotype" w:hAnsi="Palatino Linotype" w:cs="Palatino Linotype"/>
          <w:b/>
          <w:color w:val="000000"/>
          <w:sz w:val="24"/>
          <w:szCs w:val="24"/>
        </w:rPr>
      </w:pPr>
      <w:bookmarkStart w:id="0" w:name="_heading=h.gjdgxs" w:colFirst="0" w:colLast="0"/>
      <w:bookmarkEnd w:id="0"/>
      <w:r w:rsidRPr="00F76A6A">
        <w:rPr>
          <w:rFonts w:ascii="Palatino Linotype" w:eastAsia="Palatino Linotype" w:hAnsi="Palatino Linotype" w:cs="Palatino Linotype"/>
          <w:b/>
          <w:color w:val="000000"/>
          <w:sz w:val="24"/>
          <w:szCs w:val="24"/>
        </w:rPr>
        <w:t>A N T E C E D E N T ES</w:t>
      </w:r>
    </w:p>
    <w:p w:rsidR="00E35B1C" w:rsidRPr="00F76A6A" w:rsidRDefault="00E35B1C">
      <w:pPr>
        <w:ind w:right="-989"/>
        <w:rPr>
          <w:rFonts w:ascii="Palatino Linotype" w:eastAsia="Palatino Linotype" w:hAnsi="Palatino Linotype" w:cs="Palatino Linotype"/>
        </w:rPr>
      </w:pPr>
    </w:p>
    <w:p w:rsidR="00200F19" w:rsidRPr="00F76A6A" w:rsidRDefault="00200F19">
      <w:pPr>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El cinco de junio de dos mil veinticuatro, se</w:t>
      </w:r>
      <w:r w:rsidRPr="00F76A6A">
        <w:rPr>
          <w:rFonts w:ascii="Palatino Linotype" w:eastAsia="Palatino Linotype" w:hAnsi="Palatino Linotype" w:cs="Palatino Linotype"/>
          <w:b/>
          <w:color w:val="000000"/>
        </w:rPr>
        <w:t xml:space="preserve"> </w:t>
      </w:r>
      <w:r w:rsidRPr="00F76A6A">
        <w:rPr>
          <w:rFonts w:ascii="Palatino Linotype" w:eastAsia="Palatino Linotype" w:hAnsi="Palatino Linotype" w:cs="Palatino Linotype"/>
          <w:color w:val="000000"/>
        </w:rPr>
        <w:t>presentó</w:t>
      </w:r>
      <w:r w:rsidRPr="00F76A6A">
        <w:rPr>
          <w:rFonts w:ascii="Palatino Linotype" w:eastAsia="Palatino Linotype" w:hAnsi="Palatino Linotype" w:cs="Palatino Linotype"/>
          <w:b/>
          <w:color w:val="000000"/>
        </w:rPr>
        <w:t xml:space="preserve"> </w:t>
      </w:r>
      <w:r w:rsidRPr="00F76A6A">
        <w:rPr>
          <w:rFonts w:ascii="Palatino Linotype" w:eastAsia="Palatino Linotype" w:hAnsi="Palatino Linotype" w:cs="Palatino Linotype"/>
          <w:color w:val="000000"/>
        </w:rPr>
        <w:t xml:space="preserve">vía Sistema de Acceso a la Información Mexiquense </w:t>
      </w:r>
      <w:r w:rsidRPr="00F76A6A">
        <w:rPr>
          <w:rFonts w:ascii="Palatino Linotype" w:eastAsia="Palatino Linotype" w:hAnsi="Palatino Linotype" w:cs="Palatino Linotype"/>
          <w:b/>
          <w:color w:val="000000"/>
        </w:rPr>
        <w:t>(SAIMEX),</w:t>
      </w:r>
      <w:r w:rsidRPr="00F76A6A">
        <w:rPr>
          <w:rFonts w:ascii="Palatino Linotype" w:eastAsia="Palatino Linotype" w:hAnsi="Palatino Linotype" w:cs="Palatino Linotype"/>
          <w:color w:val="000000"/>
        </w:rPr>
        <w:t xml:space="preserve"> la solicitud de información pública registrada con el número </w:t>
      </w:r>
      <w:r w:rsidRPr="00F76A6A">
        <w:rPr>
          <w:rFonts w:ascii="Palatino Linotype" w:eastAsia="Palatino Linotype" w:hAnsi="Palatino Linotype" w:cs="Palatino Linotype"/>
          <w:b/>
          <w:color w:val="000000"/>
        </w:rPr>
        <w:t>00061/OASTLALNE/IP/2024,</w:t>
      </w:r>
      <w:r w:rsidRPr="00F76A6A">
        <w:rPr>
          <w:rFonts w:ascii="Palatino Linotype" w:eastAsia="Palatino Linotype" w:hAnsi="Palatino Linotype" w:cs="Palatino Linotype"/>
          <w:color w:val="000000"/>
        </w:rPr>
        <w:t xml:space="preserve"> </w:t>
      </w:r>
      <w:r w:rsidRPr="00F76A6A">
        <w:rPr>
          <w:rFonts w:ascii="Palatino Linotype" w:eastAsia="Palatino Linotype" w:hAnsi="Palatino Linotype" w:cs="Palatino Linotype"/>
        </w:rPr>
        <w:t xml:space="preserve">en la que </w:t>
      </w:r>
      <w:r w:rsidRPr="00F76A6A">
        <w:rPr>
          <w:rFonts w:ascii="Palatino Linotype" w:eastAsia="Palatino Linotype" w:hAnsi="Palatino Linotype" w:cs="Palatino Linotype"/>
          <w:color w:val="000000"/>
        </w:rPr>
        <w:t>se requirió lo siguiente:</w:t>
      </w:r>
    </w:p>
    <w:p w:rsidR="00E35B1C" w:rsidRPr="00F76A6A" w:rsidRDefault="00497E4A">
      <w:pPr>
        <w:tabs>
          <w:tab w:val="left" w:pos="3000"/>
        </w:tabs>
        <w:ind w:left="567" w:right="-989"/>
        <w:jc w:val="both"/>
        <w:rPr>
          <w:rFonts w:ascii="Palatino Linotype" w:eastAsia="Palatino Linotype" w:hAnsi="Palatino Linotype" w:cs="Palatino Linotype"/>
          <w:i/>
        </w:rPr>
      </w:pPr>
      <w:r w:rsidRPr="00F76A6A">
        <w:rPr>
          <w:rFonts w:ascii="Palatino Linotype" w:eastAsia="Palatino Linotype" w:hAnsi="Palatino Linotype" w:cs="Palatino Linotype"/>
          <w:i/>
        </w:rPr>
        <w:tab/>
      </w:r>
    </w:p>
    <w:p w:rsidR="00E35B1C" w:rsidRPr="00F76A6A" w:rsidRDefault="00497E4A">
      <w:pPr>
        <w:ind w:left="567" w:right="-989"/>
        <w:jc w:val="both"/>
        <w:rPr>
          <w:rFonts w:ascii="Palatino Linotype" w:eastAsia="Palatino Linotype" w:hAnsi="Palatino Linotype" w:cs="Palatino Linotype"/>
          <w:i/>
        </w:rPr>
      </w:pPr>
      <w:r w:rsidRPr="00F76A6A">
        <w:rPr>
          <w:rFonts w:ascii="Palatino Linotype" w:eastAsia="Palatino Linotype" w:hAnsi="Palatino Linotype" w:cs="Palatino Linotype"/>
          <w:i/>
        </w:rPr>
        <w:t>“Rekiero todos los contratos por servicio de gasolina del año 2022 y 2023” (Sic)</w:t>
      </w:r>
    </w:p>
    <w:p w:rsidR="00E35B1C" w:rsidRPr="00F76A6A" w:rsidRDefault="00E35B1C">
      <w:pPr>
        <w:ind w:right="-989"/>
        <w:jc w:val="both"/>
        <w:rPr>
          <w:rFonts w:ascii="Palatino Linotype" w:eastAsia="Palatino Linotype" w:hAnsi="Palatino Linotype" w:cs="Palatino Linotype"/>
          <w:i/>
        </w:rPr>
      </w:pPr>
    </w:p>
    <w:p w:rsidR="00200F19" w:rsidRPr="00F76A6A" w:rsidRDefault="00200F19">
      <w:pPr>
        <w:ind w:right="-989"/>
        <w:jc w:val="both"/>
        <w:rPr>
          <w:rFonts w:ascii="Palatino Linotype" w:eastAsia="Palatino Linotype" w:hAnsi="Palatino Linotype" w:cs="Palatino Linotype"/>
          <w:i/>
        </w:rPr>
      </w:pPr>
    </w:p>
    <w:p w:rsidR="00200F19" w:rsidRPr="00F76A6A" w:rsidRDefault="00200F19">
      <w:pPr>
        <w:ind w:right="-989"/>
        <w:jc w:val="both"/>
        <w:rPr>
          <w:rFonts w:ascii="Palatino Linotype" w:eastAsia="Palatino Linotype" w:hAnsi="Palatino Linotype" w:cs="Palatino Linotype"/>
          <w:i/>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Se señaló como modalidad de entrega de la información: a través de </w:t>
      </w:r>
      <w:r w:rsidRPr="00F76A6A">
        <w:rPr>
          <w:rFonts w:ascii="Palatino Linotype" w:eastAsia="Palatino Linotype" w:hAnsi="Palatino Linotype" w:cs="Palatino Linotype"/>
          <w:b/>
          <w:color w:val="000000"/>
        </w:rPr>
        <w:t>SAIMEX.</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 xml:space="preserve">El veinticuatro de junio de dos mil veinticuatro, 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emitió respuesta a la solicitud de información, en los siguientes términos:</w:t>
      </w:r>
    </w:p>
    <w:p w:rsidR="00E35B1C" w:rsidRPr="00F76A6A" w:rsidRDefault="00497E4A">
      <w:pPr>
        <w:tabs>
          <w:tab w:val="left" w:pos="426"/>
          <w:tab w:val="left" w:pos="567"/>
        </w:tabs>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En respuesta a la solicitud recibida, nos permitimos hacer de su conocimiento que con fundamento en el artículo 53, fracciones: II, V y VI de la Ley de Transparencia y Acceso a la Información Pública del Estado de México y Municipios, le contestamos que:</w:t>
      </w:r>
    </w:p>
    <w:p w:rsidR="00E35B1C" w:rsidRPr="00F76A6A" w:rsidRDefault="00E35B1C">
      <w:pPr>
        <w:tabs>
          <w:tab w:val="left" w:pos="426"/>
          <w:tab w:val="left" w:pos="567"/>
        </w:tabs>
        <w:ind w:left="567" w:right="-280"/>
        <w:jc w:val="both"/>
        <w:rPr>
          <w:rFonts w:ascii="Palatino Linotype" w:eastAsia="Palatino Linotype" w:hAnsi="Palatino Linotype" w:cs="Palatino Linotype"/>
          <w:i/>
          <w:sz w:val="22"/>
          <w:szCs w:val="22"/>
        </w:rPr>
      </w:pPr>
    </w:p>
    <w:p w:rsidR="00E35B1C" w:rsidRPr="00F76A6A" w:rsidRDefault="00497E4A">
      <w:pPr>
        <w:tabs>
          <w:tab w:val="left" w:pos="426"/>
          <w:tab w:val="left" w:pos="567"/>
        </w:tabs>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Se da atención a la solicitud de acceso a la información 00061/OASTLALNE/IP/2024…” (Sic)</w:t>
      </w:r>
    </w:p>
    <w:p w:rsidR="00E35B1C" w:rsidRPr="00F76A6A" w:rsidRDefault="00E35B1C">
      <w:pPr>
        <w:ind w:right="-280"/>
        <w:jc w:val="both"/>
        <w:rPr>
          <w:rFonts w:ascii="Palatino Linotype" w:eastAsia="Palatino Linotype" w:hAnsi="Palatino Linotype" w:cs="Palatino Linotype"/>
          <w:i/>
          <w:sz w:val="22"/>
          <w:szCs w:val="22"/>
        </w:rPr>
      </w:pPr>
    </w:p>
    <w:p w:rsidR="00E35B1C" w:rsidRPr="00F76A6A" w:rsidRDefault="00497E4A">
      <w:pPr>
        <w:ind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sz w:val="22"/>
          <w:szCs w:val="22"/>
        </w:rPr>
        <w:t>Se adjuntó el archivo electrónico denominado “sol.inf SAIMEX 061.pdf</w:t>
      </w:r>
      <w:r w:rsidRPr="00F76A6A">
        <w:rPr>
          <w:rFonts w:ascii="Palatino Linotype" w:eastAsia="Palatino Linotype" w:hAnsi="Palatino Linotype" w:cs="Palatino Linotype"/>
          <w:b/>
          <w:sz w:val="22"/>
          <w:szCs w:val="22"/>
        </w:rPr>
        <w:t>”</w:t>
      </w:r>
      <w:r w:rsidRPr="00F76A6A">
        <w:rPr>
          <w:rFonts w:ascii="Palatino Linotype" w:eastAsia="Palatino Linotype" w:hAnsi="Palatino Linotype" w:cs="Palatino Linotype"/>
          <w:sz w:val="22"/>
          <w:szCs w:val="22"/>
        </w:rPr>
        <w:t>, consistente en lo siguiente:</w:t>
      </w:r>
    </w:p>
    <w:p w:rsidR="00E35B1C" w:rsidRPr="00F76A6A" w:rsidRDefault="00E35B1C">
      <w:pPr>
        <w:ind w:right="-280"/>
        <w:jc w:val="both"/>
        <w:rPr>
          <w:rFonts w:ascii="Palatino Linotype" w:eastAsia="Palatino Linotype" w:hAnsi="Palatino Linotype" w:cs="Palatino Linotype"/>
          <w:sz w:val="22"/>
          <w:szCs w:val="22"/>
        </w:rPr>
      </w:pPr>
    </w:p>
    <w:p w:rsidR="00E35B1C" w:rsidRPr="00F76A6A" w:rsidRDefault="00497E4A">
      <w:pPr>
        <w:ind w:left="567" w:right="-280"/>
        <w:jc w:val="both"/>
        <w:rPr>
          <w:rFonts w:ascii="Palatino Linotype" w:eastAsia="Palatino Linotype" w:hAnsi="Palatino Linotype" w:cs="Palatino Linotype"/>
          <w:b/>
          <w:sz w:val="22"/>
          <w:szCs w:val="22"/>
        </w:rPr>
      </w:pPr>
      <w:r w:rsidRPr="00F76A6A">
        <w:rPr>
          <w:rFonts w:ascii="Palatino Linotype" w:eastAsia="Palatino Linotype" w:hAnsi="Palatino Linotype" w:cs="Palatino Linotype"/>
          <w:sz w:val="22"/>
          <w:szCs w:val="22"/>
        </w:rPr>
        <w:t>-Oficio número SOPDM/ADQ/06-017/2024, de fecha 20 de junio del año 2024, suscrito por el Jefe del Departamento de Adquisiciones, por medio del cual, remite la información solicitada en forma digital, a fin de que sea puesta la disposición del solicitante; así mismo, no omite informar que la documentación que remitió se envía con reserva confidencial, de acuerdo a lo celebrado en la Sexta Sesión Ordinaria del Comité de Transparencia, recayendo el Acuerdo número CT/05/06-SO/2024.</w:t>
      </w:r>
    </w:p>
    <w:p w:rsidR="00E35B1C" w:rsidRPr="00F76A6A" w:rsidRDefault="00E35B1C">
      <w:pPr>
        <w:ind w:left="567" w:right="-280"/>
        <w:jc w:val="both"/>
        <w:rPr>
          <w:rFonts w:ascii="Palatino Linotype" w:eastAsia="Palatino Linotype" w:hAnsi="Palatino Linotype" w:cs="Palatino Linotype"/>
          <w:sz w:val="22"/>
          <w:szCs w:val="22"/>
        </w:rPr>
      </w:pPr>
    </w:p>
    <w:p w:rsidR="00E35B1C" w:rsidRPr="00F76A6A" w:rsidRDefault="00497E4A">
      <w:pPr>
        <w:ind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sz w:val="22"/>
          <w:szCs w:val="22"/>
        </w:rPr>
        <w:t>Así mismo; se adjuntó el archivo electrónico denominado “GASOLINA 2022.zip</w:t>
      </w:r>
      <w:r w:rsidRPr="00F76A6A">
        <w:rPr>
          <w:rFonts w:ascii="Palatino Linotype" w:eastAsia="Palatino Linotype" w:hAnsi="Palatino Linotype" w:cs="Palatino Linotype"/>
          <w:b/>
          <w:sz w:val="22"/>
          <w:szCs w:val="22"/>
        </w:rPr>
        <w:t>”</w:t>
      </w:r>
      <w:r w:rsidRPr="00F76A6A">
        <w:rPr>
          <w:rFonts w:ascii="Palatino Linotype" w:eastAsia="Palatino Linotype" w:hAnsi="Palatino Linotype" w:cs="Palatino Linotype"/>
          <w:sz w:val="22"/>
          <w:szCs w:val="22"/>
        </w:rPr>
        <w:t>, consistente en 16 Contratos de Adquisición de Combustible, correspondientes al año 2022.</w:t>
      </w:r>
    </w:p>
    <w:p w:rsidR="00E35B1C" w:rsidRPr="00F76A6A" w:rsidRDefault="00E35B1C">
      <w:pPr>
        <w:ind w:right="-280"/>
        <w:jc w:val="both"/>
        <w:rPr>
          <w:rFonts w:ascii="Palatino Linotype" w:eastAsia="Palatino Linotype" w:hAnsi="Palatino Linotype" w:cs="Palatino Linotype"/>
          <w:sz w:val="22"/>
          <w:szCs w:val="22"/>
        </w:rPr>
      </w:pPr>
    </w:p>
    <w:p w:rsidR="00E35B1C" w:rsidRPr="00F76A6A" w:rsidRDefault="00497E4A">
      <w:pPr>
        <w:ind w:right="-280"/>
        <w:jc w:val="both"/>
        <w:rPr>
          <w:rFonts w:ascii="Palatino Linotype" w:eastAsia="Palatino Linotype" w:hAnsi="Palatino Linotype" w:cs="Palatino Linotype"/>
          <w:b/>
          <w:sz w:val="22"/>
          <w:szCs w:val="22"/>
        </w:rPr>
      </w:pPr>
      <w:r w:rsidRPr="00F76A6A">
        <w:rPr>
          <w:rFonts w:ascii="Palatino Linotype" w:eastAsia="Palatino Linotype" w:hAnsi="Palatino Linotype" w:cs="Palatino Linotype"/>
          <w:sz w:val="22"/>
          <w:szCs w:val="22"/>
        </w:rPr>
        <w:t>Conjuntamente adjuntó el archivo electrónico denominado “GASOLINA 2023.zip</w:t>
      </w:r>
      <w:r w:rsidRPr="00F76A6A">
        <w:rPr>
          <w:rFonts w:ascii="Palatino Linotype" w:eastAsia="Palatino Linotype" w:hAnsi="Palatino Linotype" w:cs="Palatino Linotype"/>
          <w:b/>
          <w:sz w:val="22"/>
          <w:szCs w:val="22"/>
        </w:rPr>
        <w:t>”</w:t>
      </w:r>
      <w:r w:rsidRPr="00F76A6A">
        <w:rPr>
          <w:rFonts w:ascii="Palatino Linotype" w:eastAsia="Palatino Linotype" w:hAnsi="Palatino Linotype" w:cs="Palatino Linotype"/>
          <w:sz w:val="22"/>
          <w:szCs w:val="22"/>
        </w:rPr>
        <w:t>, consistente en 08 Contratos de Adquisición de Combustible, correspondientes al año 2023.</w:t>
      </w:r>
    </w:p>
    <w:p w:rsidR="00E35B1C" w:rsidRPr="00F76A6A" w:rsidRDefault="00E35B1C">
      <w:pPr>
        <w:tabs>
          <w:tab w:val="left" w:pos="142"/>
        </w:tabs>
        <w:ind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bookmarkStart w:id="1" w:name="_heading=h.30j0zll" w:colFirst="0" w:colLast="0"/>
      <w:bookmarkEnd w:id="1"/>
      <w:r w:rsidRPr="00F76A6A">
        <w:rPr>
          <w:rFonts w:ascii="Palatino Linotype" w:eastAsia="Palatino Linotype" w:hAnsi="Palatino Linotype" w:cs="Palatino Linotype"/>
          <w:color w:val="000000"/>
        </w:rPr>
        <w:t>El veintiséis de junio de dos mil veinticuatro, se interpuso el Recurso de Revisión, en contra de la respuesta, señalando como:</w:t>
      </w:r>
    </w:p>
    <w:p w:rsidR="00E35B1C" w:rsidRPr="00F76A6A" w:rsidRDefault="00497E4A">
      <w:pPr>
        <w:tabs>
          <w:tab w:val="left" w:pos="7400"/>
        </w:tabs>
        <w:ind w:left="596" w:right="-280"/>
        <w:jc w:val="both"/>
        <w:rPr>
          <w:rFonts w:ascii="Palatino Linotype" w:eastAsia="Palatino Linotype" w:hAnsi="Palatino Linotype" w:cs="Palatino Linotype"/>
          <w:b/>
          <w:sz w:val="22"/>
          <w:szCs w:val="22"/>
        </w:rPr>
      </w:pPr>
      <w:r w:rsidRPr="00F76A6A">
        <w:rPr>
          <w:rFonts w:ascii="Palatino Linotype" w:eastAsia="Palatino Linotype" w:hAnsi="Palatino Linotype" w:cs="Palatino Linotype"/>
          <w:b/>
          <w:sz w:val="22"/>
          <w:szCs w:val="22"/>
        </w:rPr>
        <w:t>Acto Impugnado:</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“No entregaron Acta que mencionan dicen que es reserva y me están entregando contratos y son incompletos ojo INFOEM favor de darle seguimiento y hacer una investigación me dieron datos personales faltan contratos y los anexos de los contratos INFOEM no están cuidando los datos personales requiero que el INFOEM les haga una investigación.” (Sic)</w:t>
      </w:r>
    </w:p>
    <w:p w:rsidR="00E35B1C" w:rsidRPr="00F76A6A" w:rsidRDefault="00E35B1C">
      <w:pPr>
        <w:tabs>
          <w:tab w:val="left" w:pos="7400"/>
        </w:tabs>
        <w:ind w:left="7400" w:right="-280" w:hanging="6804"/>
        <w:jc w:val="both"/>
        <w:rPr>
          <w:rFonts w:ascii="Palatino Linotype" w:eastAsia="Palatino Linotype" w:hAnsi="Palatino Linotype" w:cs="Palatino Linotype"/>
          <w:b/>
          <w:sz w:val="22"/>
          <w:szCs w:val="22"/>
        </w:rPr>
      </w:pPr>
    </w:p>
    <w:p w:rsidR="00E35B1C" w:rsidRPr="00F76A6A" w:rsidRDefault="00497E4A">
      <w:pPr>
        <w:tabs>
          <w:tab w:val="left" w:pos="7400"/>
        </w:tabs>
        <w:ind w:left="7400" w:right="-280" w:hanging="6804"/>
        <w:jc w:val="both"/>
        <w:rPr>
          <w:rFonts w:ascii="Palatino Linotype" w:eastAsia="Palatino Linotype" w:hAnsi="Palatino Linotype" w:cs="Palatino Linotype"/>
          <w:b/>
          <w:sz w:val="22"/>
          <w:szCs w:val="22"/>
        </w:rPr>
      </w:pPr>
      <w:r w:rsidRPr="00F76A6A">
        <w:rPr>
          <w:rFonts w:ascii="Palatino Linotype" w:eastAsia="Palatino Linotype" w:hAnsi="Palatino Linotype" w:cs="Palatino Linotype"/>
          <w:b/>
          <w:sz w:val="22"/>
          <w:szCs w:val="22"/>
        </w:rPr>
        <w:lastRenderedPageBreak/>
        <w:t>Razones o Motivos de Inconformidad:</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“No entregaron Acta que mencionan dicen que es reserva y me están entregando contratos y son incompletos ojo INFOEM favor de darle seguimiento y hacer una investigación me dieron datos personales faltan contratos y los anexos de los contratos INFOEM no están cuidando los datos personales requiero que el INFOEM les haga una investigación.” (Sic)</w:t>
      </w:r>
    </w:p>
    <w:p w:rsidR="00E35B1C" w:rsidRPr="00F76A6A" w:rsidRDefault="00E35B1C">
      <w:pPr>
        <w:tabs>
          <w:tab w:val="left" w:pos="7400"/>
        </w:tabs>
        <w:ind w:right="-989"/>
        <w:jc w:val="both"/>
        <w:rPr>
          <w:rFonts w:ascii="Palatino Linotype" w:eastAsia="Palatino Linotype" w:hAnsi="Palatino Linotype" w:cs="Palatino Linotype"/>
          <w:i/>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tres de julio de dos mil veinticuatro, puso a disposición de las partes el expediente electrónico vía Sistema de Acceso a la Información Mexiquense </w:t>
      </w:r>
      <w:r w:rsidRPr="00F76A6A">
        <w:rPr>
          <w:rFonts w:ascii="Palatino Linotype" w:eastAsia="Palatino Linotype" w:hAnsi="Palatino Linotype" w:cs="Palatino Linotype"/>
          <w:b/>
          <w:color w:val="000000"/>
        </w:rPr>
        <w:t xml:space="preserve">SAIMEX, </w:t>
      </w:r>
      <w:r w:rsidRPr="00F76A6A">
        <w:rPr>
          <w:rFonts w:ascii="Palatino Linotype" w:eastAsia="Palatino Linotype" w:hAnsi="Palatino Linotype" w:cs="Palatino Linotype"/>
          <w:color w:val="000000"/>
        </w:rPr>
        <w:t xml:space="preserve">a efecto de que en un plazo máximo de siete días </w:t>
      </w:r>
      <w:r w:rsidRPr="00F76A6A">
        <w:rPr>
          <w:rFonts w:ascii="Palatino Linotype" w:eastAsia="Palatino Linotype" w:hAnsi="Palatino Linotype" w:cs="Palatino Linotype"/>
        </w:rPr>
        <w:t>manifestara</w:t>
      </w:r>
      <w:r w:rsidRPr="00F76A6A">
        <w:rPr>
          <w:rFonts w:ascii="Palatino Linotype" w:eastAsia="Palatino Linotype" w:hAnsi="Palatino Linotype" w:cs="Palatino Linotype"/>
          <w:color w:val="000000"/>
        </w:rPr>
        <w:t xml:space="preserve"> lo que a su derecho conviniera, </w:t>
      </w:r>
      <w:r w:rsidRPr="00F76A6A">
        <w:rPr>
          <w:rFonts w:ascii="Palatino Linotype" w:eastAsia="Palatino Linotype" w:hAnsi="Palatino Linotype" w:cs="Palatino Linotype"/>
        </w:rPr>
        <w:t>ofreciera</w:t>
      </w:r>
      <w:r w:rsidRPr="00F76A6A">
        <w:rPr>
          <w:rFonts w:ascii="Palatino Linotype" w:eastAsia="Palatino Linotype" w:hAnsi="Palatino Linotype" w:cs="Palatino Linotype"/>
          <w:color w:val="000000"/>
        </w:rPr>
        <w:t xml:space="preserve"> pruebas y alegatos según corresponda, de esta forma para que 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presentará el Informe Justificado procedente.</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b/>
          <w:color w:val="000000"/>
        </w:rPr>
      </w:pPr>
      <w:r w:rsidRPr="00F76A6A">
        <w:rPr>
          <w:rFonts w:ascii="Palatino Linotype" w:eastAsia="Palatino Linotype" w:hAnsi="Palatino Linotype" w:cs="Palatino Linotype"/>
          <w:color w:val="000000"/>
        </w:rPr>
        <w:t xml:space="preserve">El veinte de diciembre de dos mil veinticuatro, 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rindió el informe justificado correspondiente, por medio de los archivos electrónicos denominados:</w:t>
      </w:r>
    </w:p>
    <w:p w:rsidR="00E35B1C" w:rsidRPr="00F76A6A" w:rsidRDefault="00497E4A">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b/>
          <w:color w:val="000000"/>
          <w:sz w:val="22"/>
          <w:szCs w:val="22"/>
        </w:rPr>
        <w:t>-</w:t>
      </w:r>
      <w:hyperlink r:id="rId8">
        <w:r w:rsidRPr="00F76A6A">
          <w:rPr>
            <w:rFonts w:ascii="Palatino Linotype" w:eastAsia="Palatino Linotype" w:hAnsi="Palatino Linotype" w:cs="Palatino Linotype"/>
            <w:b/>
            <w:color w:val="000000"/>
            <w:sz w:val="22"/>
            <w:szCs w:val="22"/>
          </w:rPr>
          <w:t>SEXTA</w:t>
        </w:r>
      </w:hyperlink>
      <w:r w:rsidRPr="00F76A6A">
        <w:rPr>
          <w:rFonts w:ascii="Palatino Linotype" w:eastAsia="Palatino Linotype" w:hAnsi="Palatino Linotype" w:cs="Palatino Linotype"/>
          <w:b/>
          <w:color w:val="000000"/>
          <w:sz w:val="22"/>
          <w:szCs w:val="22"/>
        </w:rPr>
        <w:t xml:space="preserve"> SESIÓN ORDINARIA.. pdf</w:t>
      </w:r>
      <w:r w:rsidRPr="00F76A6A">
        <w:rPr>
          <w:rFonts w:ascii="Palatino Linotype" w:eastAsia="Palatino Linotype" w:hAnsi="Palatino Linotype" w:cs="Palatino Linotype"/>
          <w:color w:val="000000"/>
          <w:sz w:val="22"/>
          <w:szCs w:val="22"/>
        </w:rPr>
        <w:t xml:space="preserve">, consistente en el oficio OPDM/CT/06-SO/2024 correspondiente al Acta de la Sexta Sesión Ordinaria del Comité de Transparencia, de fecha 19 de junio de 2024, signado por los integrantes del Comité de Transparencia; a través del cual aprueban, por unanimidad de votos la clasificación como confidencial de la información que contienen los Contratos para la Adquisición de Gasolina correspondientes a los ejercicios 2022 y 2023; así como, la correspondiente versión pública. </w:t>
      </w:r>
    </w:p>
    <w:p w:rsidR="00E35B1C" w:rsidRPr="00F76A6A" w:rsidRDefault="00497E4A">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w:t>
      </w:r>
      <w:r w:rsidRPr="00F76A6A">
        <w:rPr>
          <w:rFonts w:ascii="Palatino Linotype" w:eastAsia="Palatino Linotype" w:hAnsi="Palatino Linotype" w:cs="Palatino Linotype"/>
          <w:b/>
          <w:color w:val="000000"/>
          <w:sz w:val="22"/>
          <w:szCs w:val="22"/>
        </w:rPr>
        <w:t xml:space="preserve">GASOLINA 2023.zip, </w:t>
      </w:r>
      <w:r w:rsidRPr="00F76A6A">
        <w:rPr>
          <w:rFonts w:ascii="Palatino Linotype" w:eastAsia="Palatino Linotype" w:hAnsi="Palatino Linotype" w:cs="Palatino Linotype"/>
          <w:color w:val="000000"/>
          <w:sz w:val="22"/>
          <w:szCs w:val="22"/>
        </w:rPr>
        <w:t>consistente 04 Contratos de Adquisición de Combustible, correspondientes al año 2023.</w:t>
      </w:r>
    </w:p>
    <w:p w:rsidR="00E35B1C" w:rsidRPr="00F76A6A" w:rsidRDefault="00497E4A">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lastRenderedPageBreak/>
        <w:t>-</w:t>
      </w:r>
      <w:r w:rsidRPr="00F76A6A">
        <w:rPr>
          <w:rFonts w:ascii="Palatino Linotype" w:eastAsia="Palatino Linotype" w:hAnsi="Palatino Linotype" w:cs="Palatino Linotype"/>
          <w:b/>
          <w:color w:val="000000"/>
          <w:sz w:val="22"/>
          <w:szCs w:val="22"/>
        </w:rPr>
        <w:t xml:space="preserve">GASOLINA 2022.zip, </w:t>
      </w:r>
      <w:r w:rsidRPr="00F76A6A">
        <w:rPr>
          <w:rFonts w:ascii="Palatino Linotype" w:eastAsia="Palatino Linotype" w:hAnsi="Palatino Linotype" w:cs="Palatino Linotype"/>
          <w:color w:val="000000"/>
          <w:sz w:val="22"/>
          <w:szCs w:val="22"/>
        </w:rPr>
        <w:t>consistente 12 Contratos de Adquisición de Combustible, correspondientes al año 2022.</w:t>
      </w:r>
    </w:p>
    <w:p w:rsidR="00E35B1C" w:rsidRPr="00F76A6A" w:rsidRDefault="00497E4A">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w:t>
      </w:r>
      <w:r w:rsidRPr="00F76A6A">
        <w:rPr>
          <w:rFonts w:ascii="Palatino Linotype" w:eastAsia="Palatino Linotype" w:hAnsi="Palatino Linotype" w:cs="Palatino Linotype"/>
          <w:b/>
          <w:color w:val="000000"/>
          <w:sz w:val="22"/>
          <w:szCs w:val="22"/>
        </w:rPr>
        <w:t xml:space="preserve">Informe Justificado RR.SAIMEX 61.pdf, </w:t>
      </w:r>
      <w:r w:rsidRPr="00F76A6A">
        <w:rPr>
          <w:rFonts w:ascii="Palatino Linotype" w:eastAsia="Palatino Linotype" w:hAnsi="Palatino Linotype" w:cs="Palatino Linotype"/>
          <w:color w:val="000000"/>
          <w:sz w:val="22"/>
          <w:szCs w:val="22"/>
        </w:rPr>
        <w:t>consistente en el oficio OPDM/ADQ/07-020/2024, de fecha nueve de julio de 2024, suscrito por el Jefe del Departamento de Adquisiciones, mediante el cual advierte que la información que se solicita, se sometió a consideración del Comité de Transparencia a fin de aprobar la Propuesta de la Clasificación de la Información que contienen los Contratos para la Adquisición de Gasolina correspondientes a los años 2022 y 2023, presentando la versión pública correspondiente; por lo que al cumplir con los requisitos establecidos, dicho Comité aprobó la clasificación solicitada; por ende en fecha 20 de junio de 2024, el Jefe de Departamento de Adquisiciones remitió 12 Contratos por servicio de gasolina correspondientes al ejercicio fiscal 2022; así como 4 contratos por el mismo concepto correspondientes al año 2023.</w:t>
      </w:r>
    </w:p>
    <w:p w:rsidR="00E35B1C" w:rsidRPr="00F76A6A" w:rsidRDefault="00E35B1C">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p>
    <w:p w:rsidR="00E35B1C" w:rsidRPr="00F76A6A" w:rsidRDefault="00497E4A">
      <w:pPr>
        <w:pBdr>
          <w:top w:val="nil"/>
          <w:left w:val="nil"/>
          <w:bottom w:val="nil"/>
          <w:right w:val="nil"/>
          <w:between w:val="nil"/>
        </w:pBdr>
        <w:tabs>
          <w:tab w:val="left" w:pos="426"/>
          <w:tab w:val="left" w:pos="567"/>
        </w:tabs>
        <w:spacing w:line="360" w:lineRule="auto"/>
        <w:ind w:left="708"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Referente a la manifestación del recurrente, mediante el cual se inconforma de que la información remitida está incompleta; se precisa que la documentación remitida es precisamente la que ha generado y posee el Sujeto Obligado; así mismo se justifica la omisión de la entrega del Acta de la Sexta Sesión Ordinaria del Comité de Transparencia, por tanto se modifica la respuesta, poniéndola a disposición del recurrente ya que se omitió agregarla al informe remitido en fecha veinticuatro de junio del año 2024; haciendo hincapié que dicha información fue Clasificada como Confidencial.</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 xml:space="preserve">Por su parte, el </w:t>
      </w:r>
      <w:r w:rsidRPr="00F76A6A">
        <w:rPr>
          <w:rFonts w:ascii="Palatino Linotype" w:eastAsia="Palatino Linotype" w:hAnsi="Palatino Linotype" w:cs="Palatino Linotype"/>
          <w:b/>
          <w:color w:val="000000"/>
        </w:rPr>
        <w:t>RECURRENTE</w:t>
      </w:r>
      <w:r w:rsidRPr="00F76A6A">
        <w:rPr>
          <w:rFonts w:ascii="Palatino Linotype" w:eastAsia="Palatino Linotype" w:hAnsi="Palatino Linotype" w:cs="Palatino Linotype"/>
          <w:color w:val="000000"/>
        </w:rPr>
        <w:t xml:space="preserve">, en fecha 17 de julio de 2024, a través del documento denominado </w:t>
      </w:r>
      <w:r w:rsidRPr="00F76A6A">
        <w:rPr>
          <w:rFonts w:ascii="Palatino Linotype" w:eastAsia="Palatino Linotype" w:hAnsi="Palatino Linotype" w:cs="Palatino Linotype"/>
          <w:i/>
          <w:color w:val="000000"/>
        </w:rPr>
        <w:t>“NO CONTESTARON E RECURSO.pdf”</w:t>
      </w:r>
      <w:r w:rsidRPr="00F76A6A">
        <w:rPr>
          <w:rFonts w:ascii="Palatino Linotype" w:eastAsia="Palatino Linotype" w:hAnsi="Palatino Linotype" w:cs="Palatino Linotype"/>
          <w:b/>
          <w:color w:val="000000"/>
        </w:rPr>
        <w:t xml:space="preserve">, </w:t>
      </w:r>
      <w:r w:rsidRPr="00F76A6A">
        <w:rPr>
          <w:rFonts w:ascii="Palatino Linotype" w:eastAsia="Palatino Linotype" w:hAnsi="Palatino Linotype" w:cs="Palatino Linotype"/>
          <w:color w:val="000000"/>
        </w:rPr>
        <w:t>indicó:</w:t>
      </w:r>
    </w:p>
    <w:p w:rsidR="00E35B1C" w:rsidRPr="00F76A6A" w:rsidRDefault="00497E4A">
      <w:pPr>
        <w:tabs>
          <w:tab w:val="left" w:pos="426"/>
          <w:tab w:val="left" w:pos="567"/>
        </w:tabs>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“Interpuse mi recurso y no contesto INFOEM por favor no dejes pasar esto es obio que hay corrupción no kieren entregar bien las cosas ya pasaron días de que metimos recurso y nunca contestaron les vale todos están involucrados en esa opacidad hasta ustedes INFOEM por no hace rvaler las leyes hasta dieron datos de más y el INFOE tampoco le importa no hace nada” (Sic)</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b/>
          <w:color w:val="000000"/>
        </w:rPr>
        <w:t>Ampliación de plazo:</w:t>
      </w:r>
      <w:r w:rsidRPr="00F76A6A">
        <w:rPr>
          <w:rFonts w:ascii="Palatino Linotype" w:eastAsia="Palatino Linotype" w:hAnsi="Palatino Linotype" w:cs="Palatino Linotype"/>
          <w:color w:val="000000"/>
        </w:rPr>
        <w:t xml:space="preserve"> El</w:t>
      </w:r>
      <w:r w:rsidRPr="00F76A6A">
        <w:rPr>
          <w:rFonts w:ascii="Palatino Linotype" w:eastAsia="Palatino Linotype" w:hAnsi="Palatino Linotype" w:cs="Palatino Linotype"/>
          <w:b/>
          <w:color w:val="000000"/>
        </w:rPr>
        <w:t xml:space="preserve"> cuatro de septiembre de dos mil veinticuatro</w:t>
      </w:r>
      <w:r w:rsidRPr="00F76A6A">
        <w:rPr>
          <w:rFonts w:ascii="Palatino Linotype" w:eastAsia="Palatino Linotype" w:hAnsi="Palatino Linotype" w:cs="Palatino Linotype"/>
          <w:color w:val="000000"/>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rsidR="00E35B1C" w:rsidRPr="00F76A6A" w:rsidRDefault="00E35B1C">
      <w:pPr>
        <w:pBdr>
          <w:top w:val="nil"/>
          <w:left w:val="nil"/>
          <w:bottom w:val="nil"/>
          <w:right w:val="nil"/>
          <w:between w:val="nil"/>
        </w:pBdr>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E35B1C" w:rsidRPr="00F76A6A" w:rsidRDefault="00497E4A">
      <w:pPr>
        <w:spacing w:line="360" w:lineRule="auto"/>
        <w:ind w:right="-989"/>
        <w:jc w:val="both"/>
        <w:rPr>
          <w:rFonts w:ascii="Palatino Linotype" w:eastAsia="Palatino Linotype" w:hAnsi="Palatino Linotype" w:cs="Palatino Linotype"/>
        </w:rPr>
      </w:pPr>
      <w:r w:rsidRPr="00F76A6A">
        <w:rPr>
          <w:rFonts w:ascii="Palatino Linotype" w:eastAsia="Palatino Linotype" w:hAnsi="Palatino Linotype" w:cs="Palatino Linotype"/>
        </w:rPr>
        <w:t> </w:t>
      </w: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E35B1C" w:rsidRPr="00F76A6A" w:rsidRDefault="00497E4A">
      <w:pPr>
        <w:spacing w:line="360" w:lineRule="auto"/>
        <w:ind w:right="-989"/>
        <w:jc w:val="both"/>
        <w:rPr>
          <w:rFonts w:ascii="Palatino Linotype" w:eastAsia="Palatino Linotype" w:hAnsi="Palatino Linotype" w:cs="Palatino Linotype"/>
        </w:rPr>
      </w:pPr>
      <w:r w:rsidRPr="00F76A6A">
        <w:rPr>
          <w:rFonts w:ascii="Palatino Linotype" w:eastAsia="Palatino Linotype" w:hAnsi="Palatino Linotype" w:cs="Palatino Linotype"/>
        </w:rPr>
        <w:t> </w:t>
      </w: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35B1C" w:rsidRPr="00F76A6A" w:rsidRDefault="00E35B1C">
      <w:pPr>
        <w:spacing w:line="360" w:lineRule="auto"/>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35B1C" w:rsidRPr="00F76A6A" w:rsidRDefault="00E35B1C">
      <w:pPr>
        <w:spacing w:line="360" w:lineRule="auto"/>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  </w:t>
      </w:r>
    </w:p>
    <w:p w:rsidR="00E35B1C" w:rsidRPr="00F76A6A" w:rsidRDefault="00497E4A">
      <w:pPr>
        <w:ind w:left="567"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a)    Complejidad del asunto:</w:t>
      </w:r>
      <w:r w:rsidRPr="00F76A6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rsidR="00E35B1C" w:rsidRPr="00F76A6A" w:rsidRDefault="00497E4A">
      <w:pPr>
        <w:ind w:left="567"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b)   Actividad Procesal del interesado</w:t>
      </w:r>
      <w:r w:rsidRPr="00F76A6A">
        <w:rPr>
          <w:rFonts w:ascii="Palatino Linotype" w:eastAsia="Palatino Linotype" w:hAnsi="Palatino Linotype" w:cs="Palatino Linotype"/>
          <w:sz w:val="22"/>
          <w:szCs w:val="22"/>
        </w:rPr>
        <w:t>: Acciones u omisiones del interesado.</w:t>
      </w:r>
    </w:p>
    <w:p w:rsidR="00E35B1C" w:rsidRPr="00F76A6A" w:rsidRDefault="00497E4A">
      <w:pPr>
        <w:ind w:left="567"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c)  Conducta de la Autoridad:</w:t>
      </w:r>
      <w:r w:rsidRPr="00F76A6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rsidR="00E35B1C" w:rsidRPr="00F76A6A" w:rsidRDefault="00497E4A">
      <w:pPr>
        <w:ind w:left="567" w:right="-28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d) La afectación generada en la situación jurídica de la persona involucrada en el proceso:</w:t>
      </w:r>
      <w:r w:rsidRPr="00F76A6A">
        <w:rPr>
          <w:rFonts w:ascii="Palatino Linotype" w:eastAsia="Palatino Linotype" w:hAnsi="Palatino Linotype" w:cs="Palatino Linotype"/>
          <w:sz w:val="22"/>
          <w:szCs w:val="22"/>
        </w:rPr>
        <w:t xml:space="preserve"> Violación a sus derechos humanos.</w:t>
      </w:r>
    </w:p>
    <w:p w:rsidR="00E35B1C" w:rsidRPr="00F76A6A" w:rsidRDefault="00E35B1C">
      <w:pPr>
        <w:spacing w:line="360" w:lineRule="auto"/>
        <w:ind w:right="-280"/>
        <w:rPr>
          <w:rFonts w:ascii="Palatino Linotype" w:eastAsia="Palatino Linotype" w:hAnsi="Palatino Linotype" w:cs="Palatino Linotype"/>
          <w:sz w:val="22"/>
          <w:szCs w:val="22"/>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F76A6A">
        <w:rPr>
          <w:rFonts w:ascii="Palatino Linotype" w:eastAsia="Palatino Linotype" w:hAnsi="Palatino Linotype" w:cs="Palatino Linotype"/>
          <w:color w:val="000000"/>
        </w:rPr>
        <w:lastRenderedPageBreak/>
        <w:t>concluirse que es una excluyente de responsabilidad en relación con la actuación del funcionario, como ha acontecido en el caso que nos ocupa.</w:t>
      </w:r>
    </w:p>
    <w:p w:rsidR="00E35B1C" w:rsidRPr="00F76A6A" w:rsidRDefault="00497E4A">
      <w:pPr>
        <w:spacing w:line="360" w:lineRule="auto"/>
        <w:ind w:right="-989"/>
        <w:jc w:val="both"/>
        <w:rPr>
          <w:rFonts w:ascii="Palatino Linotype" w:eastAsia="Palatino Linotype" w:hAnsi="Palatino Linotype" w:cs="Palatino Linotype"/>
        </w:rPr>
      </w:pPr>
      <w:r w:rsidRPr="00F76A6A">
        <w:rPr>
          <w:rFonts w:ascii="Palatino Linotype" w:eastAsia="Palatino Linotype" w:hAnsi="Palatino Linotype" w:cs="Palatino Linotype"/>
        </w:rPr>
        <w:t> </w:t>
      </w: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F76A6A">
        <w:rPr>
          <w:rFonts w:ascii="Palatino Linotype" w:eastAsia="Palatino Linotype" w:hAnsi="Palatino Linotype" w:cs="Palatino Linotype"/>
        </w:rPr>
        <w:t>del rubro</w:t>
      </w:r>
      <w:r w:rsidRPr="00F76A6A">
        <w:rPr>
          <w:rFonts w:ascii="Palatino Linotype" w:eastAsia="Palatino Linotype" w:hAnsi="Palatino Linotype" w:cs="Palatino Linotype"/>
          <w:color w:val="000000"/>
        </w:rPr>
        <w:t xml:space="preserve"> “</w:t>
      </w:r>
      <w:r w:rsidRPr="00F76A6A">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F76A6A">
        <w:rPr>
          <w:rFonts w:ascii="Palatino Linotype" w:eastAsia="Palatino Linotype" w:hAnsi="Palatino Linotype" w:cs="Palatino Linotype"/>
          <w:color w:val="000000"/>
        </w:rPr>
        <w:t xml:space="preserve">, visible en la Gaceta del </w:t>
      </w:r>
      <w:r w:rsidRPr="00F76A6A">
        <w:rPr>
          <w:rFonts w:ascii="Palatino Linotype" w:eastAsia="Palatino Linotype" w:hAnsi="Palatino Linotype" w:cs="Palatino Linotype"/>
        </w:rPr>
        <w:t>Semanario</w:t>
      </w:r>
      <w:r w:rsidRPr="00F76A6A">
        <w:rPr>
          <w:rFonts w:ascii="Palatino Linotype" w:eastAsia="Palatino Linotype" w:hAnsi="Palatino Linotype" w:cs="Palatino Linotype"/>
          <w:color w:val="000000"/>
        </w:rPr>
        <w:t xml:space="preserve"> Judicial de la Federación con el registro digital 205635.</w:t>
      </w:r>
    </w:p>
    <w:p w:rsidR="00E35B1C" w:rsidRPr="00F76A6A" w:rsidRDefault="00497E4A">
      <w:pPr>
        <w:spacing w:line="360" w:lineRule="auto"/>
        <w:ind w:right="-989"/>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rPr>
        <w:t> </w:t>
      </w:r>
      <w:r w:rsidRPr="00F76A6A">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35B1C" w:rsidRPr="00F76A6A" w:rsidRDefault="00E35B1C">
      <w:pPr>
        <w:spacing w:line="360" w:lineRule="auto"/>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E35B1C" w:rsidRPr="00F76A6A" w:rsidRDefault="00497E4A">
      <w:pPr>
        <w:spacing w:line="360" w:lineRule="auto"/>
        <w:ind w:left="566" w:right="-139"/>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sz w:val="22"/>
          <w:szCs w:val="22"/>
        </w:rPr>
        <w:t> </w:t>
      </w:r>
      <w:r w:rsidRPr="00F76A6A">
        <w:rPr>
          <w:rFonts w:ascii="Palatino Linotype" w:eastAsia="Palatino Linotype" w:hAnsi="Palatino Linotype" w:cs="Palatino Linotype"/>
          <w:b/>
          <w:sz w:val="22"/>
          <w:szCs w:val="22"/>
        </w:rPr>
        <w:t> “PLAZO RAZONABLE PARA RESOLVER. DIMENSIÓN Y EFECTOS DE ESTE CONCEPTO CUANDO SE ADUCE EXCESIVA CARGA DE TRABAJO.”</w:t>
      </w:r>
      <w:r w:rsidRPr="00F76A6A">
        <w:rPr>
          <w:rFonts w:ascii="Palatino Linotype" w:eastAsia="Palatino Linotype" w:hAnsi="Palatino Linotype" w:cs="Palatino Linotype"/>
          <w:sz w:val="22"/>
          <w:szCs w:val="22"/>
        </w:rPr>
        <w:t xml:space="preserve"> consultable en el Seminario Judicial de la Federación y su gaceta, con el registro digital 2002351.</w:t>
      </w:r>
    </w:p>
    <w:p w:rsidR="00E35B1C" w:rsidRPr="00F76A6A" w:rsidRDefault="00497E4A">
      <w:pPr>
        <w:ind w:left="567" w:right="-139"/>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sz w:val="22"/>
          <w:szCs w:val="22"/>
        </w:rPr>
        <w:t> </w:t>
      </w:r>
    </w:p>
    <w:p w:rsidR="00E35B1C" w:rsidRPr="00F76A6A" w:rsidRDefault="00497E4A">
      <w:pPr>
        <w:ind w:left="567" w:right="-139"/>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F76A6A">
        <w:rPr>
          <w:rFonts w:ascii="Palatino Linotype" w:eastAsia="Palatino Linotype" w:hAnsi="Palatino Linotype" w:cs="Palatino Linotype"/>
          <w:sz w:val="22"/>
          <w:szCs w:val="22"/>
        </w:rPr>
        <w:t xml:space="preserve"> visible en el Seminario Judicial de la Federación y su gaceta, con el registro digital 2002350.</w:t>
      </w:r>
    </w:p>
    <w:p w:rsidR="00200F19" w:rsidRPr="00F76A6A" w:rsidRDefault="00200F19">
      <w:pPr>
        <w:ind w:left="567" w:right="-139"/>
        <w:jc w:val="both"/>
        <w:rPr>
          <w:rFonts w:ascii="Palatino Linotype" w:eastAsia="Palatino Linotype" w:hAnsi="Palatino Linotype" w:cs="Palatino Linotype"/>
          <w:sz w:val="22"/>
          <w:szCs w:val="22"/>
        </w:rPr>
      </w:pPr>
    </w:p>
    <w:p w:rsidR="00200F19" w:rsidRPr="00F76A6A" w:rsidRDefault="00200F19">
      <w:pPr>
        <w:ind w:left="567" w:right="-139"/>
        <w:jc w:val="both"/>
        <w:rPr>
          <w:rFonts w:ascii="Palatino Linotype" w:eastAsia="Palatino Linotype" w:hAnsi="Palatino Linotype" w:cs="Palatino Linotype"/>
          <w:sz w:val="22"/>
          <w:szCs w:val="22"/>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La Comisionada Ponente decretó el cierre de instrucción mediante acuerdo del </w:t>
      </w:r>
      <w:r w:rsidRPr="00F76A6A">
        <w:rPr>
          <w:rFonts w:ascii="Palatino Linotype" w:eastAsia="Palatino Linotype" w:hAnsi="Palatino Linotype" w:cs="Palatino Linotype"/>
        </w:rPr>
        <w:t>veintiséis</w:t>
      </w:r>
      <w:r w:rsidRPr="00F76A6A">
        <w:rPr>
          <w:rFonts w:ascii="Palatino Linotype" w:eastAsia="Palatino Linotype" w:hAnsi="Palatino Linotype" w:cs="Palatino Linotype"/>
          <w:color w:val="000000"/>
        </w:rPr>
        <w:t xml:space="preserve"> de febrero de dos mil veinticinco; por lo que se ordenó turnar el expediente a resolución, misma que ahora se pronuncia; y ------------------------------------------------------</w:t>
      </w:r>
      <w:r w:rsidRPr="00F76A6A">
        <w:rPr>
          <w:rFonts w:ascii="Palatino Linotype" w:eastAsia="Palatino Linotype" w:hAnsi="Palatino Linotype" w:cs="Palatino Linotype"/>
        </w:rPr>
        <w:t>--------</w:t>
      </w:r>
      <w:r w:rsidR="00200F19" w:rsidRPr="00F76A6A">
        <w:rPr>
          <w:rFonts w:ascii="Palatino Linotype" w:eastAsia="Palatino Linotype" w:hAnsi="Palatino Linotype" w:cs="Palatino Linotype"/>
        </w:rPr>
        <w:t>---------------</w:t>
      </w:r>
    </w:p>
    <w:p w:rsidR="00200F19" w:rsidRPr="00F76A6A" w:rsidRDefault="00200F19" w:rsidP="00200F19">
      <w:pPr>
        <w:pStyle w:val="Prrafodelista"/>
        <w:rPr>
          <w:rFonts w:ascii="Palatino Linotype" w:eastAsia="Palatino Linotype" w:hAnsi="Palatino Linotype" w:cs="Palatino Linotype"/>
          <w:color w:val="000000"/>
        </w:rPr>
      </w:pPr>
    </w:p>
    <w:p w:rsidR="00200F19" w:rsidRPr="00F76A6A" w:rsidRDefault="00200F19" w:rsidP="00200F19">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pStyle w:val="Ttulo2"/>
        <w:ind w:right="-989"/>
        <w:jc w:val="center"/>
        <w:rPr>
          <w:rFonts w:ascii="Palatino Linotype" w:eastAsia="Palatino Linotype" w:hAnsi="Palatino Linotype" w:cs="Palatino Linotype"/>
          <w:b/>
          <w:color w:val="000000"/>
          <w:sz w:val="24"/>
          <w:szCs w:val="24"/>
        </w:rPr>
      </w:pPr>
      <w:bookmarkStart w:id="2" w:name="_heading=h.1fob9te" w:colFirst="0" w:colLast="0"/>
      <w:bookmarkEnd w:id="2"/>
      <w:r w:rsidRPr="00F76A6A">
        <w:rPr>
          <w:rFonts w:ascii="Palatino Linotype" w:eastAsia="Palatino Linotype" w:hAnsi="Palatino Linotype" w:cs="Palatino Linotype"/>
          <w:b/>
          <w:color w:val="000000"/>
          <w:sz w:val="24"/>
          <w:szCs w:val="24"/>
        </w:rPr>
        <w:lastRenderedPageBreak/>
        <w:t>C O N S I D E R A N D O</w:t>
      </w:r>
    </w:p>
    <w:p w:rsidR="00E35B1C" w:rsidRPr="00F76A6A" w:rsidRDefault="00E35B1C">
      <w:pPr>
        <w:ind w:right="-989"/>
        <w:rPr>
          <w:rFonts w:ascii="Palatino Linotype" w:eastAsia="Palatino Linotype" w:hAnsi="Palatino Linotype" w:cs="Palatino Linotype"/>
        </w:rPr>
      </w:pPr>
    </w:p>
    <w:p w:rsidR="00E35B1C" w:rsidRPr="00F76A6A" w:rsidRDefault="00497E4A">
      <w:pPr>
        <w:pStyle w:val="Ttulo2"/>
        <w:tabs>
          <w:tab w:val="left" w:pos="0"/>
        </w:tabs>
        <w:spacing w:before="0" w:line="360" w:lineRule="auto"/>
        <w:ind w:right="-989"/>
        <w:rPr>
          <w:rFonts w:ascii="Palatino Linotype" w:eastAsia="Palatino Linotype" w:hAnsi="Palatino Linotype" w:cs="Palatino Linotype"/>
          <w:b/>
          <w:color w:val="000000"/>
          <w:sz w:val="24"/>
          <w:szCs w:val="24"/>
        </w:rPr>
      </w:pPr>
      <w:bookmarkStart w:id="3" w:name="_heading=h.3znysh7" w:colFirst="0" w:colLast="0"/>
      <w:bookmarkEnd w:id="3"/>
      <w:r w:rsidRPr="00F76A6A">
        <w:rPr>
          <w:rFonts w:ascii="Palatino Linotype" w:eastAsia="Palatino Linotype" w:hAnsi="Palatino Linotype" w:cs="Palatino Linotype"/>
          <w:b/>
          <w:color w:val="000000"/>
          <w:sz w:val="24"/>
          <w:szCs w:val="24"/>
        </w:rPr>
        <w:t>PRIMERO. De la competencia</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rsidR="00200F19" w:rsidRPr="00F76A6A" w:rsidRDefault="00200F19" w:rsidP="00200F19">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pStyle w:val="Ttulo2"/>
        <w:tabs>
          <w:tab w:val="left" w:pos="0"/>
        </w:tabs>
        <w:spacing w:before="0" w:line="360" w:lineRule="auto"/>
        <w:ind w:right="-989"/>
        <w:rPr>
          <w:rFonts w:ascii="Palatino Linotype" w:eastAsia="Palatino Linotype" w:hAnsi="Palatino Linotype" w:cs="Palatino Linotype"/>
          <w:b/>
          <w:color w:val="000000"/>
          <w:sz w:val="24"/>
          <w:szCs w:val="24"/>
        </w:rPr>
      </w:pPr>
      <w:bookmarkStart w:id="4" w:name="_heading=h.2et92p0" w:colFirst="0" w:colLast="0"/>
      <w:bookmarkEnd w:id="4"/>
      <w:r w:rsidRPr="00F76A6A">
        <w:rPr>
          <w:rFonts w:ascii="Palatino Linotype" w:eastAsia="Palatino Linotype" w:hAnsi="Palatino Linotype" w:cs="Palatino Linotype"/>
          <w:b/>
          <w:color w:val="000000"/>
          <w:sz w:val="24"/>
          <w:szCs w:val="24"/>
        </w:rPr>
        <w:t>SEGUNDO. De la oportunidad y procedencia.</w:t>
      </w:r>
    </w:p>
    <w:p w:rsidR="00E35B1C" w:rsidRPr="00F76A6A" w:rsidRDefault="00497E4A">
      <w:pPr>
        <w:numPr>
          <w:ilvl w:val="0"/>
          <w:numId w:val="1"/>
        </w:numPr>
        <w:pBdr>
          <w:top w:val="nil"/>
          <w:left w:val="nil"/>
          <w:bottom w:val="nil"/>
          <w:right w:val="nil"/>
          <w:between w:val="nil"/>
        </w:pBdr>
        <w:tabs>
          <w:tab w:val="left" w:pos="142"/>
          <w:tab w:val="left" w:pos="567"/>
        </w:tabs>
        <w:spacing w:line="360" w:lineRule="auto"/>
        <w:ind w:left="0" w:right="-989" w:firstLine="0"/>
        <w:jc w:val="both"/>
        <w:rPr>
          <w:rFonts w:ascii="Palatino Linotype" w:eastAsia="Palatino Linotype" w:hAnsi="Palatino Linotype" w:cs="Palatino Linotype"/>
          <w:color w:val="000000"/>
        </w:rPr>
      </w:pPr>
      <w:bookmarkStart w:id="5" w:name="_heading=h.tyjcwt" w:colFirst="0" w:colLast="0"/>
      <w:bookmarkEnd w:id="5"/>
      <w:r w:rsidRPr="00F76A6A">
        <w:rPr>
          <w:rFonts w:ascii="Palatino Linotype" w:eastAsia="Palatino Linotype" w:hAnsi="Palatino Linotype" w:cs="Palatino Linotype"/>
          <w:color w:val="000000"/>
        </w:rPr>
        <w:t xml:space="preserve">El medio de impugnación fue presentado a través del </w:t>
      </w:r>
      <w:r w:rsidRPr="00F76A6A">
        <w:rPr>
          <w:rFonts w:ascii="Palatino Linotype" w:eastAsia="Palatino Linotype" w:hAnsi="Palatino Linotype" w:cs="Palatino Linotype"/>
          <w:b/>
          <w:color w:val="000000"/>
        </w:rPr>
        <w:t xml:space="preserve">SAIMEX </w:t>
      </w:r>
      <w:r w:rsidRPr="00F76A6A">
        <w:rPr>
          <w:rFonts w:ascii="Palatino Linotype" w:eastAsia="Palatino Linotype" w:hAnsi="Palatino Linotype" w:cs="Palatino Linotype"/>
          <w:color w:val="000000"/>
        </w:rPr>
        <w:t xml:space="preserve">en el formato previamente aprobado para tal efecto y dentro del plazo legal de quince días hábiles otorgados; siendo así que 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entregó respuesta el veinticuatro de junio de dos mil veinticuatro, de tal forma que el plazo para interponer el recurso de revisión transcurrió del veinticinco de junio al quince de julio de dos mil veinticuatro, en consecuencia, si la parte </w:t>
      </w:r>
      <w:r w:rsidRPr="00F76A6A">
        <w:rPr>
          <w:rFonts w:ascii="Palatino Linotype" w:eastAsia="Palatino Linotype" w:hAnsi="Palatino Linotype" w:cs="Palatino Linotype"/>
          <w:b/>
          <w:color w:val="000000"/>
        </w:rPr>
        <w:t xml:space="preserve">RECURRENTE </w:t>
      </w:r>
      <w:r w:rsidRPr="00F76A6A">
        <w:rPr>
          <w:rFonts w:ascii="Palatino Linotype" w:eastAsia="Palatino Linotype" w:hAnsi="Palatino Linotype" w:cs="Palatino Linotype"/>
          <w:color w:val="000000"/>
        </w:rPr>
        <w:t xml:space="preserve">presentó su inconformidad el veintiséis de junio de dos mil veinticuatro, se encuentra dentro de los márgenes temporales previstos en el artículo </w:t>
      </w:r>
      <w:r w:rsidRPr="00F76A6A">
        <w:rPr>
          <w:rFonts w:ascii="Palatino Linotype" w:eastAsia="Palatino Linotype" w:hAnsi="Palatino Linotype" w:cs="Palatino Linotype"/>
          <w:color w:val="000000"/>
        </w:rPr>
        <w:lastRenderedPageBreak/>
        <w:t>178 de la Ley de Transparencia y Acceso a la Información Pública del Estado de México y Municipios.</w:t>
      </w:r>
    </w:p>
    <w:p w:rsidR="00E35B1C" w:rsidRPr="00F76A6A" w:rsidRDefault="00E35B1C">
      <w:pPr>
        <w:pBdr>
          <w:top w:val="nil"/>
          <w:left w:val="nil"/>
          <w:bottom w:val="nil"/>
          <w:right w:val="nil"/>
          <w:between w:val="nil"/>
        </w:pBdr>
        <w:tabs>
          <w:tab w:val="left" w:pos="142"/>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0"/>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E35B1C" w:rsidRPr="00F76A6A" w:rsidRDefault="00E35B1C">
      <w:pPr>
        <w:pBdr>
          <w:top w:val="nil"/>
          <w:left w:val="nil"/>
          <w:bottom w:val="nil"/>
          <w:right w:val="nil"/>
          <w:between w:val="nil"/>
        </w:pBdr>
        <w:tabs>
          <w:tab w:val="left" w:pos="0"/>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0"/>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El Recurso de Revisión en estudio contiene los elementos normativos de validez exigidos en la Ley de Transparencia y Acceso a la Información Pública del Estado de México y Municipios, establecidos en el artículo 180 que enuncia:</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“Artículo 180. El recurso de revisión contendrá: </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I. El sujeto obligado ante la cual se presentó la solicitud; </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b/>
          <w:i/>
          <w:sz w:val="22"/>
          <w:szCs w:val="22"/>
        </w:rPr>
        <w:t>II. El nombre del solicitante que recurre</w:t>
      </w:r>
      <w:r w:rsidRPr="00F76A6A">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III. El número de folio de respuesta de la solicitud de acceso;</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IV. La fecha en que fue notificada la respuesta al solicitante o tuvo conocimiento del acto reclamado, o de presentación de la solicitud, en caso de falta de respuesta;</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V. El acto que se recurre;</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VI. Las razones o motivos de inconformidad;</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VII. La copia de la respuesta que se impugna y, en su caso, de la notificación correspondiente, en el caso de respuesta de la solicitud; y </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VIII. Firma del recurrente, en su caso, cuando se presente por escrito, requisito sin el cual se dará trámite al recurso.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lastRenderedPageBreak/>
        <w:t xml:space="preserve">Adicionalmente, se podrán anexar las pruebas y demás elementos que considere procedentes someter a juicio del Instituto.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En ningún caso será necesario que el particular ratifique el recurso de revisión interpuesto. </w:t>
      </w:r>
    </w:p>
    <w:p w:rsidR="00E35B1C" w:rsidRPr="00F76A6A" w:rsidRDefault="00497E4A">
      <w:pPr>
        <w:ind w:left="567" w:right="-280"/>
        <w:jc w:val="both"/>
        <w:rPr>
          <w:rFonts w:ascii="Palatino Linotype" w:eastAsia="Palatino Linotype" w:hAnsi="Palatino Linotype" w:cs="Palatino Linotype"/>
          <w:b/>
          <w:i/>
          <w:sz w:val="22"/>
          <w:szCs w:val="22"/>
        </w:rPr>
      </w:pPr>
      <w:r w:rsidRPr="00F76A6A">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 IV, VII y VIII.”</w:t>
      </w:r>
    </w:p>
    <w:p w:rsidR="00E35B1C" w:rsidRPr="00F76A6A" w:rsidRDefault="00E35B1C">
      <w:pPr>
        <w:ind w:left="567" w:right="-280"/>
        <w:jc w:val="both"/>
        <w:rPr>
          <w:rFonts w:ascii="Palatino Linotype" w:eastAsia="Palatino Linotype" w:hAnsi="Palatino Linotype" w:cs="Palatino Linotype"/>
          <w:b/>
          <w:i/>
          <w:sz w:val="22"/>
          <w:szCs w:val="22"/>
        </w:rPr>
      </w:pPr>
    </w:p>
    <w:p w:rsidR="00E35B1C" w:rsidRPr="00F76A6A" w:rsidRDefault="00E35B1C">
      <w:pPr>
        <w:ind w:left="567" w:right="-280"/>
        <w:jc w:val="both"/>
        <w:rPr>
          <w:rFonts w:ascii="Palatino Linotype" w:eastAsia="Palatino Linotype" w:hAnsi="Palatino Linotype" w:cs="Palatino Linotype"/>
          <w:b/>
          <w:i/>
          <w:sz w:val="22"/>
          <w:szCs w:val="22"/>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rsidR="00E35B1C" w:rsidRPr="00F76A6A" w:rsidRDefault="00497E4A">
      <w:pPr>
        <w:pBdr>
          <w:top w:val="nil"/>
          <w:left w:val="nil"/>
          <w:bottom w:val="nil"/>
          <w:right w:val="nil"/>
          <w:between w:val="nil"/>
        </w:pBdr>
        <w:tabs>
          <w:tab w:val="left" w:pos="426"/>
          <w:tab w:val="left" w:pos="567"/>
        </w:tabs>
        <w:ind w:left="567" w:right="-139"/>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i/>
          <w:color w:val="000000"/>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E35B1C" w:rsidRPr="00F76A6A" w:rsidRDefault="00497E4A">
      <w:pPr>
        <w:spacing w:before="240"/>
        <w:ind w:left="567" w:right="-280"/>
        <w:jc w:val="center"/>
        <w:rPr>
          <w:rFonts w:ascii="Palatino Linotype" w:eastAsia="Palatino Linotype" w:hAnsi="Palatino Linotype" w:cs="Palatino Linotype"/>
          <w:b/>
          <w:i/>
          <w:sz w:val="22"/>
          <w:szCs w:val="22"/>
        </w:rPr>
      </w:pPr>
      <w:r w:rsidRPr="00F76A6A">
        <w:rPr>
          <w:rFonts w:ascii="Palatino Linotype" w:eastAsia="Palatino Linotype" w:hAnsi="Palatino Linotype" w:cs="Palatino Linotype"/>
          <w:b/>
          <w:i/>
          <w:sz w:val="22"/>
          <w:szCs w:val="22"/>
        </w:rPr>
        <w:t xml:space="preserve">Constitución Política de los Estados Unidos Mexicanos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lastRenderedPageBreak/>
        <w:t xml:space="preserve">(…)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 (…) </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rsidR="00E35B1C" w:rsidRPr="00F76A6A" w:rsidRDefault="00497E4A">
      <w:pPr>
        <w:spacing w:before="240"/>
        <w:ind w:left="567" w:right="-280"/>
        <w:jc w:val="both"/>
        <w:rPr>
          <w:rFonts w:ascii="Palatino Linotype" w:eastAsia="Palatino Linotype" w:hAnsi="Palatino Linotype" w:cs="Palatino Linotype"/>
          <w:b/>
          <w:i/>
          <w:sz w:val="22"/>
          <w:szCs w:val="22"/>
        </w:rPr>
      </w:pPr>
      <w:r w:rsidRPr="00F76A6A">
        <w:rPr>
          <w:rFonts w:ascii="Palatino Linotype" w:eastAsia="Palatino Linotype" w:hAnsi="Palatino Linotype" w:cs="Palatino Linotype"/>
          <w:b/>
          <w:i/>
          <w:sz w:val="22"/>
          <w:szCs w:val="22"/>
        </w:rPr>
        <w:t>Constitución Política del Estado Libre y Soberano de México</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w:t>
      </w:r>
      <w:r w:rsidRPr="00F76A6A">
        <w:rPr>
          <w:rFonts w:ascii="Palatino Linotype" w:eastAsia="Palatino Linotype" w:hAnsi="Palatino Linotype" w:cs="Palatino Linotype"/>
          <w:i/>
          <w:sz w:val="22"/>
          <w:szCs w:val="22"/>
        </w:rPr>
        <w:lastRenderedPageBreak/>
        <w:t>sus acciones, en términos de las disposiciones aplicables, la información será oportuna, clara, veraz y de fácil acceso. Este derecho se regirá por los principios y bases siguientes:</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rsidR="00E35B1C" w:rsidRPr="00F76A6A" w:rsidRDefault="00497E4A">
      <w:pPr>
        <w:spacing w:before="240"/>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rsidR="00E35B1C" w:rsidRPr="00F76A6A" w:rsidRDefault="00E35B1C">
      <w:pPr>
        <w:pBdr>
          <w:top w:val="nil"/>
          <w:left w:val="nil"/>
          <w:bottom w:val="nil"/>
          <w:right w:val="nil"/>
          <w:between w:val="nil"/>
        </w:pBdr>
        <w:tabs>
          <w:tab w:val="left" w:pos="426"/>
          <w:tab w:val="left" w:pos="567"/>
        </w:tabs>
        <w:ind w:right="-989"/>
        <w:jc w:val="both"/>
        <w:rPr>
          <w:rFonts w:ascii="Palatino Linotype" w:eastAsia="Palatino Linotype" w:hAnsi="Palatino Linotype" w:cs="Palatino Linotype"/>
        </w:rPr>
      </w:pPr>
    </w:p>
    <w:p w:rsidR="00E35B1C" w:rsidRPr="00F76A6A" w:rsidRDefault="00E35B1C">
      <w:pPr>
        <w:pBdr>
          <w:top w:val="nil"/>
          <w:left w:val="nil"/>
          <w:bottom w:val="nil"/>
          <w:right w:val="nil"/>
          <w:between w:val="nil"/>
        </w:pBdr>
        <w:tabs>
          <w:tab w:val="left" w:pos="426"/>
          <w:tab w:val="left" w:pos="567"/>
        </w:tabs>
        <w:ind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Por lo que,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76A6A">
        <w:rPr>
          <w:rFonts w:ascii="Palatino Linotype" w:eastAsia="Palatino Linotype" w:hAnsi="Palatino Linotype" w:cs="Palatino Linotype"/>
          <w:b/>
          <w:color w:val="000000"/>
          <w:u w:val="single"/>
        </w:rPr>
        <w:t>incluso, la solicitud de acceso a la información pueda ser anónima o no contener un nombre que identifique al solicitante o que permita tener certeza sobre su identidad</w:t>
      </w:r>
      <w:r w:rsidRPr="00F76A6A">
        <w:rPr>
          <w:rFonts w:ascii="Palatino Linotype" w:eastAsia="Palatino Linotype" w:hAnsi="Palatino Linotype" w:cs="Palatino Linotype"/>
          <w:color w:val="000000"/>
        </w:rPr>
        <w:t>.</w:t>
      </w:r>
    </w:p>
    <w:p w:rsidR="00E35B1C" w:rsidRPr="00F76A6A" w:rsidRDefault="00E35B1C">
      <w:pPr>
        <w:pBdr>
          <w:top w:val="nil"/>
          <w:left w:val="nil"/>
          <w:bottom w:val="nil"/>
          <w:right w:val="nil"/>
          <w:between w:val="nil"/>
        </w:pBdr>
        <w:spacing w:line="360" w:lineRule="auto"/>
        <w:ind w:left="360"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b/>
        </w:rPr>
      </w:pPr>
      <w:r w:rsidRPr="00F76A6A">
        <w:rPr>
          <w:rFonts w:ascii="Palatino Linotype" w:eastAsia="Palatino Linotype" w:hAnsi="Palatino Linotype" w:cs="Palatino Linotype"/>
        </w:rPr>
        <w:t>En conclusión, se cubrieron los requisitos de procedencia y procedibilidad y conforme a las constancias que obran en el expediente.</w:t>
      </w:r>
    </w:p>
    <w:p w:rsidR="00E35B1C" w:rsidRPr="00F76A6A" w:rsidRDefault="00497E4A">
      <w:pPr>
        <w:pStyle w:val="Ttulo2"/>
        <w:tabs>
          <w:tab w:val="left" w:pos="0"/>
        </w:tabs>
        <w:spacing w:before="0" w:line="360" w:lineRule="auto"/>
        <w:ind w:right="-989"/>
        <w:rPr>
          <w:rFonts w:ascii="Palatino Linotype" w:eastAsia="Palatino Linotype" w:hAnsi="Palatino Linotype" w:cs="Palatino Linotype"/>
          <w:b/>
          <w:color w:val="000000"/>
          <w:sz w:val="24"/>
          <w:szCs w:val="24"/>
        </w:rPr>
      </w:pPr>
      <w:bookmarkStart w:id="6" w:name="_heading=h.3dy6vkm" w:colFirst="0" w:colLast="0"/>
      <w:bookmarkEnd w:id="6"/>
      <w:r w:rsidRPr="00F76A6A">
        <w:rPr>
          <w:rFonts w:ascii="Palatino Linotype" w:eastAsia="Palatino Linotype" w:hAnsi="Palatino Linotype" w:cs="Palatino Linotype"/>
          <w:b/>
          <w:color w:val="000000"/>
          <w:sz w:val="24"/>
          <w:szCs w:val="24"/>
        </w:rPr>
        <w:lastRenderedPageBreak/>
        <w:t>TERCERO. De las causales del sobreseimiento.</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b/>
          <w:color w:val="000000"/>
        </w:rPr>
      </w:pPr>
      <w:bookmarkStart w:id="7" w:name="_heading=h.1t3h5sf" w:colFirst="0" w:colLast="0"/>
      <w:bookmarkEnd w:id="7"/>
      <w:r w:rsidRPr="00F76A6A">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F76A6A">
        <w:rPr>
          <w:rFonts w:ascii="Palatino Linotype" w:eastAsia="Palatino Linotype" w:hAnsi="Palatino Linotype" w:cs="Palatino Linotype"/>
          <w:b/>
          <w:color w:val="000000"/>
          <w:u w:val="single"/>
        </w:rPr>
        <w:t>sobreseimiento</w:t>
      </w:r>
      <w:r w:rsidRPr="00F76A6A">
        <w:rPr>
          <w:rFonts w:ascii="Palatino Linotype" w:eastAsia="Palatino Linotype" w:hAnsi="Palatino Linotype" w:cs="Palatino Linotype"/>
          <w:color w:val="000000"/>
        </w:rPr>
        <w:t xml:space="preserve">; y en su caso ordenar la entrega de la información con respecto a la respuesta emitida por el </w:t>
      </w:r>
      <w:r w:rsidRPr="00F76A6A">
        <w:rPr>
          <w:rFonts w:ascii="Palatino Linotype" w:eastAsia="Palatino Linotype" w:hAnsi="Palatino Linotype" w:cs="Palatino Linotype"/>
          <w:b/>
          <w:color w:val="000000"/>
        </w:rPr>
        <w:t>SUJETO</w:t>
      </w:r>
      <w:r w:rsidRPr="00F76A6A">
        <w:rPr>
          <w:rFonts w:ascii="Palatino Linotype" w:eastAsia="Palatino Linotype" w:hAnsi="Palatino Linotype" w:cs="Palatino Linotype"/>
          <w:color w:val="000000"/>
        </w:rPr>
        <w:t xml:space="preserve"> </w:t>
      </w:r>
      <w:r w:rsidRPr="00F76A6A">
        <w:rPr>
          <w:rFonts w:ascii="Palatino Linotype" w:eastAsia="Palatino Linotype" w:hAnsi="Palatino Linotype" w:cs="Palatino Linotype"/>
          <w:b/>
          <w:color w:val="000000"/>
        </w:rPr>
        <w:t>OBLIGADO</w:t>
      </w:r>
      <w:r w:rsidRPr="00F76A6A">
        <w:rPr>
          <w:rFonts w:ascii="Palatino Linotype" w:eastAsia="Palatino Linotype" w:hAnsi="Palatino Linotype" w:cs="Palatino Linotype"/>
          <w:color w:val="000000"/>
        </w:rPr>
        <w:t>.</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b/>
          <w:color w:val="000000"/>
        </w:rPr>
      </w:pPr>
    </w:p>
    <w:p w:rsidR="00E35B1C" w:rsidRPr="00F76A6A" w:rsidRDefault="00497E4A">
      <w:pPr>
        <w:numPr>
          <w:ilvl w:val="0"/>
          <w:numId w:val="1"/>
        </w:numPr>
        <w:pBdr>
          <w:top w:val="nil"/>
          <w:left w:val="nil"/>
          <w:bottom w:val="nil"/>
          <w:right w:val="nil"/>
          <w:between w:val="nil"/>
        </w:pBdr>
        <w:tabs>
          <w:tab w:val="left" w:pos="0"/>
          <w:tab w:val="left" w:pos="142"/>
        </w:tabs>
        <w:spacing w:line="360" w:lineRule="auto"/>
        <w:ind w:left="0" w:right="-989" w:firstLine="0"/>
        <w:jc w:val="both"/>
        <w:rPr>
          <w:rFonts w:ascii="Palatino Linotype" w:eastAsia="Palatino Linotype" w:hAnsi="Palatino Linotype" w:cs="Palatino Linotype"/>
          <w:b/>
          <w:color w:val="000000"/>
        </w:rPr>
      </w:pPr>
      <w:r w:rsidRPr="00F76A6A">
        <w:rPr>
          <w:rFonts w:ascii="Palatino Linotype" w:eastAsia="Palatino Linotype" w:hAnsi="Palatino Linotype" w:cs="Palatino Linotype"/>
          <w:color w:val="000000"/>
        </w:rPr>
        <w:t xml:space="preserve">De acuerdo al precepto legal contenido en la fracción </w:t>
      </w:r>
      <w:r w:rsidRPr="00F76A6A">
        <w:rPr>
          <w:rFonts w:ascii="Palatino Linotype" w:eastAsia="Palatino Linotype" w:hAnsi="Palatino Linotype" w:cs="Palatino Linotype"/>
        </w:rPr>
        <w:t>III,</w:t>
      </w:r>
      <w:r w:rsidRPr="00F76A6A">
        <w:rPr>
          <w:rFonts w:ascii="Palatino Linotype" w:eastAsia="Palatino Linotype" w:hAnsi="Palatino Linotype" w:cs="Palatino Linotype"/>
          <w:color w:val="000000"/>
        </w:rPr>
        <w:t xml:space="preserve"> del artículo 192, de la </w:t>
      </w:r>
      <w:r w:rsidRPr="00F76A6A">
        <w:rPr>
          <w:rFonts w:ascii="Palatino Linotype" w:eastAsia="Palatino Linotype" w:hAnsi="Palatino Linotype" w:cs="Palatino Linotype"/>
          <w:b/>
          <w:color w:val="000000"/>
        </w:rPr>
        <w:t>Ley de Transparencia y Acceso a la Información Pública del Estado de México y Municipios</w:t>
      </w:r>
      <w:r w:rsidRPr="00F76A6A">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b/>
          <w:color w:val="000000"/>
        </w:rPr>
      </w:pPr>
    </w:p>
    <w:p w:rsidR="00E35B1C" w:rsidRPr="00F76A6A" w:rsidRDefault="00497E4A">
      <w:pPr>
        <w:keepNext/>
        <w:keepLines/>
        <w:numPr>
          <w:ilvl w:val="1"/>
          <w:numId w:val="2"/>
        </w:numPr>
        <w:spacing w:line="360" w:lineRule="auto"/>
        <w:ind w:left="567" w:right="-989" w:firstLine="0"/>
        <w:rPr>
          <w:rFonts w:ascii="Palatino Linotype" w:eastAsia="Palatino Linotype" w:hAnsi="Palatino Linotype" w:cs="Palatino Linotype"/>
          <w:b/>
        </w:rPr>
      </w:pPr>
      <w:bookmarkStart w:id="8" w:name="_heading=h.4d34og8" w:colFirst="0" w:colLast="0"/>
      <w:bookmarkEnd w:id="8"/>
      <w:r w:rsidRPr="00F76A6A">
        <w:rPr>
          <w:rFonts w:ascii="Palatino Linotype" w:eastAsia="Palatino Linotype" w:hAnsi="Palatino Linotype" w:cs="Palatino Linotype"/>
          <w:b/>
        </w:rPr>
        <w:t xml:space="preserve">De la solicitud de información </w:t>
      </w:r>
    </w:p>
    <w:p w:rsidR="00E35B1C" w:rsidRPr="00F76A6A" w:rsidRDefault="00497E4A">
      <w:pPr>
        <w:numPr>
          <w:ilvl w:val="0"/>
          <w:numId w:val="1"/>
        </w:numPr>
        <w:pBdr>
          <w:top w:val="nil"/>
          <w:left w:val="nil"/>
          <w:bottom w:val="nil"/>
          <w:right w:val="nil"/>
          <w:between w:val="nil"/>
        </w:pBdr>
        <w:spacing w:line="360" w:lineRule="auto"/>
        <w:ind w:left="0" w:right="-989" w:firstLine="0"/>
        <w:jc w:val="both"/>
        <w:rPr>
          <w:rFonts w:ascii="Palatino Linotype" w:eastAsia="Palatino Linotype" w:hAnsi="Palatino Linotype" w:cs="Palatino Linotype"/>
          <w:b/>
          <w:color w:val="000000"/>
        </w:rPr>
      </w:pPr>
      <w:r w:rsidRPr="00F76A6A">
        <w:rPr>
          <w:rFonts w:ascii="Palatino Linotype" w:eastAsia="Palatino Linotype" w:hAnsi="Palatino Linotype" w:cs="Palatino Linotype"/>
          <w:color w:val="000000"/>
        </w:rPr>
        <w:t xml:space="preserve">Como ya se ha señalado, </w:t>
      </w:r>
      <w:r w:rsidRPr="00F76A6A">
        <w:rPr>
          <w:rFonts w:ascii="Palatino Linotype" w:eastAsia="Palatino Linotype" w:hAnsi="Palatino Linotype" w:cs="Palatino Linotype"/>
          <w:b/>
          <w:color w:val="000000"/>
        </w:rPr>
        <w:t>se solicitó al Organismo Público Descentralizado para la Prestación de los Servicios de Agua Potable, Alcantarillado y Saneamiento del Municipio de Tlalnepantla de Baz, remitiera al RECURRENTE, los Contratos por servicio de gasolina correspondientes a los años 2022 y 2023.</w:t>
      </w: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lastRenderedPageBreak/>
        <w:t xml:space="preserve">Posteriormente, el </w:t>
      </w:r>
      <w:r w:rsidRPr="00F76A6A">
        <w:rPr>
          <w:rFonts w:ascii="Palatino Linotype" w:eastAsia="Palatino Linotype" w:hAnsi="Palatino Linotype" w:cs="Palatino Linotype"/>
          <w:b/>
        </w:rPr>
        <w:t>SUJETO OBLIGADO</w:t>
      </w:r>
      <w:r w:rsidRPr="00F76A6A">
        <w:rPr>
          <w:rFonts w:ascii="Palatino Linotype" w:eastAsia="Palatino Linotype" w:hAnsi="Palatino Linotype" w:cs="Palatino Linotype"/>
        </w:rPr>
        <w:t xml:space="preserve"> por medio del Servidor Público </w:t>
      </w:r>
      <w:sdt>
        <w:sdtPr>
          <w:tag w:val="goog_rdk_0"/>
          <w:id w:val="900641861"/>
        </w:sdtPr>
        <w:sdtEndPr/>
        <w:sdtContent/>
      </w:sdt>
      <w:r w:rsidRPr="00F76A6A">
        <w:rPr>
          <w:rFonts w:ascii="Palatino Linotype" w:eastAsia="Palatino Linotype" w:hAnsi="Palatino Linotype" w:cs="Palatino Linotype"/>
        </w:rPr>
        <w:t>Habilitado del Departamento de Adquisiciones, remitió los contratos solicitados del año 2023 y 2024 en versión pública.</w:t>
      </w:r>
    </w:p>
    <w:p w:rsidR="00E35B1C" w:rsidRPr="00F76A6A" w:rsidRDefault="00E35B1C">
      <w:pPr>
        <w:ind w:right="-989"/>
        <w:jc w:val="both"/>
        <w:rPr>
          <w:rFonts w:ascii="Palatino Linotype" w:eastAsia="Palatino Linotype" w:hAnsi="Palatino Linotype" w:cs="Palatino Linotype"/>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Por lo anterior, el particular interpuso su recurso de revisión, argumentando </w:t>
      </w:r>
      <w:r w:rsidRPr="00F76A6A">
        <w:rPr>
          <w:rFonts w:ascii="Palatino Linotype" w:eastAsia="Palatino Linotype" w:hAnsi="Palatino Linotype" w:cs="Palatino Linotype"/>
          <w:b/>
        </w:rPr>
        <w:t>la entrega de la información incompleta</w:t>
      </w:r>
      <w:r w:rsidRPr="00F76A6A">
        <w:rPr>
          <w:rFonts w:ascii="Palatino Linotype" w:eastAsia="Palatino Linotype" w:hAnsi="Palatino Linotype" w:cs="Palatino Linotype"/>
        </w:rPr>
        <w:t xml:space="preserve">, regulada por el artículo 179, fracción V, de la Ley de Transparencia y Acceso a la Información Pública del Estado de México y Municipios. En los siguientes términos: </w:t>
      </w:r>
      <w:r w:rsidRPr="00F76A6A">
        <w:rPr>
          <w:rFonts w:ascii="Palatino Linotype" w:eastAsia="Palatino Linotype" w:hAnsi="Palatino Linotype" w:cs="Palatino Linotype"/>
          <w:b/>
          <w:i/>
        </w:rPr>
        <w:t>“no entregaron acta que mencionan dicen que es reserva y me están entregando contratos y son incompletos ojo INFOEM favor de darle seguimiento y hacer una investigación me dieron datos personales faltan contratos y los anexos de los contratos INFOEM no están cuidando los datos personales requiero que el INFOEM les haga una investigación”. (sic)</w:t>
      </w:r>
    </w:p>
    <w:p w:rsidR="00E35B1C" w:rsidRPr="00F76A6A" w:rsidRDefault="00E35B1C">
      <w:pPr>
        <w:ind w:right="-989"/>
        <w:rPr>
          <w:rFonts w:ascii="Palatino Linotype" w:eastAsia="Palatino Linotype" w:hAnsi="Palatino Linotype" w:cs="Palatino Linotype"/>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En consecuencia, mediante un acto jurídico posterior, como lo es el informe justificado, el </w:t>
      </w:r>
      <w:r w:rsidRPr="00F76A6A">
        <w:rPr>
          <w:rFonts w:ascii="Palatino Linotype" w:eastAsia="Palatino Linotype" w:hAnsi="Palatino Linotype" w:cs="Palatino Linotype"/>
          <w:b/>
        </w:rPr>
        <w:t>SUJETO OBLIGADO</w:t>
      </w:r>
      <w:r w:rsidRPr="00F76A6A">
        <w:rPr>
          <w:rFonts w:ascii="Palatino Linotype" w:eastAsia="Palatino Linotype" w:hAnsi="Palatino Linotype" w:cs="Palatino Linotype"/>
        </w:rPr>
        <w:t xml:space="preserve"> remitió los contratos solicitados en versión pública correcta, así como, el Acta de la Sexta Sesión Ordinaria del Comité de Transparencia que sustenta la versión pública realizada.</w:t>
      </w:r>
    </w:p>
    <w:p w:rsidR="00E35B1C" w:rsidRPr="00F76A6A" w:rsidRDefault="00E35B1C">
      <w:pPr>
        <w:ind w:right="-989"/>
        <w:rPr>
          <w:rFonts w:ascii="Palatino Linotype" w:eastAsia="Palatino Linotype" w:hAnsi="Palatino Linotype" w:cs="Palatino Linotype"/>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Expuesto lo anterior,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w:t>
      </w:r>
      <w:r w:rsidRPr="00F76A6A">
        <w:rPr>
          <w:rFonts w:ascii="Palatino Linotype" w:eastAsia="Palatino Linotype" w:hAnsi="Palatino Linotype" w:cs="Palatino Linotype"/>
        </w:rPr>
        <w:lastRenderedPageBreak/>
        <w:t>orientación a los particulares, así como, atención adecuada a las personas con discapacidad y a los hablantes de lengua indígena con el objeto de otorgar la protección más amplia del derecho de las personas.</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En este sentido, para atender las solicitudes de información, los Sujetos Obligados contarán con un área denominada Unidad de Transparencia</w:t>
      </w:r>
      <w:r w:rsidRPr="00F76A6A">
        <w:rPr>
          <w:rFonts w:ascii="Palatino Linotype" w:eastAsia="Palatino Linotype" w:hAnsi="Palatino Linotype" w:cs="Palatino Linotype"/>
          <w:color w:val="000000"/>
          <w:vertAlign w:val="superscript"/>
        </w:rPr>
        <w:footnoteReference w:id="1"/>
      </w:r>
      <w:r w:rsidRPr="00F76A6A">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F76A6A">
        <w:rPr>
          <w:rFonts w:ascii="Palatino Linotype" w:eastAsia="Palatino Linotype" w:hAnsi="Palatino Linotype" w:cs="Palatino Linotype"/>
          <w:b/>
          <w:color w:val="000000"/>
        </w:rPr>
        <w:t xml:space="preserve"> </w:t>
      </w:r>
      <w:r w:rsidRPr="00F76A6A">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F76A6A">
        <w:rPr>
          <w:rFonts w:ascii="Palatino Linotype" w:eastAsia="Palatino Linotype" w:hAnsi="Palatino Linotype" w:cs="Palatino Linotype"/>
          <w:color w:val="000000"/>
          <w:vertAlign w:val="superscript"/>
        </w:rPr>
        <w:footnoteReference w:id="2"/>
      </w:r>
      <w:r w:rsidRPr="00F76A6A">
        <w:rPr>
          <w:rFonts w:ascii="Palatino Linotype" w:eastAsia="Palatino Linotype" w:hAnsi="Palatino Linotype" w:cs="Palatino Linotype"/>
          <w:color w:val="000000"/>
        </w:rPr>
        <w:t>.</w:t>
      </w:r>
    </w:p>
    <w:p w:rsidR="00E35B1C" w:rsidRPr="00F76A6A" w:rsidRDefault="00E35B1C">
      <w:pPr>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De conformidad con lo dispuesto en la Ley de Transparencia y Acceso a la Información Pública del Estado de México y Municipios, las Unidades de Transparencia tendrán, entre sus atribuciones, las siguientes:</w:t>
      </w:r>
    </w:p>
    <w:p w:rsidR="00E35B1C" w:rsidRPr="00F76A6A" w:rsidRDefault="00497E4A">
      <w:pPr>
        <w:numPr>
          <w:ilvl w:val="1"/>
          <w:numId w:val="4"/>
        </w:numPr>
        <w:pBdr>
          <w:top w:val="nil"/>
          <w:left w:val="nil"/>
          <w:bottom w:val="nil"/>
          <w:right w:val="nil"/>
          <w:between w:val="nil"/>
        </w:pBdr>
        <w:ind w:left="709" w:right="-139"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Recibir, tramitar y dar respuesta a las solicitudes de acceso a la información;</w:t>
      </w:r>
    </w:p>
    <w:p w:rsidR="00E35B1C" w:rsidRPr="00F76A6A" w:rsidRDefault="00497E4A">
      <w:pPr>
        <w:numPr>
          <w:ilvl w:val="1"/>
          <w:numId w:val="4"/>
        </w:numPr>
        <w:pBdr>
          <w:top w:val="nil"/>
          <w:left w:val="nil"/>
          <w:bottom w:val="nil"/>
          <w:right w:val="nil"/>
          <w:between w:val="nil"/>
        </w:pBdr>
        <w:ind w:left="709" w:right="-139"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E35B1C" w:rsidRPr="00F76A6A" w:rsidRDefault="00497E4A">
      <w:pPr>
        <w:numPr>
          <w:ilvl w:val="1"/>
          <w:numId w:val="4"/>
        </w:numPr>
        <w:pBdr>
          <w:top w:val="nil"/>
          <w:left w:val="nil"/>
          <w:bottom w:val="nil"/>
          <w:right w:val="nil"/>
          <w:between w:val="nil"/>
        </w:pBdr>
        <w:ind w:left="709" w:right="-139"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 xml:space="preserve">Entregar, en su caso, a los particulares la información solicitada; y </w:t>
      </w:r>
    </w:p>
    <w:p w:rsidR="00E35B1C" w:rsidRPr="00F76A6A" w:rsidRDefault="00497E4A">
      <w:pPr>
        <w:numPr>
          <w:ilvl w:val="1"/>
          <w:numId w:val="4"/>
        </w:numPr>
        <w:pBdr>
          <w:top w:val="nil"/>
          <w:left w:val="nil"/>
          <w:bottom w:val="nil"/>
          <w:right w:val="nil"/>
          <w:between w:val="nil"/>
        </w:pBdr>
        <w:spacing w:after="240"/>
        <w:ind w:left="709" w:right="-139"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Efectuar las notificaciones a los solicitantes.</w:t>
      </w:r>
    </w:p>
    <w:p w:rsidR="00E35B1C" w:rsidRPr="00F76A6A" w:rsidRDefault="00E35B1C">
      <w:pPr>
        <w:spacing w:before="240" w:after="240"/>
        <w:ind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el titular del </w:t>
      </w:r>
      <w:r w:rsidRPr="00F76A6A">
        <w:rPr>
          <w:rFonts w:ascii="Palatino Linotype" w:eastAsia="Palatino Linotype" w:hAnsi="Palatino Linotype" w:cs="Palatino Linotype"/>
          <w:b/>
          <w:color w:val="000000"/>
        </w:rPr>
        <w:t xml:space="preserve">SUJETO OBLIGADO </w:t>
      </w:r>
      <w:r w:rsidRPr="00F76A6A">
        <w:rPr>
          <w:rFonts w:ascii="Palatino Linotype" w:eastAsia="Palatino Linotype" w:hAnsi="Palatino Linotype" w:cs="Palatino Linotype"/>
          <w:color w:val="000000"/>
        </w:rPr>
        <w:t>a propuesta del responsable de la Unidad de Transparencia</w:t>
      </w:r>
      <w:r w:rsidRPr="00F76A6A">
        <w:rPr>
          <w:rFonts w:ascii="Palatino Linotype" w:eastAsia="Palatino Linotype" w:hAnsi="Palatino Linotype" w:cs="Palatino Linotype"/>
          <w:color w:val="000000"/>
          <w:vertAlign w:val="superscript"/>
        </w:rPr>
        <w:footnoteReference w:id="3"/>
      </w:r>
      <w:r w:rsidRPr="00F76A6A">
        <w:rPr>
          <w:rFonts w:ascii="Palatino Linotype" w:eastAsia="Palatino Linotype" w:hAnsi="Palatino Linotype" w:cs="Palatino Linotype"/>
          <w:color w:val="000000"/>
        </w:rPr>
        <w:t xml:space="preserve"> y tendrán, entre sus atribuciones, las siguientes</w:t>
      </w:r>
      <w:r w:rsidRPr="00F76A6A">
        <w:rPr>
          <w:rFonts w:ascii="Palatino Linotype" w:eastAsia="Palatino Linotype" w:hAnsi="Palatino Linotype" w:cs="Palatino Linotype"/>
          <w:color w:val="000000"/>
          <w:vertAlign w:val="superscript"/>
        </w:rPr>
        <w:footnoteReference w:id="4"/>
      </w:r>
      <w:r w:rsidRPr="00F76A6A">
        <w:rPr>
          <w:rFonts w:ascii="Palatino Linotype" w:eastAsia="Palatino Linotype" w:hAnsi="Palatino Linotype" w:cs="Palatino Linotype"/>
          <w:color w:val="000000"/>
        </w:rPr>
        <w:t>:</w:t>
      </w:r>
    </w:p>
    <w:p w:rsidR="00E35B1C" w:rsidRPr="00F76A6A" w:rsidRDefault="00497E4A">
      <w:pPr>
        <w:numPr>
          <w:ilvl w:val="1"/>
          <w:numId w:val="5"/>
        </w:numPr>
        <w:pBdr>
          <w:top w:val="nil"/>
          <w:left w:val="nil"/>
          <w:bottom w:val="nil"/>
          <w:right w:val="nil"/>
          <w:between w:val="nil"/>
        </w:pBdr>
        <w:spacing w:before="240"/>
        <w:ind w:left="709" w:right="-280"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Localizar la información que le solicite la Unidad de Transparencia; y</w:t>
      </w:r>
    </w:p>
    <w:p w:rsidR="00E35B1C" w:rsidRPr="00F76A6A" w:rsidRDefault="00497E4A">
      <w:pPr>
        <w:numPr>
          <w:ilvl w:val="1"/>
          <w:numId w:val="5"/>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E35B1C" w:rsidRPr="00F76A6A" w:rsidRDefault="00E35B1C">
      <w:pPr>
        <w:tabs>
          <w:tab w:val="left" w:pos="426"/>
          <w:tab w:val="left" w:pos="567"/>
        </w:tabs>
        <w:ind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De tal manera que cada una de las áreas administrativas del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E35B1C" w:rsidRPr="00F76A6A" w:rsidRDefault="00E35B1C">
      <w:pPr>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Aunado a lo anterior, la Ley de Transparencia y Acceso a la Información Pública del Estado de México y Municipios, en su artículo 53, establece las funciones correspondientes a esta Unidad; mismas que se inserta a continuación:</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“Artículo 53</w:t>
      </w:r>
      <w:r w:rsidRPr="00F76A6A">
        <w:rPr>
          <w:rFonts w:ascii="Palatino Linotype" w:eastAsia="Palatino Linotype" w:hAnsi="Palatino Linotype" w:cs="Palatino Linotype"/>
          <w:i/>
          <w:color w:val="000000"/>
          <w:sz w:val="22"/>
          <w:szCs w:val="22"/>
        </w:rPr>
        <w:t xml:space="preserve">. Las Unidades de Transparencia tendrán las siguientes funciones: </w:t>
      </w:r>
    </w:p>
    <w:p w:rsidR="00E35B1C" w:rsidRPr="00F76A6A" w:rsidRDefault="00E35B1C">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w:t>
      </w:r>
      <w:r w:rsidRPr="00F76A6A">
        <w:rPr>
          <w:rFonts w:ascii="Palatino Linotype" w:eastAsia="Palatino Linotype" w:hAnsi="Palatino Linotype" w:cs="Palatino Linotype"/>
          <w:i/>
          <w:color w:val="000000"/>
          <w:sz w:val="22"/>
          <w:szCs w:val="22"/>
        </w:rPr>
        <w:lastRenderedPageBreak/>
        <w:t xml:space="preserve">las demás disposiciones de la materia, así como propiciar que las áreas la actualicen periódicamente conforme a la normatividad aplicable;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 xml:space="preserve">II. Recibir, tramitar y dar respuesta a las solicitudes de acceso a la información;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V. Entregar, en su caso, a los particulares la información solicitada;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VI. Efectuar las notificaciones a los solicitantes;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X. Presentar ante el Comité, el proyecto de clasificación de información;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XII. Fomentar la transparencia y accesibilidad al interior del sujeto obligado;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rsidR="00E35B1C" w:rsidRPr="00F76A6A" w:rsidRDefault="00497E4A">
      <w:pPr>
        <w:pBdr>
          <w:top w:val="nil"/>
          <w:left w:val="nil"/>
          <w:bottom w:val="nil"/>
          <w:right w:val="nil"/>
          <w:between w:val="nil"/>
        </w:pBdr>
        <w:tabs>
          <w:tab w:val="left" w:pos="426"/>
        </w:tabs>
        <w:spacing w:after="240"/>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De lo expuesto y con relación a lo solicitado, se tiene que, la Unidad de Transparencia es la encargada de recibir, tramitar y dar respuesta a las solicitudes de acceso a la información.</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En este sentido, se reitera que existió un pronunciamiento por parte del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por medio del </w:t>
      </w:r>
      <w:r w:rsidRPr="00F76A6A">
        <w:rPr>
          <w:rFonts w:ascii="Palatino Linotype" w:eastAsia="Palatino Linotype" w:hAnsi="Palatino Linotype" w:cs="Palatino Linotype"/>
          <w:b/>
          <w:color w:val="000000"/>
        </w:rPr>
        <w:t>Jefe del Departamento de Adquisiciones</w:t>
      </w:r>
      <w:r w:rsidRPr="00F76A6A">
        <w:rPr>
          <w:rFonts w:ascii="Palatino Linotype" w:eastAsia="Palatino Linotype" w:hAnsi="Palatino Linotype" w:cs="Palatino Linotype"/>
          <w:color w:val="000000"/>
        </w:rPr>
        <w:t>, Servidor Público Habilitado competente, quien de acuerdo a lo establecido en el Manual de Organización del Organismo Público Descentralizado para la Prestación de los Servicios de Agua Potable, Alcantarillado y Saneamiento del Municipio de Tlalnepantla, México; tiene como objetivo primordial optimizar los recursos materiales y financieros, a través de la planeación de las adquisiciones del Organismo; así como, planear y supervisar las funciones y actividades, para el logro eficaz del servicio, para ello cuenta con las siguientes atribuciones:</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Elaborar el programa anual de adquisiciones de bienes y servicios para su presentación ante el Comité de Adquisiciones; </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Ejecutar los procedimientos de licitación pública, invitación restringida y adjudicación directa, para la adquisición de bienes y servicios;</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Realizar y actualizar los estudios de mercado para la integración de presupuestos base, para la adquisición de bienes y servicios;</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Elaborar y actualizar el catálogo de proveedores de bienes y servicios del Organismo;</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Administrar, vigilar y controlar los almacenes del Organismo; y</w:t>
      </w:r>
    </w:p>
    <w:p w:rsidR="00E35B1C" w:rsidRPr="00F76A6A" w:rsidRDefault="00497E4A">
      <w:pPr>
        <w:numPr>
          <w:ilvl w:val="2"/>
          <w:numId w:val="1"/>
        </w:numPr>
        <w:pBdr>
          <w:top w:val="nil"/>
          <w:left w:val="nil"/>
          <w:bottom w:val="nil"/>
          <w:right w:val="nil"/>
          <w:between w:val="nil"/>
        </w:pBdr>
        <w:spacing w:line="276" w:lineRule="auto"/>
        <w:ind w:left="567" w:right="2" w:firstLine="11"/>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Las demás que le confieran otras disposiciones legales, y las que le encomiende la Coordinación de Recursos Humanos, Materiales y Servicios Generales</w:t>
      </w:r>
    </w:p>
    <w:p w:rsidR="00E35B1C" w:rsidRPr="00F76A6A" w:rsidRDefault="00E35B1C">
      <w:pPr>
        <w:spacing w:line="276" w:lineRule="auto"/>
        <w:ind w:right="-989"/>
        <w:jc w:val="both"/>
        <w:rPr>
          <w:rFonts w:ascii="Palatino Linotype" w:eastAsia="Palatino Linotype" w:hAnsi="Palatino Linotype" w:cs="Palatino Linotype"/>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Así, se presume que, al haber existido un pronunciamiento por parte del </w:t>
      </w:r>
      <w:r w:rsidRPr="00F76A6A">
        <w:rPr>
          <w:rFonts w:ascii="Palatino Linotype" w:eastAsia="Palatino Linotype" w:hAnsi="Palatino Linotype" w:cs="Palatino Linotype"/>
          <w:b/>
        </w:rPr>
        <w:t xml:space="preserve">SUJETO OBLIGADO </w:t>
      </w:r>
      <w:r w:rsidRPr="00F76A6A">
        <w:rPr>
          <w:rFonts w:ascii="Palatino Linotype" w:eastAsia="Palatino Linotype" w:hAnsi="Palatino Linotype" w:cs="Palatino Linotype"/>
        </w:rPr>
        <w:t xml:space="preserve">a través del informe justificado, y atender de manera puntual el requerimiento por medio del Servidor Público Habilitado competente, este Instituto no está facultado para </w:t>
      </w:r>
      <w:r w:rsidRPr="00F76A6A">
        <w:rPr>
          <w:rFonts w:ascii="Palatino Linotype" w:eastAsia="Palatino Linotype" w:hAnsi="Palatino Linotype" w:cs="Palatino Linotype"/>
        </w:rPr>
        <w:lastRenderedPageBreak/>
        <w:t>manifestarse sobre la veracidad, pues no existe precepto legal alguno en la Ley de la materia que lo faculte para que, vía recurso de revisión, pueda pronunciarse al respecto.</w:t>
      </w:r>
    </w:p>
    <w:p w:rsidR="00E35B1C" w:rsidRPr="00F76A6A" w:rsidRDefault="00E35B1C">
      <w:pPr>
        <w:spacing w:line="360" w:lineRule="auto"/>
        <w:ind w:left="360" w:right="-989"/>
        <w:jc w:val="both"/>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Así, este Pleno advierte que el </w:t>
      </w:r>
      <w:r w:rsidRPr="00F76A6A">
        <w:rPr>
          <w:rFonts w:ascii="Palatino Linotype" w:eastAsia="Palatino Linotype" w:hAnsi="Palatino Linotype" w:cs="Palatino Linotype"/>
          <w:b/>
          <w:color w:val="000000"/>
        </w:rPr>
        <w:t>SUJETO OBLIGADO</w:t>
      </w:r>
      <w:r w:rsidRPr="00F76A6A">
        <w:rPr>
          <w:rFonts w:ascii="Palatino Linotype" w:eastAsia="Palatino Linotype" w:hAnsi="Palatino Linotype" w:cs="Palatino Linotype"/>
          <w:color w:val="000000"/>
        </w:rPr>
        <w:t xml:space="preserve"> </w:t>
      </w:r>
      <w:r w:rsidRPr="00F76A6A">
        <w:rPr>
          <w:rFonts w:ascii="Palatino Linotype" w:eastAsia="Palatino Linotype" w:hAnsi="Palatino Linotype" w:cs="Palatino Linotype"/>
          <w:b/>
          <w:color w:val="000000"/>
        </w:rPr>
        <w:t xml:space="preserve">modificó </w:t>
      </w:r>
      <w:r w:rsidRPr="00F76A6A">
        <w:rPr>
          <w:rFonts w:ascii="Palatino Linotype" w:eastAsia="Palatino Linotype" w:hAnsi="Palatino Linotype" w:cs="Palatino Linotype"/>
          <w:color w:val="000000"/>
        </w:rPr>
        <w:t>el acto que le dio origen al recurso de revisión, lo que trae como consecuencia que el mismo quede sin materia, actualizándose de este modo, la hipótesis jurídica contenida en la fracción III del artículo 192 de la Ley de Transparencia Local.</w:t>
      </w:r>
    </w:p>
    <w:p w:rsidR="00200F19" w:rsidRPr="00F76A6A" w:rsidRDefault="00200F19" w:rsidP="00200F19">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como ya fue establecido, se dejan a salvo los derechos del </w:t>
      </w:r>
      <w:r w:rsidRPr="00F76A6A">
        <w:rPr>
          <w:rFonts w:ascii="Palatino Linotype" w:eastAsia="Palatino Linotype" w:hAnsi="Palatino Linotype" w:cs="Palatino Linotype"/>
          <w:b/>
          <w:color w:val="000000"/>
        </w:rPr>
        <w:t>RECURRENTE</w:t>
      </w:r>
      <w:r w:rsidRPr="00F76A6A">
        <w:rPr>
          <w:rFonts w:ascii="Palatino Linotype" w:eastAsia="Palatino Linotype" w:hAnsi="Palatino Linotype" w:cs="Palatino Linotype"/>
          <w:color w:val="000000"/>
        </w:rPr>
        <w:t xml:space="preserve"> para que pueda realizar la solicitud de información ante el Sujeto Obligado correspondiente.</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 xml:space="preserve">De este modo, cuando el </w:t>
      </w:r>
      <w:r w:rsidRPr="00F76A6A">
        <w:rPr>
          <w:rFonts w:ascii="Palatino Linotype" w:eastAsia="Palatino Linotype" w:hAnsi="Palatino Linotype" w:cs="Palatino Linotype"/>
          <w:b/>
          <w:color w:val="000000"/>
        </w:rPr>
        <w:t xml:space="preserve">SUJETO OBLIGADO, </w:t>
      </w:r>
      <w:r w:rsidRPr="00F76A6A">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F76A6A">
        <w:rPr>
          <w:rFonts w:ascii="Palatino Linotype" w:eastAsia="Palatino Linotype" w:hAnsi="Palatino Linotype" w:cs="Palatino Linotype"/>
          <w:i/>
          <w:color w:val="000000"/>
        </w:rPr>
        <w:t>litis</w:t>
      </w:r>
      <w:r w:rsidRPr="00F76A6A">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E35B1C" w:rsidRPr="00F76A6A" w:rsidRDefault="00E35B1C">
      <w:pPr>
        <w:ind w:right="-989"/>
        <w:rPr>
          <w:rFonts w:ascii="Palatino Linotype" w:eastAsia="Palatino Linotype" w:hAnsi="Palatino Linotype" w:cs="Palatino Linotype"/>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E35B1C" w:rsidRPr="00F76A6A" w:rsidRDefault="00497E4A">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F76A6A">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E35B1C" w:rsidRPr="00F76A6A" w:rsidRDefault="00E35B1C">
      <w:pPr>
        <w:tabs>
          <w:tab w:val="left" w:pos="426"/>
          <w:tab w:val="left" w:pos="567"/>
        </w:tabs>
        <w:ind w:right="-280"/>
        <w:jc w:val="both"/>
        <w:rPr>
          <w:rFonts w:ascii="Palatino Linotype" w:eastAsia="Palatino Linotype" w:hAnsi="Palatino Linotype" w:cs="Palatino Linotype"/>
          <w:sz w:val="22"/>
          <w:szCs w:val="22"/>
        </w:rPr>
      </w:pPr>
    </w:p>
    <w:p w:rsidR="00200F19" w:rsidRPr="00F76A6A" w:rsidRDefault="00200F19">
      <w:pPr>
        <w:tabs>
          <w:tab w:val="left" w:pos="426"/>
          <w:tab w:val="left" w:pos="567"/>
        </w:tabs>
        <w:ind w:right="-280"/>
        <w:jc w:val="both"/>
        <w:rPr>
          <w:rFonts w:ascii="Palatino Linotype" w:eastAsia="Palatino Linotype" w:hAnsi="Palatino Linotype" w:cs="Palatino Linotype"/>
          <w:sz w:val="22"/>
          <w:szCs w:val="22"/>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lastRenderedPageBreak/>
        <w:t>La anterior jurisprudencia resulta aplicable al presente asunto, en dos aspectos:</w:t>
      </w:r>
    </w:p>
    <w:p w:rsidR="00E35B1C" w:rsidRPr="00F76A6A" w:rsidRDefault="00497E4A">
      <w:pPr>
        <w:numPr>
          <w:ilvl w:val="0"/>
          <w:numId w:val="3"/>
        </w:numPr>
        <w:ind w:left="567" w:right="-280" w:firstLine="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La cesación de los efectos perniciosos del acto de autoridad:</w:t>
      </w:r>
      <w:r w:rsidRPr="00F76A6A">
        <w:rPr>
          <w:rFonts w:ascii="Palatino Linotype" w:eastAsia="Palatino Linotype" w:hAnsi="Palatino Linotype" w:cs="Palatino Linotype"/>
          <w:sz w:val="22"/>
          <w:szCs w:val="22"/>
        </w:rPr>
        <w:t xml:space="preserve"> Al respecto, la Ley de Transparencia contempla la figura jurídica del sobreseimiento cuando el </w:t>
      </w:r>
      <w:r w:rsidRPr="00F76A6A">
        <w:rPr>
          <w:rFonts w:ascii="Palatino Linotype" w:eastAsia="Palatino Linotype" w:hAnsi="Palatino Linotype" w:cs="Palatino Linotype"/>
          <w:b/>
          <w:sz w:val="22"/>
          <w:szCs w:val="22"/>
        </w:rPr>
        <w:t>SUJETO OBLIGADO</w:t>
      </w:r>
      <w:r w:rsidRPr="00F76A6A">
        <w:rPr>
          <w:rFonts w:ascii="Palatino Linotype" w:eastAsia="Palatino Linotype" w:hAnsi="Palatino Linotype" w:cs="Palatino Linotype"/>
          <w:sz w:val="22"/>
          <w:szCs w:val="22"/>
        </w:rPr>
        <w:t xml:space="preserve"> de </w:t>
      </w:r>
      <w:r w:rsidRPr="00F76A6A">
        <w:rPr>
          <w:rFonts w:ascii="Palatino Linotype" w:eastAsia="Palatino Linotype" w:hAnsi="Palatino Linotype" w:cs="Palatino Linotype"/>
          <w:i/>
          <w:sz w:val="22"/>
          <w:szCs w:val="22"/>
        </w:rPr>
        <w:t>motu proprio</w:t>
      </w:r>
      <w:r w:rsidRPr="00F76A6A">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E35B1C" w:rsidRPr="00F76A6A" w:rsidRDefault="00E35B1C">
      <w:pPr>
        <w:ind w:left="567" w:right="-280"/>
        <w:rPr>
          <w:rFonts w:ascii="Palatino Linotype" w:eastAsia="Palatino Linotype" w:hAnsi="Palatino Linotype" w:cs="Palatino Linotype"/>
          <w:sz w:val="22"/>
          <w:szCs w:val="22"/>
        </w:rPr>
      </w:pPr>
    </w:p>
    <w:p w:rsidR="00E35B1C" w:rsidRPr="00F76A6A" w:rsidRDefault="00497E4A">
      <w:pPr>
        <w:numPr>
          <w:ilvl w:val="0"/>
          <w:numId w:val="3"/>
        </w:numPr>
        <w:ind w:left="567" w:right="-280" w:firstLine="0"/>
        <w:jc w:val="both"/>
        <w:rPr>
          <w:rFonts w:ascii="Palatino Linotype" w:eastAsia="Palatino Linotype" w:hAnsi="Palatino Linotype" w:cs="Palatino Linotype"/>
          <w:sz w:val="22"/>
          <w:szCs w:val="22"/>
        </w:rPr>
      </w:pPr>
      <w:r w:rsidRPr="00F76A6A">
        <w:rPr>
          <w:rFonts w:ascii="Palatino Linotype" w:eastAsia="Palatino Linotype" w:hAnsi="Palatino Linotype" w:cs="Palatino Linotype"/>
          <w:b/>
          <w:sz w:val="22"/>
          <w:szCs w:val="22"/>
        </w:rPr>
        <w:t>El momento procesal para modificar el acto impugnado:</w:t>
      </w:r>
      <w:r w:rsidRPr="00F76A6A">
        <w:rPr>
          <w:rFonts w:ascii="Palatino Linotype" w:eastAsia="Palatino Linotype" w:hAnsi="Palatino Linotype" w:cs="Palatino Linotype"/>
          <w:sz w:val="22"/>
          <w:szCs w:val="22"/>
        </w:rPr>
        <w:t xml:space="preserve"> Para que se actualice el sobreseimiento de un recurso de revisión, el </w:t>
      </w:r>
      <w:r w:rsidRPr="00F76A6A">
        <w:rPr>
          <w:rFonts w:ascii="Palatino Linotype" w:eastAsia="Palatino Linotype" w:hAnsi="Palatino Linotype" w:cs="Palatino Linotype"/>
          <w:b/>
          <w:sz w:val="22"/>
          <w:szCs w:val="22"/>
        </w:rPr>
        <w:t>SUJETO OBLIGADO</w:t>
      </w:r>
      <w:r w:rsidRPr="00F76A6A">
        <w:rPr>
          <w:rFonts w:ascii="Palatino Linotype" w:eastAsia="Palatino Linotype" w:hAnsi="Palatino Linotype" w:cs="Palatino Linotype"/>
          <w:sz w:val="22"/>
          <w:szCs w:val="22"/>
        </w:rPr>
        <w:t xml:space="preserve"> puede entregar o completar la información al momento de rendir su informe de justificación o </w:t>
      </w:r>
      <w:r w:rsidRPr="00F76A6A">
        <w:rPr>
          <w:rFonts w:ascii="Palatino Linotype" w:eastAsia="Palatino Linotype" w:hAnsi="Palatino Linotype" w:cs="Palatino Linotype"/>
          <w:b/>
          <w:sz w:val="22"/>
          <w:szCs w:val="22"/>
          <w:u w:val="single"/>
        </w:rPr>
        <w:t>posteriormente</w:t>
      </w:r>
      <w:r w:rsidRPr="00F76A6A">
        <w:rPr>
          <w:rFonts w:ascii="Palatino Linotype" w:eastAsia="Palatino Linotype" w:hAnsi="Palatino Linotype" w:cs="Palatino Linotype"/>
          <w:sz w:val="22"/>
          <w:szCs w:val="22"/>
        </w:rPr>
        <w:t xml:space="preserve"> a éste, siempre y cuando el Pleno del Instituto no haya dictado resolución definitiva.</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Eduardo Pallares, en su artículo </w:t>
      </w:r>
      <w:r w:rsidRPr="00F76A6A">
        <w:rPr>
          <w:rFonts w:ascii="Palatino Linotype" w:eastAsia="Palatino Linotype" w:hAnsi="Palatino Linotype" w:cs="Palatino Linotype"/>
          <w:i/>
          <w:color w:val="000000"/>
        </w:rPr>
        <w:t>“La caducidad y el sobreseimiento en el amparo”</w:t>
      </w:r>
      <w:r w:rsidRPr="00F76A6A">
        <w:rPr>
          <w:rFonts w:ascii="Palatino Linotype" w:eastAsia="Palatino Linotype" w:hAnsi="Palatino Linotype" w:cs="Palatino Linotype"/>
          <w:color w:val="000000"/>
        </w:rPr>
        <w:t xml:space="preserve">, cita la definición de Aguilera Paz, aduciendo que se </w:t>
      </w:r>
      <w:r w:rsidRPr="00F76A6A">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F76A6A">
        <w:rPr>
          <w:rFonts w:ascii="Palatino Linotype" w:eastAsia="Palatino Linotype" w:hAnsi="Palatino Linotype" w:cs="Palatino Linotype"/>
          <w:color w:val="000000"/>
        </w:rPr>
        <w:t>. Asimismo, señala que existe el sobreseimiento provisional y el definitivo</w:t>
      </w:r>
      <w:r w:rsidRPr="00F76A6A">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F76A6A">
        <w:rPr>
          <w:rFonts w:ascii="Palatino Linotype" w:eastAsia="Palatino Linotype" w:hAnsi="Palatino Linotype" w:cs="Palatino Linotype"/>
          <w:b/>
          <w:color w:val="000000"/>
          <w:u w:val="single"/>
        </w:rPr>
        <w:t xml:space="preserve">sin que se entre al estudio de los agravios o motivos de inconformidad. </w:t>
      </w:r>
      <w:r w:rsidRPr="00F76A6A">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rsidR="00E35B1C" w:rsidRPr="00F76A6A" w:rsidRDefault="00497E4A">
      <w:pPr>
        <w:ind w:left="567" w:right="-280"/>
        <w:jc w:val="both"/>
        <w:rPr>
          <w:rFonts w:ascii="Palatino Linotype" w:eastAsia="Palatino Linotype" w:hAnsi="Palatino Linotype" w:cs="Palatino Linotype"/>
          <w:i/>
          <w:sz w:val="22"/>
          <w:szCs w:val="22"/>
        </w:rPr>
      </w:pPr>
      <w:r w:rsidRPr="00F76A6A">
        <w:rPr>
          <w:rFonts w:ascii="Palatino Linotype" w:eastAsia="Palatino Linotype" w:hAnsi="Palatino Linotype" w:cs="Palatino Linotype"/>
          <w:b/>
          <w:i/>
          <w:sz w:val="22"/>
          <w:szCs w:val="22"/>
        </w:rPr>
        <w:lastRenderedPageBreak/>
        <w:t>SOBRESEIMIENTO EN EL JUICIO DE AMPARO DIRECTO. IMPIDE EL ESTUDIO DE LAS VIOLACIONES PROCESALES PLANTEADAS EN LOS CONCEPTOS DE VIOLACIÓN. El sobreseimiento</w:t>
      </w:r>
      <w:r w:rsidRPr="00F76A6A">
        <w:rPr>
          <w:rFonts w:ascii="Palatino Linotype" w:eastAsia="Palatino Linotype" w:hAnsi="Palatino Linotype" w:cs="Palatino Linotype"/>
          <w:i/>
          <w:sz w:val="22"/>
          <w:szCs w:val="22"/>
        </w:rPr>
        <w:t xml:space="preserve"> en el juicio de amparo directo </w:t>
      </w:r>
      <w:r w:rsidRPr="00F76A6A">
        <w:rPr>
          <w:rFonts w:ascii="Palatino Linotype" w:eastAsia="Palatino Linotype" w:hAnsi="Palatino Linotype" w:cs="Palatino Linotype"/>
          <w:b/>
          <w:i/>
          <w:sz w:val="22"/>
          <w:szCs w:val="22"/>
        </w:rPr>
        <w:t>provoca la terminación de la controversia planteada</w:t>
      </w:r>
      <w:r w:rsidRPr="00F76A6A">
        <w:rPr>
          <w:rFonts w:ascii="Palatino Linotype" w:eastAsia="Palatino Linotype" w:hAnsi="Palatino Linotype" w:cs="Palatino Linotype"/>
          <w:i/>
          <w:sz w:val="22"/>
          <w:szCs w:val="22"/>
        </w:rPr>
        <w:t xml:space="preserve"> por el quejoso en la demanda de amparo</w:t>
      </w:r>
      <w:r w:rsidRPr="00F76A6A">
        <w:rPr>
          <w:rFonts w:ascii="Palatino Linotype" w:eastAsia="Palatino Linotype" w:hAnsi="Palatino Linotype" w:cs="Palatino Linotype"/>
          <w:b/>
          <w:i/>
          <w:sz w:val="22"/>
          <w:szCs w:val="22"/>
        </w:rPr>
        <w:t>, sin hacer un pronunciamiento de fondo sobre la legalidad o ilegalidad de la sentencia reclamada</w:t>
      </w:r>
      <w:r w:rsidRPr="00F76A6A">
        <w:rPr>
          <w:rFonts w:ascii="Palatino Linotype" w:eastAsia="Palatino Linotype" w:hAnsi="Palatino Linotype" w:cs="Palatino Linotype"/>
          <w:i/>
          <w:sz w:val="22"/>
          <w:szCs w:val="22"/>
        </w:rPr>
        <w:t xml:space="preserve">. </w:t>
      </w:r>
      <w:r w:rsidRPr="00F76A6A">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F76A6A">
        <w:rPr>
          <w:rFonts w:ascii="Palatino Linotype" w:eastAsia="Palatino Linotype" w:hAnsi="Palatino Linotype" w:cs="Palatino Linotype"/>
          <w:i/>
          <w:sz w:val="22"/>
          <w:szCs w:val="22"/>
        </w:rPr>
        <w:t>.</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keepNext/>
        <w:keepLines/>
        <w:spacing w:line="360" w:lineRule="auto"/>
        <w:ind w:right="-989"/>
        <w:rPr>
          <w:rFonts w:ascii="Palatino Linotype" w:eastAsia="Palatino Linotype" w:hAnsi="Palatino Linotype" w:cs="Palatino Linotype"/>
          <w:b/>
        </w:rPr>
      </w:pPr>
      <w:r w:rsidRPr="00F76A6A">
        <w:rPr>
          <w:rFonts w:ascii="Palatino Linotype" w:eastAsia="Palatino Linotype" w:hAnsi="Palatino Linotype" w:cs="Palatino Linotype"/>
          <w:b/>
        </w:rPr>
        <w:t>CUARTO. Vista a la Dirección de Protección de Datos Personales.</w:t>
      </w: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w:t>
      </w:r>
      <w:r w:rsidRPr="00F76A6A">
        <w:rPr>
          <w:rFonts w:ascii="Palatino Linotype" w:eastAsia="Palatino Linotype" w:hAnsi="Palatino Linotype" w:cs="Palatino Linotype"/>
          <w:b/>
        </w:rPr>
        <w:t>con el pronunciamiento realizado en respuesta a solicitud de información</w:t>
      </w:r>
      <w:r w:rsidRPr="00F76A6A">
        <w:rPr>
          <w:rFonts w:ascii="Palatino Linotype" w:eastAsia="Palatino Linotype" w:hAnsi="Palatino Linotype" w:cs="Palatino Linotype"/>
        </w:rPr>
        <w:t xml:space="preserve">, se aprecia que se vulneraron datos personales de un particular; por lo que, es necesario dar vista al área competente para que en ejercicio de sus atribuciones realice las investigaciones pertinentes por las omisiones detectadas atribuibles al </w:t>
      </w:r>
      <w:r w:rsidRPr="00F76A6A">
        <w:rPr>
          <w:rFonts w:ascii="Palatino Linotype" w:eastAsia="Palatino Linotype" w:hAnsi="Palatino Linotype" w:cs="Palatino Linotype"/>
          <w:b/>
        </w:rPr>
        <w:t>SUJETO OBLIGADO.</w:t>
      </w:r>
    </w:p>
    <w:p w:rsidR="00E35B1C" w:rsidRPr="00F76A6A" w:rsidRDefault="00E35B1C">
      <w:pPr>
        <w:spacing w:line="360" w:lineRule="auto"/>
        <w:ind w:right="-989"/>
        <w:jc w:val="both"/>
        <w:rPr>
          <w:rFonts w:ascii="Palatino Linotype" w:eastAsia="Palatino Linotype" w:hAnsi="Palatino Linotype" w:cs="Palatino Linotype"/>
          <w:i/>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lastRenderedPageBreak/>
        <w:t>Por ello, es conveniente señalar las fracciones XIV, XXII, XXIII y XXV, del artículo 82, de la Ley de Protección de Datos Personales en Posesión de Sujetos Obligados del Estado de México y Municipios, que establece:</w:t>
      </w:r>
    </w:p>
    <w:p w:rsidR="00E35B1C" w:rsidRPr="00F76A6A" w:rsidRDefault="00497E4A">
      <w:pPr>
        <w:pBdr>
          <w:top w:val="nil"/>
          <w:left w:val="nil"/>
          <w:bottom w:val="nil"/>
          <w:right w:val="nil"/>
          <w:between w:val="nil"/>
        </w:pBdr>
        <w:tabs>
          <w:tab w:val="left" w:pos="426"/>
        </w:tabs>
        <w:spacing w:before="240"/>
        <w:ind w:left="567" w:right="-280"/>
        <w:jc w:val="both"/>
        <w:rPr>
          <w:rFonts w:ascii="Palatino Linotype" w:eastAsia="Palatino Linotype" w:hAnsi="Palatino Linotype" w:cs="Palatino Linotype"/>
          <w:b/>
          <w:i/>
          <w:color w:val="000000"/>
          <w:sz w:val="22"/>
          <w:szCs w:val="22"/>
        </w:rPr>
      </w:pPr>
      <w:r w:rsidRPr="00F76A6A">
        <w:rPr>
          <w:rFonts w:ascii="Palatino Linotype" w:eastAsia="Palatino Linotype" w:hAnsi="Palatino Linotype" w:cs="Palatino Linotype"/>
          <w:b/>
          <w:i/>
          <w:color w:val="000000"/>
          <w:sz w:val="22"/>
          <w:szCs w:val="22"/>
        </w:rPr>
        <w:t xml:space="preserve">Atribuciones del Instituto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“Artículo 82.</w:t>
      </w:r>
      <w:r w:rsidRPr="00F76A6A">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XIV. Formular observaciones y recomendaciones</w:t>
      </w:r>
      <w:r w:rsidRPr="00F76A6A">
        <w:rPr>
          <w:rFonts w:ascii="Palatino Linotype" w:eastAsia="Palatino Linotype" w:hAnsi="Palatino Linotype" w:cs="Palatino Linotype"/>
          <w:i/>
          <w:color w:val="000000"/>
          <w:sz w:val="22"/>
          <w:szCs w:val="22"/>
        </w:rPr>
        <w:t xml:space="preserve"> a los sujetos obligados que incumplan esta Ley.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XXII. Verificar el cumplimiento</w:t>
      </w:r>
      <w:r w:rsidRPr="00F76A6A">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XXIII. Implementar los procedimientos</w:t>
      </w:r>
      <w:r w:rsidRPr="00F76A6A">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 </w:t>
      </w:r>
    </w:p>
    <w:p w:rsidR="00E35B1C" w:rsidRPr="00F76A6A" w:rsidRDefault="00497E4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b/>
          <w:i/>
          <w:color w:val="000000"/>
          <w:sz w:val="22"/>
          <w:szCs w:val="22"/>
        </w:rPr>
        <w:t>XXV. Investigar las posibles violaciones</w:t>
      </w:r>
      <w:r w:rsidRPr="00F76A6A">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rsidR="00E35B1C" w:rsidRPr="00F76A6A" w:rsidRDefault="00497E4A">
      <w:pPr>
        <w:pBdr>
          <w:top w:val="nil"/>
          <w:left w:val="nil"/>
          <w:bottom w:val="nil"/>
          <w:right w:val="nil"/>
          <w:between w:val="nil"/>
        </w:pBdr>
        <w:tabs>
          <w:tab w:val="left" w:pos="426"/>
        </w:tabs>
        <w:spacing w:after="240"/>
        <w:ind w:left="567" w:right="-280"/>
        <w:jc w:val="both"/>
        <w:rPr>
          <w:rFonts w:ascii="Palatino Linotype" w:eastAsia="Palatino Linotype" w:hAnsi="Palatino Linotype" w:cs="Palatino Linotype"/>
          <w:i/>
          <w:color w:val="000000"/>
          <w:sz w:val="22"/>
          <w:szCs w:val="22"/>
        </w:rPr>
      </w:pPr>
      <w:r w:rsidRPr="00F76A6A">
        <w:rPr>
          <w:rFonts w:ascii="Palatino Linotype" w:eastAsia="Palatino Linotype" w:hAnsi="Palatino Linotype" w:cs="Palatino Linotype"/>
          <w:i/>
          <w:color w:val="000000"/>
          <w:sz w:val="22"/>
          <w:szCs w:val="22"/>
        </w:rPr>
        <w:t xml:space="preserve">(…)” </w:t>
      </w:r>
    </w:p>
    <w:p w:rsidR="00E35B1C" w:rsidRPr="00F76A6A" w:rsidRDefault="00E35B1C">
      <w:pPr>
        <w:spacing w:line="360" w:lineRule="auto"/>
        <w:ind w:right="-989"/>
        <w:jc w:val="both"/>
        <w:rPr>
          <w:rFonts w:ascii="Palatino Linotype" w:eastAsia="Palatino Linotype" w:hAnsi="Palatino Linotype" w:cs="Palatino Linotype"/>
          <w:i/>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Por lo tanto, es menester dar vista a la Dirección de Protección de Datos Personales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rsidR="00E35B1C" w:rsidRPr="00F76A6A" w:rsidRDefault="00E35B1C">
      <w:pPr>
        <w:spacing w:line="360" w:lineRule="auto"/>
        <w:ind w:right="-989"/>
        <w:jc w:val="both"/>
        <w:rPr>
          <w:rFonts w:ascii="Palatino Linotype" w:eastAsia="Palatino Linotype" w:hAnsi="Palatino Linotype" w:cs="Palatino Linotype"/>
          <w:i/>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lastRenderedPageBreak/>
        <w:t xml:space="preserve">Por último y no menos importante, se debe enfatizar que tal y como se mencionó en este considerando, el </w:t>
      </w:r>
      <w:r w:rsidRPr="00F76A6A">
        <w:rPr>
          <w:rFonts w:ascii="Palatino Linotype" w:eastAsia="Palatino Linotype" w:hAnsi="Palatino Linotype" w:cs="Palatino Linotype"/>
          <w:b/>
        </w:rPr>
        <w:t>SUJETO OBLIGADO</w:t>
      </w:r>
      <w:r w:rsidRPr="00F76A6A">
        <w:rPr>
          <w:rFonts w:ascii="Palatino Linotype" w:eastAsia="Palatino Linotype" w:hAnsi="Palatino Linotype" w:cs="Palatino Linotype"/>
        </w:rPr>
        <w:t xml:space="preserve"> realizó un pronunciamiento que debió ser clasificado como confidencial. Por dicha información, es menester hacer del conocimiento de la persona que solicitó la información, que ahora se encuentra sujeto a la </w:t>
      </w:r>
      <w:r w:rsidRPr="00F76A6A">
        <w:rPr>
          <w:rFonts w:ascii="Palatino Linotype" w:eastAsia="Palatino Linotype" w:hAnsi="Palatino Linotype" w:cs="Palatino Linotype"/>
          <w:b/>
        </w:rPr>
        <w:t>LEY FEDERAL DE PROTECCIÓN DE DATOS PERSONALES EN POSESIÓN DE LOS PARTICULARES</w:t>
      </w:r>
      <w:r w:rsidRPr="00F76A6A">
        <w:rPr>
          <w:rFonts w:ascii="Palatino Linotype" w:eastAsia="Palatino Linotype" w:hAnsi="Palatino Linotype" w:cs="Palatino Linotype"/>
        </w:rPr>
        <w:t xml:space="preserve"> que señala puntualmente en su artículo lo siguiente: </w:t>
      </w:r>
    </w:p>
    <w:p w:rsidR="00E35B1C" w:rsidRPr="00F76A6A" w:rsidRDefault="00497E4A">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color w:val="000000"/>
          <w:sz w:val="22"/>
          <w:szCs w:val="22"/>
        </w:rPr>
      </w:pPr>
      <w:r w:rsidRPr="00F76A6A">
        <w:rPr>
          <w:rFonts w:ascii="Palatino Linotype" w:eastAsia="Palatino Linotype" w:hAnsi="Palatino Linotype" w:cs="Palatino Linotype"/>
          <w:b/>
          <w:i/>
          <w:color w:val="000000"/>
          <w:sz w:val="22"/>
          <w:szCs w:val="22"/>
        </w:rPr>
        <w:t>“Artículo 1.-</w:t>
      </w:r>
      <w:r w:rsidRPr="00F76A6A">
        <w:rPr>
          <w:rFonts w:ascii="Palatino Linotype" w:eastAsia="Palatino Linotype" w:hAnsi="Palatino Linotype" w:cs="Palatino Linotype"/>
          <w:i/>
          <w:color w:val="000000"/>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E35B1C" w:rsidRPr="00F76A6A" w:rsidRDefault="00E35B1C">
      <w:pPr>
        <w:pBdr>
          <w:top w:val="nil"/>
          <w:left w:val="nil"/>
          <w:bottom w:val="nil"/>
          <w:right w:val="nil"/>
          <w:between w:val="nil"/>
        </w:pBdr>
        <w:tabs>
          <w:tab w:val="left" w:pos="426"/>
          <w:tab w:val="left" w:pos="567"/>
        </w:tabs>
        <w:spacing w:line="360" w:lineRule="auto"/>
        <w:ind w:right="-989"/>
        <w:jc w:val="both"/>
        <w:rPr>
          <w:rFonts w:ascii="Palatino Linotype" w:eastAsia="Palatino Linotype" w:hAnsi="Palatino Linotype" w:cs="Palatino Linotype"/>
          <w:color w:val="000000"/>
        </w:rPr>
      </w:pPr>
    </w:p>
    <w:p w:rsidR="00E35B1C" w:rsidRPr="00F76A6A" w:rsidRDefault="00497E4A">
      <w:pPr>
        <w:keepNext/>
        <w:keepLines/>
        <w:spacing w:line="360" w:lineRule="auto"/>
        <w:ind w:right="-989"/>
        <w:rPr>
          <w:rFonts w:ascii="Palatino Linotype" w:eastAsia="Palatino Linotype" w:hAnsi="Palatino Linotype" w:cs="Palatino Linotype"/>
          <w:b/>
        </w:rPr>
      </w:pPr>
      <w:r w:rsidRPr="00F76A6A">
        <w:rPr>
          <w:rFonts w:ascii="Palatino Linotype" w:eastAsia="Palatino Linotype" w:hAnsi="Palatino Linotype" w:cs="Palatino Linotype"/>
          <w:b/>
        </w:rPr>
        <w:t>QUINTO. Decisión.</w:t>
      </w:r>
    </w:p>
    <w:p w:rsidR="00E35B1C" w:rsidRPr="00F76A6A" w:rsidRDefault="00497E4A">
      <w:pPr>
        <w:numPr>
          <w:ilvl w:val="0"/>
          <w:numId w:val="1"/>
        </w:numPr>
        <w:pBdr>
          <w:top w:val="nil"/>
          <w:left w:val="nil"/>
          <w:bottom w:val="nil"/>
          <w:right w:val="nil"/>
          <w:between w:val="nil"/>
        </w:pBdr>
        <w:tabs>
          <w:tab w:val="left" w:pos="426"/>
          <w:tab w:val="left" w:pos="567"/>
        </w:tabs>
        <w:spacing w:line="360" w:lineRule="auto"/>
        <w:ind w:left="0" w:right="-989" w:firstLine="0"/>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color w:val="000000"/>
        </w:rPr>
        <w:t xml:space="preserve">Bajo ese tenor y en términos del artículo 186 fracción I este Pleno determina el </w:t>
      </w:r>
      <w:r w:rsidRPr="00F76A6A">
        <w:rPr>
          <w:rFonts w:ascii="Palatino Linotype" w:eastAsia="Palatino Linotype" w:hAnsi="Palatino Linotype" w:cs="Palatino Linotype"/>
          <w:b/>
          <w:color w:val="000000"/>
        </w:rPr>
        <w:t xml:space="preserve">SOBRESEIMIENTO </w:t>
      </w:r>
      <w:r w:rsidRPr="00F76A6A">
        <w:rPr>
          <w:rFonts w:ascii="Palatino Linotype" w:eastAsia="Palatino Linotype" w:hAnsi="Palatino Linotype" w:cs="Palatino Linotype"/>
          <w:color w:val="000000"/>
        </w:rPr>
        <w:t>del presente recurso de revisión, toda vez que la afectación al derecho de acceso a la información pública establecido constitucionalmente a favor del Particular ha sido resarcida.</w:t>
      </w:r>
    </w:p>
    <w:p w:rsidR="00E35B1C" w:rsidRPr="00F76A6A" w:rsidRDefault="00E35B1C">
      <w:pPr>
        <w:spacing w:line="360" w:lineRule="auto"/>
        <w:ind w:right="-989"/>
        <w:jc w:val="both"/>
        <w:rPr>
          <w:rFonts w:ascii="Palatino Linotype" w:eastAsia="Palatino Linotype" w:hAnsi="Palatino Linotype" w:cs="Palatino Linotype"/>
        </w:rPr>
      </w:pPr>
    </w:p>
    <w:p w:rsidR="00E35B1C" w:rsidRPr="00F76A6A" w:rsidRDefault="00497E4A">
      <w:pPr>
        <w:numPr>
          <w:ilvl w:val="0"/>
          <w:numId w:val="1"/>
        </w:numPr>
        <w:spacing w:line="360" w:lineRule="auto"/>
        <w:ind w:left="0" w:right="-989" w:firstLine="0"/>
        <w:jc w:val="both"/>
        <w:rPr>
          <w:rFonts w:ascii="Palatino Linotype" w:eastAsia="Palatino Linotype" w:hAnsi="Palatino Linotype" w:cs="Palatino Linotype"/>
        </w:rPr>
      </w:pPr>
      <w:r w:rsidRPr="00F76A6A">
        <w:rPr>
          <w:rFonts w:ascii="Palatino Linotype" w:eastAsia="Palatino Linotype" w:hAnsi="Palatino Linotype" w:cs="Palatino Linotype"/>
        </w:rPr>
        <w:t xml:space="preserve">Por lo anteriormente expuesto y fundado, este </w:t>
      </w:r>
      <w:r w:rsidRPr="00F76A6A">
        <w:rPr>
          <w:rFonts w:ascii="Palatino Linotype" w:eastAsia="Palatino Linotype" w:hAnsi="Palatino Linotype" w:cs="Palatino Linotype"/>
          <w:b/>
        </w:rPr>
        <w:t>ÓRGANO GARANTE</w:t>
      </w:r>
      <w:r w:rsidRPr="00F76A6A">
        <w:rPr>
          <w:rFonts w:ascii="Palatino Linotype" w:eastAsia="Palatino Linotype" w:hAnsi="Palatino Linotype" w:cs="Palatino Linotype"/>
        </w:rPr>
        <w:t xml:space="preserve"> emite los siguientes:</w:t>
      </w:r>
    </w:p>
    <w:p w:rsidR="00E35B1C" w:rsidRPr="00F76A6A" w:rsidRDefault="00E35B1C">
      <w:pPr>
        <w:spacing w:line="360" w:lineRule="auto"/>
        <w:ind w:right="-989"/>
        <w:jc w:val="both"/>
        <w:rPr>
          <w:rFonts w:ascii="Palatino Linotype" w:eastAsia="Palatino Linotype" w:hAnsi="Palatino Linotype" w:cs="Palatino Linotype"/>
          <w:i/>
        </w:rPr>
      </w:pPr>
    </w:p>
    <w:p w:rsidR="00E35B1C" w:rsidRPr="00F76A6A" w:rsidRDefault="00497E4A">
      <w:pPr>
        <w:keepNext/>
        <w:keepLines/>
        <w:spacing w:line="360" w:lineRule="auto"/>
        <w:ind w:right="-989"/>
        <w:jc w:val="center"/>
        <w:rPr>
          <w:rFonts w:ascii="Palatino Linotype" w:eastAsia="Palatino Linotype" w:hAnsi="Palatino Linotype" w:cs="Palatino Linotype"/>
          <w:b/>
        </w:rPr>
      </w:pPr>
      <w:bookmarkStart w:id="9" w:name="_heading=h.3rdcrjn" w:colFirst="0" w:colLast="0"/>
      <w:bookmarkEnd w:id="9"/>
      <w:r w:rsidRPr="00F76A6A">
        <w:rPr>
          <w:rFonts w:ascii="Palatino Linotype" w:eastAsia="Palatino Linotype" w:hAnsi="Palatino Linotype" w:cs="Palatino Linotype"/>
          <w:b/>
        </w:rPr>
        <w:lastRenderedPageBreak/>
        <w:t>R E S O L U T I V O S</w:t>
      </w:r>
    </w:p>
    <w:p w:rsidR="00E35B1C" w:rsidRPr="00F76A6A" w:rsidRDefault="00E35B1C">
      <w:pPr>
        <w:keepNext/>
        <w:keepLines/>
        <w:spacing w:line="360" w:lineRule="auto"/>
        <w:ind w:right="-989"/>
        <w:jc w:val="center"/>
        <w:rPr>
          <w:rFonts w:ascii="Palatino Linotype" w:eastAsia="Palatino Linotype" w:hAnsi="Palatino Linotype" w:cs="Palatino Linotype"/>
          <w:b/>
        </w:rPr>
      </w:pPr>
    </w:p>
    <w:p w:rsidR="00E35B1C" w:rsidRPr="00F76A6A" w:rsidRDefault="00497E4A">
      <w:pPr>
        <w:spacing w:line="360" w:lineRule="auto"/>
        <w:ind w:right="-989"/>
        <w:jc w:val="both"/>
        <w:rPr>
          <w:rFonts w:ascii="Palatino Linotype" w:eastAsia="Palatino Linotype" w:hAnsi="Palatino Linotype" w:cs="Palatino Linotype"/>
          <w:b/>
        </w:rPr>
      </w:pPr>
      <w:bookmarkStart w:id="10" w:name="_heading=h.2s8eyo1" w:colFirst="0" w:colLast="0"/>
      <w:bookmarkEnd w:id="10"/>
      <w:r w:rsidRPr="00F76A6A">
        <w:rPr>
          <w:rFonts w:ascii="Palatino Linotype" w:eastAsia="Palatino Linotype" w:hAnsi="Palatino Linotype" w:cs="Palatino Linotype"/>
          <w:b/>
        </w:rPr>
        <w:t xml:space="preserve">PRIMERO. </w:t>
      </w:r>
      <w:r w:rsidRPr="00F76A6A">
        <w:rPr>
          <w:rFonts w:ascii="Palatino Linotype" w:eastAsia="Palatino Linotype" w:hAnsi="Palatino Linotype" w:cs="Palatino Linotype"/>
        </w:rPr>
        <w:t xml:space="preserve">Se </w:t>
      </w:r>
      <w:r w:rsidRPr="00F76A6A">
        <w:rPr>
          <w:rFonts w:ascii="Palatino Linotype" w:eastAsia="Palatino Linotype" w:hAnsi="Palatino Linotype" w:cs="Palatino Linotype"/>
          <w:b/>
        </w:rPr>
        <w:t>SOBRESEE</w:t>
      </w:r>
      <w:r w:rsidRPr="00F76A6A">
        <w:rPr>
          <w:rFonts w:ascii="Palatino Linotype" w:eastAsia="Palatino Linotype" w:hAnsi="Palatino Linotype" w:cs="Palatino Linotype"/>
        </w:rPr>
        <w:t xml:space="preserve"> el recurso de revisión número </w:t>
      </w:r>
      <w:r w:rsidRPr="00F76A6A">
        <w:rPr>
          <w:rFonts w:ascii="Palatino Linotype" w:eastAsia="Palatino Linotype" w:hAnsi="Palatino Linotype" w:cs="Palatino Linotype"/>
          <w:b/>
        </w:rPr>
        <w:t xml:space="preserve">03908/INFOEM/IP/RR/2024 </w:t>
      </w:r>
      <w:r w:rsidRPr="00F76A6A">
        <w:rPr>
          <w:rFonts w:ascii="Palatino Linotype" w:eastAsia="Palatino Linotype" w:hAnsi="Palatino Linotype" w:cs="Palatino Linotype"/>
        </w:rPr>
        <w:t>conform</w:t>
      </w:r>
      <w:r w:rsidR="00085490" w:rsidRPr="00F76A6A">
        <w:rPr>
          <w:rFonts w:ascii="Palatino Linotype" w:eastAsia="Palatino Linotype" w:hAnsi="Palatino Linotype" w:cs="Palatino Linotype"/>
        </w:rPr>
        <w:t>e al artículo 192,</w:t>
      </w:r>
      <w:r w:rsidR="00200F19" w:rsidRPr="00F76A6A">
        <w:rPr>
          <w:rFonts w:ascii="Palatino Linotype" w:eastAsia="Palatino Linotype" w:hAnsi="Palatino Linotype" w:cs="Palatino Linotype"/>
        </w:rPr>
        <w:t xml:space="preserve"> fracción III</w:t>
      </w:r>
      <w:r w:rsidR="00085490" w:rsidRPr="00F76A6A">
        <w:rPr>
          <w:rFonts w:ascii="Palatino Linotype" w:eastAsia="Palatino Linotype" w:hAnsi="Palatino Linotype" w:cs="Palatino Linotype"/>
        </w:rPr>
        <w:t>,</w:t>
      </w:r>
      <w:r w:rsidRPr="00F76A6A">
        <w:rPr>
          <w:rFonts w:ascii="Palatino Linotype" w:eastAsia="Palatino Linotype" w:hAnsi="Palatino Linotype" w:cs="Palatino Linotype"/>
        </w:rPr>
        <w:t xml:space="preserve"> de la Ley de Transparencia y Acceso a la Información Pública del Estado de México y Municipios, porque al </w:t>
      </w:r>
      <w:r w:rsidRPr="00F76A6A">
        <w:rPr>
          <w:rFonts w:ascii="Palatino Linotype" w:eastAsia="Palatino Linotype" w:hAnsi="Palatino Linotype" w:cs="Palatino Linotype"/>
          <w:b/>
        </w:rPr>
        <w:t>modificar la respuesta a través del informe justificado y atender lo solicitado</w:t>
      </w:r>
      <w:r w:rsidRPr="00F76A6A">
        <w:rPr>
          <w:rFonts w:ascii="Palatino Linotype" w:eastAsia="Palatino Linotype" w:hAnsi="Palatino Linotype" w:cs="Palatino Linotype"/>
        </w:rPr>
        <w:t xml:space="preserve">, el recurso de revisión quedó sin materia en términos del Considerando </w:t>
      </w:r>
      <w:r w:rsidRPr="00F76A6A">
        <w:rPr>
          <w:rFonts w:ascii="Palatino Linotype" w:eastAsia="Palatino Linotype" w:hAnsi="Palatino Linotype" w:cs="Palatino Linotype"/>
          <w:b/>
        </w:rPr>
        <w:t>TERCERO</w:t>
      </w:r>
      <w:r w:rsidRPr="00F76A6A">
        <w:rPr>
          <w:rFonts w:ascii="Palatino Linotype" w:eastAsia="Palatino Linotype" w:hAnsi="Palatino Linotype" w:cs="Palatino Linotype"/>
        </w:rPr>
        <w:t xml:space="preserve"> de la presente resolución.</w:t>
      </w:r>
    </w:p>
    <w:p w:rsidR="00E35B1C" w:rsidRPr="00F76A6A" w:rsidRDefault="00E35B1C">
      <w:pPr>
        <w:spacing w:line="360" w:lineRule="auto"/>
        <w:ind w:right="-989"/>
        <w:jc w:val="both"/>
        <w:rPr>
          <w:rFonts w:ascii="Palatino Linotype" w:eastAsia="Palatino Linotype" w:hAnsi="Palatino Linotype" w:cs="Palatino Linotype"/>
          <w:b/>
        </w:rPr>
      </w:pPr>
    </w:p>
    <w:p w:rsidR="00E35B1C" w:rsidRPr="00F76A6A" w:rsidRDefault="00085490">
      <w:pPr>
        <w:pBdr>
          <w:top w:val="nil"/>
          <w:left w:val="nil"/>
          <w:bottom w:val="nil"/>
          <w:right w:val="nil"/>
          <w:between w:val="nil"/>
        </w:pBdr>
        <w:spacing w:line="360" w:lineRule="auto"/>
        <w:ind w:right="-989"/>
        <w:jc w:val="both"/>
        <w:rPr>
          <w:rFonts w:ascii="Palatino Linotype" w:eastAsia="Palatino Linotype" w:hAnsi="Palatino Linotype" w:cs="Palatino Linotype"/>
          <w:b/>
          <w:color w:val="000000"/>
        </w:rPr>
      </w:pPr>
      <w:r w:rsidRPr="00F76A6A">
        <w:rPr>
          <w:rFonts w:ascii="Palatino Linotype" w:eastAsia="Palatino Linotype" w:hAnsi="Palatino Linotype" w:cs="Palatino Linotype"/>
          <w:b/>
          <w:color w:val="000000"/>
        </w:rPr>
        <w:t>SEGUNDO. Notifíquese</w:t>
      </w:r>
      <w:r w:rsidR="00497E4A" w:rsidRPr="00F76A6A">
        <w:rPr>
          <w:rFonts w:ascii="Palatino Linotype" w:eastAsia="Palatino Linotype" w:hAnsi="Palatino Linotype" w:cs="Palatino Linotype"/>
          <w:b/>
          <w:color w:val="000000"/>
        </w:rPr>
        <w:t xml:space="preserve"> </w:t>
      </w:r>
      <w:r w:rsidR="00497E4A" w:rsidRPr="00F76A6A">
        <w:rPr>
          <w:rFonts w:ascii="Palatino Linotype" w:eastAsia="Palatino Linotype" w:hAnsi="Palatino Linotype" w:cs="Palatino Linotype"/>
          <w:color w:val="000000"/>
        </w:rPr>
        <w:t xml:space="preserve">a través del Sistema de Acceso a la Información Mexiquense </w:t>
      </w:r>
      <w:r w:rsidR="00497E4A" w:rsidRPr="00F76A6A">
        <w:rPr>
          <w:rFonts w:ascii="Palatino Linotype" w:eastAsia="Palatino Linotype" w:hAnsi="Palatino Linotype" w:cs="Palatino Linotype"/>
          <w:b/>
          <w:color w:val="000000"/>
        </w:rPr>
        <w:t xml:space="preserve">(SAIMEX) </w:t>
      </w:r>
      <w:r w:rsidR="00497E4A" w:rsidRPr="00F76A6A">
        <w:rPr>
          <w:rFonts w:ascii="Palatino Linotype" w:eastAsia="Palatino Linotype" w:hAnsi="Palatino Linotype" w:cs="Palatino Linotype"/>
          <w:color w:val="000000"/>
        </w:rPr>
        <w:t>la presente resolución al Titular de la Unidad de Transparencia del</w:t>
      </w:r>
      <w:r w:rsidR="00497E4A" w:rsidRPr="00F76A6A">
        <w:rPr>
          <w:rFonts w:ascii="Palatino Linotype" w:eastAsia="Palatino Linotype" w:hAnsi="Palatino Linotype" w:cs="Palatino Linotype"/>
          <w:b/>
          <w:color w:val="000000"/>
        </w:rPr>
        <w:t xml:space="preserve"> SUJETO OBLIGADO.</w:t>
      </w:r>
    </w:p>
    <w:p w:rsidR="00E35B1C" w:rsidRPr="00F76A6A" w:rsidRDefault="00E35B1C">
      <w:pPr>
        <w:pBdr>
          <w:top w:val="nil"/>
          <w:left w:val="nil"/>
          <w:bottom w:val="nil"/>
          <w:right w:val="nil"/>
          <w:between w:val="nil"/>
        </w:pBdr>
        <w:spacing w:line="360" w:lineRule="auto"/>
        <w:ind w:right="-989"/>
        <w:jc w:val="both"/>
        <w:rPr>
          <w:rFonts w:ascii="Palatino Linotype" w:eastAsia="Palatino Linotype" w:hAnsi="Palatino Linotype" w:cs="Palatino Linotype"/>
          <w:color w:val="000000"/>
        </w:rPr>
      </w:pPr>
    </w:p>
    <w:p w:rsidR="00E35B1C" w:rsidRPr="00F76A6A" w:rsidRDefault="00497E4A">
      <w:pPr>
        <w:tabs>
          <w:tab w:val="left" w:pos="8080"/>
        </w:tabs>
        <w:spacing w:line="360" w:lineRule="auto"/>
        <w:ind w:right="-989"/>
        <w:jc w:val="both"/>
        <w:rPr>
          <w:rFonts w:ascii="Palatino Linotype" w:eastAsia="Palatino Linotype" w:hAnsi="Palatino Linotype" w:cs="Palatino Linotype"/>
          <w:b/>
        </w:rPr>
      </w:pPr>
      <w:r w:rsidRPr="00F76A6A">
        <w:rPr>
          <w:rFonts w:ascii="Palatino Linotype" w:eastAsia="Palatino Linotype" w:hAnsi="Palatino Linotype" w:cs="Palatino Linotype"/>
          <w:b/>
        </w:rPr>
        <w:t xml:space="preserve">TERCERO. Notifíquese </w:t>
      </w:r>
      <w:r w:rsidRPr="00F76A6A">
        <w:rPr>
          <w:rFonts w:ascii="Palatino Linotype" w:eastAsia="Palatino Linotype" w:hAnsi="Palatino Linotype" w:cs="Palatino Linotype"/>
        </w:rPr>
        <w:t>a</w:t>
      </w:r>
      <w:r w:rsidRPr="00F76A6A">
        <w:rPr>
          <w:rFonts w:ascii="Palatino Linotype" w:eastAsia="Palatino Linotype" w:hAnsi="Palatino Linotype" w:cs="Palatino Linotype"/>
          <w:b/>
        </w:rPr>
        <w:t xml:space="preserve"> </w:t>
      </w:r>
      <w:r w:rsidRPr="00F76A6A">
        <w:rPr>
          <w:rFonts w:ascii="Palatino Linotype" w:eastAsia="Palatino Linotype" w:hAnsi="Palatino Linotype" w:cs="Palatino Linotype"/>
        </w:rPr>
        <w:t xml:space="preserve">la </w:t>
      </w:r>
      <w:r w:rsidRPr="00F76A6A">
        <w:rPr>
          <w:rFonts w:ascii="Palatino Linotype" w:eastAsia="Palatino Linotype" w:hAnsi="Palatino Linotype" w:cs="Palatino Linotype"/>
          <w:b/>
        </w:rPr>
        <w:t>RECURRENTE</w:t>
      </w:r>
      <w:r w:rsidRPr="00F76A6A">
        <w:rPr>
          <w:rFonts w:ascii="Palatino Linotype" w:eastAsia="Palatino Linotype" w:hAnsi="Palatino Linotype" w:cs="Palatino Linotype"/>
        </w:rPr>
        <w:t xml:space="preserve"> la presente resolución a través del Sistema de Acceso a la Información Mexiquense </w:t>
      </w:r>
      <w:r w:rsidRPr="00F76A6A">
        <w:rPr>
          <w:rFonts w:ascii="Palatino Linotype" w:eastAsia="Palatino Linotype" w:hAnsi="Palatino Linotype" w:cs="Palatino Linotype"/>
          <w:b/>
        </w:rPr>
        <w:t>(SAIMEX).</w:t>
      </w:r>
    </w:p>
    <w:p w:rsidR="00E35B1C" w:rsidRPr="00F76A6A" w:rsidRDefault="00E35B1C">
      <w:pPr>
        <w:tabs>
          <w:tab w:val="left" w:pos="8080"/>
        </w:tabs>
        <w:spacing w:line="360" w:lineRule="auto"/>
        <w:ind w:right="-989"/>
        <w:jc w:val="both"/>
        <w:rPr>
          <w:rFonts w:ascii="Palatino Linotype" w:eastAsia="Palatino Linotype" w:hAnsi="Palatino Linotype" w:cs="Palatino Linotype"/>
          <w:b/>
        </w:rPr>
      </w:pPr>
    </w:p>
    <w:p w:rsidR="00E35B1C" w:rsidRPr="00F76A6A" w:rsidRDefault="00497E4A">
      <w:pPr>
        <w:pBdr>
          <w:top w:val="nil"/>
          <w:left w:val="nil"/>
          <w:bottom w:val="nil"/>
          <w:right w:val="nil"/>
          <w:between w:val="nil"/>
        </w:pBdr>
        <w:spacing w:line="360" w:lineRule="auto"/>
        <w:ind w:right="-989"/>
        <w:jc w:val="both"/>
        <w:rPr>
          <w:rFonts w:ascii="Palatino Linotype" w:eastAsia="Palatino Linotype" w:hAnsi="Palatino Linotype" w:cs="Palatino Linotype"/>
          <w:color w:val="000000"/>
        </w:rPr>
      </w:pPr>
      <w:r w:rsidRPr="00F76A6A">
        <w:rPr>
          <w:rFonts w:ascii="Palatino Linotype" w:eastAsia="Palatino Linotype" w:hAnsi="Palatino Linotype" w:cs="Palatino Linotype"/>
          <w:b/>
          <w:color w:val="000000"/>
        </w:rPr>
        <w:t xml:space="preserve">CUARTO. </w:t>
      </w:r>
      <w:r w:rsidRPr="00F76A6A">
        <w:rPr>
          <w:rFonts w:ascii="Palatino Linotype" w:eastAsia="Palatino Linotype" w:hAnsi="Palatino Linotype" w:cs="Palatino Linotype"/>
          <w:color w:val="000000"/>
        </w:rPr>
        <w:t xml:space="preserve">Se hace del conocimiento de la </w:t>
      </w:r>
      <w:r w:rsidRPr="00F76A6A">
        <w:rPr>
          <w:rFonts w:ascii="Palatino Linotype" w:eastAsia="Palatino Linotype" w:hAnsi="Palatino Linotype" w:cs="Palatino Linotype"/>
          <w:b/>
          <w:color w:val="000000"/>
        </w:rPr>
        <w:t>RECURRENTE</w:t>
      </w:r>
      <w:r w:rsidRPr="00F76A6A">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F76A6A">
        <w:rPr>
          <w:rFonts w:ascii="Palatino Linotype" w:eastAsia="Palatino Linotype" w:hAnsi="Palatino Linotype" w:cs="Palatino Linotype"/>
        </w:rPr>
        <w:t>impugnar vía</w:t>
      </w:r>
      <w:r w:rsidRPr="00F76A6A">
        <w:rPr>
          <w:rFonts w:ascii="Palatino Linotype" w:eastAsia="Palatino Linotype" w:hAnsi="Palatino Linotype" w:cs="Palatino Linotype"/>
          <w:color w:val="000000"/>
        </w:rPr>
        <w:t xml:space="preserve"> juicio de amparo en los términos de las leyes aplicables.</w:t>
      </w:r>
    </w:p>
    <w:p w:rsidR="00E35B1C" w:rsidRPr="00F76A6A" w:rsidRDefault="00E35B1C">
      <w:pPr>
        <w:pBdr>
          <w:top w:val="nil"/>
          <w:left w:val="nil"/>
          <w:bottom w:val="nil"/>
          <w:right w:val="nil"/>
          <w:between w:val="nil"/>
        </w:pBdr>
        <w:spacing w:line="360" w:lineRule="auto"/>
        <w:ind w:right="-989"/>
        <w:jc w:val="both"/>
        <w:rPr>
          <w:rFonts w:ascii="Palatino Linotype" w:eastAsia="Palatino Linotype" w:hAnsi="Palatino Linotype" w:cs="Palatino Linotype"/>
          <w:color w:val="000000"/>
        </w:rPr>
      </w:pPr>
    </w:p>
    <w:p w:rsidR="00E35B1C" w:rsidRPr="00F76A6A" w:rsidRDefault="00497E4A">
      <w:pPr>
        <w:spacing w:line="360" w:lineRule="auto"/>
        <w:ind w:right="-989"/>
        <w:jc w:val="both"/>
        <w:rPr>
          <w:rFonts w:ascii="Palatino Linotype" w:eastAsia="Palatino Linotype" w:hAnsi="Palatino Linotype" w:cs="Palatino Linotype"/>
        </w:rPr>
      </w:pPr>
      <w:r w:rsidRPr="00F76A6A">
        <w:rPr>
          <w:rFonts w:ascii="Palatino Linotype" w:eastAsia="Palatino Linotype" w:hAnsi="Palatino Linotype" w:cs="Palatino Linotype"/>
          <w:b/>
        </w:rPr>
        <w:lastRenderedPageBreak/>
        <w:t>QUINTO. Gírese</w:t>
      </w:r>
      <w:r w:rsidRPr="00F76A6A">
        <w:rPr>
          <w:rFonts w:ascii="Palatino Linotype" w:eastAsia="Palatino Linotype" w:hAnsi="Palatino Linotype" w:cs="Palatino Linotype"/>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F76A6A">
        <w:rPr>
          <w:rFonts w:ascii="Palatino Linotype" w:eastAsia="Palatino Linotype" w:hAnsi="Palatino Linotype" w:cs="Palatino Linotype"/>
          <w:b/>
        </w:rPr>
        <w:t>Considerando QUINTO</w:t>
      </w:r>
      <w:r w:rsidRPr="00F76A6A">
        <w:rPr>
          <w:rFonts w:ascii="Palatino Linotype" w:eastAsia="Palatino Linotype" w:hAnsi="Palatino Linotype" w:cs="Palatino Linotype"/>
        </w:rPr>
        <w:t xml:space="preserve"> de la presente resolución.</w:t>
      </w:r>
    </w:p>
    <w:p w:rsidR="00085490" w:rsidRPr="00F76A6A" w:rsidRDefault="00085490">
      <w:pPr>
        <w:spacing w:line="360" w:lineRule="auto"/>
        <w:ind w:right="-989"/>
        <w:jc w:val="both"/>
        <w:rPr>
          <w:rFonts w:ascii="Palatino Linotype" w:eastAsia="Palatino Linotype" w:hAnsi="Palatino Linotype" w:cs="Palatino Linotype"/>
        </w:rPr>
      </w:pPr>
    </w:p>
    <w:p w:rsidR="00085490" w:rsidRPr="003C7186" w:rsidRDefault="00085490" w:rsidP="00085490">
      <w:pPr>
        <w:spacing w:line="360" w:lineRule="auto"/>
        <w:ind w:left="-142" w:right="-994" w:firstLine="1"/>
        <w:jc w:val="both"/>
        <w:rPr>
          <w:rFonts w:ascii="Palatino Linotype" w:hAnsi="Palatino Linotype"/>
        </w:rPr>
      </w:pPr>
      <w:r w:rsidRPr="00F76A6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bookmarkStart w:id="11" w:name="_GoBack"/>
      <w:bookmarkEnd w:id="11"/>
      <w:r w:rsidRPr="003C7186">
        <w:rPr>
          <w:rFonts w:ascii="Palatino Linotype" w:hAnsi="Palatino Linotype"/>
        </w:rPr>
        <w:t xml:space="preserve"> </w:t>
      </w: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before="240" w:after="240" w:line="360" w:lineRule="auto"/>
        <w:ind w:right="-989"/>
        <w:jc w:val="both"/>
        <w:rPr>
          <w:rFonts w:ascii="Palatino Linotype" w:eastAsia="Palatino Linotype" w:hAnsi="Palatino Linotype" w:cs="Palatino Linotype"/>
        </w:rPr>
      </w:pPr>
    </w:p>
    <w:p w:rsidR="00E35B1C" w:rsidRDefault="00E35B1C">
      <w:pPr>
        <w:spacing w:line="360" w:lineRule="auto"/>
        <w:ind w:right="-989"/>
        <w:rPr>
          <w:rFonts w:ascii="Palatino Linotype" w:eastAsia="Palatino Linotype" w:hAnsi="Palatino Linotype" w:cs="Palatino Linotype"/>
        </w:rPr>
      </w:pPr>
    </w:p>
    <w:p w:rsidR="00E35B1C" w:rsidRDefault="00E35B1C">
      <w:pPr>
        <w:spacing w:line="360" w:lineRule="auto"/>
        <w:ind w:right="-989"/>
        <w:jc w:val="both"/>
        <w:rPr>
          <w:rFonts w:ascii="Palatino Linotype" w:eastAsia="Palatino Linotype" w:hAnsi="Palatino Linotype" w:cs="Palatino Linotype"/>
        </w:rPr>
      </w:pPr>
    </w:p>
    <w:p w:rsidR="00E35B1C" w:rsidRDefault="00E35B1C">
      <w:pPr>
        <w:spacing w:line="360" w:lineRule="auto"/>
        <w:ind w:right="-989"/>
        <w:jc w:val="both"/>
        <w:rPr>
          <w:rFonts w:ascii="Palatino Linotype" w:eastAsia="Palatino Linotype" w:hAnsi="Palatino Linotype" w:cs="Palatino Linotype"/>
        </w:rPr>
      </w:pPr>
    </w:p>
    <w:p w:rsidR="00E35B1C" w:rsidRDefault="00E35B1C">
      <w:pPr>
        <w:spacing w:line="360" w:lineRule="auto"/>
        <w:ind w:right="-989"/>
        <w:jc w:val="both"/>
        <w:rPr>
          <w:rFonts w:ascii="Palatino Linotype" w:eastAsia="Palatino Linotype" w:hAnsi="Palatino Linotype" w:cs="Palatino Linotype"/>
        </w:rPr>
      </w:pPr>
    </w:p>
    <w:p w:rsidR="00E35B1C" w:rsidRDefault="00E35B1C">
      <w:pPr>
        <w:spacing w:line="360" w:lineRule="auto"/>
        <w:ind w:right="-989"/>
        <w:jc w:val="both"/>
        <w:rPr>
          <w:rFonts w:ascii="Palatino Linotype" w:eastAsia="Palatino Linotype" w:hAnsi="Palatino Linotype" w:cs="Palatino Linotype"/>
        </w:rPr>
      </w:pPr>
    </w:p>
    <w:p w:rsidR="00E35B1C" w:rsidRDefault="00E35B1C">
      <w:pPr>
        <w:ind w:right="-989"/>
        <w:rPr>
          <w:rFonts w:ascii="Palatino Linotype" w:eastAsia="Palatino Linotype" w:hAnsi="Palatino Linotype" w:cs="Palatino Linotype"/>
        </w:rPr>
      </w:pPr>
    </w:p>
    <w:sectPr w:rsidR="00E35B1C">
      <w:headerReference w:type="default" r:id="rId9"/>
      <w:footerReference w:type="default" r:id="rId10"/>
      <w:headerReference w:type="first" r:id="rId11"/>
      <w:footerReference w:type="first" r:id="rId12"/>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73" w:rsidRDefault="008E1F73">
      <w:r>
        <w:separator/>
      </w:r>
    </w:p>
  </w:endnote>
  <w:endnote w:type="continuationSeparator" w:id="0">
    <w:p w:rsidR="008E1F73" w:rsidRDefault="008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1C" w:rsidRDefault="00497E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76A6A">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76A6A">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rsidR="00E35B1C" w:rsidRDefault="00E35B1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1C" w:rsidRDefault="00497E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76A6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76A6A">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p>
  <w:p w:rsidR="00E35B1C" w:rsidRDefault="00E35B1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73" w:rsidRDefault="008E1F73">
      <w:r>
        <w:separator/>
      </w:r>
    </w:p>
  </w:footnote>
  <w:footnote w:type="continuationSeparator" w:id="0">
    <w:p w:rsidR="008E1F73" w:rsidRDefault="008E1F73">
      <w:r>
        <w:continuationSeparator/>
      </w:r>
    </w:p>
  </w:footnote>
  <w:footnote w:id="1">
    <w:p w:rsidR="00E35B1C" w:rsidRDefault="00497E4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E35B1C" w:rsidRDefault="00497E4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E35B1C" w:rsidRDefault="00497E4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E35B1C" w:rsidRDefault="00497E4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8490"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0"/>
      <w:gridCol w:w="4950"/>
    </w:tblGrid>
    <w:tr w:rsidR="00E35B1C">
      <w:trPr>
        <w:trHeight w:val="138"/>
      </w:trPr>
      <w:tc>
        <w:tcPr>
          <w:tcW w:w="3540" w:type="dxa"/>
          <w:vAlign w:val="center"/>
        </w:tcPr>
        <w:p w:rsidR="00E35B1C" w:rsidRDefault="00200F19" w:rsidP="00200F1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w:t>
          </w:r>
          <w:r w:rsidR="00497E4A">
            <w:rPr>
              <w:rFonts w:ascii="Palatino Linotype" w:eastAsia="Palatino Linotype" w:hAnsi="Palatino Linotype" w:cs="Palatino Linotype"/>
              <w:b/>
              <w:sz w:val="22"/>
              <w:szCs w:val="22"/>
            </w:rPr>
            <w:t>CURSO DE REVISIÓN:</w:t>
          </w:r>
        </w:p>
      </w:tc>
      <w:tc>
        <w:tcPr>
          <w:tcW w:w="4950" w:type="dxa"/>
          <w:vAlign w:val="center"/>
        </w:tcPr>
        <w:p w:rsidR="00E35B1C" w:rsidRDefault="00497E4A">
          <w:pPr>
            <w:pBdr>
              <w:top w:val="nil"/>
              <w:left w:val="nil"/>
              <w:bottom w:val="nil"/>
              <w:right w:val="nil"/>
              <w:between w:val="nil"/>
            </w:pBdr>
            <w:tabs>
              <w:tab w:val="center" w:pos="4252"/>
              <w:tab w:val="right" w:pos="8504"/>
            </w:tabs>
            <w:ind w:right="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03908/INFOEM/IP/RR/2024</w:t>
          </w:r>
        </w:p>
      </w:tc>
    </w:tr>
    <w:tr w:rsidR="00E35B1C">
      <w:trPr>
        <w:trHeight w:val="233"/>
      </w:trPr>
      <w:tc>
        <w:tcPr>
          <w:tcW w:w="3540" w:type="dxa"/>
          <w:vAlign w:val="center"/>
        </w:tcPr>
        <w:p w:rsidR="00E35B1C" w:rsidRDefault="00497E4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50" w:type="dxa"/>
          <w:vAlign w:val="center"/>
        </w:tcPr>
        <w:p w:rsidR="00E35B1C" w:rsidRDefault="00497E4A">
          <w:pPr>
            <w:pBdr>
              <w:top w:val="nil"/>
              <w:left w:val="nil"/>
              <w:bottom w:val="nil"/>
              <w:right w:val="nil"/>
              <w:between w:val="nil"/>
            </w:pBdr>
            <w:tabs>
              <w:tab w:val="center" w:pos="4252"/>
              <w:tab w:val="right" w:pos="8504"/>
            </w:tabs>
            <w:ind w:right="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Tlalnepantla de Baz</w:t>
          </w:r>
        </w:p>
      </w:tc>
    </w:tr>
    <w:tr w:rsidR="00E35B1C">
      <w:trPr>
        <w:trHeight w:val="321"/>
      </w:trPr>
      <w:tc>
        <w:tcPr>
          <w:tcW w:w="3540" w:type="dxa"/>
          <w:vAlign w:val="center"/>
        </w:tcPr>
        <w:p w:rsidR="00E35B1C" w:rsidRDefault="00497E4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50" w:type="dxa"/>
          <w:vAlign w:val="center"/>
        </w:tcPr>
        <w:p w:rsidR="00E35B1C" w:rsidRDefault="00497E4A">
          <w:pPr>
            <w:pBdr>
              <w:top w:val="nil"/>
              <w:left w:val="nil"/>
              <w:bottom w:val="nil"/>
              <w:right w:val="nil"/>
              <w:between w:val="nil"/>
            </w:pBdr>
            <w:tabs>
              <w:tab w:val="center" w:pos="4252"/>
              <w:tab w:val="right" w:pos="8504"/>
            </w:tabs>
            <w:ind w:right="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35B1C" w:rsidRDefault="00200F19">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14:editId="0B3215F9">
          <wp:simplePos x="0" y="0"/>
          <wp:positionH relativeFrom="margin">
            <wp:posOffset>-1101031</wp:posOffset>
          </wp:positionH>
          <wp:positionV relativeFrom="page">
            <wp:align>top</wp:align>
          </wp:positionV>
          <wp:extent cx="7490460" cy="9753600"/>
          <wp:effectExtent l="0" t="0" r="0" b="0"/>
          <wp:wrapNone/>
          <wp:docPr id="2"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sidR="00497E4A">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160"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55"/>
      <w:gridCol w:w="4905"/>
    </w:tblGrid>
    <w:tr w:rsidR="00E35B1C">
      <w:trPr>
        <w:trHeight w:val="138"/>
      </w:trPr>
      <w:tc>
        <w:tcPr>
          <w:tcW w:w="3255" w:type="dxa"/>
          <w:shd w:val="clear" w:color="auto" w:fill="auto"/>
          <w:vAlign w:val="center"/>
        </w:tcPr>
        <w:p w:rsidR="00E35B1C" w:rsidRDefault="00497E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05" w:type="dxa"/>
          <w:shd w:val="clear" w:color="auto" w:fill="auto"/>
          <w:vAlign w:val="center"/>
        </w:tcPr>
        <w:p w:rsidR="00E35B1C" w:rsidRDefault="00497E4A">
          <w:pPr>
            <w:pBdr>
              <w:top w:val="nil"/>
              <w:left w:val="nil"/>
              <w:bottom w:val="nil"/>
              <w:right w:val="nil"/>
              <w:between w:val="nil"/>
            </w:pBdr>
            <w:tabs>
              <w:tab w:val="center" w:pos="4252"/>
              <w:tab w:val="right" w:pos="8504"/>
            </w:tabs>
            <w:ind w:right="1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03908/INFOEM/IP/RR/2024</w:t>
          </w:r>
        </w:p>
      </w:tc>
    </w:tr>
    <w:tr w:rsidR="00E35B1C">
      <w:trPr>
        <w:trHeight w:val="233"/>
      </w:trPr>
      <w:tc>
        <w:tcPr>
          <w:tcW w:w="3255" w:type="dxa"/>
          <w:shd w:val="clear" w:color="auto" w:fill="auto"/>
          <w:vAlign w:val="center"/>
        </w:tcPr>
        <w:p w:rsidR="00E35B1C" w:rsidRDefault="00497E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05" w:type="dxa"/>
          <w:shd w:val="clear" w:color="auto" w:fill="auto"/>
        </w:tcPr>
        <w:p w:rsidR="00E35B1C" w:rsidRDefault="00E35B1C">
          <w:pPr>
            <w:pBdr>
              <w:top w:val="nil"/>
              <w:left w:val="nil"/>
              <w:bottom w:val="nil"/>
              <w:right w:val="nil"/>
              <w:between w:val="nil"/>
            </w:pBdr>
            <w:tabs>
              <w:tab w:val="center" w:pos="4252"/>
              <w:tab w:val="right" w:pos="8504"/>
            </w:tabs>
            <w:ind w:right="17"/>
            <w:rPr>
              <w:rFonts w:ascii="Palatino Linotype" w:eastAsia="Palatino Linotype" w:hAnsi="Palatino Linotype" w:cs="Palatino Linotype"/>
              <w:color w:val="000000"/>
              <w:sz w:val="22"/>
              <w:szCs w:val="22"/>
            </w:rPr>
          </w:pPr>
        </w:p>
      </w:tc>
    </w:tr>
    <w:tr w:rsidR="00E35B1C">
      <w:trPr>
        <w:trHeight w:val="321"/>
      </w:trPr>
      <w:tc>
        <w:tcPr>
          <w:tcW w:w="3255" w:type="dxa"/>
          <w:shd w:val="clear" w:color="auto" w:fill="auto"/>
          <w:vAlign w:val="center"/>
        </w:tcPr>
        <w:p w:rsidR="00E35B1C" w:rsidRDefault="00497E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05" w:type="dxa"/>
          <w:shd w:val="clear" w:color="auto" w:fill="auto"/>
          <w:vAlign w:val="center"/>
        </w:tcPr>
        <w:p w:rsidR="00E35B1C" w:rsidRDefault="00497E4A">
          <w:pPr>
            <w:pBdr>
              <w:top w:val="nil"/>
              <w:left w:val="nil"/>
              <w:bottom w:val="nil"/>
              <w:right w:val="nil"/>
              <w:between w:val="nil"/>
            </w:pBdr>
            <w:tabs>
              <w:tab w:val="center" w:pos="4252"/>
              <w:tab w:val="right" w:pos="8504"/>
            </w:tabs>
            <w:ind w:right="1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Organismo Público Descentralizado para la Prestación de los Servicios de Agua Potable, Alcantarillado y Saneamiento del Municipio de Tlalnepantla de Baz </w:t>
          </w:r>
        </w:p>
      </w:tc>
    </w:tr>
    <w:tr w:rsidR="00E35B1C">
      <w:trPr>
        <w:trHeight w:val="321"/>
      </w:trPr>
      <w:tc>
        <w:tcPr>
          <w:tcW w:w="3255" w:type="dxa"/>
          <w:shd w:val="clear" w:color="auto" w:fill="auto"/>
          <w:vAlign w:val="center"/>
        </w:tcPr>
        <w:p w:rsidR="00E35B1C" w:rsidRDefault="00497E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05" w:type="dxa"/>
          <w:shd w:val="clear" w:color="auto" w:fill="auto"/>
          <w:vAlign w:val="center"/>
        </w:tcPr>
        <w:p w:rsidR="00E35B1C" w:rsidRDefault="00497E4A">
          <w:pPr>
            <w:pBdr>
              <w:top w:val="nil"/>
              <w:left w:val="nil"/>
              <w:bottom w:val="nil"/>
              <w:right w:val="nil"/>
              <w:between w:val="nil"/>
            </w:pBdr>
            <w:tabs>
              <w:tab w:val="center" w:pos="4252"/>
              <w:tab w:val="right" w:pos="8504"/>
            </w:tabs>
            <w:ind w:right="1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35B1C" w:rsidRDefault="008E1F73">
    <w:pPr>
      <w:pBdr>
        <w:top w:val="nil"/>
        <w:left w:val="nil"/>
        <w:bottom w:val="nil"/>
        <w:right w:val="nil"/>
        <w:between w:val="nil"/>
      </w:pBdr>
      <w:tabs>
        <w:tab w:val="center" w:pos="4252"/>
        <w:tab w:val="right" w:pos="8504"/>
        <w:tab w:val="left" w:pos="3103"/>
      </w:tabs>
      <w:rPr>
        <w:rFonts w:ascii="Calibri" w:eastAsia="Calibri" w:hAnsi="Calibri" w:cs="Calibri"/>
        <w:color w:val="000000"/>
        <w:sz w:val="22"/>
        <w:szCs w:val="22"/>
      </w:rPr>
    </w:pPr>
    <w:r>
      <w:rPr>
        <w:rFonts w:ascii="Calibri" w:eastAsia="Calibri" w:hAnsi="Calibri" w:cs="Calibri"/>
        <w:color w:val="000000"/>
      </w:rPr>
      <w:pict w14:anchorId="16BC1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4.45pt;margin-top:-142.45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5801"/>
    <w:multiLevelType w:val="multilevel"/>
    <w:tmpl w:val="F0F80D3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CE4079"/>
    <w:multiLevelType w:val="multilevel"/>
    <w:tmpl w:val="2F7AAA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37EC1210"/>
    <w:multiLevelType w:val="multilevel"/>
    <w:tmpl w:val="417A4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1C6617"/>
    <w:multiLevelType w:val="multilevel"/>
    <w:tmpl w:val="631C9628"/>
    <w:lvl w:ilvl="0">
      <w:start w:val="1"/>
      <w:numFmt w:val="decimal"/>
      <w:lvlText w:val="%1."/>
      <w:lvlJc w:val="left"/>
      <w:pPr>
        <w:ind w:left="360" w:hanging="360"/>
      </w:pPr>
      <w:rPr>
        <w:rFonts w:ascii="Palatino Linotype" w:eastAsia="Arial" w:hAnsi="Palatino Linotype" w:cs="Arial" w:hint="default"/>
        <w:b/>
        <w:i w:val="0"/>
        <w:shd w:val="clear" w:color="auto" w:fill="auto"/>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BD7185"/>
    <w:multiLevelType w:val="multilevel"/>
    <w:tmpl w:val="A706028E"/>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1C"/>
    <w:rsid w:val="00085490"/>
    <w:rsid w:val="00200F19"/>
    <w:rsid w:val="00497E4A"/>
    <w:rsid w:val="008E1F73"/>
    <w:rsid w:val="00AA3084"/>
    <w:rsid w:val="00E35B1C"/>
    <w:rsid w:val="00F76A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F76135-B2C5-40E9-9A27-562955BF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7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32E7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32E7A"/>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732E7A"/>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732E7A"/>
    <w:rPr>
      <w:rFonts w:eastAsiaTheme="minorEastAsia"/>
      <w:sz w:val="24"/>
      <w:szCs w:val="24"/>
      <w:lang w:val="es-ES_tradnl" w:eastAsia="es-ES"/>
    </w:rPr>
  </w:style>
  <w:style w:type="paragraph" w:styleId="Piedepgina">
    <w:name w:val="footer"/>
    <w:basedOn w:val="Normal"/>
    <w:link w:val="PiedepginaCar"/>
    <w:uiPriority w:val="99"/>
    <w:unhideWhenUsed/>
    <w:rsid w:val="00732E7A"/>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732E7A"/>
    <w:rPr>
      <w:rFonts w:eastAsiaTheme="minorEastAsia"/>
      <w:sz w:val="24"/>
      <w:szCs w:val="24"/>
      <w:lang w:val="es-ES_tradnl" w:eastAsia="es-ES"/>
    </w:rPr>
  </w:style>
  <w:style w:type="table" w:styleId="Tablaconcuadrcula">
    <w:name w:val="Table Grid"/>
    <w:basedOn w:val="Tablanormal"/>
    <w:uiPriority w:val="39"/>
    <w:rsid w:val="00732E7A"/>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2E7A"/>
    <w:pPr>
      <w:ind w:left="720"/>
      <w:contextualSpacing/>
    </w:pPr>
    <w:rPr>
      <w:rFonts w:asciiTheme="minorHAnsi" w:eastAsiaTheme="minorEastAsia" w:hAnsiTheme="minorHAnsi" w:cstheme="minorBidi"/>
      <w:lang w:eastAsia="es-ES"/>
    </w:rPr>
  </w:style>
  <w:style w:type="paragraph" w:styleId="Sinespaciado">
    <w:name w:val="No Spacing"/>
    <w:aliases w:val="Francesa,INAI,Fundamentos"/>
    <w:link w:val="SinespaciadoCar"/>
    <w:uiPriority w:val="1"/>
    <w:qFormat/>
    <w:rsid w:val="00732E7A"/>
    <w:rPr>
      <w:rFonts w:eastAsiaTheme="minorEastAsia"/>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2E7A"/>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2E7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2E7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2E7A"/>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2E7A"/>
    <w:rPr>
      <w:vertAlign w:val="superscript"/>
    </w:rPr>
  </w:style>
  <w:style w:type="character" w:customStyle="1" w:styleId="SinespaciadoCar">
    <w:name w:val="Sin espaciado Car"/>
    <w:aliases w:val="Francesa Car,INAI Car,Fundamentos Car"/>
    <w:link w:val="Sinespaciado"/>
    <w:uiPriority w:val="1"/>
    <w:qFormat/>
    <w:locked/>
    <w:rsid w:val="00732E7A"/>
    <w:rPr>
      <w:rFonts w:eastAsiaTheme="minorEastAsia"/>
      <w:sz w:val="24"/>
      <w:szCs w:val="24"/>
      <w:lang w:val="es-ES_tradnl" w:eastAsia="es-ES"/>
    </w:rPr>
  </w:style>
  <w:style w:type="paragraph" w:styleId="NormalWeb">
    <w:name w:val="Normal (Web)"/>
    <w:basedOn w:val="Normal"/>
    <w:uiPriority w:val="99"/>
    <w:semiHidden/>
    <w:unhideWhenUsed/>
    <w:rsid w:val="00A37EA0"/>
    <w:pPr>
      <w:spacing w:before="100" w:beforeAutospacing="1" w:after="100" w:afterAutospacing="1"/>
    </w:pPr>
  </w:style>
  <w:style w:type="character" w:styleId="Refdecomentario">
    <w:name w:val="annotation reference"/>
    <w:basedOn w:val="Fuentedeprrafopredeter"/>
    <w:uiPriority w:val="99"/>
    <w:semiHidden/>
    <w:unhideWhenUsed/>
    <w:rsid w:val="00560BED"/>
    <w:rPr>
      <w:sz w:val="16"/>
      <w:szCs w:val="16"/>
    </w:rPr>
  </w:style>
  <w:style w:type="paragraph" w:styleId="Textocomentario">
    <w:name w:val="annotation text"/>
    <w:basedOn w:val="Normal"/>
    <w:link w:val="TextocomentarioCar"/>
    <w:uiPriority w:val="99"/>
    <w:semiHidden/>
    <w:unhideWhenUsed/>
    <w:rsid w:val="00560BED"/>
    <w:rPr>
      <w:sz w:val="20"/>
      <w:szCs w:val="20"/>
    </w:rPr>
  </w:style>
  <w:style w:type="character" w:customStyle="1" w:styleId="TextocomentarioCar">
    <w:name w:val="Texto comentario Car"/>
    <w:basedOn w:val="Fuentedeprrafopredeter"/>
    <w:link w:val="Textocomentario"/>
    <w:uiPriority w:val="99"/>
    <w:semiHidden/>
    <w:rsid w:val="00560BED"/>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60BED"/>
    <w:rPr>
      <w:b/>
      <w:bCs/>
    </w:rPr>
  </w:style>
  <w:style w:type="character" w:customStyle="1" w:styleId="AsuntodelcomentarioCar">
    <w:name w:val="Asunto del comentario Car"/>
    <w:basedOn w:val="TextocomentarioCar"/>
    <w:link w:val="Asuntodelcomentario"/>
    <w:uiPriority w:val="99"/>
    <w:semiHidden/>
    <w:rsid w:val="00560BED"/>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560B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BED"/>
    <w:rPr>
      <w:rFonts w:ascii="Segoe UI" w:eastAsia="Times New Roman" w:hAnsi="Segoe UI" w:cs="Segoe UI"/>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41005.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NaW06Cc/5ZECweOdKPAr2CGCw==">CgMxLjAaJwoBMBIiCiAIBCocCgtBQUFCZVlkWWhjWRAIGgtBQUFCZVlkWWhjWSLeAgoLQUFBQmVZZFloY1kStAIKC0FBQUJlWWRZaGNZEgtBQUFCZVlkWWhjWRolCgl0ZXh0L2h0bWwSGFN1Z2VyZW5jaWEgZGUgcmVkYWNjacOzbiImCgp0ZXh0L3BsYWluEhhTdWdlcmVuY2lhIGRlIHJlZGFjY2nDs24qQwoKSU5GT0VNLTQzNBo1Ly9zc2wuZ3N0YXRpYy5jb20vZG9jcy9jb21tb24vYmx1ZV9zaWxob3VldHRlOTYtMC5wbmcwwO+M+88yOMDvjPvPMnJFCgpJTkZPRU0tNDM0GjcKNS8vc3NsLmdzdGF0aWMuY29tL2RvY3MvY29tbW9uL2JsdWVfc2lsaG91ZXR0ZTk2LTAucG5neACIAQGaAQYIABAAGACqARoSGFN1Z2VyZW5jaWEgZGUgcmVkYWNjacOzbrABALgBARjA74z7zzIgwO+M+88yMABCCGtpeC5jbXQwMghoLmdqZGd4czIJaC4zMGowemxsMgloLjFmb2I5dGUyCWguM3pueXNoNzIJaC4yZXQ5MnAwMghoLnR5amN3dDIJaC4zZHk2dmttMgloLjF0M2g1c2YyCWguNGQzNG9nODIJaC4zcmRjcmpuMgloLjJzOGV5bzE4AHIhMXFEMDJjbF9SazRWaExvXy1lZnBiWTFYRllUVXRlQm41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6509</Words>
  <Characters>35804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INFOEM-434</dc:creator>
  <cp:lastModifiedBy>INFOEM416</cp:lastModifiedBy>
  <cp:revision>4</cp:revision>
  <cp:lastPrinted>2025-02-27T17:20:00Z</cp:lastPrinted>
  <dcterms:created xsi:type="dcterms:W3CDTF">2025-02-13T19:45:00Z</dcterms:created>
  <dcterms:modified xsi:type="dcterms:W3CDTF">2025-02-27T17:20:00Z</dcterms:modified>
</cp:coreProperties>
</file>