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B47" w:rsidRDefault="00263314">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quince de octubre de dos mil veinticinco. </w:t>
      </w:r>
    </w:p>
    <w:p w:rsidR="008A0B47" w:rsidRDefault="00263314">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formado con motivo del recurso de revisión </w:t>
      </w:r>
      <w:r>
        <w:rPr>
          <w:rFonts w:ascii="Palatino Linotype" w:eastAsia="Palatino Linotype" w:hAnsi="Palatino Linotype" w:cs="Palatino Linotype"/>
          <w:b/>
          <w:sz w:val="22"/>
          <w:szCs w:val="22"/>
        </w:rPr>
        <w:t>07294/INFOEM/IP/RR/2025</w:t>
      </w:r>
      <w:r>
        <w:rPr>
          <w:rFonts w:ascii="Palatino Linotype" w:eastAsia="Palatino Linotype" w:hAnsi="Palatino Linotype" w:cs="Palatino Linotype"/>
          <w:sz w:val="22"/>
          <w:szCs w:val="22"/>
        </w:rPr>
        <w:t>, interpuesto por</w:t>
      </w:r>
      <w:r>
        <w:rPr>
          <w:rFonts w:ascii="Palatino Linotype" w:eastAsia="Palatino Linotype" w:hAnsi="Palatino Linotype" w:cs="Palatino Linotype"/>
          <w:b/>
          <w:sz w:val="22"/>
          <w:szCs w:val="22"/>
        </w:rPr>
        <w:t xml:space="preserve"> </w:t>
      </w:r>
      <w:r w:rsidRPr="00263314">
        <w:rPr>
          <w:rFonts w:ascii="Palatino Linotype" w:eastAsia="Palatino Linotype" w:hAnsi="Palatino Linotype" w:cs="Palatino Linotype"/>
          <w:b/>
          <w:sz w:val="22"/>
          <w:szCs w:val="22"/>
        </w:rPr>
        <w:t>XXXXX XXXXXXXX XXXXXXXXX</w:t>
      </w:r>
      <w:r w:rsidRPr="00263314">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contra de la respuesta a la solicitud de información con número de folio</w:t>
      </w:r>
      <w:r>
        <w:rPr>
          <w:rFonts w:ascii="Palatino Linotype" w:eastAsia="Palatino Linotype" w:hAnsi="Palatino Linotype" w:cs="Palatino Linotype"/>
          <w:b/>
          <w:sz w:val="22"/>
          <w:szCs w:val="22"/>
        </w:rPr>
        <w:t xml:space="preserve"> 00162/NICOROM/IP/20</w:t>
      </w:r>
      <w:r>
        <w:rPr>
          <w:rFonts w:ascii="Palatino Linotype" w:eastAsia="Palatino Linotype" w:hAnsi="Palatino Linotype" w:cs="Palatino Linotype"/>
          <w:b/>
          <w:sz w:val="22"/>
          <w:szCs w:val="22"/>
        </w:rPr>
        <w:t xml:space="preserve">25, </w:t>
      </w:r>
      <w:r>
        <w:rPr>
          <w:rFonts w:ascii="Palatino Linotype" w:eastAsia="Palatino Linotype" w:hAnsi="Palatino Linotype" w:cs="Palatino Linotype"/>
          <w:sz w:val="22"/>
          <w:szCs w:val="22"/>
        </w:rPr>
        <w:t xml:space="preserve">por parte del </w:t>
      </w:r>
      <w:r>
        <w:rPr>
          <w:rFonts w:ascii="Palatino Linotype" w:eastAsia="Palatino Linotype" w:hAnsi="Palatino Linotype" w:cs="Palatino Linotype"/>
          <w:b/>
          <w:sz w:val="22"/>
          <w:szCs w:val="22"/>
        </w:rPr>
        <w:t xml:space="preserve">Ayuntamiento de Nicolás Romero,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rsidR="008A0B47" w:rsidRDefault="00263314">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 A N T E C E D E N T E S</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Pr>
          <w:rFonts w:ascii="Palatino Linotype" w:eastAsia="Palatino Linotype" w:hAnsi="Palatino Linotype" w:cs="Palatino Linotype"/>
          <w:b/>
          <w:sz w:val="22"/>
          <w:szCs w:val="22"/>
        </w:rPr>
        <w:t>1. Solicitud de acceso a la información.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veintisiete de mayo de dos m</w:t>
      </w:r>
      <w:r>
        <w:rPr>
          <w:rFonts w:ascii="Palatino Linotype" w:eastAsia="Palatino Linotype" w:hAnsi="Palatino Linotype" w:cs="Palatino Linotype"/>
          <w:b/>
          <w:sz w:val="22"/>
          <w:szCs w:val="22"/>
        </w:rPr>
        <w:t>il 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presentó la solicitud de acceso a la información pública ante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del Sistema de Acceso a la Información Mexiquense, en lo subsecuente el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mediante la cual requirió lo siguiente:</w:t>
      </w:r>
    </w:p>
    <w:p w:rsidR="008A0B47" w:rsidRDefault="00263314">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w:t>
      </w:r>
      <w:r>
        <w:rPr>
          <w:rFonts w:ascii="Palatino Linotype" w:eastAsia="Palatino Linotype" w:hAnsi="Palatino Linotype" w:cs="Palatino Linotype"/>
          <w:i/>
          <w:sz w:val="22"/>
          <w:szCs w:val="22"/>
        </w:rPr>
        <w:t>o el nombre del proveedor y facturas pagadas para la impresión de mamparas y lonas utilizadas en ceremonias cívicas, así como de eventos sociales y culturales del 1 de enero al 27 de mayo 2025, esto fundamentado y motivado de acuerdo al artículo 8 constitu</w:t>
      </w:r>
      <w:r>
        <w:rPr>
          <w:rFonts w:ascii="Palatino Linotype" w:eastAsia="Palatino Linotype" w:hAnsi="Palatino Linotype" w:cs="Palatino Linotype"/>
          <w:i/>
          <w:sz w:val="22"/>
          <w:szCs w:val="22"/>
        </w:rPr>
        <w:t xml:space="preserve">cional y a la ley de transparencia y acceso a la información pública. (sic) </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Pr>
          <w:rFonts w:ascii="Palatino Linotype" w:eastAsia="Palatino Linotype" w:hAnsi="Palatino Linotype" w:cs="Palatino Linotype"/>
          <w:b/>
          <w:sz w:val="22"/>
          <w:szCs w:val="22"/>
        </w:rPr>
        <w:t>Modalidad de Entrega:</w:t>
      </w:r>
      <w:r>
        <w:rPr>
          <w:rFonts w:ascii="Palatino Linotype" w:eastAsia="Palatino Linotype" w:hAnsi="Palatino Linotype" w:cs="Palatino Linotype"/>
          <w:sz w:val="22"/>
          <w:szCs w:val="22"/>
        </w:rPr>
        <w:t xml:space="preserve"> a través del</w:t>
      </w:r>
      <w:r>
        <w:rPr>
          <w:rFonts w:ascii="Palatino Linotype" w:eastAsia="Palatino Linotype" w:hAnsi="Palatino Linotype" w:cs="Palatino Linotype"/>
          <w:b/>
          <w:sz w:val="22"/>
          <w:szCs w:val="22"/>
        </w:rPr>
        <w:t xml:space="preserve"> SAIMEX.</w:t>
      </w:r>
    </w:p>
    <w:p w:rsidR="008A0B47" w:rsidRDefault="00263314">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2. Respuesta.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diecisiete de junio de dos mil veinticinco,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envió su respuesta a la solicitud de acceso a la informa</w:t>
      </w:r>
      <w:r>
        <w:rPr>
          <w:rFonts w:ascii="Palatino Linotype" w:eastAsia="Palatino Linotype" w:hAnsi="Palatino Linotype" w:cs="Palatino Linotype"/>
          <w:sz w:val="22"/>
          <w:szCs w:val="22"/>
        </w:rPr>
        <w:t xml:space="preserve">ción a través del SAIMEX, sustancialmente en los términos siguientes:   </w:t>
      </w:r>
    </w:p>
    <w:p w:rsidR="008A0B47" w:rsidRDefault="00263314">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“…Estimado/a XXXXXXXXXX</w:t>
      </w:r>
      <w:bookmarkStart w:id="4" w:name="_GoBack"/>
      <w:bookmarkEnd w:id="4"/>
      <w:r>
        <w:rPr>
          <w:rFonts w:ascii="Palatino Linotype" w:eastAsia="Palatino Linotype" w:hAnsi="Palatino Linotype" w:cs="Palatino Linotype"/>
          <w:i/>
          <w:sz w:val="22"/>
          <w:szCs w:val="22"/>
        </w:rPr>
        <w:t>, adjunto encontrara respuesta a su Solicitud, gracias por hacer uso de su Derecho Humano de Acceso a la Información Pública...” (sic)</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adjunt</w:t>
      </w:r>
      <w:r>
        <w:rPr>
          <w:rFonts w:ascii="Palatino Linotype" w:eastAsia="Palatino Linotype" w:hAnsi="Palatino Linotype" w:cs="Palatino Linotype"/>
          <w:sz w:val="22"/>
          <w:szCs w:val="22"/>
        </w:rPr>
        <w:t>ó lo siguiente:</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Oficio número NR/DIG/UT/USI/213/2025, mediante el cual la titular de la Unidad de Transparencia notificó a la persona solicitante la respuesta proporcionada por la Dirección de Administración y la Tesorería Municipal.</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Oficio número NR/D</w:t>
      </w:r>
      <w:r>
        <w:rPr>
          <w:rFonts w:ascii="Palatino Linotype" w:eastAsia="Palatino Linotype" w:hAnsi="Palatino Linotype" w:cs="Palatino Linotype"/>
          <w:sz w:val="22"/>
          <w:szCs w:val="22"/>
        </w:rPr>
        <w:t xml:space="preserve">A/DRM/303/2025, mediante el cual la Directora de Administración informó que se contrató a la empresa </w:t>
      </w:r>
      <w:proofErr w:type="spellStart"/>
      <w:r>
        <w:rPr>
          <w:rFonts w:ascii="Palatino Linotype" w:eastAsia="Palatino Linotype" w:hAnsi="Palatino Linotype" w:cs="Palatino Linotype"/>
          <w:sz w:val="22"/>
          <w:szCs w:val="22"/>
        </w:rPr>
        <w:t>Guillgrafic</w:t>
      </w:r>
      <w:proofErr w:type="spellEnd"/>
      <w:r>
        <w:rPr>
          <w:rFonts w:ascii="Palatino Linotype" w:eastAsia="Palatino Linotype" w:hAnsi="Palatino Linotype" w:cs="Palatino Linotype"/>
          <w:sz w:val="22"/>
          <w:szCs w:val="22"/>
        </w:rPr>
        <w:t>, S.A. de C.V. para llevar a cabo la impresión de mamparas y lonas durante el periodo solicitado; asimismo refirió que la información relativa a</w:t>
      </w:r>
      <w:r>
        <w:rPr>
          <w:rFonts w:ascii="Palatino Linotype" w:eastAsia="Palatino Linotype" w:hAnsi="Palatino Linotype" w:cs="Palatino Linotype"/>
          <w:sz w:val="22"/>
          <w:szCs w:val="22"/>
        </w:rPr>
        <w:t xml:space="preserve"> dicha contratación se encuentra disponible al público en general en el Portal de </w:t>
      </w:r>
      <w:proofErr w:type="spellStart"/>
      <w:r>
        <w:rPr>
          <w:rFonts w:ascii="Palatino Linotype" w:eastAsia="Palatino Linotype" w:hAnsi="Palatino Linotype" w:cs="Palatino Linotype"/>
          <w:sz w:val="22"/>
          <w:szCs w:val="22"/>
        </w:rPr>
        <w:t>Ipomex</w:t>
      </w:r>
      <w:proofErr w:type="spellEnd"/>
      <w:r>
        <w:rPr>
          <w:rFonts w:ascii="Palatino Linotype" w:eastAsia="Palatino Linotype" w:hAnsi="Palatino Linotype" w:cs="Palatino Linotype"/>
          <w:sz w:val="22"/>
          <w:szCs w:val="22"/>
        </w:rPr>
        <w:t xml:space="preserve">, a través de la siguiente liga: </w:t>
      </w:r>
      <w:hyperlink r:id="rId8" w:anchor="/info-fraccion/676/152/12">
        <w:r>
          <w:rPr>
            <w:rFonts w:ascii="Palatino Linotype" w:eastAsia="Palatino Linotype" w:hAnsi="Palatino Linotype" w:cs="Palatino Linotype"/>
            <w:color w:val="000000"/>
            <w:sz w:val="22"/>
            <w:szCs w:val="22"/>
            <w:u w:val="single"/>
          </w:rPr>
          <w:t>https://infoem2.ipomex.org.mx/ipomex/#/info-fraccion/676/152/12</w:t>
        </w:r>
      </w:hyperlink>
      <w:r>
        <w:rPr>
          <w:rFonts w:ascii="Palatino Linotype" w:eastAsia="Palatino Linotype" w:hAnsi="Palatino Linotype" w:cs="Palatino Linotype"/>
          <w:sz w:val="22"/>
          <w:szCs w:val="22"/>
        </w:rPr>
        <w:t>.</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Oficio número NR/TM/</w:t>
      </w:r>
      <w:proofErr w:type="spellStart"/>
      <w:r>
        <w:rPr>
          <w:rFonts w:ascii="Palatino Linotype" w:eastAsia="Palatino Linotype" w:hAnsi="Palatino Linotype" w:cs="Palatino Linotype"/>
          <w:sz w:val="22"/>
          <w:szCs w:val="22"/>
        </w:rPr>
        <w:t>SbE</w:t>
      </w:r>
      <w:proofErr w:type="spellEnd"/>
      <w:r>
        <w:rPr>
          <w:rFonts w:ascii="Palatino Linotype" w:eastAsia="Palatino Linotype" w:hAnsi="Palatino Linotype" w:cs="Palatino Linotype"/>
          <w:sz w:val="22"/>
          <w:szCs w:val="22"/>
        </w:rPr>
        <w:t xml:space="preserve">/1029/2025, mediante el cual la Tesorera Municipal manifestó que al momento de dar respuesta no se cuenta con la información al corresponder con el segundo trimestre </w:t>
      </w:r>
      <w:r>
        <w:rPr>
          <w:rFonts w:ascii="Palatino Linotype" w:eastAsia="Palatino Linotype" w:hAnsi="Palatino Linotype" w:cs="Palatino Linotype"/>
          <w:sz w:val="22"/>
          <w:szCs w:val="22"/>
        </w:rPr>
        <w:t>del ejercicio fiscal 2025, misma que no había sido remitida al Órgano Superior de Fiscalización para su análisis y evaluación.</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3. Interposición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diecisiete de junio de dos mil 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sz w:val="22"/>
          <w:szCs w:val="22"/>
        </w:rPr>
        <w:t xml:space="preserve">SAIMEX, </w:t>
      </w:r>
      <w:r>
        <w:rPr>
          <w:rFonts w:ascii="Palatino Linotype" w:eastAsia="Palatino Linotype" w:hAnsi="Palatino Linotype" w:cs="Palatino Linotype"/>
          <w:sz w:val="22"/>
          <w:szCs w:val="22"/>
        </w:rPr>
        <w:t>en donde se manifestó de la siguiente manera:</w:t>
      </w:r>
    </w:p>
    <w:p w:rsidR="008A0B47" w:rsidRDefault="00263314">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Acto impugnado: </w:t>
      </w:r>
    </w:p>
    <w:p w:rsidR="008A0B47" w:rsidRDefault="00263314">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requerida no fue proporcionada y omiten su existencia” (sic)</w:t>
      </w:r>
    </w:p>
    <w:p w:rsidR="008A0B47" w:rsidRDefault="00263314">
      <w:pPr>
        <w:spacing w:line="360" w:lineRule="auto"/>
        <w:jc w:val="both"/>
        <w:rPr>
          <w:rFonts w:ascii="Palatino Linotype" w:eastAsia="Palatino Linotype" w:hAnsi="Palatino Linotype" w:cs="Palatino Linotype"/>
          <w:b/>
          <w:sz w:val="22"/>
          <w:szCs w:val="22"/>
        </w:rPr>
      </w:pPr>
      <w:bookmarkStart w:id="5" w:name="_heading=h.30j0zll" w:colFirst="0" w:colLast="0"/>
      <w:bookmarkEnd w:id="5"/>
      <w:r>
        <w:rPr>
          <w:noProof/>
        </w:rPr>
        <w:drawing>
          <wp:anchor distT="0" distB="0" distL="0" distR="0" simplePos="0" relativeHeight="251658240" behindDoc="1" locked="0" layoutInCell="1" hidden="0" allowOverlap="1">
            <wp:simplePos x="0" y="0"/>
            <wp:positionH relativeFrom="column">
              <wp:posOffset>-4067174</wp:posOffset>
            </wp:positionH>
            <wp:positionV relativeFrom="paragraph">
              <wp:posOffset>10645</wp:posOffset>
            </wp:positionV>
            <wp:extent cx="7809865" cy="10165715"/>
            <wp:effectExtent l="0" t="0" r="0" b="0"/>
            <wp:wrapNone/>
            <wp:docPr id="21401318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809865" cy="10165715"/>
                    </a:xfrm>
                    <a:prstGeom prst="rect">
                      <a:avLst/>
                    </a:prstGeom>
                    <a:ln/>
                  </pic:spPr>
                </pic:pic>
              </a:graphicData>
            </a:graphic>
          </wp:anchor>
        </w:drawing>
      </w:r>
    </w:p>
    <w:p w:rsidR="008A0B47" w:rsidRDefault="0026331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Y, Razones o motivos de inconformidad</w:t>
      </w:r>
      <w:r>
        <w:rPr>
          <w:rFonts w:ascii="Palatino Linotype" w:eastAsia="Palatino Linotype" w:hAnsi="Palatino Linotype" w:cs="Palatino Linotype"/>
          <w:sz w:val="22"/>
          <w:szCs w:val="22"/>
        </w:rPr>
        <w:t>:</w:t>
      </w:r>
    </w:p>
    <w:p w:rsidR="008A0B47" w:rsidRDefault="00263314">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requerida se omite por no obrar en los archivos, argumentando es información del segundo trimestre del ejercicio fiscal 2025, cuando </w:t>
      </w:r>
      <w:r>
        <w:rPr>
          <w:rFonts w:ascii="Palatino Linotype" w:eastAsia="Palatino Linotype" w:hAnsi="Palatino Linotype" w:cs="Palatino Linotype"/>
          <w:b/>
          <w:i/>
          <w:sz w:val="22"/>
          <w:szCs w:val="22"/>
          <w:u w:val="single"/>
        </w:rPr>
        <w:t>ya deben existir facturas pagadas</w:t>
      </w:r>
      <w:r>
        <w:rPr>
          <w:rFonts w:ascii="Palatino Linotype" w:eastAsia="Palatino Linotype" w:hAnsi="Palatino Linotype" w:cs="Palatino Linotype"/>
          <w:i/>
          <w:sz w:val="22"/>
          <w:szCs w:val="22"/>
        </w:rPr>
        <w:t xml:space="preserve"> y emitidas de acuerdo a la soli</w:t>
      </w:r>
      <w:r>
        <w:rPr>
          <w:rFonts w:ascii="Palatino Linotype" w:eastAsia="Palatino Linotype" w:hAnsi="Palatino Linotype" w:cs="Palatino Linotype"/>
          <w:i/>
          <w:sz w:val="22"/>
          <w:szCs w:val="22"/>
        </w:rPr>
        <w:t>citud en el primer trimestre 2025.” (sic)</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adjuntó los documentos proporcionadas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en respuesta a la solicitud de información.</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4. Turno. </w:t>
      </w:r>
      <w:r>
        <w:rPr>
          <w:rFonts w:ascii="Palatino Linotype" w:eastAsia="Palatino Linotype" w:hAnsi="Palatino Linotype" w:cs="Palatino Linotype"/>
          <w:sz w:val="22"/>
          <w:szCs w:val="22"/>
        </w:rPr>
        <w:t>De conformidad con el artículo 185 fracción I de la Ley de Transparencia y Acc</w:t>
      </w:r>
      <w:r>
        <w:rPr>
          <w:rFonts w:ascii="Palatino Linotype" w:eastAsia="Palatino Linotype" w:hAnsi="Palatino Linotype" w:cs="Palatino Linotype"/>
          <w:sz w:val="22"/>
          <w:szCs w:val="22"/>
        </w:rPr>
        <w:t>eso a la Información Pública del Estado de México y Municipios vigente, el presente recurso de revisión se turnó por el sistema electrónico del Instituto de Transparencia, Acceso a la Información Pública y Protección de Datos Personales del Estado de Méxic</w:t>
      </w:r>
      <w:r>
        <w:rPr>
          <w:rFonts w:ascii="Palatino Linotype" w:eastAsia="Palatino Linotype" w:hAnsi="Palatino Linotype" w:cs="Palatino Linotype"/>
          <w:sz w:val="22"/>
          <w:szCs w:val="22"/>
        </w:rPr>
        <w:t xml:space="preserve">o y Municipios, a la Comisionada </w:t>
      </w:r>
      <w:r>
        <w:rPr>
          <w:rFonts w:ascii="Palatino Linotype" w:eastAsia="Palatino Linotype" w:hAnsi="Palatino Linotype" w:cs="Palatino Linotype"/>
          <w:b/>
          <w:sz w:val="22"/>
          <w:szCs w:val="22"/>
        </w:rPr>
        <w:t xml:space="preserve">Guadalupe Ramírez Peña, </w:t>
      </w:r>
      <w:r>
        <w:rPr>
          <w:rFonts w:ascii="Palatino Linotype" w:eastAsia="Palatino Linotype" w:hAnsi="Palatino Linotype" w:cs="Palatino Linotype"/>
          <w:sz w:val="22"/>
          <w:szCs w:val="22"/>
        </w:rPr>
        <w:t xml:space="preserve">a efecto de que analizara sobre su admisión o su </w:t>
      </w:r>
      <w:proofErr w:type="spellStart"/>
      <w:r>
        <w:rPr>
          <w:rFonts w:ascii="Palatino Linotype" w:eastAsia="Palatino Linotype" w:hAnsi="Palatino Linotype" w:cs="Palatino Linotype"/>
          <w:sz w:val="22"/>
          <w:szCs w:val="22"/>
        </w:rPr>
        <w:t>desechamiento</w:t>
      </w:r>
      <w:proofErr w:type="spellEnd"/>
      <w:r>
        <w:rPr>
          <w:rFonts w:ascii="Palatino Linotype" w:eastAsia="Palatino Linotype" w:hAnsi="Palatino Linotype" w:cs="Palatino Linotype"/>
          <w:sz w:val="22"/>
          <w:szCs w:val="22"/>
        </w:rPr>
        <w:t>.</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5. Admisión del Recurso de revisión.</w:t>
      </w:r>
      <w:r>
        <w:rPr>
          <w:rFonts w:ascii="Palatino Linotype" w:eastAsia="Palatino Linotype" w:hAnsi="Palatino Linotype" w:cs="Palatino Linotype"/>
          <w:sz w:val="22"/>
          <w:szCs w:val="22"/>
        </w:rPr>
        <w:t xml:space="preserve"> El</w:t>
      </w:r>
      <w:r>
        <w:rPr>
          <w:rFonts w:ascii="Palatino Linotype" w:eastAsia="Palatino Linotype" w:hAnsi="Palatino Linotype" w:cs="Palatino Linotype"/>
          <w:b/>
          <w:sz w:val="22"/>
          <w:szCs w:val="22"/>
        </w:rPr>
        <w:t xml:space="preserve"> veinte de junio de dos mil veinticinco, </w:t>
      </w:r>
      <w:r>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admitió a trámite el recurso de revisión que ahora se resuelve, dando un plazo máximo de siete días hábiles para que las pa</w:t>
      </w:r>
      <w:r>
        <w:rPr>
          <w:rFonts w:ascii="Palatino Linotype" w:eastAsia="Palatino Linotype" w:hAnsi="Palatino Linotype" w:cs="Palatino Linotype"/>
          <w:sz w:val="22"/>
          <w:szCs w:val="22"/>
        </w:rPr>
        <w:t xml:space="preserve">rtes manifestaran lo que a su derecho resultara conveniente, ofrecieran pruebas, formularan alegatos y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presentara su informe justificado.</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Pr>
          <w:rFonts w:ascii="Palatino Linotype" w:eastAsia="Palatino Linotype" w:hAnsi="Palatino Linotype" w:cs="Palatino Linotype"/>
          <w:b/>
          <w:sz w:val="22"/>
          <w:szCs w:val="22"/>
        </w:rPr>
        <w:t>6. Manifestaciones</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veintiséis de junio dos mil veinticinco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remitió, a travé</w:t>
      </w:r>
      <w:r>
        <w:rPr>
          <w:rFonts w:ascii="Palatino Linotype" w:eastAsia="Palatino Linotype" w:hAnsi="Palatino Linotype" w:cs="Palatino Linotype"/>
          <w:sz w:val="22"/>
          <w:szCs w:val="22"/>
        </w:rPr>
        <w:t xml:space="preserve">s de SAIMEX, su informe justificado, mediante el cual, por conducto de la Tesorería Municipal, refirió adjuntar </w:t>
      </w:r>
      <w:proofErr w:type="gramStart"/>
      <w:r>
        <w:rPr>
          <w:rFonts w:ascii="Palatino Linotype" w:eastAsia="Palatino Linotype" w:hAnsi="Palatino Linotype" w:cs="Palatino Linotype"/>
          <w:sz w:val="22"/>
          <w:szCs w:val="22"/>
        </w:rPr>
        <w:t>el</w:t>
      </w:r>
      <w:proofErr w:type="gramEnd"/>
      <w:r>
        <w:rPr>
          <w:rFonts w:ascii="Palatino Linotype" w:eastAsia="Palatino Linotype" w:hAnsi="Palatino Linotype" w:cs="Palatino Linotype"/>
          <w:sz w:val="22"/>
          <w:szCs w:val="22"/>
        </w:rPr>
        <w:t xml:space="preserve"> así como el acuerdo NR/CT/ACR/EXT11/07/2025, de la Décima Primera Sesión Extraordinaria del Comité de Transparencia, en la cual se aprobó la </w:t>
      </w:r>
      <w:r>
        <w:rPr>
          <w:rFonts w:ascii="Palatino Linotype" w:eastAsia="Palatino Linotype" w:hAnsi="Palatino Linotype" w:cs="Palatino Linotype"/>
          <w:sz w:val="22"/>
          <w:szCs w:val="22"/>
        </w:rPr>
        <w:t>clasificación de los datos personales contenidos en la factura y transferencia bancaria para la impresión de mamparas y lonas.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Anexos: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Oficios entregados en respuesta a la solicitud.</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Oficio NR/DIG/UT/USI/233/2025, mediante el cual la titular de la Unid</w:t>
      </w:r>
      <w:r>
        <w:rPr>
          <w:rFonts w:ascii="Palatino Linotype" w:eastAsia="Palatino Linotype" w:hAnsi="Palatino Linotype" w:cs="Palatino Linotype"/>
          <w:sz w:val="22"/>
          <w:szCs w:val="22"/>
        </w:rPr>
        <w:t>ad de Transparencia hizo del conocimiento de la Tesorera Municipal sobre la interposición del recurso de revisión, con la finalidad de que girara instrucciones al personal a su cargo para elaborar el informe justificado en el cual se pueden ofrecer todo ti</w:t>
      </w:r>
      <w:r>
        <w:rPr>
          <w:rFonts w:ascii="Palatino Linotype" w:eastAsia="Palatino Linotype" w:hAnsi="Palatino Linotype" w:cs="Palatino Linotype"/>
          <w:sz w:val="22"/>
          <w:szCs w:val="22"/>
        </w:rPr>
        <w:t>po de pruebas, esto con la finalidad de manifestar el porqué de la respuesta emitida a la solicitud de información.</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Oficio NR/TM/</w:t>
      </w:r>
      <w:proofErr w:type="spellStart"/>
      <w:r>
        <w:rPr>
          <w:rFonts w:ascii="Palatino Linotype" w:eastAsia="Palatino Linotype" w:hAnsi="Palatino Linotype" w:cs="Palatino Linotype"/>
          <w:sz w:val="22"/>
          <w:szCs w:val="22"/>
        </w:rPr>
        <w:t>SbE</w:t>
      </w:r>
      <w:proofErr w:type="spellEnd"/>
      <w:r>
        <w:rPr>
          <w:rFonts w:ascii="Palatino Linotype" w:eastAsia="Palatino Linotype" w:hAnsi="Palatino Linotype" w:cs="Palatino Linotype"/>
          <w:sz w:val="22"/>
          <w:szCs w:val="22"/>
        </w:rPr>
        <w:t>/1083/2025, mediante el cual la Tesorera Municipal solicitó al Comité de Transparencia emitir acuerdo de clasificación com</w:t>
      </w:r>
      <w:r>
        <w:rPr>
          <w:rFonts w:ascii="Palatino Linotype" w:eastAsia="Palatino Linotype" w:hAnsi="Palatino Linotype" w:cs="Palatino Linotype"/>
          <w:sz w:val="22"/>
          <w:szCs w:val="22"/>
        </w:rPr>
        <w:t>o confidencial, ya que para dar respuesta se requiere la elaboración de la versión pública de los documentos denominados factura y trasferencia bancaria, por contener los siguientes datos personales: código de comprobante fiscal digital (CFDI), cadena digi</w:t>
      </w:r>
      <w:r>
        <w:rPr>
          <w:rFonts w:ascii="Palatino Linotype" w:eastAsia="Palatino Linotype" w:hAnsi="Palatino Linotype" w:cs="Palatino Linotype"/>
          <w:sz w:val="22"/>
          <w:szCs w:val="22"/>
        </w:rPr>
        <w:t>tal, número de cuenta de depósito y número de cuenta de retiro.</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 Comprobante de transferencia bancaria a la empresa GUILLGRAFIC, S. A. DE C.V., por concepto del pago de la factura 6762, testado.</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Factura 6762, testada.</w:t>
      </w:r>
    </w:p>
    <w:p w:rsidR="008A0B47" w:rsidRDefault="00263314">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Acuerdo NR/CT/ACR/EXT11/07/2025,</w:t>
      </w:r>
      <w:r>
        <w:rPr>
          <w:rFonts w:ascii="Palatino Linotype" w:eastAsia="Palatino Linotype" w:hAnsi="Palatino Linotype" w:cs="Palatino Linotype"/>
          <w:sz w:val="22"/>
          <w:szCs w:val="22"/>
        </w:rPr>
        <w:t xml:space="preserve"> por medio del cual se aprobó la clasificación de Código de comprobante fiscal digital (CFDI), la Cadena digital, el Número de cuenta de depósito y el Número de cuenta de retiro contenidos en los documentos para dar respuesta a la solicitud, como informaci</w:t>
      </w:r>
      <w:r>
        <w:rPr>
          <w:rFonts w:ascii="Palatino Linotype" w:eastAsia="Palatino Linotype" w:hAnsi="Palatino Linotype" w:cs="Palatino Linotype"/>
          <w:sz w:val="22"/>
          <w:szCs w:val="22"/>
        </w:rPr>
        <w:t>ón confidencial.</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7. Cierre de instrucción. </w:t>
      </w:r>
      <w:r>
        <w:rPr>
          <w:rFonts w:ascii="Palatino Linotype" w:eastAsia="Palatino Linotype" w:hAnsi="Palatino Linotype" w:cs="Palatino Linotype"/>
          <w:sz w:val="22"/>
          <w:szCs w:val="22"/>
        </w:rPr>
        <w:t>Una vez transc</w:t>
      </w:r>
      <w:r>
        <w:rPr>
          <w:rFonts w:ascii="Palatino Linotype" w:eastAsia="Palatino Linotype" w:hAnsi="Palatino Linotype" w:cs="Palatino Linotype"/>
          <w:sz w:val="22"/>
          <w:szCs w:val="22"/>
        </w:rPr>
        <w:t xml:space="preserve">urrido el periodo otorgado a las partes para realizar sus manifestaciones y no habiendo documentos que integrar al expediente, el </w:t>
      </w:r>
      <w:r>
        <w:rPr>
          <w:rFonts w:ascii="Palatino Linotype" w:eastAsia="Palatino Linotype" w:hAnsi="Palatino Linotype" w:cs="Palatino Linotype"/>
          <w:b/>
          <w:sz w:val="22"/>
          <w:szCs w:val="22"/>
        </w:rPr>
        <w:t>uno de octubre de dos mil veinticinco</w:t>
      </w:r>
      <w:r>
        <w:rPr>
          <w:rFonts w:ascii="Palatino Linotype" w:eastAsia="Palatino Linotype" w:hAnsi="Palatino Linotype" w:cs="Palatino Linotype"/>
          <w:sz w:val="22"/>
          <w:szCs w:val="22"/>
        </w:rPr>
        <w:t>, la Comisionada Ponente determinó el cierre de instrucción en términos de la fracción VI</w:t>
      </w:r>
      <w:r>
        <w:rPr>
          <w:rFonts w:ascii="Palatino Linotype" w:eastAsia="Palatino Linotype" w:hAnsi="Palatino Linotype" w:cs="Palatino Linotype"/>
          <w:sz w:val="22"/>
          <w:szCs w:val="22"/>
        </w:rPr>
        <w:t xml:space="preserve"> del artículo 185 de la Ley de Transparencia y Acceso a la Información Pública del Estado de México y Municipios, mediante acuerdo notificado el dos de octubre de dos mil veinticinco. </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8.</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Ampliación del término para resolver</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uno de octubre de dos mil v</w:t>
      </w:r>
      <w:r>
        <w:rPr>
          <w:rFonts w:ascii="Palatino Linotype" w:eastAsia="Palatino Linotype" w:hAnsi="Palatino Linotype" w:cs="Palatino Linotype"/>
          <w:b/>
          <w:sz w:val="22"/>
          <w:szCs w:val="22"/>
        </w:rPr>
        <w:t>einticinco</w:t>
      </w:r>
      <w:r>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Organismo Garante no pasa por alto justi</w:t>
      </w:r>
      <w:r>
        <w:rPr>
          <w:rFonts w:ascii="Palatino Linotype" w:eastAsia="Palatino Linotype" w:hAnsi="Palatino Linotype" w:cs="Palatino Linotype"/>
          <w:sz w:val="22"/>
          <w:szCs w:val="22"/>
        </w:rPr>
        <w:t>ficar, que el plazo para emitir la resolución en el presente asunto encuentra justificación en el alto número de recursos de revisión recibidos, circunstancia atípica que ha rebasado las capacidades técnicas y humanas del personal encargado de la proyecció</w:t>
      </w:r>
      <w:r>
        <w:rPr>
          <w:rFonts w:ascii="Palatino Linotype" w:eastAsia="Palatino Linotype" w:hAnsi="Palatino Linotype" w:cs="Palatino Linotype"/>
          <w:sz w:val="22"/>
          <w:szCs w:val="22"/>
        </w:rPr>
        <w:t>n de las resoluciones a dichos medios de impugnación.</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w:t>
      </w:r>
      <w:r>
        <w:rPr>
          <w:rFonts w:ascii="Palatino Linotype" w:eastAsia="Palatino Linotype" w:hAnsi="Palatino Linotype" w:cs="Palatino Linotype"/>
          <w:sz w:val="22"/>
          <w:szCs w:val="22"/>
        </w:rPr>
        <w:t>ra justificado en los elementos para medir la razonabilidad de asuntos conforme a los parámetros establecidos por diversos órganos jurisdiccionales federales, aplicables también en procedimientos análogos, como el que nos ocupa.</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en términos de lo que </w:t>
      </w:r>
      <w:r>
        <w:rPr>
          <w:rFonts w:ascii="Palatino Linotype" w:eastAsia="Palatino Linotype" w:hAnsi="Palatino Linotype" w:cs="Palatino Linotype"/>
          <w:sz w:val="22"/>
          <w:szCs w:val="22"/>
        </w:rPr>
        <w:t>establecen los artículos 8.1 y 25 de la Convención Americana sobre Derechos Humanos, los recursos deben ser sencillos y resolverse en el menor tiempo posible, tomando en consideración la dilación total del procedimiento; esto es, en un plazo razonable.</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w:t>
      </w:r>
      <w:r>
        <w:rPr>
          <w:rFonts w:ascii="Palatino Linotype" w:eastAsia="Palatino Linotype" w:hAnsi="Palatino Linotype" w:cs="Palatino Linotype"/>
          <w:sz w:val="22"/>
          <w:szCs w:val="22"/>
        </w:rPr>
        <w:t xml:space="preserve"> como por el número de casos que conocen. </w:t>
      </w:r>
    </w:p>
    <w:p w:rsidR="008A0B47" w:rsidRDefault="00263314">
      <w:pPr>
        <w:spacing w:before="240" w:after="240" w:line="360" w:lineRule="auto"/>
        <w:jc w:val="both"/>
        <w:rPr>
          <w:rFonts w:ascii="Palatino Linotype" w:eastAsia="Palatino Linotype" w:hAnsi="Palatino Linotype" w:cs="Palatino Linotype"/>
          <w:strike/>
          <w:sz w:val="22"/>
          <w:szCs w:val="22"/>
        </w:rPr>
      </w:pPr>
      <w:r>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w:t>
      </w:r>
      <w:r>
        <w:rPr>
          <w:rFonts w:ascii="Palatino Linotype" w:eastAsia="Palatino Linotype" w:hAnsi="Palatino Linotype" w:cs="Palatino Linotype"/>
          <w:sz w:val="22"/>
          <w:szCs w:val="22"/>
        </w:rPr>
        <w:t xml:space="preserve">os: </w:t>
      </w:r>
    </w:p>
    <w:p w:rsidR="008A0B47" w:rsidRDefault="0026331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rsidR="008A0B47" w:rsidRDefault="0026331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rsidR="008A0B47" w:rsidRDefault="0026331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w:t>
      </w:r>
      <w:r>
        <w:rPr>
          <w:rFonts w:ascii="Palatino Linotype" w:eastAsia="Palatino Linotype" w:hAnsi="Palatino Linotype" w:cs="Palatino Linotype"/>
          <w:sz w:val="22"/>
          <w:szCs w:val="22"/>
        </w:rPr>
        <w:t>idad: Las Acciones u omisiones realizadas en el procedimiento. Así como si la autoridad actuó con la debida diligencia.</w:t>
      </w:r>
    </w:p>
    <w:p w:rsidR="008A0B47" w:rsidRDefault="00263314">
      <w:pPr>
        <w:tabs>
          <w:tab w:val="left" w:pos="567"/>
        </w:tabs>
        <w:spacing w:before="240"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modo qu</w:t>
      </w:r>
      <w:r>
        <w:rPr>
          <w:rFonts w:ascii="Palatino Linotype" w:eastAsia="Palatino Linotype" w:hAnsi="Palatino Linotype" w:cs="Palatino Linotype"/>
          <w:sz w:val="22"/>
          <w:szCs w:val="22"/>
        </w:rPr>
        <w:t>e, cuando se trate de un asunto excepcional, por alguna o todas las características mencionadas; o bien, cuando el ingreso de asuntos al órgano jurisdiccional o cuasi jurisdiccional respectivo supere notoriamente al que podría considerarse normal, debe con</w:t>
      </w:r>
      <w:r>
        <w:rPr>
          <w:rFonts w:ascii="Palatino Linotype" w:eastAsia="Palatino Linotype" w:hAnsi="Palatino Linotype" w:cs="Palatino Linotype"/>
          <w:sz w:val="22"/>
          <w:szCs w:val="22"/>
        </w:rPr>
        <w:t>cluirse que es una excluyente de responsabilidad en relación con la actuación del funcionario, como ha acontecido en el caso que nos ocupa.</w:t>
      </w:r>
    </w:p>
    <w:p w:rsidR="008A0B47" w:rsidRDefault="00263314">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Argumento que encuentra sustento en la jurisprudencia P./J. 32/92 emitida por el Pleno de la Suprema Corte de Justic</w:t>
      </w:r>
      <w:r>
        <w:rPr>
          <w:rFonts w:ascii="Palatino Linotype" w:eastAsia="Palatino Linotype" w:hAnsi="Palatino Linotype" w:cs="Palatino Linotype"/>
          <w:sz w:val="22"/>
          <w:szCs w:val="22"/>
        </w:rPr>
        <w:t xml:space="preserve">ia de la Nación de rubro </w:t>
      </w:r>
      <w:r>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visible en la Gaceta del Seminario Judicial de la Federación con el registro digital 205635.</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w:t>
      </w:r>
      <w:r>
        <w:rPr>
          <w:rFonts w:ascii="Palatino Linotype" w:eastAsia="Palatino Linotype" w:hAnsi="Palatino Linotype" w:cs="Palatino Linotype"/>
          <w:sz w:val="22"/>
          <w:szCs w:val="22"/>
        </w:rPr>
        <w:t xml:space="preserve"> desproporción a la capacidad de los recursos materiales y humanos con que cuenta este Instituto para atender la enorme demanda de usuarios que acuden para que se les garantice su Derecho de acceso a la información Pública y Protección de Datos Personales,</w:t>
      </w:r>
      <w:r>
        <w:rPr>
          <w:rFonts w:ascii="Palatino Linotype" w:eastAsia="Palatino Linotype" w:hAnsi="Palatino Linotype" w:cs="Palatino Linotype"/>
          <w:sz w:val="22"/>
          <w:szCs w:val="22"/>
        </w:rPr>
        <w:t xml:space="preserve"> aunado a la complejidad de los hechos a los que se refieren, así como al volumen del expediente, la extensión de los escritos y pruebas aportadas y desahogadas por las partes; lo que impide la tramitación de los recursos dentro de los términos legales pre</w:t>
      </w:r>
      <w:r>
        <w:rPr>
          <w:rFonts w:ascii="Palatino Linotype" w:eastAsia="Palatino Linotype" w:hAnsi="Palatino Linotype" w:cs="Palatino Linotype"/>
          <w:sz w:val="22"/>
          <w:szCs w:val="22"/>
        </w:rPr>
        <w:t>viamente establecidos por la Ley, por tratarse de causas de fuerza mayor.</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w:t>
      </w:r>
      <w:r>
        <w:rPr>
          <w:rFonts w:ascii="Palatino Linotype" w:eastAsia="Palatino Linotype" w:hAnsi="Palatino Linotype" w:cs="Palatino Linotype"/>
          <w:sz w:val="22"/>
          <w:szCs w:val="22"/>
        </w:rPr>
        <w:t xml:space="preserve"> son los siguientes:</w:t>
      </w:r>
    </w:p>
    <w:p w:rsidR="008A0B47" w:rsidRDefault="00263314">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rsidR="008A0B47" w:rsidRDefault="00263314">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w:t>
      </w:r>
      <w:r>
        <w:rPr>
          <w:rFonts w:ascii="Palatino Linotype" w:eastAsia="Palatino Linotype" w:hAnsi="Palatino Linotype" w:cs="Palatino Linotype"/>
          <w:b/>
          <w:i/>
          <w:sz w:val="22"/>
          <w:szCs w:val="22"/>
        </w:rPr>
        <w:t xml:space="preserve"> RESOLVER. CONCEPTO Y ELEMENTOS QUE LO INTEGRAN A LA LUZ DEL DERECHO INTERNACIONAL DE LOS DERECHOS HUMANOS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ello, este Organismo Garante comprometido con </w:t>
      </w:r>
      <w:r>
        <w:rPr>
          <w:rFonts w:ascii="Palatino Linotype" w:eastAsia="Palatino Linotype" w:hAnsi="Palatino Linotype" w:cs="Palatino Linotype"/>
          <w:sz w:val="22"/>
          <w:szCs w:val="22"/>
        </w:rPr>
        <w:t>la tutela de los derechos humanos confiados, señala que este exceso del plazo legal para resolver el presente asunto, resulta de carácter excepcional.</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que fue debidamente sustanciado el expediente electrónico y no existe diligencia pendiente de</w:t>
      </w:r>
      <w:r>
        <w:rPr>
          <w:rFonts w:ascii="Palatino Linotype" w:eastAsia="Palatino Linotype" w:hAnsi="Palatino Linotype" w:cs="Palatino Linotype"/>
          <w:sz w:val="22"/>
          <w:szCs w:val="22"/>
        </w:rPr>
        <w:t xml:space="preserve"> desahogo, se emite la Resolución que conforme a Derecho proceda, de acuerdo con los siguientes: </w:t>
      </w:r>
    </w:p>
    <w:p w:rsidR="008A0B47" w:rsidRDefault="00263314">
      <w:pPr>
        <w:widowControl w:val="0"/>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 C O N S I D E R A N D O 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w:t>
      </w:r>
      <w:r>
        <w:rPr>
          <w:rFonts w:ascii="Palatino Linotype" w:eastAsia="Palatino Linotype" w:hAnsi="Palatino Linotype" w:cs="Palatino Linotype"/>
          <w:sz w:val="22"/>
          <w:szCs w:val="22"/>
        </w:rPr>
        <w:t xml:space="preserve"> de México y Municipios, es competente para conocer y resolver el presente recurso de revisión interpuesto por la parte recurrente, conforme a lo dispuesto en los artículos 6, apartado A de la Constitución Política de los Estados Unidos Mexicanos; 5 párraf</w:t>
      </w:r>
      <w:r>
        <w:rPr>
          <w:rFonts w:ascii="Palatino Linotype" w:eastAsia="Palatino Linotype" w:hAnsi="Palatino Linotype" w:cs="Palatino Linotype"/>
          <w:sz w:val="22"/>
          <w:szCs w:val="22"/>
        </w:rPr>
        <w:t>os trigésimo noveno, cuadragésimo y cuadragésimo primero, fracciones IV y V de la Constitución Política del Estado Libre y Soberano de México; 2, fracción II; 29, 36 fracciones I y II; 176, 178, 181, 185, fracción I, 186 y 188 de la Ley Transparencia y Acc</w:t>
      </w:r>
      <w:r>
        <w:rPr>
          <w:rFonts w:ascii="Palatino Linotype" w:eastAsia="Palatino Linotype" w:hAnsi="Palatino Linotype" w:cs="Palatino Linotype"/>
          <w:sz w:val="22"/>
          <w:szCs w:val="22"/>
        </w:rPr>
        <w:t>eso a la Información Pública del Estado de México y Municipios; 9, fracciones I y XXIII y 11 del Reglamento Interior del Instituto de Transparencia, Acceso a la Información Pública y Protección de Datos Personales del Estado de México y Municipios.</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Pr>
          <w:rFonts w:ascii="Palatino Linotype" w:eastAsia="Palatino Linotype" w:hAnsi="Palatino Linotype" w:cs="Palatino Linotype"/>
          <w:b/>
          <w:sz w:val="22"/>
          <w:szCs w:val="22"/>
        </w:rPr>
        <w:t>Segundo</w:t>
      </w:r>
      <w:r>
        <w:rPr>
          <w:rFonts w:ascii="Palatino Linotype" w:eastAsia="Palatino Linotype" w:hAnsi="Palatino Linotype" w:cs="Palatino Linotype"/>
          <w:b/>
          <w:sz w:val="22"/>
          <w:szCs w:val="22"/>
        </w:rPr>
        <w:t xml:space="preserve">. Oportunidad y </w:t>
      </w:r>
      <w:proofErr w:type="spellStart"/>
      <w:r>
        <w:rPr>
          <w:rFonts w:ascii="Palatino Linotype" w:eastAsia="Palatino Linotype" w:hAnsi="Palatino Linotype" w:cs="Palatino Linotype"/>
          <w:b/>
          <w:sz w:val="22"/>
          <w:szCs w:val="22"/>
        </w:rPr>
        <w:t>Procedibilidad</w:t>
      </w:r>
      <w:proofErr w:type="spellEnd"/>
      <w:r>
        <w:rPr>
          <w:rFonts w:ascii="Palatino Linotype" w:eastAsia="Palatino Linotype" w:hAnsi="Palatino Linotype" w:cs="Palatino Linotype"/>
          <w:b/>
          <w:sz w:val="22"/>
          <w:szCs w:val="22"/>
        </w:rPr>
        <w:t xml:space="preserve"> del Recurso de Revisión</w:t>
      </w:r>
      <w:r>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Pr>
          <w:rFonts w:ascii="Palatino Linotype" w:eastAsia="Palatino Linotype" w:hAnsi="Palatino Linotype" w:cs="Palatino Linotype"/>
          <w:sz w:val="22"/>
          <w:szCs w:val="22"/>
        </w:rPr>
        <w:t>procedibilidad</w:t>
      </w:r>
      <w:proofErr w:type="spellEnd"/>
      <w:r>
        <w:rPr>
          <w:rFonts w:ascii="Palatino Linotype" w:eastAsia="Palatino Linotype" w:hAnsi="Palatino Linotype" w:cs="Palatino Linotype"/>
          <w:sz w:val="22"/>
          <w:szCs w:val="22"/>
        </w:rPr>
        <w:t xml:space="preserve"> que debe reunir el recurso de revisión interpuesto, previstos en los artículos 178 y 180 de</w:t>
      </w:r>
      <w:r>
        <w:rPr>
          <w:rFonts w:ascii="Palatino Linotype" w:eastAsia="Palatino Linotype" w:hAnsi="Palatino Linotype" w:cs="Palatino Linotype"/>
          <w:sz w:val="22"/>
          <w:szCs w:val="22"/>
        </w:rPr>
        <w:t xml:space="preserve"> la Ley de Transparencia y Acceso a la Información Pública del Estado de México y Municipios.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revisión fue interpuesto dentro del plazo de quince días hábiles, previsto en el artículo 178 de la Ley de Transparencia y Acceso a la Información P</w:t>
      </w:r>
      <w:r>
        <w:rPr>
          <w:rFonts w:ascii="Palatino Linotype" w:eastAsia="Palatino Linotype" w:hAnsi="Palatino Linotype" w:cs="Palatino Linotype"/>
          <w:sz w:val="22"/>
          <w:szCs w:val="22"/>
        </w:rPr>
        <w:t xml:space="preserve">ública del Estado de México y Municipios, toda vez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remitió la respuesta a la solicitud de información el día </w:t>
      </w:r>
      <w:r>
        <w:rPr>
          <w:rFonts w:ascii="Palatino Linotype" w:eastAsia="Palatino Linotype" w:hAnsi="Palatino Linotype" w:cs="Palatino Linotype"/>
          <w:b/>
          <w:sz w:val="22"/>
          <w:szCs w:val="22"/>
        </w:rPr>
        <w:t xml:space="preserve">diecisiete de junio de dos mil veinticinco, </w:t>
      </w:r>
      <w:r>
        <w:rPr>
          <w:rFonts w:ascii="Palatino Linotype" w:eastAsia="Palatino Linotype" w:hAnsi="Palatino Linotype" w:cs="Palatino Linotype"/>
          <w:sz w:val="22"/>
          <w:szCs w:val="22"/>
        </w:rPr>
        <w:t xml:space="preserve">mientras que el recurso de revisión interpuesto por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se tuvo</w:t>
      </w:r>
      <w:r>
        <w:rPr>
          <w:rFonts w:ascii="Palatino Linotype" w:eastAsia="Palatino Linotype" w:hAnsi="Palatino Linotype" w:cs="Palatino Linotype"/>
          <w:sz w:val="22"/>
          <w:szCs w:val="22"/>
        </w:rPr>
        <w:t xml:space="preserve"> por presentado el día</w:t>
      </w:r>
      <w:r>
        <w:rPr>
          <w:rFonts w:ascii="Palatino Linotype" w:eastAsia="Palatino Linotype" w:hAnsi="Palatino Linotype" w:cs="Palatino Linotype"/>
          <w:b/>
          <w:sz w:val="22"/>
          <w:szCs w:val="22"/>
        </w:rPr>
        <w:t xml:space="preserve"> diecisiete de junio de dos mil veinticinco, </w:t>
      </w:r>
      <w:r>
        <w:rPr>
          <w:rFonts w:ascii="Palatino Linotype" w:eastAsia="Palatino Linotype" w:hAnsi="Palatino Linotype" w:cs="Palatino Linotype"/>
          <w:sz w:val="22"/>
          <w:szCs w:val="22"/>
        </w:rPr>
        <w:t xml:space="preserve">esto es, el mismo día en el que tuvo conocimiento de la respuesta impugnada. En este sentido, se concluye que el presente recurso de revisión se encuentra dentro de los márgenes temporales </w:t>
      </w:r>
      <w:r>
        <w:rPr>
          <w:rFonts w:ascii="Palatino Linotype" w:eastAsia="Palatino Linotype" w:hAnsi="Palatino Linotype" w:cs="Palatino Linotype"/>
          <w:sz w:val="22"/>
          <w:szCs w:val="22"/>
        </w:rPr>
        <w:t>previstos en las disposiciones legales referidas.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w:t>
      </w:r>
      <w:r>
        <w:rPr>
          <w:rFonts w:ascii="Palatino Linotype" w:eastAsia="Palatino Linotype" w:hAnsi="Palatino Linotype" w:cs="Palatino Linotype"/>
          <w:sz w:val="22"/>
          <w:szCs w:val="22"/>
        </w:rPr>
        <w:t>ión materia de impugnación, ya que ello debe entenderse para el efecto de que transcurrido dicho plazo ya no podrá presentarse el medio de impugnación o si es que se presenta, el mismo se considerará extemporáneo, no así cuando el medio de defensa se inter</w:t>
      </w:r>
      <w:r>
        <w:rPr>
          <w:rFonts w:ascii="Palatino Linotype" w:eastAsia="Palatino Linotype" w:hAnsi="Palatino Linotype" w:cs="Palatino Linotype"/>
          <w:sz w:val="22"/>
          <w:szCs w:val="22"/>
        </w:rPr>
        <w:t xml:space="preserve">ponga antes de que comience a correr el plazo legal; tiene aplicación por analogía, la jurisprudencia 1ª. /J.41/2015, publicada en el Semanario Judicial de la Federación y su Gaceta, Libro 19, Junio de 2015, Tomo I, página 569 de la Décima época que lleva </w:t>
      </w:r>
      <w:r>
        <w:rPr>
          <w:rFonts w:ascii="Palatino Linotype" w:eastAsia="Palatino Linotype" w:hAnsi="Palatino Linotype" w:cs="Palatino Linotype"/>
          <w:sz w:val="22"/>
          <w:szCs w:val="22"/>
        </w:rPr>
        <w:t>por rubro y texto los siguientes:</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w:t>
      </w:r>
      <w:r>
        <w:rPr>
          <w:rFonts w:ascii="Palatino Linotype" w:eastAsia="Palatino Linotype" w:hAnsi="Palatino Linotype" w:cs="Palatino Linotype"/>
          <w:i/>
          <w:sz w:val="22"/>
          <w:szCs w:val="22"/>
        </w:rPr>
        <w:t xml:space="preserve">pugnada. Ahora bien, dicho numeral sólo refiere que el aludido medio de defensa no puede hacerse valer después de tres días, por tanto, no impide que el escrito correspondiente se presente antes de iniciado ese término. De ahí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si dicho recurso se inter</w:t>
      </w:r>
      <w:r>
        <w:rPr>
          <w:rFonts w:ascii="Palatino Linotype" w:eastAsia="Palatino Linotype" w:hAnsi="Palatino Linotype" w:cs="Palatino Linotype"/>
          <w:i/>
          <w:sz w:val="22"/>
          <w:szCs w:val="22"/>
        </w:rPr>
        <w:t>pone antes de que inicie el plazo para hacerlo, su presentación no es extemporánea.”</w:t>
      </w:r>
    </w:p>
    <w:p w:rsidR="008A0B47" w:rsidRDefault="00263314">
      <w:pPr>
        <w:tabs>
          <w:tab w:val="left" w:pos="7938"/>
        </w:tabs>
        <w:spacing w:before="240" w:after="240" w:line="360" w:lineRule="auto"/>
        <w:jc w:val="both"/>
        <w:rPr>
          <w:rFonts w:ascii="Palatino Linotype" w:eastAsia="Palatino Linotype" w:hAnsi="Palatino Linotype" w:cs="Palatino Linotype"/>
          <w:sz w:val="22"/>
          <w:szCs w:val="22"/>
        </w:rPr>
      </w:pPr>
      <w:bookmarkStart w:id="8" w:name="_heading=h.3znysh7" w:colFirst="0" w:colLast="0"/>
      <w:bookmarkEnd w:id="8"/>
      <w:r>
        <w:rPr>
          <w:rFonts w:ascii="Palatino Linotype" w:eastAsia="Palatino Linotype" w:hAnsi="Palatino Linotype" w:cs="Palatino Linotype"/>
          <w:sz w:val="22"/>
          <w:szCs w:val="22"/>
        </w:rPr>
        <w:t xml:space="preserve">Al mismo tiempo, por cuanto hace a la </w:t>
      </w:r>
      <w:proofErr w:type="spellStart"/>
      <w:r>
        <w:rPr>
          <w:rFonts w:ascii="Palatino Linotype" w:eastAsia="Palatino Linotype" w:hAnsi="Palatino Linotype" w:cs="Palatino Linotype"/>
          <w:sz w:val="22"/>
          <w:szCs w:val="22"/>
        </w:rPr>
        <w:t>procedibilidad</w:t>
      </w:r>
      <w:proofErr w:type="spellEnd"/>
      <w:r>
        <w:rPr>
          <w:rFonts w:ascii="Palatino Linotype" w:eastAsia="Palatino Linotype" w:hAnsi="Palatino Linotype" w:cs="Palatino Linotype"/>
          <w:sz w:val="22"/>
          <w:szCs w:val="22"/>
        </w:rPr>
        <w:t xml:space="preserve"> del recurso de revisión, una vez realizado el análisis del formato de interposición del recurso, se concluye la acredi</w:t>
      </w:r>
      <w:r>
        <w:rPr>
          <w:rFonts w:ascii="Palatino Linotype" w:eastAsia="Palatino Linotype" w:hAnsi="Palatino Linotype" w:cs="Palatino Linotype"/>
          <w:sz w:val="22"/>
          <w:szCs w:val="22"/>
        </w:rPr>
        <w:t>tación plena de los elementos formales precisados por el artículo 180 de la Ley de Transparencia y Acceso a la Información Pública del Estado de México y Municipios, en atención a que fue presentado mediante el formato visible en el SAIMEX.</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se </w:t>
      </w:r>
      <w:r>
        <w:rPr>
          <w:rFonts w:ascii="Palatino Linotype" w:eastAsia="Palatino Linotype" w:hAnsi="Palatino Linotype" w:cs="Palatino Linotype"/>
          <w:sz w:val="22"/>
          <w:szCs w:val="22"/>
        </w:rPr>
        <w:t xml:space="preserve">advierte que resulta procedente la interposición del recurso, según lo manifestado por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rsidR="008A0B47" w:rsidRDefault="00263314">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w:t>
      </w:r>
      <w:r>
        <w:rPr>
          <w:rFonts w:ascii="Palatino Linotype" w:eastAsia="Palatino Linotype" w:hAnsi="Palatino Linotype" w:cs="Palatino Linotype"/>
          <w:i/>
          <w:sz w:val="22"/>
          <w:szCs w:val="22"/>
        </w:rPr>
        <w:t>o de revisión es un medio de protección que la Ley otorga a los particulares, para hacer valer su derecho de acceso a la información pública, y procederá en contra de las siguientes causas:</w:t>
      </w:r>
    </w:p>
    <w:p w:rsidR="008A0B47" w:rsidRDefault="00263314">
      <w:pPr>
        <w:tabs>
          <w:tab w:val="left" w:pos="7938"/>
        </w:tabs>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8A0B47" w:rsidRDefault="00263314">
      <w:pPr>
        <w:tabs>
          <w:tab w:val="left" w:pos="7938"/>
        </w:tabs>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entrega de información incompleta</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w:t>
      </w:r>
    </w:p>
    <w:p w:rsidR="008A0B47" w:rsidRDefault="00263314">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Tercero. Materia de la revisión. </w:t>
      </w:r>
      <w:r>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sz w:val="22"/>
          <w:szCs w:val="22"/>
        </w:rPr>
        <w:t xml:space="preserve">verificar si </w:t>
      </w:r>
      <w:r>
        <w:rPr>
          <w:rFonts w:ascii="Palatino Linotype" w:eastAsia="Palatino Linotype" w:hAnsi="Palatino Linotype" w:cs="Palatino Linotype"/>
          <w:b/>
          <w:sz w:val="22"/>
          <w:szCs w:val="22"/>
        </w:rPr>
        <w:t xml:space="preserve">la información proporcionada por el Sujeto Obligado es adecuada y suficiente para satisfacer el derecho de acceso a la información pública </w:t>
      </w:r>
      <w:r>
        <w:rPr>
          <w:rFonts w:ascii="Palatino Linotype" w:eastAsia="Palatino Linotype" w:hAnsi="Palatino Linotype" w:cs="Palatino Linotype"/>
          <w:sz w:val="22"/>
          <w:szCs w:val="22"/>
        </w:rPr>
        <w:t xml:space="preserve">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o en su defecto, en caso de ser procedente, ordenar la entrega de información.</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Pr>
          <w:rFonts w:ascii="Palatino Linotype" w:eastAsia="Palatino Linotype" w:hAnsi="Palatino Linotype" w:cs="Palatino Linotype"/>
          <w:b/>
          <w:sz w:val="22"/>
          <w:szCs w:val="22"/>
        </w:rPr>
        <w:t>Cuarto. Estudi</w:t>
      </w:r>
      <w:r>
        <w:rPr>
          <w:rFonts w:ascii="Palatino Linotype" w:eastAsia="Palatino Linotype" w:hAnsi="Palatino Linotype" w:cs="Palatino Linotype"/>
          <w:b/>
          <w:sz w:val="22"/>
          <w:szCs w:val="22"/>
        </w:rPr>
        <w:t xml:space="preserve">o del asunto. </w:t>
      </w:r>
      <w:r>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w:t>
      </w:r>
      <w:r>
        <w:rPr>
          <w:rFonts w:ascii="Palatino Linotype" w:eastAsia="Palatino Linotype" w:hAnsi="Palatino Linotype" w:cs="Palatino Linotype"/>
          <w:sz w:val="22"/>
          <w:szCs w:val="22"/>
        </w:rPr>
        <w:t>inistrada o en posesión de los sujetos obligados es pública y accesible de manera permanente a cualquier persona, privilegiando el principio de máxima publicidad, como así lo establece dicha determinación, que a continuación se transcribe para un mejor ent</w:t>
      </w:r>
      <w:r>
        <w:rPr>
          <w:rFonts w:ascii="Palatino Linotype" w:eastAsia="Palatino Linotype" w:hAnsi="Palatino Linotype" w:cs="Palatino Linotype"/>
          <w:sz w:val="22"/>
          <w:szCs w:val="22"/>
        </w:rPr>
        <w:t>endimiento:</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w:t>
      </w:r>
      <w:r>
        <w:rPr>
          <w:rFonts w:ascii="Palatino Linotype" w:eastAsia="Palatino Linotype" w:hAnsi="Palatino Linotype" w:cs="Palatino Linotype"/>
          <w:i/>
          <w:sz w:val="22"/>
          <w:szCs w:val="22"/>
        </w:rPr>
        <w:t xml:space="preserve">o. </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w:t>
      </w:r>
      <w:r>
        <w:rPr>
          <w:rFonts w:ascii="Palatino Linotype" w:eastAsia="Palatino Linotype" w:hAnsi="Palatino Linotype" w:cs="Palatino Linotype"/>
          <w:i/>
          <w:sz w:val="22"/>
          <w:szCs w:val="22"/>
        </w:rPr>
        <w:t xml:space="preserve">nacionales de los que el Estado mexicano sea parte, en la Ley General, la presente Ley y demás disposiciones de la materia, privilegiando el principio de máxima publicidad de la información. Solo podrá ser clasificada excepcionalmente Ley de Transparencia </w:t>
      </w:r>
      <w:r>
        <w:rPr>
          <w:rFonts w:ascii="Palatino Linotype" w:eastAsia="Palatino Linotype" w:hAnsi="Palatino Linotype" w:cs="Palatino Linotype"/>
          <w:i/>
          <w:sz w:val="22"/>
          <w:szCs w:val="22"/>
        </w:rPr>
        <w:t>y Acceso a la Información Pública del Estado de México y Municipios 29 como reservada temporalmente por razones de interés público, en los términos de las causas legítimas y estrictamente necesarias previstas por esta Ley.</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w:t>
      </w:r>
      <w:r>
        <w:rPr>
          <w:rFonts w:ascii="Palatino Linotype" w:eastAsia="Palatino Linotype" w:hAnsi="Palatino Linotype" w:cs="Palatino Linotype"/>
          <w:b/>
          <w:i/>
          <w:sz w:val="22"/>
          <w:szCs w:val="22"/>
        </w:rPr>
        <w:t xml:space="preserve">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w:t>
      </w:r>
      <w:r>
        <w:rPr>
          <w:rFonts w:ascii="Palatino Linotype" w:eastAsia="Palatino Linotype" w:hAnsi="Palatino Linotype" w:cs="Palatino Linotype"/>
          <w:sz w:val="22"/>
          <w:szCs w:val="22"/>
        </w:rPr>
        <w:t>ender las solicitudes de acceso a la información pública que se les hagan de su conocimiento y proporcionar la información pública que obren en su poder conforme el estado que se encuentra y no hacer un procesamiento de la misma, ni presentarla conforme al</w:t>
      </w:r>
      <w:r>
        <w:rPr>
          <w:rFonts w:ascii="Palatino Linotype" w:eastAsia="Palatino Linotype" w:hAnsi="Palatino Linotype" w:cs="Palatino Linotype"/>
          <w:sz w:val="22"/>
          <w:szCs w:val="22"/>
        </w:rPr>
        <w:t xml:space="preserve"> interés del solicitante; como así lo establece el artículo 12 de la Ley de Transparencia y Acceso a la Información Pública del Estado de México y Municipios, que a la letra dice:</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w:t>
      </w:r>
      <w:r>
        <w:rPr>
          <w:rFonts w:ascii="Palatino Linotype" w:eastAsia="Palatino Linotype" w:hAnsi="Palatino Linotype" w:cs="Palatino Linotype"/>
          <w:i/>
          <w:sz w:val="22"/>
          <w:szCs w:val="22"/>
        </w:rPr>
        <w:t xml:space="preserve">rchiven o conserven información pública serán responsables de la misma en los términos de las disposiciones jurídicas aplicables. </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w:t>
      </w:r>
      <w:r>
        <w:rPr>
          <w:rFonts w:ascii="Palatino Linotype" w:eastAsia="Palatino Linotype" w:hAnsi="Palatino Linotype" w:cs="Palatino Linotype"/>
          <w:b/>
          <w:i/>
          <w:sz w:val="22"/>
          <w:szCs w:val="22"/>
        </w:rPr>
        <w:t>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w:t>
      </w:r>
      <w:r>
        <w:rPr>
          <w:rFonts w:ascii="Palatino Linotype" w:eastAsia="Palatino Linotype" w:hAnsi="Palatino Linotype" w:cs="Palatino Linotype"/>
          <w:b/>
          <w:i/>
          <w:sz w:val="22"/>
          <w:szCs w:val="22"/>
        </w:rPr>
        <w:t>es.”</w:t>
      </w:r>
    </w:p>
    <w:p w:rsidR="008A0B47" w:rsidRDefault="00263314">
      <w:pPr>
        <w:spacing w:before="240" w:after="240"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w:t>
      </w:r>
      <w:r>
        <w:rPr>
          <w:rFonts w:ascii="Palatino Linotype" w:eastAsia="Palatino Linotype" w:hAnsi="Palatino Linotype" w:cs="Palatino Linotype"/>
          <w:sz w:val="22"/>
          <w:szCs w:val="22"/>
        </w:rPr>
        <w:t>uar procedimientos para obtenerla, calcular y practicar investigaciones; en otras palabras, que los Sujetos Obligados sólo se concretaran a proporcionar la información solicitada que tengan en su poder en el estado que se encuentran, sin necesidad de concr</w:t>
      </w:r>
      <w:r>
        <w:rPr>
          <w:rFonts w:ascii="Palatino Linotype" w:eastAsia="Palatino Linotype" w:hAnsi="Palatino Linotype" w:cs="Palatino Linotype"/>
          <w:sz w:val="22"/>
          <w:szCs w:val="22"/>
        </w:rPr>
        <w:t>etarse al interés o términos específicos del solicitante.</w:t>
      </w:r>
    </w:p>
    <w:p w:rsidR="008A0B47" w:rsidRDefault="00263314">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w:t>
      </w:r>
      <w:r>
        <w:rPr>
          <w:rFonts w:ascii="Palatino Linotype" w:eastAsia="Palatino Linotype" w:hAnsi="Palatino Linotype" w:cs="Palatino Linotype"/>
          <w:sz w:val="22"/>
          <w:szCs w:val="22"/>
        </w:rPr>
        <w:t>onales, que, por rubro y texto, dispone lo siguiente:</w:t>
      </w:r>
      <w:r>
        <w:rPr>
          <w:rFonts w:ascii="Palatino Linotype" w:eastAsia="Palatino Linotype" w:hAnsi="Palatino Linotype" w:cs="Palatino Linotype"/>
          <w:b/>
          <w:sz w:val="22"/>
          <w:szCs w:val="22"/>
        </w:rPr>
        <w:t xml:space="preserve"> </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w:t>
      </w:r>
      <w:r>
        <w:rPr>
          <w:rFonts w:ascii="Palatino Linotype" w:eastAsia="Palatino Linotype" w:hAnsi="Palatino Linotype" w:cs="Palatino Linotype"/>
          <w:i/>
          <w:sz w:val="22"/>
          <w:szCs w:val="22"/>
        </w:rPr>
        <w:t>ue se encuentren en sus archivos o que estén obligados a documentar, de acuerdo con sus facultades, competencias o funciones, conforme a las características físicas de la información o del lugar donde se encuentre. Por lo anterior, los sujetos obligados de</w:t>
      </w:r>
      <w:r>
        <w:rPr>
          <w:rFonts w:ascii="Palatino Linotype" w:eastAsia="Palatino Linotype" w:hAnsi="Palatino Linotype" w:cs="Palatino Linotype"/>
          <w:i/>
          <w:sz w:val="22"/>
          <w:szCs w:val="22"/>
        </w:rPr>
        <w:t>ben garantizar el derecho de acceso a la información del particular, proporcionando la información con la que cuentan en el formato en que la misma obre en sus archivos; sin necesidad de elaborar documentos ad hoc para atender las solicitudes de informació</w:t>
      </w:r>
      <w:r>
        <w:rPr>
          <w:rFonts w:ascii="Palatino Linotype" w:eastAsia="Palatino Linotype" w:hAnsi="Palatino Linotype" w:cs="Palatino Linotype"/>
          <w:i/>
          <w:sz w:val="22"/>
          <w:szCs w:val="22"/>
        </w:rPr>
        <w:t xml:space="preserve">n.” </w:t>
      </w:r>
    </w:p>
    <w:p w:rsidR="008A0B47" w:rsidRDefault="00263314">
      <w:pPr>
        <w:spacing w:before="120" w:after="12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w:t>
      </w:r>
      <w:r>
        <w:rPr>
          <w:rFonts w:ascii="Palatino Linotype" w:eastAsia="Palatino Linotype" w:hAnsi="Palatino Linotype" w:cs="Palatino Linotype"/>
          <w:sz w:val="22"/>
          <w:szCs w:val="22"/>
        </w:rPr>
        <w:t>rmación pública se encuentra a disposición de cualquier persona, lo que implica que es deber de los Sujetos Obligados, garantizar el Derecho de Acceso a la Información Pública.</w:t>
      </w:r>
    </w:p>
    <w:p w:rsidR="008A0B47" w:rsidRDefault="00263314">
      <w:pPr>
        <w:spacing w:before="120" w:after="12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el derecho de acceso a la información pública, consiste en que l</w:t>
      </w:r>
      <w:r>
        <w:rPr>
          <w:rFonts w:ascii="Palatino Linotype" w:eastAsia="Palatino Linotype" w:hAnsi="Palatino Linotype" w:cs="Palatino Linotype"/>
          <w:sz w:val="22"/>
          <w:szCs w:val="22"/>
        </w:rPr>
        <w:t xml:space="preserve">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sz w:val="22"/>
          <w:szCs w:val="22"/>
        </w:rPr>
        <w:t>memorandos, estadísticas o bien, cualquier otro registro que documente el ejercicio de las facultades, funciones y competencias de los Sujetos Obligados; los que, podrán estar en cualquier medio, sea escrito, impreso, sonoro, visual, electrónico, informáti</w:t>
      </w:r>
      <w:r>
        <w:rPr>
          <w:rFonts w:ascii="Palatino Linotype" w:eastAsia="Palatino Linotype" w:hAnsi="Palatino Linotype" w:cs="Palatino Linotype"/>
          <w:sz w:val="22"/>
          <w:szCs w:val="22"/>
        </w:rPr>
        <w:t xml:space="preserve">co u holográfico de conformidad con el artículo 3, fracción XI de la Ley de la materia, el cual señala lo siguiente: </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sz w:val="22"/>
          <w:szCs w:val="22"/>
        </w:rPr>
        <w:t xml:space="preserve">as de los sujetos obligados, sus servidores públicos e integrantes, sin importar su fuente o fecha de elaboración. Los documentos podrán estar en cualquier medio, sea escrito, impreso, sonoro, visual, electrónico, informático u holográfico…” </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aplicable,</w:t>
      </w:r>
      <w:r>
        <w:rPr>
          <w:rFonts w:ascii="Palatino Linotype" w:eastAsia="Palatino Linotype" w:hAnsi="Palatino Linotype" w:cs="Palatino Linotype"/>
          <w:sz w:val="22"/>
          <w:szCs w:val="22"/>
        </w:rPr>
        <w:t xml:space="preserve"> el criterio de interpretación en el orden administrativo número 0002-11, emitido por Acuerdo del Pleno del Instituto de Transparencia y Acceso a la Información Pública del Estado de México y Municipios; publicado en el Periódico Oficial del Gobierno del E</w:t>
      </w:r>
      <w:r>
        <w:rPr>
          <w:rFonts w:ascii="Palatino Linotype" w:eastAsia="Palatino Linotype" w:hAnsi="Palatino Linotype" w:cs="Palatino Linotype"/>
          <w:sz w:val="22"/>
          <w:szCs w:val="22"/>
        </w:rPr>
        <w:t>stado Libre y Soberano de México “Gaceta del Gobierno”, el diecinueve de octubre de dos mil once, cuyo rubro y texto refieren lo siguiente:</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INFORMACIÓN PÚBLICA, CONCEPTO DE, EN MATERIA DE TRANSPARENCIA. INTERPRETACIÓN SISTEMÁTICA DE LOS ARTÍCULOS 2°, FRAC</w:t>
      </w:r>
      <w:r>
        <w:rPr>
          <w:rFonts w:ascii="Palatino Linotype" w:eastAsia="Palatino Linotype" w:hAnsi="Palatino Linotype" w:cs="Palatino Linotype"/>
          <w:b/>
          <w:i/>
          <w:sz w:val="22"/>
          <w:szCs w:val="22"/>
        </w:rPr>
        <w:t>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w:t>
      </w:r>
      <w:r>
        <w:rPr>
          <w:rFonts w:ascii="Palatino Linotype" w:eastAsia="Palatino Linotype" w:hAnsi="Palatino Linotype" w:cs="Palatino Linotype"/>
          <w:i/>
          <w:sz w:val="22"/>
          <w:szCs w:val="22"/>
        </w:rPr>
        <w:t>ados, generados o en posesión de los órganos u organismos públicos, en virtud del ejercicio de sus funciones de derecho público, sin importar su fuente, soporte o fecha de elaboración.</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w:t>
      </w:r>
      <w:r>
        <w:rPr>
          <w:rFonts w:ascii="Palatino Linotype" w:eastAsia="Palatino Linotype" w:hAnsi="Palatino Linotype" w:cs="Palatino Linotype"/>
          <w:i/>
          <w:sz w:val="22"/>
          <w:szCs w:val="22"/>
        </w:rPr>
        <w:t>cualquiera de los siguientes tres supuestos:</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w:t>
      </w:r>
      <w:r>
        <w:rPr>
          <w:rFonts w:ascii="Palatino Linotype" w:eastAsia="Palatino Linotype" w:hAnsi="Palatino Linotype" w:cs="Palatino Linotype"/>
          <w:i/>
          <w:sz w:val="22"/>
          <w:szCs w:val="22"/>
        </w:rPr>
        <w:t xml:space="preserve">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w:t>
      </w:r>
      <w:r>
        <w:rPr>
          <w:rFonts w:ascii="Palatino Linotype" w:eastAsia="Palatino Linotype" w:hAnsi="Palatino Linotype" w:cs="Palatino Linotype"/>
          <w:i/>
          <w:sz w:val="22"/>
          <w:szCs w:val="22"/>
        </w:rPr>
        <w:t>tre en posesión de los Sujetos Obligados.”</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w:t>
      </w:r>
      <w:r>
        <w:rPr>
          <w:rFonts w:ascii="Palatino Linotype" w:eastAsia="Palatino Linotype" w:hAnsi="Palatino Linotype" w:cs="Palatino Linotype"/>
          <w:sz w:val="22"/>
          <w:szCs w:val="22"/>
        </w:rPr>
        <w:t xml:space="preserve"> de conocerse, o bien, generar un daño en los derechos de las personas, debiendo tener audacia los Sujetos Obligados para cuidar esta información a través del acuerdo clasificatorio del comité de transparencia y la versión pública que emita el servidor púb</w:t>
      </w:r>
      <w:r>
        <w:rPr>
          <w:rFonts w:ascii="Palatino Linotype" w:eastAsia="Palatino Linotype" w:hAnsi="Palatino Linotype" w:cs="Palatino Linotype"/>
          <w:sz w:val="22"/>
          <w:szCs w:val="22"/>
        </w:rPr>
        <w:t>lico habilitado de cada Sujeto Obligado; como así se establece en la Ley de Transparencia y Acceso a la Información Pública del Estado de México y Municipios.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mismo tenor, los artículos 6, apartado A, fracción I, de la Constitución Política de los Es</w:t>
      </w:r>
      <w:r>
        <w:rPr>
          <w:rFonts w:ascii="Palatino Linotype" w:eastAsia="Palatino Linotype" w:hAnsi="Palatino Linotype" w:cs="Palatino Linotype"/>
          <w:sz w:val="22"/>
          <w:szCs w:val="22"/>
        </w:rPr>
        <w:t>tados Unidos Mexicanos y 5, fracción I, de la Constitución Política del Estado Libre y Soberano de México, establecen que toda la información en posesión de cualquier autoridad, entidad, órgano y organismos de los Poderes Ejecutivo, Legislativo y Judicial,</w:t>
      </w:r>
      <w:r>
        <w:rPr>
          <w:rFonts w:ascii="Palatino Linotype" w:eastAsia="Palatino Linotype" w:hAnsi="Palatino Linotype" w:cs="Palatino Linotype"/>
          <w:sz w:val="22"/>
          <w:szCs w:val="22"/>
        </w:rPr>
        <w:t xml:space="preserve"> órganos autónomos, partidos políticos, fideicomisos y fondos públicos estatales y municipales, así como del gobierno y de la administración pública municipal y sus organismos descentralizados, asimismo de cualquier persona física, jurídica colectiva o sin</w:t>
      </w:r>
      <w:r>
        <w:rPr>
          <w:rFonts w:ascii="Palatino Linotype" w:eastAsia="Palatino Linotype" w:hAnsi="Palatino Linotype" w:cs="Palatino Linotype"/>
          <w:sz w:val="22"/>
          <w:szCs w:val="22"/>
        </w:rPr>
        <w:t>dicato que reciba y ejerza recursos públicos o realice actos de autoridad en el ámbito estatal y municipal, es pública y sólo podrá ser reservada temporalmente por las razones previstas en la Constitución Federal por interés público y seguridad, en los tér</w:t>
      </w:r>
      <w:r>
        <w:rPr>
          <w:rFonts w:ascii="Palatino Linotype" w:eastAsia="Palatino Linotype" w:hAnsi="Palatino Linotype" w:cs="Palatino Linotype"/>
          <w:sz w:val="22"/>
          <w:szCs w:val="22"/>
        </w:rPr>
        <w:t>minos que fijen las leyes de la materia.</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requirió al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le proporcione, información consistente </w:t>
      </w:r>
      <w:r>
        <w:rPr>
          <w:rFonts w:ascii="Palatino Linotype" w:eastAsia="Palatino Linotype" w:hAnsi="Palatino Linotype" w:cs="Palatino Linotype"/>
          <w:sz w:val="22"/>
          <w:szCs w:val="22"/>
        </w:rPr>
        <w:t>en lo siguiente:</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relación con la impresión de mamparas y lonas utilizadas en ceremonias cívicas, así como de eventos sociales y culturales del 01 de enero al 27 de mayo 2025:</w:t>
      </w:r>
    </w:p>
    <w:p w:rsidR="008A0B47" w:rsidRDefault="00263314">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 Nombre del proveedor contratado </w:t>
      </w:r>
    </w:p>
    <w:p w:rsidR="008A0B47" w:rsidRDefault="00263314">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2. Facturas pagadas </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por conducto de la Dirección de Administración informó que se contrató a la empresa </w:t>
      </w:r>
      <w:proofErr w:type="spellStart"/>
      <w:r>
        <w:rPr>
          <w:rFonts w:ascii="Palatino Linotype" w:eastAsia="Palatino Linotype" w:hAnsi="Palatino Linotype" w:cs="Palatino Linotype"/>
          <w:sz w:val="22"/>
          <w:szCs w:val="22"/>
        </w:rPr>
        <w:t>Guillgrafic</w:t>
      </w:r>
      <w:proofErr w:type="spellEnd"/>
      <w:r>
        <w:rPr>
          <w:rFonts w:ascii="Palatino Linotype" w:eastAsia="Palatino Linotype" w:hAnsi="Palatino Linotype" w:cs="Palatino Linotype"/>
          <w:sz w:val="22"/>
          <w:szCs w:val="22"/>
        </w:rPr>
        <w:t>, S.A. de C.V. para llevar a cabo la impresión de mamparas y lonas durante el periodo solicitado, y de la Tesorería Municipal manifestó que al m</w:t>
      </w:r>
      <w:r>
        <w:rPr>
          <w:rFonts w:ascii="Palatino Linotype" w:eastAsia="Palatino Linotype" w:hAnsi="Palatino Linotype" w:cs="Palatino Linotype"/>
          <w:sz w:val="22"/>
          <w:szCs w:val="22"/>
        </w:rPr>
        <w:t>omento de dar respuesta no se cuenta con la información al corresponder con el segundo trimestre del ejercicio fiscal 2025, misma que no había sido remitida al Órgano Superior de Fiscalización para su análisis y evaluación.</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interpuso el recurso de revisión que nos ocupa, donde manifestó en lo medular que no se entregó la información bajo el argumento de que corresponde con información del segundo trimestre, sin embargo, a su consideración ya deben existir facturas pagadas al</w:t>
      </w:r>
      <w:r>
        <w:rPr>
          <w:rFonts w:ascii="Palatino Linotype" w:eastAsia="Palatino Linotype" w:hAnsi="Palatino Linotype" w:cs="Palatino Linotype"/>
          <w:sz w:val="22"/>
          <w:szCs w:val="22"/>
        </w:rPr>
        <w:t xml:space="preserve"> corresponder la solicitud con el primer trimestre.</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 señalar que de la lectura del motivo de inconformidad de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se advierte que este no versa sobre la totalidad de la información proporcionada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ya que no manif</w:t>
      </w:r>
      <w:r>
        <w:rPr>
          <w:rFonts w:ascii="Palatino Linotype" w:eastAsia="Palatino Linotype" w:hAnsi="Palatino Linotype" w:cs="Palatino Linotype"/>
          <w:sz w:val="22"/>
          <w:szCs w:val="22"/>
        </w:rPr>
        <w:t>estó agravios respecto del nombre del proveedor proporcionado por la Dirección de Administración, sino que se inconformó por la respuesta proporcionada por la Tesorería Municipal respecto a las facturas pagadas, por tanto, esta parte de la respuesta, al no</w:t>
      </w:r>
      <w:r>
        <w:rPr>
          <w:rFonts w:ascii="Palatino Linotype" w:eastAsia="Palatino Linotype" w:hAnsi="Palatino Linotype" w:cs="Palatino Linotype"/>
          <w:sz w:val="22"/>
          <w:szCs w:val="22"/>
        </w:rPr>
        <w:t xml:space="preserve"> haber sido impugnada, debe declararse consentida, ya que al no haber realizado manifestaciones de inconformidad al respecto, no pueden producirse efectos jurídicos tendentes a revocar, confirmar o modificar el acto, pues en el caso concreto se infiere que</w:t>
      </w:r>
      <w:r>
        <w:rPr>
          <w:rFonts w:ascii="Palatino Linotype" w:eastAsia="Palatino Linotype" w:hAnsi="Palatino Linotype" w:cs="Palatino Linotype"/>
          <w:sz w:val="22"/>
          <w:szCs w:val="22"/>
        </w:rPr>
        <w:t xml:space="preserve"> la información proporcionada, satisface la solicitud presentada respecto de los requerimientos que no fueron combatidos.</w:t>
      </w:r>
    </w:p>
    <w:p w:rsidR="008A0B47" w:rsidRDefault="00263314">
      <w:pPr>
        <w:spacing w:before="240" w:after="36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es así, debido a que cuando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impugna la respuesta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y éste no expresa razón o motivo</w:t>
      </w:r>
      <w:r>
        <w:rPr>
          <w:rFonts w:ascii="Palatino Linotype" w:eastAsia="Palatino Linotype" w:hAnsi="Palatino Linotype" w:cs="Palatino Linotype"/>
          <w:sz w:val="22"/>
          <w:szCs w:val="22"/>
        </w:rPr>
        <w:t xml:space="preserve"> de inconformidad en contra de todos los rubros solicitados, dichos rubros deben declararse atendidos, pues se entiende que ésta conforme con la información entregada al no contravenir la misma. </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Sirve de apoyo a lo anterior, lo plasmado en el criterio ori</w:t>
      </w:r>
      <w:r>
        <w:rPr>
          <w:rFonts w:ascii="Palatino Linotype" w:eastAsia="Palatino Linotype" w:hAnsi="Palatino Linotype" w:cs="Palatino Linotype"/>
          <w:sz w:val="22"/>
          <w:szCs w:val="22"/>
        </w:rPr>
        <w:t xml:space="preserve">entador con clave de control SO/001/2020, emitido por el entonces Instituto Nacional de Transparencia, Acceso a la Información, y Protección de Datos Personales, INAI, que lleva por rubro y texto, lo siguiente: </w:t>
      </w:r>
    </w:p>
    <w:p w:rsidR="008A0B47" w:rsidRDefault="0026331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tácitamente. Improcedenci</w:t>
      </w:r>
      <w:r>
        <w:rPr>
          <w:rFonts w:ascii="Palatino Linotype" w:eastAsia="Palatino Linotype" w:hAnsi="Palatino Linotype" w:cs="Palatino Linotype"/>
          <w:b/>
          <w:i/>
          <w:sz w:val="22"/>
          <w:szCs w:val="22"/>
        </w:rPr>
        <w:t xml:space="preserve">a de su análisis. </w:t>
      </w:r>
      <w:r>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w:t>
      </w:r>
      <w:r>
        <w:rPr>
          <w:rFonts w:ascii="Palatino Linotype" w:eastAsia="Palatino Linotype" w:hAnsi="Palatino Linotype" w:cs="Palatino Linotype"/>
          <w:i/>
          <w:sz w:val="22"/>
          <w:szCs w:val="22"/>
        </w:rPr>
        <w:t>ue emite el Instituto.”</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rsidR="008A0B47" w:rsidRDefault="0026331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mallCaps/>
          <w:sz w:val="22"/>
          <w:szCs w:val="22"/>
        </w:rPr>
        <w:t xml:space="preserve">“ACTOS CONSENTIDOS. SON </w:t>
      </w:r>
      <w:r>
        <w:rPr>
          <w:rFonts w:ascii="Palatino Linotype" w:eastAsia="Palatino Linotype" w:hAnsi="Palatino Linotype" w:cs="Palatino Linotype"/>
          <w:b/>
          <w:i/>
          <w:smallCaps/>
          <w:sz w:val="22"/>
          <w:szCs w:val="22"/>
        </w:rPr>
        <w:t xml:space="preserve">LOS QUE NO SE IMPUGNAN MEDIANTE EL RECURSO IDÓNEO. </w:t>
      </w:r>
      <w:r>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w:t>
      </w:r>
      <w:r>
        <w:rPr>
          <w:rFonts w:ascii="Palatino Linotype" w:eastAsia="Palatino Linotype" w:hAnsi="Palatino Linotype" w:cs="Palatino Linotype"/>
          <w:i/>
          <w:sz w:val="22"/>
          <w:szCs w:val="22"/>
        </w:rPr>
        <w:t>tes a revocar, confirmar o modificar el acto reclamado en amparo, lo que significa consentimiento del mismo por falta de impugnación eficaz.”</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consecuencia, se insiste, ante la falta de impugnación eficaz, la respuesta entregada debe declararse consentid</w:t>
      </w:r>
      <w:r>
        <w:rPr>
          <w:rFonts w:ascii="Palatino Linotype" w:eastAsia="Palatino Linotype" w:hAnsi="Palatino Linotype" w:cs="Palatino Linotype"/>
          <w:sz w:val="22"/>
          <w:szCs w:val="22"/>
        </w:rPr>
        <w:t xml:space="preserve">a por la persona solicitante, </w:t>
      </w:r>
      <w:proofErr w:type="gramStart"/>
      <w:r>
        <w:rPr>
          <w:rFonts w:ascii="Palatino Linotype" w:eastAsia="Palatino Linotype" w:hAnsi="Palatino Linotype" w:cs="Palatino Linotype"/>
          <w:sz w:val="22"/>
          <w:szCs w:val="22"/>
        </w:rPr>
        <w:t>y</w:t>
      </w:r>
      <w:proofErr w:type="gramEnd"/>
      <w:r>
        <w:rPr>
          <w:rFonts w:ascii="Palatino Linotype" w:eastAsia="Palatino Linotype" w:hAnsi="Palatino Linotype" w:cs="Palatino Linotype"/>
          <w:sz w:val="22"/>
          <w:szCs w:val="22"/>
        </w:rPr>
        <w:t xml:space="preserve"> por consiguiente, no es procedente el análisis de fondo en la resolución.</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tenor, durante el periodo de manifestaciones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por conducto de la Tesorería Municipal, hizo entrega de la factura número 676</w:t>
      </w:r>
      <w:r>
        <w:rPr>
          <w:rFonts w:ascii="Palatino Linotype" w:eastAsia="Palatino Linotype" w:hAnsi="Palatino Linotype" w:cs="Palatino Linotype"/>
          <w:sz w:val="22"/>
          <w:szCs w:val="22"/>
        </w:rPr>
        <w:t>2 y el comprobante de la transferencia bancaria, documentos que corresponden con el proveedor referido por la Dirección de Administración, así como con los servicios que refirió la persona solicitante, así como del acuerdo del Comité de Transparencia por m</w:t>
      </w:r>
      <w:r>
        <w:rPr>
          <w:rFonts w:ascii="Palatino Linotype" w:eastAsia="Palatino Linotype" w:hAnsi="Palatino Linotype" w:cs="Palatino Linotype"/>
          <w:sz w:val="22"/>
          <w:szCs w:val="22"/>
        </w:rPr>
        <w:t>edio del cual se aprobó la clasificación de código de comprobante fiscal digital (CFDI), cadena digital, número de cuenta de depósito y número de cuenta de retiro, como información confidencial.</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base en lo previo, se colige que la Tesorería Municipal n</w:t>
      </w:r>
      <w:r>
        <w:rPr>
          <w:rFonts w:ascii="Palatino Linotype" w:eastAsia="Palatino Linotype" w:hAnsi="Palatino Linotype" w:cs="Palatino Linotype"/>
          <w:sz w:val="22"/>
          <w:szCs w:val="22"/>
        </w:rPr>
        <w:t>o niega la existencia de la información solicitada, sino por el contrario, se encuentra encaminada a atender el requerimiento de información, por ello es que, una vez analizada la materia de la solicitud, proporcionó los documentos requeridos con la finali</w:t>
      </w:r>
      <w:r>
        <w:rPr>
          <w:rFonts w:ascii="Palatino Linotype" w:eastAsia="Palatino Linotype" w:hAnsi="Palatino Linotype" w:cs="Palatino Linotype"/>
          <w:sz w:val="22"/>
          <w:szCs w:val="22"/>
        </w:rPr>
        <w:t>dad de satisfacer la pretensión de la persona solicitante, por lo tanto, el estudio de la fuente obligacional se obvia, en razón de que dicho análisis se efectúa con la finalidad de determinar si el Sujeto Obligado genera, administra o posee la información</w:t>
      </w:r>
      <w:r>
        <w:rPr>
          <w:rFonts w:ascii="Palatino Linotype" w:eastAsia="Palatino Linotype" w:hAnsi="Palatino Linotype" w:cs="Palatino Linotype"/>
          <w:sz w:val="22"/>
          <w:szCs w:val="22"/>
        </w:rPr>
        <w:t xml:space="preserve"> que le fue requerida, y al existir la manifestación de poseer la misma, a nada práctico llevaría el alcance del mismo.</w:t>
      </w:r>
    </w:p>
    <w:p w:rsidR="008A0B47" w:rsidRDefault="0026331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efecto, el hecho de que el servidor público habilitado de la Tesorería Municipal haya asumido contar con la información pública solicitada, acepta que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la generó, posee y/o administra, en ejercicio de sus funciones de derecho público, </w:t>
      </w:r>
      <w:r>
        <w:rPr>
          <w:rFonts w:ascii="Palatino Linotype" w:eastAsia="Palatino Linotype" w:hAnsi="Palatino Linotype" w:cs="Palatino Linotype"/>
          <w:color w:val="000000"/>
          <w:sz w:val="22"/>
          <w:szCs w:val="22"/>
        </w:rPr>
        <w:t>motivo por el cual se actualiza el supuesto previsto en el artículo 12 de la Ley de Transparencia y Acceso a la Información Pública del Estado de México y Municipios, previamente citado.</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si bien es cierto que se hizo entrega del soporte docume</w:t>
      </w:r>
      <w:r>
        <w:rPr>
          <w:rFonts w:ascii="Palatino Linotype" w:eastAsia="Palatino Linotype" w:hAnsi="Palatino Linotype" w:cs="Palatino Linotype"/>
          <w:sz w:val="22"/>
          <w:szCs w:val="22"/>
        </w:rPr>
        <w:t>ntal que corresponde con lo solicitado, esto es la factura y el comprobante de pago correspondiente del servicio de impresión de mamparas y lonas utilizadas en ceremonias cívicas, así como de eventos sociales y culturales del 01 de enero al 27 de mayo 2025</w:t>
      </w:r>
      <w:r>
        <w:rPr>
          <w:rFonts w:ascii="Palatino Linotype" w:eastAsia="Palatino Linotype" w:hAnsi="Palatino Linotype" w:cs="Palatino Linotype"/>
          <w:sz w:val="22"/>
          <w:szCs w:val="22"/>
        </w:rPr>
        <w:t>, como se ilustra a continuación:</w:t>
      </w:r>
    </w:p>
    <w:p w:rsidR="008A0B47" w:rsidRDefault="00263314">
      <w:pPr>
        <w:spacing w:before="240" w:after="240" w:line="360" w:lineRule="auto"/>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400000" cy="2768431"/>
            <wp:effectExtent l="0" t="0" r="0" b="0"/>
            <wp:docPr id="21401318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0000" cy="2768431"/>
                    </a:xfrm>
                    <a:prstGeom prst="rect">
                      <a:avLst/>
                    </a:prstGeom>
                    <a:ln/>
                  </pic:spPr>
                </pic:pic>
              </a:graphicData>
            </a:graphic>
          </wp:inline>
        </w:drawing>
      </w:r>
    </w:p>
    <w:p w:rsidR="008A0B47" w:rsidRDefault="00263314">
      <w:pPr>
        <w:spacing w:before="240" w:after="240" w:line="360" w:lineRule="auto"/>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400000" cy="2545417"/>
            <wp:effectExtent l="0" t="0" r="0" b="0"/>
            <wp:docPr id="21401318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00000" cy="2545417"/>
                    </a:xfrm>
                    <a:prstGeom prst="rect">
                      <a:avLst/>
                    </a:prstGeom>
                    <a:ln/>
                  </pic:spPr>
                </pic:pic>
              </a:graphicData>
            </a:graphic>
          </wp:inline>
        </w:drawing>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puede tenerse por satisfecho el Derecho de acceso a la información de la persona solicitante, pues además de haberse testado el número de cuenta de depósito cuya clasificación se comparte por relacionarse con datos </w:t>
      </w:r>
      <w:r>
        <w:rPr>
          <w:rFonts w:ascii="Palatino Linotype" w:eastAsia="Palatino Linotype" w:hAnsi="Palatino Linotype" w:cs="Palatino Linotype"/>
          <w:sz w:val="22"/>
          <w:szCs w:val="22"/>
        </w:rPr>
        <w:t xml:space="preserve">personales como más adelante se verá, se testó información de carácter público, concretamente la cuenta de retiro, al ser titular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así como el RFC del emisor, es decir del proveedor del servicio.</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igual forma en el Acuerdo NR/CT/ACR/EX</w:t>
      </w:r>
      <w:r>
        <w:rPr>
          <w:rFonts w:ascii="Palatino Linotype" w:eastAsia="Palatino Linotype" w:hAnsi="Palatino Linotype" w:cs="Palatino Linotype"/>
          <w:sz w:val="22"/>
          <w:szCs w:val="22"/>
        </w:rPr>
        <w:t xml:space="preserve">T11/07/2025, no se acreditó de manera fundada y motivada que el Código del comprobante fiscal digital por internet CFDI, las cadenas digitales y la clave de rastreo contiene información susceptible de ser clasificada como confidencial. </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contexto, r</w:t>
      </w:r>
      <w:r>
        <w:rPr>
          <w:rFonts w:ascii="Palatino Linotype" w:eastAsia="Palatino Linotype" w:hAnsi="Palatino Linotype" w:cs="Palatino Linotype"/>
          <w:sz w:val="22"/>
          <w:szCs w:val="22"/>
        </w:rPr>
        <w:t xml:space="preserve">especto al </w:t>
      </w:r>
      <w:r>
        <w:rPr>
          <w:rFonts w:ascii="Palatino Linotype" w:eastAsia="Palatino Linotype" w:hAnsi="Palatino Linotype" w:cs="Palatino Linotype"/>
          <w:b/>
          <w:sz w:val="22"/>
          <w:szCs w:val="22"/>
        </w:rPr>
        <w:t>número de cuenta bancaria</w:t>
      </w:r>
      <w:r>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w:t>
      </w:r>
      <w:r>
        <w:rPr>
          <w:rFonts w:ascii="Palatino Linotype" w:eastAsia="Palatino Linotype" w:hAnsi="Palatino Linotype" w:cs="Palatino Linotype"/>
          <w:sz w:val="22"/>
          <w:szCs w:val="22"/>
        </w:rPr>
        <w:t xml:space="preserve"> que la difusión pública del mismo facilitaría la afectación al patrimonio del titular de la cuenta.</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el número de cuenta bancaria, por regla general debe ser clasificado como confidencial con fundamento en las fracciones I y II del artícul</w:t>
      </w:r>
      <w:r>
        <w:rPr>
          <w:rFonts w:ascii="Palatino Linotype" w:eastAsia="Palatino Linotype" w:hAnsi="Palatino Linotype" w:cs="Palatino Linotype"/>
          <w:sz w:val="22"/>
          <w:szCs w:val="22"/>
        </w:rPr>
        <w:t>o 143 de la Ley de la Materia de la Entidad; en razón de que, con su difusión se estaría poniendo en riesgo la seguridad de su titular.</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w:t>
      </w:r>
      <w:r>
        <w:rPr>
          <w:rFonts w:ascii="Palatino Linotype" w:eastAsia="Palatino Linotype" w:hAnsi="Palatino Linotype" w:cs="Palatino Linotype"/>
          <w:sz w:val="22"/>
          <w:szCs w:val="22"/>
        </w:rPr>
        <w:t xml:space="preserve">cuentas, sino por el contrario, dar a conocer los números de las cuentas bancarias hace vulnerable a las personas físicas, al abrir la posibilidad de que terceros que cuenten con las posibilidades tecnológicas y/o económicas puedan realizar actos ilícitos </w:t>
      </w:r>
      <w:r>
        <w:rPr>
          <w:rFonts w:ascii="Palatino Linotype" w:eastAsia="Palatino Linotype" w:hAnsi="Palatino Linotype" w:cs="Palatino Linotype"/>
          <w:sz w:val="22"/>
          <w:szCs w:val="22"/>
        </w:rPr>
        <w:t>mediante operaciones cibernéticas; en esa virtud, este Instituto determina que dicha información no puede ser del dominio público, toda vez que se podría dar un uso inadecuado a la misma o cometer algún ilícito o fraude en contra del patrimonio de los part</w:t>
      </w:r>
      <w:r>
        <w:rPr>
          <w:rFonts w:ascii="Palatino Linotype" w:eastAsia="Palatino Linotype" w:hAnsi="Palatino Linotype" w:cs="Palatino Linotype"/>
          <w:sz w:val="22"/>
          <w:szCs w:val="22"/>
        </w:rPr>
        <w:t xml:space="preserve">iculares. </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por esta razón que se debe omitir el o los números de cuentas bancarias de particulares en las versiones públicas de los documentos que se elaboren para atender una solicitud.</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Sin embargo, lo anterior </w:t>
      </w:r>
      <w:r>
        <w:rPr>
          <w:rFonts w:ascii="Palatino Linotype" w:eastAsia="Palatino Linotype" w:hAnsi="Palatino Linotype" w:cs="Palatino Linotype"/>
          <w:b/>
          <w:sz w:val="22"/>
          <w:szCs w:val="22"/>
        </w:rPr>
        <w:t xml:space="preserve">no es así tratándose de las </w:t>
      </w:r>
      <w:r>
        <w:rPr>
          <w:rFonts w:ascii="Palatino Linotype" w:eastAsia="Palatino Linotype" w:hAnsi="Palatino Linotype" w:cs="Palatino Linotype"/>
          <w:b/>
          <w:sz w:val="22"/>
          <w:szCs w:val="22"/>
          <w:u w:val="single"/>
        </w:rPr>
        <w:t>cuentas bancarias o clav</w:t>
      </w:r>
      <w:r>
        <w:rPr>
          <w:rFonts w:ascii="Palatino Linotype" w:eastAsia="Palatino Linotype" w:hAnsi="Palatino Linotype" w:cs="Palatino Linotype"/>
          <w:b/>
          <w:sz w:val="22"/>
          <w:szCs w:val="22"/>
          <w:u w:val="single"/>
        </w:rPr>
        <w:t>es interbancarias de los Sujetos Obligados</w:t>
      </w:r>
      <w:r>
        <w:rPr>
          <w:rFonts w:ascii="Palatino Linotype" w:eastAsia="Palatino Linotype" w:hAnsi="Palatino Linotype" w:cs="Palatino Linotype"/>
          <w:sz w:val="22"/>
          <w:szCs w:val="22"/>
        </w:rPr>
        <w:t xml:space="preserve"> ya que su publicidad cede a la rendición de cuentas al transparentar la forma en que son administrados los recursos públicos.</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argumentado encuentra sustento en los criterios orientadores 10/17 y 11/17 emitidos </w:t>
      </w:r>
      <w:r>
        <w:rPr>
          <w:rFonts w:ascii="Palatino Linotype" w:eastAsia="Palatino Linotype" w:hAnsi="Palatino Linotype" w:cs="Palatino Linotype"/>
          <w:sz w:val="22"/>
          <w:szCs w:val="22"/>
        </w:rPr>
        <w:t>por el entonces Instituto Nacional de Transparencia, Acceso a la Información y Protección de Datos Personales, INAI, que llevan por rubro y texto los siguientes:</w:t>
      </w:r>
    </w:p>
    <w:p w:rsidR="008A0B47" w:rsidRDefault="0026331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El número d</w:t>
      </w:r>
      <w:r>
        <w:rPr>
          <w:rFonts w:ascii="Palatino Linotype" w:eastAsia="Palatino Linotype" w:hAnsi="Palatino Linotype" w:cs="Palatino Linotype"/>
          <w:i/>
          <w:sz w:val="22"/>
          <w:szCs w:val="22"/>
        </w:rPr>
        <w:t>e cuenta bancaria y/o CLABE interbancaria de particulares es información confidencial, al tratarse de un conjunto de caracteres numéricos utilizados por los grupos financieros para identificar las cuentas de sus clientes, a través de los cuales se puede ac</w:t>
      </w:r>
      <w:r>
        <w:rPr>
          <w:rFonts w:ascii="Palatino Linotype" w:eastAsia="Palatino Linotype" w:hAnsi="Palatino Linotype" w:cs="Palatino Linotype"/>
          <w:i/>
          <w:sz w:val="22"/>
          <w:szCs w:val="22"/>
        </w:rPr>
        <w:t>ceder a información relacionada con su patrimonio y realizar diversas transacciones; por tanto, constituye información clasificada con fundamento en los artículos 116 de la Ley General de Transparencia y Acceso a la Información Pública y 113 de la Ley Fede</w:t>
      </w:r>
      <w:r>
        <w:rPr>
          <w:rFonts w:ascii="Palatino Linotype" w:eastAsia="Palatino Linotype" w:hAnsi="Palatino Linotype" w:cs="Palatino Linotype"/>
          <w:i/>
          <w:sz w:val="22"/>
          <w:szCs w:val="22"/>
        </w:rPr>
        <w:t>ral de Transparencia y Acceso a la Información Pública.</w:t>
      </w:r>
    </w:p>
    <w:p w:rsidR="008A0B47" w:rsidRDefault="0026331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sz w:val="22"/>
          <w:szCs w:val="22"/>
        </w:rPr>
        <w:t>. La difusión de las cuentas bancarias y claves interbancarias pert</w:t>
      </w:r>
      <w:r>
        <w:rPr>
          <w:rFonts w:ascii="Palatino Linotype" w:eastAsia="Palatino Linotype" w:hAnsi="Palatino Linotype" w:cs="Palatino Linotype"/>
          <w:i/>
          <w:sz w:val="22"/>
          <w:szCs w:val="22"/>
        </w:rPr>
        <w:t>enecientes a un sujeto obligado favorece la rendición de cuentas al transparentar la forma en que se administran los recursos públicos, razón por la cual no pueden considerarse como información clasificada.”</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no es procedente la clasificación del mismo, sin embargo, si de dicho código se pueden obtener datos personales concernientes a una persona física, por </w:t>
      </w:r>
      <w:proofErr w:type="gramStart"/>
      <w:r>
        <w:rPr>
          <w:rFonts w:ascii="Palatino Linotype" w:eastAsia="Palatino Linotype" w:hAnsi="Palatino Linotype" w:cs="Palatino Linotype"/>
          <w:sz w:val="22"/>
          <w:szCs w:val="22"/>
        </w:rPr>
        <w:t>ejemplo</w:t>
      </w:r>
      <w:proofErr w:type="gramEnd"/>
      <w:r>
        <w:rPr>
          <w:rFonts w:ascii="Palatino Linotype" w:eastAsia="Palatino Linotype" w:hAnsi="Palatino Linotype" w:cs="Palatino Linotype"/>
          <w:sz w:val="22"/>
          <w:szCs w:val="22"/>
        </w:rPr>
        <w:t xml:space="preserve"> la clave CURP, el número de cuenta bancaria del proveedor, entre otros, la información recaería</w:t>
      </w:r>
      <w:r>
        <w:rPr>
          <w:rFonts w:ascii="Palatino Linotype" w:eastAsia="Palatino Linotype" w:hAnsi="Palatino Linotype" w:cs="Palatino Linotype"/>
          <w:sz w:val="22"/>
          <w:szCs w:val="22"/>
        </w:rPr>
        <w:t xml:space="preserve"> en el supuesto de clasificación previsto en el artículo 143, fracción I de la Ley de Ley de Transparencia y Acceso a la Información Pública del Estado de México y Municipios.</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mismo ocurre respecto de las cadenas digitales, donde el Sujeto Obligado se l</w:t>
      </w:r>
      <w:r>
        <w:rPr>
          <w:rFonts w:ascii="Palatino Linotype" w:eastAsia="Palatino Linotype" w:hAnsi="Palatino Linotype" w:cs="Palatino Linotype"/>
          <w:sz w:val="22"/>
          <w:szCs w:val="22"/>
        </w:rPr>
        <w:t>imitó a referir que corresponden con el complemento de certificación digital, a la secuencia de datos formada con la información fiscal de la persona, contenida dentro de un CFDI, sin embargo, no precisó si dichos datos se integraban de datos personales, o</w:t>
      </w:r>
      <w:r>
        <w:rPr>
          <w:rFonts w:ascii="Palatino Linotype" w:eastAsia="Palatino Linotype" w:hAnsi="Palatino Linotype" w:cs="Palatino Linotype"/>
          <w:sz w:val="22"/>
          <w:szCs w:val="22"/>
        </w:rPr>
        <w:t xml:space="preserve"> bien, si permitían acceder a datos personales susceptibles de clasificarse, como la clave CURP, el número de cuenta bancaria del proveedor, entre otros.</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respecto de la clave de rastreo o número de referencia de la transferencia electrónica, es</w:t>
      </w:r>
      <w:r>
        <w:rPr>
          <w:rFonts w:ascii="Palatino Linotype" w:eastAsia="Palatino Linotype" w:hAnsi="Palatino Linotype" w:cs="Palatino Linotype"/>
          <w:sz w:val="22"/>
          <w:szCs w:val="22"/>
        </w:rPr>
        <w:t xml:space="preserve"> de señalar que no se advirtió en el Acuerdo NR/CT/ACR/EXT11/07/2025, la motivación de su clasificación, sin embargo, es de señalar que dicho dato no reviste el carácter de confidencial al ser un código único que identifica la transacción, el cual es gener</w:t>
      </w:r>
      <w:r>
        <w:rPr>
          <w:rFonts w:ascii="Palatino Linotype" w:eastAsia="Palatino Linotype" w:hAnsi="Palatino Linotype" w:cs="Palatino Linotype"/>
          <w:sz w:val="22"/>
          <w:szCs w:val="22"/>
        </w:rPr>
        <w:t>ado por el sistema bancario, puede ser de entre 20 y 30 dígitos o un código de hasta siete dígitos, respectivamente, como se lee enseguida:</w:t>
      </w:r>
    </w:p>
    <w:p w:rsidR="008A0B47" w:rsidRDefault="00263314">
      <w:pPr>
        <w:spacing w:before="240" w:after="240" w:line="360" w:lineRule="auto"/>
        <w:ind w:right="51"/>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220000" cy="1007027"/>
            <wp:effectExtent l="0" t="0" r="0" b="0"/>
            <wp:docPr id="21401318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20000" cy="1007027"/>
                    </a:xfrm>
                    <a:prstGeom prst="rect">
                      <a:avLst/>
                    </a:prstGeom>
                    <a:ln/>
                  </pic:spPr>
                </pic:pic>
              </a:graphicData>
            </a:graphic>
          </wp:inline>
        </w:drawing>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 si bien, la clave de rastreo o número de referencia permite el rastreo y verificación de la transacción a travé</w:t>
      </w:r>
      <w:r>
        <w:rPr>
          <w:rFonts w:ascii="Palatino Linotype" w:eastAsia="Palatino Linotype" w:hAnsi="Palatino Linotype" w:cs="Palatino Linotype"/>
          <w:sz w:val="22"/>
          <w:szCs w:val="22"/>
        </w:rPr>
        <w:t>s del portal de Banxico, para obtener el Comprobante Electrónico de Pago o CEP es necesario conocer los datos de la transacción, entre ellos la cuenta del beneficiario, dato que sólo es considerado como información pública en el caso de las entidades que e</w:t>
      </w:r>
      <w:r>
        <w:rPr>
          <w:rFonts w:ascii="Palatino Linotype" w:eastAsia="Palatino Linotype" w:hAnsi="Palatino Linotype" w:cs="Palatino Linotype"/>
          <w:sz w:val="22"/>
          <w:szCs w:val="22"/>
        </w:rPr>
        <w:t>jerzan recursos públicos, no así respecto de las personas físicas identificadas o identificables como ha sido expuesto.</w:t>
      </w:r>
    </w:p>
    <w:p w:rsidR="008A0B47" w:rsidRDefault="00263314">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tal sentido, al no integrarse la clave de rastreo o número de referencia de una transferencia bancaria </w:t>
      </w:r>
      <w:proofErr w:type="gramStart"/>
      <w:r>
        <w:rPr>
          <w:rFonts w:ascii="Palatino Linotype" w:eastAsia="Palatino Linotype" w:hAnsi="Palatino Linotype" w:cs="Palatino Linotype"/>
          <w:sz w:val="22"/>
          <w:szCs w:val="22"/>
        </w:rPr>
        <w:t>de  datos</w:t>
      </w:r>
      <w:proofErr w:type="gramEnd"/>
      <w:r>
        <w:rPr>
          <w:rFonts w:ascii="Palatino Linotype" w:eastAsia="Palatino Linotype" w:hAnsi="Palatino Linotype" w:cs="Palatino Linotype"/>
          <w:sz w:val="22"/>
          <w:szCs w:val="22"/>
        </w:rPr>
        <w:t xml:space="preserve"> personales, ni permi</w:t>
      </w:r>
      <w:r>
        <w:rPr>
          <w:rFonts w:ascii="Palatino Linotype" w:eastAsia="Palatino Linotype" w:hAnsi="Palatino Linotype" w:cs="Palatino Linotype"/>
          <w:sz w:val="22"/>
          <w:szCs w:val="22"/>
        </w:rPr>
        <w:t>tir el acceso a ellos, no es procedente su clasificación como confidencial por no actualizar tal supuesto.</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Bajo los argumentos expuestos, se estima que para tener por satisfecho el Derecho de acceso a la información de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el</w:t>
      </w:r>
      <w:r>
        <w:rPr>
          <w:rFonts w:ascii="Palatino Linotype" w:eastAsia="Palatino Linotype" w:hAnsi="Palatino Linotype" w:cs="Palatino Linotype"/>
          <w:b/>
          <w:sz w:val="22"/>
          <w:szCs w:val="22"/>
        </w:rPr>
        <w:t xml:space="preserve"> Sujeto Obliga</w:t>
      </w:r>
      <w:r>
        <w:rPr>
          <w:rFonts w:ascii="Palatino Linotype" w:eastAsia="Palatino Linotype" w:hAnsi="Palatino Linotype" w:cs="Palatino Linotype"/>
          <w:b/>
          <w:sz w:val="22"/>
          <w:szCs w:val="22"/>
        </w:rPr>
        <w:t xml:space="preserve">do </w:t>
      </w:r>
      <w:r>
        <w:rPr>
          <w:rFonts w:ascii="Palatino Linotype" w:eastAsia="Palatino Linotype" w:hAnsi="Palatino Linotype" w:cs="Palatino Linotype"/>
          <w:sz w:val="22"/>
          <w:szCs w:val="22"/>
        </w:rPr>
        <w:t>deberá hacer entrega de la factura y el comprobante de pago de la misma proporcionados mediante informe justificado en versión pública correcta.</w:t>
      </w:r>
    </w:p>
    <w:p w:rsidR="008A0B47" w:rsidRDefault="002633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hasta aquí expuesto, se concluye que los motivos de inconformidad de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devienen fund</w:t>
      </w:r>
      <w:r>
        <w:rPr>
          <w:rFonts w:ascii="Palatino Linotype" w:eastAsia="Palatino Linotype" w:hAnsi="Palatino Linotype" w:cs="Palatino Linotype"/>
          <w:sz w:val="22"/>
          <w:szCs w:val="22"/>
        </w:rPr>
        <w:t xml:space="preserve">ados, siendo procedente </w:t>
      </w:r>
      <w:r>
        <w:rPr>
          <w:rFonts w:ascii="Palatino Linotype" w:eastAsia="Palatino Linotype" w:hAnsi="Palatino Linotype" w:cs="Palatino Linotype"/>
          <w:i/>
          <w:sz w:val="22"/>
          <w:szCs w:val="22"/>
        </w:rPr>
        <w:t xml:space="preserve">Modificar </w:t>
      </w:r>
      <w:r>
        <w:rPr>
          <w:rFonts w:ascii="Palatino Linotype" w:eastAsia="Palatino Linotype" w:hAnsi="Palatino Linotype" w:cs="Palatino Linotype"/>
          <w:sz w:val="22"/>
          <w:szCs w:val="22"/>
        </w:rPr>
        <w:t xml:space="preserve">la respuesta proporcionada por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Quinto. Versión Pública.</w:t>
      </w:r>
      <w:r>
        <w:rPr>
          <w:rFonts w:ascii="Palatino Linotype" w:eastAsia="Palatino Linotype" w:hAnsi="Palatino Linotype" w:cs="Palatino Linotype"/>
          <w:sz w:val="22"/>
          <w:szCs w:val="22"/>
        </w:rPr>
        <w:t xml:space="preserve"> Finalmen</w:t>
      </w:r>
      <w:r>
        <w:rPr>
          <w:rFonts w:ascii="Palatino Linotype" w:eastAsia="Palatino Linotype" w:hAnsi="Palatino Linotype" w:cs="Palatino Linotype"/>
          <w:sz w:val="22"/>
          <w:szCs w:val="22"/>
        </w:rPr>
        <w:t xml:space="preserve">te, debe señalarse que de ser el caso en que los documentos que vayan a ser entregados para dar cumplimiento a la presente resolución, contengan datos que deban ser clasificados,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deberá hacer la elaboración de la versión pública de tales</w:t>
      </w:r>
      <w:r>
        <w:rPr>
          <w:rFonts w:ascii="Palatino Linotype" w:eastAsia="Palatino Linotype" w:hAnsi="Palatino Linotype" w:cs="Palatino Linotype"/>
          <w:sz w:val="22"/>
          <w:szCs w:val="22"/>
        </w:rPr>
        <w:t xml:space="preserve"> documentos a fin de satisfacer el derecho de acceso a la información pública 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sin menoscabo al derecho a la protección de los datos personales de terceros.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w:t>
      </w:r>
      <w:r>
        <w:rPr>
          <w:rFonts w:ascii="Palatino Linotype" w:eastAsia="Palatino Linotype" w:hAnsi="Palatino Linotype" w:cs="Palatino Linotype"/>
          <w:sz w:val="22"/>
          <w:szCs w:val="22"/>
        </w:rPr>
        <w:t>pios, que establecen:</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w:t>
      </w:r>
      <w:r>
        <w:rPr>
          <w:rFonts w:ascii="Palatino Linotype" w:eastAsia="Palatino Linotype" w:hAnsi="Palatino Linotype" w:cs="Palatino Linotype"/>
          <w:i/>
          <w:sz w:val="22"/>
          <w:szCs w:val="22"/>
        </w:rPr>
        <w:t xml:space="preserve">ado de México; </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w:t>
      </w:r>
      <w:r>
        <w:rPr>
          <w:rFonts w:ascii="Palatino Linotype" w:eastAsia="Palatino Linotype" w:hAnsi="Palatino Linotype" w:cs="Palatino Linotype"/>
          <w:i/>
          <w:sz w:val="22"/>
          <w:szCs w:val="22"/>
        </w:rPr>
        <w:t>cicio de recursos públicos;</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w:t>
      </w:r>
      <w:r>
        <w:rPr>
          <w:rFonts w:ascii="Palatino Linotype" w:eastAsia="Palatino Linotype" w:hAnsi="Palatino Linotype" w:cs="Palatino Linotype"/>
          <w:i/>
          <w:sz w:val="22"/>
          <w:szCs w:val="22"/>
        </w:rPr>
        <w:t>almente, cuando ésta sea clasificada como reservada o confidencial.</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w:t>
      </w:r>
      <w:r>
        <w:rPr>
          <w:rFonts w:ascii="Palatino Linotype" w:eastAsia="Palatino Linotype" w:hAnsi="Palatino Linotype" w:cs="Palatino Linotype"/>
          <w:i/>
          <w:sz w:val="22"/>
          <w:szCs w:val="22"/>
        </w:rPr>
        <w:t>ridad competente; o</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w:t>
      </w:r>
      <w:r>
        <w:rPr>
          <w:rFonts w:ascii="Palatino Linotype" w:eastAsia="Palatino Linotype" w:hAnsi="Palatino Linotype" w:cs="Palatino Linotype"/>
          <w:i/>
          <w:sz w:val="22"/>
          <w:szCs w:val="22"/>
        </w:rPr>
        <w:t>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A0B47" w:rsidRDefault="00263314">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w:t>
      </w:r>
      <w:r>
        <w:rPr>
          <w:rFonts w:ascii="Palatino Linotype" w:eastAsia="Palatino Linotype" w:hAnsi="Palatino Linotype" w:cs="Palatino Linotype"/>
          <w:i/>
          <w:sz w:val="22"/>
          <w:szCs w:val="22"/>
        </w:rPr>
        <w:t>o jurídico colectiva identificada o identificable;”</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w:t>
      </w:r>
      <w:r>
        <w:rPr>
          <w:rFonts w:ascii="Palatino Linotype" w:eastAsia="Palatino Linotype" w:hAnsi="Palatino Linotype" w:cs="Palatino Linotype"/>
          <w:sz w:val="22"/>
          <w:szCs w:val="22"/>
        </w:rPr>
        <w:t>nal del Sistema Nacional de Transparencia, Acceso a la Información Pública y Protección de Datos Personales, que tienen por objeto establecer los criterios con base en los cuales los sujetos obligados clasificarán como reservada o confidencial la informaci</w:t>
      </w:r>
      <w:r>
        <w:rPr>
          <w:rFonts w:ascii="Palatino Linotype" w:eastAsia="Palatino Linotype" w:hAnsi="Palatino Linotype" w:cs="Palatino Linotype"/>
          <w:sz w:val="22"/>
          <w:szCs w:val="22"/>
        </w:rPr>
        <w:t>ón que posean, desclasificarán y generarán, en su caso, versiones públicas de expedientes o documentos que contengan partes o secciones clasificadas.</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los preceptos anteriores se desprende que cuando un documento que vaya a ser entregado vía acceso a la </w:t>
      </w:r>
      <w:r>
        <w:rPr>
          <w:rFonts w:ascii="Palatino Linotype" w:eastAsia="Palatino Linotype" w:hAnsi="Palatino Linotype" w:cs="Palatino Linotype"/>
          <w:sz w:val="22"/>
          <w:szCs w:val="22"/>
        </w:rPr>
        <w:t xml:space="preserve">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w:t>
      </w:r>
      <w:r>
        <w:rPr>
          <w:rFonts w:ascii="Palatino Linotype" w:eastAsia="Palatino Linotype" w:hAnsi="Palatino Linotype" w:cs="Palatino Linotype"/>
          <w:sz w:val="22"/>
          <w:szCs w:val="22"/>
        </w:rPr>
        <w:t>tificable, o aquellos datos que tengan el carácter de sensibles, es decir los que afectan  la esfera más íntima de su titular o cuya utilización indebida pueda dar origen a discriminación o conlleven un riesgo grave para aquel de acuerdo a los que señala l</w:t>
      </w:r>
      <w:r>
        <w:rPr>
          <w:rFonts w:ascii="Palatino Linotype" w:eastAsia="Palatino Linotype" w:hAnsi="Palatino Linotype" w:cs="Palatino Linotype"/>
          <w:sz w:val="22"/>
          <w:szCs w:val="22"/>
        </w:rPr>
        <w:t>a fracción XII del artículo 4 de la Ley de Protección de Datos Personales en posesión de Sujeto Obligados del Estado de México.</w:t>
      </w:r>
    </w:p>
    <w:p w:rsidR="008A0B47" w:rsidRDefault="00263314">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Datos que deberá clasificar como confidenciales por tratarse precisamente de información privada, puesto que los datos personale</w:t>
      </w:r>
      <w:r>
        <w:rPr>
          <w:rFonts w:ascii="Palatino Linotype" w:eastAsia="Palatino Linotype" w:hAnsi="Palatino Linotype" w:cs="Palatino Linotype"/>
          <w:sz w:val="22"/>
          <w:szCs w:val="22"/>
        </w:rPr>
        <w:t>s son irrenunciables, intransferibles e indelegables y los Sujetos Obligados no deberán hacer entrega de los mismos a personas ajenas a su titular.</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Cabe señalar que la entrega de documentos en su versión pública debe acompañarse necesariamente del Acuerdo </w:t>
      </w:r>
      <w:r>
        <w:rPr>
          <w:rFonts w:ascii="Palatino Linotype" w:eastAsia="Palatino Linotype" w:hAnsi="Palatino Linotype" w:cs="Palatino Linotype"/>
          <w:sz w:val="22"/>
          <w:szCs w:val="22"/>
        </w:rPr>
        <w:t xml:space="preserve">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testar, suprimir o eliminar datos de dicho soporte documental, ya que no</w:t>
      </w:r>
      <w:r>
        <w:rPr>
          <w:rFonts w:ascii="Palatino Linotype" w:eastAsia="Palatino Linotype" w:hAnsi="Palatino Linotype" w:cs="Palatino Linotype"/>
          <w:sz w:val="22"/>
          <w:szCs w:val="22"/>
        </w:rPr>
        <w:t xml:space="preserve"> hacerlo, lo entregado no tendría un sustento jurídico ni resultaría ser una versión pública, sino más bien una documentación ilegible, incompleta o tachada; ya que el no justificar las causas o motivos por las que no se aprecian determinados datos -ya sea</w:t>
      </w:r>
      <w:r>
        <w:rPr>
          <w:rFonts w:ascii="Palatino Linotype" w:eastAsia="Palatino Linotype" w:hAnsi="Palatino Linotype" w:cs="Palatino Linotype"/>
          <w:sz w:val="22"/>
          <w:szCs w:val="22"/>
        </w:rPr>
        <w:t xml:space="preserve"> porque se testan o suprimen- deja al solicitante en estado de incertidumbre, al no conocer o comprender porque no aparecen en la documentación respectiva.</w:t>
      </w:r>
    </w:p>
    <w:p w:rsidR="008A0B47" w:rsidRDefault="0026331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Respecto a las formalidades que deberá llevar el acuerdo de clasificación que deberá emitir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w:t>
      </w:r>
      <w:r>
        <w:rPr>
          <w:rFonts w:ascii="Palatino Linotype" w:eastAsia="Palatino Linotype" w:hAnsi="Palatino Linotype" w:cs="Palatino Linotype"/>
          <w:sz w:val="22"/>
          <w:szCs w:val="22"/>
        </w:rPr>
        <w:t>ón de Versiones Públicas señalan lo siguiente:</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w:t>
      </w:r>
      <w:r>
        <w:rPr>
          <w:rFonts w:ascii="Palatino Linotype" w:eastAsia="Palatino Linotype" w:hAnsi="Palatino Linotype" w:cs="Palatino Linotype"/>
          <w:i/>
          <w:sz w:val="22"/>
          <w:szCs w:val="22"/>
        </w:rPr>
        <w:t>Los titulares de las áreas de los sujetos obligados podrán establecer sus propios modelos o formatos para la elaboración de versiones públicas de documentos o expedientes, siempre y cuando cum</w:t>
      </w:r>
      <w:r>
        <w:rPr>
          <w:rFonts w:ascii="Palatino Linotype" w:eastAsia="Palatino Linotype" w:hAnsi="Palatino Linotype" w:cs="Palatino Linotype"/>
          <w:i/>
          <w:sz w:val="22"/>
          <w:szCs w:val="22"/>
        </w:rPr>
        <w:t xml:space="preserve">plan lo establecido en los presentes Lineamientos, así como en las correspondientes Leyes Generales. </w:t>
      </w:r>
    </w:p>
    <w:p w:rsidR="008A0B47" w:rsidRDefault="0026331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número de sesión y fecha;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El nombre del área que solicitó la cla</w:t>
      </w:r>
      <w:r>
        <w:rPr>
          <w:rFonts w:ascii="Palatino Linotype" w:eastAsia="Palatino Linotype" w:hAnsi="Palatino Linotype" w:cs="Palatino Linotype"/>
          <w:i/>
          <w:sz w:val="22"/>
          <w:szCs w:val="22"/>
        </w:rPr>
        <w:t xml:space="preserve">sificación de información;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fundamentación legal y motivación correspondiente;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resolución o resoluciones aprobadas; y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rúbrica o firma digital de cada integrante del Comité de Transparencia. </w:t>
      </w:r>
    </w:p>
    <w:p w:rsidR="008A0B47" w:rsidRDefault="0026331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motivos y razonamientos que sustenten la confirmación o modificación de la prueb</w:t>
      </w:r>
      <w:r>
        <w:rPr>
          <w:rFonts w:ascii="Palatino Linotype" w:eastAsia="Palatino Linotype" w:hAnsi="Palatino Linotype" w:cs="Palatino Linotype"/>
          <w:i/>
          <w:sz w:val="22"/>
          <w:szCs w:val="22"/>
        </w:rPr>
        <w:t>a de daño;</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Descripción de las partes o secciones reservadas, en caso de clasificación parcial</w:t>
      </w:r>
      <w:r>
        <w:rPr>
          <w:rFonts w:ascii="Palatino Linotype" w:eastAsia="Palatino Linotype" w:hAnsi="Palatino Linotype" w:cs="Palatino Linotype"/>
          <w:b/>
          <w:i/>
          <w:sz w:val="22"/>
          <w:szCs w:val="22"/>
        </w:rPr>
        <w:t xml:space="preserve">;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 periodo por el que mantendrá su clasificación y fecha de expiración; y </w:t>
      </w:r>
    </w:p>
    <w:p w:rsidR="008A0B47" w:rsidRDefault="0026331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El nombre del titular y área encargada de realizar la versión pública de</w:t>
      </w:r>
      <w:r>
        <w:rPr>
          <w:rFonts w:ascii="Palatino Linotype" w:eastAsia="Palatino Linotype" w:hAnsi="Palatino Linotype" w:cs="Palatino Linotype"/>
          <w:i/>
          <w:sz w:val="22"/>
          <w:szCs w:val="22"/>
        </w:rPr>
        <w:t xml:space="preserve">l documento, en su caso. </w:t>
      </w:r>
    </w:p>
    <w:p w:rsidR="008A0B47" w:rsidRDefault="0026331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8A0B47" w:rsidRDefault="0026331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de resoluciones del Comité de Transparencia en las que se confirme la </w:t>
      </w:r>
      <w:r>
        <w:rPr>
          <w:rFonts w:ascii="Palatino Linotype" w:eastAsia="Palatino Linotype" w:hAnsi="Palatino Linotype" w:cs="Palatino Linotype"/>
          <w:i/>
          <w:sz w:val="22"/>
          <w:szCs w:val="22"/>
        </w:rPr>
        <w:t>clasificación de información confidencial solo se deberán de identificar los tipos de datos protegidos, de conformidad con el lineamiento trigésimo octavo.</w:t>
      </w:r>
    </w:p>
    <w:p w:rsidR="008A0B47" w:rsidRDefault="00263314">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Para la clasificación y elaboración de versiones públicas de documentos que c</w:t>
      </w:r>
      <w:r>
        <w:rPr>
          <w:rFonts w:ascii="Palatino Linotype" w:eastAsia="Palatino Linotype" w:hAnsi="Palatino Linotype" w:cs="Palatino Linotype"/>
          <w:i/>
          <w:sz w:val="22"/>
          <w:szCs w:val="22"/>
        </w:rPr>
        <w:t xml:space="preserve">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Pr>
          <w:rFonts w:ascii="Palatino Linotype" w:eastAsia="Palatino Linotype" w:hAnsi="Palatino Linotype" w:cs="Palatino Linotype"/>
          <w:i/>
          <w:sz w:val="22"/>
          <w:szCs w:val="22"/>
        </w:rPr>
        <w:t>sobreposición</w:t>
      </w:r>
      <w:proofErr w:type="spellEnd"/>
      <w:r>
        <w:rPr>
          <w:rFonts w:ascii="Palatino Linotype" w:eastAsia="Palatino Linotype" w:hAnsi="Palatino Linotype" w:cs="Palatino Linotype"/>
          <w:i/>
          <w:sz w:val="22"/>
          <w:szCs w:val="22"/>
        </w:rPr>
        <w:t xml:space="preserve"> d</w:t>
      </w:r>
      <w:r>
        <w:rPr>
          <w:rFonts w:ascii="Palatino Linotype" w:eastAsia="Palatino Linotype" w:hAnsi="Palatino Linotype" w:cs="Palatino Linotype"/>
          <w:i/>
          <w:sz w:val="22"/>
          <w:szCs w:val="22"/>
        </w:rPr>
        <w:t>e contenido distinto al autorizado por el Comité.</w:t>
      </w:r>
    </w:p>
    <w:p w:rsidR="008A0B47" w:rsidRDefault="00263314">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w:t>
      </w:r>
      <w:proofErr w:type="spellStart"/>
      <w:r>
        <w:rPr>
          <w:rFonts w:ascii="Palatino Linotype" w:eastAsia="Palatino Linotype" w:hAnsi="Palatino Linotype" w:cs="Palatino Linotype"/>
          <w:i/>
          <w:sz w:val="22"/>
          <w:szCs w:val="22"/>
        </w:rPr>
        <w:t>especifico</w:t>
      </w:r>
      <w:proofErr w:type="spellEnd"/>
      <w:r>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rsidR="008A0B47" w:rsidRDefault="0026331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8A0B47" w:rsidRDefault="0026331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8A0B47" w:rsidRDefault="0026331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Señalar las personas o instancias autorizadas a acceder a la información clasificada.</w:t>
      </w:r>
    </w:p>
    <w:p w:rsidR="008A0B47" w:rsidRDefault="00263314">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w:t>
      </w:r>
      <w:r>
        <w:rPr>
          <w:rFonts w:ascii="Palatino Linotype" w:eastAsia="Palatino Linotype" w:hAnsi="Palatino Linotype" w:cs="Palatino Linotype"/>
          <w:i/>
          <w:sz w:val="22"/>
          <w:szCs w:val="22"/>
        </w:rPr>
        <w:t>os documentos de difusión electrónica, señalar en la primera hoja y en el nombre del archivo, que la versión pública corresponde a un documento que contiene información confidencial.”</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deberá observar los Lineamientos Quincuagésimo cuarto, Quincua</w:t>
      </w:r>
      <w:r>
        <w:rPr>
          <w:rFonts w:ascii="Palatino Linotype" w:eastAsia="Palatino Linotype" w:hAnsi="Palatino Linotype" w:cs="Palatino Linotype"/>
          <w:sz w:val="22"/>
          <w:szCs w:val="22"/>
        </w:rPr>
        <w:t>gésimo quinto, Quincuagésimo sexto, Quincuagésimo séptimo y Quincuagésimo octavo, establecen lo siguiente:</w:t>
      </w:r>
    </w:p>
    <w:p w:rsidR="008A0B47" w:rsidRDefault="0026331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Cuando el Comité de Transparencia confirme la clasificación de documentos reservados y/o confidenciales, sea total o parcialme</w:t>
      </w:r>
      <w:r>
        <w:rPr>
          <w:rFonts w:ascii="Palatino Linotype" w:eastAsia="Palatino Linotype" w:hAnsi="Palatino Linotype" w:cs="Palatino Linotype"/>
          <w:i/>
          <w:sz w:val="22"/>
          <w:szCs w:val="22"/>
        </w:rPr>
        <w:t>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w:t>
      </w:r>
      <w:r>
        <w:rPr>
          <w:rFonts w:ascii="Palatino Linotype" w:eastAsia="Palatino Linotype" w:hAnsi="Palatino Linotype" w:cs="Palatino Linotype"/>
          <w:b/>
          <w:i/>
          <w:sz w:val="22"/>
          <w:szCs w:val="22"/>
        </w:rPr>
        <w:t xml:space="preserve">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que sean encargadas de la adecuada elaboración o supervisión de las versiones públicas de los documentos o expedientes, verific</w:t>
      </w:r>
      <w:r>
        <w:rPr>
          <w:rFonts w:ascii="Palatino Linotype" w:eastAsia="Palatino Linotype" w:hAnsi="Palatino Linotype" w:cs="Palatino Linotype"/>
          <w:i/>
          <w:sz w:val="22"/>
          <w:szCs w:val="22"/>
        </w:rPr>
        <w:t>ando que cumplan con los requisitos señalados en las Leyes Generales, los presentes Lineamientos y demás normativa aplicable antes de su confirmación por el Comité de Transparencia.</w:t>
      </w:r>
    </w:p>
    <w:p w:rsidR="008A0B47" w:rsidRDefault="00263314">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Se considera, en principio, como información pú</w:t>
      </w:r>
      <w:r>
        <w:rPr>
          <w:rFonts w:ascii="Palatino Linotype" w:eastAsia="Palatino Linotype" w:hAnsi="Palatino Linotype" w:cs="Palatino Linotype"/>
          <w:i/>
          <w:sz w:val="22"/>
          <w:szCs w:val="22"/>
        </w:rPr>
        <w:t xml:space="preserve">blica y no podrá omitirse de las versiones públicas la siguiente: </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w:t>
      </w:r>
      <w:r>
        <w:rPr>
          <w:rFonts w:ascii="Palatino Linotype" w:eastAsia="Palatino Linotype" w:hAnsi="Palatino Linotype" w:cs="Palatino Linotype"/>
          <w:i/>
          <w:sz w:val="22"/>
          <w:szCs w:val="22"/>
        </w:rPr>
        <w:t xml:space="preserve"> obligados en los documentos, y sus firmas autógrafas o digitales, cuando sean utilizados en el ejercicio de las facultades conferidas para el desempeño del servicio público, y</w:t>
      </w:r>
    </w:p>
    <w:p w:rsidR="008A0B47" w:rsidRDefault="0026331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información que documente decisiones y los actos de autoridad concluido</w:t>
      </w:r>
      <w:r>
        <w:rPr>
          <w:rFonts w:ascii="Palatino Linotype" w:eastAsia="Palatino Linotype" w:hAnsi="Palatino Linotype" w:cs="Palatino Linotype"/>
          <w:i/>
          <w:sz w:val="22"/>
          <w:szCs w:val="22"/>
        </w:rPr>
        <w:t xml:space="preserve">s de los sujetos obligados, así como el ejercicio de las facultades o actividades de los servidores públicos, de manera que se pueda valorar el desempeño de los mismos. </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w:t>
      </w:r>
      <w:r>
        <w:rPr>
          <w:rFonts w:ascii="Palatino Linotype" w:eastAsia="Palatino Linotype" w:hAnsi="Palatino Linotype" w:cs="Palatino Linotype"/>
          <w:i/>
          <w:sz w:val="22"/>
          <w:szCs w:val="22"/>
        </w:rPr>
        <w:t xml:space="preserve">en las leyes o en los tratados internacionales suscritas por el Estado mexicano.  </w:t>
      </w:r>
    </w:p>
    <w:p w:rsidR="008A0B47" w:rsidRDefault="0026331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w:t>
      </w:r>
      <w:r>
        <w:rPr>
          <w:rFonts w:ascii="Palatino Linotype" w:eastAsia="Palatino Linotype" w:hAnsi="Palatino Linotype" w:cs="Palatino Linotype"/>
          <w:i/>
          <w:sz w:val="22"/>
          <w:szCs w:val="22"/>
        </w:rPr>
        <w:t>l forma que no permitan su recuperación o la visualización de la misma.”</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w:t>
      </w:r>
      <w:r>
        <w:rPr>
          <w:rFonts w:ascii="Palatino Linotype" w:eastAsia="Palatino Linotype" w:hAnsi="Palatino Linotype" w:cs="Palatino Linotype"/>
          <w:sz w:val="22"/>
          <w:szCs w:val="22"/>
        </w:rPr>
        <w:t>ción II de la Ley de Transparencia y Acceso a la Información Pública del Estado de México y Municipios, este Pleno:</w:t>
      </w:r>
    </w:p>
    <w:p w:rsidR="008A0B47" w:rsidRDefault="00263314">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III. R E S U E L V E</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10" w:name="_heading=h.1t3h5sf" w:colFirst="0" w:colLast="0"/>
      <w:bookmarkEnd w:id="10"/>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Resultan</w:t>
      </w:r>
      <w:r>
        <w:rPr>
          <w:rFonts w:ascii="Palatino Linotype" w:eastAsia="Palatino Linotype" w:hAnsi="Palatino Linotype" w:cs="Palatino Linotype"/>
          <w:b/>
          <w:sz w:val="22"/>
          <w:szCs w:val="22"/>
        </w:rPr>
        <w:t xml:space="preserve"> fundadas</w:t>
      </w:r>
      <w:r>
        <w:rPr>
          <w:rFonts w:ascii="Palatino Linotype" w:eastAsia="Palatino Linotype" w:hAnsi="Palatino Linotype" w:cs="Palatino Linotype"/>
          <w:sz w:val="22"/>
          <w:szCs w:val="22"/>
        </w:rPr>
        <w:t xml:space="preserve"> las razones o motivos de inconformidad hechos valer por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sz w:val="22"/>
          <w:szCs w:val="22"/>
        </w:rPr>
        <w:t>07294/INFOEM/IP/RR/2025</w:t>
      </w:r>
      <w:r>
        <w:rPr>
          <w:rFonts w:ascii="Palatino Linotype" w:eastAsia="Palatino Linotype" w:hAnsi="Palatino Linotype" w:cs="Palatino Linotype"/>
          <w:sz w:val="22"/>
          <w:szCs w:val="22"/>
        </w:rPr>
        <w:t xml:space="preserve">; por lo que, en términos del </w:t>
      </w:r>
      <w:r>
        <w:rPr>
          <w:rFonts w:ascii="Palatino Linotype" w:eastAsia="Palatino Linotype" w:hAnsi="Palatino Linotype" w:cs="Palatino Linotype"/>
          <w:b/>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Cuarto </w:t>
      </w:r>
      <w:r>
        <w:rPr>
          <w:rFonts w:ascii="Palatino Linotype" w:eastAsia="Palatino Linotype" w:hAnsi="Palatino Linotype" w:cs="Palatino Linotype"/>
          <w:sz w:val="22"/>
          <w:szCs w:val="22"/>
        </w:rPr>
        <w:t xml:space="preserve">de esta resolución, se </w:t>
      </w:r>
      <w:r>
        <w:rPr>
          <w:rFonts w:ascii="Palatino Linotype" w:eastAsia="Palatino Linotype" w:hAnsi="Palatino Linotype" w:cs="Palatino Linotype"/>
          <w:b/>
          <w:sz w:val="22"/>
          <w:szCs w:val="22"/>
        </w:rPr>
        <w:t xml:space="preserve">Modifica </w:t>
      </w:r>
      <w:r>
        <w:rPr>
          <w:rFonts w:ascii="Palatino Linotype" w:eastAsia="Palatino Linotype" w:hAnsi="Palatino Linotype" w:cs="Palatino Linotype"/>
          <w:sz w:val="22"/>
          <w:szCs w:val="22"/>
        </w:rPr>
        <w:t xml:space="preserve">la respuesta emitida por el </w:t>
      </w:r>
      <w:r>
        <w:rPr>
          <w:rFonts w:ascii="Palatino Linotype" w:eastAsia="Palatino Linotype" w:hAnsi="Palatino Linotype" w:cs="Palatino Linotype"/>
          <w:b/>
          <w:sz w:val="22"/>
          <w:szCs w:val="22"/>
        </w:rPr>
        <w:t xml:space="preserve">Sujeto Obligado. </w:t>
      </w:r>
    </w:p>
    <w:p w:rsidR="008A0B47" w:rsidRDefault="00263314">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 xml:space="preserve">Ordena </w:t>
      </w:r>
      <w:r>
        <w:rPr>
          <w:rFonts w:ascii="Palatino Linotype" w:eastAsia="Palatino Linotype" w:hAnsi="Palatino Linotype" w:cs="Palatino Linotype"/>
          <w:sz w:val="22"/>
          <w:szCs w:val="22"/>
        </w:rPr>
        <w:t xml:space="preserve">al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en términos de los </w:t>
      </w:r>
      <w:r>
        <w:rPr>
          <w:rFonts w:ascii="Palatino Linotype" w:eastAsia="Palatino Linotype" w:hAnsi="Palatino Linotype" w:cs="Palatino Linotype"/>
          <w:b/>
          <w:sz w:val="22"/>
          <w:szCs w:val="22"/>
        </w:rPr>
        <w:t>Considerandos Cuarto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y </w:t>
      </w:r>
      <w:r>
        <w:rPr>
          <w:rFonts w:ascii="Palatino Linotype" w:eastAsia="Palatino Linotype" w:hAnsi="Palatino Linotype" w:cs="Palatino Linotype"/>
          <w:b/>
          <w:sz w:val="22"/>
          <w:szCs w:val="22"/>
        </w:rPr>
        <w:t>Quinto</w:t>
      </w:r>
      <w:r>
        <w:rPr>
          <w:rFonts w:ascii="Palatino Linotype" w:eastAsia="Palatino Linotype" w:hAnsi="Palatino Linotype" w:cs="Palatino Linotype"/>
          <w:sz w:val="22"/>
          <w:szCs w:val="22"/>
        </w:rPr>
        <w:t xml:space="preserve"> de esta resolución, haga entrega, 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de lo siguiente:</w:t>
      </w:r>
    </w:p>
    <w:p w:rsidR="008A0B47" w:rsidRDefault="00263314">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 Factura y comprobante de pago proporcionados mediante informe justificado, en versión pública correcta.</w:t>
      </w:r>
    </w:p>
    <w:p w:rsidR="008A0B47" w:rsidRDefault="00263314">
      <w:pPr>
        <w:spacing w:before="120" w:after="120"/>
        <w:ind w:left="284"/>
        <w:jc w:val="both"/>
        <w:rPr>
          <w:rFonts w:ascii="Palatino Linotype" w:eastAsia="Palatino Linotype" w:hAnsi="Palatino Linotype" w:cs="Palatino Linotype"/>
          <w:i/>
          <w:sz w:val="20"/>
          <w:szCs w:val="20"/>
        </w:rPr>
      </w:pPr>
      <w:bookmarkStart w:id="11" w:name="_heading=h.hnzxsch5gysz" w:colFirst="0" w:colLast="0"/>
      <w:bookmarkEnd w:id="11"/>
      <w:r>
        <w:rPr>
          <w:rFonts w:ascii="Palatino Linotype" w:eastAsia="Palatino Linotype" w:hAnsi="Palatino Linotype" w:cs="Palatino Linotype"/>
          <w:i/>
          <w:sz w:val="20"/>
          <w:szCs w:val="20"/>
        </w:rPr>
        <w:t>Para la entrega de información en versión pública, se deberá emitir el Acuer</w:t>
      </w:r>
      <w:r>
        <w:rPr>
          <w:rFonts w:ascii="Palatino Linotype" w:eastAsia="Palatino Linotype" w:hAnsi="Palatino Linotype" w:cs="Palatino Linotype"/>
          <w:i/>
          <w:sz w:val="20"/>
          <w:szCs w:val="20"/>
        </w:rPr>
        <w:t>do del Comité de Transparencia de acuerdo con la Ley de Transparencia y Acceso a la Información Pública del Estado de México y Municipios, en el que funde y motive las razones sobre los datos que se supriman, mismo que también hará de conocimiento del part</w:t>
      </w:r>
      <w:r>
        <w:rPr>
          <w:rFonts w:ascii="Palatino Linotype" w:eastAsia="Palatino Linotype" w:hAnsi="Palatino Linotype" w:cs="Palatino Linotype"/>
          <w:i/>
          <w:sz w:val="20"/>
          <w:szCs w:val="20"/>
        </w:rPr>
        <w:t>icular.</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al Titular de la Unidad de Transparencia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w:t>
      </w:r>
      <w:r>
        <w:rPr>
          <w:rFonts w:ascii="Palatino Linotype" w:eastAsia="Palatino Linotype" w:hAnsi="Palatino Linotype" w:cs="Palatino Linotype"/>
          <w:sz w:val="22"/>
          <w:szCs w:val="22"/>
        </w:rPr>
        <w:t>mación Pública del Estado de México y Municipios;  dé cumplimiento a lo ordenado dentro del plazo de diez días hábiles, e informe a este Instituto en un plazo de tres días hábiles siguientes sobre el cumplimiento dado a la presente, y, se le apercibe que e</w:t>
      </w:r>
      <w:r>
        <w:rPr>
          <w:rFonts w:ascii="Palatino Linotype" w:eastAsia="Palatino Linotype" w:hAnsi="Palatino Linotype" w:cs="Palatino Linotype"/>
          <w:sz w:val="22"/>
          <w:szCs w:val="22"/>
        </w:rPr>
        <w:t>n caso de negarse a cumplir la presente resolución o hacerlo de manera parcial, se le impondrá una medida de apremio de conformidad con lo previsto en los artículos 198, 200, fracción III; 214, 215 y 216 de la Ley  de Transparencia y Acceso a la Informació</w:t>
      </w:r>
      <w:r>
        <w:rPr>
          <w:rFonts w:ascii="Palatino Linotype" w:eastAsia="Palatino Linotype" w:hAnsi="Palatino Linotype" w:cs="Palatino Linotype"/>
          <w:sz w:val="22"/>
          <w:szCs w:val="22"/>
        </w:rPr>
        <w:t>n Pública del Estado de México y Municipios.</w:t>
      </w:r>
    </w:p>
    <w:p w:rsidR="008A0B47" w:rsidRDefault="00263314">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w:t>
      </w:r>
      <w:r>
        <w:rPr>
          <w:rFonts w:ascii="Palatino Linotype" w:eastAsia="Palatino Linotype" w:hAnsi="Palatino Linotype" w:cs="Palatino Linotype"/>
          <w:sz w:val="22"/>
          <w:szCs w:val="22"/>
        </w:rPr>
        <w:t>rá solicitar una ampliación de plazo para el cumplimiento de la presente resolución.</w:t>
      </w:r>
    </w:p>
    <w:p w:rsidR="008A0B47" w:rsidRDefault="00263314">
      <w:pPr>
        <w:spacing w:before="240" w:after="240" w:line="360" w:lineRule="auto"/>
        <w:jc w:val="both"/>
        <w:rPr>
          <w:rFonts w:ascii="Palatino Linotype" w:eastAsia="Palatino Linotype" w:hAnsi="Palatino Linotype" w:cs="Palatino Linotype"/>
          <w:sz w:val="22"/>
          <w:szCs w:val="22"/>
        </w:rPr>
      </w:pPr>
      <w:bookmarkStart w:id="12" w:name="_heading=h.ot3qq6vxa08f" w:colFirst="0" w:colLast="0"/>
      <w:bookmarkEnd w:id="12"/>
      <w:r>
        <w:rPr>
          <w:rFonts w:ascii="Palatino Linotype" w:eastAsia="Palatino Linotype" w:hAnsi="Palatino Linotype" w:cs="Palatino Linotype"/>
          <w:b/>
          <w:sz w:val="22"/>
          <w:szCs w:val="22"/>
        </w:rPr>
        <w:t xml:space="preserve">Cuarto.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la presente resolución, así como, que de conformidad con lo establecido en el artículo 196 de la Ley de Transparenci</w:t>
      </w:r>
      <w:r>
        <w:rPr>
          <w:rFonts w:ascii="Palatino Linotype" w:eastAsia="Palatino Linotype" w:hAnsi="Palatino Linotype" w:cs="Palatino Linotype"/>
          <w:sz w:val="22"/>
          <w:szCs w:val="22"/>
        </w:rPr>
        <w:t>a y Acceso a la Información Pública del Estado de México y Municipios, podrá impugnarla vía Juicio de Amparo en los términos de las leyes aplicables.</w:t>
      </w:r>
    </w:p>
    <w:p w:rsidR="008A0B47" w:rsidRDefault="00263314">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3" w:name="_heading=h.5ymhg5ai3qpp" w:colFirst="0" w:colLast="0"/>
      <w:bookmarkEnd w:id="13"/>
      <w:r>
        <w:rPr>
          <w:rFonts w:ascii="Palatino Linotype" w:eastAsia="Palatino Linotype" w:hAnsi="Palatino Linotype" w:cs="Palatino Linotype"/>
          <w:sz w:val="22"/>
          <w:szCs w:val="22"/>
        </w:rPr>
        <w:t>ASÍ LO RESUELVE, POR UNANIMIDAD DE VOTOS, EL PLENO DEL INSTITUTO DE TRANSPARENCIA, ACCESO A LA INFORMACIÓN</w:t>
      </w:r>
      <w:r>
        <w:rPr>
          <w:rFonts w:ascii="Palatino Linotype" w:eastAsia="Palatino Linotype" w:hAnsi="Palatino Linotype" w:cs="Palatino Linotype"/>
          <w:sz w:val="22"/>
          <w:szCs w:val="22"/>
        </w:rPr>
        <w:t xml:space="preserve"> PÚBLICA Y PROTECCIÓN DE DATOS PERSONALES DEL ESTADO DE MÉXICO Y MUNICIPIOS, CONFORMADO POR LOS COMISIONADOS JOSÉ MARTÍNEZ VILCHIS, MARÍA DEL ROSARIO MEJÍA AYALA, SHARON CRISTINA MORALES MARTÍNEZ, LUIS GUSTAVO PARRA NORIEGA, Y GUADALUPE RAMÍREZ PEÑA, EN LA</w:t>
      </w:r>
      <w:r>
        <w:rPr>
          <w:rFonts w:ascii="Palatino Linotype" w:eastAsia="Palatino Linotype" w:hAnsi="Palatino Linotype" w:cs="Palatino Linotype"/>
          <w:sz w:val="22"/>
          <w:szCs w:val="22"/>
        </w:rPr>
        <w:t xml:space="preserve"> TRIGÉSIMA SÉPTIMA SESIÓN ORDINARIA CELEBRADA EL QUINCE DE OCTUBRE DE DOS MIL VEINTICINCO, ANTE EL SECRETARIO TÉCNICO DEL PLENO ALEXIS TAPIA RAMÍREZ.</w:t>
      </w:r>
    </w:p>
    <w:p w:rsidR="008A0B47" w:rsidRDefault="00263314">
      <w:pPr>
        <w:tabs>
          <w:tab w:val="left" w:pos="8647"/>
        </w:tabs>
        <w:spacing w:before="240" w:after="240" w:line="360" w:lineRule="auto"/>
        <w:ind w:right="51"/>
        <w:jc w:val="both"/>
        <w:rPr>
          <w:rFonts w:ascii="Palatino Linotype" w:eastAsia="Palatino Linotype" w:hAnsi="Palatino Linotype" w:cs="Palatino Linotype"/>
          <w:sz w:val="22"/>
          <w:szCs w:val="22"/>
        </w:rPr>
      </w:pPr>
      <w:r>
        <w:br w:type="page"/>
      </w:r>
    </w:p>
    <w:p w:rsidR="008A0B47" w:rsidRDefault="008A0B47">
      <w:pPr>
        <w:tabs>
          <w:tab w:val="left" w:pos="8647"/>
        </w:tabs>
        <w:spacing w:before="240" w:after="240" w:line="360" w:lineRule="auto"/>
        <w:ind w:right="51"/>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p w:rsidR="008A0B47" w:rsidRDefault="008A0B47">
      <w:pPr>
        <w:spacing w:line="360" w:lineRule="auto"/>
        <w:jc w:val="both"/>
        <w:rPr>
          <w:rFonts w:ascii="Palatino Linotype" w:eastAsia="Palatino Linotype" w:hAnsi="Palatino Linotype" w:cs="Palatino Linotype"/>
          <w:sz w:val="22"/>
          <w:szCs w:val="22"/>
        </w:rPr>
      </w:pPr>
    </w:p>
    <w:sectPr w:rsidR="008A0B4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63314">
      <w:r>
        <w:separator/>
      </w:r>
    </w:p>
  </w:endnote>
  <w:endnote w:type="continuationSeparator" w:id="0">
    <w:p w:rsidR="00000000" w:rsidRDefault="00263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7B4E5F-ABC6-448B-84F0-8BBCEF2A1ACA}"/>
    <w:embedBold r:id="rId2" w:fontKey="{781BDC41-E88F-40F3-811C-ED020D50AF0C}"/>
  </w:font>
  <w:font w:name="Cambria">
    <w:panose1 w:val="02040503050406030204"/>
    <w:charset w:val="00"/>
    <w:family w:val="roman"/>
    <w:pitch w:val="variable"/>
    <w:sig w:usb0="E00006FF" w:usb1="420024FF" w:usb2="02000000" w:usb3="00000000" w:csb0="0000019F" w:csb1="00000000"/>
    <w:embedRegular r:id="rId3" w:fontKey="{F32C4ADF-1DF3-4F5B-891D-26E5952B9A1E}"/>
    <w:embedBold r:id="rId4" w:fontKey="{B05C0871-84A4-4E58-B68F-D302D25F3307}"/>
    <w:embedBoldItalic r:id="rId5" w:fontKey="{0E23076B-C7E0-431C-93EC-184B2F53B8F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572B200-B79E-4866-93EE-09853C4AAC79}"/>
  </w:font>
  <w:font w:name="Georgia">
    <w:panose1 w:val="02040502050405020303"/>
    <w:charset w:val="00"/>
    <w:family w:val="roman"/>
    <w:pitch w:val="variable"/>
    <w:sig w:usb0="00000287" w:usb1="00000000" w:usb2="00000000" w:usb3="00000000" w:csb0="0000009F" w:csb1="00000000"/>
    <w:embedRegular r:id="rId7" w:fontKey="{C776780A-D864-4661-8A73-6F8485FF83E7}"/>
    <w:embedItalic r:id="rId8" w:fontKey="{9C3FE39A-5E18-433F-B46A-2031D1765EA9}"/>
  </w:font>
  <w:font w:name="Palatino Linotype">
    <w:panose1 w:val="02040502050505030304"/>
    <w:charset w:val="00"/>
    <w:family w:val="roman"/>
    <w:pitch w:val="variable"/>
    <w:sig w:usb0="E0000287" w:usb1="40000013" w:usb2="00000000" w:usb3="00000000" w:csb0="0000019F" w:csb1="00000000"/>
    <w:embedRegular r:id="rId9" w:fontKey="{72457BA8-E4FF-4B01-B30A-C53F20040AF6}"/>
    <w:embedBold r:id="rId10" w:fontKey="{DE202ED8-49CB-400A-94A0-EB9530B9755F}"/>
    <w:embedItalic r:id="rId11" w:fontKey="{365E23DC-9566-4943-B2B3-3953F63EE69B}"/>
    <w:embedBoldItalic r:id="rId12" w:fontKey="{81520A12-74B1-4475-BEED-71621B21CD5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B47" w:rsidRDefault="008A0B4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B47" w:rsidRDefault="00263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rsidR="008A0B47" w:rsidRDefault="008A0B4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63314">
      <w:r>
        <w:separator/>
      </w:r>
    </w:p>
  </w:footnote>
  <w:footnote w:type="continuationSeparator" w:id="0">
    <w:p w:rsidR="00000000" w:rsidRDefault="002633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B47" w:rsidRDefault="008A0B47">
    <w:pPr>
      <w:rPr>
        <w:rFonts w:ascii="Cambria" w:eastAsia="Cambria" w:hAnsi="Cambria" w:cs="Cambria"/>
        <w:color w:val="000000"/>
      </w:rPr>
    </w:pPr>
  </w:p>
  <w:tbl>
    <w:tblPr>
      <w:tblStyle w:val="afff2"/>
      <w:tblW w:w="6095" w:type="dxa"/>
      <w:tblInd w:w="3146" w:type="dxa"/>
      <w:tblLayout w:type="fixed"/>
      <w:tblLook w:val="0400" w:firstRow="0" w:lastRow="0" w:firstColumn="0" w:lastColumn="0" w:noHBand="0" w:noVBand="1"/>
    </w:tblPr>
    <w:tblGrid>
      <w:gridCol w:w="2489"/>
      <w:gridCol w:w="3606"/>
    </w:tblGrid>
    <w:tr w:rsidR="008A0B47">
      <w:tc>
        <w:tcPr>
          <w:tcW w:w="2489" w:type="dxa"/>
        </w:tcPr>
        <w:p w:rsidR="008A0B47" w:rsidRDefault="002633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rsidR="008A0B47" w:rsidRDefault="002633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07294/INFOEM/IP/RR/2025</w:t>
          </w:r>
        </w:p>
      </w:tc>
    </w:tr>
    <w:tr w:rsidR="008A0B47">
      <w:trPr>
        <w:trHeight w:val="228"/>
      </w:trPr>
      <w:tc>
        <w:tcPr>
          <w:tcW w:w="2489" w:type="dxa"/>
          <w:vAlign w:val="center"/>
        </w:tcPr>
        <w:p w:rsidR="008A0B47" w:rsidRDefault="002633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rsidR="008A0B47" w:rsidRDefault="0026331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8A0B47">
      <w:tc>
        <w:tcPr>
          <w:tcW w:w="2489" w:type="dxa"/>
          <w:vAlign w:val="center"/>
        </w:tcPr>
        <w:p w:rsidR="008A0B47" w:rsidRDefault="002633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rsidR="008A0B47" w:rsidRDefault="002633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A0B47" w:rsidRDefault="0026331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B47" w:rsidRDefault="0026331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simplePos x="0" y="0"/>
          <wp:positionH relativeFrom="column">
            <wp:posOffset>-1080129</wp:posOffset>
          </wp:positionH>
          <wp:positionV relativeFrom="paragraph">
            <wp:posOffset>-369888</wp:posOffset>
          </wp:positionV>
          <wp:extent cx="7809865" cy="10165715"/>
          <wp:effectExtent l="0" t="0" r="0" b="0"/>
          <wp:wrapNone/>
          <wp:docPr id="21401318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3"/>
      <w:tblW w:w="6095" w:type="dxa"/>
      <w:tblInd w:w="3004" w:type="dxa"/>
      <w:tblLayout w:type="fixed"/>
      <w:tblLook w:val="0400" w:firstRow="0" w:lastRow="0" w:firstColumn="0" w:lastColumn="0" w:noHBand="0" w:noVBand="1"/>
    </w:tblPr>
    <w:tblGrid>
      <w:gridCol w:w="2551"/>
      <w:gridCol w:w="3544"/>
    </w:tblGrid>
    <w:tr w:rsidR="008A0B47">
      <w:tc>
        <w:tcPr>
          <w:tcW w:w="2551" w:type="dxa"/>
        </w:tcPr>
        <w:p w:rsidR="008A0B47" w:rsidRDefault="002633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rsidR="008A0B47" w:rsidRDefault="002633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07294/INFOEM/IP/RR/2025</w:t>
          </w:r>
        </w:p>
      </w:tc>
    </w:tr>
    <w:tr w:rsidR="008A0B47">
      <w:tc>
        <w:tcPr>
          <w:tcW w:w="2551" w:type="dxa"/>
        </w:tcPr>
        <w:p w:rsidR="008A0B47" w:rsidRDefault="002633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rsidR="008A0B47" w:rsidRDefault="00263314" w:rsidP="00263314">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 xml:space="preserve">XXXXX XXXXXXXX XXXXXXXXX </w:t>
          </w:r>
        </w:p>
      </w:tc>
    </w:tr>
    <w:tr w:rsidR="008A0B47">
      <w:trPr>
        <w:trHeight w:val="228"/>
      </w:trPr>
      <w:tc>
        <w:tcPr>
          <w:tcW w:w="2551" w:type="dxa"/>
          <w:vAlign w:val="center"/>
        </w:tcPr>
        <w:p w:rsidR="008A0B47" w:rsidRDefault="002633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rsidR="008A0B47" w:rsidRDefault="0026331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8A0B47">
      <w:tc>
        <w:tcPr>
          <w:tcW w:w="2551" w:type="dxa"/>
          <w:vAlign w:val="center"/>
        </w:tcPr>
        <w:p w:rsidR="008A0B47" w:rsidRDefault="002633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rsidR="008A0B47" w:rsidRDefault="002633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A0B47" w:rsidRDefault="008A0B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416308"/>
    <w:multiLevelType w:val="multilevel"/>
    <w:tmpl w:val="D0782AA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B47"/>
    <w:rsid w:val="00263314"/>
    <w:rsid w:val="008A0B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CBF3"/>
  <w15:docId w15:val="{19CBDD9E-96F0-4B9F-936E-E88691EB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a">
    <w:basedOn w:val="TableNormalf5"/>
    <w:tblPr>
      <w:tblStyleRowBandSize w:val="1"/>
      <w:tblStyleColBandSize w:val="1"/>
      <w:tblCellMar>
        <w:left w:w="115" w:type="dxa"/>
        <w:right w:w="115" w:type="dxa"/>
      </w:tblCellMar>
    </w:tblPr>
  </w:style>
  <w:style w:type="table" w:customStyle="1" w:styleId="a0">
    <w:basedOn w:val="TableNormalf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5"/>
    <w:tblPr>
      <w:tblStyleRowBandSize w:val="1"/>
      <w:tblStyleColBandSize w:val="1"/>
      <w:tblCellMar>
        <w:left w:w="115" w:type="dxa"/>
        <w:right w:w="115" w:type="dxa"/>
      </w:tblCellMar>
    </w:tblPr>
  </w:style>
  <w:style w:type="table" w:customStyle="1" w:styleId="a2">
    <w:basedOn w:val="TableNormalf5"/>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4"/>
    <w:tblPr>
      <w:tblStyleRowBandSize w:val="1"/>
      <w:tblStyleColBandSize w:val="1"/>
      <w:tblCellMar>
        <w:left w:w="115" w:type="dxa"/>
        <w:right w:w="115" w:type="dxa"/>
      </w:tblCellMar>
    </w:tblPr>
  </w:style>
  <w:style w:type="table" w:customStyle="1" w:styleId="a4">
    <w:basedOn w:val="TableNormalf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ind w:left="927" w:hanging="360"/>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3"/>
    <w:tblPr>
      <w:tblStyleRowBandSize w:val="1"/>
      <w:tblStyleColBandSize w:val="1"/>
      <w:tblCellMar>
        <w:left w:w="108" w:type="dxa"/>
        <w:right w:w="108" w:type="dxa"/>
      </w:tblCellMar>
    </w:tblPr>
  </w:style>
  <w:style w:type="table" w:customStyle="1" w:styleId="a6">
    <w:basedOn w:val="TableNormalf3"/>
    <w:tblPr>
      <w:tblStyleRowBandSize w:val="1"/>
      <w:tblStyleColBandSize w:val="1"/>
      <w:tblCellMar>
        <w:left w:w="108" w:type="dxa"/>
        <w:right w:w="108" w:type="dxa"/>
      </w:tblCellMar>
    </w:tblPr>
  </w:style>
  <w:style w:type="table" w:customStyle="1" w:styleId="a7">
    <w:basedOn w:val="TableNormalf3"/>
    <w:tblPr>
      <w:tblStyleRowBandSize w:val="1"/>
      <w:tblStyleColBandSize w:val="1"/>
      <w:tblCellMar>
        <w:left w:w="108" w:type="dxa"/>
        <w:right w:w="108" w:type="dxa"/>
      </w:tblCellMar>
    </w:tblPr>
  </w:style>
  <w:style w:type="table" w:customStyle="1" w:styleId="a8">
    <w:basedOn w:val="TableNormalf3"/>
    <w:tblPr>
      <w:tblStyleRowBandSize w:val="1"/>
      <w:tblStyleColBandSize w:val="1"/>
      <w:tblCellMar>
        <w:left w:w="108" w:type="dxa"/>
        <w:right w:w="108" w:type="dxa"/>
      </w:tblCellMar>
    </w:tblPr>
  </w:style>
  <w:style w:type="table" w:customStyle="1" w:styleId="a9">
    <w:basedOn w:val="TableNormalf3"/>
    <w:tblPr>
      <w:tblStyleRowBandSize w:val="1"/>
      <w:tblStyleColBandSize w:val="1"/>
      <w:tblCellMar>
        <w:left w:w="108" w:type="dxa"/>
        <w:right w:w="108" w:type="dxa"/>
      </w:tblCellMar>
    </w:tblPr>
  </w:style>
  <w:style w:type="table" w:customStyle="1" w:styleId="aa">
    <w:basedOn w:val="TableNormalf3"/>
    <w:tblPr>
      <w:tblStyleRowBandSize w:val="1"/>
      <w:tblStyleColBandSize w:val="1"/>
      <w:tblCellMar>
        <w:left w:w="115" w:type="dxa"/>
        <w:right w:w="115" w:type="dxa"/>
      </w:tblCellMar>
    </w:tblPr>
  </w:style>
  <w:style w:type="table" w:customStyle="1" w:styleId="ab">
    <w:basedOn w:val="TableNormalf3"/>
    <w:tblPr>
      <w:tblStyleRowBandSize w:val="1"/>
      <w:tblStyleColBandSize w:val="1"/>
      <w:tblCellMar>
        <w:left w:w="115" w:type="dxa"/>
        <w:right w:w="115" w:type="dxa"/>
      </w:tblCellMar>
    </w:tblPr>
  </w:style>
  <w:style w:type="table" w:customStyle="1" w:styleId="ac">
    <w:basedOn w:val="TableNormalf2"/>
    <w:tblPr>
      <w:tblStyleRowBandSize w:val="1"/>
      <w:tblStyleColBandSize w:val="1"/>
      <w:tblCellMar>
        <w:left w:w="108" w:type="dxa"/>
        <w:right w:w="108" w:type="dxa"/>
      </w:tblCellMar>
    </w:tblPr>
  </w:style>
  <w:style w:type="table" w:customStyle="1" w:styleId="ad">
    <w:basedOn w:val="TableNormalf2"/>
    <w:tblPr>
      <w:tblStyleRowBandSize w:val="1"/>
      <w:tblStyleColBandSize w:val="1"/>
      <w:tblCellMar>
        <w:left w:w="115" w:type="dxa"/>
        <w:right w:w="115" w:type="dxa"/>
      </w:tblCellMar>
    </w:tblPr>
  </w:style>
  <w:style w:type="table" w:customStyle="1" w:styleId="ae">
    <w:basedOn w:val="TableNormalf2"/>
    <w:tblPr>
      <w:tblStyleRowBandSize w:val="1"/>
      <w:tblStyleColBandSize w:val="1"/>
      <w:tblCellMar>
        <w:left w:w="115" w:type="dxa"/>
        <w:right w:w="115" w:type="dxa"/>
      </w:tblCellMar>
    </w:tblPr>
  </w:style>
  <w:style w:type="table" w:customStyle="1" w:styleId="af">
    <w:basedOn w:val="TableNormalf1"/>
    <w:tblPr>
      <w:tblStyleRowBandSize w:val="1"/>
      <w:tblStyleColBandSize w:val="1"/>
      <w:tblCellMar>
        <w:left w:w="115" w:type="dxa"/>
        <w:right w:w="115" w:type="dxa"/>
      </w:tblCellMar>
    </w:tblPr>
  </w:style>
  <w:style w:type="table" w:customStyle="1" w:styleId="af0">
    <w:basedOn w:val="TableNormalf1"/>
    <w:tblPr>
      <w:tblStyleRowBandSize w:val="1"/>
      <w:tblStyleColBandSize w:val="1"/>
      <w:tblCellMar>
        <w:left w:w="115" w:type="dxa"/>
        <w:right w:w="115" w:type="dxa"/>
      </w:tblCellMar>
    </w:tblPr>
  </w:style>
  <w:style w:type="table" w:customStyle="1" w:styleId="af1">
    <w:basedOn w:val="TableNormalf1"/>
    <w:tblPr>
      <w:tblStyleRowBandSize w:val="1"/>
      <w:tblStyleColBandSize w:val="1"/>
      <w:tblCellMar>
        <w:left w:w="115" w:type="dxa"/>
        <w:right w:w="115" w:type="dxa"/>
      </w:tblCellMar>
    </w:tblPr>
  </w:style>
  <w:style w:type="table" w:customStyle="1" w:styleId="af2">
    <w:basedOn w:val="TableNormalf0"/>
    <w:tblPr>
      <w:tblStyleRowBandSize w:val="1"/>
      <w:tblStyleColBandSize w:val="1"/>
      <w:tblCellMar>
        <w:left w:w="115" w:type="dxa"/>
        <w:right w:w="115" w:type="dxa"/>
      </w:tblCellMar>
    </w:tblPr>
  </w:style>
  <w:style w:type="table" w:customStyle="1" w:styleId="af3">
    <w:basedOn w:val="TableNormalf0"/>
    <w:tblPr>
      <w:tblStyleRowBandSize w:val="1"/>
      <w:tblStyleColBandSize w:val="1"/>
      <w:tblCellMar>
        <w:left w:w="115" w:type="dxa"/>
        <w:right w:w="115" w:type="dxa"/>
      </w:tblCellMar>
    </w:tblPr>
  </w:style>
  <w:style w:type="table" w:customStyle="1" w:styleId="af4">
    <w:basedOn w:val="TableNormalf"/>
    <w:tblPr>
      <w:tblStyleRowBandSize w:val="1"/>
      <w:tblStyleColBandSize w:val="1"/>
      <w:tblCellMar>
        <w:left w:w="115" w:type="dxa"/>
        <w:right w:w="115" w:type="dxa"/>
      </w:tblCellMar>
    </w:tblPr>
  </w:style>
  <w:style w:type="table" w:customStyle="1" w:styleId="af5">
    <w:basedOn w:val="TableNormalf"/>
    <w:tblPr>
      <w:tblStyleRowBandSize w:val="1"/>
      <w:tblStyleColBandSize w:val="1"/>
      <w:tblCellMar>
        <w:left w:w="115" w:type="dxa"/>
        <w:right w:w="115" w:type="dxa"/>
      </w:tblCellMar>
    </w:tblPr>
  </w:style>
  <w:style w:type="table" w:customStyle="1" w:styleId="af6">
    <w:basedOn w:val="TableNormale"/>
    <w:tblPr>
      <w:tblStyleRowBandSize w:val="1"/>
      <w:tblStyleColBandSize w:val="1"/>
      <w:tblCellMar>
        <w:left w:w="115" w:type="dxa"/>
        <w:right w:w="115" w:type="dxa"/>
      </w:tblCellMar>
    </w:tblPr>
  </w:style>
  <w:style w:type="table" w:customStyle="1" w:styleId="af7">
    <w:basedOn w:val="TableNormale"/>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d"/>
    <w:tblPr>
      <w:tblStyleRowBandSize w:val="1"/>
      <w:tblStyleColBandSize w:val="1"/>
      <w:tblCellMar>
        <w:left w:w="115" w:type="dxa"/>
        <w:right w:w="115" w:type="dxa"/>
      </w:tblCellMar>
    </w:tblPr>
  </w:style>
  <w:style w:type="table" w:customStyle="1" w:styleId="af9">
    <w:basedOn w:val="TableNormald"/>
    <w:tblPr>
      <w:tblStyleRowBandSize w:val="1"/>
      <w:tblStyleColBandSize w:val="1"/>
      <w:tblCellMar>
        <w:left w:w="115" w:type="dxa"/>
        <w:right w:w="115" w:type="dxa"/>
      </w:tblCellMar>
    </w:tblPr>
  </w:style>
  <w:style w:type="table" w:customStyle="1" w:styleId="afa">
    <w:basedOn w:val="TableNormalc"/>
    <w:tblPr>
      <w:tblStyleRowBandSize w:val="1"/>
      <w:tblStyleColBandSize w:val="1"/>
      <w:tblCellMar>
        <w:left w:w="115" w:type="dxa"/>
        <w:right w:w="115" w:type="dxa"/>
      </w:tblCellMar>
    </w:tblPr>
  </w:style>
  <w:style w:type="table" w:customStyle="1" w:styleId="afb">
    <w:basedOn w:val="TableNormalc"/>
    <w:tblPr>
      <w:tblStyleRowBandSize w:val="1"/>
      <w:tblStyleColBandSize w:val="1"/>
      <w:tblCellMar>
        <w:left w:w="115" w:type="dxa"/>
        <w:right w:w="115" w:type="dxa"/>
      </w:tblCellMar>
    </w:tblPr>
  </w:style>
  <w:style w:type="table" w:customStyle="1" w:styleId="afc">
    <w:basedOn w:val="TableNormalb"/>
    <w:tblPr>
      <w:tblStyleRowBandSize w:val="1"/>
      <w:tblStyleColBandSize w:val="1"/>
      <w:tblCellMar>
        <w:left w:w="115" w:type="dxa"/>
        <w:right w:w="115" w:type="dxa"/>
      </w:tblCellMar>
    </w:tblPr>
  </w:style>
  <w:style w:type="table" w:customStyle="1" w:styleId="afd">
    <w:basedOn w:val="TableNormalb"/>
    <w:tblPr>
      <w:tblStyleRowBandSize w:val="1"/>
      <w:tblStyleColBandSize w:val="1"/>
      <w:tblCellMar>
        <w:left w:w="115" w:type="dxa"/>
        <w:right w:w="115" w:type="dxa"/>
      </w:tblCellMar>
    </w:tblPr>
  </w:style>
  <w:style w:type="table" w:customStyle="1" w:styleId="afe">
    <w:basedOn w:val="TableNormala"/>
    <w:tblPr>
      <w:tblStyleRowBandSize w:val="1"/>
      <w:tblStyleColBandSize w:val="1"/>
      <w:tblCellMar>
        <w:left w:w="115" w:type="dxa"/>
        <w:right w:w="115" w:type="dxa"/>
      </w:tblCellMar>
    </w:tblPr>
  </w:style>
  <w:style w:type="table" w:customStyle="1" w:styleId="aff">
    <w:basedOn w:val="TableNormala"/>
    <w:tblPr>
      <w:tblStyleRowBandSize w:val="1"/>
      <w:tblStyleColBandSize w:val="1"/>
      <w:tblCellMar>
        <w:left w:w="115" w:type="dxa"/>
        <w:right w:w="115" w:type="dxa"/>
      </w:tblCellMar>
    </w:tblPr>
  </w:style>
  <w:style w:type="table" w:customStyle="1" w:styleId="aff0">
    <w:basedOn w:val="TableNormal9"/>
    <w:tblPr>
      <w:tblStyleRowBandSize w:val="1"/>
      <w:tblStyleColBandSize w:val="1"/>
      <w:tblCellMar>
        <w:left w:w="115" w:type="dxa"/>
        <w:right w:w="115" w:type="dxa"/>
      </w:tblCellMar>
    </w:tblPr>
  </w:style>
  <w:style w:type="table" w:customStyle="1" w:styleId="aff1">
    <w:basedOn w:val="TableNormal9"/>
    <w:tblPr>
      <w:tblStyleRowBandSize w:val="1"/>
      <w:tblStyleColBandSize w:val="1"/>
      <w:tblCellMar>
        <w:left w:w="115" w:type="dxa"/>
        <w:right w:w="115" w:type="dxa"/>
      </w:tblCellMar>
    </w:tblPr>
  </w:style>
  <w:style w:type="table" w:customStyle="1" w:styleId="aff2">
    <w:basedOn w:val="TableNormal8"/>
    <w:tblPr>
      <w:tblStyleRowBandSize w:val="1"/>
      <w:tblStyleColBandSize w:val="1"/>
      <w:tblCellMar>
        <w:left w:w="115" w:type="dxa"/>
        <w:right w:w="115" w:type="dxa"/>
      </w:tblCellMar>
    </w:tblPr>
  </w:style>
  <w:style w:type="table" w:customStyle="1" w:styleId="aff3">
    <w:basedOn w:val="TableNormal8"/>
    <w:tblPr>
      <w:tblStyleRowBandSize w:val="1"/>
      <w:tblStyleColBandSize w:val="1"/>
      <w:tblCellMar>
        <w:left w:w="115" w:type="dxa"/>
        <w:right w:w="115" w:type="dxa"/>
      </w:tblCellMar>
    </w:tblPr>
  </w:style>
  <w:style w:type="table" w:customStyle="1" w:styleId="aff4">
    <w:basedOn w:val="TableNormal7"/>
    <w:tblPr>
      <w:tblStyleRowBandSize w:val="1"/>
      <w:tblStyleColBandSize w:val="1"/>
      <w:tblCellMar>
        <w:left w:w="115" w:type="dxa"/>
        <w:right w:w="115" w:type="dxa"/>
      </w:tblCellMar>
    </w:tblPr>
  </w:style>
  <w:style w:type="table" w:customStyle="1" w:styleId="aff5">
    <w:basedOn w:val="TableNormal7"/>
    <w:tblPr>
      <w:tblStyleRowBandSize w:val="1"/>
      <w:tblStyleColBandSize w:val="1"/>
      <w:tblCellMar>
        <w:left w:w="115" w:type="dxa"/>
        <w:right w:w="115" w:type="dxa"/>
      </w:tblCellMar>
    </w:tblPr>
  </w:style>
  <w:style w:type="table" w:customStyle="1" w:styleId="aff6">
    <w:basedOn w:val="TableNormal6"/>
    <w:tblPr>
      <w:tblStyleRowBandSize w:val="1"/>
      <w:tblStyleColBandSize w:val="1"/>
      <w:tblCellMar>
        <w:left w:w="115" w:type="dxa"/>
        <w:right w:w="115" w:type="dxa"/>
      </w:tblCellMar>
    </w:tblPr>
  </w:style>
  <w:style w:type="table" w:customStyle="1" w:styleId="aff7">
    <w:basedOn w:val="TableNormal6"/>
    <w:tblPr>
      <w:tblStyleRowBandSize w:val="1"/>
      <w:tblStyleColBandSize w:val="1"/>
      <w:tblCellMar>
        <w:left w:w="115" w:type="dxa"/>
        <w:right w:w="115" w:type="dxa"/>
      </w:tblCellMar>
    </w:tblPr>
  </w:style>
  <w:style w:type="table" w:customStyle="1" w:styleId="aff8">
    <w:basedOn w:val="TableNormal5"/>
    <w:tblPr>
      <w:tblStyleRowBandSize w:val="1"/>
      <w:tblStyleColBandSize w:val="1"/>
      <w:tblCellMar>
        <w:left w:w="115" w:type="dxa"/>
        <w:right w:w="115" w:type="dxa"/>
      </w:tblCellMar>
    </w:tblPr>
  </w:style>
  <w:style w:type="table" w:customStyle="1" w:styleId="aff9">
    <w:basedOn w:val="TableNormal5"/>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3"/>
    <w:tblPr>
      <w:tblStyleRowBandSize w:val="1"/>
      <w:tblStyleColBandSize w:val="1"/>
      <w:tblCellMar>
        <w:left w:w="115" w:type="dxa"/>
        <w:right w:w="115" w:type="dxa"/>
      </w:tblCellMar>
    </w:tblPr>
  </w:style>
  <w:style w:type="table" w:customStyle="1" w:styleId="affd">
    <w:basedOn w:val="TableNormal3"/>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top w:w="0" w:type="dxa"/>
        <w:left w:w="115" w:type="dxa"/>
        <w:bottom w:w="0" w:type="dxa"/>
        <w:right w:w="115" w:type="dxa"/>
      </w:tblCellMar>
    </w:tblPr>
  </w:style>
  <w:style w:type="table" w:customStyle="1" w:styleId="afff1">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cfCH3l+9g3+YInNpvHihg6g==">CgMxLjAyCWguM3JkY3JqbjIOaC5kYWozajJ4bzZxNjYyCGguZ2pkZ3hzMgloLjNkeTZ2a20yCWguMzBqMHpsbDIJaC4yczhleW8xMghoLnR5amN3dDIJaC4zem55c2g3MgloLjJldDkycDAyCWguMXQzaDVzZjIOaC5obnp4c2NoNWd5c3oyDmgub3QzcXE2dnhhMDhmMg5oLjV5bWhnNWFpM3FwcDgAciExTlZ1clZpOExyTkdlcE9lYnB2VzJaMzRQUGFmUjZmNjQ=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8196</Words>
  <Characters>45083</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2025-11-14T16:59:00Z</dcterms:created>
  <dcterms:modified xsi:type="dcterms:W3CDTF">2025-11-14T16:59:00Z</dcterms:modified>
</cp:coreProperties>
</file>