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3B1EDD70" w:rsidR="00A50615" w:rsidRPr="005F7DA4" w:rsidRDefault="00C73479" w:rsidP="000837C4">
          <w:pPr>
            <w:pStyle w:val="TtuloTDC"/>
            <w:spacing w:before="0" w:line="360" w:lineRule="auto"/>
            <w:jc w:val="center"/>
          </w:pPr>
          <w:r w:rsidRPr="005F7DA4">
            <w:rPr>
              <w:rFonts w:ascii="Palatino Linotype" w:eastAsia="Palatino Linotype" w:hAnsi="Palatino Linotype" w:cs="Palatino Linotype"/>
              <w:color w:val="000000" w:themeColor="text1"/>
              <w:sz w:val="22"/>
              <w:szCs w:val="22"/>
              <w:lang w:val="es-ES"/>
            </w:rPr>
            <w:t xml:space="preserve">RESOLUCIÓN DEL RECURSO DE REVISIÓN </w:t>
          </w:r>
          <w:r w:rsidR="00D12BA1" w:rsidRPr="005F7DA4">
            <w:rPr>
              <w:rFonts w:ascii="Palatino Linotype" w:eastAsia="Palatino Linotype" w:hAnsi="Palatino Linotype" w:cs="Palatino Linotype"/>
              <w:color w:val="000000" w:themeColor="text1"/>
              <w:sz w:val="22"/>
              <w:szCs w:val="22"/>
              <w:lang w:val="es-ES"/>
            </w:rPr>
            <w:t>04941</w:t>
          </w:r>
          <w:r w:rsidR="000C49FA" w:rsidRPr="005F7DA4">
            <w:rPr>
              <w:rFonts w:ascii="Palatino Linotype" w:eastAsia="Palatino Linotype" w:hAnsi="Palatino Linotype" w:cs="Palatino Linotype"/>
              <w:color w:val="000000" w:themeColor="text1"/>
              <w:sz w:val="22"/>
              <w:szCs w:val="22"/>
              <w:lang w:val="es-ES"/>
            </w:rPr>
            <w:t>/INFOEM/IP/RR/2025</w:t>
          </w:r>
        </w:p>
        <w:p w14:paraId="0783BE92" w14:textId="77777777" w:rsidR="005F7DA4" w:rsidRDefault="00A50615">
          <w:pPr>
            <w:pStyle w:val="TDC1"/>
            <w:tabs>
              <w:tab w:val="right" w:leader="dot" w:pos="9204"/>
            </w:tabs>
            <w:rPr>
              <w:rFonts w:asciiTheme="minorHAnsi" w:eastAsiaTheme="minorEastAsia" w:hAnsiTheme="minorHAnsi" w:cstheme="minorBidi"/>
              <w:noProof/>
              <w:color w:val="auto"/>
            </w:rPr>
          </w:pPr>
          <w:r w:rsidRPr="005F7DA4">
            <w:fldChar w:fldCharType="begin"/>
          </w:r>
          <w:r w:rsidRPr="005F7DA4">
            <w:instrText xml:space="preserve"> TOC \o "1-3" \h \z \u </w:instrText>
          </w:r>
          <w:r w:rsidRPr="005F7DA4">
            <w:fldChar w:fldCharType="separate"/>
          </w:r>
          <w:hyperlink w:anchor="_Toc209097406" w:history="1">
            <w:r w:rsidR="005F7DA4" w:rsidRPr="007825DD">
              <w:rPr>
                <w:rStyle w:val="Hipervnculo"/>
                <w:noProof/>
              </w:rPr>
              <w:t>A N T E C E D E N T E S</w:t>
            </w:r>
            <w:r w:rsidR="005F7DA4">
              <w:rPr>
                <w:noProof/>
                <w:webHidden/>
              </w:rPr>
              <w:tab/>
            </w:r>
            <w:r w:rsidR="005F7DA4">
              <w:rPr>
                <w:noProof/>
                <w:webHidden/>
              </w:rPr>
              <w:fldChar w:fldCharType="begin"/>
            </w:r>
            <w:r w:rsidR="005F7DA4">
              <w:rPr>
                <w:noProof/>
                <w:webHidden/>
              </w:rPr>
              <w:instrText xml:space="preserve"> PAGEREF _Toc209097406 \h </w:instrText>
            </w:r>
            <w:r w:rsidR="005F7DA4">
              <w:rPr>
                <w:noProof/>
                <w:webHidden/>
              </w:rPr>
            </w:r>
            <w:r w:rsidR="005F7DA4">
              <w:rPr>
                <w:noProof/>
                <w:webHidden/>
              </w:rPr>
              <w:fldChar w:fldCharType="separate"/>
            </w:r>
            <w:r w:rsidR="00A8335C">
              <w:rPr>
                <w:noProof/>
                <w:webHidden/>
              </w:rPr>
              <w:t>2</w:t>
            </w:r>
            <w:r w:rsidR="005F7DA4">
              <w:rPr>
                <w:noProof/>
                <w:webHidden/>
              </w:rPr>
              <w:fldChar w:fldCharType="end"/>
            </w:r>
          </w:hyperlink>
        </w:p>
        <w:p w14:paraId="64329139" w14:textId="77777777" w:rsidR="005F7DA4" w:rsidRDefault="005F7DA4">
          <w:pPr>
            <w:pStyle w:val="TDC2"/>
            <w:rPr>
              <w:rFonts w:asciiTheme="minorHAnsi" w:eastAsiaTheme="minorEastAsia" w:hAnsiTheme="minorHAnsi" w:cstheme="minorBidi"/>
              <w:noProof/>
              <w:color w:val="auto"/>
            </w:rPr>
          </w:pPr>
          <w:hyperlink w:anchor="_Toc209097407" w:history="1">
            <w:r w:rsidRPr="007825DD">
              <w:rPr>
                <w:rStyle w:val="Hipervnculo"/>
                <w:noProof/>
              </w:rPr>
              <w:t>I. Presentación de la solicitud</w:t>
            </w:r>
            <w:r>
              <w:rPr>
                <w:noProof/>
                <w:webHidden/>
              </w:rPr>
              <w:tab/>
            </w:r>
            <w:r>
              <w:rPr>
                <w:noProof/>
                <w:webHidden/>
              </w:rPr>
              <w:fldChar w:fldCharType="begin"/>
            </w:r>
            <w:r>
              <w:rPr>
                <w:noProof/>
                <w:webHidden/>
              </w:rPr>
              <w:instrText xml:space="preserve"> PAGEREF _Toc209097407 \h </w:instrText>
            </w:r>
            <w:r>
              <w:rPr>
                <w:noProof/>
                <w:webHidden/>
              </w:rPr>
            </w:r>
            <w:r>
              <w:rPr>
                <w:noProof/>
                <w:webHidden/>
              </w:rPr>
              <w:fldChar w:fldCharType="separate"/>
            </w:r>
            <w:r w:rsidR="00A8335C">
              <w:rPr>
                <w:noProof/>
                <w:webHidden/>
              </w:rPr>
              <w:t>2</w:t>
            </w:r>
            <w:r>
              <w:rPr>
                <w:noProof/>
                <w:webHidden/>
              </w:rPr>
              <w:fldChar w:fldCharType="end"/>
            </w:r>
          </w:hyperlink>
        </w:p>
        <w:p w14:paraId="02FA1BAA" w14:textId="77777777" w:rsidR="005F7DA4" w:rsidRDefault="005F7DA4">
          <w:pPr>
            <w:pStyle w:val="TDC2"/>
            <w:rPr>
              <w:rFonts w:asciiTheme="minorHAnsi" w:eastAsiaTheme="minorEastAsia" w:hAnsiTheme="minorHAnsi" w:cstheme="minorBidi"/>
              <w:noProof/>
              <w:color w:val="auto"/>
            </w:rPr>
          </w:pPr>
          <w:hyperlink w:anchor="_Toc209097408" w:history="1">
            <w:r w:rsidRPr="007825DD">
              <w:rPr>
                <w:rStyle w:val="Hipervnculo"/>
                <w:noProof/>
              </w:rPr>
              <w:t>II. Respuesta del Sujeto Obligado</w:t>
            </w:r>
            <w:r>
              <w:rPr>
                <w:noProof/>
                <w:webHidden/>
              </w:rPr>
              <w:tab/>
            </w:r>
            <w:r>
              <w:rPr>
                <w:noProof/>
                <w:webHidden/>
              </w:rPr>
              <w:fldChar w:fldCharType="begin"/>
            </w:r>
            <w:r>
              <w:rPr>
                <w:noProof/>
                <w:webHidden/>
              </w:rPr>
              <w:instrText xml:space="preserve"> PAGEREF _Toc209097408 \h </w:instrText>
            </w:r>
            <w:r>
              <w:rPr>
                <w:noProof/>
                <w:webHidden/>
              </w:rPr>
            </w:r>
            <w:r>
              <w:rPr>
                <w:noProof/>
                <w:webHidden/>
              </w:rPr>
              <w:fldChar w:fldCharType="separate"/>
            </w:r>
            <w:r w:rsidR="00A8335C">
              <w:rPr>
                <w:noProof/>
                <w:webHidden/>
              </w:rPr>
              <w:t>2</w:t>
            </w:r>
            <w:r>
              <w:rPr>
                <w:noProof/>
                <w:webHidden/>
              </w:rPr>
              <w:fldChar w:fldCharType="end"/>
            </w:r>
          </w:hyperlink>
        </w:p>
        <w:p w14:paraId="50040812" w14:textId="77777777" w:rsidR="005F7DA4" w:rsidRDefault="005F7DA4">
          <w:pPr>
            <w:pStyle w:val="TDC2"/>
            <w:rPr>
              <w:rFonts w:asciiTheme="minorHAnsi" w:eastAsiaTheme="minorEastAsia" w:hAnsiTheme="minorHAnsi" w:cstheme="minorBidi"/>
              <w:noProof/>
              <w:color w:val="auto"/>
            </w:rPr>
          </w:pPr>
          <w:hyperlink w:anchor="_Toc209097409" w:history="1">
            <w:r w:rsidRPr="007825DD">
              <w:rPr>
                <w:rStyle w:val="Hipervnculo"/>
                <w:noProof/>
              </w:rPr>
              <w:t>III. Interposición del Recurso de Revisión</w:t>
            </w:r>
            <w:r>
              <w:rPr>
                <w:noProof/>
                <w:webHidden/>
              </w:rPr>
              <w:tab/>
            </w:r>
            <w:r>
              <w:rPr>
                <w:noProof/>
                <w:webHidden/>
              </w:rPr>
              <w:fldChar w:fldCharType="begin"/>
            </w:r>
            <w:r>
              <w:rPr>
                <w:noProof/>
                <w:webHidden/>
              </w:rPr>
              <w:instrText xml:space="preserve"> PAGEREF _Toc209097409 \h </w:instrText>
            </w:r>
            <w:r>
              <w:rPr>
                <w:noProof/>
                <w:webHidden/>
              </w:rPr>
            </w:r>
            <w:r>
              <w:rPr>
                <w:noProof/>
                <w:webHidden/>
              </w:rPr>
              <w:fldChar w:fldCharType="separate"/>
            </w:r>
            <w:r w:rsidR="00A8335C">
              <w:rPr>
                <w:noProof/>
                <w:webHidden/>
              </w:rPr>
              <w:t>3</w:t>
            </w:r>
            <w:r>
              <w:rPr>
                <w:noProof/>
                <w:webHidden/>
              </w:rPr>
              <w:fldChar w:fldCharType="end"/>
            </w:r>
          </w:hyperlink>
        </w:p>
        <w:p w14:paraId="45B6870A" w14:textId="77777777" w:rsidR="005F7DA4" w:rsidRDefault="005F7DA4">
          <w:pPr>
            <w:pStyle w:val="TDC2"/>
            <w:rPr>
              <w:rFonts w:asciiTheme="minorHAnsi" w:eastAsiaTheme="minorEastAsia" w:hAnsiTheme="minorHAnsi" w:cstheme="minorBidi"/>
              <w:noProof/>
              <w:color w:val="auto"/>
            </w:rPr>
          </w:pPr>
          <w:hyperlink w:anchor="_Toc209097410" w:history="1">
            <w:r w:rsidRPr="007825DD">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_Toc209097410 \h </w:instrText>
            </w:r>
            <w:r>
              <w:rPr>
                <w:noProof/>
                <w:webHidden/>
              </w:rPr>
            </w:r>
            <w:r>
              <w:rPr>
                <w:noProof/>
                <w:webHidden/>
              </w:rPr>
              <w:fldChar w:fldCharType="separate"/>
            </w:r>
            <w:r w:rsidR="00A8335C">
              <w:rPr>
                <w:noProof/>
                <w:webHidden/>
              </w:rPr>
              <w:t>3</w:t>
            </w:r>
            <w:r>
              <w:rPr>
                <w:noProof/>
                <w:webHidden/>
              </w:rPr>
              <w:fldChar w:fldCharType="end"/>
            </w:r>
          </w:hyperlink>
        </w:p>
        <w:p w14:paraId="066755B7" w14:textId="77777777" w:rsidR="005F7DA4" w:rsidRDefault="005F7DA4">
          <w:pPr>
            <w:pStyle w:val="TDC1"/>
            <w:tabs>
              <w:tab w:val="right" w:leader="dot" w:pos="9204"/>
            </w:tabs>
            <w:rPr>
              <w:rFonts w:asciiTheme="minorHAnsi" w:eastAsiaTheme="minorEastAsia" w:hAnsiTheme="minorHAnsi" w:cstheme="minorBidi"/>
              <w:noProof/>
              <w:color w:val="auto"/>
            </w:rPr>
          </w:pPr>
          <w:hyperlink w:anchor="_Toc209097411" w:history="1">
            <w:r w:rsidRPr="007825DD">
              <w:rPr>
                <w:rStyle w:val="Hipervnculo"/>
                <w:noProof/>
              </w:rPr>
              <w:t>C O N S I D E R A N D O S</w:t>
            </w:r>
            <w:r>
              <w:rPr>
                <w:noProof/>
                <w:webHidden/>
              </w:rPr>
              <w:tab/>
            </w:r>
            <w:r>
              <w:rPr>
                <w:noProof/>
                <w:webHidden/>
              </w:rPr>
              <w:fldChar w:fldCharType="begin"/>
            </w:r>
            <w:r>
              <w:rPr>
                <w:noProof/>
                <w:webHidden/>
              </w:rPr>
              <w:instrText xml:space="preserve"> PAGEREF _Toc209097411 \h </w:instrText>
            </w:r>
            <w:r>
              <w:rPr>
                <w:noProof/>
                <w:webHidden/>
              </w:rPr>
            </w:r>
            <w:r>
              <w:rPr>
                <w:noProof/>
                <w:webHidden/>
              </w:rPr>
              <w:fldChar w:fldCharType="separate"/>
            </w:r>
            <w:r w:rsidR="00A8335C">
              <w:rPr>
                <w:noProof/>
                <w:webHidden/>
              </w:rPr>
              <w:t>5</w:t>
            </w:r>
            <w:r>
              <w:rPr>
                <w:noProof/>
                <w:webHidden/>
              </w:rPr>
              <w:fldChar w:fldCharType="end"/>
            </w:r>
          </w:hyperlink>
        </w:p>
        <w:p w14:paraId="4550011B" w14:textId="77777777" w:rsidR="005F7DA4" w:rsidRDefault="005F7DA4">
          <w:pPr>
            <w:pStyle w:val="TDC2"/>
            <w:rPr>
              <w:rFonts w:asciiTheme="minorHAnsi" w:eastAsiaTheme="minorEastAsia" w:hAnsiTheme="minorHAnsi" w:cstheme="minorBidi"/>
              <w:noProof/>
              <w:color w:val="auto"/>
            </w:rPr>
          </w:pPr>
          <w:hyperlink w:anchor="_Toc209097412" w:history="1">
            <w:r w:rsidRPr="007825DD">
              <w:rPr>
                <w:rStyle w:val="Hipervnculo"/>
                <w:noProof/>
              </w:rPr>
              <w:t>PRIMERO. Competencia</w:t>
            </w:r>
            <w:r>
              <w:rPr>
                <w:noProof/>
                <w:webHidden/>
              </w:rPr>
              <w:tab/>
            </w:r>
            <w:r>
              <w:rPr>
                <w:noProof/>
                <w:webHidden/>
              </w:rPr>
              <w:fldChar w:fldCharType="begin"/>
            </w:r>
            <w:r>
              <w:rPr>
                <w:noProof/>
                <w:webHidden/>
              </w:rPr>
              <w:instrText xml:space="preserve"> PAGEREF _Toc209097412 \h </w:instrText>
            </w:r>
            <w:r>
              <w:rPr>
                <w:noProof/>
                <w:webHidden/>
              </w:rPr>
            </w:r>
            <w:r>
              <w:rPr>
                <w:noProof/>
                <w:webHidden/>
              </w:rPr>
              <w:fldChar w:fldCharType="separate"/>
            </w:r>
            <w:r w:rsidR="00A8335C">
              <w:rPr>
                <w:noProof/>
                <w:webHidden/>
              </w:rPr>
              <w:t>5</w:t>
            </w:r>
            <w:r>
              <w:rPr>
                <w:noProof/>
                <w:webHidden/>
              </w:rPr>
              <w:fldChar w:fldCharType="end"/>
            </w:r>
          </w:hyperlink>
        </w:p>
        <w:p w14:paraId="2947486B" w14:textId="77777777" w:rsidR="005F7DA4" w:rsidRDefault="005F7DA4">
          <w:pPr>
            <w:pStyle w:val="TDC2"/>
            <w:rPr>
              <w:rFonts w:asciiTheme="minorHAnsi" w:eastAsiaTheme="minorEastAsia" w:hAnsiTheme="minorHAnsi" w:cstheme="minorBidi"/>
              <w:noProof/>
              <w:color w:val="auto"/>
            </w:rPr>
          </w:pPr>
          <w:hyperlink w:anchor="_Toc209097413" w:history="1">
            <w:r w:rsidRPr="007825DD">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_Toc209097413 \h </w:instrText>
            </w:r>
            <w:r>
              <w:rPr>
                <w:noProof/>
                <w:webHidden/>
              </w:rPr>
            </w:r>
            <w:r>
              <w:rPr>
                <w:noProof/>
                <w:webHidden/>
              </w:rPr>
              <w:fldChar w:fldCharType="separate"/>
            </w:r>
            <w:r w:rsidR="00A8335C">
              <w:rPr>
                <w:noProof/>
                <w:webHidden/>
              </w:rPr>
              <w:t>5</w:t>
            </w:r>
            <w:r>
              <w:rPr>
                <w:noProof/>
                <w:webHidden/>
              </w:rPr>
              <w:fldChar w:fldCharType="end"/>
            </w:r>
          </w:hyperlink>
        </w:p>
        <w:p w14:paraId="2EB20205" w14:textId="77777777" w:rsidR="005F7DA4" w:rsidRDefault="005F7DA4">
          <w:pPr>
            <w:pStyle w:val="TDC2"/>
            <w:rPr>
              <w:rFonts w:asciiTheme="minorHAnsi" w:eastAsiaTheme="minorEastAsia" w:hAnsiTheme="minorHAnsi" w:cstheme="minorBidi"/>
              <w:noProof/>
              <w:color w:val="auto"/>
            </w:rPr>
          </w:pPr>
          <w:hyperlink w:anchor="_Toc209097414" w:history="1">
            <w:r w:rsidRPr="007825DD">
              <w:rPr>
                <w:rStyle w:val="Hipervnculo"/>
                <w:noProof/>
              </w:rPr>
              <w:t>TERCERO. Determinación de la Controversia.</w:t>
            </w:r>
            <w:r>
              <w:rPr>
                <w:noProof/>
                <w:webHidden/>
              </w:rPr>
              <w:tab/>
            </w:r>
            <w:r>
              <w:rPr>
                <w:noProof/>
                <w:webHidden/>
              </w:rPr>
              <w:fldChar w:fldCharType="begin"/>
            </w:r>
            <w:r>
              <w:rPr>
                <w:noProof/>
                <w:webHidden/>
              </w:rPr>
              <w:instrText xml:space="preserve"> PAGEREF _Toc209097414 \h </w:instrText>
            </w:r>
            <w:r>
              <w:rPr>
                <w:noProof/>
                <w:webHidden/>
              </w:rPr>
            </w:r>
            <w:r>
              <w:rPr>
                <w:noProof/>
                <w:webHidden/>
              </w:rPr>
              <w:fldChar w:fldCharType="separate"/>
            </w:r>
            <w:r w:rsidR="00A8335C">
              <w:rPr>
                <w:noProof/>
                <w:webHidden/>
              </w:rPr>
              <w:t>7</w:t>
            </w:r>
            <w:r>
              <w:rPr>
                <w:noProof/>
                <w:webHidden/>
              </w:rPr>
              <w:fldChar w:fldCharType="end"/>
            </w:r>
          </w:hyperlink>
        </w:p>
        <w:p w14:paraId="7E0448CA" w14:textId="77777777" w:rsidR="005F7DA4" w:rsidRDefault="005F7DA4">
          <w:pPr>
            <w:pStyle w:val="TDC2"/>
            <w:rPr>
              <w:rFonts w:asciiTheme="minorHAnsi" w:eastAsiaTheme="minorEastAsia" w:hAnsiTheme="minorHAnsi" w:cstheme="minorBidi"/>
              <w:noProof/>
              <w:color w:val="auto"/>
            </w:rPr>
          </w:pPr>
          <w:hyperlink w:anchor="_Toc209097415" w:history="1">
            <w:r w:rsidRPr="007825DD">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_Toc209097415 \h </w:instrText>
            </w:r>
            <w:r>
              <w:rPr>
                <w:noProof/>
                <w:webHidden/>
              </w:rPr>
            </w:r>
            <w:r>
              <w:rPr>
                <w:noProof/>
                <w:webHidden/>
              </w:rPr>
              <w:fldChar w:fldCharType="separate"/>
            </w:r>
            <w:r w:rsidR="00A8335C">
              <w:rPr>
                <w:noProof/>
                <w:webHidden/>
              </w:rPr>
              <w:t>8</w:t>
            </w:r>
            <w:r>
              <w:rPr>
                <w:noProof/>
                <w:webHidden/>
              </w:rPr>
              <w:fldChar w:fldCharType="end"/>
            </w:r>
          </w:hyperlink>
        </w:p>
        <w:p w14:paraId="05695876" w14:textId="77777777" w:rsidR="005F7DA4" w:rsidRDefault="005F7DA4">
          <w:pPr>
            <w:pStyle w:val="TDC2"/>
            <w:rPr>
              <w:rFonts w:asciiTheme="minorHAnsi" w:eastAsiaTheme="minorEastAsia" w:hAnsiTheme="minorHAnsi" w:cstheme="minorBidi"/>
              <w:noProof/>
              <w:color w:val="auto"/>
            </w:rPr>
          </w:pPr>
          <w:hyperlink w:anchor="_Toc209097416" w:history="1">
            <w:r w:rsidRPr="007825DD">
              <w:rPr>
                <w:rStyle w:val="Hipervnculo"/>
                <w:caps/>
                <w:noProof/>
              </w:rPr>
              <w:t>Quinto.</w:t>
            </w:r>
            <w:r w:rsidRPr="007825DD">
              <w:rPr>
                <w:rStyle w:val="Hipervnculo"/>
                <w:noProof/>
              </w:rPr>
              <w:t xml:space="preserve"> Estudio de Fondo</w:t>
            </w:r>
            <w:r>
              <w:rPr>
                <w:noProof/>
                <w:webHidden/>
              </w:rPr>
              <w:tab/>
            </w:r>
            <w:r>
              <w:rPr>
                <w:noProof/>
                <w:webHidden/>
              </w:rPr>
              <w:fldChar w:fldCharType="begin"/>
            </w:r>
            <w:r>
              <w:rPr>
                <w:noProof/>
                <w:webHidden/>
              </w:rPr>
              <w:instrText xml:space="preserve"> PAGEREF _Toc209097416 \h </w:instrText>
            </w:r>
            <w:r>
              <w:rPr>
                <w:noProof/>
                <w:webHidden/>
              </w:rPr>
            </w:r>
            <w:r>
              <w:rPr>
                <w:noProof/>
                <w:webHidden/>
              </w:rPr>
              <w:fldChar w:fldCharType="separate"/>
            </w:r>
            <w:r w:rsidR="00A8335C">
              <w:rPr>
                <w:noProof/>
                <w:webHidden/>
              </w:rPr>
              <w:t>9</w:t>
            </w:r>
            <w:r>
              <w:rPr>
                <w:noProof/>
                <w:webHidden/>
              </w:rPr>
              <w:fldChar w:fldCharType="end"/>
            </w:r>
          </w:hyperlink>
        </w:p>
        <w:p w14:paraId="357349B6" w14:textId="77777777" w:rsidR="005F7DA4" w:rsidRDefault="005F7DA4">
          <w:pPr>
            <w:pStyle w:val="TDC2"/>
            <w:rPr>
              <w:rFonts w:asciiTheme="minorHAnsi" w:eastAsiaTheme="minorEastAsia" w:hAnsiTheme="minorHAnsi" w:cstheme="minorBidi"/>
              <w:noProof/>
              <w:color w:val="auto"/>
            </w:rPr>
          </w:pPr>
          <w:hyperlink w:anchor="_Toc209097417" w:history="1">
            <w:r w:rsidRPr="007825DD">
              <w:rPr>
                <w:rStyle w:val="Hipervnculo"/>
                <w:noProof/>
              </w:rPr>
              <w:t>SEXTO. Decisión</w:t>
            </w:r>
            <w:r>
              <w:rPr>
                <w:noProof/>
                <w:webHidden/>
              </w:rPr>
              <w:tab/>
            </w:r>
            <w:r>
              <w:rPr>
                <w:noProof/>
                <w:webHidden/>
              </w:rPr>
              <w:fldChar w:fldCharType="begin"/>
            </w:r>
            <w:r>
              <w:rPr>
                <w:noProof/>
                <w:webHidden/>
              </w:rPr>
              <w:instrText xml:space="preserve"> PAGEREF _Toc209097417 \h </w:instrText>
            </w:r>
            <w:r>
              <w:rPr>
                <w:noProof/>
                <w:webHidden/>
              </w:rPr>
            </w:r>
            <w:r>
              <w:rPr>
                <w:noProof/>
                <w:webHidden/>
              </w:rPr>
              <w:fldChar w:fldCharType="separate"/>
            </w:r>
            <w:r w:rsidR="00A8335C">
              <w:rPr>
                <w:noProof/>
                <w:webHidden/>
              </w:rPr>
              <w:t>19</w:t>
            </w:r>
            <w:r>
              <w:rPr>
                <w:noProof/>
                <w:webHidden/>
              </w:rPr>
              <w:fldChar w:fldCharType="end"/>
            </w:r>
          </w:hyperlink>
        </w:p>
        <w:p w14:paraId="22DF905A" w14:textId="77777777" w:rsidR="005F7DA4" w:rsidRDefault="005F7DA4">
          <w:pPr>
            <w:pStyle w:val="TDC1"/>
            <w:tabs>
              <w:tab w:val="right" w:leader="dot" w:pos="9204"/>
            </w:tabs>
            <w:rPr>
              <w:rFonts w:asciiTheme="minorHAnsi" w:eastAsiaTheme="minorEastAsia" w:hAnsiTheme="minorHAnsi" w:cstheme="minorBidi"/>
              <w:noProof/>
              <w:color w:val="auto"/>
            </w:rPr>
          </w:pPr>
          <w:hyperlink w:anchor="_Toc209097418" w:history="1">
            <w:r w:rsidRPr="007825DD">
              <w:rPr>
                <w:rStyle w:val="Hipervnculo"/>
                <w:noProof/>
              </w:rPr>
              <w:t>R E S U E L V E</w:t>
            </w:r>
            <w:r>
              <w:rPr>
                <w:noProof/>
                <w:webHidden/>
              </w:rPr>
              <w:tab/>
            </w:r>
            <w:r>
              <w:rPr>
                <w:noProof/>
                <w:webHidden/>
              </w:rPr>
              <w:fldChar w:fldCharType="begin"/>
            </w:r>
            <w:r>
              <w:rPr>
                <w:noProof/>
                <w:webHidden/>
              </w:rPr>
              <w:instrText xml:space="preserve"> PAGEREF _Toc209097418 \h </w:instrText>
            </w:r>
            <w:r>
              <w:rPr>
                <w:noProof/>
                <w:webHidden/>
              </w:rPr>
            </w:r>
            <w:r>
              <w:rPr>
                <w:noProof/>
                <w:webHidden/>
              </w:rPr>
              <w:fldChar w:fldCharType="separate"/>
            </w:r>
            <w:r w:rsidR="00A8335C">
              <w:rPr>
                <w:noProof/>
                <w:webHidden/>
              </w:rPr>
              <w:t>20</w:t>
            </w:r>
            <w:r>
              <w:rPr>
                <w:noProof/>
                <w:webHidden/>
              </w:rPr>
              <w:fldChar w:fldCharType="end"/>
            </w:r>
          </w:hyperlink>
        </w:p>
        <w:p w14:paraId="47B63EDE" w14:textId="2F770A52" w:rsidR="00A50615" w:rsidRPr="005F7DA4" w:rsidRDefault="00A50615" w:rsidP="000837C4">
          <w:pPr>
            <w:spacing w:after="0" w:line="360" w:lineRule="auto"/>
          </w:pPr>
          <w:r w:rsidRPr="005F7DA4">
            <w:rPr>
              <w:b/>
              <w:bCs/>
              <w:lang w:val="es-ES"/>
            </w:rPr>
            <w:fldChar w:fldCharType="end"/>
          </w:r>
        </w:p>
      </w:sdtContent>
    </w:sdt>
    <w:p w14:paraId="696D2B71" w14:textId="296A7369" w:rsidR="00CE58A5" w:rsidRPr="005F7DA4" w:rsidRDefault="00C73479" w:rsidP="000837C4">
      <w:pPr>
        <w:widowControl w:val="0"/>
        <w:pBdr>
          <w:top w:val="nil"/>
          <w:left w:val="nil"/>
          <w:bottom w:val="nil"/>
          <w:right w:val="nil"/>
          <w:between w:val="nil"/>
        </w:pBdr>
        <w:spacing w:after="0" w:line="360" w:lineRule="auto"/>
        <w:jc w:val="left"/>
      </w:pPr>
      <w:r w:rsidRPr="005F7DA4">
        <w:br w:type="column"/>
      </w:r>
    </w:p>
    <w:p w14:paraId="1C288FC1" w14:textId="2BEC23CC" w:rsidR="00CE58A5" w:rsidRPr="005F7DA4" w:rsidRDefault="00CE4466" w:rsidP="000837C4">
      <w:pPr>
        <w:spacing w:after="0" w:line="360" w:lineRule="auto"/>
      </w:pPr>
      <w:r w:rsidRPr="005F7DA4">
        <w:t xml:space="preserve">Resolución del Pleno del Instituto de Transparencia, Acceso a la Información Pública y Protección de Datos Personales del Estado de México y Municipios, con domicilio en Metepec, Estado de México, de fecha </w:t>
      </w:r>
      <w:r w:rsidR="00D12BA1" w:rsidRPr="005F7DA4">
        <w:t>dieciocho de septiembre</w:t>
      </w:r>
      <w:r w:rsidR="00E87065" w:rsidRPr="005F7DA4">
        <w:t xml:space="preserve"> de dos mil veinticinco</w:t>
      </w:r>
      <w:r w:rsidRPr="005F7DA4">
        <w:t>.</w:t>
      </w:r>
    </w:p>
    <w:p w14:paraId="5B1FA2B3" w14:textId="77777777" w:rsidR="00CE58A5" w:rsidRPr="005F7DA4" w:rsidRDefault="00CE58A5" w:rsidP="000837C4">
      <w:pPr>
        <w:spacing w:after="0" w:line="360" w:lineRule="auto"/>
        <w:rPr>
          <w:b/>
        </w:rPr>
      </w:pPr>
    </w:p>
    <w:p w14:paraId="67B180B8" w14:textId="5AA46F53" w:rsidR="00CE58A5" w:rsidRPr="005F7DA4" w:rsidRDefault="00CE4466" w:rsidP="000837C4">
      <w:pPr>
        <w:spacing w:after="0" w:line="360" w:lineRule="auto"/>
      </w:pPr>
      <w:r w:rsidRPr="005F7DA4">
        <w:rPr>
          <w:b/>
        </w:rPr>
        <w:t>VISTO</w:t>
      </w:r>
      <w:r w:rsidRPr="005F7DA4">
        <w:t xml:space="preserve"> el expediente conformado con motivo del Recurso de Revisión </w:t>
      </w:r>
      <w:r w:rsidR="000C49FA" w:rsidRPr="00702624">
        <w:rPr>
          <w:b/>
          <w:bCs/>
        </w:rPr>
        <w:t>04941/INFOEM/IP/RR/2025</w:t>
      </w:r>
      <w:r w:rsidRPr="005F7DA4">
        <w:rPr>
          <w:bCs/>
        </w:rPr>
        <w:t xml:space="preserve">, interpuesto </w:t>
      </w:r>
      <w:r w:rsidR="001A54EF" w:rsidRPr="005F7DA4">
        <w:rPr>
          <w:bCs/>
        </w:rPr>
        <w:t>por</w:t>
      </w:r>
      <w:r w:rsidR="000C49FA" w:rsidRPr="005F7DA4">
        <w:rPr>
          <w:bCs/>
        </w:rPr>
        <w:t xml:space="preserve"> </w:t>
      </w:r>
      <w:r w:rsidR="00C73479" w:rsidRPr="005F7DA4">
        <w:rPr>
          <w:bCs/>
        </w:rPr>
        <w:t>la persona</w:t>
      </w:r>
      <w:r w:rsidR="006D4068" w:rsidRPr="005F7DA4">
        <w:rPr>
          <w:bCs/>
        </w:rPr>
        <w:t xml:space="preserve"> </w:t>
      </w:r>
      <w:r w:rsidRPr="005F7DA4">
        <w:rPr>
          <w:bCs/>
        </w:rPr>
        <w:t xml:space="preserve">Recurrente o Particular, en contra de la respuesta del Sujeto Obligado, </w:t>
      </w:r>
      <w:r w:rsidR="006D2D64" w:rsidRPr="00702624">
        <w:rPr>
          <w:b/>
          <w:bCs/>
        </w:rPr>
        <w:t>Ayuntamiento de Toluca</w:t>
      </w:r>
      <w:r w:rsidRPr="005F7DA4">
        <w:rPr>
          <w:bCs/>
        </w:rPr>
        <w:t xml:space="preserve">, a la solicitud de acceso a la información </w:t>
      </w:r>
      <w:r w:rsidR="006D2D64" w:rsidRPr="005F7DA4">
        <w:rPr>
          <w:bCs/>
          <w:color w:val="0D0D0D"/>
        </w:rPr>
        <w:t>01968/TOLUCA/IP/2025</w:t>
      </w:r>
      <w:r w:rsidRPr="005F7DA4">
        <w:rPr>
          <w:bCs/>
        </w:rPr>
        <w:t>, se emite la presente</w:t>
      </w:r>
      <w:r w:rsidRPr="005F7DA4">
        <w:t xml:space="preserve"> Resolución, con base en los Antecedentes y Considerandos que se exponen a continuación:</w:t>
      </w:r>
    </w:p>
    <w:p w14:paraId="1FA40EED" w14:textId="77777777" w:rsidR="00CE58A5" w:rsidRPr="005F7DA4" w:rsidRDefault="00CE58A5" w:rsidP="000837C4">
      <w:pPr>
        <w:spacing w:after="0" w:line="360" w:lineRule="auto"/>
      </w:pPr>
    </w:p>
    <w:p w14:paraId="73DD6C24" w14:textId="6D4C9EA9" w:rsidR="00CE58A5" w:rsidRPr="005F7DA4" w:rsidRDefault="00CE4466" w:rsidP="000837C4">
      <w:pPr>
        <w:pStyle w:val="Ttulo1"/>
        <w:spacing w:before="0" w:after="0"/>
      </w:pPr>
      <w:bookmarkStart w:id="0" w:name="_Toc179975594"/>
      <w:bookmarkStart w:id="1" w:name="_Toc209097406"/>
      <w:r w:rsidRPr="005F7DA4">
        <w:t>A N T E C E D E N T E S</w:t>
      </w:r>
      <w:bookmarkEnd w:id="0"/>
      <w:bookmarkEnd w:id="1"/>
    </w:p>
    <w:p w14:paraId="108A9D50" w14:textId="77777777" w:rsidR="00CE58A5" w:rsidRPr="005F7DA4" w:rsidRDefault="00CE58A5" w:rsidP="000837C4">
      <w:pPr>
        <w:spacing w:after="0" w:line="360" w:lineRule="auto"/>
      </w:pPr>
    </w:p>
    <w:p w14:paraId="30C1BFAF" w14:textId="34BE2403" w:rsidR="00CE58A5" w:rsidRPr="005F7DA4" w:rsidRDefault="00CE4466" w:rsidP="000837C4">
      <w:pPr>
        <w:pStyle w:val="Ttulo2"/>
        <w:spacing w:before="0" w:after="0"/>
      </w:pPr>
      <w:bookmarkStart w:id="2" w:name="_Toc179975595"/>
      <w:bookmarkStart w:id="3" w:name="_Toc209097407"/>
      <w:r w:rsidRPr="005F7DA4">
        <w:t>I. Presentación</w:t>
      </w:r>
      <w:bookmarkEnd w:id="2"/>
      <w:r w:rsidRPr="005F7DA4">
        <w:t xml:space="preserve"> </w:t>
      </w:r>
      <w:r w:rsidR="00E57161" w:rsidRPr="005F7DA4">
        <w:t>de la solicitud</w:t>
      </w:r>
      <w:bookmarkEnd w:id="3"/>
    </w:p>
    <w:p w14:paraId="13E36A34" w14:textId="77777777" w:rsidR="00CE58A5" w:rsidRPr="005F7DA4" w:rsidRDefault="00CE58A5" w:rsidP="000837C4">
      <w:pPr>
        <w:tabs>
          <w:tab w:val="left" w:pos="567"/>
        </w:tabs>
        <w:spacing w:after="0" w:line="360" w:lineRule="auto"/>
      </w:pPr>
    </w:p>
    <w:p w14:paraId="166E0743" w14:textId="2CBA5588" w:rsidR="00CE58A5" w:rsidRPr="005F7DA4" w:rsidRDefault="00CE4466" w:rsidP="000837C4">
      <w:pPr>
        <w:spacing w:after="0" w:line="360" w:lineRule="auto"/>
      </w:pPr>
      <w:r w:rsidRPr="005F7DA4">
        <w:t xml:space="preserve">Con fecha </w:t>
      </w:r>
      <w:r w:rsidR="006D2D64" w:rsidRPr="005F7DA4">
        <w:t>primero de abril de dos mil veinticinco</w:t>
      </w:r>
      <w:r w:rsidRPr="005F7DA4">
        <w:t>, el Particular presentó una solicitud de acceso a la información pública</w:t>
      </w:r>
      <w:r w:rsidR="001A54EF" w:rsidRPr="005F7DA4">
        <w:t xml:space="preserve"> </w:t>
      </w:r>
      <w:r w:rsidRPr="005F7DA4">
        <w:t xml:space="preserve"> a través del Sistema de Acceso a la Información Mexiquense (SAIMEX), ante el </w:t>
      </w:r>
      <w:r w:rsidR="00B40CD5" w:rsidRPr="005F7DA4">
        <w:t>Sujeto Obligado</w:t>
      </w:r>
      <w:r w:rsidRPr="005F7DA4">
        <w:t xml:space="preserve">, en los siguientes términos: </w:t>
      </w:r>
    </w:p>
    <w:p w14:paraId="16195BED" w14:textId="77777777" w:rsidR="00CE58A5" w:rsidRPr="005F7DA4" w:rsidRDefault="00CE58A5" w:rsidP="000837C4">
      <w:pPr>
        <w:spacing w:after="0" w:line="360" w:lineRule="auto"/>
      </w:pPr>
    </w:p>
    <w:p w14:paraId="65E84A9E" w14:textId="77777777" w:rsidR="00CE58A5" w:rsidRPr="005F7DA4" w:rsidRDefault="00CE4466" w:rsidP="000837C4">
      <w:pPr>
        <w:tabs>
          <w:tab w:val="left" w:pos="4667"/>
        </w:tabs>
        <w:spacing w:after="0" w:line="360" w:lineRule="auto"/>
        <w:ind w:left="567" w:right="567"/>
        <w:rPr>
          <w:b/>
          <w:i/>
          <w:sz w:val="20"/>
          <w:szCs w:val="20"/>
        </w:rPr>
      </w:pPr>
      <w:r w:rsidRPr="005F7DA4">
        <w:rPr>
          <w:b/>
          <w:i/>
          <w:sz w:val="20"/>
          <w:szCs w:val="20"/>
        </w:rPr>
        <w:t>“DESCRIPCIÓN CLARA Y PRECISA DE LA INFORMACIÓN SOLICITADA.</w:t>
      </w:r>
    </w:p>
    <w:p w14:paraId="1B838018" w14:textId="7CD20C9E" w:rsidR="00CE58A5" w:rsidRPr="005F7DA4" w:rsidRDefault="006D2D64" w:rsidP="000837C4">
      <w:pPr>
        <w:tabs>
          <w:tab w:val="left" w:pos="4667"/>
        </w:tabs>
        <w:spacing w:after="0" w:line="360" w:lineRule="auto"/>
        <w:ind w:left="567" w:right="567"/>
        <w:rPr>
          <w:i/>
          <w:sz w:val="20"/>
          <w:szCs w:val="20"/>
        </w:rPr>
      </w:pPr>
      <w:r w:rsidRPr="005F7DA4">
        <w:rPr>
          <w:i/>
          <w:sz w:val="20"/>
          <w:szCs w:val="20"/>
        </w:rPr>
        <w:t>SE SOLICITA LA INSTACIÓN DE LAS COMISIONES Y LAS ACTAS FIRMADAS DE LAS QUE PRESIDA LA PRIMERA SINDICO DEL 1 DE ENERO A LA FECHA.</w:t>
      </w:r>
      <w:r w:rsidR="001A54EF" w:rsidRPr="005F7DA4">
        <w:rPr>
          <w:i/>
          <w:sz w:val="20"/>
          <w:szCs w:val="20"/>
        </w:rPr>
        <w:t xml:space="preserve">” </w:t>
      </w:r>
      <w:r w:rsidR="001A54EF" w:rsidRPr="005F7DA4">
        <w:rPr>
          <w:i/>
          <w:sz w:val="16"/>
          <w:szCs w:val="16"/>
        </w:rPr>
        <w:t>(</w:t>
      </w:r>
      <w:r w:rsidR="001A54EF" w:rsidRPr="005F7DA4">
        <w:rPr>
          <w:i/>
          <w:sz w:val="20"/>
          <w:szCs w:val="20"/>
        </w:rPr>
        <w:t xml:space="preserve">Sic) </w:t>
      </w:r>
    </w:p>
    <w:p w14:paraId="039CE69D" w14:textId="77777777" w:rsidR="001A54EF" w:rsidRPr="005F7DA4" w:rsidRDefault="001A54EF" w:rsidP="000837C4">
      <w:pPr>
        <w:tabs>
          <w:tab w:val="left" w:pos="4667"/>
        </w:tabs>
        <w:spacing w:after="0" w:line="360" w:lineRule="auto"/>
        <w:ind w:left="567" w:right="567"/>
        <w:rPr>
          <w:b/>
          <w:i/>
          <w:sz w:val="20"/>
          <w:szCs w:val="20"/>
        </w:rPr>
      </w:pPr>
    </w:p>
    <w:p w14:paraId="0C1B5F6D" w14:textId="77777777" w:rsidR="00CE58A5" w:rsidRPr="005F7DA4" w:rsidRDefault="00CE4466" w:rsidP="000837C4">
      <w:pPr>
        <w:tabs>
          <w:tab w:val="left" w:pos="4667"/>
        </w:tabs>
        <w:spacing w:after="0" w:line="360" w:lineRule="auto"/>
        <w:ind w:left="567" w:right="567"/>
        <w:rPr>
          <w:b/>
          <w:i/>
          <w:sz w:val="20"/>
          <w:szCs w:val="20"/>
        </w:rPr>
      </w:pPr>
      <w:r w:rsidRPr="005F7DA4">
        <w:rPr>
          <w:b/>
          <w:i/>
          <w:sz w:val="20"/>
          <w:szCs w:val="20"/>
        </w:rPr>
        <w:t>“MODALIDAD DE ENTREGA</w:t>
      </w:r>
    </w:p>
    <w:p w14:paraId="11287FA3" w14:textId="77777777" w:rsidR="00CE58A5" w:rsidRPr="005F7DA4" w:rsidRDefault="00CE4466" w:rsidP="000837C4">
      <w:pPr>
        <w:spacing w:after="0" w:line="360" w:lineRule="auto"/>
        <w:ind w:left="567" w:right="567"/>
        <w:rPr>
          <w:i/>
          <w:sz w:val="20"/>
          <w:szCs w:val="20"/>
        </w:rPr>
      </w:pPr>
      <w:r w:rsidRPr="005F7DA4">
        <w:rPr>
          <w:i/>
          <w:sz w:val="20"/>
          <w:szCs w:val="20"/>
        </w:rPr>
        <w:t>A través del SAIMEX”</w:t>
      </w:r>
    </w:p>
    <w:p w14:paraId="59B55C0B" w14:textId="77777777" w:rsidR="00CE58A5" w:rsidRPr="005F7DA4" w:rsidRDefault="00CE58A5" w:rsidP="000837C4">
      <w:pPr>
        <w:spacing w:after="0" w:line="360" w:lineRule="auto"/>
        <w:rPr>
          <w:b/>
        </w:rPr>
      </w:pPr>
    </w:p>
    <w:p w14:paraId="1D98E4F2" w14:textId="7C3EC496" w:rsidR="00CE58A5" w:rsidRPr="005F7DA4" w:rsidRDefault="00B40CD5" w:rsidP="000837C4">
      <w:pPr>
        <w:pStyle w:val="Ttulo2"/>
        <w:spacing w:before="0" w:after="0"/>
      </w:pPr>
      <w:bookmarkStart w:id="4" w:name="_Toc179975597"/>
      <w:bookmarkStart w:id="5" w:name="_Toc209097408"/>
      <w:r w:rsidRPr="005F7DA4">
        <w:t>I</w:t>
      </w:r>
      <w:r w:rsidR="001A54EF" w:rsidRPr="005F7DA4">
        <w:t>I. Respuesta del Sujeto Obligado</w:t>
      </w:r>
      <w:bookmarkEnd w:id="4"/>
      <w:bookmarkEnd w:id="5"/>
    </w:p>
    <w:p w14:paraId="0D93CE51" w14:textId="77777777" w:rsidR="00CE58A5" w:rsidRPr="005F7DA4" w:rsidRDefault="00CE58A5" w:rsidP="000837C4">
      <w:pPr>
        <w:spacing w:after="0" w:line="360" w:lineRule="auto"/>
        <w:rPr>
          <w:b/>
        </w:rPr>
      </w:pPr>
    </w:p>
    <w:p w14:paraId="7A5EA7F4" w14:textId="2EE4BDAB" w:rsidR="00CE58A5" w:rsidRPr="005F7DA4" w:rsidRDefault="00CE4466" w:rsidP="000837C4">
      <w:pPr>
        <w:spacing w:after="0" w:line="360" w:lineRule="auto"/>
      </w:pPr>
      <w:r w:rsidRPr="005F7DA4">
        <w:lastRenderedPageBreak/>
        <w:t xml:space="preserve">Con fecha </w:t>
      </w:r>
      <w:r w:rsidR="00003D45" w:rsidRPr="005F7DA4">
        <w:t>veintinueve de abril de dos mil veinticinco</w:t>
      </w:r>
      <w:r w:rsidRPr="005F7DA4">
        <w:t xml:space="preserve">, el Sujeto Obligado notificó, a través del Sistema de Acceso a la Información Mexiquense (SAIMEX), la respuesta a la solicitud de acceso a la información pública, </w:t>
      </w:r>
      <w:r w:rsidR="00003D45" w:rsidRPr="005F7DA4">
        <w:t xml:space="preserve">mediante la remisión de </w:t>
      </w:r>
      <w:r w:rsidR="0073530E" w:rsidRPr="005F7DA4">
        <w:t>las Actas de Instalación, Primera Extraordinaria y Segunda Extraordinaria de la Comisión de Hacienda, mismas que preside la Primera Síndica.</w:t>
      </w:r>
    </w:p>
    <w:p w14:paraId="3355C6B8" w14:textId="77777777" w:rsidR="00B40CD5" w:rsidRPr="005F7DA4" w:rsidRDefault="00B40CD5" w:rsidP="000837C4">
      <w:pPr>
        <w:spacing w:after="0" w:line="360" w:lineRule="auto"/>
      </w:pPr>
    </w:p>
    <w:p w14:paraId="2FA06B09" w14:textId="55CC6DEE" w:rsidR="00CE58A5" w:rsidRPr="005F7DA4" w:rsidRDefault="00CE4466" w:rsidP="000837C4">
      <w:pPr>
        <w:pStyle w:val="Ttulo2"/>
        <w:spacing w:before="0" w:after="0"/>
      </w:pPr>
      <w:bookmarkStart w:id="6" w:name="_Toc179975598"/>
      <w:bookmarkStart w:id="7" w:name="_Toc209097409"/>
      <w:r w:rsidRPr="005F7DA4">
        <w:t>I</w:t>
      </w:r>
      <w:r w:rsidR="00BA7CA9" w:rsidRPr="005F7DA4">
        <w:t>II</w:t>
      </w:r>
      <w:r w:rsidRPr="005F7DA4">
        <w:t>. Interposición del Recurso de Revisión</w:t>
      </w:r>
      <w:bookmarkEnd w:id="6"/>
      <w:bookmarkEnd w:id="7"/>
    </w:p>
    <w:p w14:paraId="3837109C" w14:textId="77777777" w:rsidR="00CE58A5" w:rsidRPr="005F7DA4" w:rsidRDefault="00CE58A5" w:rsidP="000837C4">
      <w:pPr>
        <w:spacing w:after="0" w:line="360" w:lineRule="auto"/>
        <w:rPr>
          <w:b/>
        </w:rPr>
      </w:pPr>
    </w:p>
    <w:p w14:paraId="3385106E" w14:textId="55ED7293" w:rsidR="00CE58A5" w:rsidRPr="005F7DA4" w:rsidRDefault="00CE4466" w:rsidP="000837C4">
      <w:pPr>
        <w:spacing w:after="0" w:line="360" w:lineRule="auto"/>
      </w:pPr>
      <w:r w:rsidRPr="005F7DA4">
        <w:t>Con fecha</w:t>
      </w:r>
      <w:r w:rsidR="00DD7C00" w:rsidRPr="005F7DA4">
        <w:t xml:space="preserve"> </w:t>
      </w:r>
      <w:r w:rsidR="00AE11A2" w:rsidRPr="005F7DA4">
        <w:t>veintinueve de abril de dos mil veinticinco</w:t>
      </w:r>
      <w:r w:rsidRPr="005F7DA4">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5F7DA4" w:rsidRDefault="00CE58A5" w:rsidP="000837C4">
      <w:pPr>
        <w:spacing w:after="0" w:line="360" w:lineRule="auto"/>
      </w:pPr>
    </w:p>
    <w:p w14:paraId="70843217" w14:textId="77777777" w:rsidR="00CE58A5" w:rsidRPr="005F7DA4" w:rsidRDefault="00CE4466" w:rsidP="000837C4">
      <w:pPr>
        <w:spacing w:after="0" w:line="360" w:lineRule="auto"/>
        <w:ind w:left="567" w:right="567"/>
        <w:rPr>
          <w:i/>
          <w:sz w:val="20"/>
          <w:szCs w:val="20"/>
        </w:rPr>
      </w:pPr>
      <w:r w:rsidRPr="005F7DA4">
        <w:rPr>
          <w:b/>
          <w:i/>
          <w:sz w:val="20"/>
          <w:szCs w:val="20"/>
        </w:rPr>
        <w:t>“ACTO IMPUGNADO”</w:t>
      </w:r>
    </w:p>
    <w:p w14:paraId="1A82882E" w14:textId="68DE8A98" w:rsidR="00CE58A5" w:rsidRPr="005F7DA4" w:rsidRDefault="00AE11A2" w:rsidP="000837C4">
      <w:pPr>
        <w:spacing w:after="0" w:line="360" w:lineRule="auto"/>
        <w:ind w:left="567" w:right="567"/>
        <w:rPr>
          <w:i/>
          <w:sz w:val="20"/>
          <w:szCs w:val="20"/>
        </w:rPr>
      </w:pPr>
      <w:r w:rsidRPr="005F7DA4">
        <w:rPr>
          <w:i/>
          <w:color w:val="000000"/>
          <w:sz w:val="20"/>
          <w:szCs w:val="20"/>
        </w:rPr>
        <w:t>Falta información</w:t>
      </w:r>
      <w:r w:rsidR="00674D7A" w:rsidRPr="005F7DA4">
        <w:rPr>
          <w:i/>
          <w:color w:val="000000"/>
          <w:sz w:val="20"/>
          <w:szCs w:val="20"/>
        </w:rPr>
        <w:t>.</w:t>
      </w:r>
      <w:r w:rsidR="00791585" w:rsidRPr="005F7DA4">
        <w:rPr>
          <w:i/>
          <w:sz w:val="20"/>
          <w:szCs w:val="20"/>
        </w:rPr>
        <w:t>” (Sic.)</w:t>
      </w:r>
    </w:p>
    <w:p w14:paraId="1CAF0EE0" w14:textId="77777777" w:rsidR="00CE58A5" w:rsidRPr="005F7DA4" w:rsidRDefault="00CE58A5" w:rsidP="000837C4">
      <w:pPr>
        <w:spacing w:after="0" w:line="360" w:lineRule="auto"/>
        <w:ind w:left="567" w:right="567"/>
        <w:rPr>
          <w:i/>
          <w:sz w:val="20"/>
          <w:szCs w:val="20"/>
        </w:rPr>
      </w:pPr>
    </w:p>
    <w:p w14:paraId="02DA69C4" w14:textId="77777777" w:rsidR="00CE58A5" w:rsidRPr="005F7DA4" w:rsidRDefault="00CE4466" w:rsidP="000837C4">
      <w:pPr>
        <w:spacing w:after="0" w:line="360" w:lineRule="auto"/>
        <w:ind w:left="567" w:right="567"/>
        <w:rPr>
          <w:b/>
          <w:i/>
          <w:sz w:val="20"/>
          <w:szCs w:val="20"/>
        </w:rPr>
      </w:pPr>
      <w:r w:rsidRPr="005F7DA4">
        <w:rPr>
          <w:b/>
          <w:i/>
          <w:sz w:val="20"/>
          <w:szCs w:val="20"/>
        </w:rPr>
        <w:t>“RAZONES O MOTIVOS DE LA INCONFORMIDAD”</w:t>
      </w:r>
    </w:p>
    <w:p w14:paraId="10183522" w14:textId="5B9EBB19" w:rsidR="00CE58A5" w:rsidRPr="005F7DA4" w:rsidRDefault="00AE11A2" w:rsidP="000837C4">
      <w:pPr>
        <w:spacing w:after="0" w:line="360" w:lineRule="auto"/>
        <w:ind w:left="567" w:right="567"/>
        <w:rPr>
          <w:i/>
          <w:sz w:val="20"/>
          <w:szCs w:val="20"/>
        </w:rPr>
      </w:pPr>
      <w:r w:rsidRPr="005F7DA4">
        <w:rPr>
          <w:i/>
          <w:color w:val="000000"/>
          <w:sz w:val="20"/>
          <w:szCs w:val="20"/>
        </w:rPr>
        <w:t>Esta incompleta la información</w:t>
      </w:r>
      <w:r w:rsidR="00674D7A" w:rsidRPr="005F7DA4">
        <w:rPr>
          <w:i/>
          <w:color w:val="000000"/>
          <w:sz w:val="20"/>
          <w:szCs w:val="20"/>
        </w:rPr>
        <w:t>.</w:t>
      </w:r>
      <w:r w:rsidR="00791585" w:rsidRPr="005F7DA4">
        <w:rPr>
          <w:i/>
          <w:sz w:val="20"/>
          <w:szCs w:val="20"/>
        </w:rPr>
        <w:t>” (Sic.)</w:t>
      </w:r>
    </w:p>
    <w:p w14:paraId="0BBB2449" w14:textId="77777777" w:rsidR="00CE58A5" w:rsidRPr="005F7DA4" w:rsidRDefault="00CE58A5" w:rsidP="000837C4">
      <w:pPr>
        <w:spacing w:after="0" w:line="360" w:lineRule="auto"/>
      </w:pPr>
    </w:p>
    <w:p w14:paraId="256BC137" w14:textId="764B430C" w:rsidR="00CE58A5" w:rsidRPr="005F7DA4" w:rsidRDefault="00674D7A" w:rsidP="000837C4">
      <w:pPr>
        <w:pStyle w:val="Ttulo2"/>
        <w:spacing w:before="0" w:after="0"/>
      </w:pPr>
      <w:bookmarkStart w:id="8" w:name="_Toc179975599"/>
      <w:bookmarkStart w:id="9" w:name="_Toc209097410"/>
      <w:r w:rsidRPr="005F7DA4">
        <w:t>I</w:t>
      </w:r>
      <w:r w:rsidR="00CE4466" w:rsidRPr="005F7DA4">
        <w:t>V. Trámite del Recurso de Revisión ante este Instituto</w:t>
      </w:r>
      <w:bookmarkEnd w:id="8"/>
      <w:bookmarkEnd w:id="9"/>
    </w:p>
    <w:p w14:paraId="08451C4E" w14:textId="77777777" w:rsidR="001A54EF" w:rsidRPr="005F7DA4" w:rsidRDefault="001A54EF" w:rsidP="000837C4">
      <w:pPr>
        <w:spacing w:after="0" w:line="360" w:lineRule="auto"/>
        <w:rPr>
          <w:b/>
        </w:rPr>
      </w:pPr>
    </w:p>
    <w:p w14:paraId="31E01367" w14:textId="672EB91B" w:rsidR="00CE58A5" w:rsidRPr="005F7DA4" w:rsidRDefault="00CE4466" w:rsidP="000837C4">
      <w:pPr>
        <w:spacing w:after="0" w:line="360" w:lineRule="auto"/>
        <w:rPr>
          <w:b/>
        </w:rPr>
      </w:pPr>
      <w:r w:rsidRPr="005F7DA4">
        <w:rPr>
          <w:b/>
        </w:rPr>
        <w:t>a) Turno del Medio de Impugnación.</w:t>
      </w:r>
      <w:r w:rsidRPr="005F7DA4">
        <w:t xml:space="preserve"> El </w:t>
      </w:r>
      <w:r w:rsidR="00AE11A2" w:rsidRPr="005F7DA4">
        <w:t>veintinueve de abril de dos mil veinticinco</w:t>
      </w:r>
      <w:r w:rsidRPr="005F7DA4">
        <w:t xml:space="preserve">, el Sistema de Acceso a la Información Mexiquense (SAIMEX), asignó el número de expediente </w:t>
      </w:r>
      <w:r w:rsidR="00AE11A2" w:rsidRPr="005F7DA4">
        <w:rPr>
          <w:b/>
        </w:rPr>
        <w:t>04941</w:t>
      </w:r>
      <w:r w:rsidR="006D4068" w:rsidRPr="005F7DA4">
        <w:rPr>
          <w:b/>
        </w:rPr>
        <w:t>/INFOEM/IP/RR/202</w:t>
      </w:r>
      <w:r w:rsidR="00AE11A2" w:rsidRPr="005F7DA4">
        <w:rPr>
          <w:b/>
        </w:rPr>
        <w:t>5</w:t>
      </w:r>
      <w:r w:rsidRPr="005F7DA4">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5F7DA4" w:rsidRDefault="00CE58A5" w:rsidP="000837C4">
      <w:pPr>
        <w:spacing w:after="0" w:line="360" w:lineRule="auto"/>
      </w:pPr>
    </w:p>
    <w:p w14:paraId="69DE9485" w14:textId="1E8BAACC" w:rsidR="00CE58A5" w:rsidRPr="005F7DA4" w:rsidRDefault="00CE4466" w:rsidP="000837C4">
      <w:pPr>
        <w:spacing w:after="0" w:line="360" w:lineRule="auto"/>
      </w:pPr>
      <w:r w:rsidRPr="005F7DA4">
        <w:rPr>
          <w:b/>
        </w:rPr>
        <w:lastRenderedPageBreak/>
        <w:t>b) Admisión del Recurso de Revisión.</w:t>
      </w:r>
      <w:r w:rsidRPr="005F7DA4">
        <w:t xml:space="preserve"> El </w:t>
      </w:r>
      <w:r w:rsidR="00AE11A2" w:rsidRPr="005F7DA4">
        <w:t>seis de mayo de dos mil veinticinco</w:t>
      </w:r>
      <w:r w:rsidRPr="005F7DA4">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7E5D10" w:rsidRPr="005F7DA4">
        <w:t xml:space="preserve"> mismo día</w:t>
      </w:r>
      <w:r w:rsidRPr="005F7DA4">
        <w:t>,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5F7DA4" w:rsidRDefault="00CE58A5" w:rsidP="000837C4">
      <w:pPr>
        <w:spacing w:after="0" w:line="360" w:lineRule="auto"/>
        <w:rPr>
          <w:b/>
        </w:rPr>
      </w:pPr>
    </w:p>
    <w:p w14:paraId="6AAC51D8" w14:textId="18651DC2" w:rsidR="00372769" w:rsidRPr="005F7DA4" w:rsidRDefault="00CE4466" w:rsidP="000837C4">
      <w:pPr>
        <w:spacing w:after="0" w:line="360" w:lineRule="auto"/>
      </w:pPr>
      <w:r w:rsidRPr="005F7DA4">
        <w:rPr>
          <w:b/>
          <w:color w:val="000000"/>
        </w:rPr>
        <w:t xml:space="preserve">c) </w:t>
      </w:r>
      <w:r w:rsidRPr="005F7DA4">
        <w:rPr>
          <w:b/>
        </w:rPr>
        <w:t xml:space="preserve">Informe Justificado. </w:t>
      </w:r>
      <w:r w:rsidR="00372769" w:rsidRPr="005F7DA4">
        <w:t xml:space="preserve">El </w:t>
      </w:r>
      <w:r w:rsidR="00AE11A2" w:rsidRPr="005F7DA4">
        <w:t>quince de mayo de dos mil veinticinco</w:t>
      </w:r>
      <w:r w:rsidR="00372769" w:rsidRPr="005F7DA4">
        <w:t>, el Sujeto Obligado rindió su informe justificado,</w:t>
      </w:r>
      <w:r w:rsidR="004B77C7" w:rsidRPr="005F7DA4">
        <w:t xml:space="preserve"> donde de forma general ratificó</w:t>
      </w:r>
      <w:r w:rsidR="00372769" w:rsidRPr="005F7DA4">
        <w:t xml:space="preserve"> su respuesta. </w:t>
      </w:r>
      <w:r w:rsidR="004B77C7" w:rsidRPr="005F7DA4">
        <w:t>Dicho informe fue pue</w:t>
      </w:r>
      <w:r w:rsidR="00AE11A2" w:rsidRPr="005F7DA4">
        <w:t>sto a la vista de la Particular</w:t>
      </w:r>
      <w:r w:rsidR="004B77C7" w:rsidRPr="005F7DA4">
        <w:t>, quien omitió realizar manifestación alguna.</w:t>
      </w:r>
    </w:p>
    <w:p w14:paraId="6FCCCC6B" w14:textId="77777777" w:rsidR="00372769" w:rsidRPr="005F7DA4" w:rsidRDefault="00372769" w:rsidP="000837C4">
      <w:pPr>
        <w:spacing w:after="0" w:line="360" w:lineRule="auto"/>
        <w:rPr>
          <w:b/>
        </w:rPr>
      </w:pPr>
    </w:p>
    <w:p w14:paraId="7ED9861C" w14:textId="342450DC" w:rsidR="002F6A92" w:rsidRPr="005F7DA4" w:rsidRDefault="002F6A92" w:rsidP="002F6A92">
      <w:pPr>
        <w:tabs>
          <w:tab w:val="left" w:pos="4667"/>
        </w:tabs>
        <w:spacing w:after="0" w:line="360" w:lineRule="auto"/>
        <w:rPr>
          <w:rFonts w:eastAsiaTheme="minorHAnsi" w:cstheme="minorBidi"/>
          <w:iCs/>
          <w:color w:val="auto"/>
          <w:szCs w:val="20"/>
          <w:lang w:eastAsia="en-US"/>
        </w:rPr>
      </w:pPr>
      <w:r w:rsidRPr="005F7DA4">
        <w:rPr>
          <w:rFonts w:eastAsiaTheme="minorHAnsi" w:cstheme="minorBidi"/>
          <w:b/>
          <w:iCs/>
          <w:color w:val="auto"/>
          <w:szCs w:val="20"/>
          <w:lang w:eastAsia="en-US"/>
        </w:rPr>
        <w:t>d) Vista del Informe Justificado.</w:t>
      </w:r>
      <w:r w:rsidRPr="005F7DA4">
        <w:rPr>
          <w:rFonts w:eastAsiaTheme="minorHAnsi" w:cstheme="minorBidi"/>
          <w:iCs/>
          <w:color w:val="auto"/>
          <w:szCs w:val="20"/>
          <w:lang w:eastAsia="en-US"/>
        </w:rPr>
        <w:t xml:space="preserve"> El diez de septiembre de dos mil veinticinco, se dictó acuerdo por medio del cual se puso a la vista del Recurrente el Informe Justificado entregado por el Sujeto Obligado, el cual fue notificado a las partes, el mismo día, mes y año, a través del Sistema de Acceso a la Información Mexiquense (SAIMEX).</w:t>
      </w:r>
    </w:p>
    <w:p w14:paraId="79FAEF35" w14:textId="77777777" w:rsidR="002F6A92" w:rsidRPr="005F7DA4" w:rsidRDefault="002F6A92" w:rsidP="002F6A92">
      <w:pPr>
        <w:tabs>
          <w:tab w:val="left" w:pos="4667"/>
        </w:tabs>
        <w:spacing w:after="0" w:line="360" w:lineRule="auto"/>
        <w:rPr>
          <w:rFonts w:eastAsiaTheme="minorHAnsi" w:cstheme="minorBidi"/>
          <w:iCs/>
          <w:color w:val="auto"/>
          <w:szCs w:val="20"/>
          <w:lang w:eastAsia="en-US"/>
        </w:rPr>
      </w:pPr>
    </w:p>
    <w:p w14:paraId="2AB7BB04" w14:textId="4015AF88" w:rsidR="002F6A92" w:rsidRPr="005F7DA4" w:rsidRDefault="002F6A92" w:rsidP="002F6A92">
      <w:pPr>
        <w:tabs>
          <w:tab w:val="left" w:pos="4667"/>
        </w:tabs>
        <w:spacing w:after="0" w:line="360" w:lineRule="auto"/>
        <w:rPr>
          <w:rFonts w:eastAsiaTheme="minorHAnsi" w:cstheme="minorBidi"/>
          <w:iCs/>
          <w:color w:val="auto"/>
          <w:szCs w:val="20"/>
          <w:lang w:eastAsia="en-US"/>
        </w:rPr>
      </w:pPr>
      <w:r w:rsidRPr="005F7DA4">
        <w:rPr>
          <w:rFonts w:eastAsiaTheme="minorHAnsi" w:cstheme="minorBidi"/>
          <w:b/>
          <w:iCs/>
          <w:color w:val="auto"/>
          <w:szCs w:val="20"/>
          <w:lang w:eastAsia="en-US"/>
        </w:rPr>
        <w:t>e) Ampliación de plazo para resolver.</w:t>
      </w:r>
      <w:r w:rsidRPr="005F7DA4">
        <w:rPr>
          <w:rFonts w:eastAsiaTheme="minorHAnsi" w:cstheme="minorBidi"/>
          <w:iCs/>
          <w:color w:val="auto"/>
          <w:szCs w:val="20"/>
          <w:lang w:eastAsia="en-US"/>
        </w:rPr>
        <w:t xml:space="preserve"> El diez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12FAE10F" w14:textId="77777777" w:rsidR="002F6A92" w:rsidRPr="005F7DA4" w:rsidRDefault="002F6A92" w:rsidP="000837C4">
      <w:pPr>
        <w:spacing w:after="0" w:line="360" w:lineRule="auto"/>
        <w:rPr>
          <w:b/>
        </w:rPr>
      </w:pPr>
    </w:p>
    <w:p w14:paraId="13E25C12" w14:textId="5CD5BA81" w:rsidR="00CE58A5" w:rsidRPr="005F7DA4" w:rsidRDefault="002F6A92" w:rsidP="000837C4">
      <w:pPr>
        <w:spacing w:after="0" w:line="360" w:lineRule="auto"/>
        <w:rPr>
          <w:b/>
        </w:rPr>
      </w:pPr>
      <w:r w:rsidRPr="005F7DA4">
        <w:rPr>
          <w:b/>
        </w:rPr>
        <w:t xml:space="preserve">f) </w:t>
      </w:r>
      <w:r w:rsidR="00791585" w:rsidRPr="005F7DA4">
        <w:rPr>
          <w:b/>
        </w:rPr>
        <w:t>Cierre de instrucción.</w:t>
      </w:r>
      <w:r w:rsidR="00791585" w:rsidRPr="005F7DA4">
        <w:t xml:space="preserve"> El </w:t>
      </w:r>
      <w:r w:rsidR="007A5932" w:rsidRPr="005F7DA4">
        <w:t>diecisiete de septiembre</w:t>
      </w:r>
      <w:r w:rsidR="004B77C7" w:rsidRPr="005F7DA4">
        <w:t xml:space="preserve"> de dos mil veinticinco</w:t>
      </w:r>
      <w:r w:rsidR="00791585" w:rsidRPr="005F7DA4">
        <w:t xml:space="preserve">, al no existir diligencias pendientes por desahogar, se emitió el acuerdo por medio del cual se declaró cerrada la instrucción y se determinó pasar los expedientes a resolución, en términos de lo dispuesto en </w:t>
      </w:r>
      <w:r w:rsidR="00791585" w:rsidRPr="005F7DA4">
        <w:lastRenderedPageBreak/>
        <w:t>los artículos 185, fracciones VI y VIII, de la Ley de Transparencia y Acceso a la Información Pública del Estado de México y Municipios, acto que fue notificado a las partes, mediante el Sistema de Acceso a la Infor</w:t>
      </w:r>
      <w:r w:rsidR="00874602" w:rsidRPr="005F7DA4">
        <w:t>mación Mexiquense (SAIMEX).</w:t>
      </w:r>
    </w:p>
    <w:p w14:paraId="6DF2E44B" w14:textId="77777777" w:rsidR="00CE58A5" w:rsidRPr="005F7DA4" w:rsidRDefault="00CE58A5" w:rsidP="000837C4">
      <w:pPr>
        <w:spacing w:after="0" w:line="360" w:lineRule="auto"/>
      </w:pPr>
    </w:p>
    <w:p w14:paraId="1A2D1592" w14:textId="77777777" w:rsidR="00CE58A5" w:rsidRPr="005F7DA4" w:rsidRDefault="00CE4466" w:rsidP="000837C4">
      <w:pPr>
        <w:spacing w:after="0" w:line="360" w:lineRule="auto"/>
      </w:pPr>
      <w:r w:rsidRPr="005F7DA4">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5F7DA4" w:rsidRDefault="00CE58A5" w:rsidP="000837C4">
      <w:pPr>
        <w:spacing w:after="0" w:line="360" w:lineRule="auto"/>
      </w:pPr>
    </w:p>
    <w:p w14:paraId="1E06E728" w14:textId="69856E54" w:rsidR="00CE58A5" w:rsidRPr="005F7DA4" w:rsidRDefault="00CE4466" w:rsidP="000837C4">
      <w:pPr>
        <w:pStyle w:val="Ttulo1"/>
        <w:spacing w:before="0" w:after="0"/>
      </w:pPr>
      <w:bookmarkStart w:id="10" w:name="_Toc179975600"/>
      <w:bookmarkStart w:id="11" w:name="_Toc209097411"/>
      <w:r w:rsidRPr="005F7DA4">
        <w:t>C O N S I D E R A N D O S</w:t>
      </w:r>
      <w:bookmarkEnd w:id="10"/>
      <w:bookmarkEnd w:id="11"/>
    </w:p>
    <w:p w14:paraId="09DEA601" w14:textId="77777777" w:rsidR="00CE58A5" w:rsidRPr="005F7DA4" w:rsidRDefault="00CE58A5" w:rsidP="000837C4">
      <w:pPr>
        <w:spacing w:after="0" w:line="360" w:lineRule="auto"/>
        <w:rPr>
          <w:b/>
        </w:rPr>
      </w:pPr>
    </w:p>
    <w:p w14:paraId="3D9317E1" w14:textId="77777777" w:rsidR="00CE58A5" w:rsidRPr="005F7DA4" w:rsidRDefault="00CE4466" w:rsidP="000837C4">
      <w:pPr>
        <w:pStyle w:val="Ttulo2"/>
        <w:spacing w:before="0" w:after="0"/>
      </w:pPr>
      <w:bookmarkStart w:id="12" w:name="_Toc179975601"/>
      <w:bookmarkStart w:id="13" w:name="_Toc209097412"/>
      <w:r w:rsidRPr="005F7DA4">
        <w:t>PRIMERO. Competencia</w:t>
      </w:r>
      <w:bookmarkEnd w:id="12"/>
      <w:bookmarkEnd w:id="13"/>
    </w:p>
    <w:p w14:paraId="4F07F053" w14:textId="77777777" w:rsidR="00CE58A5" w:rsidRPr="005F7DA4" w:rsidRDefault="00CE58A5" w:rsidP="000837C4">
      <w:pPr>
        <w:spacing w:after="0" w:line="360" w:lineRule="auto"/>
        <w:rPr>
          <w:b/>
        </w:rPr>
      </w:pPr>
    </w:p>
    <w:p w14:paraId="7E9B74F8" w14:textId="4A10215A" w:rsidR="00CE58A5" w:rsidRPr="005F7DA4" w:rsidRDefault="00CE4466" w:rsidP="000837C4">
      <w:pPr>
        <w:spacing w:after="0" w:line="360" w:lineRule="auto"/>
      </w:pPr>
      <w:r w:rsidRPr="005F7DA4">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5F7DA4">
        <w:rPr>
          <w:color w:val="000000"/>
        </w:rPr>
        <w:t xml:space="preserve">trigésimo </w:t>
      </w:r>
      <w:r w:rsidR="002F6A92" w:rsidRPr="005F7DA4">
        <w:rPr>
          <w:color w:val="000000"/>
        </w:rPr>
        <w:t>noveno</w:t>
      </w:r>
      <w:r w:rsidRPr="005F7DA4">
        <w:rPr>
          <w:color w:val="000000"/>
        </w:rPr>
        <w:t xml:space="preserve">, </w:t>
      </w:r>
      <w:r w:rsidR="002F6A92" w:rsidRPr="005F7DA4">
        <w:rPr>
          <w:color w:val="000000"/>
        </w:rPr>
        <w:t>cuadragésimo</w:t>
      </w:r>
      <w:r w:rsidRPr="005F7DA4">
        <w:rPr>
          <w:color w:val="000000"/>
        </w:rPr>
        <w:t xml:space="preserve"> y </w:t>
      </w:r>
      <w:r w:rsidR="002F6A92" w:rsidRPr="005F7DA4">
        <w:rPr>
          <w:color w:val="000000"/>
        </w:rPr>
        <w:t>cuadragésimo primero</w:t>
      </w:r>
      <w:r w:rsidRPr="005F7DA4">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5F7DA4" w:rsidRDefault="00CE58A5" w:rsidP="000837C4">
      <w:pPr>
        <w:spacing w:after="0" w:line="360" w:lineRule="auto"/>
      </w:pPr>
    </w:p>
    <w:p w14:paraId="250C24B5" w14:textId="77777777" w:rsidR="00CE58A5" w:rsidRPr="005F7DA4" w:rsidRDefault="00CE4466" w:rsidP="000837C4">
      <w:pPr>
        <w:pStyle w:val="Ttulo2"/>
        <w:spacing w:before="0" w:after="0"/>
      </w:pPr>
      <w:bookmarkStart w:id="14" w:name="_Toc179975602"/>
      <w:bookmarkStart w:id="15" w:name="_Toc209097413"/>
      <w:r w:rsidRPr="005F7DA4">
        <w:t>SEGUNDO. Causales de improcedencia y sobreseimiento</w:t>
      </w:r>
      <w:bookmarkEnd w:id="14"/>
      <w:bookmarkEnd w:id="15"/>
    </w:p>
    <w:p w14:paraId="5DE8EFD8" w14:textId="77777777" w:rsidR="00CE58A5" w:rsidRPr="005F7DA4" w:rsidRDefault="00CE58A5" w:rsidP="000837C4">
      <w:pPr>
        <w:spacing w:after="0" w:line="360" w:lineRule="auto"/>
      </w:pPr>
    </w:p>
    <w:p w14:paraId="4C46253C" w14:textId="77777777" w:rsidR="00CE58A5" w:rsidRPr="005F7DA4" w:rsidRDefault="00CE4466" w:rsidP="000837C4">
      <w:pPr>
        <w:spacing w:after="0" w:line="360" w:lineRule="auto"/>
      </w:pPr>
      <w:r w:rsidRPr="005F7DA4">
        <w:lastRenderedPageBreak/>
        <w:t xml:space="preserve">De las constancias que forma parte del Recurso de Revisión que se analiza, se advierte que previo al estudio del fondo de la </w:t>
      </w:r>
      <w:r w:rsidRPr="005F7DA4">
        <w:rPr>
          <w:i/>
        </w:rPr>
        <w:t>litis</w:t>
      </w:r>
      <w:r w:rsidRPr="005F7DA4">
        <w:t>, es necesario estudiar las causales de improcedencia y sobreseimiento que se adviertan, para determinar lo que en Derecho proceda.</w:t>
      </w:r>
    </w:p>
    <w:p w14:paraId="0BA2B341" w14:textId="77777777" w:rsidR="002F6A92" w:rsidRPr="005F7DA4" w:rsidRDefault="002F6A92" w:rsidP="000837C4">
      <w:pPr>
        <w:spacing w:after="0" w:line="360" w:lineRule="auto"/>
      </w:pPr>
    </w:p>
    <w:p w14:paraId="7548DF11" w14:textId="77777777" w:rsidR="00CE58A5" w:rsidRPr="005F7DA4" w:rsidRDefault="00CE4466" w:rsidP="000837C4">
      <w:pPr>
        <w:spacing w:after="0" w:line="360" w:lineRule="auto"/>
        <w:rPr>
          <w:b/>
        </w:rPr>
      </w:pPr>
      <w:r w:rsidRPr="005F7DA4">
        <w:rPr>
          <w:b/>
        </w:rPr>
        <w:t>Causales de improcedencia</w:t>
      </w:r>
    </w:p>
    <w:p w14:paraId="088E0FD3" w14:textId="77777777" w:rsidR="00C73479" w:rsidRPr="005F7DA4" w:rsidRDefault="00C73479" w:rsidP="000837C4">
      <w:pPr>
        <w:spacing w:after="0" w:line="360" w:lineRule="auto"/>
      </w:pPr>
    </w:p>
    <w:p w14:paraId="02D368DF" w14:textId="77777777" w:rsidR="00CE58A5" w:rsidRPr="005F7DA4" w:rsidRDefault="00CE4466" w:rsidP="000837C4">
      <w:pPr>
        <w:spacing w:after="0" w:line="360" w:lineRule="auto"/>
      </w:pPr>
      <w:r w:rsidRPr="005F7DA4">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5F7DA4">
        <w:rPr>
          <w:b/>
        </w:rPr>
        <w:t xml:space="preserve"> </w:t>
      </w:r>
      <w:r w:rsidRPr="005F7DA4">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36ADEC6" w14:textId="77777777" w:rsidR="00CE58A5" w:rsidRPr="005F7DA4" w:rsidRDefault="00CE58A5" w:rsidP="000837C4">
      <w:pPr>
        <w:spacing w:after="0" w:line="360" w:lineRule="auto"/>
      </w:pPr>
    </w:p>
    <w:p w14:paraId="35F10868" w14:textId="77777777" w:rsidR="00CE58A5" w:rsidRPr="005F7DA4" w:rsidRDefault="00CE4466" w:rsidP="000837C4">
      <w:pPr>
        <w:spacing w:after="0" w:line="360" w:lineRule="auto"/>
      </w:pPr>
      <w:r w:rsidRPr="005F7DA4">
        <w:t xml:space="preserve">En el presente caso, </w:t>
      </w:r>
      <w:r w:rsidRPr="005F7DA4">
        <w:rPr>
          <w:b/>
        </w:rPr>
        <w:t>no se actualiza ninguna de las causales de improcedencia</w:t>
      </w:r>
      <w:r w:rsidRPr="005F7DA4">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5F7DA4" w:rsidRDefault="00CE58A5" w:rsidP="000837C4">
      <w:pPr>
        <w:spacing w:after="0" w:line="360" w:lineRule="auto"/>
        <w:rPr>
          <w:b/>
        </w:rPr>
      </w:pPr>
    </w:p>
    <w:p w14:paraId="701A6972" w14:textId="2CB12B05" w:rsidR="00CE58A5" w:rsidRPr="005F7DA4" w:rsidRDefault="00CE4466" w:rsidP="000837C4">
      <w:pPr>
        <w:spacing w:after="0" w:line="360" w:lineRule="auto"/>
      </w:pPr>
      <w:r w:rsidRPr="005F7DA4">
        <w:t>Asimismo, se actualiza la causal de procedencia del Recurso de Revisión señal</w:t>
      </w:r>
      <w:r w:rsidR="00D52F9F" w:rsidRPr="005F7DA4">
        <w:t>ada en el</w:t>
      </w:r>
      <w:r w:rsidR="00C503C4" w:rsidRPr="005F7DA4">
        <w:t xml:space="preserve"> artículo 179, fracciones </w:t>
      </w:r>
      <w:r w:rsidR="00C73479" w:rsidRPr="005F7DA4">
        <w:t>V</w:t>
      </w:r>
      <w:r w:rsidRPr="005F7DA4">
        <w:t xml:space="preserve">, de la Ley en cita, pues la Recurrente se inconformó </w:t>
      </w:r>
      <w:r w:rsidR="00C73479" w:rsidRPr="005F7DA4">
        <w:t>de la entrega de información incompleta</w:t>
      </w:r>
      <w:r w:rsidR="00C503C4" w:rsidRPr="005F7DA4">
        <w:t>.</w:t>
      </w:r>
    </w:p>
    <w:p w14:paraId="404C2A95" w14:textId="77777777" w:rsidR="00CE58A5" w:rsidRPr="005F7DA4" w:rsidRDefault="00CE58A5" w:rsidP="000837C4">
      <w:pPr>
        <w:spacing w:after="0" w:line="360" w:lineRule="auto"/>
        <w:rPr>
          <w:b/>
        </w:rPr>
      </w:pPr>
    </w:p>
    <w:p w14:paraId="74D31774" w14:textId="77777777" w:rsidR="00922619" w:rsidRPr="005F7DA4" w:rsidRDefault="00922619" w:rsidP="000837C4">
      <w:pPr>
        <w:spacing w:after="0" w:line="360" w:lineRule="auto"/>
        <w:ind w:right="-28"/>
        <w:contextualSpacing/>
        <w:rPr>
          <w:rFonts w:eastAsia="Calibri" w:cs="Tahoma"/>
          <w:b/>
          <w:color w:val="auto"/>
          <w:lang w:val="es-ES" w:eastAsia="es-ES_tradnl"/>
        </w:rPr>
      </w:pPr>
      <w:r w:rsidRPr="005F7DA4">
        <w:rPr>
          <w:rFonts w:eastAsia="Calibri" w:cs="Tahoma"/>
          <w:b/>
          <w:color w:val="auto"/>
          <w:lang w:val="es-ES" w:eastAsia="es-ES_tradnl"/>
        </w:rPr>
        <w:t>Causales de sobreseimiento.</w:t>
      </w:r>
    </w:p>
    <w:p w14:paraId="46BAB4DD" w14:textId="77777777" w:rsidR="000837C4" w:rsidRPr="005F7DA4" w:rsidRDefault="000837C4" w:rsidP="000837C4">
      <w:pPr>
        <w:spacing w:after="0" w:line="360" w:lineRule="auto"/>
        <w:ind w:right="-28"/>
        <w:contextualSpacing/>
        <w:rPr>
          <w:rFonts w:eastAsia="Calibri" w:cs="Tahoma"/>
          <w:b/>
          <w:color w:val="auto"/>
          <w:lang w:val="es-ES" w:eastAsia="es-ES_tradnl"/>
        </w:rPr>
      </w:pPr>
    </w:p>
    <w:p w14:paraId="31EC419B" w14:textId="77777777" w:rsidR="000837C4" w:rsidRPr="005F7DA4" w:rsidRDefault="000837C4" w:rsidP="000837C4">
      <w:pPr>
        <w:spacing w:after="0" w:line="360" w:lineRule="auto"/>
        <w:contextualSpacing/>
        <w:rPr>
          <w:rFonts w:eastAsia="Times New Roman" w:cs="Tahoma"/>
          <w:color w:val="auto"/>
          <w:szCs w:val="24"/>
          <w:lang w:eastAsia="es-ES"/>
        </w:rPr>
      </w:pPr>
      <w:r w:rsidRPr="005F7DA4">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Pr="005F7DA4" w:rsidRDefault="000837C4" w:rsidP="000837C4">
      <w:pPr>
        <w:spacing w:after="0" w:line="360" w:lineRule="auto"/>
        <w:contextualSpacing/>
        <w:rPr>
          <w:rFonts w:eastAsia="Times New Roman" w:cs="Tahoma"/>
          <w:color w:val="auto"/>
          <w:szCs w:val="24"/>
          <w:lang w:eastAsia="es-ES"/>
        </w:rPr>
      </w:pPr>
    </w:p>
    <w:p w14:paraId="6D79E94E" w14:textId="77777777" w:rsidR="000837C4" w:rsidRPr="005F7DA4" w:rsidRDefault="000837C4" w:rsidP="000837C4">
      <w:pPr>
        <w:spacing w:after="0" w:line="360" w:lineRule="auto"/>
        <w:rPr>
          <w:color w:val="000000"/>
        </w:rPr>
      </w:pPr>
      <w:r w:rsidRPr="005F7DA4">
        <w:rPr>
          <w:color w:val="0D0D0D"/>
        </w:rPr>
        <w:t>Sobre el tema, e</w:t>
      </w:r>
      <w:r w:rsidRPr="005F7DA4">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Pr="005F7DA4" w:rsidRDefault="000837C4" w:rsidP="000837C4">
      <w:pPr>
        <w:spacing w:after="0" w:line="360" w:lineRule="auto"/>
        <w:rPr>
          <w:rFonts w:eastAsia="Calibri" w:cs="Tahoma"/>
          <w:color w:val="0D0D0D" w:themeColor="text1" w:themeTint="F2"/>
          <w:lang w:eastAsia="es-ES_tradnl"/>
        </w:rPr>
      </w:pPr>
    </w:p>
    <w:p w14:paraId="67BD3A7C" w14:textId="77777777" w:rsidR="000837C4" w:rsidRPr="005F7DA4" w:rsidRDefault="000837C4" w:rsidP="000837C4">
      <w:pPr>
        <w:spacing w:after="0" w:line="360" w:lineRule="auto"/>
        <w:rPr>
          <w:rFonts w:eastAsia="Calibri" w:cs="Tahoma"/>
          <w:color w:val="0D0D0D" w:themeColor="text1" w:themeTint="F2"/>
          <w:lang w:eastAsia="es-ES_tradnl"/>
        </w:rPr>
      </w:pPr>
      <w:r w:rsidRPr="005F7DA4">
        <w:rPr>
          <w:rFonts w:eastAsia="Calibri" w:cs="Tahoma"/>
          <w:color w:val="0D0D0D" w:themeColor="text1" w:themeTint="F2"/>
          <w:lang w:eastAsia="es-ES_tradnl"/>
        </w:rPr>
        <w:t>Por tales motivos, se considera procedente entrar al fondo del presente asunto.</w:t>
      </w:r>
    </w:p>
    <w:p w14:paraId="5755F7BD" w14:textId="77777777" w:rsidR="00922619" w:rsidRPr="005F7DA4" w:rsidRDefault="00922619" w:rsidP="000837C4">
      <w:pPr>
        <w:spacing w:after="0" w:line="360" w:lineRule="auto"/>
        <w:contextualSpacing/>
        <w:rPr>
          <w:rFonts w:eastAsia="Times New Roman" w:cs="Tahoma"/>
          <w:color w:val="auto"/>
          <w:szCs w:val="24"/>
          <w:lang w:eastAsia="es-ES"/>
        </w:rPr>
      </w:pPr>
    </w:p>
    <w:p w14:paraId="1E0EBBE3" w14:textId="77777777" w:rsidR="00CE58A5" w:rsidRPr="005F7DA4" w:rsidRDefault="00CE4466" w:rsidP="000837C4">
      <w:pPr>
        <w:pStyle w:val="Ttulo2"/>
        <w:spacing w:before="0" w:after="0"/>
      </w:pPr>
      <w:bookmarkStart w:id="16" w:name="_Toc179975603"/>
      <w:bookmarkStart w:id="17" w:name="_Toc209097414"/>
      <w:r w:rsidRPr="005F7DA4">
        <w:t>TERCERO. Determinación de la Controversia.</w:t>
      </w:r>
      <w:bookmarkEnd w:id="16"/>
      <w:bookmarkEnd w:id="17"/>
      <w:r w:rsidRPr="005F7DA4">
        <w:t xml:space="preserve"> </w:t>
      </w:r>
    </w:p>
    <w:p w14:paraId="364AB4CE" w14:textId="77777777" w:rsidR="00CE58A5" w:rsidRPr="005F7DA4" w:rsidRDefault="00CE58A5" w:rsidP="000837C4">
      <w:pPr>
        <w:spacing w:after="0" w:line="360" w:lineRule="auto"/>
        <w:rPr>
          <w:b/>
        </w:rPr>
      </w:pPr>
    </w:p>
    <w:p w14:paraId="7F3831C0" w14:textId="77777777" w:rsidR="002F6A92" w:rsidRPr="005F7DA4" w:rsidRDefault="00CE4466" w:rsidP="000837C4">
      <w:pPr>
        <w:widowControl w:val="0"/>
        <w:spacing w:after="0" w:line="360" w:lineRule="auto"/>
        <w:rPr>
          <w:color w:val="000000"/>
        </w:rPr>
      </w:pPr>
      <w:r w:rsidRPr="005F7DA4">
        <w:t xml:space="preserve">Una vez realizado el estudio de las constancias que integran el expediente en que se actúa, se desprende que el Recurrente </w:t>
      </w:r>
      <w:r w:rsidR="000A5247" w:rsidRPr="005F7DA4">
        <w:t>requirió</w:t>
      </w:r>
      <w:r w:rsidR="002F6A92" w:rsidRPr="005F7DA4">
        <w:t xml:space="preserve"> </w:t>
      </w:r>
      <w:r w:rsidR="002D7EEC" w:rsidRPr="005F7DA4">
        <w:rPr>
          <w:color w:val="000000"/>
        </w:rPr>
        <w:t xml:space="preserve">las </w:t>
      </w:r>
      <w:r w:rsidR="002F6A92" w:rsidRPr="005F7DA4">
        <w:rPr>
          <w:color w:val="000000"/>
        </w:rPr>
        <w:t>A</w:t>
      </w:r>
      <w:r w:rsidR="002D7EEC" w:rsidRPr="005F7DA4">
        <w:rPr>
          <w:color w:val="000000"/>
        </w:rPr>
        <w:t xml:space="preserve">ctas de instalación y </w:t>
      </w:r>
      <w:r w:rsidR="002F6A92" w:rsidRPr="005F7DA4">
        <w:rPr>
          <w:color w:val="000000"/>
        </w:rPr>
        <w:t xml:space="preserve">de las Sesiones celebradas </w:t>
      </w:r>
      <w:r w:rsidR="002F6A92" w:rsidRPr="005F7DA4">
        <w:t xml:space="preserve">del primero de enero al primero de abril de dos mil veinticinco, </w:t>
      </w:r>
      <w:r w:rsidR="007A5932" w:rsidRPr="005F7DA4">
        <w:rPr>
          <w:color w:val="000000"/>
        </w:rPr>
        <w:t xml:space="preserve">correspondientes a las Comisiones </w:t>
      </w:r>
      <w:r w:rsidR="002D7EEC" w:rsidRPr="005F7DA4">
        <w:rPr>
          <w:color w:val="000000"/>
        </w:rPr>
        <w:t xml:space="preserve">presididas por la Primera Síndica. </w:t>
      </w:r>
    </w:p>
    <w:p w14:paraId="1A1B557F" w14:textId="77777777" w:rsidR="002F6A92" w:rsidRPr="005F7DA4" w:rsidRDefault="002F6A92" w:rsidP="000837C4">
      <w:pPr>
        <w:widowControl w:val="0"/>
        <w:spacing w:after="0" w:line="360" w:lineRule="auto"/>
        <w:rPr>
          <w:color w:val="000000"/>
        </w:rPr>
      </w:pPr>
    </w:p>
    <w:p w14:paraId="11BA3094" w14:textId="252FA28A" w:rsidR="00C80616" w:rsidRPr="005F7DA4" w:rsidRDefault="002D7EEC" w:rsidP="002F6A92">
      <w:pPr>
        <w:widowControl w:val="0"/>
        <w:spacing w:after="0" w:line="360" w:lineRule="auto"/>
        <w:rPr>
          <w:color w:val="000000"/>
        </w:rPr>
      </w:pPr>
      <w:r w:rsidRPr="005F7DA4">
        <w:rPr>
          <w:color w:val="000000"/>
        </w:rPr>
        <w:t xml:space="preserve">En respuesta, el Sujeto Obligado remitió las </w:t>
      </w:r>
      <w:r w:rsidR="002F6A92" w:rsidRPr="005F7DA4">
        <w:rPr>
          <w:color w:val="000000"/>
        </w:rPr>
        <w:t>A</w:t>
      </w:r>
      <w:r w:rsidRPr="005F7DA4">
        <w:rPr>
          <w:color w:val="000000"/>
        </w:rPr>
        <w:t>ctas de instalación, primera extraordinaria y segunda extraordinaria, de la Comisión de Hacienda, mismas que son presididas por la Primera Síndica</w:t>
      </w:r>
      <w:r w:rsidR="000837C4" w:rsidRPr="005F7DA4">
        <w:rPr>
          <w:color w:val="000000"/>
        </w:rPr>
        <w:t xml:space="preserve">; </w:t>
      </w:r>
      <w:r w:rsidR="00A7495B" w:rsidRPr="005F7DA4">
        <w:rPr>
          <w:color w:val="000000"/>
        </w:rPr>
        <w:t xml:space="preserve">ante dicha respuesta, el Particular se inconformó </w:t>
      </w:r>
      <w:r w:rsidR="000837C4" w:rsidRPr="005F7DA4">
        <w:rPr>
          <w:color w:val="000000"/>
        </w:rPr>
        <w:t>de la</w:t>
      </w:r>
      <w:r w:rsidR="00E90F48" w:rsidRPr="005F7DA4">
        <w:rPr>
          <w:color w:val="000000"/>
        </w:rPr>
        <w:t xml:space="preserve"> entrega de información incompleta</w:t>
      </w:r>
      <w:r w:rsidR="00690DEB" w:rsidRPr="005F7DA4">
        <w:rPr>
          <w:color w:val="000000"/>
        </w:rPr>
        <w:t xml:space="preserve">, </w:t>
      </w:r>
      <w:r w:rsidR="00A7495B" w:rsidRPr="005F7DA4">
        <w:rPr>
          <w:color w:val="000000"/>
        </w:rPr>
        <w:t xml:space="preserve">lo </w:t>
      </w:r>
      <w:r w:rsidR="00690DEB" w:rsidRPr="005F7DA4">
        <w:rPr>
          <w:color w:val="000000"/>
        </w:rPr>
        <w:t>cual actualiza el</w:t>
      </w:r>
      <w:r w:rsidR="00A7495B" w:rsidRPr="005F7DA4">
        <w:rPr>
          <w:color w:val="000000"/>
        </w:rPr>
        <w:t xml:space="preserve"> supuesto de procedencia establecido en el </w:t>
      </w:r>
      <w:r w:rsidR="00690DEB" w:rsidRPr="005F7DA4">
        <w:rPr>
          <w:color w:val="000000"/>
        </w:rPr>
        <w:t xml:space="preserve">artículo 179, fracción </w:t>
      </w:r>
      <w:r w:rsidR="000837C4" w:rsidRPr="005F7DA4">
        <w:rPr>
          <w:color w:val="000000"/>
        </w:rPr>
        <w:t>V,</w:t>
      </w:r>
      <w:r w:rsidR="00690DEB" w:rsidRPr="005F7DA4">
        <w:rPr>
          <w:color w:val="000000"/>
        </w:rPr>
        <w:t xml:space="preserve"> </w:t>
      </w:r>
      <w:r w:rsidR="00A7495B" w:rsidRPr="005F7DA4">
        <w:rPr>
          <w:color w:val="000000"/>
        </w:rPr>
        <w:t xml:space="preserve">de la Ley de </w:t>
      </w:r>
      <w:r w:rsidR="00400449" w:rsidRPr="005F7DA4">
        <w:rPr>
          <w:color w:val="000000"/>
        </w:rPr>
        <w:t>trasparencia</w:t>
      </w:r>
      <w:r w:rsidR="00A7495B" w:rsidRPr="005F7DA4">
        <w:rPr>
          <w:color w:val="000000"/>
        </w:rPr>
        <w:t xml:space="preserve"> local. </w:t>
      </w:r>
      <w:r w:rsidR="000837C4" w:rsidRPr="005F7DA4">
        <w:rPr>
          <w:color w:val="000000"/>
        </w:rPr>
        <w:t>Así las cosas, una vez admitido y notificado el Recurso de Revisión a las partes, el Sujeto Obligado ratificó su respuesta.</w:t>
      </w:r>
    </w:p>
    <w:p w14:paraId="44703176" w14:textId="77777777" w:rsidR="003444F8" w:rsidRPr="005F7DA4" w:rsidRDefault="003444F8" w:rsidP="000837C4">
      <w:pPr>
        <w:spacing w:after="0" w:line="360" w:lineRule="auto"/>
        <w:rPr>
          <w:color w:val="000000"/>
        </w:rPr>
      </w:pPr>
    </w:p>
    <w:p w14:paraId="6DC5D7CF" w14:textId="77777777" w:rsidR="00CE58A5" w:rsidRPr="005F7DA4" w:rsidRDefault="00CE4466" w:rsidP="000837C4">
      <w:pPr>
        <w:spacing w:after="0" w:line="360" w:lineRule="auto"/>
      </w:pPr>
      <w:r w:rsidRPr="005F7DA4">
        <w:t>Lo anterior, se desprende de las documentales que obran en los expedientes de referencia, materia de la presente resolución, consistente en: la solicitud de acceso a la información; la respuesta del Sujeto Obligado;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753CCCE9" w14:textId="77777777" w:rsidR="00E90F48" w:rsidRPr="005F7DA4" w:rsidRDefault="00E90F48" w:rsidP="000837C4">
      <w:pPr>
        <w:spacing w:after="0" w:line="360" w:lineRule="auto"/>
      </w:pPr>
    </w:p>
    <w:p w14:paraId="276834F4" w14:textId="2C1ED29F" w:rsidR="00CE58A5" w:rsidRPr="005F7DA4" w:rsidRDefault="00CE4466" w:rsidP="000837C4">
      <w:pPr>
        <w:pStyle w:val="Ttulo2"/>
        <w:spacing w:before="0" w:after="0"/>
      </w:pPr>
      <w:bookmarkStart w:id="18" w:name="_Toc179975604"/>
      <w:bookmarkStart w:id="19" w:name="_Toc209097415"/>
      <w:r w:rsidRPr="005F7DA4">
        <w:t>CUARTO. Marco normativo aplicable en materia de transparencia y acceso a la información pública</w:t>
      </w:r>
      <w:bookmarkEnd w:id="18"/>
      <w:bookmarkEnd w:id="19"/>
    </w:p>
    <w:p w14:paraId="63C42A96" w14:textId="77777777" w:rsidR="00CE58A5" w:rsidRPr="005F7DA4" w:rsidRDefault="00CE58A5" w:rsidP="000837C4">
      <w:pPr>
        <w:spacing w:after="0" w:line="360" w:lineRule="auto"/>
        <w:rPr>
          <w:color w:val="000000"/>
        </w:rPr>
      </w:pPr>
    </w:p>
    <w:p w14:paraId="77A2B44D" w14:textId="77777777" w:rsidR="00CE58A5" w:rsidRPr="005F7DA4" w:rsidRDefault="00CE4466" w:rsidP="000837C4">
      <w:pPr>
        <w:spacing w:after="0" w:line="360" w:lineRule="auto"/>
        <w:rPr>
          <w:color w:val="000000"/>
        </w:rPr>
      </w:pPr>
      <w:r w:rsidRPr="005F7DA4">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5F7DA4" w:rsidRDefault="00CE58A5" w:rsidP="000837C4">
      <w:pPr>
        <w:spacing w:after="0" w:line="360" w:lineRule="auto"/>
        <w:rPr>
          <w:color w:val="000000"/>
        </w:rPr>
      </w:pPr>
    </w:p>
    <w:p w14:paraId="6DE9CAE0" w14:textId="77777777" w:rsidR="00CE58A5" w:rsidRPr="005F7DA4" w:rsidRDefault="00CE4466" w:rsidP="000837C4">
      <w:pPr>
        <w:spacing w:after="0" w:line="360" w:lineRule="auto"/>
        <w:rPr>
          <w:color w:val="000000"/>
        </w:rPr>
      </w:pPr>
      <w:r w:rsidRPr="005F7DA4">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Pr="005F7DA4" w:rsidRDefault="00922619" w:rsidP="000837C4">
      <w:pPr>
        <w:spacing w:after="0" w:line="360" w:lineRule="auto"/>
        <w:rPr>
          <w:color w:val="000000"/>
        </w:rPr>
      </w:pPr>
    </w:p>
    <w:p w14:paraId="7EFDC0B0" w14:textId="5473D89C" w:rsidR="00CE58A5" w:rsidRPr="005F7DA4" w:rsidRDefault="00CE4466" w:rsidP="000837C4">
      <w:pPr>
        <w:spacing w:after="0" w:line="360" w:lineRule="auto"/>
        <w:rPr>
          <w:color w:val="000000"/>
        </w:rPr>
      </w:pPr>
      <w:r w:rsidRPr="005F7DA4">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5F7DA4" w:rsidRDefault="00CE58A5" w:rsidP="000837C4">
      <w:pPr>
        <w:spacing w:after="0" w:line="360" w:lineRule="auto"/>
        <w:rPr>
          <w:color w:val="000000"/>
        </w:rPr>
      </w:pPr>
    </w:p>
    <w:p w14:paraId="1B6E0455" w14:textId="77777777" w:rsidR="00CE58A5" w:rsidRPr="005F7DA4" w:rsidRDefault="00CE4466" w:rsidP="000837C4">
      <w:pPr>
        <w:spacing w:after="0" w:line="360" w:lineRule="auto"/>
        <w:rPr>
          <w:color w:val="000000"/>
        </w:rPr>
      </w:pPr>
      <w:r w:rsidRPr="005F7DA4">
        <w:rPr>
          <w:color w:val="000000"/>
        </w:rPr>
        <w:t>Por su parte, la Ley de Transparencia y Acceso a la Información Pública del Estado de México y Municipios (Reglamentaria del artículo 5° de la Constitución Local), establece lo siguiente:</w:t>
      </w:r>
    </w:p>
    <w:p w14:paraId="66A8EE9E" w14:textId="77777777" w:rsidR="00CE58A5" w:rsidRPr="005F7DA4" w:rsidRDefault="00CE58A5" w:rsidP="000837C4">
      <w:pPr>
        <w:spacing w:after="0" w:line="360" w:lineRule="auto"/>
        <w:rPr>
          <w:color w:val="000000"/>
        </w:rPr>
      </w:pPr>
    </w:p>
    <w:p w14:paraId="79D71702" w14:textId="77777777" w:rsidR="00CE58A5" w:rsidRPr="005F7DA4" w:rsidRDefault="00CE4466" w:rsidP="000837C4">
      <w:pPr>
        <w:spacing w:after="0" w:line="360" w:lineRule="auto"/>
        <w:rPr>
          <w:color w:val="000000"/>
        </w:rPr>
      </w:pPr>
      <w:r w:rsidRPr="005F7DA4">
        <w:rPr>
          <w:color w:val="000000"/>
        </w:rPr>
        <w:t>El artículo 12, que, quienes generen, recopilen, administren, manejen, procesen, archiven o conserven información pública serán responsables de la misma.</w:t>
      </w:r>
    </w:p>
    <w:p w14:paraId="5C34EA42" w14:textId="77777777" w:rsidR="00D51406" w:rsidRPr="005F7DA4" w:rsidRDefault="00D51406" w:rsidP="000837C4">
      <w:pPr>
        <w:spacing w:after="0" w:line="360" w:lineRule="auto"/>
        <w:rPr>
          <w:color w:val="000000"/>
        </w:rPr>
      </w:pPr>
    </w:p>
    <w:p w14:paraId="08B8B529" w14:textId="77777777" w:rsidR="00CE58A5" w:rsidRPr="005F7DA4" w:rsidRDefault="00CE4466" w:rsidP="000837C4">
      <w:pPr>
        <w:widowControl w:val="0"/>
        <w:spacing w:after="0" w:line="360" w:lineRule="auto"/>
        <w:rPr>
          <w:color w:val="000000"/>
        </w:rPr>
      </w:pPr>
      <w:r w:rsidRPr="005F7DA4">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5F7DA4" w:rsidRDefault="00CE58A5" w:rsidP="000837C4">
      <w:pPr>
        <w:spacing w:after="0" w:line="360" w:lineRule="auto"/>
        <w:rPr>
          <w:color w:val="000000"/>
        </w:rPr>
      </w:pPr>
    </w:p>
    <w:p w14:paraId="7EFDFF6E" w14:textId="77777777" w:rsidR="00CE58A5" w:rsidRPr="005F7DA4" w:rsidRDefault="00CE4466" w:rsidP="000837C4">
      <w:pPr>
        <w:spacing w:after="0" w:line="360" w:lineRule="auto"/>
        <w:rPr>
          <w:color w:val="000000"/>
        </w:rPr>
      </w:pPr>
      <w:r w:rsidRPr="005F7DA4">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5F7DA4" w:rsidRDefault="00CE58A5" w:rsidP="000837C4">
      <w:pPr>
        <w:spacing w:after="0" w:line="360" w:lineRule="auto"/>
      </w:pPr>
    </w:p>
    <w:p w14:paraId="1DF82A1D" w14:textId="4C40B5A6" w:rsidR="00CE58A5" w:rsidRPr="005F7DA4" w:rsidRDefault="00CE4466" w:rsidP="000837C4">
      <w:pPr>
        <w:pStyle w:val="Ttulo2"/>
        <w:spacing w:before="0" w:after="0"/>
      </w:pPr>
      <w:bookmarkStart w:id="20" w:name="_Toc179975605"/>
      <w:bookmarkStart w:id="21" w:name="_Toc209097416"/>
      <w:r w:rsidRPr="005F7DA4">
        <w:rPr>
          <w:caps/>
        </w:rPr>
        <w:t>Quinto.</w:t>
      </w:r>
      <w:r w:rsidRPr="005F7DA4">
        <w:t xml:space="preserve"> Estudio de Fondo</w:t>
      </w:r>
      <w:bookmarkEnd w:id="20"/>
      <w:bookmarkEnd w:id="21"/>
    </w:p>
    <w:p w14:paraId="547460E4" w14:textId="77777777" w:rsidR="00CE58A5" w:rsidRPr="005F7DA4" w:rsidRDefault="00CE58A5" w:rsidP="000837C4">
      <w:pPr>
        <w:widowControl w:val="0"/>
        <w:spacing w:after="0" w:line="360" w:lineRule="auto"/>
        <w:rPr>
          <w:color w:val="000000"/>
        </w:rPr>
      </w:pPr>
    </w:p>
    <w:p w14:paraId="23047B70" w14:textId="73A70DE8" w:rsidR="00DB6EDB" w:rsidRPr="005F7DA4" w:rsidRDefault="00CE4466" w:rsidP="008A6CBA">
      <w:pPr>
        <w:spacing w:line="360" w:lineRule="auto"/>
        <w:contextualSpacing/>
      </w:pPr>
      <w:r w:rsidRPr="005F7DA4">
        <w:rPr>
          <w:color w:val="000000"/>
        </w:rPr>
        <w:t xml:space="preserve">Expuestas las posturas de las partes, se procede al análisis del agravio hecho valer por el Recurrente, concerniente a </w:t>
      </w:r>
      <w:r w:rsidR="004E16CA" w:rsidRPr="005F7DA4">
        <w:rPr>
          <w:color w:val="000000"/>
        </w:rPr>
        <w:t xml:space="preserve">la </w:t>
      </w:r>
      <w:r w:rsidR="008A6CBA" w:rsidRPr="005F7DA4">
        <w:rPr>
          <w:color w:val="000000"/>
        </w:rPr>
        <w:t>entrega de información incompleta</w:t>
      </w:r>
      <w:r w:rsidR="00DB6EDB" w:rsidRPr="005F7DA4">
        <w:t xml:space="preserve">, por lo cual es conveniente contextualizar la solicitud de información. </w:t>
      </w:r>
    </w:p>
    <w:p w14:paraId="6ACD6847" w14:textId="77777777" w:rsidR="00DB6EDB" w:rsidRPr="005F7DA4" w:rsidRDefault="00DB6EDB" w:rsidP="008A6CBA">
      <w:pPr>
        <w:spacing w:line="360" w:lineRule="auto"/>
        <w:contextualSpacing/>
      </w:pPr>
    </w:p>
    <w:p w14:paraId="53404AC4" w14:textId="77777777" w:rsidR="002F6A92" w:rsidRPr="005F7DA4" w:rsidRDefault="002F6A92" w:rsidP="002F6A92">
      <w:pPr>
        <w:spacing w:after="0" w:line="360" w:lineRule="auto"/>
        <w:rPr>
          <w:rFonts w:eastAsia="Times New Roman" w:cs="Tahoma"/>
          <w:bCs/>
          <w:iCs/>
          <w:lang w:eastAsia="es-ES"/>
        </w:rPr>
      </w:pPr>
      <w:r w:rsidRPr="005F7DA4">
        <w:rPr>
          <w:rFonts w:eastAsia="Times New Roman" w:cs="Tahoma"/>
          <w:bCs/>
          <w:iCs/>
          <w:lang w:eastAsia="es-ES"/>
        </w:rPr>
        <w:t>Al respecto, el artículo 64 y 69 de la Ley Orgánica Municipal del Estado de México, establecen que, los ayuntamientos, para el eficaz desempeño de sus funciones públicas, podrán auxiliarse por Comisiones (permanentes o transitorias), dentro de las Comisiones permanentes se encuentra la de Gobernación, cuyo responsable será el presidente municipal; de planeación para el desarrollo, que estará a cargo del presidente municipal; y de hacienda, que presidirá el síndico o el primer síndico, cuando haya más de uno.</w:t>
      </w:r>
    </w:p>
    <w:p w14:paraId="648114D2" w14:textId="77777777" w:rsidR="002F6A92" w:rsidRPr="005F7DA4" w:rsidRDefault="002F6A92" w:rsidP="002F6A92">
      <w:pPr>
        <w:spacing w:after="0" w:line="360" w:lineRule="auto"/>
        <w:rPr>
          <w:rFonts w:eastAsia="Times New Roman" w:cs="Tahoma"/>
          <w:bCs/>
          <w:iCs/>
          <w:lang w:eastAsia="es-ES"/>
        </w:rPr>
      </w:pPr>
    </w:p>
    <w:p w14:paraId="4708B167" w14:textId="77777777" w:rsidR="002F6A92" w:rsidRPr="005F7DA4" w:rsidRDefault="002F6A92" w:rsidP="002F6A92">
      <w:pPr>
        <w:spacing w:after="0" w:line="360" w:lineRule="auto"/>
        <w:rPr>
          <w:rFonts w:eastAsia="Times New Roman" w:cs="Tahoma"/>
          <w:bCs/>
          <w:iCs/>
          <w:lang w:eastAsia="es-ES"/>
        </w:rPr>
      </w:pPr>
      <w:r w:rsidRPr="005F7DA4">
        <w:rPr>
          <w:rFonts w:eastAsia="Times New Roman" w:cs="Tahoma"/>
          <w:bCs/>
          <w:iCs/>
          <w:lang w:eastAsia="es-ES"/>
        </w:rPr>
        <w:lastRenderedPageBreak/>
        <w:t>En ese contexto, los artículos 2.7, 2.8, 2.38, 2.38 Bi, 2.39, 2.40, 2.41 y 2.43, del Código Reglamentario de Toluca, vigente, establecen que, el Cabildo para poder atender y en su caso resolver los asuntos de su competencia, funcionará en Pleno y mediante Comisiones, por lo que, se regirá conforme a lo siguiente:</w:t>
      </w:r>
    </w:p>
    <w:p w14:paraId="338A9296" w14:textId="77777777" w:rsidR="002F6A92" w:rsidRPr="005F7DA4" w:rsidRDefault="002F6A92" w:rsidP="002F6A92">
      <w:pPr>
        <w:spacing w:after="0" w:line="360" w:lineRule="auto"/>
        <w:rPr>
          <w:rFonts w:eastAsia="Times New Roman" w:cs="Tahoma"/>
          <w:bCs/>
          <w:iCs/>
          <w:lang w:eastAsia="es-ES"/>
        </w:rPr>
      </w:pPr>
    </w:p>
    <w:p w14:paraId="662659FC" w14:textId="77777777" w:rsidR="002F6A92" w:rsidRPr="005F7DA4" w:rsidRDefault="002F6A92" w:rsidP="002F6A92">
      <w:pPr>
        <w:pStyle w:val="Prrafodelista"/>
        <w:numPr>
          <w:ilvl w:val="0"/>
          <w:numId w:val="27"/>
        </w:numPr>
        <w:spacing w:line="360" w:lineRule="auto"/>
        <w:rPr>
          <w:rFonts w:cs="Tahoma"/>
          <w:bCs/>
          <w:iCs/>
        </w:rPr>
      </w:pPr>
      <w:r w:rsidRPr="005F7DA4">
        <w:rPr>
          <w:rFonts w:cs="Tahoma"/>
          <w:bCs/>
          <w:iCs/>
        </w:rPr>
        <w:t>Las comisiones sesionarán, cuantas veces sea necesario, previa convocatoria de su Presidente o Presidenta;</w:t>
      </w:r>
    </w:p>
    <w:p w14:paraId="6856FC0D" w14:textId="77777777" w:rsidR="002F6A92" w:rsidRPr="005F7DA4" w:rsidRDefault="002F6A92" w:rsidP="002F6A92">
      <w:pPr>
        <w:pStyle w:val="Prrafodelista"/>
        <w:numPr>
          <w:ilvl w:val="0"/>
          <w:numId w:val="27"/>
        </w:numPr>
        <w:spacing w:line="360" w:lineRule="auto"/>
        <w:rPr>
          <w:rFonts w:cs="Tahoma"/>
          <w:bCs/>
          <w:iCs/>
        </w:rPr>
      </w:pPr>
      <w:r w:rsidRPr="005F7DA4">
        <w:rPr>
          <w:rFonts w:cs="Tahoma"/>
          <w:bCs/>
          <w:iCs/>
        </w:rPr>
        <w:t>Las sesiones tendrán carácter de ordinarias, extraordinarias, abiertas, juveniles o solemnes;</w:t>
      </w:r>
    </w:p>
    <w:p w14:paraId="6C1060F4" w14:textId="77777777" w:rsidR="002F6A92" w:rsidRPr="005F7DA4" w:rsidRDefault="002F6A92" w:rsidP="002F6A92">
      <w:pPr>
        <w:pStyle w:val="Prrafodelista"/>
        <w:numPr>
          <w:ilvl w:val="0"/>
          <w:numId w:val="27"/>
        </w:numPr>
        <w:spacing w:line="360" w:lineRule="auto"/>
        <w:rPr>
          <w:rFonts w:cs="Tahoma"/>
          <w:bCs/>
          <w:iCs/>
        </w:rPr>
      </w:pPr>
      <w:r w:rsidRPr="005F7DA4">
        <w:rPr>
          <w:rFonts w:cs="Tahoma"/>
          <w:bCs/>
          <w:iCs/>
        </w:rPr>
        <w:t xml:space="preserve">De cada Sesión, la Secretaría, levantará un acta, que deberá contener fecha, lugar y hora en que se celebra la sesión y hora de su clausura; Orden del día; Certificación de la existencia de quórum legal; Asuntos tratados, con descripción de sus antecedentes, fundamentos legales, disposiciones que al respecto se hayan aprobado, el resultado de la votación, así como los acuerdos derivados de la aprobación del punto y el extracto de los comentarios o participaciones relativos al punto de que se trate; y Anexos que formen parte integral del acta; </w:t>
      </w:r>
    </w:p>
    <w:p w14:paraId="4B644F80" w14:textId="77777777" w:rsidR="002F6A92" w:rsidRPr="005F7DA4" w:rsidRDefault="002F6A92" w:rsidP="002F6A92">
      <w:pPr>
        <w:pStyle w:val="Prrafodelista"/>
        <w:numPr>
          <w:ilvl w:val="0"/>
          <w:numId w:val="27"/>
        </w:numPr>
        <w:spacing w:line="360" w:lineRule="auto"/>
        <w:rPr>
          <w:rFonts w:cs="Tahoma"/>
          <w:bCs/>
          <w:iCs/>
        </w:rPr>
      </w:pPr>
      <w:r w:rsidRPr="005F7DA4">
        <w:rPr>
          <w:rFonts w:cs="Tahoma"/>
          <w:bCs/>
          <w:iCs/>
        </w:rPr>
        <w:t>Las actas firmadas por los miembros, deberán estar integradas en un libro, correspondiendo a la Secretaría llevar y resguardar bajo su más estricta responsabilidad el libro de actas de Cabildo;</w:t>
      </w:r>
    </w:p>
    <w:p w14:paraId="624AB9B0" w14:textId="77777777" w:rsidR="002F6A92" w:rsidRPr="005F7DA4" w:rsidRDefault="002F6A92" w:rsidP="002F6A92">
      <w:pPr>
        <w:pStyle w:val="Prrafodelista"/>
        <w:numPr>
          <w:ilvl w:val="0"/>
          <w:numId w:val="27"/>
        </w:numPr>
        <w:spacing w:line="360" w:lineRule="auto"/>
        <w:rPr>
          <w:rFonts w:cs="Tahoma"/>
          <w:bCs/>
          <w:iCs/>
        </w:rPr>
      </w:pPr>
      <w:r w:rsidRPr="005F7DA4">
        <w:rPr>
          <w:rFonts w:cs="Tahoma"/>
          <w:bCs/>
          <w:iCs/>
        </w:rPr>
        <w:t>El Ayuntamiento se auxiliará de comisiones permanentes, la integración de las comisiones permanentes se hará a más tardar en la tercera sesión ordinaria de Cabildo, a propuesta del Presidente Municipal y se conformarán de una o un Presidente; una o un Secretario; y tres vocales;</w:t>
      </w:r>
    </w:p>
    <w:p w14:paraId="67C28D1F" w14:textId="77777777" w:rsidR="002F6A92" w:rsidRPr="005F7DA4" w:rsidRDefault="002F6A92" w:rsidP="002F6A92">
      <w:pPr>
        <w:pStyle w:val="Prrafodelista"/>
        <w:numPr>
          <w:ilvl w:val="0"/>
          <w:numId w:val="27"/>
        </w:numPr>
        <w:spacing w:line="360" w:lineRule="auto"/>
        <w:rPr>
          <w:rFonts w:cs="Tahoma"/>
          <w:bCs/>
          <w:iCs/>
        </w:rPr>
      </w:pPr>
      <w:r w:rsidRPr="005F7DA4">
        <w:rPr>
          <w:rFonts w:cs="Tahoma"/>
          <w:bCs/>
          <w:iCs/>
        </w:rPr>
        <w:t>Serán comisiones permanentes la comisión de Gobernación; Planeación para el desarrollo; Hacienda (Ingresos); Hacienda (Egresos), entre otras, y</w:t>
      </w:r>
    </w:p>
    <w:p w14:paraId="2DACC597" w14:textId="77777777" w:rsidR="002F6A92" w:rsidRPr="005F7DA4" w:rsidRDefault="002F6A92" w:rsidP="002F6A92">
      <w:pPr>
        <w:pStyle w:val="Prrafodelista"/>
        <w:numPr>
          <w:ilvl w:val="0"/>
          <w:numId w:val="27"/>
        </w:numPr>
        <w:spacing w:line="360" w:lineRule="auto"/>
        <w:rPr>
          <w:rFonts w:cs="Tahoma"/>
          <w:bCs/>
          <w:iCs/>
        </w:rPr>
      </w:pPr>
      <w:r w:rsidRPr="005F7DA4">
        <w:rPr>
          <w:rFonts w:cs="Tahoma"/>
          <w:bCs/>
          <w:iCs/>
        </w:rPr>
        <w:t xml:space="preserve">Las comisiones permanentes se encargarán de actuar con plena legalidad y libertad en los trabajos de análisis, discusión y decisión de los asuntos que le sean turnados; solicitar </w:t>
      </w:r>
      <w:r w:rsidRPr="005F7DA4">
        <w:rPr>
          <w:rFonts w:cs="Tahoma"/>
          <w:bCs/>
          <w:iCs/>
        </w:rPr>
        <w:lastRenderedPageBreak/>
        <w:t>a la Secretaría del Ayuntamiento, a través de la o el Presidente de la Comisión, la información necesaria con el propósito de que puedan atender los asuntos que les han sido encomendados, así como llevar a cabo el cumplimiento de sus funciones.</w:t>
      </w:r>
    </w:p>
    <w:p w14:paraId="5824F7D6" w14:textId="77777777" w:rsidR="002F6A92" w:rsidRPr="005F7DA4" w:rsidRDefault="002F6A92" w:rsidP="002F6A92">
      <w:pPr>
        <w:spacing w:after="0" w:line="360" w:lineRule="auto"/>
        <w:rPr>
          <w:rFonts w:eastAsia="Times New Roman" w:cs="Tahoma"/>
          <w:bCs/>
          <w:iCs/>
          <w:lang w:eastAsia="es-ES"/>
        </w:rPr>
      </w:pPr>
    </w:p>
    <w:p w14:paraId="5460C956" w14:textId="04538A5C" w:rsidR="001D35AE" w:rsidRPr="005F7DA4" w:rsidRDefault="002F6A92" w:rsidP="002F6A92">
      <w:pPr>
        <w:spacing w:after="0" w:line="360" w:lineRule="auto"/>
        <w:rPr>
          <w:rFonts w:eastAsia="Times New Roman" w:cs="Tahoma"/>
          <w:bCs/>
          <w:iCs/>
          <w:lang w:eastAsia="es-ES"/>
        </w:rPr>
      </w:pPr>
      <w:r w:rsidRPr="005F7DA4">
        <w:rPr>
          <w:rFonts w:eastAsia="Times New Roman" w:cs="Tahoma"/>
          <w:bCs/>
          <w:iCs/>
          <w:lang w:eastAsia="es-ES"/>
        </w:rPr>
        <w:t>En ese sentido, este Instituto localizó, en la liga electrónica</w:t>
      </w:r>
      <w:r w:rsidRPr="005F7DA4">
        <w:t xml:space="preserve"> </w:t>
      </w:r>
      <w:hyperlink r:id="rId9" w:history="1">
        <w:r w:rsidRPr="005F7DA4">
          <w:rPr>
            <w:rStyle w:val="Hipervnculo"/>
            <w:rFonts w:eastAsia="Times New Roman" w:cs="Tahoma"/>
            <w:bCs/>
            <w:iCs/>
            <w:lang w:eastAsia="es-ES"/>
          </w:rPr>
          <w:t>https://www2.toluca.gob.mx/wp-content/uploads/2025/01/02-2025-Gaceta-13-01-2025.pdf</w:t>
        </w:r>
      </w:hyperlink>
      <w:r w:rsidRPr="005F7DA4">
        <w:rPr>
          <w:rFonts w:eastAsia="Times New Roman" w:cs="Tahoma"/>
          <w:bCs/>
          <w:iCs/>
          <w:lang w:eastAsia="es-ES"/>
        </w:rPr>
        <w:t xml:space="preserve"> y </w:t>
      </w:r>
      <w:hyperlink r:id="rId10" w:history="1">
        <w:r w:rsidRPr="005F7DA4">
          <w:rPr>
            <w:rStyle w:val="Hipervnculo"/>
            <w:rFonts w:eastAsia="Times New Roman" w:cs="Tahoma"/>
            <w:bCs/>
            <w:iCs/>
            <w:lang w:eastAsia="es-ES"/>
          </w:rPr>
          <w:t>https://www2.toluca.gob.mx/wp-content/uploads/2025/07/COMISIONES-EDILICIAS-2025.pdf</w:t>
        </w:r>
      </w:hyperlink>
      <w:r w:rsidRPr="005F7DA4">
        <w:rPr>
          <w:rFonts w:eastAsia="Times New Roman" w:cs="Tahoma"/>
          <w:bCs/>
          <w:iCs/>
          <w:lang w:eastAsia="es-ES"/>
        </w:rPr>
        <w:t xml:space="preserve">,  los Acuerdos de la Segunda Sesión Ordinaria de Cabildo, en la cual aprobó la integración de las </w:t>
      </w:r>
      <w:r w:rsidR="001D35AE" w:rsidRPr="005F7DA4">
        <w:rPr>
          <w:rFonts w:eastAsia="Times New Roman" w:cs="Tahoma"/>
          <w:bCs/>
          <w:iCs/>
          <w:lang w:eastAsia="es-ES"/>
        </w:rPr>
        <w:t>C</w:t>
      </w:r>
      <w:r w:rsidRPr="005F7DA4">
        <w:rPr>
          <w:rFonts w:eastAsia="Times New Roman" w:cs="Tahoma"/>
          <w:bCs/>
          <w:iCs/>
          <w:lang w:eastAsia="es-ES"/>
        </w:rPr>
        <w:t xml:space="preserve">omisiones </w:t>
      </w:r>
      <w:r w:rsidR="001D35AE" w:rsidRPr="005F7DA4">
        <w:rPr>
          <w:rFonts w:eastAsia="Times New Roman" w:cs="Tahoma"/>
          <w:bCs/>
          <w:iCs/>
          <w:lang w:eastAsia="es-ES"/>
        </w:rPr>
        <w:t>E</w:t>
      </w:r>
      <w:r w:rsidRPr="005F7DA4">
        <w:rPr>
          <w:rFonts w:eastAsia="Times New Roman" w:cs="Tahoma"/>
          <w:bCs/>
          <w:iCs/>
          <w:lang w:eastAsia="es-ES"/>
        </w:rPr>
        <w:t xml:space="preserve">dilicias que estarán vigentes durante la administración 2025-2027, </w:t>
      </w:r>
      <w:r w:rsidR="001D35AE" w:rsidRPr="005F7DA4">
        <w:rPr>
          <w:rFonts w:eastAsia="Times New Roman" w:cs="Tahoma"/>
          <w:bCs/>
          <w:iCs/>
          <w:lang w:eastAsia="es-ES"/>
        </w:rPr>
        <w:t>entre las cuales se encuentra la única precidida por la Primera Síndico, a saber, la de Hacienda (Ingresos), tal como se muestra a continuación:</w:t>
      </w:r>
    </w:p>
    <w:p w14:paraId="6FD7BCF0" w14:textId="77777777" w:rsidR="001D35AE" w:rsidRPr="005F7DA4" w:rsidRDefault="001D35AE" w:rsidP="002F6A92">
      <w:pPr>
        <w:spacing w:after="0" w:line="360" w:lineRule="auto"/>
        <w:rPr>
          <w:rFonts w:eastAsia="Times New Roman" w:cs="Tahoma"/>
          <w:bCs/>
          <w:iCs/>
          <w:lang w:eastAsia="es-ES"/>
        </w:rPr>
      </w:pPr>
    </w:p>
    <w:p w14:paraId="18C43BD7" w14:textId="2AC5E8C9" w:rsidR="001D35AE" w:rsidRPr="005F7DA4" w:rsidRDefault="001D35AE" w:rsidP="002F6A92">
      <w:pPr>
        <w:spacing w:after="0" w:line="360" w:lineRule="auto"/>
        <w:rPr>
          <w:rFonts w:eastAsia="Times New Roman" w:cs="Tahoma"/>
          <w:bCs/>
          <w:iCs/>
          <w:lang w:eastAsia="es-ES"/>
        </w:rPr>
      </w:pPr>
      <w:r w:rsidRPr="005F7DA4">
        <w:rPr>
          <w:rFonts w:eastAsia="Times New Roman" w:cs="Tahoma"/>
          <w:bCs/>
          <w:iCs/>
          <w:noProof/>
        </w:rPr>
        <w:drawing>
          <wp:inline distT="0" distB="0" distL="0" distR="0" wp14:anchorId="05803732" wp14:editId="0A953FC9">
            <wp:extent cx="5850890" cy="1642745"/>
            <wp:effectExtent l="0" t="0" r="3810" b="0"/>
            <wp:docPr id="1960521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21376" name="Imagen 1960521376"/>
                    <pic:cNvPicPr/>
                  </pic:nvPicPr>
                  <pic:blipFill>
                    <a:blip r:embed="rId11">
                      <a:extLst>
                        <a:ext uri="{28A0092B-C50C-407E-A947-70E740481C1C}">
                          <a14:useLocalDpi xmlns:a14="http://schemas.microsoft.com/office/drawing/2010/main" val="0"/>
                        </a:ext>
                      </a:extLst>
                    </a:blip>
                    <a:stretch>
                      <a:fillRect/>
                    </a:stretch>
                  </pic:blipFill>
                  <pic:spPr>
                    <a:xfrm>
                      <a:off x="0" y="0"/>
                      <a:ext cx="5850890" cy="1642745"/>
                    </a:xfrm>
                    <a:prstGeom prst="rect">
                      <a:avLst/>
                    </a:prstGeom>
                  </pic:spPr>
                </pic:pic>
              </a:graphicData>
            </a:graphic>
          </wp:inline>
        </w:drawing>
      </w:r>
    </w:p>
    <w:p w14:paraId="7C67F2C1" w14:textId="77777777" w:rsidR="001D35AE" w:rsidRPr="005F7DA4" w:rsidRDefault="001D35AE" w:rsidP="002F6A92">
      <w:pPr>
        <w:spacing w:after="0" w:line="360" w:lineRule="auto"/>
        <w:rPr>
          <w:rFonts w:eastAsia="Times New Roman" w:cs="Tahoma"/>
          <w:bCs/>
          <w:iCs/>
          <w:lang w:eastAsia="es-ES"/>
        </w:rPr>
      </w:pPr>
    </w:p>
    <w:p w14:paraId="71A1FEF3" w14:textId="7C0CE2F0" w:rsidR="002F6A92" w:rsidRPr="005F7DA4" w:rsidRDefault="002F6A92" w:rsidP="002F6A92">
      <w:pPr>
        <w:spacing w:after="0" w:line="360" w:lineRule="auto"/>
        <w:rPr>
          <w:rFonts w:cs="Tahoma"/>
        </w:rPr>
      </w:pPr>
      <w:r w:rsidRPr="005F7DA4">
        <w:rPr>
          <w:rFonts w:eastAsia="Times New Roman" w:cs="Tahoma"/>
          <w:bCs/>
          <w:color w:val="auto"/>
          <w:lang w:val="es-ES_tradnl" w:eastAsia="es-ES"/>
        </w:rPr>
        <w:t xml:space="preserve">De tales circunstancias, se logra vislumbrar que la pretensión de la persona Recurrente es obtener, las Actas de Sesión </w:t>
      </w:r>
      <w:r w:rsidR="001D35AE" w:rsidRPr="005F7DA4">
        <w:rPr>
          <w:rFonts w:eastAsia="Times New Roman" w:cs="Tahoma"/>
          <w:bCs/>
          <w:color w:val="auto"/>
          <w:lang w:val="es-ES_tradnl" w:eastAsia="es-ES"/>
        </w:rPr>
        <w:t>celebradas en la Comisión de Hacienda (Ingresos), d</w:t>
      </w:r>
      <w:r w:rsidRPr="005F7DA4">
        <w:rPr>
          <w:rFonts w:cs="Tahoma"/>
        </w:rPr>
        <w:t xml:space="preserve">el primero de enero al </w:t>
      </w:r>
      <w:r w:rsidR="001D35AE" w:rsidRPr="005F7DA4">
        <w:rPr>
          <w:rFonts w:cs="Tahoma"/>
        </w:rPr>
        <w:t>primero de abril</w:t>
      </w:r>
      <w:r w:rsidRPr="005F7DA4">
        <w:rPr>
          <w:rFonts w:cs="Tahoma"/>
        </w:rPr>
        <w:t xml:space="preserve"> de dos mil veinticinco</w:t>
      </w:r>
      <w:r w:rsidR="001D35AE" w:rsidRPr="005F7DA4">
        <w:rPr>
          <w:rFonts w:cs="Tahoma"/>
        </w:rPr>
        <w:t>, al ser la ún</w:t>
      </w:r>
      <w:r w:rsidR="002E2DE0" w:rsidRPr="005F7DA4">
        <w:rPr>
          <w:rFonts w:cs="Tahoma"/>
        </w:rPr>
        <w:t>ica presidida por la Primera Sí</w:t>
      </w:r>
      <w:r w:rsidR="001D35AE" w:rsidRPr="005F7DA4">
        <w:rPr>
          <w:rFonts w:cs="Tahoma"/>
        </w:rPr>
        <w:t>ndico Municipal.</w:t>
      </w:r>
    </w:p>
    <w:p w14:paraId="68321EE9" w14:textId="77777777" w:rsidR="001D35AE" w:rsidRPr="005F7DA4" w:rsidRDefault="001D35AE" w:rsidP="002F6A92">
      <w:pPr>
        <w:spacing w:after="0" w:line="360" w:lineRule="auto"/>
        <w:rPr>
          <w:rFonts w:cs="Tahoma"/>
        </w:rPr>
      </w:pPr>
    </w:p>
    <w:p w14:paraId="4CCDF4A2" w14:textId="156AFCF0" w:rsidR="001D35AE" w:rsidRPr="005F7DA4" w:rsidRDefault="001D35AE" w:rsidP="001D35AE">
      <w:pPr>
        <w:spacing w:after="0" w:line="360" w:lineRule="auto"/>
        <w:rPr>
          <w:color w:val="000000"/>
          <w:lang w:eastAsia="es-ES_tradnl"/>
        </w:rPr>
      </w:pPr>
      <w:r w:rsidRPr="005F7DA4">
        <w:rPr>
          <w:color w:val="000000"/>
          <w:lang w:eastAsia="es-ES_tradnl"/>
        </w:rPr>
        <w:t xml:space="preserve">Establecida dicha circunstancia, de las constancias que obran en el expediente electrónico, se advierte que el Sujeto Obligado turno la solicitud de información a la </w:t>
      </w:r>
      <w:r w:rsidR="002E2DE0" w:rsidRPr="005F7DA4">
        <w:rPr>
          <w:color w:val="000000"/>
          <w:lang w:eastAsia="es-ES_tradnl"/>
        </w:rPr>
        <w:t>p</w:t>
      </w:r>
      <w:r w:rsidRPr="005F7DA4">
        <w:rPr>
          <w:color w:val="000000"/>
          <w:lang w:eastAsia="es-ES_tradnl"/>
        </w:rPr>
        <w:t xml:space="preserve">rimera Sindicatura; por lo que, es oportuno hacer referencia al procedimiento de búsqueda que deben de seguir los </w:t>
      </w:r>
      <w:r w:rsidRPr="005F7DA4">
        <w:rPr>
          <w:color w:val="000000"/>
          <w:lang w:eastAsia="es-ES_tradnl"/>
        </w:rPr>
        <w:lastRenderedPageBreak/>
        <w:t>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42EC598" w14:textId="77777777" w:rsidR="001D35AE" w:rsidRPr="005F7DA4" w:rsidRDefault="001D35AE" w:rsidP="001D35AE">
      <w:pPr>
        <w:spacing w:after="0" w:line="360" w:lineRule="auto"/>
        <w:rPr>
          <w:color w:val="000000"/>
          <w:lang w:eastAsia="es-ES_tradnl"/>
        </w:rPr>
      </w:pPr>
    </w:p>
    <w:p w14:paraId="615F0A6B" w14:textId="4D4FF86A" w:rsidR="001D35AE" w:rsidRPr="005F7DA4" w:rsidRDefault="001D35AE" w:rsidP="001D35AE">
      <w:pPr>
        <w:spacing w:after="0" w:line="360" w:lineRule="auto"/>
        <w:rPr>
          <w:color w:val="000000"/>
          <w:lang w:eastAsia="es-ES_tradnl"/>
        </w:rPr>
      </w:pPr>
      <w:r w:rsidRPr="005F7DA4">
        <w:rPr>
          <w:color w:val="000000"/>
          <w:lang w:eastAsia="es-ES_tradnl"/>
        </w:rPr>
        <w:t xml:space="preserve">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w:t>
      </w:r>
      <w:r w:rsidR="00547998" w:rsidRPr="005F7DA4">
        <w:rPr>
          <w:color w:val="000000"/>
          <w:lang w:eastAsia="es-ES_tradnl"/>
        </w:rPr>
        <w:t>al área competente de conocer de la información solicitada.</w:t>
      </w:r>
    </w:p>
    <w:p w14:paraId="492D0DE0" w14:textId="77777777" w:rsidR="001D35AE" w:rsidRPr="005F7DA4" w:rsidRDefault="001D35AE" w:rsidP="002F6A92">
      <w:pPr>
        <w:spacing w:after="0" w:line="360" w:lineRule="auto"/>
        <w:rPr>
          <w:rFonts w:cs="Tahoma"/>
        </w:rPr>
      </w:pPr>
    </w:p>
    <w:p w14:paraId="3D2313E1" w14:textId="46888EE9" w:rsidR="00CE3EC7" w:rsidRPr="005F7DA4" w:rsidRDefault="00547998" w:rsidP="00CE3EC7">
      <w:pPr>
        <w:spacing w:after="0" w:line="360" w:lineRule="auto"/>
        <w:rPr>
          <w:color w:val="auto"/>
          <w:lang w:eastAsia="es-ES"/>
        </w:rPr>
      </w:pPr>
      <w:r w:rsidRPr="005F7DA4">
        <w:rPr>
          <w:color w:val="auto"/>
          <w:lang w:eastAsia="es-ES"/>
        </w:rPr>
        <w:t>Ahora bie</w:t>
      </w:r>
      <w:r w:rsidR="002E2DE0" w:rsidRPr="005F7DA4">
        <w:rPr>
          <w:color w:val="auto"/>
          <w:lang w:eastAsia="es-ES"/>
        </w:rPr>
        <w:t>n, la Primera Sindicatura propor</w:t>
      </w:r>
      <w:r w:rsidRPr="005F7DA4">
        <w:rPr>
          <w:color w:val="auto"/>
          <w:lang w:eastAsia="es-ES"/>
        </w:rPr>
        <w:t>ci</w:t>
      </w:r>
      <w:r w:rsidR="002E2DE0" w:rsidRPr="005F7DA4">
        <w:rPr>
          <w:color w:val="auto"/>
          <w:lang w:eastAsia="es-ES"/>
        </w:rPr>
        <w:t>o</w:t>
      </w:r>
      <w:r w:rsidRPr="005F7DA4">
        <w:rPr>
          <w:color w:val="auto"/>
          <w:lang w:eastAsia="es-ES"/>
        </w:rPr>
        <w:t>nó desde respuesta el Acta de Instalación</w:t>
      </w:r>
      <w:r w:rsidR="00CE3EC7" w:rsidRPr="005F7DA4">
        <w:rPr>
          <w:color w:val="auto"/>
          <w:lang w:eastAsia="es-ES"/>
        </w:rPr>
        <w:t xml:space="preserve"> y Primera Sesión Ordinaria</w:t>
      </w:r>
      <w:r w:rsidRPr="005F7DA4">
        <w:rPr>
          <w:color w:val="auto"/>
          <w:lang w:eastAsia="es-ES"/>
        </w:rPr>
        <w:t>, así como, de la Primera y Segunda Sesión Extraordinaria de la Comisión de Hacienda (ingresos)</w:t>
      </w:r>
      <w:r w:rsidR="00CE3EC7" w:rsidRPr="005F7DA4">
        <w:rPr>
          <w:color w:val="auto"/>
          <w:lang w:eastAsia="es-ES"/>
        </w:rPr>
        <w:t>, de cuya revisión se logra vislumbrar que corresponden a las Sesiones celebradas durante el periodo solicitado, pues de estas no se advierte que existan Sesiones Ordinarias, se muestra un extracto a continuación:</w:t>
      </w:r>
    </w:p>
    <w:p w14:paraId="7D183730" w14:textId="181372AD" w:rsidR="00DB6EDB" w:rsidRPr="005F7DA4" w:rsidRDefault="005E0B82" w:rsidP="00CE3EC7">
      <w:pPr>
        <w:spacing w:after="0" w:line="360" w:lineRule="auto"/>
        <w:rPr>
          <w:color w:val="auto"/>
          <w:lang w:eastAsia="es-ES"/>
        </w:rPr>
      </w:pPr>
      <w:r w:rsidRPr="005F7DA4">
        <w:rPr>
          <w:color w:val="auto"/>
          <w:lang w:eastAsia="es-ES"/>
        </w:rPr>
        <w:t xml:space="preserve"> </w:t>
      </w:r>
    </w:p>
    <w:p w14:paraId="21EFA662" w14:textId="26A7AF1F" w:rsidR="005E0B82" w:rsidRPr="005F7DA4" w:rsidRDefault="005E0B82" w:rsidP="005E0B82">
      <w:pPr>
        <w:spacing w:after="0" w:line="360" w:lineRule="auto"/>
        <w:jc w:val="center"/>
        <w:rPr>
          <w:color w:val="auto"/>
          <w:lang w:eastAsia="es-ES"/>
        </w:rPr>
      </w:pPr>
      <w:r w:rsidRPr="005F7DA4">
        <w:rPr>
          <w:noProof/>
          <w:color w:val="auto"/>
        </w:rPr>
        <w:drawing>
          <wp:inline distT="0" distB="0" distL="0" distR="0" wp14:anchorId="09F5F422" wp14:editId="6DE799BA">
            <wp:extent cx="3833088" cy="2168569"/>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558" b="22043"/>
                    <a:stretch/>
                  </pic:blipFill>
                  <pic:spPr bwMode="auto">
                    <a:xfrm>
                      <a:off x="0" y="0"/>
                      <a:ext cx="3851222" cy="2178828"/>
                    </a:xfrm>
                    <a:prstGeom prst="rect">
                      <a:avLst/>
                    </a:prstGeom>
                    <a:ln>
                      <a:noFill/>
                    </a:ln>
                    <a:extLst>
                      <a:ext uri="{53640926-AAD7-44D8-BBD7-CCE9431645EC}">
                        <a14:shadowObscured xmlns:a14="http://schemas.microsoft.com/office/drawing/2010/main"/>
                      </a:ext>
                    </a:extLst>
                  </pic:spPr>
                </pic:pic>
              </a:graphicData>
            </a:graphic>
          </wp:inline>
        </w:drawing>
      </w:r>
    </w:p>
    <w:p w14:paraId="01CEAF48" w14:textId="77777777" w:rsidR="005E0B82" w:rsidRPr="005F7DA4" w:rsidRDefault="005E0B82" w:rsidP="005A42D8">
      <w:pPr>
        <w:spacing w:after="0" w:line="360" w:lineRule="auto"/>
        <w:rPr>
          <w:color w:val="auto"/>
          <w:lang w:eastAsia="es-ES"/>
        </w:rPr>
      </w:pPr>
    </w:p>
    <w:p w14:paraId="30F2601B" w14:textId="77777777" w:rsidR="00CE3EC7" w:rsidRPr="005F7DA4" w:rsidRDefault="00CE3EC7" w:rsidP="00CE3EC7">
      <w:pPr>
        <w:spacing w:after="0" w:line="360" w:lineRule="auto"/>
        <w:rPr>
          <w:color w:val="000000"/>
          <w:lang w:eastAsia="es-ES_tradnl"/>
        </w:rPr>
      </w:pPr>
      <w:r w:rsidRPr="005F7DA4">
        <w:rPr>
          <w:color w:val="000000"/>
          <w:lang w:eastAsia="es-ES_tradnl"/>
        </w:rPr>
        <w:t>De lo anterior, se logra vislumbrar, que el Sujeto Obligado entregó la información solicitada tal y como obraba en sus archivos;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D5DBE27" w14:textId="77777777" w:rsidR="00CE3EC7" w:rsidRPr="005F7DA4" w:rsidRDefault="00CE3EC7" w:rsidP="00CE3EC7">
      <w:pPr>
        <w:spacing w:after="0" w:line="360" w:lineRule="auto"/>
        <w:rPr>
          <w:color w:val="000000"/>
          <w:lang w:eastAsia="es-ES_tradnl"/>
        </w:rPr>
      </w:pPr>
    </w:p>
    <w:p w14:paraId="7054CFE8" w14:textId="77777777" w:rsidR="00CE3EC7" w:rsidRPr="005F7DA4" w:rsidRDefault="00CE3EC7" w:rsidP="00CE3EC7">
      <w:pPr>
        <w:spacing w:after="0" w:line="360" w:lineRule="auto"/>
        <w:rPr>
          <w:color w:val="000000"/>
          <w:lang w:eastAsia="es-ES_tradnl"/>
        </w:rPr>
      </w:pPr>
      <w:r w:rsidRPr="005F7DA4">
        <w:rPr>
          <w:color w:val="000000"/>
          <w:lang w:eastAsia="es-ES_tradnl"/>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00B8ED26" w14:textId="77777777" w:rsidR="00CE3EC7" w:rsidRPr="005F7DA4" w:rsidRDefault="00CE3EC7" w:rsidP="00CE3EC7">
      <w:pPr>
        <w:spacing w:after="0" w:line="360" w:lineRule="auto"/>
        <w:rPr>
          <w:color w:val="000000"/>
          <w:lang w:eastAsia="es-ES_tradnl"/>
        </w:rPr>
      </w:pPr>
    </w:p>
    <w:p w14:paraId="516E73A4" w14:textId="1D9518D0" w:rsidR="00CE3EC7" w:rsidRPr="005F7DA4" w:rsidRDefault="00CE3EC7" w:rsidP="00CE3EC7">
      <w:pPr>
        <w:spacing w:after="0" w:line="360" w:lineRule="auto"/>
        <w:rPr>
          <w:color w:val="000000"/>
          <w:lang w:eastAsia="es-ES_tradnl"/>
        </w:rPr>
      </w:pPr>
      <w:r w:rsidRPr="005F7DA4">
        <w:rPr>
          <w:color w:val="000000"/>
          <w:lang w:eastAsia="es-ES_tradnl"/>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todas las Actas que obraban en sus archivos de la Comisión de Hacienda (Ingresos), lo cual se traduce a los documentos que daban cuenta de lo peticionado; sin embargo, de su revisión se logra vislumbrar que la Primera y Segunda Sesión Extraordinaria se proporcionaron en versión pública, en donde se testaron un número de oficio, números de expediente, ubicación y nombre de un cementerio y datos de veintisiete inmuebels de la Universidad Autónoma del Estado de México.</w:t>
      </w:r>
    </w:p>
    <w:p w14:paraId="35C87F4D" w14:textId="77777777" w:rsidR="00CE3EC7" w:rsidRPr="005F7DA4" w:rsidRDefault="00CE3EC7" w:rsidP="00CE3EC7">
      <w:pPr>
        <w:spacing w:after="0" w:line="360" w:lineRule="auto"/>
        <w:rPr>
          <w:color w:val="000000"/>
          <w:lang w:eastAsia="es-ES_tradnl"/>
        </w:rPr>
      </w:pPr>
    </w:p>
    <w:p w14:paraId="10A4055D" w14:textId="77777777" w:rsidR="00CE3EC7" w:rsidRPr="005F7DA4" w:rsidRDefault="00CE3EC7" w:rsidP="00CE3EC7">
      <w:pPr>
        <w:spacing w:after="0" w:line="360" w:lineRule="auto"/>
        <w:rPr>
          <w:color w:val="000000"/>
          <w:lang w:eastAsia="es-ES_tradnl"/>
        </w:rPr>
      </w:pPr>
    </w:p>
    <w:p w14:paraId="6C1EB550" w14:textId="6FBB1724" w:rsidR="00CE3EC7" w:rsidRPr="005F7DA4" w:rsidRDefault="00CE3EC7" w:rsidP="00CE3EC7">
      <w:pPr>
        <w:spacing w:after="0" w:line="360" w:lineRule="auto"/>
        <w:contextualSpacing/>
        <w:rPr>
          <w:color w:val="auto"/>
          <w:lang w:eastAsia="es-ES"/>
        </w:rPr>
      </w:pPr>
      <w:r w:rsidRPr="005F7DA4">
        <w:rPr>
          <w:color w:val="auto"/>
          <w:lang w:eastAsia="es-ES"/>
        </w:rPr>
        <w:lastRenderedPageBreak/>
        <w:t>A</w:t>
      </w:r>
      <w:r w:rsidRPr="005F7DA4">
        <w:rPr>
          <w:rFonts w:eastAsia="Times New Roman" w:cs="Tahoma"/>
          <w:color w:val="auto"/>
          <w:lang w:val="x-none" w:eastAsia="es-ES"/>
        </w:rPr>
        <w:t>l respecto</w:t>
      </w:r>
      <w:r w:rsidRPr="005F7DA4">
        <w:rPr>
          <w:rFonts w:eastAsia="Times New Roman" w:cs="Tahoma"/>
          <w:color w:val="0D0D0D"/>
          <w:lang w:val="es-ES_tradnl"/>
        </w:rPr>
        <w:t xml:space="preserve">, cabe precisar, que conforme al artículo 20 de la Ley de Transparencia y Acceso a la Información Pública del Estado de México y Municipios, </w:t>
      </w:r>
      <w:r w:rsidRPr="005F7DA4">
        <w:rPr>
          <w:rFonts w:eastAsia="Times New Roman" w:cs="Tahoma"/>
          <w:b/>
          <w:color w:val="0D0D0D"/>
          <w:lang w:val="es-ES_tradnl"/>
        </w:rPr>
        <w:t>ante la negativa de acceso a la información o su inexistencia, el sujeto obligado deberá demostrar que encuentra en alguna de las excepciones establecidas en la normatividad aplicable.</w:t>
      </w:r>
    </w:p>
    <w:p w14:paraId="711EBC04" w14:textId="77777777" w:rsidR="00CE3EC7" w:rsidRPr="005F7DA4" w:rsidRDefault="00CE3EC7" w:rsidP="00CE3EC7">
      <w:pPr>
        <w:spacing w:after="0" w:line="360" w:lineRule="auto"/>
        <w:rPr>
          <w:rFonts w:eastAsia="Times New Roman" w:cs="Tahoma"/>
          <w:color w:val="0D0D0D"/>
          <w:lang w:val="es-ES_tradnl"/>
        </w:rPr>
      </w:pPr>
    </w:p>
    <w:p w14:paraId="431FCC54" w14:textId="77777777" w:rsidR="00CE3EC7" w:rsidRPr="005F7DA4" w:rsidRDefault="00CE3EC7" w:rsidP="00CE3EC7">
      <w:pPr>
        <w:spacing w:after="0" w:line="360" w:lineRule="auto"/>
        <w:rPr>
          <w:rFonts w:eastAsia="Times New Roman" w:cs="Arial"/>
          <w:bCs/>
          <w:color w:val="0D0D0D"/>
          <w:lang w:val="es-ES_tradnl" w:eastAsia="es-ES"/>
        </w:rPr>
      </w:pPr>
      <w:r w:rsidRPr="005F7DA4">
        <w:rPr>
          <w:rFonts w:eastAsia="Times New Roman" w:cs="Arial"/>
          <w:bCs/>
          <w:color w:val="0D0D0D"/>
          <w:lang w:val="es-ES_tradnl" w:eastAsia="es-ES"/>
        </w:rPr>
        <w:t xml:space="preserve">En ese sentido, según Trujillo, Humberto (2019), en el “Diccionario de Transparencia y Acceso a la Información Pública” (p. 201), </w:t>
      </w:r>
      <w:r w:rsidRPr="005F7DA4">
        <w:rPr>
          <w:rFonts w:eastAsia="Times New Roman" w:cs="Arial"/>
          <w:b/>
          <w:bCs/>
          <w:color w:val="0D0D0D"/>
          <w:lang w:val="es-ES_tradnl" w:eastAsia="es-ES"/>
        </w:rPr>
        <w:t xml:space="preserve">la negativa de acceso a la información </w:t>
      </w:r>
      <w:r w:rsidRPr="005F7DA4">
        <w:rPr>
          <w:rFonts w:eastAsia="Times New Roman" w:cs="Arial"/>
          <w:bCs/>
          <w:color w:val="0D0D0D"/>
          <w:lang w:val="es-ES_tradnl" w:eastAsia="es-ES"/>
        </w:rPr>
        <w:t xml:space="preserve">ocurre cuanto de manera fundada y motivada, una autoridad la niega o la limita, por alguna de las siguientes razones: </w:t>
      </w:r>
    </w:p>
    <w:p w14:paraId="35EE9B7E" w14:textId="77777777" w:rsidR="00CE3EC7" w:rsidRPr="005F7DA4" w:rsidRDefault="00CE3EC7" w:rsidP="00CE3EC7">
      <w:pPr>
        <w:spacing w:after="0" w:line="360" w:lineRule="auto"/>
        <w:rPr>
          <w:rFonts w:eastAsia="Times New Roman" w:cs="Arial"/>
          <w:bCs/>
          <w:color w:val="0D0D0D"/>
          <w:lang w:val="es-ES_tradnl" w:eastAsia="es-ES"/>
        </w:rPr>
      </w:pPr>
    </w:p>
    <w:p w14:paraId="1DCFF69C" w14:textId="77777777" w:rsidR="00CE3EC7" w:rsidRPr="005F7DA4" w:rsidRDefault="00CE3EC7" w:rsidP="00CE3EC7">
      <w:pPr>
        <w:numPr>
          <w:ilvl w:val="0"/>
          <w:numId w:val="4"/>
        </w:numPr>
        <w:spacing w:after="0" w:line="360" w:lineRule="auto"/>
        <w:contextualSpacing/>
        <w:jc w:val="left"/>
        <w:rPr>
          <w:rFonts w:eastAsia="Times New Roman" w:cs="Arial"/>
          <w:b/>
          <w:bCs/>
          <w:color w:val="0D0D0D"/>
          <w:lang w:val="es-ES_tradnl" w:eastAsia="es-ES"/>
        </w:rPr>
      </w:pPr>
      <w:r w:rsidRPr="005F7DA4">
        <w:rPr>
          <w:rFonts w:eastAsia="Times New Roman" w:cs="Arial"/>
          <w:b/>
          <w:bCs/>
          <w:color w:val="0D0D0D"/>
          <w:lang w:val="es-ES_tradnl" w:eastAsia="es-ES"/>
        </w:rPr>
        <w:t xml:space="preserve">La inexistencia de la información (p. 171): </w:t>
      </w:r>
      <w:r w:rsidRPr="005F7DA4">
        <w:rPr>
          <w:rFonts w:eastAsia="Times New Roman" w:cs="Arial"/>
          <w:bCs/>
          <w:color w:val="0D0D0D"/>
          <w:lang w:val="es-ES_tradnl" w:eastAsia="es-ES"/>
        </w:rPr>
        <w:t>Sucede cuando la información solicitada no se encuentra en los archivos públicos o clasificados de los entes sujetos a las Leyes de Transparencia.</w:t>
      </w:r>
    </w:p>
    <w:p w14:paraId="4E347D3D" w14:textId="77777777" w:rsidR="00CE3EC7" w:rsidRPr="005F7DA4" w:rsidRDefault="00CE3EC7" w:rsidP="00CE3EC7">
      <w:pPr>
        <w:spacing w:after="0" w:line="360" w:lineRule="auto"/>
        <w:ind w:left="720"/>
        <w:contextualSpacing/>
        <w:rPr>
          <w:rFonts w:eastAsia="Times New Roman" w:cs="Arial"/>
          <w:b/>
          <w:bCs/>
          <w:color w:val="0D0D0D"/>
          <w:lang w:val="es-ES_tradnl" w:eastAsia="es-ES"/>
        </w:rPr>
      </w:pPr>
    </w:p>
    <w:p w14:paraId="4EB55A56" w14:textId="77777777" w:rsidR="00CE3EC7" w:rsidRPr="005F7DA4" w:rsidRDefault="00CE3EC7" w:rsidP="00CE3EC7">
      <w:pPr>
        <w:numPr>
          <w:ilvl w:val="0"/>
          <w:numId w:val="4"/>
        </w:numPr>
        <w:spacing w:after="0" w:line="360" w:lineRule="auto"/>
        <w:contextualSpacing/>
        <w:jc w:val="left"/>
        <w:rPr>
          <w:rFonts w:eastAsia="Times New Roman" w:cs="Arial"/>
          <w:b/>
          <w:bCs/>
          <w:color w:val="0D0D0D"/>
          <w:lang w:val="es-ES_tradnl" w:eastAsia="es-ES"/>
        </w:rPr>
      </w:pPr>
      <w:r w:rsidRPr="005F7DA4">
        <w:rPr>
          <w:rFonts w:eastAsia="Times New Roman" w:cs="Arial"/>
          <w:b/>
          <w:bCs/>
          <w:color w:val="0D0D0D"/>
          <w:lang w:val="es-ES_tradnl" w:eastAsia="es-ES"/>
        </w:rPr>
        <w:t xml:space="preserve">La incompetencia del Sujeto Obligado (p. 171): </w:t>
      </w:r>
      <w:r w:rsidRPr="005F7DA4">
        <w:rPr>
          <w:rFonts w:eastAsia="Times New Roman" w:cs="Arial"/>
          <w:bCs/>
          <w:color w:val="0D0D0D"/>
          <w:lang w:val="es-ES_tradnl" w:eastAsia="es-ES"/>
        </w:rPr>
        <w:t>Ocurre cuando el Sujeto Obligado carece de atribuciones para poseer la información peticionada.</w:t>
      </w:r>
    </w:p>
    <w:p w14:paraId="1E577288" w14:textId="77777777" w:rsidR="00CE3EC7" w:rsidRPr="005F7DA4" w:rsidRDefault="00CE3EC7" w:rsidP="00CE3EC7">
      <w:pPr>
        <w:spacing w:after="0" w:line="360" w:lineRule="auto"/>
        <w:ind w:left="720"/>
        <w:contextualSpacing/>
        <w:rPr>
          <w:rFonts w:eastAsia="Times New Roman" w:cs="Arial"/>
          <w:b/>
          <w:bCs/>
          <w:color w:val="0D0D0D"/>
          <w:lang w:val="es-ES_tradnl" w:eastAsia="es-ES"/>
        </w:rPr>
      </w:pPr>
    </w:p>
    <w:p w14:paraId="1BD1845B" w14:textId="77777777" w:rsidR="00CE3EC7" w:rsidRPr="005F7DA4" w:rsidRDefault="00CE3EC7" w:rsidP="00CE3EC7">
      <w:pPr>
        <w:numPr>
          <w:ilvl w:val="0"/>
          <w:numId w:val="4"/>
        </w:numPr>
        <w:spacing w:after="0" w:line="360" w:lineRule="auto"/>
        <w:contextualSpacing/>
        <w:jc w:val="left"/>
        <w:rPr>
          <w:rFonts w:eastAsia="Times New Roman" w:cs="Arial"/>
          <w:b/>
          <w:bCs/>
          <w:color w:val="0D0D0D"/>
          <w:lang w:val="es-ES_tradnl" w:eastAsia="es-ES"/>
        </w:rPr>
      </w:pPr>
      <w:r w:rsidRPr="005F7DA4">
        <w:rPr>
          <w:rFonts w:eastAsia="Times New Roman" w:cs="Arial"/>
          <w:b/>
          <w:bCs/>
          <w:color w:val="0D0D0D"/>
          <w:lang w:val="es-ES_tradnl" w:eastAsia="es-ES"/>
        </w:rPr>
        <w:t xml:space="preserve">La clasificación de la información (p. 70): </w:t>
      </w:r>
      <w:r w:rsidRPr="005F7DA4">
        <w:rPr>
          <w:rFonts w:eastAsia="Times New Roman" w:cs="Arial"/>
          <w:bCs/>
          <w:color w:val="0D0D0D"/>
          <w:lang w:val="es-ES_tradnl" w:eastAsia="es-ES"/>
        </w:rPr>
        <w:t>Es el proceso o conjunto de acciones que realizan los sujetos obligados para establecer que determinada información se encuentra en alguno de los supuestos de reserva o confidencialidad establecidos en la legislación en materia de transparencia.</w:t>
      </w:r>
    </w:p>
    <w:p w14:paraId="4FCF4C55" w14:textId="77777777" w:rsidR="00CE3EC7" w:rsidRPr="005F7DA4" w:rsidRDefault="00CE3EC7" w:rsidP="00CE3EC7">
      <w:pPr>
        <w:spacing w:after="0" w:line="360" w:lineRule="auto"/>
        <w:rPr>
          <w:rFonts w:eastAsia="Times New Roman" w:cs="Tahoma"/>
          <w:color w:val="0D0D0D"/>
          <w:lang w:val="es-ES_tradnl"/>
        </w:rPr>
      </w:pPr>
    </w:p>
    <w:p w14:paraId="5EB03856" w14:textId="58F404DF" w:rsidR="00CE3EC7" w:rsidRPr="005F7DA4" w:rsidRDefault="00CE3EC7" w:rsidP="00CE3EC7">
      <w:pPr>
        <w:spacing w:after="0" w:line="360" w:lineRule="auto"/>
        <w:rPr>
          <w:rFonts w:eastAsia="Times New Roman" w:cs="Tahoma"/>
          <w:b/>
          <w:bCs/>
          <w:iCs/>
          <w:color w:val="0D0D0D"/>
          <w:lang w:val="es-ES"/>
        </w:rPr>
      </w:pPr>
      <w:r w:rsidRPr="005F7DA4">
        <w:rPr>
          <w:rFonts w:eastAsia="Times New Roman" w:cs="Tahoma"/>
          <w:color w:val="0D0D0D"/>
          <w:lang w:val="es-ES_tradnl"/>
        </w:rPr>
        <w:t>En ese orden de ideas y en atención a lo anterior, es de señalar que l</w:t>
      </w:r>
      <w:r w:rsidRPr="005F7DA4">
        <w:rPr>
          <w:rFonts w:eastAsia="Times New Roman" w:cs="Tahoma"/>
          <w:color w:val="0D0D0D"/>
          <w:lang w:val="es-ES"/>
        </w:rPr>
        <w:t xml:space="preserve">as </w:t>
      </w:r>
      <w:r w:rsidRPr="005F7DA4">
        <w:rPr>
          <w:rFonts w:eastAsia="Times New Roman" w:cs="Tahoma"/>
          <w:bCs/>
          <w:iCs/>
          <w:color w:val="0D0D0D"/>
          <w:lang w:val="es-ES"/>
        </w:rPr>
        <w:t xml:space="preserve">excepciones al derecho de acceso a la información consisten en que la documentación sea inexistente, </w:t>
      </w:r>
      <w:r w:rsidRPr="005F7DA4">
        <w:rPr>
          <w:rFonts w:eastAsia="Times New Roman" w:cs="Tahoma"/>
          <w:b/>
          <w:bCs/>
          <w:iCs/>
          <w:color w:val="0D0D0D"/>
          <w:lang w:val="es-ES"/>
        </w:rPr>
        <w:t>se encuentre clasificada</w:t>
      </w:r>
      <w:r w:rsidRPr="005F7DA4">
        <w:rPr>
          <w:rFonts w:eastAsia="Times New Roman" w:cs="Tahoma"/>
          <w:bCs/>
          <w:iCs/>
          <w:color w:val="0D0D0D"/>
          <w:lang w:val="es-ES"/>
        </w:rPr>
        <w:t xml:space="preserve">, o bien, el Sujeto Obligado sea incompetente para contar con esta; esto es, la negativa de acceso a la información recae cuando la documentación no se encuentre en los archivos del </w:t>
      </w:r>
      <w:r w:rsidRPr="005F7DA4">
        <w:rPr>
          <w:rFonts w:eastAsia="Times New Roman" w:cs="Tahoma"/>
          <w:bCs/>
          <w:iCs/>
          <w:color w:val="0D0D0D"/>
          <w:lang w:val="es-ES"/>
        </w:rPr>
        <w:lastRenderedPageBreak/>
        <w:t xml:space="preserve">sujeto obligado, o bien exista, pero no pueda proporcionarse por contener datos </w:t>
      </w:r>
      <w:r w:rsidRPr="005F7DA4">
        <w:rPr>
          <w:rFonts w:eastAsia="Times New Roman" w:cs="Tahoma"/>
          <w:b/>
          <w:bCs/>
          <w:iCs/>
          <w:color w:val="0D0D0D"/>
          <w:lang w:val="es-ES"/>
        </w:rPr>
        <w:t>confidenciales o reservados.</w:t>
      </w:r>
    </w:p>
    <w:p w14:paraId="296E24D1" w14:textId="77777777" w:rsidR="00CE3EC7" w:rsidRPr="005F7DA4" w:rsidRDefault="00CE3EC7" w:rsidP="00CE3EC7">
      <w:pPr>
        <w:spacing w:after="0" w:line="360" w:lineRule="auto"/>
        <w:rPr>
          <w:rFonts w:eastAsia="Times New Roman" w:cs="Tahoma"/>
          <w:bCs/>
          <w:iCs/>
          <w:color w:val="0D0D0D"/>
          <w:lang w:val="es-ES"/>
        </w:rPr>
      </w:pPr>
    </w:p>
    <w:p w14:paraId="01873D25" w14:textId="7B51F6B3" w:rsidR="00CE3EC7" w:rsidRPr="005F7DA4" w:rsidRDefault="00CE3EC7" w:rsidP="00CE3EC7">
      <w:pPr>
        <w:spacing w:after="0" w:line="360" w:lineRule="auto"/>
        <w:rPr>
          <w:rFonts w:eastAsia="Times New Roman" w:cs="Tahoma"/>
          <w:color w:val="0D0D0D"/>
          <w:lang w:val="es-ES"/>
        </w:rPr>
      </w:pPr>
      <w:r w:rsidRPr="005F7DA4">
        <w:rPr>
          <w:rFonts w:eastAsia="Times New Roman" w:cs="Tahoma"/>
          <w:color w:val="0D0D0D"/>
          <w:lang w:val="es-ES_tradnl"/>
        </w:rPr>
        <w:t xml:space="preserve">Así, en los artículos 122, 128 y 130 de la Ley Transparencia y Acceso a la Información Pública del Estado de México y Municipios, se prevé que </w:t>
      </w:r>
      <w:r w:rsidRPr="005F7DA4">
        <w:rPr>
          <w:rFonts w:eastAsia="Times New Roman" w:cs="Tahoma"/>
          <w:b/>
          <w:color w:val="0D0D0D"/>
          <w:lang w:val="es-ES_tradnl"/>
        </w:rPr>
        <w:t xml:space="preserve">la clasificación </w:t>
      </w:r>
      <w:r w:rsidRPr="005F7DA4">
        <w:rPr>
          <w:rFonts w:eastAsia="Times New Roman" w:cs="Tahoma"/>
          <w:color w:val="0D0D0D"/>
          <w:lang w:val="es-ES_tradnl"/>
        </w:rPr>
        <w:t xml:space="preserve">es el proceso mediante el cual los sujetos obligados determinan que la información en su poder actualiza alguno de los supuestos de reserva o confidencialidad. </w:t>
      </w:r>
      <w:r w:rsidRPr="005F7DA4">
        <w:rPr>
          <w:rFonts w:eastAsia="Times New Roman" w:cs="Tahoma"/>
          <w:color w:val="0D0D0D"/>
          <w:lang w:val="es-ES"/>
        </w:rPr>
        <w:t>Además, que dichos entes deberán aplicar de manera restrictiva y limitada, las excepciones al derecho de acceso a la información, por lo que, tendrán que acreditar la procedencia.</w:t>
      </w:r>
    </w:p>
    <w:p w14:paraId="3C417867" w14:textId="77777777" w:rsidR="00CE3EC7" w:rsidRPr="005F7DA4" w:rsidRDefault="00CE3EC7" w:rsidP="00CE3EC7">
      <w:pPr>
        <w:spacing w:after="0" w:line="360" w:lineRule="auto"/>
        <w:rPr>
          <w:rFonts w:eastAsia="Times New Roman" w:cs="Tahoma"/>
          <w:color w:val="0D0D0D"/>
          <w:lang w:val="es-ES_tradnl"/>
        </w:rPr>
      </w:pPr>
    </w:p>
    <w:p w14:paraId="36B4D798" w14:textId="554301FC" w:rsidR="00CE3EC7" w:rsidRPr="005F7DA4" w:rsidRDefault="00CE3EC7" w:rsidP="00CE3EC7">
      <w:pPr>
        <w:spacing w:after="0" w:line="360" w:lineRule="auto"/>
        <w:rPr>
          <w:rFonts w:eastAsia="Batang" w:cs="Tahoma"/>
          <w:bCs/>
          <w:color w:val="000000"/>
          <w:lang w:val="es-ES" w:eastAsia="es-ES"/>
        </w:rPr>
      </w:pPr>
      <w:r w:rsidRPr="005F7DA4">
        <w:rPr>
          <w:rFonts w:eastAsia="Batang" w:cs="Tahoma"/>
          <w:bCs/>
          <w:color w:val="000000"/>
          <w:lang w:val="es-ES" w:eastAsia="es-ES"/>
        </w:rPr>
        <w:t xml:space="preserve">En ese contexto, es de referir que el Sujeto Obligado, precisó </w:t>
      </w:r>
      <w:r w:rsidRPr="005F7DA4">
        <w:rPr>
          <w:rFonts w:eastAsia="Times New Roman" w:cs="Tahoma"/>
          <w:color w:val="auto"/>
          <w:lang w:val="es-ES" w:eastAsia="es-ES"/>
        </w:rPr>
        <w:t>que no podía entregar la información solicitada, al contener datos sensibles</w:t>
      </w:r>
      <w:r w:rsidRPr="005F7DA4">
        <w:rPr>
          <w:rFonts w:eastAsia="Batang" w:cs="Tahoma"/>
          <w:bCs/>
          <w:color w:val="000000"/>
          <w:lang w:val="es-ES" w:eastAsia="es-ES"/>
        </w:rPr>
        <w:t xml:space="preserve">; sobre el tema, </w:t>
      </w:r>
      <w:r w:rsidRPr="005F7DA4">
        <w:rPr>
          <w:rFonts w:eastAsia="Times New Roman" w:cs="Tahoma"/>
          <w:color w:val="000000"/>
        </w:rPr>
        <w:t xml:space="preserve">en los artículos 122, 128 y 130 de la Ley Transparencia y Acceso a la Información Pública del Estado de México y Municipios, se prevé que </w:t>
      </w:r>
      <w:r w:rsidRPr="005F7DA4">
        <w:rPr>
          <w:rFonts w:eastAsia="Times New Roman" w:cs="Tahoma"/>
          <w:b/>
          <w:color w:val="000000"/>
        </w:rPr>
        <w:t xml:space="preserve">la clasificación </w:t>
      </w:r>
      <w:r w:rsidRPr="005F7DA4">
        <w:rPr>
          <w:rFonts w:eastAsia="Times New Roman" w:cs="Tahoma"/>
          <w:color w:val="000000"/>
        </w:rPr>
        <w:t xml:space="preserve">es el proceso mediante el cual los sujetos obligados determinan que la información en su poder actualiza alguno de los supuestos de reserva o confidencialidad. </w:t>
      </w:r>
      <w:r w:rsidRPr="005F7DA4">
        <w:rPr>
          <w:rFonts w:eastAsia="Times New Roman" w:cs="Tahoma"/>
          <w:color w:val="000000"/>
          <w:lang w:val="es-ES"/>
        </w:rPr>
        <w:t>Además, que dichos entes deberán aplicar de manera restrictiva y limitada, las excepciones al derecho de acceso a la información, por lo que, tendrán que acreditar la procedencia.</w:t>
      </w:r>
    </w:p>
    <w:p w14:paraId="52BFAECB" w14:textId="77777777" w:rsidR="00CE3EC7" w:rsidRPr="005F7DA4" w:rsidRDefault="00CE3EC7" w:rsidP="00CE3EC7">
      <w:pPr>
        <w:spacing w:after="0" w:line="360" w:lineRule="auto"/>
        <w:rPr>
          <w:rFonts w:eastAsia="Times New Roman" w:cs="Tahoma"/>
          <w:color w:val="000000"/>
          <w:lang w:val="es-ES"/>
        </w:rPr>
      </w:pPr>
    </w:p>
    <w:p w14:paraId="1EA19404" w14:textId="77777777" w:rsidR="00CE3EC7" w:rsidRPr="005F7DA4" w:rsidRDefault="00CE3EC7" w:rsidP="00CE3EC7">
      <w:pPr>
        <w:spacing w:after="0" w:line="360" w:lineRule="auto"/>
        <w:rPr>
          <w:rFonts w:eastAsia="Times New Roman" w:cs="Tahoma"/>
          <w:color w:val="000000"/>
          <w:lang w:val="es-ES"/>
        </w:rPr>
      </w:pPr>
      <w:r w:rsidRPr="005F7DA4">
        <w:rPr>
          <w:rFonts w:eastAsia="Times New Roman" w:cs="Tahoma"/>
          <w:color w:val="000000"/>
          <w:lang w:val="es-ES"/>
        </w:rPr>
        <w:t xml:space="preserve">Por lo cual, en los casos en que se niegue el acceso a la información, por actualizarse alguno de los supuestos de clasificación, </w:t>
      </w:r>
      <w:r w:rsidRPr="005F7DA4">
        <w:rPr>
          <w:rFonts w:eastAsia="Times New Roman" w:cs="Tahoma"/>
          <w:b/>
          <w:color w:val="000000"/>
          <w:lang w:val="es-ES"/>
        </w:rPr>
        <w:t xml:space="preserve">el Comité de Transparencia deberá confirmar, modificar o revocar la decisión; </w:t>
      </w:r>
      <w:r w:rsidRPr="005F7DA4">
        <w:rPr>
          <w:rFonts w:eastAsia="Times New Roman" w:cs="Tahoma"/>
          <w:color w:val="000000"/>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37B81101" w14:textId="77777777" w:rsidR="00CE3EC7" w:rsidRPr="005F7DA4" w:rsidRDefault="00CE3EC7" w:rsidP="00CE3EC7">
      <w:pPr>
        <w:spacing w:after="0" w:line="360" w:lineRule="auto"/>
        <w:rPr>
          <w:rFonts w:eastAsia="Times New Roman" w:cs="Tahoma"/>
          <w:color w:val="000000"/>
          <w:lang w:val="es-ES"/>
        </w:rPr>
      </w:pPr>
    </w:p>
    <w:p w14:paraId="2B712C01" w14:textId="77777777" w:rsidR="00CE3EC7" w:rsidRPr="005F7DA4" w:rsidRDefault="00CE3EC7" w:rsidP="00CE3EC7">
      <w:pPr>
        <w:spacing w:after="0" w:line="360" w:lineRule="auto"/>
        <w:rPr>
          <w:rFonts w:eastAsia="Times New Roman" w:cs="Tahoma"/>
          <w:b/>
          <w:bCs/>
          <w:color w:val="000000"/>
        </w:rPr>
      </w:pPr>
      <w:r w:rsidRPr="005F7DA4">
        <w:rPr>
          <w:rFonts w:eastAsia="Times New Roman" w:cs="Tahoma"/>
          <w:color w:val="000000"/>
          <w:lang w:val="es-ES"/>
        </w:rPr>
        <w:t xml:space="preserve">En ese contexto, </w:t>
      </w:r>
      <w:r w:rsidRPr="005F7DA4">
        <w:rPr>
          <w:rFonts w:eastAsia="Times New Roman" w:cs="Tahoma"/>
          <w:color w:val="000000"/>
        </w:rPr>
        <w:t xml:space="preserve">de la interpretación del artículo 108 de la Ley General de Transparencia y Acceso a la Información Pública, el 134 de la Ley de Transparencia y Acceso a la Información Pública del Estado de México y Municipios, se logra observar que </w:t>
      </w:r>
      <w:r w:rsidRPr="005F7DA4">
        <w:rPr>
          <w:rFonts w:eastAsia="Times New Roman" w:cs="Tahoma"/>
          <w:b/>
          <w:bCs/>
          <w:color w:val="000000"/>
        </w:rPr>
        <w:t xml:space="preserve">la clasificación depende del </w:t>
      </w:r>
      <w:r w:rsidRPr="005F7DA4">
        <w:rPr>
          <w:rFonts w:eastAsia="Times New Roman" w:cs="Tahoma"/>
          <w:b/>
          <w:bCs/>
          <w:color w:val="000000"/>
        </w:rPr>
        <w:lastRenderedPageBreak/>
        <w:t>contenido de los documentos, pues de su análisis se establece si corresponde a una clasificación total o parcial.</w:t>
      </w:r>
    </w:p>
    <w:p w14:paraId="2FB1F7A2" w14:textId="77777777" w:rsidR="00CE3EC7" w:rsidRPr="005F7DA4" w:rsidRDefault="00CE3EC7" w:rsidP="00CE3EC7">
      <w:pPr>
        <w:spacing w:after="0" w:line="360" w:lineRule="auto"/>
        <w:rPr>
          <w:rFonts w:eastAsia="Times New Roman" w:cs="Tahoma"/>
          <w:color w:val="000000"/>
        </w:rPr>
      </w:pPr>
    </w:p>
    <w:p w14:paraId="5975D073" w14:textId="77777777" w:rsidR="00CE3EC7" w:rsidRPr="005F7DA4" w:rsidRDefault="00CE3EC7" w:rsidP="00CE3EC7">
      <w:pPr>
        <w:spacing w:after="0" w:line="360" w:lineRule="auto"/>
        <w:rPr>
          <w:rFonts w:eastAsia="Times New Roman" w:cs="Tahoma"/>
          <w:b/>
          <w:color w:val="000000"/>
        </w:rPr>
      </w:pPr>
      <w:r w:rsidRPr="005F7DA4">
        <w:rPr>
          <w:rFonts w:eastAsia="Times New Roman" w:cs="Tahoma"/>
          <w:color w:val="000000"/>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17CABA60" w14:textId="77777777" w:rsidR="00CE3EC7" w:rsidRPr="005F7DA4" w:rsidRDefault="00CE3EC7" w:rsidP="00CE3EC7">
      <w:pPr>
        <w:widowControl w:val="0"/>
        <w:spacing w:after="0" w:line="360" w:lineRule="auto"/>
        <w:rPr>
          <w:color w:val="000000"/>
        </w:rPr>
      </w:pPr>
    </w:p>
    <w:p w14:paraId="575CAC3F" w14:textId="29E5E577" w:rsidR="00CE3EC7" w:rsidRPr="005F7DA4" w:rsidRDefault="00CE3EC7" w:rsidP="00CE3EC7">
      <w:pPr>
        <w:spacing w:after="0" w:line="360" w:lineRule="auto"/>
        <w:rPr>
          <w:rFonts w:eastAsia="Times New Roman" w:cs="Arial"/>
          <w:b/>
          <w:bCs/>
          <w:color w:val="000000"/>
        </w:rPr>
      </w:pPr>
      <w:r w:rsidRPr="005F7DA4">
        <w:rPr>
          <w:rFonts w:eastAsia="Times New Roman" w:cs="Tahoma"/>
          <w:color w:val="000000"/>
          <w:lang w:val="es-ES"/>
        </w:rPr>
        <w:t xml:space="preserve">En ese contexto, </w:t>
      </w:r>
      <w:r w:rsidRPr="005F7DA4">
        <w:rPr>
          <w:rFonts w:eastAsia="Times New Roman" w:cs="Arial"/>
          <w:bCs/>
          <w:color w:val="000000"/>
        </w:rPr>
        <w:t xml:space="preserve">según Bonifaz, Leticia (2016), en la “Ley General de Transparencia y Acceso a la Información Pública Comentada” (p. 342), la </w:t>
      </w:r>
      <w:r w:rsidRPr="005F7DA4">
        <w:rPr>
          <w:rFonts w:eastAsia="Times New Roman" w:cs="Arial"/>
          <w:b/>
          <w:bCs/>
          <w:color w:val="000000"/>
        </w:rPr>
        <w:t>clasificación de la información</w:t>
      </w:r>
      <w:r w:rsidRPr="005F7DA4">
        <w:rPr>
          <w:rFonts w:eastAsia="Times New Roman" w:cs="Arial"/>
          <w:bCs/>
          <w:color w:val="000000"/>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5F7DA4">
        <w:rPr>
          <w:rFonts w:eastAsia="Times New Roman" w:cs="Arial"/>
          <w:b/>
          <w:bCs/>
          <w:color w:val="000000"/>
        </w:rPr>
        <w:t>de manera adecuada la negativa de información.</w:t>
      </w:r>
    </w:p>
    <w:p w14:paraId="1948CFA5" w14:textId="77777777" w:rsidR="00CE3EC7" w:rsidRPr="005F7DA4" w:rsidRDefault="00CE3EC7" w:rsidP="00CE3EC7">
      <w:pPr>
        <w:spacing w:after="0" w:line="360" w:lineRule="auto"/>
        <w:rPr>
          <w:rFonts w:eastAsia="Calibri" w:cs="Tahoma"/>
          <w:bCs/>
          <w:color w:val="000000"/>
        </w:rPr>
      </w:pPr>
    </w:p>
    <w:p w14:paraId="1952AFDB" w14:textId="73A0C28B" w:rsidR="00CE3EC7" w:rsidRPr="005F7DA4" w:rsidRDefault="00CE3EC7" w:rsidP="00CE3EC7">
      <w:pPr>
        <w:spacing w:after="0" w:line="360" w:lineRule="auto"/>
        <w:rPr>
          <w:rFonts w:eastAsia="Times New Roman" w:cs="Tahoma"/>
          <w:b/>
          <w:color w:val="000000"/>
        </w:rPr>
      </w:pPr>
      <w:r w:rsidRPr="005F7DA4">
        <w:rPr>
          <w:rFonts w:eastAsia="Calibri" w:cs="Tahoma"/>
          <w:bCs/>
          <w:color w:val="000000"/>
        </w:rPr>
        <w:t>Además</w:t>
      </w:r>
      <w:r w:rsidRPr="005F7DA4">
        <w:rPr>
          <w:rFonts w:eastAsia="Times New Roman" w:cs="Tahoma"/>
          <w:color w:val="000000"/>
        </w:rPr>
        <w:t xml:space="preserve">, conforme al artículo 134 de la Ley de Transparencia y Acceso a la Información Pública del Estado de México y Municipios y el Sexto de los </w:t>
      </w:r>
      <w:r w:rsidRPr="005F7DA4">
        <w:rPr>
          <w:rFonts w:eastAsia="Times New Roman" w:cs="Tahoma"/>
          <w:color w:val="000000"/>
          <w:lang w:eastAsia="es-ES"/>
        </w:rPr>
        <w:t>Lineamientos Generales en Materia de Clasificación y Desclasificación de la Información, así como para la Elaboración de Versiones Públicas –Lineamientos Generales-</w:t>
      </w:r>
      <w:r w:rsidRPr="005F7DA4">
        <w:rPr>
          <w:rFonts w:eastAsia="Times New Roman" w:cs="Tahoma"/>
          <w:color w:val="000000"/>
        </w:rPr>
        <w:t xml:space="preserve">, los sujetos obligados no podrán emitir acuerdos de carácter general que clasifiquen documentos o expedientes; por lo que, la clasificación de información se llevará a cabo mediante un </w:t>
      </w:r>
      <w:r w:rsidRPr="005F7DA4">
        <w:rPr>
          <w:rFonts w:eastAsia="Times New Roman" w:cs="Tahoma"/>
          <w:b/>
          <w:color w:val="000000"/>
        </w:rPr>
        <w:t>análisis caso por caso.</w:t>
      </w:r>
    </w:p>
    <w:p w14:paraId="14311FE8" w14:textId="77777777" w:rsidR="00CE3EC7" w:rsidRPr="005F7DA4" w:rsidRDefault="00CE3EC7" w:rsidP="00CE3EC7">
      <w:pPr>
        <w:spacing w:after="0" w:line="360" w:lineRule="auto"/>
        <w:rPr>
          <w:rFonts w:eastAsia="Times New Roman" w:cs="Tahoma"/>
          <w:b/>
          <w:color w:val="000000"/>
        </w:rPr>
      </w:pPr>
    </w:p>
    <w:p w14:paraId="3BA1B55D" w14:textId="77777777" w:rsidR="00CE3EC7" w:rsidRPr="005F7DA4" w:rsidRDefault="00CE3EC7" w:rsidP="00CE3EC7">
      <w:pPr>
        <w:spacing w:after="0" w:line="360" w:lineRule="auto"/>
        <w:rPr>
          <w:rFonts w:eastAsia="Times New Roman" w:cs="Tahoma"/>
          <w:color w:val="000000"/>
        </w:rPr>
      </w:pPr>
      <w:r w:rsidRPr="005F7DA4">
        <w:rPr>
          <w:rFonts w:eastAsia="Times New Roman" w:cs="Tahoma"/>
          <w:color w:val="000000"/>
        </w:rPr>
        <w:t xml:space="preserve">Sobre lo anterior, el artículo 131 de la Ley referida, así como el Quinto de los Lineamientos Generales, establecen que los sujetos obligados </w:t>
      </w:r>
      <w:r w:rsidRPr="005F7DA4">
        <w:rPr>
          <w:rFonts w:eastAsia="Times New Roman" w:cs="Tahoma"/>
          <w:b/>
          <w:color w:val="000000"/>
        </w:rPr>
        <w:t>deberán fundar y motivar</w:t>
      </w:r>
      <w:r w:rsidRPr="005F7DA4">
        <w:rPr>
          <w:rFonts w:eastAsia="Times New Roman" w:cs="Tahoma"/>
          <w:color w:val="000000"/>
        </w:rPr>
        <w:t xml:space="preserve"> debidamente la clasificación de la información.</w:t>
      </w:r>
    </w:p>
    <w:p w14:paraId="45B77F76" w14:textId="77777777" w:rsidR="00CE3EC7" w:rsidRPr="005F7DA4" w:rsidRDefault="00CE3EC7" w:rsidP="00CE3EC7">
      <w:pPr>
        <w:spacing w:after="0" w:line="360" w:lineRule="auto"/>
        <w:rPr>
          <w:rFonts w:eastAsia="Times New Roman" w:cs="Tahoma"/>
          <w:b/>
          <w:color w:val="000000"/>
        </w:rPr>
      </w:pPr>
    </w:p>
    <w:p w14:paraId="2BA1A111" w14:textId="77777777" w:rsidR="00CE3EC7" w:rsidRPr="005F7DA4" w:rsidRDefault="00CE3EC7" w:rsidP="00CE3EC7">
      <w:pPr>
        <w:spacing w:after="0" w:line="360" w:lineRule="auto"/>
        <w:rPr>
          <w:rFonts w:eastAsia="Times New Roman" w:cs="Tahoma"/>
          <w:bCs/>
          <w:iCs/>
          <w:color w:val="000000"/>
        </w:rPr>
      </w:pPr>
      <w:r w:rsidRPr="005F7DA4">
        <w:rPr>
          <w:rFonts w:eastAsia="Times New Roman" w:cs="Tahoma"/>
          <w:color w:val="000000"/>
        </w:rPr>
        <w:t>Al respecto, e</w:t>
      </w:r>
      <w:r w:rsidRPr="005F7DA4">
        <w:rPr>
          <w:rFonts w:eastAsia="Times New Roman" w:cs="Tahoma"/>
          <w:bCs/>
          <w:iCs/>
          <w:color w:val="000000"/>
        </w:rPr>
        <w:t>l Octavo de los Lineamientos Generales, precisa lo siguiente:</w:t>
      </w:r>
    </w:p>
    <w:p w14:paraId="72ACE2CA" w14:textId="77777777" w:rsidR="00CE3EC7" w:rsidRPr="005F7DA4" w:rsidRDefault="00CE3EC7" w:rsidP="00CE3EC7">
      <w:pPr>
        <w:spacing w:after="0" w:line="360" w:lineRule="auto"/>
        <w:rPr>
          <w:rFonts w:eastAsia="Times New Roman" w:cs="Tahoma"/>
          <w:bCs/>
          <w:iCs/>
          <w:color w:val="000000"/>
        </w:rPr>
      </w:pPr>
    </w:p>
    <w:p w14:paraId="6D854283" w14:textId="77777777" w:rsidR="00CE3EC7" w:rsidRPr="005F7DA4" w:rsidRDefault="00CE3EC7" w:rsidP="00CE3EC7">
      <w:pPr>
        <w:numPr>
          <w:ilvl w:val="0"/>
          <w:numId w:val="6"/>
        </w:numPr>
        <w:spacing w:after="0" w:line="360" w:lineRule="auto"/>
        <w:jc w:val="left"/>
        <w:rPr>
          <w:rFonts w:eastAsia="Times New Roman" w:cs="Tahoma"/>
          <w:bCs/>
          <w:color w:val="000000"/>
          <w:u w:val="single"/>
        </w:rPr>
      </w:pPr>
      <w:r w:rsidRPr="005F7DA4">
        <w:rPr>
          <w:rFonts w:eastAsia="Times New Roman" w:cs="Tahoma"/>
          <w:b/>
          <w:bCs/>
          <w:color w:val="000000"/>
        </w:rPr>
        <w:t>Para fundar la clasificación</w:t>
      </w:r>
      <w:r w:rsidRPr="005F7DA4">
        <w:rPr>
          <w:rFonts w:eastAsia="Times New Roman" w:cs="Tahoma"/>
          <w:bCs/>
          <w:color w:val="000000"/>
        </w:rPr>
        <w:t xml:space="preserve"> de la información se deberán </w:t>
      </w:r>
      <w:r w:rsidRPr="005F7DA4">
        <w:rPr>
          <w:rFonts w:eastAsia="Times New Roman" w:cs="Tahoma"/>
          <w:bCs/>
          <w:color w:val="000000"/>
          <w:u w:val="single"/>
        </w:rPr>
        <w:t>señalar el artículo, fracción, inciso, párrafo o numeral de la Ley aplicable;</w:t>
      </w:r>
    </w:p>
    <w:p w14:paraId="2C55816B" w14:textId="77777777" w:rsidR="00CE3EC7" w:rsidRPr="005F7DA4" w:rsidRDefault="00CE3EC7" w:rsidP="00CE3EC7">
      <w:pPr>
        <w:spacing w:after="0" w:line="360" w:lineRule="auto"/>
        <w:rPr>
          <w:rFonts w:eastAsia="Times New Roman" w:cs="Tahoma"/>
          <w:bCs/>
          <w:color w:val="000000"/>
        </w:rPr>
      </w:pPr>
    </w:p>
    <w:p w14:paraId="6752BA03" w14:textId="77777777" w:rsidR="00CE3EC7" w:rsidRPr="005F7DA4" w:rsidRDefault="00CE3EC7" w:rsidP="00CE3EC7">
      <w:pPr>
        <w:numPr>
          <w:ilvl w:val="0"/>
          <w:numId w:val="6"/>
        </w:numPr>
        <w:spacing w:after="0" w:line="360" w:lineRule="auto"/>
        <w:jc w:val="left"/>
        <w:rPr>
          <w:rFonts w:eastAsia="Times New Roman" w:cs="Tahoma"/>
          <w:bCs/>
          <w:color w:val="000000"/>
        </w:rPr>
      </w:pPr>
      <w:r w:rsidRPr="005F7DA4">
        <w:rPr>
          <w:rFonts w:eastAsia="Times New Roman" w:cs="Tahoma"/>
          <w:b/>
          <w:bCs/>
          <w:color w:val="000000"/>
        </w:rPr>
        <w:t>Para motivar la clasificación</w:t>
      </w:r>
      <w:r w:rsidRPr="005F7DA4">
        <w:rPr>
          <w:rFonts w:eastAsia="Times New Roman" w:cs="Tahoma"/>
          <w:bCs/>
          <w:color w:val="000000"/>
        </w:rPr>
        <w:t xml:space="preserve"> se deberán </w:t>
      </w:r>
      <w:r w:rsidRPr="005F7DA4">
        <w:rPr>
          <w:rFonts w:eastAsia="Times New Roman" w:cs="Tahoma"/>
          <w:bCs/>
          <w:color w:val="000000"/>
          <w:u w:val="single"/>
        </w:rPr>
        <w:t>indicar las razones y circunstancias</w:t>
      </w:r>
      <w:r w:rsidRPr="005F7DA4">
        <w:rPr>
          <w:rFonts w:eastAsia="Times New Roman" w:cs="Tahoma"/>
          <w:bCs/>
          <w:color w:val="000000"/>
        </w:rPr>
        <w:t xml:space="preserve"> especiales que lo llevaron a concluir que el caso particular se ajusta al supuesto previsto por la norma legal invocada.</w:t>
      </w:r>
    </w:p>
    <w:p w14:paraId="6BB7049E" w14:textId="77777777" w:rsidR="00CE3EC7" w:rsidRPr="005F7DA4" w:rsidRDefault="00CE3EC7" w:rsidP="00CE3EC7">
      <w:pPr>
        <w:spacing w:after="0" w:line="360" w:lineRule="auto"/>
        <w:ind w:left="720"/>
        <w:contextualSpacing/>
        <w:rPr>
          <w:rFonts w:eastAsia="Times New Roman" w:cs="Tahoma"/>
          <w:bCs/>
          <w:color w:val="000000"/>
        </w:rPr>
      </w:pPr>
    </w:p>
    <w:p w14:paraId="67390114" w14:textId="77777777" w:rsidR="00CE3EC7" w:rsidRPr="005F7DA4" w:rsidRDefault="00CE3EC7" w:rsidP="00CE3EC7">
      <w:pPr>
        <w:spacing w:after="0" w:line="360" w:lineRule="auto"/>
        <w:rPr>
          <w:rFonts w:eastAsia="Times New Roman" w:cs="Tahoma"/>
          <w:color w:val="000000"/>
        </w:rPr>
      </w:pPr>
      <w:r w:rsidRPr="005F7DA4">
        <w:rPr>
          <w:rFonts w:eastAsia="Times New Roman" w:cs="Tahoma"/>
          <w:color w:val="000000"/>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0EB5AD3" w14:textId="77777777" w:rsidR="00CE3EC7" w:rsidRPr="005F7DA4" w:rsidRDefault="00CE3EC7" w:rsidP="00CE3EC7">
      <w:pPr>
        <w:spacing w:after="0" w:line="360" w:lineRule="auto"/>
        <w:rPr>
          <w:rFonts w:eastAsia="Times New Roman" w:cs="Tahoma"/>
          <w:color w:val="000000"/>
        </w:rPr>
      </w:pPr>
    </w:p>
    <w:p w14:paraId="3007FC1D" w14:textId="77777777" w:rsidR="00CE3EC7" w:rsidRPr="005F7DA4" w:rsidRDefault="00CE3EC7" w:rsidP="00CE3EC7">
      <w:pPr>
        <w:spacing w:after="0" w:line="360" w:lineRule="auto"/>
        <w:ind w:left="567" w:right="567"/>
        <w:rPr>
          <w:rFonts w:eastAsia="Times New Roman" w:cs="Tahoma"/>
          <w:i/>
          <w:color w:val="000000"/>
          <w:sz w:val="20"/>
          <w:szCs w:val="20"/>
        </w:rPr>
      </w:pPr>
      <w:r w:rsidRPr="005F7DA4">
        <w:rPr>
          <w:rFonts w:eastAsia="Times New Roman" w:cs="Tahoma"/>
          <w:b/>
          <w:i/>
          <w:color w:val="000000"/>
          <w:sz w:val="20"/>
          <w:szCs w:val="20"/>
        </w:rPr>
        <w:t xml:space="preserve">“FUNDAMENTACION Y MOTIVACION, CONCEPTO DE. </w:t>
      </w:r>
      <w:r w:rsidRPr="005F7DA4">
        <w:rPr>
          <w:rFonts w:eastAsia="Times New Roman" w:cs="Tahoma"/>
          <w:i/>
          <w:color w:val="000000"/>
          <w:sz w:val="20"/>
          <w:szCs w:val="2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3D5FA580" w14:textId="77777777" w:rsidR="00CE3EC7" w:rsidRPr="005F7DA4" w:rsidRDefault="00CE3EC7" w:rsidP="00CE3EC7">
      <w:pPr>
        <w:spacing w:after="0" w:line="360" w:lineRule="auto"/>
        <w:rPr>
          <w:rFonts w:eastAsia="Times New Roman" w:cs="Tahoma"/>
          <w:color w:val="000000"/>
        </w:rPr>
      </w:pPr>
    </w:p>
    <w:p w14:paraId="195CE57C" w14:textId="77777777" w:rsidR="00CE3EC7" w:rsidRPr="005F7DA4" w:rsidRDefault="00CE3EC7" w:rsidP="00CE3EC7">
      <w:pPr>
        <w:spacing w:after="0" w:line="360" w:lineRule="auto"/>
        <w:rPr>
          <w:rFonts w:eastAsia="Times New Roman" w:cs="Tahoma"/>
          <w:color w:val="000000"/>
        </w:rPr>
      </w:pPr>
      <w:r w:rsidRPr="005F7DA4">
        <w:rPr>
          <w:rFonts w:eastAsia="Times New Roman" w:cs="Tahoma"/>
          <w:color w:val="000000"/>
        </w:rPr>
        <w:t>Conforme a lo anterior, se advierte lo siguiente:</w:t>
      </w:r>
    </w:p>
    <w:p w14:paraId="1BDC928D" w14:textId="77777777" w:rsidR="00CE3EC7" w:rsidRPr="005F7DA4" w:rsidRDefault="00CE3EC7" w:rsidP="00CE3EC7">
      <w:pPr>
        <w:spacing w:after="0" w:line="360" w:lineRule="auto"/>
        <w:rPr>
          <w:rFonts w:eastAsia="Times New Roman" w:cs="Tahoma"/>
          <w:color w:val="000000"/>
        </w:rPr>
      </w:pPr>
    </w:p>
    <w:p w14:paraId="77EEF027" w14:textId="77777777" w:rsidR="00CE3EC7" w:rsidRPr="005F7DA4" w:rsidRDefault="00CE3EC7" w:rsidP="00CE3EC7">
      <w:pPr>
        <w:numPr>
          <w:ilvl w:val="0"/>
          <w:numId w:val="7"/>
        </w:numPr>
        <w:spacing w:after="0" w:line="360" w:lineRule="auto"/>
        <w:jc w:val="left"/>
        <w:rPr>
          <w:rFonts w:eastAsia="Times New Roman" w:cs="Tahoma"/>
          <w:b/>
          <w:color w:val="000000"/>
        </w:rPr>
      </w:pPr>
      <w:r w:rsidRPr="005F7DA4">
        <w:rPr>
          <w:rFonts w:eastAsia="Times New Roman" w:cs="Tahoma"/>
          <w:b/>
          <w:color w:val="000000"/>
        </w:rPr>
        <w:t xml:space="preserve">Fundamentación: </w:t>
      </w:r>
      <w:r w:rsidRPr="005F7DA4">
        <w:rPr>
          <w:rFonts w:eastAsia="Times New Roman" w:cs="Tahoma"/>
          <w:color w:val="000000"/>
        </w:rPr>
        <w:t>Obligación de la autoridad que emite un acto, para citar los preceptos legales, sustantivos y adjetivos, en que se apoye para la determinación tomada.</w:t>
      </w:r>
    </w:p>
    <w:p w14:paraId="24800C91" w14:textId="77777777" w:rsidR="00CE3EC7" w:rsidRPr="005F7DA4" w:rsidRDefault="00CE3EC7" w:rsidP="00CE3EC7">
      <w:pPr>
        <w:spacing w:after="0" w:line="360" w:lineRule="auto"/>
        <w:ind w:left="720"/>
        <w:rPr>
          <w:rFonts w:eastAsia="Times New Roman" w:cs="Tahoma"/>
          <w:b/>
          <w:color w:val="000000"/>
        </w:rPr>
      </w:pPr>
    </w:p>
    <w:p w14:paraId="5F6EEF04" w14:textId="77777777" w:rsidR="00CE3EC7" w:rsidRPr="005F7DA4" w:rsidRDefault="00CE3EC7" w:rsidP="00CE3EC7">
      <w:pPr>
        <w:numPr>
          <w:ilvl w:val="0"/>
          <w:numId w:val="7"/>
        </w:numPr>
        <w:spacing w:after="0" w:line="360" w:lineRule="auto"/>
        <w:jc w:val="left"/>
        <w:rPr>
          <w:rFonts w:eastAsia="Times New Roman" w:cs="Tahoma"/>
          <w:b/>
          <w:color w:val="000000"/>
        </w:rPr>
      </w:pPr>
      <w:r w:rsidRPr="005F7DA4">
        <w:rPr>
          <w:rFonts w:eastAsia="Times New Roman" w:cs="Tahoma"/>
          <w:b/>
          <w:color w:val="000000"/>
        </w:rPr>
        <w:t xml:space="preserve">Motivación: </w:t>
      </w:r>
      <w:r w:rsidRPr="005F7DA4">
        <w:rPr>
          <w:rFonts w:eastAsia="Times New Roman" w:cs="Tahoma"/>
          <w:color w:val="000000"/>
        </w:rPr>
        <w:t>Razonamientos lógico-jurídicos sobre porque se consideró en el caso en concreto, que se ajusta a la hipótesis normativa.</w:t>
      </w:r>
    </w:p>
    <w:p w14:paraId="3DD44C36" w14:textId="77777777" w:rsidR="00CE3EC7" w:rsidRPr="005F7DA4" w:rsidRDefault="00CE3EC7" w:rsidP="00CE3EC7">
      <w:pPr>
        <w:spacing w:after="0" w:line="360" w:lineRule="auto"/>
        <w:rPr>
          <w:rFonts w:eastAsia="Calibri" w:cs="Tahoma"/>
          <w:color w:val="000000"/>
          <w:lang w:val="es-ES"/>
        </w:rPr>
      </w:pPr>
    </w:p>
    <w:p w14:paraId="147C92B4" w14:textId="77777777" w:rsidR="00CE3EC7" w:rsidRPr="005F7DA4" w:rsidRDefault="00CE3EC7" w:rsidP="00CE3EC7">
      <w:pPr>
        <w:spacing w:after="0" w:line="360" w:lineRule="auto"/>
        <w:rPr>
          <w:rFonts w:eastAsia="Calibri" w:cs="Tahoma"/>
          <w:color w:val="000000"/>
          <w:lang w:val="es-ES"/>
        </w:rPr>
      </w:pPr>
      <w:r w:rsidRPr="005F7DA4">
        <w:rPr>
          <w:rFonts w:eastAsia="Calibri" w:cs="Tahoma"/>
          <w:color w:val="000000"/>
          <w:lang w:val="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0A14CA20" w14:textId="77777777" w:rsidR="00CE3EC7" w:rsidRPr="005F7DA4" w:rsidRDefault="00CE3EC7" w:rsidP="00CE3EC7">
      <w:pPr>
        <w:widowControl w:val="0"/>
        <w:autoSpaceDE w:val="0"/>
        <w:autoSpaceDN w:val="0"/>
        <w:adjustRightInd w:val="0"/>
        <w:spacing w:after="0" w:line="360" w:lineRule="auto"/>
        <w:rPr>
          <w:rFonts w:cs="Tahoma"/>
          <w:iCs/>
          <w:color w:val="000000"/>
          <w:szCs w:val="24"/>
          <w:lang w:val="es-ES_tradnl"/>
        </w:rPr>
      </w:pPr>
    </w:p>
    <w:p w14:paraId="01914021" w14:textId="65B1EB50" w:rsidR="00715F1E" w:rsidRPr="005F7DA4" w:rsidRDefault="00CE3EC7" w:rsidP="00CE3EC7">
      <w:pPr>
        <w:spacing w:after="0" w:line="360" w:lineRule="auto"/>
        <w:rPr>
          <w:rFonts w:eastAsia="Batang" w:cs="Tahoma"/>
          <w:bCs/>
          <w:color w:val="auto"/>
          <w:lang w:val="es-ES" w:eastAsia="en-US"/>
        </w:rPr>
      </w:pPr>
      <w:r w:rsidRPr="005F7DA4">
        <w:rPr>
          <w:rFonts w:eastAsia="Batang" w:cs="Tahoma"/>
          <w:bCs/>
          <w:color w:val="auto"/>
          <w:lang w:val="es-ES" w:eastAsia="en-US"/>
        </w:rPr>
        <w:t xml:space="preserve">En ese contexto, es de señalar que </w:t>
      </w:r>
      <w:r w:rsidRPr="005F7DA4">
        <w:rPr>
          <w:rFonts w:eastAsia="Batang" w:cs="Tahoma"/>
          <w:bCs/>
          <w:color w:val="auto"/>
          <w:lang w:eastAsia="en-US"/>
        </w:rPr>
        <w:t>Ayuntamiento de Toluca</w:t>
      </w:r>
      <w:r w:rsidRPr="005F7DA4">
        <w:rPr>
          <w:rFonts w:eastAsia="Batang" w:cs="Tahoma"/>
          <w:bCs/>
          <w:color w:val="auto"/>
          <w:lang w:val="es-ES" w:eastAsia="en-US"/>
        </w:rPr>
        <w:t xml:space="preserve"> no precisó de manera fundada y motivada las razones por las cuales, consideraba que los datos testados</w:t>
      </w:r>
      <w:r w:rsidRPr="005F7DA4">
        <w:rPr>
          <w:rFonts w:eastAsia="Batang" w:cs="Tahoma"/>
          <w:bCs/>
          <w:i/>
          <w:color w:val="auto"/>
          <w:lang w:val="es-ES" w:eastAsia="en-US"/>
        </w:rPr>
        <w:t xml:space="preserve"> </w:t>
      </w:r>
      <w:r w:rsidRPr="005F7DA4">
        <w:rPr>
          <w:rFonts w:eastAsia="Batang" w:cs="Tahoma"/>
          <w:bCs/>
          <w:color w:val="auto"/>
          <w:lang w:val="es-ES" w:eastAsia="en-US"/>
        </w:rPr>
        <w:t>eran clasificados; ni el Comité de Transparencia emitió el acuerdo que confirmará dicha circunstancia; por lo que, no se puede validar su clasificación.</w:t>
      </w:r>
    </w:p>
    <w:p w14:paraId="2BC4E99C" w14:textId="77777777" w:rsidR="00CE3EC7" w:rsidRPr="005F7DA4" w:rsidRDefault="00CE3EC7" w:rsidP="00CE3EC7">
      <w:pPr>
        <w:spacing w:after="0" w:line="360" w:lineRule="auto"/>
        <w:rPr>
          <w:rFonts w:eastAsia="Batang" w:cs="Tahoma"/>
          <w:bCs/>
          <w:color w:val="auto"/>
          <w:lang w:val="es-ES" w:eastAsia="en-US"/>
        </w:rPr>
      </w:pPr>
    </w:p>
    <w:p w14:paraId="67D9AC0F" w14:textId="4A49D3CC" w:rsidR="00CE3EC7" w:rsidRPr="005F7DA4" w:rsidRDefault="00CE3EC7" w:rsidP="00CE3EC7">
      <w:pPr>
        <w:spacing w:after="0" w:line="360" w:lineRule="auto"/>
        <w:rPr>
          <w:rFonts w:eastAsia="Batang" w:cs="Tahoma"/>
          <w:bCs/>
          <w:color w:val="auto"/>
          <w:lang w:val="es-ES" w:eastAsia="en-US"/>
        </w:rPr>
      </w:pPr>
      <w:r w:rsidRPr="005F7DA4">
        <w:rPr>
          <w:rFonts w:eastAsia="Batang" w:cs="Tahoma"/>
          <w:bCs/>
          <w:color w:val="auto"/>
          <w:lang w:val="es-ES" w:eastAsia="en-US"/>
        </w:rPr>
        <w:t xml:space="preserve">Lo cual toma relevancia, pues por lo que hace al número de expediente y número de oficio localizados en las Actas, por sí solos, no constituyen información confidencial, ni sensible, ya que se trata únicamente </w:t>
      </w:r>
      <w:r w:rsidR="00784B84" w:rsidRPr="005F7DA4">
        <w:rPr>
          <w:rFonts w:eastAsia="Batang" w:cs="Tahoma"/>
          <w:bCs/>
          <w:color w:val="auto"/>
          <w:lang w:val="es-ES" w:eastAsia="en-US"/>
        </w:rPr>
        <w:t>de una serie de dígitos alfanuméricos que sirven para identificar un asunto en específico dentro de la institución; por lo que, dichos datos no revelan, ni permite inferir datos o información del contenido del expediente, ni información clasificable, de tal suerte que no proceda su clasificación.</w:t>
      </w:r>
    </w:p>
    <w:p w14:paraId="2EFB35EA" w14:textId="77777777" w:rsidR="00784B84" w:rsidRPr="005F7DA4" w:rsidRDefault="00784B84" w:rsidP="00CE3EC7">
      <w:pPr>
        <w:spacing w:after="0" w:line="360" w:lineRule="auto"/>
        <w:rPr>
          <w:rFonts w:eastAsia="Batang" w:cs="Tahoma"/>
          <w:bCs/>
          <w:color w:val="auto"/>
          <w:lang w:val="es-ES" w:eastAsia="en-US"/>
        </w:rPr>
      </w:pPr>
    </w:p>
    <w:p w14:paraId="672D5C71" w14:textId="7E177639" w:rsidR="00784B84" w:rsidRPr="005F7DA4" w:rsidRDefault="00784B84" w:rsidP="00CE3EC7">
      <w:pPr>
        <w:spacing w:after="0" w:line="360" w:lineRule="auto"/>
        <w:rPr>
          <w:rFonts w:eastAsia="Batang" w:cs="Tahoma"/>
          <w:bCs/>
          <w:color w:val="auto"/>
          <w:lang w:val="es-ES" w:eastAsia="en-US"/>
        </w:rPr>
      </w:pPr>
      <w:r w:rsidRPr="005F7DA4">
        <w:rPr>
          <w:rFonts w:eastAsia="Batang" w:cs="Tahoma"/>
          <w:bCs/>
          <w:color w:val="auto"/>
          <w:lang w:val="es-ES" w:eastAsia="en-US"/>
        </w:rPr>
        <w:t>Ahora bien, por lo que hace al nombre y ubicación de cementerios, es de señalar que estos no constituyen información clasificada, que se trata de datos de carácter generar, de acceso público y de interés social o comunitario, pues en estos espacios, al ser bienes inmuebles destinados a la disposición final de restos humanos, forman parte del ordenamiento territorial y urbano.</w:t>
      </w:r>
    </w:p>
    <w:p w14:paraId="02CBD004" w14:textId="77777777" w:rsidR="00784B84" w:rsidRPr="005F7DA4" w:rsidRDefault="00784B84" w:rsidP="00CE3EC7">
      <w:pPr>
        <w:spacing w:after="0" w:line="360" w:lineRule="auto"/>
        <w:rPr>
          <w:rFonts w:eastAsia="Batang" w:cs="Tahoma"/>
          <w:bCs/>
          <w:color w:val="auto"/>
          <w:lang w:val="es-ES" w:eastAsia="en-US"/>
        </w:rPr>
      </w:pPr>
    </w:p>
    <w:p w14:paraId="43987FFD" w14:textId="32762F5E" w:rsidR="00784B84" w:rsidRPr="005F7DA4" w:rsidRDefault="00784B84" w:rsidP="00CE3EC7">
      <w:pPr>
        <w:spacing w:after="0" w:line="360" w:lineRule="auto"/>
        <w:rPr>
          <w:rFonts w:eastAsia="Batang" w:cs="Tahoma"/>
          <w:bCs/>
          <w:color w:val="auto"/>
          <w:lang w:val="es-ES" w:eastAsia="en-US"/>
        </w:rPr>
      </w:pPr>
      <w:r w:rsidRPr="005F7DA4">
        <w:rPr>
          <w:rFonts w:eastAsia="Batang" w:cs="Tahoma"/>
          <w:bCs/>
          <w:color w:val="auto"/>
          <w:lang w:val="es-ES" w:eastAsia="en-US"/>
        </w:rPr>
        <w:lastRenderedPageBreak/>
        <w:t>Además, la publicidad de dicha información es necesario para facilitar el acceso a la ciudadanía a dichos espacios; asimismo su divulgación no compromete la seguridad, ni la vida o salud de las personas, ni da acceso a datos personales, por lo que, no existe alguna justificación para clasificar dicha información.</w:t>
      </w:r>
    </w:p>
    <w:p w14:paraId="621C0ACA" w14:textId="77777777" w:rsidR="00784B84" w:rsidRPr="005F7DA4" w:rsidRDefault="00784B84" w:rsidP="00CE3EC7">
      <w:pPr>
        <w:spacing w:after="0" w:line="360" w:lineRule="auto"/>
        <w:rPr>
          <w:rFonts w:eastAsia="Batang" w:cs="Tahoma"/>
          <w:bCs/>
          <w:color w:val="auto"/>
          <w:lang w:val="es-ES" w:eastAsia="en-US"/>
        </w:rPr>
      </w:pPr>
    </w:p>
    <w:p w14:paraId="153A914A" w14:textId="638BC579" w:rsidR="00784B84" w:rsidRPr="005F7DA4" w:rsidRDefault="00784B84" w:rsidP="00CE3EC7">
      <w:pPr>
        <w:spacing w:after="0" w:line="360" w:lineRule="auto"/>
        <w:rPr>
          <w:rFonts w:eastAsia="Batang" w:cs="Tahoma"/>
          <w:bCs/>
          <w:color w:val="auto"/>
          <w:lang w:val="es-ES" w:eastAsia="en-US"/>
        </w:rPr>
      </w:pPr>
      <w:r w:rsidRPr="005F7DA4">
        <w:rPr>
          <w:rFonts w:eastAsia="Batang" w:cs="Tahoma"/>
          <w:bCs/>
          <w:color w:val="auto"/>
          <w:lang w:val="es-ES" w:eastAsia="en-US"/>
        </w:rPr>
        <w:t>Finalmente, los datos de</w:t>
      </w:r>
      <w:r w:rsidR="00E2593F" w:rsidRPr="005F7DA4">
        <w:rPr>
          <w:rFonts w:eastAsia="Batang" w:cs="Tahoma"/>
          <w:bCs/>
          <w:color w:val="auto"/>
          <w:lang w:val="es-ES" w:eastAsia="en-US"/>
        </w:rPr>
        <w:t xml:space="preserve"> predios de la Universidad Autónoma del Estado de México, tales como la clave catastral y situación jurídica (montos de pago del impuesto predial y descuentos aplicados), no se considera clasificado, ya que se refieren a bienes del patrimonio de una institución pública, cuya gestión debe regirse por los principios de transparencia, rendición de cuentas y legalidad. Además, que los datos en cuestión permiten verificar la localización del inmueble (clave catastral), los recursos que pagará la Universidad al Ayuntamiento, por concepto de impuesto predial, y lo que dejará de percibir por los descuentos aplicados, lo cual rinde cuentas tanto de los recursos públicos que eroga una institución pública, como los que recibe y deje de percibir por la aplicación de descuentos, por lo que, tampoco procede su clasificación.</w:t>
      </w:r>
    </w:p>
    <w:p w14:paraId="7AC64B7C" w14:textId="77777777" w:rsidR="00784B84" w:rsidRPr="005F7DA4" w:rsidRDefault="00784B84" w:rsidP="00CE3EC7">
      <w:pPr>
        <w:spacing w:after="0" w:line="360" w:lineRule="auto"/>
        <w:rPr>
          <w:color w:val="auto"/>
          <w:lang w:eastAsia="es-ES"/>
        </w:rPr>
      </w:pPr>
    </w:p>
    <w:p w14:paraId="62592192" w14:textId="497D92C9" w:rsidR="005A42D8" w:rsidRPr="005F7DA4" w:rsidRDefault="005A42D8" w:rsidP="000837C4">
      <w:pPr>
        <w:widowControl w:val="0"/>
        <w:spacing w:after="0" w:line="360" w:lineRule="auto"/>
        <w:rPr>
          <w:color w:val="000000"/>
        </w:rPr>
      </w:pPr>
      <w:r w:rsidRPr="005F7DA4">
        <w:rPr>
          <w:color w:val="auto"/>
          <w:lang w:eastAsia="es-ES"/>
        </w:rPr>
        <w:t xml:space="preserve">De tal circunstancia, se </w:t>
      </w:r>
      <w:r w:rsidR="00EB39AF" w:rsidRPr="005F7DA4">
        <w:rPr>
          <w:color w:val="auto"/>
          <w:lang w:eastAsia="es-ES"/>
        </w:rPr>
        <w:t>considera que desde respuesta el Ayuntamiento de Toluca proporcionó la expresión documental que atiende el requerimiento de información</w:t>
      </w:r>
      <w:r w:rsidR="00B44943" w:rsidRPr="005F7DA4">
        <w:rPr>
          <w:color w:val="auto"/>
          <w:lang w:eastAsia="es-ES"/>
        </w:rPr>
        <w:t xml:space="preserve">, </w:t>
      </w:r>
      <w:r w:rsidR="00E2593F" w:rsidRPr="005F7DA4">
        <w:rPr>
          <w:rFonts w:cs="Tahoma"/>
        </w:rPr>
        <w:t xml:space="preserve">sin embargo, proporcionó dos Actas en versión pública, en donde testó datos de naturaleza pública, lo cual da como resultado que el agravio sea </w:t>
      </w:r>
      <w:r w:rsidR="00E2593F" w:rsidRPr="005F7DA4">
        <w:rPr>
          <w:rFonts w:cs="Tahoma"/>
          <w:b/>
          <w:bCs/>
        </w:rPr>
        <w:t>PARCIALMENTE FUNDADO</w:t>
      </w:r>
      <w:r w:rsidR="00E2593F" w:rsidRPr="005F7DA4">
        <w:rPr>
          <w:rFonts w:cs="Tahoma"/>
        </w:rPr>
        <w:t>, por lo que, para anteder el requerimiento de información deberá entregar dichas documentales en versión íntegra.</w:t>
      </w:r>
    </w:p>
    <w:p w14:paraId="0D645222" w14:textId="0F11E12C" w:rsidR="00247679" w:rsidRPr="005F7DA4" w:rsidRDefault="00247679" w:rsidP="000837C4">
      <w:pPr>
        <w:spacing w:after="0" w:line="360" w:lineRule="auto"/>
        <w:rPr>
          <w:color w:val="000000"/>
        </w:rPr>
      </w:pPr>
    </w:p>
    <w:p w14:paraId="1EC38DFA" w14:textId="1FB2182E" w:rsidR="0093706C" w:rsidRPr="005F7DA4" w:rsidRDefault="00B44943" w:rsidP="00B44943">
      <w:pPr>
        <w:pStyle w:val="Ttulo2"/>
        <w:spacing w:before="0" w:after="0"/>
      </w:pPr>
      <w:bookmarkStart w:id="22" w:name="_Toc209097417"/>
      <w:r w:rsidRPr="005F7DA4">
        <w:t>SEXTO. Decisión</w:t>
      </w:r>
      <w:bookmarkEnd w:id="22"/>
    </w:p>
    <w:p w14:paraId="0BBE80AC" w14:textId="77777777" w:rsidR="00E2593F" w:rsidRPr="005F7DA4" w:rsidRDefault="00E2593F" w:rsidP="00E2593F"/>
    <w:p w14:paraId="4729830D" w14:textId="2C32D513" w:rsidR="00E2593F" w:rsidRPr="005F7DA4" w:rsidRDefault="00E2593F" w:rsidP="00E2593F">
      <w:pPr>
        <w:spacing w:after="0" w:line="360" w:lineRule="auto"/>
        <w:rPr>
          <w:rFonts w:cs="Tahoma"/>
        </w:rPr>
      </w:pPr>
      <w:r w:rsidRPr="005F7DA4">
        <w:rPr>
          <w:rFonts w:cs="Tahoma"/>
        </w:rPr>
        <w:t xml:space="preserve">Con fundamento en el artículo 186, fracción III, de la Ley de Transparencia y Acceso a la Información Pública del Estado de México y Municipios, este Instituto considera procedente </w:t>
      </w:r>
      <w:r w:rsidRPr="005F7DA4">
        <w:rPr>
          <w:b/>
          <w:bCs/>
        </w:rPr>
        <w:lastRenderedPageBreak/>
        <w:t xml:space="preserve">MODIFICAR </w:t>
      </w:r>
      <w:r w:rsidRPr="005F7DA4">
        <w:rPr>
          <w:rFonts w:cs="Tahoma"/>
        </w:rPr>
        <w:t xml:space="preserve"> la respuesta otorgada por el Sujeto Obligado, a efecto de que entregue, las actas en versión íntegra.</w:t>
      </w:r>
    </w:p>
    <w:p w14:paraId="1E9568A9" w14:textId="77777777" w:rsidR="00E2593F" w:rsidRPr="005F7DA4" w:rsidRDefault="00E2593F" w:rsidP="00E2593F">
      <w:pPr>
        <w:spacing w:after="0" w:line="360" w:lineRule="auto"/>
        <w:rPr>
          <w:rFonts w:cs="Tahoma"/>
        </w:rPr>
      </w:pPr>
    </w:p>
    <w:p w14:paraId="64DCD430" w14:textId="7F4BF2E4" w:rsidR="00E2593F" w:rsidRPr="005F7DA4" w:rsidRDefault="00E2593F" w:rsidP="00E2593F">
      <w:pPr>
        <w:spacing w:after="0" w:line="360" w:lineRule="auto"/>
        <w:contextualSpacing/>
        <w:rPr>
          <w:rFonts w:eastAsia="Calibri" w:cs="Tahoma"/>
          <w:b/>
          <w:bCs/>
          <w:lang w:eastAsia="en-US"/>
        </w:rPr>
      </w:pPr>
      <w:r w:rsidRPr="005F7DA4">
        <w:rPr>
          <w:rFonts w:eastAsia="Calibri" w:cs="Tahoma"/>
          <w:b/>
          <w:bCs/>
          <w:lang w:eastAsia="en-US"/>
        </w:rPr>
        <w:t>Términos de la Resolución p</w:t>
      </w:r>
      <w:r w:rsidR="005F7DA4">
        <w:rPr>
          <w:rFonts w:eastAsia="Calibri" w:cs="Tahoma"/>
          <w:b/>
          <w:bCs/>
          <w:lang w:eastAsia="en-US"/>
        </w:rPr>
        <w:t>ara conocimiento del Particular</w:t>
      </w:r>
    </w:p>
    <w:p w14:paraId="06C52981" w14:textId="77777777" w:rsidR="00E2593F" w:rsidRPr="005F7DA4" w:rsidRDefault="00E2593F" w:rsidP="00E2593F">
      <w:pPr>
        <w:spacing w:after="0" w:line="360" w:lineRule="auto"/>
        <w:contextualSpacing/>
        <w:rPr>
          <w:rFonts w:eastAsia="Calibri" w:cs="Tahoma"/>
          <w:b/>
          <w:bCs/>
          <w:lang w:eastAsia="en-US"/>
        </w:rPr>
      </w:pPr>
    </w:p>
    <w:p w14:paraId="78EE9498" w14:textId="10A5A9F0" w:rsidR="00B44943" w:rsidRPr="005F7DA4" w:rsidRDefault="00E2593F" w:rsidP="00E2593F">
      <w:pPr>
        <w:spacing w:after="0" w:line="360" w:lineRule="auto"/>
        <w:rPr>
          <w:rFonts w:eastAsia="Calibri" w:cs="Tahoma"/>
          <w:bCs/>
          <w:iCs/>
          <w:color w:val="auto"/>
          <w:lang w:val="es-ES_tradnl"/>
        </w:rPr>
      </w:pPr>
      <w:r w:rsidRPr="005F7DA4">
        <w:t xml:space="preserve">Se le hace del conocimiento a la persona Recurrente que, en el presente asunto, se le da parcialmente la razón, pues el Sujeto Obligado si bien entregó la información que daba cuenta de lo peticionado, lo cierto es que la proporcionó testado datos públicos, por lo que, deberá entregarle las actas de forma idónea. </w:t>
      </w:r>
      <w:r w:rsidR="00B44943" w:rsidRPr="005F7DA4">
        <w:rPr>
          <w:rFonts w:eastAsia="Calibri" w:cs="Tahoma"/>
          <w:bCs/>
          <w:iCs/>
          <w:color w:val="auto"/>
          <w:lang w:val="es-ES_tradnl"/>
        </w:rPr>
        <w:t>Finalmente, se le hace del conocimiento al Particular que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3883796D" w14:textId="77777777" w:rsidR="00DB2E59" w:rsidRPr="005F7DA4" w:rsidRDefault="00DB2E59" w:rsidP="000837C4">
      <w:pPr>
        <w:spacing w:after="0" w:line="360" w:lineRule="auto"/>
        <w:ind w:right="-28"/>
        <w:rPr>
          <w:rFonts w:eastAsia="Calibri" w:cs="Tahoma"/>
        </w:rPr>
      </w:pPr>
    </w:p>
    <w:p w14:paraId="001142A1" w14:textId="77777777" w:rsidR="00CE58A5" w:rsidRPr="005F7DA4" w:rsidRDefault="00CE4466" w:rsidP="000837C4">
      <w:pPr>
        <w:spacing w:after="0" w:line="360" w:lineRule="auto"/>
        <w:rPr>
          <w:color w:val="000000"/>
        </w:rPr>
      </w:pPr>
      <w:r w:rsidRPr="005F7DA4">
        <w:t>Por</w:t>
      </w:r>
      <w:r w:rsidRPr="005F7DA4">
        <w:rPr>
          <w:color w:val="000000"/>
        </w:rPr>
        <w:t xml:space="preserve"> lo expuesto y fundado, este Pleno:</w:t>
      </w:r>
    </w:p>
    <w:p w14:paraId="3135DA7A" w14:textId="77777777" w:rsidR="00CE58A5" w:rsidRPr="005F7DA4" w:rsidRDefault="00CE58A5" w:rsidP="000837C4">
      <w:pPr>
        <w:spacing w:after="0" w:line="360" w:lineRule="auto"/>
        <w:rPr>
          <w:color w:val="000000"/>
        </w:rPr>
      </w:pPr>
    </w:p>
    <w:p w14:paraId="7A0B58CE" w14:textId="552315FF" w:rsidR="00CE58A5" w:rsidRPr="005F7DA4" w:rsidRDefault="00CE4466" w:rsidP="000837C4">
      <w:pPr>
        <w:pStyle w:val="Ttulo1"/>
        <w:spacing w:before="0" w:after="0"/>
      </w:pPr>
      <w:bookmarkStart w:id="23" w:name="_Toc179975608"/>
      <w:bookmarkStart w:id="24" w:name="_Toc209097418"/>
      <w:r w:rsidRPr="005F7DA4">
        <w:t>R E S U E L V E</w:t>
      </w:r>
      <w:bookmarkEnd w:id="23"/>
      <w:bookmarkEnd w:id="24"/>
    </w:p>
    <w:p w14:paraId="205AC030" w14:textId="77777777" w:rsidR="00CE58A5" w:rsidRPr="005F7DA4" w:rsidRDefault="00CE58A5" w:rsidP="000837C4">
      <w:pPr>
        <w:spacing w:after="0" w:line="360" w:lineRule="auto"/>
        <w:rPr>
          <w:b/>
          <w:color w:val="000000"/>
        </w:rPr>
      </w:pPr>
    </w:p>
    <w:p w14:paraId="593D09CE" w14:textId="45B4941E" w:rsidR="00E2593F" w:rsidRPr="005F7DA4" w:rsidRDefault="00E2593F" w:rsidP="00E2593F">
      <w:pPr>
        <w:spacing w:after="0" w:line="360" w:lineRule="auto"/>
        <w:rPr>
          <w:rFonts w:cs="Tahoma"/>
        </w:rPr>
      </w:pPr>
      <w:r w:rsidRPr="005F7DA4">
        <w:rPr>
          <w:rFonts w:eastAsia="Calibri" w:cs="Tahoma"/>
          <w:b/>
          <w:iCs/>
          <w:lang w:eastAsia="en-US"/>
        </w:rPr>
        <w:t>PRIMERO.</w:t>
      </w:r>
      <w:r w:rsidRPr="005F7DA4">
        <w:rPr>
          <w:rFonts w:eastAsia="Calibri" w:cs="Tahoma"/>
          <w:bCs/>
          <w:iCs/>
          <w:lang w:eastAsia="en-US"/>
        </w:rPr>
        <w:t xml:space="preserve"> </w:t>
      </w:r>
      <w:r w:rsidRPr="005F7DA4">
        <w:t xml:space="preserve">Se </w:t>
      </w:r>
      <w:r w:rsidRPr="005F7DA4">
        <w:rPr>
          <w:b/>
        </w:rPr>
        <w:t xml:space="preserve">MODIFICA </w:t>
      </w:r>
      <w:r w:rsidRPr="005F7DA4">
        <w:t xml:space="preserve">la respuesta entregada por el Ayuntamiento de </w:t>
      </w:r>
      <w:r w:rsidR="00837C39" w:rsidRPr="005F7DA4">
        <w:t>Toluca</w:t>
      </w:r>
      <w:r w:rsidRPr="005F7DA4">
        <w:t>, a la solicitud de información</w:t>
      </w:r>
      <w:r w:rsidRPr="005F7DA4">
        <w:rPr>
          <w:rFonts w:cs="Tahoma"/>
        </w:rPr>
        <w:t xml:space="preserve"> </w:t>
      </w:r>
      <w:r w:rsidRPr="005F7DA4">
        <w:rPr>
          <w:bCs/>
          <w:color w:val="000000"/>
          <w:lang w:eastAsia="es-ES"/>
        </w:rPr>
        <w:t>01968/TOLUCA/IP/2025</w:t>
      </w:r>
      <w:r w:rsidRPr="005F7DA4">
        <w:rPr>
          <w:bCs/>
          <w:color w:val="000000"/>
        </w:rPr>
        <w:t>,</w:t>
      </w:r>
      <w:r w:rsidRPr="005F7DA4">
        <w:t xml:space="preserve"> por resultar </w:t>
      </w:r>
      <w:r w:rsidRPr="005F7DA4">
        <w:rPr>
          <w:b/>
          <w:bCs/>
        </w:rPr>
        <w:t>FUNDADAS</w:t>
      </w:r>
      <w:r w:rsidRPr="005F7DA4">
        <w:rPr>
          <w:b/>
        </w:rPr>
        <w:t xml:space="preserve"> </w:t>
      </w:r>
      <w:r w:rsidRPr="005F7DA4">
        <w:t>las razones o motivos de inconformidad hechos valer por la persona Recurrente, en términos de los considerandos QUINTO y SEXTO de la presente Resolución.</w:t>
      </w:r>
    </w:p>
    <w:p w14:paraId="15ADF8F5" w14:textId="77777777" w:rsidR="00E2593F" w:rsidRPr="005F7DA4" w:rsidRDefault="00E2593F" w:rsidP="00E2593F">
      <w:pPr>
        <w:spacing w:after="0" w:line="360" w:lineRule="auto"/>
        <w:contextualSpacing/>
        <w:rPr>
          <w:rFonts w:eastAsia="Calibri" w:cs="Tahoma"/>
          <w:bCs/>
          <w:iCs/>
          <w:lang w:eastAsia="en-US"/>
        </w:rPr>
      </w:pPr>
    </w:p>
    <w:p w14:paraId="12919B35" w14:textId="17E83AD9" w:rsidR="00E2593F" w:rsidRPr="005F7DA4" w:rsidRDefault="00E2593F" w:rsidP="00E2593F">
      <w:pPr>
        <w:spacing w:after="0" w:line="360" w:lineRule="auto"/>
        <w:ind w:right="-30"/>
        <w:textAlignment w:val="baseline"/>
        <w:rPr>
          <w:rFonts w:eastAsia="Times New Roman" w:cs="Times New Roman"/>
          <w:szCs w:val="24"/>
          <w:lang w:eastAsia="en-US"/>
        </w:rPr>
      </w:pPr>
      <w:r w:rsidRPr="005F7DA4">
        <w:rPr>
          <w:b/>
          <w:lang w:eastAsia="en-US"/>
        </w:rPr>
        <w:t xml:space="preserve">SEGUNDO. </w:t>
      </w:r>
      <w:r w:rsidRPr="005F7DA4">
        <w:rPr>
          <w:lang w:eastAsia="en-US"/>
        </w:rPr>
        <w:t xml:space="preserve">Se </w:t>
      </w:r>
      <w:r w:rsidRPr="005F7DA4">
        <w:rPr>
          <w:b/>
          <w:lang w:eastAsia="en-US"/>
        </w:rPr>
        <w:t>ORDENA</w:t>
      </w:r>
      <w:r w:rsidRPr="005F7DA4">
        <w:rPr>
          <w:lang w:eastAsia="en-US"/>
        </w:rPr>
        <w:t xml:space="preserve"> al Sujeto Obligado</w:t>
      </w:r>
      <w:r w:rsidRPr="005F7DA4">
        <w:rPr>
          <w:b/>
          <w:lang w:eastAsia="en-US"/>
        </w:rPr>
        <w:t xml:space="preserve">, </w:t>
      </w:r>
      <w:r w:rsidRPr="005F7DA4">
        <w:rPr>
          <w:lang w:eastAsia="en-US"/>
        </w:rPr>
        <w:t>a efecto de que entregue a través del Sistema de Acceso a la Información Mexiquense (SAIMEX), en versión íntegra, l</w:t>
      </w:r>
      <w:r w:rsidRPr="005F7DA4">
        <w:rPr>
          <w:rFonts w:eastAsia="Times New Roman" w:cs="Times New Roman"/>
          <w:szCs w:val="24"/>
          <w:lang w:eastAsia="en-US"/>
        </w:rPr>
        <w:t xml:space="preserve">as Actas de la Primera y Segunda Sesión Extraordinaria de la Comisión de Hacienda (Ingresos), proporcionadas en respuesta. </w:t>
      </w:r>
    </w:p>
    <w:p w14:paraId="76FC03B0" w14:textId="77777777" w:rsidR="00E2593F" w:rsidRPr="005F7DA4" w:rsidRDefault="00E2593F" w:rsidP="00E2593F">
      <w:pPr>
        <w:spacing w:after="0" w:line="360" w:lineRule="auto"/>
        <w:ind w:left="720" w:right="-30"/>
        <w:contextualSpacing/>
        <w:textAlignment w:val="baseline"/>
        <w:rPr>
          <w:rFonts w:eastAsia="Times New Roman" w:cs="Times New Roman"/>
          <w:szCs w:val="24"/>
          <w:lang w:eastAsia="en-US"/>
        </w:rPr>
      </w:pPr>
    </w:p>
    <w:p w14:paraId="7015E866" w14:textId="4E24731F" w:rsidR="00E2593F" w:rsidRPr="005F7DA4" w:rsidRDefault="00E2593F" w:rsidP="00E2593F">
      <w:pPr>
        <w:spacing w:after="0" w:line="360" w:lineRule="auto"/>
        <w:ind w:right="-28"/>
        <w:rPr>
          <w:color w:val="000000"/>
        </w:rPr>
      </w:pPr>
      <w:r w:rsidRPr="005F7DA4">
        <w:rPr>
          <w:b/>
        </w:rPr>
        <w:lastRenderedPageBreak/>
        <w:t xml:space="preserve">TERCERO. NOTIFÍQUESE VÍA SAIMEX </w:t>
      </w:r>
      <w:r w:rsidRPr="005F7DA4">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r w:rsidRPr="005F7DA4">
        <w:rPr>
          <w:color w:val="000000"/>
        </w:rPr>
        <w:t>De conformidad con el artículo 198 de la Ley referida, de considerarlo procedente, el Sujeto Obligado de manera fundada y motivada, podrá solicitar una ampliación de plazo para el cumplimiento de la presente resolución.</w:t>
      </w:r>
    </w:p>
    <w:p w14:paraId="13817DC7" w14:textId="77777777" w:rsidR="00E2593F" w:rsidRPr="005F7DA4" w:rsidRDefault="00E2593F" w:rsidP="00E2593F">
      <w:pPr>
        <w:spacing w:after="0" w:line="360" w:lineRule="auto"/>
        <w:rPr>
          <w:color w:val="000000"/>
        </w:rPr>
      </w:pPr>
    </w:p>
    <w:p w14:paraId="69C30459" w14:textId="77777777" w:rsidR="00E2593F" w:rsidRPr="005F7DA4" w:rsidRDefault="00E2593F" w:rsidP="00E2593F">
      <w:pPr>
        <w:spacing w:after="0" w:line="360" w:lineRule="auto"/>
        <w:ind w:right="-93"/>
        <w:rPr>
          <w:rFonts w:cs="Tahoma"/>
          <w:lang w:eastAsia="en-US"/>
        </w:rPr>
      </w:pPr>
      <w:r w:rsidRPr="005F7DA4">
        <w:rPr>
          <w:b/>
          <w:bCs/>
          <w:color w:val="000000"/>
          <w:lang w:eastAsia="en-US"/>
        </w:rPr>
        <w:t xml:space="preserve">CUARTO. </w:t>
      </w:r>
      <w:r w:rsidRPr="005F7DA4">
        <w:rPr>
          <w:b/>
        </w:rPr>
        <w:t>NOTIFÍQUESE VÍA SAIMEX</w:t>
      </w:r>
      <w:r w:rsidRPr="005F7DA4">
        <w:rPr>
          <w:color w:val="000000"/>
          <w:lang w:eastAsia="en-US"/>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1EB1C1" w14:textId="77777777" w:rsidR="00F03AF0" w:rsidRPr="005F7DA4" w:rsidRDefault="00F03AF0" w:rsidP="000837C4">
      <w:pPr>
        <w:spacing w:after="0" w:line="360" w:lineRule="auto"/>
        <w:rPr>
          <w:color w:val="000000"/>
        </w:rPr>
      </w:pPr>
    </w:p>
    <w:p w14:paraId="3B12E1AE" w14:textId="0749E0B4" w:rsidR="00CE58A5" w:rsidRDefault="00CE4466" w:rsidP="000837C4">
      <w:pPr>
        <w:spacing w:after="0" w:line="360" w:lineRule="auto"/>
      </w:pPr>
      <w:r w:rsidRPr="005F7DA4">
        <w:t xml:space="preserve">ASÍ LO RESUELVE, POR </w:t>
      </w:r>
      <w:r w:rsidRPr="005F7DA4">
        <w:rPr>
          <w:b/>
        </w:rPr>
        <w:t>UNANIMIDAD</w:t>
      </w:r>
      <w:r w:rsidRPr="005F7DA4">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87A48" w:rsidRPr="005F7DA4">
        <w:t xml:space="preserve"> (AUSENCIA JUSTIFICADA)</w:t>
      </w:r>
      <w:r w:rsidRPr="005F7DA4">
        <w:t xml:space="preserve">, LUIS GUSTAVO PARRA NORIEGA </w:t>
      </w:r>
      <w:r w:rsidR="00802E3A" w:rsidRPr="005F7DA4">
        <w:t xml:space="preserve">Y GUADALUPE RAMÍREZ PEÑA, EN LA </w:t>
      </w:r>
      <w:r w:rsidR="00702624">
        <w:t>TRIGÉ</w:t>
      </w:r>
      <w:r w:rsidR="0001389A" w:rsidRPr="005F7DA4">
        <w:t>SIMA TERCERA</w:t>
      </w:r>
      <w:r w:rsidR="00802E3A" w:rsidRPr="005F7DA4">
        <w:t xml:space="preserve"> </w:t>
      </w:r>
      <w:r w:rsidRPr="005F7DA4">
        <w:t xml:space="preserve">SESIÓN ORDINARIA, CELEBRADA EL </w:t>
      </w:r>
      <w:r w:rsidR="0001389A" w:rsidRPr="005F7DA4">
        <w:t>DIECIOCHO DE SEPTIEMBRE</w:t>
      </w:r>
      <w:r w:rsidR="00275206" w:rsidRPr="005F7DA4">
        <w:t xml:space="preserve"> DE DOS MIL VEINTICINCO</w:t>
      </w:r>
      <w:r w:rsidR="00802E3A" w:rsidRPr="005F7DA4">
        <w:t xml:space="preserve">, ANTE </w:t>
      </w:r>
      <w:r w:rsidRPr="005F7DA4">
        <w:t>EL SECRETARIO TÉCNICO DEL PLENO, ALEXIS TAPIA RAMÍREZ.</w:t>
      </w:r>
    </w:p>
    <w:p w14:paraId="5E68A960" w14:textId="77777777" w:rsidR="00CE58A5" w:rsidRDefault="00CE4466" w:rsidP="000837C4">
      <w:pPr>
        <w:spacing w:after="0" w:line="360" w:lineRule="auto"/>
        <w:jc w:val="left"/>
      </w:pPr>
      <w:r>
        <w:br w:type="page"/>
      </w:r>
    </w:p>
    <w:sectPr w:rsidR="00CE58A5" w:rsidSect="00CE4466">
      <w:headerReference w:type="even" r:id="rId13"/>
      <w:headerReference w:type="default" r:id="rId14"/>
      <w:footerReference w:type="even" r:id="rId15"/>
      <w:footerReference w:type="default" r:id="rId16"/>
      <w:headerReference w:type="first" r:id="rId17"/>
      <w:footerReference w:type="first" r:id="rId18"/>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5DEA" w14:textId="77777777" w:rsidR="004A7066" w:rsidRDefault="004A7066">
      <w:pPr>
        <w:spacing w:after="0" w:line="240" w:lineRule="auto"/>
      </w:pPr>
      <w:r>
        <w:separator/>
      </w:r>
    </w:p>
  </w:endnote>
  <w:endnote w:type="continuationSeparator" w:id="0">
    <w:p w14:paraId="7D71A3DB" w14:textId="77777777" w:rsidR="004A7066" w:rsidRDefault="004A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715F1E" w:rsidRDefault="00715F1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35C">
      <w:rPr>
        <w:b/>
        <w:noProof/>
        <w:color w:val="000000"/>
        <w:sz w:val="24"/>
        <w:szCs w:val="24"/>
      </w:rPr>
      <w:t>22</w:t>
    </w:r>
    <w:r>
      <w:rPr>
        <w:b/>
        <w:color w:val="000000"/>
        <w:sz w:val="24"/>
        <w:szCs w:val="24"/>
      </w:rPr>
      <w:fldChar w:fldCharType="end"/>
    </w:r>
  </w:p>
  <w:p w14:paraId="547C391C" w14:textId="77777777" w:rsidR="00715F1E" w:rsidRDefault="00715F1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715F1E" w:rsidRDefault="00715F1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335C">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35C">
      <w:rPr>
        <w:b/>
        <w:noProof/>
        <w:color w:val="000000"/>
        <w:sz w:val="24"/>
        <w:szCs w:val="24"/>
      </w:rPr>
      <w:t>22</w:t>
    </w:r>
    <w:r>
      <w:rPr>
        <w:b/>
        <w:color w:val="000000"/>
        <w:sz w:val="24"/>
        <w:szCs w:val="24"/>
      </w:rPr>
      <w:fldChar w:fldCharType="end"/>
    </w:r>
  </w:p>
  <w:p w14:paraId="021EE9EB" w14:textId="77777777" w:rsidR="00715F1E" w:rsidRDefault="00715F1E">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715F1E" w:rsidRDefault="00715F1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335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35C">
      <w:rPr>
        <w:b/>
        <w:noProof/>
        <w:color w:val="000000"/>
        <w:sz w:val="24"/>
        <w:szCs w:val="24"/>
      </w:rPr>
      <w:t>22</w:t>
    </w:r>
    <w:r>
      <w:rPr>
        <w:b/>
        <w:color w:val="000000"/>
        <w:sz w:val="24"/>
        <w:szCs w:val="24"/>
      </w:rPr>
      <w:fldChar w:fldCharType="end"/>
    </w:r>
  </w:p>
  <w:p w14:paraId="23D55011" w14:textId="77777777" w:rsidR="00715F1E" w:rsidRDefault="00715F1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7D19" w14:textId="77777777" w:rsidR="004A7066" w:rsidRDefault="004A7066">
      <w:pPr>
        <w:spacing w:after="0" w:line="240" w:lineRule="auto"/>
      </w:pPr>
      <w:r>
        <w:separator/>
      </w:r>
    </w:p>
  </w:footnote>
  <w:footnote w:type="continuationSeparator" w:id="0">
    <w:p w14:paraId="10531111" w14:textId="77777777" w:rsidR="004A7066" w:rsidRDefault="004A7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715F1E" w:rsidRDefault="00715F1E">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715F1E" w14:paraId="4913F089" w14:textId="77777777">
      <w:trPr>
        <w:trHeight w:val="141"/>
      </w:trPr>
      <w:tc>
        <w:tcPr>
          <w:tcW w:w="2404" w:type="dxa"/>
        </w:tcPr>
        <w:p w14:paraId="1D800919" w14:textId="77777777" w:rsidR="00715F1E" w:rsidRDefault="00715F1E">
          <w:pPr>
            <w:tabs>
              <w:tab w:val="right" w:pos="8838"/>
            </w:tabs>
            <w:ind w:right="-105"/>
            <w:rPr>
              <w:b/>
            </w:rPr>
          </w:pPr>
          <w:r>
            <w:rPr>
              <w:b/>
            </w:rPr>
            <w:t>Recurso de Revisión:</w:t>
          </w:r>
        </w:p>
      </w:tc>
      <w:tc>
        <w:tcPr>
          <w:tcW w:w="3587" w:type="dxa"/>
        </w:tcPr>
        <w:p w14:paraId="53E9BD67" w14:textId="77777777" w:rsidR="00715F1E" w:rsidRDefault="00715F1E">
          <w:pPr>
            <w:tabs>
              <w:tab w:val="right" w:pos="8838"/>
            </w:tabs>
            <w:ind w:left="-28" w:right="683"/>
          </w:pPr>
          <w:r>
            <w:t>04196/INFOEM/IP/RR/2020</w:t>
          </w:r>
        </w:p>
      </w:tc>
    </w:tr>
    <w:tr w:rsidR="00715F1E" w14:paraId="515F523A" w14:textId="77777777">
      <w:trPr>
        <w:trHeight w:val="276"/>
      </w:trPr>
      <w:tc>
        <w:tcPr>
          <w:tcW w:w="2404" w:type="dxa"/>
        </w:tcPr>
        <w:p w14:paraId="1CFF82A0" w14:textId="77777777" w:rsidR="00715F1E" w:rsidRDefault="00715F1E">
          <w:pPr>
            <w:tabs>
              <w:tab w:val="right" w:pos="8838"/>
            </w:tabs>
            <w:ind w:right="-105"/>
            <w:rPr>
              <w:b/>
            </w:rPr>
          </w:pPr>
          <w:r>
            <w:rPr>
              <w:b/>
            </w:rPr>
            <w:t>Sujeto Obligado:</w:t>
          </w:r>
        </w:p>
      </w:tc>
      <w:tc>
        <w:tcPr>
          <w:tcW w:w="3587" w:type="dxa"/>
        </w:tcPr>
        <w:p w14:paraId="1142F936" w14:textId="77777777" w:rsidR="00715F1E" w:rsidRDefault="00715F1E">
          <w:pPr>
            <w:tabs>
              <w:tab w:val="right" w:pos="8838"/>
            </w:tabs>
            <w:ind w:right="116"/>
          </w:pPr>
          <w:r>
            <w:t>Ayuntamiento de Chapultepec</w:t>
          </w:r>
        </w:p>
      </w:tc>
    </w:tr>
    <w:tr w:rsidR="00715F1E" w14:paraId="69080D23" w14:textId="77777777">
      <w:trPr>
        <w:trHeight w:val="276"/>
      </w:trPr>
      <w:tc>
        <w:tcPr>
          <w:tcW w:w="2404" w:type="dxa"/>
        </w:tcPr>
        <w:p w14:paraId="50E24B18" w14:textId="77777777" w:rsidR="00715F1E" w:rsidRDefault="00715F1E">
          <w:pPr>
            <w:tabs>
              <w:tab w:val="right" w:pos="8838"/>
            </w:tabs>
            <w:ind w:right="-105"/>
            <w:rPr>
              <w:b/>
            </w:rPr>
          </w:pPr>
          <w:r>
            <w:rPr>
              <w:b/>
            </w:rPr>
            <w:t>Comisionado Ponente:</w:t>
          </w:r>
        </w:p>
      </w:tc>
      <w:tc>
        <w:tcPr>
          <w:tcW w:w="3587" w:type="dxa"/>
        </w:tcPr>
        <w:p w14:paraId="1467B143" w14:textId="77777777" w:rsidR="00715F1E" w:rsidRDefault="00715F1E">
          <w:pPr>
            <w:tabs>
              <w:tab w:val="right" w:pos="8838"/>
            </w:tabs>
            <w:ind w:right="-32"/>
          </w:pPr>
          <w:r>
            <w:t>Luis Gustavo Parra Noriega</w:t>
          </w:r>
        </w:p>
      </w:tc>
    </w:tr>
  </w:tbl>
  <w:p w14:paraId="74ECE196" w14:textId="77777777" w:rsidR="00715F1E"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77777777" w:rsidR="00715F1E" w:rsidRDefault="00715F1E">
    <w:pPr>
      <w:rPr>
        <w:sz w:val="16"/>
        <w:szCs w:val="16"/>
      </w:rPr>
    </w:pPr>
  </w:p>
  <w:tbl>
    <w:tblPr>
      <w:tblStyle w:val="a"/>
      <w:tblW w:w="708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715F1E" w14:paraId="087E2B73" w14:textId="77777777">
      <w:trPr>
        <w:trHeight w:val="141"/>
      </w:trPr>
      <w:tc>
        <w:tcPr>
          <w:tcW w:w="2404" w:type="dxa"/>
        </w:tcPr>
        <w:p w14:paraId="44594EC4" w14:textId="77777777" w:rsidR="00715F1E" w:rsidRDefault="00715F1E">
          <w:pPr>
            <w:tabs>
              <w:tab w:val="right" w:pos="8838"/>
            </w:tabs>
            <w:ind w:left="-395" w:right="-105" w:firstLine="395"/>
            <w:rPr>
              <w:b/>
            </w:rPr>
          </w:pPr>
          <w:r>
            <w:rPr>
              <w:b/>
            </w:rPr>
            <w:t>Recurso de Revisión:</w:t>
          </w:r>
        </w:p>
      </w:tc>
      <w:tc>
        <w:tcPr>
          <w:tcW w:w="4684" w:type="dxa"/>
        </w:tcPr>
        <w:p w14:paraId="312F8E98" w14:textId="4DD8B1BD" w:rsidR="00715F1E" w:rsidRDefault="00715F1E" w:rsidP="00672439">
          <w:pPr>
            <w:tabs>
              <w:tab w:val="right" w:pos="8838"/>
            </w:tabs>
            <w:ind w:left="-28" w:right="454"/>
          </w:pPr>
          <w:r>
            <w:t>04941/INFOEM/IP/RR/2025</w:t>
          </w:r>
        </w:p>
      </w:tc>
    </w:tr>
    <w:tr w:rsidR="00715F1E" w14:paraId="31D07777" w14:textId="77777777">
      <w:trPr>
        <w:trHeight w:val="276"/>
      </w:trPr>
      <w:tc>
        <w:tcPr>
          <w:tcW w:w="2404" w:type="dxa"/>
        </w:tcPr>
        <w:p w14:paraId="6B55802A" w14:textId="77777777" w:rsidR="00715F1E" w:rsidRDefault="00715F1E">
          <w:pPr>
            <w:tabs>
              <w:tab w:val="right" w:pos="8838"/>
            </w:tabs>
            <w:ind w:right="-105"/>
            <w:rPr>
              <w:b/>
            </w:rPr>
          </w:pPr>
          <w:r>
            <w:rPr>
              <w:b/>
            </w:rPr>
            <w:t>Sujeto Obligado:</w:t>
          </w:r>
        </w:p>
      </w:tc>
      <w:tc>
        <w:tcPr>
          <w:tcW w:w="4684" w:type="dxa"/>
        </w:tcPr>
        <w:p w14:paraId="4A22BD99" w14:textId="25821444" w:rsidR="00715F1E" w:rsidRDefault="00715F1E">
          <w:pPr>
            <w:tabs>
              <w:tab w:val="left" w:pos="3158"/>
              <w:tab w:val="left" w:pos="4292"/>
              <w:tab w:val="right" w:pos="8838"/>
            </w:tabs>
            <w:ind w:right="601"/>
          </w:pPr>
          <w:r w:rsidRPr="00D12BA1">
            <w:t>Ayuntamiento de Toluca</w:t>
          </w:r>
        </w:p>
      </w:tc>
    </w:tr>
    <w:tr w:rsidR="00715F1E" w14:paraId="161D40C6" w14:textId="77777777">
      <w:trPr>
        <w:trHeight w:val="276"/>
      </w:trPr>
      <w:tc>
        <w:tcPr>
          <w:tcW w:w="2404" w:type="dxa"/>
        </w:tcPr>
        <w:p w14:paraId="2583E4C0" w14:textId="77777777" w:rsidR="00715F1E" w:rsidRDefault="00715F1E">
          <w:pPr>
            <w:tabs>
              <w:tab w:val="right" w:pos="8838"/>
            </w:tabs>
            <w:ind w:right="-105"/>
            <w:rPr>
              <w:b/>
            </w:rPr>
          </w:pPr>
          <w:r>
            <w:rPr>
              <w:b/>
            </w:rPr>
            <w:t>Comisionado Ponente:</w:t>
          </w:r>
        </w:p>
      </w:tc>
      <w:tc>
        <w:tcPr>
          <w:tcW w:w="4684" w:type="dxa"/>
        </w:tcPr>
        <w:p w14:paraId="4FEB6F64" w14:textId="77777777" w:rsidR="00715F1E" w:rsidRDefault="00715F1E">
          <w:pPr>
            <w:tabs>
              <w:tab w:val="right" w:pos="8838"/>
            </w:tabs>
            <w:ind w:right="454"/>
          </w:pPr>
          <w:r>
            <w:t>Luis Gustavo Parra Noriega</w:t>
          </w:r>
        </w:p>
      </w:tc>
    </w:tr>
  </w:tbl>
  <w:p w14:paraId="7B4A9F8D" w14:textId="77777777" w:rsidR="00715F1E"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355" w14:textId="5E7C8ED4" w:rsidR="00715F1E" w:rsidRDefault="00715F1E">
    <w:pPr>
      <w:widowControl w:val="0"/>
      <w:pBdr>
        <w:top w:val="nil"/>
        <w:left w:val="nil"/>
        <w:bottom w:val="nil"/>
        <w:right w:val="nil"/>
        <w:between w:val="nil"/>
      </w:pBdr>
      <w:spacing w:after="0" w:line="276" w:lineRule="auto"/>
      <w:jc w:val="left"/>
      <w:rPr>
        <w:color w:val="000000"/>
      </w:rPr>
    </w:pPr>
  </w:p>
  <w:tbl>
    <w:tblPr>
      <w:tblStyle w:val="a1"/>
      <w:tblW w:w="9214" w:type="dxa"/>
      <w:tblInd w:w="0" w:type="dxa"/>
      <w:tblLayout w:type="fixed"/>
      <w:tblLook w:val="0400" w:firstRow="0" w:lastRow="0" w:firstColumn="0" w:lastColumn="0" w:noHBand="0" w:noVBand="1"/>
    </w:tblPr>
    <w:tblGrid>
      <w:gridCol w:w="2127"/>
      <w:gridCol w:w="7087"/>
    </w:tblGrid>
    <w:tr w:rsidR="00715F1E" w14:paraId="11A312BD" w14:textId="77777777" w:rsidTr="00CE4466">
      <w:trPr>
        <w:trHeight w:val="1546"/>
      </w:trPr>
      <w:tc>
        <w:tcPr>
          <w:tcW w:w="2127" w:type="dxa"/>
        </w:tcPr>
        <w:p w14:paraId="02785A7F" w14:textId="6B804231" w:rsidR="00715F1E" w:rsidRDefault="00000000">
          <w:pPr>
            <w:tabs>
              <w:tab w:val="right" w:pos="4273"/>
            </w:tabs>
            <w:rPr>
              <w:rFonts w:ascii="Garamond" w:eastAsia="Garamond" w:hAnsi="Garamond" w:cs="Garamond"/>
              <w:sz w:val="16"/>
              <w:szCs w:val="16"/>
            </w:rPr>
          </w:pPr>
          <w:r>
            <w:rPr>
              <w:color w:val="000000"/>
            </w:rPr>
            <w:pict w14:anchorId="02FEA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MARCA DE AGUA - HOJA RESOLUCIÓN" style="position:absolute;left:0;text-align:left;margin-left:0;margin-top:0;width:663.5pt;height:12in;z-index:-251655680;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c>
      <w:tc>
        <w:tcPr>
          <w:tcW w:w="7087" w:type="dxa"/>
        </w:tcPr>
        <w:tbl>
          <w:tblPr>
            <w:tblStyle w:val="a2"/>
            <w:tblW w:w="6379" w:type="dxa"/>
            <w:tblInd w:w="1725"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715F1E" w14:paraId="4D093FE8" w14:textId="77777777" w:rsidTr="002F6A92">
            <w:trPr>
              <w:trHeight w:val="141"/>
            </w:trPr>
            <w:tc>
              <w:tcPr>
                <w:tcW w:w="2404" w:type="dxa"/>
                <w:vAlign w:val="bottom"/>
              </w:tcPr>
              <w:p w14:paraId="19B4B05D" w14:textId="77777777" w:rsidR="00715F1E" w:rsidRDefault="00715F1E">
                <w:pPr>
                  <w:tabs>
                    <w:tab w:val="right" w:pos="8838"/>
                  </w:tabs>
                  <w:ind w:right="-105"/>
                  <w:rPr>
                    <w:b/>
                  </w:rPr>
                </w:pPr>
                <w:r>
                  <w:rPr>
                    <w:b/>
                  </w:rPr>
                  <w:t>Recurso de Revisión:</w:t>
                </w:r>
              </w:p>
            </w:tc>
            <w:tc>
              <w:tcPr>
                <w:tcW w:w="3975" w:type="dxa"/>
              </w:tcPr>
              <w:p w14:paraId="43DE950F" w14:textId="3FBA92F0" w:rsidR="00715F1E" w:rsidRDefault="00715F1E">
                <w:pPr>
                  <w:tabs>
                    <w:tab w:val="right" w:pos="8838"/>
                  </w:tabs>
                  <w:ind w:left="-28" w:right="-107"/>
                </w:pPr>
                <w:r>
                  <w:t>04941/INFOEM/IP/RR/2025</w:t>
                </w:r>
              </w:p>
            </w:tc>
          </w:tr>
          <w:tr w:rsidR="00715F1E" w14:paraId="073EAE42" w14:textId="77777777" w:rsidTr="002F6A92">
            <w:trPr>
              <w:trHeight w:val="141"/>
            </w:trPr>
            <w:tc>
              <w:tcPr>
                <w:tcW w:w="2404" w:type="dxa"/>
              </w:tcPr>
              <w:p w14:paraId="76E590DA" w14:textId="77777777" w:rsidR="00715F1E" w:rsidRDefault="00715F1E">
                <w:pPr>
                  <w:tabs>
                    <w:tab w:val="right" w:pos="8838"/>
                  </w:tabs>
                  <w:ind w:right="-105"/>
                  <w:rPr>
                    <w:b/>
                  </w:rPr>
                </w:pPr>
                <w:r>
                  <w:rPr>
                    <w:b/>
                  </w:rPr>
                  <w:t>Recurrente:</w:t>
                </w:r>
              </w:p>
            </w:tc>
            <w:tc>
              <w:tcPr>
                <w:tcW w:w="3975" w:type="dxa"/>
              </w:tcPr>
              <w:p w14:paraId="5FF2F8C6" w14:textId="1D6FDDE1" w:rsidR="00715F1E" w:rsidRDefault="00715F1E">
                <w:pPr>
                  <w:tabs>
                    <w:tab w:val="right" w:pos="8838"/>
                  </w:tabs>
                  <w:ind w:right="-107"/>
                </w:pPr>
              </w:p>
            </w:tc>
          </w:tr>
          <w:tr w:rsidR="00715F1E" w14:paraId="009C2510" w14:textId="77777777" w:rsidTr="002F6A92">
            <w:trPr>
              <w:trHeight w:val="276"/>
            </w:trPr>
            <w:tc>
              <w:tcPr>
                <w:tcW w:w="2404" w:type="dxa"/>
              </w:tcPr>
              <w:p w14:paraId="0AAFC3CA" w14:textId="77777777" w:rsidR="00715F1E" w:rsidRDefault="00715F1E">
                <w:pPr>
                  <w:tabs>
                    <w:tab w:val="right" w:pos="8838"/>
                  </w:tabs>
                  <w:ind w:right="-105"/>
                  <w:rPr>
                    <w:b/>
                  </w:rPr>
                </w:pPr>
                <w:r>
                  <w:rPr>
                    <w:b/>
                  </w:rPr>
                  <w:t>Sujeto Obligado:</w:t>
                </w:r>
              </w:p>
            </w:tc>
            <w:tc>
              <w:tcPr>
                <w:tcW w:w="3975" w:type="dxa"/>
              </w:tcPr>
              <w:p w14:paraId="13F6DD80" w14:textId="5A3D0421" w:rsidR="00715F1E" w:rsidRDefault="00715F1E">
                <w:pPr>
                  <w:tabs>
                    <w:tab w:val="right" w:pos="8838"/>
                  </w:tabs>
                  <w:ind w:right="33"/>
                </w:pPr>
                <w:r w:rsidRPr="00D12BA1">
                  <w:t>Ayuntamiento de Toluca</w:t>
                </w:r>
              </w:p>
            </w:tc>
          </w:tr>
          <w:tr w:rsidR="00715F1E" w14:paraId="7A4EADF6" w14:textId="77777777" w:rsidTr="002F6A92">
            <w:trPr>
              <w:trHeight w:val="276"/>
            </w:trPr>
            <w:tc>
              <w:tcPr>
                <w:tcW w:w="2404" w:type="dxa"/>
              </w:tcPr>
              <w:p w14:paraId="014674B7" w14:textId="77777777" w:rsidR="00715F1E" w:rsidRDefault="00715F1E">
                <w:pPr>
                  <w:tabs>
                    <w:tab w:val="right" w:pos="8838"/>
                  </w:tabs>
                  <w:ind w:right="-105"/>
                  <w:rPr>
                    <w:b/>
                  </w:rPr>
                </w:pPr>
                <w:r>
                  <w:rPr>
                    <w:b/>
                  </w:rPr>
                  <w:t>Comisionado Ponente:</w:t>
                </w:r>
              </w:p>
            </w:tc>
            <w:tc>
              <w:tcPr>
                <w:tcW w:w="3975" w:type="dxa"/>
              </w:tcPr>
              <w:p w14:paraId="06F82FCE" w14:textId="77777777" w:rsidR="00715F1E" w:rsidRDefault="00715F1E">
                <w:pPr>
                  <w:tabs>
                    <w:tab w:val="right" w:pos="8838"/>
                  </w:tabs>
                  <w:ind w:right="-107"/>
                </w:pPr>
                <w:r>
                  <w:t>Luis Gustavo Parra Noriega</w:t>
                </w:r>
              </w:p>
            </w:tc>
          </w:tr>
        </w:tbl>
        <w:p w14:paraId="3774A9CE" w14:textId="77777777" w:rsidR="00715F1E" w:rsidRDefault="00715F1E">
          <w:pPr>
            <w:tabs>
              <w:tab w:val="right" w:pos="8838"/>
            </w:tabs>
            <w:ind w:left="-28"/>
            <w:rPr>
              <w:rFonts w:ascii="Arial" w:eastAsia="Arial" w:hAnsi="Arial" w:cs="Arial"/>
              <w:b/>
            </w:rPr>
          </w:pPr>
        </w:p>
      </w:tc>
    </w:tr>
  </w:tbl>
  <w:p w14:paraId="38129A67" w14:textId="248B6D27" w:rsidR="00715F1E" w:rsidRDefault="00715F1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012520F"/>
    <w:multiLevelType w:val="hybridMultilevel"/>
    <w:tmpl w:val="AB9E66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5DA1E8C"/>
    <w:multiLevelType w:val="hybridMultilevel"/>
    <w:tmpl w:val="2DD6E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9FC7CE3"/>
    <w:multiLevelType w:val="hybridMultilevel"/>
    <w:tmpl w:val="BAFAA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1C0229A"/>
    <w:multiLevelType w:val="hybridMultilevel"/>
    <w:tmpl w:val="15BC47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6683252">
    <w:abstractNumId w:val="22"/>
  </w:num>
  <w:num w:numId="2" w16cid:durableId="114444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7112491">
    <w:abstractNumId w:val="27"/>
  </w:num>
  <w:num w:numId="4" w16cid:durableId="2031565999">
    <w:abstractNumId w:val="2"/>
  </w:num>
  <w:num w:numId="5" w16cid:durableId="310982569">
    <w:abstractNumId w:val="2"/>
  </w:num>
  <w:num w:numId="6" w16cid:durableId="1284848371">
    <w:abstractNumId w:val="26"/>
  </w:num>
  <w:num w:numId="7" w16cid:durableId="1198422659">
    <w:abstractNumId w:val="3"/>
  </w:num>
  <w:num w:numId="8" w16cid:durableId="1096092286">
    <w:abstractNumId w:val="15"/>
  </w:num>
  <w:num w:numId="9" w16cid:durableId="1882784120">
    <w:abstractNumId w:val="12"/>
  </w:num>
  <w:num w:numId="10" w16cid:durableId="607935087">
    <w:abstractNumId w:val="16"/>
  </w:num>
  <w:num w:numId="11" w16cid:durableId="607389250">
    <w:abstractNumId w:val="14"/>
  </w:num>
  <w:num w:numId="12" w16cid:durableId="1481192102">
    <w:abstractNumId w:val="4"/>
  </w:num>
  <w:num w:numId="13" w16cid:durableId="2028485143">
    <w:abstractNumId w:val="0"/>
  </w:num>
  <w:num w:numId="14" w16cid:durableId="88238068">
    <w:abstractNumId w:val="7"/>
  </w:num>
  <w:num w:numId="15" w16cid:durableId="1028680074">
    <w:abstractNumId w:val="9"/>
  </w:num>
  <w:num w:numId="16" w16cid:durableId="1596091066">
    <w:abstractNumId w:val="21"/>
  </w:num>
  <w:num w:numId="17" w16cid:durableId="2145079213">
    <w:abstractNumId w:val="20"/>
  </w:num>
  <w:num w:numId="18" w16cid:durableId="1675834938">
    <w:abstractNumId w:val="5"/>
  </w:num>
  <w:num w:numId="19" w16cid:durableId="1497191133">
    <w:abstractNumId w:val="13"/>
  </w:num>
  <w:num w:numId="20" w16cid:durableId="1610045574">
    <w:abstractNumId w:val="19"/>
  </w:num>
  <w:num w:numId="21" w16cid:durableId="1310859878">
    <w:abstractNumId w:val="25"/>
  </w:num>
  <w:num w:numId="22" w16cid:durableId="13909616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9170235">
    <w:abstractNumId w:val="18"/>
  </w:num>
  <w:num w:numId="24" w16cid:durableId="818961958">
    <w:abstractNumId w:val="11"/>
  </w:num>
  <w:num w:numId="25" w16cid:durableId="587617714">
    <w:abstractNumId w:val="1"/>
  </w:num>
  <w:num w:numId="26" w16cid:durableId="1800688478">
    <w:abstractNumId w:val="6"/>
  </w:num>
  <w:num w:numId="27" w16cid:durableId="789474940">
    <w:abstractNumId w:val="17"/>
  </w:num>
  <w:num w:numId="28" w16cid:durableId="1813712149">
    <w:abstractNumId w:val="10"/>
  </w:num>
  <w:num w:numId="29" w16cid:durableId="1527937643">
    <w:abstractNumId w:val="23"/>
  </w:num>
  <w:num w:numId="30" w16cid:durableId="1124695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03D45"/>
    <w:rsid w:val="0001121A"/>
    <w:rsid w:val="0001389A"/>
    <w:rsid w:val="00030A14"/>
    <w:rsid w:val="0003121B"/>
    <w:rsid w:val="000333F3"/>
    <w:rsid w:val="000352B7"/>
    <w:rsid w:val="00036E9A"/>
    <w:rsid w:val="00061E62"/>
    <w:rsid w:val="000620C8"/>
    <w:rsid w:val="000678E8"/>
    <w:rsid w:val="000837C4"/>
    <w:rsid w:val="0008574F"/>
    <w:rsid w:val="000A5247"/>
    <w:rsid w:val="000C03C1"/>
    <w:rsid w:val="000C30C0"/>
    <w:rsid w:val="000C455C"/>
    <w:rsid w:val="000C49FA"/>
    <w:rsid w:val="000E51A2"/>
    <w:rsid w:val="000F1C66"/>
    <w:rsid w:val="001112B3"/>
    <w:rsid w:val="00116267"/>
    <w:rsid w:val="00123ED6"/>
    <w:rsid w:val="00152404"/>
    <w:rsid w:val="001544A8"/>
    <w:rsid w:val="001A043A"/>
    <w:rsid w:val="001A3FA2"/>
    <w:rsid w:val="001A4D72"/>
    <w:rsid w:val="001A518F"/>
    <w:rsid w:val="001A54EF"/>
    <w:rsid w:val="001B2B90"/>
    <w:rsid w:val="001C3D22"/>
    <w:rsid w:val="001D35AE"/>
    <w:rsid w:val="001E3BEF"/>
    <w:rsid w:val="001E6E5F"/>
    <w:rsid w:val="001F1666"/>
    <w:rsid w:val="001F7131"/>
    <w:rsid w:val="00200A8D"/>
    <w:rsid w:val="00201106"/>
    <w:rsid w:val="0020603E"/>
    <w:rsid w:val="00227BE3"/>
    <w:rsid w:val="00247679"/>
    <w:rsid w:val="0026093C"/>
    <w:rsid w:val="0026142D"/>
    <w:rsid w:val="00267D04"/>
    <w:rsid w:val="00271EEF"/>
    <w:rsid w:val="0027405F"/>
    <w:rsid w:val="0027513C"/>
    <w:rsid w:val="00275206"/>
    <w:rsid w:val="00281A8C"/>
    <w:rsid w:val="002A1E5F"/>
    <w:rsid w:val="002A4B9F"/>
    <w:rsid w:val="002B3613"/>
    <w:rsid w:val="002B77FE"/>
    <w:rsid w:val="002D0172"/>
    <w:rsid w:val="002D4685"/>
    <w:rsid w:val="002D7EEC"/>
    <w:rsid w:val="002E2DE0"/>
    <w:rsid w:val="002F6A92"/>
    <w:rsid w:val="0030191A"/>
    <w:rsid w:val="00321F56"/>
    <w:rsid w:val="003313D5"/>
    <w:rsid w:val="003444F8"/>
    <w:rsid w:val="00352DFA"/>
    <w:rsid w:val="00355945"/>
    <w:rsid w:val="00372769"/>
    <w:rsid w:val="0038068D"/>
    <w:rsid w:val="0038597C"/>
    <w:rsid w:val="003A6BE7"/>
    <w:rsid w:val="003B0222"/>
    <w:rsid w:val="003D1D15"/>
    <w:rsid w:val="00400449"/>
    <w:rsid w:val="00416366"/>
    <w:rsid w:val="00426B99"/>
    <w:rsid w:val="00432851"/>
    <w:rsid w:val="0045203D"/>
    <w:rsid w:val="00464E39"/>
    <w:rsid w:val="0046624D"/>
    <w:rsid w:val="00473F99"/>
    <w:rsid w:val="00480823"/>
    <w:rsid w:val="00482F65"/>
    <w:rsid w:val="00487A48"/>
    <w:rsid w:val="004952B7"/>
    <w:rsid w:val="004A7066"/>
    <w:rsid w:val="004B2592"/>
    <w:rsid w:val="004B503B"/>
    <w:rsid w:val="004B77C7"/>
    <w:rsid w:val="004C4B87"/>
    <w:rsid w:val="004D37D8"/>
    <w:rsid w:val="004D6AC0"/>
    <w:rsid w:val="004E16CA"/>
    <w:rsid w:val="00500D89"/>
    <w:rsid w:val="005041FF"/>
    <w:rsid w:val="0050758D"/>
    <w:rsid w:val="00515931"/>
    <w:rsid w:val="00543995"/>
    <w:rsid w:val="00547998"/>
    <w:rsid w:val="005A42D8"/>
    <w:rsid w:val="005B5E7C"/>
    <w:rsid w:val="005C4CEA"/>
    <w:rsid w:val="005D7AEB"/>
    <w:rsid w:val="005E0B82"/>
    <w:rsid w:val="005F7DA4"/>
    <w:rsid w:val="00600C74"/>
    <w:rsid w:val="00603C0C"/>
    <w:rsid w:val="0060513D"/>
    <w:rsid w:val="006269DD"/>
    <w:rsid w:val="00647460"/>
    <w:rsid w:val="0064764C"/>
    <w:rsid w:val="006515E5"/>
    <w:rsid w:val="0065522B"/>
    <w:rsid w:val="00670439"/>
    <w:rsid w:val="00672439"/>
    <w:rsid w:val="00674D7A"/>
    <w:rsid w:val="006819BC"/>
    <w:rsid w:val="0068258C"/>
    <w:rsid w:val="00687F86"/>
    <w:rsid w:val="00690DEB"/>
    <w:rsid w:val="006C4DBF"/>
    <w:rsid w:val="006D2D64"/>
    <w:rsid w:val="006D4068"/>
    <w:rsid w:val="006E46EA"/>
    <w:rsid w:val="006E6C38"/>
    <w:rsid w:val="00702624"/>
    <w:rsid w:val="00715F1E"/>
    <w:rsid w:val="0073530E"/>
    <w:rsid w:val="00750C88"/>
    <w:rsid w:val="00752F6F"/>
    <w:rsid w:val="00760948"/>
    <w:rsid w:val="00760CA6"/>
    <w:rsid w:val="0076362A"/>
    <w:rsid w:val="0078202B"/>
    <w:rsid w:val="00784B84"/>
    <w:rsid w:val="00791585"/>
    <w:rsid w:val="007A54F7"/>
    <w:rsid w:val="007A5932"/>
    <w:rsid w:val="007D30CD"/>
    <w:rsid w:val="007E5D10"/>
    <w:rsid w:val="007F76D2"/>
    <w:rsid w:val="008022FE"/>
    <w:rsid w:val="00802E3A"/>
    <w:rsid w:val="008061A1"/>
    <w:rsid w:val="00827EA8"/>
    <w:rsid w:val="00830F3D"/>
    <w:rsid w:val="00836753"/>
    <w:rsid w:val="00837C39"/>
    <w:rsid w:val="00850D54"/>
    <w:rsid w:val="00851889"/>
    <w:rsid w:val="00855B99"/>
    <w:rsid w:val="00862C79"/>
    <w:rsid w:val="00874602"/>
    <w:rsid w:val="00876057"/>
    <w:rsid w:val="008854E3"/>
    <w:rsid w:val="00895704"/>
    <w:rsid w:val="00897C88"/>
    <w:rsid w:val="008A6CBA"/>
    <w:rsid w:val="008B1792"/>
    <w:rsid w:val="008C369E"/>
    <w:rsid w:val="00901916"/>
    <w:rsid w:val="0090345F"/>
    <w:rsid w:val="00921B80"/>
    <w:rsid w:val="00922619"/>
    <w:rsid w:val="00931903"/>
    <w:rsid w:val="00933D31"/>
    <w:rsid w:val="009354C9"/>
    <w:rsid w:val="0093706C"/>
    <w:rsid w:val="0098702F"/>
    <w:rsid w:val="009A0999"/>
    <w:rsid w:val="009C3A65"/>
    <w:rsid w:val="009D5DFC"/>
    <w:rsid w:val="009E143C"/>
    <w:rsid w:val="009F177B"/>
    <w:rsid w:val="009F4781"/>
    <w:rsid w:val="00A012C4"/>
    <w:rsid w:val="00A169B3"/>
    <w:rsid w:val="00A31D29"/>
    <w:rsid w:val="00A340DF"/>
    <w:rsid w:val="00A3628B"/>
    <w:rsid w:val="00A36580"/>
    <w:rsid w:val="00A50615"/>
    <w:rsid w:val="00A6353E"/>
    <w:rsid w:val="00A72A7D"/>
    <w:rsid w:val="00A7495B"/>
    <w:rsid w:val="00A8335C"/>
    <w:rsid w:val="00A876A7"/>
    <w:rsid w:val="00AA681D"/>
    <w:rsid w:val="00AB525A"/>
    <w:rsid w:val="00AE11A2"/>
    <w:rsid w:val="00AE68DB"/>
    <w:rsid w:val="00AF1546"/>
    <w:rsid w:val="00B12E36"/>
    <w:rsid w:val="00B2250B"/>
    <w:rsid w:val="00B40CD5"/>
    <w:rsid w:val="00B439A5"/>
    <w:rsid w:val="00B44943"/>
    <w:rsid w:val="00B46A70"/>
    <w:rsid w:val="00B574FD"/>
    <w:rsid w:val="00B662E6"/>
    <w:rsid w:val="00B663EA"/>
    <w:rsid w:val="00B91BCB"/>
    <w:rsid w:val="00B97C98"/>
    <w:rsid w:val="00BA1C09"/>
    <w:rsid w:val="00BA599A"/>
    <w:rsid w:val="00BA7CA9"/>
    <w:rsid w:val="00BC37F6"/>
    <w:rsid w:val="00BD5CCE"/>
    <w:rsid w:val="00BD76D4"/>
    <w:rsid w:val="00BF4381"/>
    <w:rsid w:val="00C13CA5"/>
    <w:rsid w:val="00C23341"/>
    <w:rsid w:val="00C30848"/>
    <w:rsid w:val="00C4170A"/>
    <w:rsid w:val="00C503C4"/>
    <w:rsid w:val="00C54A79"/>
    <w:rsid w:val="00C6112D"/>
    <w:rsid w:val="00C73479"/>
    <w:rsid w:val="00C74055"/>
    <w:rsid w:val="00C776C5"/>
    <w:rsid w:val="00C80616"/>
    <w:rsid w:val="00CA016E"/>
    <w:rsid w:val="00CA79CD"/>
    <w:rsid w:val="00CC263D"/>
    <w:rsid w:val="00CE19BD"/>
    <w:rsid w:val="00CE3B03"/>
    <w:rsid w:val="00CE3EC7"/>
    <w:rsid w:val="00CE4466"/>
    <w:rsid w:val="00CE58A5"/>
    <w:rsid w:val="00CF024F"/>
    <w:rsid w:val="00CF0CB5"/>
    <w:rsid w:val="00CF6E9D"/>
    <w:rsid w:val="00CF6EC8"/>
    <w:rsid w:val="00D11FDF"/>
    <w:rsid w:val="00D12BA1"/>
    <w:rsid w:val="00D21192"/>
    <w:rsid w:val="00D213E4"/>
    <w:rsid w:val="00D4464F"/>
    <w:rsid w:val="00D44EDE"/>
    <w:rsid w:val="00D457C1"/>
    <w:rsid w:val="00D51406"/>
    <w:rsid w:val="00D52F9F"/>
    <w:rsid w:val="00D7798F"/>
    <w:rsid w:val="00D93ABD"/>
    <w:rsid w:val="00DB2DF7"/>
    <w:rsid w:val="00DB2E59"/>
    <w:rsid w:val="00DB6EDB"/>
    <w:rsid w:val="00DD7C00"/>
    <w:rsid w:val="00DE3BBD"/>
    <w:rsid w:val="00DF6F15"/>
    <w:rsid w:val="00E03F94"/>
    <w:rsid w:val="00E2593F"/>
    <w:rsid w:val="00E27D46"/>
    <w:rsid w:val="00E51F39"/>
    <w:rsid w:val="00E57161"/>
    <w:rsid w:val="00E624D4"/>
    <w:rsid w:val="00E6706F"/>
    <w:rsid w:val="00E73EE5"/>
    <w:rsid w:val="00E763D9"/>
    <w:rsid w:val="00E87065"/>
    <w:rsid w:val="00E90F48"/>
    <w:rsid w:val="00EA18B6"/>
    <w:rsid w:val="00EB39AF"/>
    <w:rsid w:val="00EC2F43"/>
    <w:rsid w:val="00ED280F"/>
    <w:rsid w:val="00F01C4C"/>
    <w:rsid w:val="00F03AF0"/>
    <w:rsid w:val="00F04222"/>
    <w:rsid w:val="00F1744F"/>
    <w:rsid w:val="00F17F62"/>
    <w:rsid w:val="00F44355"/>
    <w:rsid w:val="00F64A35"/>
    <w:rsid w:val="00F84B60"/>
    <w:rsid w:val="00F8647F"/>
    <w:rsid w:val="00F97B6C"/>
    <w:rsid w:val="00FB5127"/>
    <w:rsid w:val="00FB5BD5"/>
    <w:rsid w:val="00FB6A6B"/>
    <w:rsid w:val="00FC14F1"/>
    <w:rsid w:val="00FD0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2.toluca.gob.mx/wp-content/uploads/2025/07/COMISIONES-EDILICIAS-2025.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2.toluca.gob.mx/wp-content/uploads/2025/01/02-2025-Gaceta-13-01-2025.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FB62D6DB-312F-4684-AA43-FFD4D24290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5379</Words>
  <Characters>29586</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Roxana Lechuga</cp:lastModifiedBy>
  <cp:revision>4</cp:revision>
  <cp:lastPrinted>2025-09-19T00:02:00Z</cp:lastPrinted>
  <dcterms:created xsi:type="dcterms:W3CDTF">2025-09-19T00:02:00Z</dcterms:created>
  <dcterms:modified xsi:type="dcterms:W3CDTF">2025-11-28T03:39:00Z</dcterms:modified>
</cp:coreProperties>
</file>