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605" w:rsidRPr="002A5014" w:rsidRDefault="00301111" w:rsidP="002A5014">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2A501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A5014" w:rsidRPr="002A5014">
        <w:rPr>
          <w:rFonts w:ascii="Palatino Linotype" w:eastAsia="Palatino Linotype" w:hAnsi="Palatino Linotype" w:cs="Palatino Linotype"/>
          <w:b/>
          <w:color w:val="000000" w:themeColor="text1"/>
        </w:rPr>
        <w:t>de fecha veinte (20) de noviembre de dos mil veinticinco</w:t>
      </w:r>
      <w:r w:rsidR="00D164A6" w:rsidRPr="002A5014">
        <w:rPr>
          <w:rFonts w:ascii="Palatino Linotype" w:eastAsia="Palatino Linotype" w:hAnsi="Palatino Linotype" w:cs="Palatino Linotype"/>
          <w:b/>
          <w:color w:val="000000" w:themeColor="text1"/>
        </w:rPr>
        <w:t>.</w:t>
      </w:r>
    </w:p>
    <w:p w:rsidR="007F0605" w:rsidRPr="002A5014" w:rsidRDefault="007F0605" w:rsidP="002A5014">
      <w:pPr>
        <w:tabs>
          <w:tab w:val="left" w:pos="3465"/>
        </w:tabs>
        <w:spacing w:line="360" w:lineRule="auto"/>
        <w:jc w:val="both"/>
        <w:rPr>
          <w:rFonts w:ascii="Palatino Linotype" w:eastAsia="Palatino Linotype" w:hAnsi="Palatino Linotype" w:cs="Palatino Linotype"/>
          <w:color w:val="000000" w:themeColor="text1"/>
        </w:rPr>
      </w:pPr>
    </w:p>
    <w:p w:rsidR="007F0605" w:rsidRPr="002A5014" w:rsidRDefault="00301111" w:rsidP="002A5014">
      <w:pPr>
        <w:spacing w:line="360" w:lineRule="auto"/>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b/>
          <w:color w:val="000000" w:themeColor="text1"/>
        </w:rPr>
        <w:t>VISTO</w:t>
      </w:r>
      <w:r w:rsidRPr="002A5014">
        <w:rPr>
          <w:rFonts w:ascii="Palatino Linotype" w:eastAsia="Palatino Linotype" w:hAnsi="Palatino Linotype" w:cs="Palatino Linotype"/>
          <w:color w:val="000000" w:themeColor="text1"/>
        </w:rPr>
        <w:t xml:space="preserve"> el expediente electrónico formado con</w:t>
      </w:r>
      <w:r w:rsidR="00D60033" w:rsidRPr="002A5014">
        <w:rPr>
          <w:rFonts w:ascii="Palatino Linotype" w:eastAsia="Palatino Linotype" w:hAnsi="Palatino Linotype" w:cs="Palatino Linotype"/>
          <w:color w:val="000000" w:themeColor="text1"/>
        </w:rPr>
        <w:t xml:space="preserve"> motivo del Recurso de Revisión </w:t>
      </w:r>
      <w:r w:rsidR="00BB1A94" w:rsidRPr="002A5014">
        <w:rPr>
          <w:rFonts w:ascii="Palatino Linotype" w:eastAsia="Palatino Linotype" w:hAnsi="Palatino Linotype" w:cs="Palatino Linotype"/>
          <w:b/>
          <w:bCs/>
          <w:color w:val="000000" w:themeColor="text1"/>
        </w:rPr>
        <w:t>08498</w:t>
      </w:r>
      <w:r w:rsidR="00D164A6" w:rsidRPr="002A5014">
        <w:rPr>
          <w:rFonts w:ascii="Palatino Linotype" w:eastAsia="Palatino Linotype" w:hAnsi="Palatino Linotype" w:cs="Palatino Linotype"/>
          <w:b/>
          <w:bCs/>
          <w:color w:val="000000" w:themeColor="text1"/>
        </w:rPr>
        <w:t>/INFOEM/IP/RR/2025</w:t>
      </w:r>
      <w:r w:rsidRPr="002A5014">
        <w:rPr>
          <w:rFonts w:ascii="Palatino Linotype" w:eastAsia="Palatino Linotype" w:hAnsi="Palatino Linotype" w:cs="Palatino Linotype"/>
          <w:color w:val="000000" w:themeColor="text1"/>
        </w:rPr>
        <w:t>,</w:t>
      </w:r>
      <w:r w:rsidRPr="002A5014">
        <w:rPr>
          <w:rFonts w:ascii="Palatino Linotype" w:eastAsia="Palatino Linotype" w:hAnsi="Palatino Linotype" w:cs="Palatino Linotype"/>
          <w:b/>
          <w:color w:val="000000" w:themeColor="text1"/>
        </w:rPr>
        <w:t xml:space="preserve"> </w:t>
      </w:r>
      <w:r w:rsidRPr="002A5014">
        <w:rPr>
          <w:rFonts w:ascii="Palatino Linotype" w:eastAsia="Palatino Linotype" w:hAnsi="Palatino Linotype" w:cs="Palatino Linotype"/>
          <w:color w:val="000000" w:themeColor="text1"/>
        </w:rPr>
        <w:t xml:space="preserve">promovido por </w:t>
      </w:r>
      <w:r w:rsidR="00974C79">
        <w:rPr>
          <w:rFonts w:ascii="Palatino Linotype" w:eastAsia="Palatino Linotype" w:hAnsi="Palatino Linotype" w:cs="Palatino Linotype"/>
          <w:b/>
          <w:bCs/>
          <w:color w:val="000000" w:themeColor="text1"/>
        </w:rPr>
        <w:t>XXXX</w:t>
      </w:r>
      <w:r w:rsidRPr="002A5014">
        <w:rPr>
          <w:rFonts w:ascii="Palatino Linotype" w:eastAsia="Palatino Linotype" w:hAnsi="Palatino Linotype" w:cs="Palatino Linotype"/>
          <w:color w:val="000000" w:themeColor="text1"/>
        </w:rPr>
        <w:t xml:space="preserve">, </w:t>
      </w:r>
      <w:r w:rsidR="00D46CC6">
        <w:rPr>
          <w:rFonts w:ascii="Palatino Linotype" w:eastAsia="Palatino Linotype" w:hAnsi="Palatino Linotype" w:cs="Palatino Linotype"/>
          <w:color w:val="000000" w:themeColor="text1"/>
        </w:rPr>
        <w:t xml:space="preserve">a quien en adelante denominaremos </w:t>
      </w:r>
      <w:r w:rsidR="00D46CC6" w:rsidRPr="00D46CC6">
        <w:rPr>
          <w:rFonts w:ascii="Palatino Linotype" w:eastAsia="Palatino Linotype" w:hAnsi="Palatino Linotype" w:cs="Palatino Linotype"/>
          <w:b/>
          <w:color w:val="000000" w:themeColor="text1"/>
        </w:rPr>
        <w:t>RECURRENTE</w:t>
      </w:r>
      <w:r w:rsidR="00D46CC6">
        <w:rPr>
          <w:rFonts w:ascii="Palatino Linotype" w:eastAsia="Palatino Linotype" w:hAnsi="Palatino Linotype" w:cs="Palatino Linotype"/>
          <w:color w:val="000000" w:themeColor="text1"/>
        </w:rPr>
        <w:t xml:space="preserve"> </w:t>
      </w:r>
      <w:r w:rsidRPr="002A5014">
        <w:rPr>
          <w:rFonts w:ascii="Palatino Linotype" w:eastAsia="Palatino Linotype" w:hAnsi="Palatino Linotype" w:cs="Palatino Linotype"/>
          <w:color w:val="000000" w:themeColor="text1"/>
        </w:rPr>
        <w:t xml:space="preserve">en contra de la respuesta </w:t>
      </w:r>
      <w:r w:rsidR="00FB6DBB" w:rsidRPr="002A5014">
        <w:rPr>
          <w:rFonts w:ascii="Palatino Linotype" w:eastAsia="Palatino Linotype" w:hAnsi="Palatino Linotype" w:cs="Palatino Linotype"/>
          <w:color w:val="000000" w:themeColor="text1"/>
        </w:rPr>
        <w:t xml:space="preserve">del </w:t>
      </w:r>
      <w:r w:rsidR="002979AB" w:rsidRPr="002A5014">
        <w:rPr>
          <w:rFonts w:ascii="Palatino Linotype" w:eastAsia="Palatino Linotype" w:hAnsi="Palatino Linotype" w:cs="Palatino Linotype"/>
          <w:b/>
          <w:color w:val="000000" w:themeColor="text1"/>
        </w:rPr>
        <w:t>Ayuntamiento de C</w:t>
      </w:r>
      <w:r w:rsidR="00BB1A94" w:rsidRPr="002A5014">
        <w:rPr>
          <w:rFonts w:ascii="Palatino Linotype" w:eastAsia="Palatino Linotype" w:hAnsi="Palatino Linotype" w:cs="Palatino Linotype"/>
          <w:b/>
          <w:color w:val="000000" w:themeColor="text1"/>
        </w:rPr>
        <w:t>hicoloapan</w:t>
      </w:r>
      <w:r w:rsidRPr="002A5014">
        <w:rPr>
          <w:rFonts w:ascii="Palatino Linotype" w:eastAsia="Palatino Linotype" w:hAnsi="Palatino Linotype" w:cs="Palatino Linotype"/>
          <w:b/>
          <w:color w:val="000000" w:themeColor="text1"/>
        </w:rPr>
        <w:t xml:space="preserve">, </w:t>
      </w:r>
      <w:r w:rsidRPr="002A5014">
        <w:rPr>
          <w:rFonts w:ascii="Palatino Linotype" w:eastAsia="Palatino Linotype" w:hAnsi="Palatino Linotype" w:cs="Palatino Linotype"/>
          <w:color w:val="000000" w:themeColor="text1"/>
        </w:rPr>
        <w:t>en lo sucesivo el</w:t>
      </w:r>
      <w:r w:rsidRPr="002A5014">
        <w:rPr>
          <w:rFonts w:ascii="Palatino Linotype" w:eastAsia="Palatino Linotype" w:hAnsi="Palatino Linotype" w:cs="Palatino Linotype"/>
          <w:b/>
          <w:color w:val="000000" w:themeColor="text1"/>
        </w:rPr>
        <w:t xml:space="preserve"> SUJETO OBLIGADO</w:t>
      </w:r>
      <w:r w:rsidRPr="002A5014">
        <w:rPr>
          <w:rFonts w:ascii="Palatino Linotype" w:eastAsia="Palatino Linotype" w:hAnsi="Palatino Linotype" w:cs="Palatino Linotype"/>
          <w:color w:val="000000" w:themeColor="text1"/>
        </w:rPr>
        <w:t>, se procede a dictar la presente Resolución, con base en los siguientes:</w:t>
      </w:r>
    </w:p>
    <w:p w:rsidR="007F0605" w:rsidRPr="002A5014" w:rsidRDefault="007F0605" w:rsidP="002A5014">
      <w:pPr>
        <w:jc w:val="both"/>
        <w:rPr>
          <w:rFonts w:ascii="Palatino Linotype" w:eastAsia="Palatino Linotype" w:hAnsi="Palatino Linotype" w:cs="Palatino Linotype"/>
          <w:color w:val="000000" w:themeColor="text1"/>
        </w:rPr>
      </w:pPr>
    </w:p>
    <w:p w:rsidR="007F0605" w:rsidRPr="002A5014" w:rsidRDefault="00301111" w:rsidP="002A501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blvvbtbyie5" w:colFirst="0" w:colLast="0"/>
      <w:bookmarkEnd w:id="1"/>
      <w:r w:rsidRPr="002A5014">
        <w:rPr>
          <w:rFonts w:ascii="Palatino Linotype" w:eastAsia="Palatino Linotype" w:hAnsi="Palatino Linotype" w:cs="Palatino Linotype"/>
          <w:b/>
          <w:color w:val="000000" w:themeColor="text1"/>
          <w:sz w:val="24"/>
          <w:szCs w:val="24"/>
        </w:rPr>
        <w:t>A</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N</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T</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E</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C</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E</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D</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E</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N</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T</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E</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S</w:t>
      </w:r>
    </w:p>
    <w:p w:rsidR="007F0605" w:rsidRPr="002A5014" w:rsidRDefault="007F0605" w:rsidP="002A5014">
      <w:pPr>
        <w:pBdr>
          <w:top w:val="nil"/>
          <w:left w:val="nil"/>
          <w:bottom w:val="nil"/>
          <w:right w:val="nil"/>
          <w:between w:val="nil"/>
        </w:pBdr>
        <w:jc w:val="both"/>
        <w:rPr>
          <w:rFonts w:ascii="Palatino Linotype" w:eastAsia="Palatino Linotype" w:hAnsi="Palatino Linotype" w:cs="Palatino Linotype"/>
          <w:color w:val="000000" w:themeColor="text1"/>
        </w:rPr>
      </w:pPr>
    </w:p>
    <w:p w:rsidR="007F0605" w:rsidRPr="002A5014" w:rsidRDefault="00D60033"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 xml:space="preserve">El </w:t>
      </w:r>
      <w:r w:rsidR="00BB1A94" w:rsidRPr="002A5014">
        <w:rPr>
          <w:rFonts w:ascii="Palatino Linotype" w:eastAsia="Palatino Linotype" w:hAnsi="Palatino Linotype" w:cs="Palatino Linotype"/>
          <w:b/>
          <w:color w:val="000000" w:themeColor="text1"/>
        </w:rPr>
        <w:t>veinte de junio</w:t>
      </w:r>
      <w:r w:rsidR="00D164A6" w:rsidRPr="002A5014">
        <w:rPr>
          <w:rFonts w:ascii="Palatino Linotype" w:eastAsia="Palatino Linotype" w:hAnsi="Palatino Linotype" w:cs="Palatino Linotype"/>
          <w:b/>
          <w:color w:val="000000" w:themeColor="text1"/>
        </w:rPr>
        <w:t xml:space="preserve"> </w:t>
      </w:r>
      <w:r w:rsidR="00301111" w:rsidRPr="002A5014">
        <w:rPr>
          <w:rFonts w:ascii="Palatino Linotype" w:eastAsia="Palatino Linotype" w:hAnsi="Palatino Linotype" w:cs="Palatino Linotype"/>
          <w:b/>
          <w:color w:val="000000" w:themeColor="text1"/>
        </w:rPr>
        <w:t xml:space="preserve">de dos mil veinticinco, </w:t>
      </w:r>
      <w:r w:rsidR="00301111" w:rsidRPr="002A5014">
        <w:rPr>
          <w:rFonts w:ascii="Palatino Linotype" w:eastAsia="Palatino Linotype" w:hAnsi="Palatino Linotype" w:cs="Palatino Linotype"/>
          <w:color w:val="000000" w:themeColor="text1"/>
        </w:rPr>
        <w:t xml:space="preserve">se presentó ante el </w:t>
      </w:r>
      <w:r w:rsidR="00301111" w:rsidRPr="002A5014">
        <w:rPr>
          <w:rFonts w:ascii="Palatino Linotype" w:eastAsia="Palatino Linotype" w:hAnsi="Palatino Linotype" w:cs="Palatino Linotype"/>
          <w:b/>
          <w:color w:val="000000" w:themeColor="text1"/>
        </w:rPr>
        <w:t>SUJETO OBLIGADO</w:t>
      </w:r>
      <w:r w:rsidR="00301111" w:rsidRPr="002A5014">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00301111" w:rsidRPr="002A5014">
        <w:rPr>
          <w:rFonts w:ascii="Palatino Linotype" w:eastAsia="Palatino Linotype" w:hAnsi="Palatino Linotype" w:cs="Palatino Linotype"/>
          <w:b/>
          <w:color w:val="000000" w:themeColor="text1"/>
        </w:rPr>
        <w:t xml:space="preserve"> </w:t>
      </w:r>
      <w:r w:rsidR="00BB1A94" w:rsidRPr="002A5014">
        <w:rPr>
          <w:rFonts w:ascii="Palatino Linotype" w:eastAsia="Palatino Linotype" w:hAnsi="Palatino Linotype" w:cs="Palatino Linotype"/>
          <w:b/>
          <w:bCs/>
          <w:color w:val="000000" w:themeColor="text1"/>
        </w:rPr>
        <w:t>00117</w:t>
      </w:r>
      <w:r w:rsidR="00FB6DBB" w:rsidRPr="002A5014">
        <w:rPr>
          <w:rFonts w:ascii="Palatino Linotype" w:eastAsia="Palatino Linotype" w:hAnsi="Palatino Linotype" w:cs="Palatino Linotype"/>
          <w:b/>
          <w:bCs/>
          <w:color w:val="000000" w:themeColor="text1"/>
        </w:rPr>
        <w:t>/</w:t>
      </w:r>
      <w:r w:rsidR="00BB1A94" w:rsidRPr="002A5014">
        <w:rPr>
          <w:rFonts w:ascii="Palatino Linotype" w:eastAsia="Palatino Linotype" w:hAnsi="Palatino Linotype" w:cs="Palatino Linotype"/>
          <w:b/>
          <w:bCs/>
          <w:color w:val="000000" w:themeColor="text1"/>
        </w:rPr>
        <w:t>CHICOLOA</w:t>
      </w:r>
      <w:r w:rsidR="00D164A6" w:rsidRPr="002A5014">
        <w:rPr>
          <w:rFonts w:ascii="Palatino Linotype" w:eastAsia="Palatino Linotype" w:hAnsi="Palatino Linotype" w:cs="Palatino Linotype"/>
          <w:b/>
          <w:bCs/>
          <w:color w:val="000000" w:themeColor="text1"/>
        </w:rPr>
        <w:t>/IP/2025</w:t>
      </w:r>
      <w:r w:rsidR="00301111" w:rsidRPr="002A5014">
        <w:rPr>
          <w:rFonts w:ascii="Palatino Linotype" w:eastAsia="Palatino Linotype" w:hAnsi="Palatino Linotype" w:cs="Palatino Linotype"/>
          <w:b/>
          <w:color w:val="000000" w:themeColor="text1"/>
        </w:rPr>
        <w:t xml:space="preserve">; </w:t>
      </w:r>
      <w:r w:rsidR="00D46CC6">
        <w:rPr>
          <w:rFonts w:ascii="Palatino Linotype" w:eastAsia="Palatino Linotype" w:hAnsi="Palatino Linotype" w:cs="Palatino Linotype"/>
          <w:color w:val="000000" w:themeColor="text1"/>
        </w:rPr>
        <w:t>en la que</w:t>
      </w:r>
      <w:r w:rsidRPr="002A5014">
        <w:rPr>
          <w:rFonts w:ascii="Palatino Linotype" w:eastAsia="Palatino Linotype" w:hAnsi="Palatino Linotype" w:cs="Palatino Linotype"/>
          <w:color w:val="000000" w:themeColor="text1"/>
        </w:rPr>
        <w:t xml:space="preserve"> </w:t>
      </w:r>
      <w:r w:rsidR="00301111" w:rsidRPr="002A5014">
        <w:rPr>
          <w:rFonts w:ascii="Palatino Linotype" w:eastAsia="Palatino Linotype" w:hAnsi="Palatino Linotype" w:cs="Palatino Linotype"/>
          <w:color w:val="000000" w:themeColor="text1"/>
        </w:rPr>
        <w:t>se solicitó la siguiente información:</w:t>
      </w:r>
    </w:p>
    <w:p w:rsidR="007F0605" w:rsidRPr="002A5014" w:rsidRDefault="007F0605" w:rsidP="002A5014">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2A5014" w:rsidRDefault="00301111" w:rsidP="002A5014">
      <w:pPr>
        <w:pBdr>
          <w:top w:val="nil"/>
          <w:left w:val="nil"/>
          <w:bottom w:val="nil"/>
          <w:right w:val="nil"/>
          <w:between w:val="nil"/>
        </w:pBdr>
        <w:jc w:val="both"/>
        <w:rPr>
          <w:rFonts w:ascii="Palatino Linotype" w:eastAsia="Palatino Linotype" w:hAnsi="Palatino Linotype" w:cs="Palatino Linotype"/>
          <w:i/>
          <w:color w:val="000000" w:themeColor="text1"/>
        </w:rPr>
      </w:pPr>
      <w:r w:rsidRPr="002A5014">
        <w:rPr>
          <w:rFonts w:ascii="Palatino Linotype" w:eastAsia="Palatino Linotype" w:hAnsi="Palatino Linotype" w:cs="Palatino Linotype"/>
          <w:i/>
          <w:color w:val="000000" w:themeColor="text1"/>
        </w:rPr>
        <w:t>“</w:t>
      </w:r>
      <w:r w:rsidR="00BB1A94" w:rsidRPr="002A5014">
        <w:rPr>
          <w:rFonts w:ascii="Palatino Linotype" w:hAnsi="Palatino Linotype"/>
          <w:i/>
          <w:color w:val="000000" w:themeColor="text1"/>
        </w:rPr>
        <w:t>Se le solicita al gobierno del municipio de Chicoloapan, Estado de México, proporcione por este medio, la liga digital de internet (link) donde se pueda consultar los nombres de los integrantes del Comité Municipal de Dictámenes de Giro, así como el sustento legal donde se pronuncia los requisitos que se deben de cumplir para poder ser parte de este comité</w:t>
      </w:r>
      <w:r w:rsidR="002979AB" w:rsidRPr="002A5014">
        <w:rPr>
          <w:rFonts w:ascii="Palatino Linotype" w:hAnsi="Palatino Linotype"/>
          <w:i/>
          <w:color w:val="000000" w:themeColor="text1"/>
        </w:rPr>
        <w:t>.</w:t>
      </w:r>
      <w:r w:rsidRPr="002A5014">
        <w:rPr>
          <w:rFonts w:ascii="Palatino Linotype" w:eastAsia="Palatino Linotype" w:hAnsi="Palatino Linotype" w:cs="Palatino Linotype"/>
          <w:i/>
          <w:color w:val="000000" w:themeColor="text1"/>
        </w:rPr>
        <w:t>”</w:t>
      </w:r>
    </w:p>
    <w:p w:rsidR="00FB6DBB" w:rsidRDefault="00FB6DBB" w:rsidP="002A5014">
      <w:pPr>
        <w:jc w:val="both"/>
        <w:rPr>
          <w:rFonts w:ascii="Palatino Linotype" w:eastAsia="Palatino Linotype" w:hAnsi="Palatino Linotype" w:cs="Palatino Linotype"/>
          <w:color w:val="000000" w:themeColor="text1"/>
        </w:rPr>
      </w:pPr>
    </w:p>
    <w:p w:rsidR="00D46CC6" w:rsidRPr="002A5014" w:rsidRDefault="00D46CC6" w:rsidP="002A5014">
      <w:pPr>
        <w:jc w:val="both"/>
        <w:rPr>
          <w:rFonts w:ascii="Palatino Linotype" w:eastAsia="Palatino Linotype" w:hAnsi="Palatino Linotype" w:cs="Palatino Linotype"/>
          <w:color w:val="000000" w:themeColor="text1"/>
        </w:rPr>
      </w:pPr>
    </w:p>
    <w:p w:rsidR="00FB6DBB" w:rsidRPr="002A5014" w:rsidRDefault="00D60033"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 xml:space="preserve">Se hace constar que se señaló como modalidad de entrega de la información a través del </w:t>
      </w:r>
      <w:r w:rsidRPr="002A5014">
        <w:rPr>
          <w:rFonts w:ascii="Palatino Linotype" w:eastAsia="Palatino Linotype" w:hAnsi="Palatino Linotype" w:cs="Palatino Linotype"/>
          <w:b/>
          <w:color w:val="000000" w:themeColor="text1"/>
        </w:rPr>
        <w:t>SAIMEX.</w:t>
      </w:r>
    </w:p>
    <w:p w:rsidR="005E0F45" w:rsidRPr="002A5014" w:rsidRDefault="005E0F45" w:rsidP="002A5014">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2A5014" w:rsidRDefault="00301111"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2A5014">
        <w:rPr>
          <w:rFonts w:ascii="Palatino Linotype" w:eastAsia="Palatino Linotype" w:hAnsi="Palatino Linotype" w:cs="Palatino Linotype"/>
          <w:color w:val="000000" w:themeColor="text1"/>
        </w:rPr>
        <w:lastRenderedPageBreak/>
        <w:t xml:space="preserve">El </w:t>
      </w:r>
      <w:r w:rsidR="00BB1A94" w:rsidRPr="002A5014">
        <w:rPr>
          <w:rFonts w:ascii="Palatino Linotype" w:eastAsia="Palatino Linotype" w:hAnsi="Palatino Linotype" w:cs="Palatino Linotype"/>
          <w:b/>
          <w:color w:val="000000" w:themeColor="text1"/>
        </w:rPr>
        <w:t>once de julio</w:t>
      </w:r>
      <w:r w:rsidR="00D164A6" w:rsidRPr="002A5014">
        <w:rPr>
          <w:rFonts w:ascii="Palatino Linotype" w:eastAsia="Palatino Linotype" w:hAnsi="Palatino Linotype" w:cs="Palatino Linotype"/>
          <w:b/>
          <w:color w:val="000000" w:themeColor="text1"/>
        </w:rPr>
        <w:t xml:space="preserve"> </w:t>
      </w:r>
      <w:r w:rsidRPr="002A5014">
        <w:rPr>
          <w:rFonts w:ascii="Palatino Linotype" w:eastAsia="Palatino Linotype" w:hAnsi="Palatino Linotype" w:cs="Palatino Linotype"/>
          <w:b/>
          <w:color w:val="000000" w:themeColor="text1"/>
        </w:rPr>
        <w:t>de dos mil veinticinco</w:t>
      </w:r>
      <w:r w:rsidRPr="002A5014">
        <w:rPr>
          <w:rFonts w:ascii="Palatino Linotype" w:eastAsia="Palatino Linotype" w:hAnsi="Palatino Linotype" w:cs="Palatino Linotype"/>
          <w:color w:val="000000" w:themeColor="text1"/>
        </w:rPr>
        <w:t xml:space="preserve">, 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 xml:space="preserve"> emiti</w:t>
      </w:r>
      <w:r w:rsidR="00BB1A94" w:rsidRPr="002A5014">
        <w:rPr>
          <w:rFonts w:ascii="Palatino Linotype" w:eastAsia="Palatino Linotype" w:hAnsi="Palatino Linotype" w:cs="Palatino Linotype"/>
          <w:color w:val="000000" w:themeColor="text1"/>
        </w:rPr>
        <w:t>ó su respuesta a la solicitud en los siguientes términos:</w:t>
      </w:r>
    </w:p>
    <w:p w:rsidR="00BB1A94" w:rsidRPr="002A5014" w:rsidRDefault="00BB1A94" w:rsidP="002A5014">
      <w:pPr>
        <w:pStyle w:val="Prrafodelista"/>
        <w:ind w:left="0"/>
        <w:rPr>
          <w:rFonts w:ascii="Palatino Linotype" w:eastAsia="Palatino Linotype" w:hAnsi="Palatino Linotype" w:cs="Palatino Linotype"/>
          <w:i/>
          <w:color w:val="000000" w:themeColor="text1"/>
        </w:rPr>
      </w:pPr>
    </w:p>
    <w:p w:rsidR="00BB1A94" w:rsidRPr="002A5014" w:rsidRDefault="00BB1A94" w:rsidP="002A5014">
      <w:pPr>
        <w:pBdr>
          <w:top w:val="nil"/>
          <w:left w:val="nil"/>
          <w:bottom w:val="nil"/>
          <w:right w:val="nil"/>
          <w:between w:val="nil"/>
        </w:pBdr>
        <w:jc w:val="both"/>
        <w:rPr>
          <w:rFonts w:ascii="Palatino Linotype" w:hAnsi="Palatino Linotype"/>
          <w:i/>
          <w:color w:val="000000" w:themeColor="text1"/>
        </w:rPr>
      </w:pPr>
      <w:r w:rsidRPr="002A5014">
        <w:rPr>
          <w:rFonts w:ascii="Palatino Linotype" w:eastAsia="Palatino Linotype" w:hAnsi="Palatino Linotype" w:cs="Palatino Linotype"/>
          <w:i/>
          <w:color w:val="000000" w:themeColor="text1"/>
        </w:rPr>
        <w:t>“C</w:t>
      </w:r>
      <w:r w:rsidRPr="002A5014">
        <w:rPr>
          <w:rFonts w:ascii="Palatino Linotype" w:hAnsi="Palatino Linotype"/>
          <w:i/>
          <w:color w:val="000000" w:themeColor="text1"/>
        </w:rPr>
        <w:t>HICOLOAPAN, MÉXICO, A 04 DE JULIO DEL 2025. CHICO/DDE/0104/2025. ASUNTO: EL QUE SE INDICA. C.JUAN CARLOS RUIZ MILLÁN TITULAR DE LA UNIDAD DE TRANSPARENCIA PRESENTE: Por medio del presente reciba un cordial saludo, el mismo que aprovecho para mencionar lo siguiente Derivado de la solicitud del oficio recibido con folio CHICO/DJ/DT/0190/2025: “Con fundamento en los artículos: 6 apartado A fracciones I, III, IV, VII de la Constitución Política de los Estados Unidos Mexicanos; 5 fracciones I, III y VII de la constitución Política del Estado Libre y soberano de México; 1, 4, 6, 7, 11, 12, 23 fracción IV; 53, 59 y 173 de la Ley de Transparencia y Acceso a la Información Pública del Estado de México y Municipios; 1 Y 3 Fracción IV de la Ley de Protección de Datos en Posesión de Sujetos Obligados del Estado de México y Municipios; y demás relativos y aplicables en la materia, me permito comunicarle a usted lo siguiente: ÚNICO. - Siendo las 5:51:21 PM, del día 20 de junio de 2025, la Unidad de Transparencia recibió mediante el Sistema de Acceso a la Información Mexiquense (SAIMEX), la solicitud de información Pública bajo el folio: 00117/CHICOLOA/IP/2025, y que a la letra refiere: Se le solicita al gobierno del municipio de Chicoloapan, Estado de México, proporcione por este medio, la liga digital de internet (link) donde se pueda consultar los nombres de los integrantes del Comité Municipal de Dictámenes de Giro, así como el sustento legal donde se pronuncia los requisitos que se deben de cumplir para poder ser parte de este comité. (sic)” Por lo que a continuación se envía la liga digital (link): https://youtube.com/live/jGDgtnizg2s?feature=share Así mismo, se hace mención que el sustento Legal para la integración del Comité Municipal de Dictámenes de Giro y de sus integrantes, es la Ley de Competitividad y Ordenamiento Comercial del Estado de México. Sin más por el momento, agradezco su fina atención al presente, esperando contar con una respuesta favorable. A T E N T A M E N T E LIC. LUIS ANTONIO HERNÁNDEZ RAMÍREZ DIRECCIÓN DE DESARROLLO ECONÓMICO CHICOLOAPAN, ESTADO DE MÉXICO” (Sic)</w:t>
      </w:r>
    </w:p>
    <w:p w:rsidR="00BB1A94" w:rsidRPr="002A5014" w:rsidRDefault="00BB1A94" w:rsidP="002A50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B1A94" w:rsidRPr="002A5014" w:rsidRDefault="00BB1A94" w:rsidP="002A501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Archivos electrónicos adjuntos:</w:t>
      </w:r>
    </w:p>
    <w:p w:rsidR="002979AB" w:rsidRPr="002A5014" w:rsidRDefault="00D909B8" w:rsidP="002A5014">
      <w:pPr>
        <w:pBdr>
          <w:top w:val="nil"/>
          <w:left w:val="nil"/>
          <w:bottom w:val="nil"/>
          <w:right w:val="nil"/>
          <w:between w:val="nil"/>
        </w:pBdr>
        <w:jc w:val="both"/>
        <w:rPr>
          <w:rStyle w:val="Hipervnculo"/>
          <w:rFonts w:ascii="Palatino Linotype" w:hAnsi="Palatino Linotype" w:cs="Arial"/>
          <w:b/>
          <w:bCs/>
          <w:color w:val="000000" w:themeColor="text1"/>
          <w:u w:val="none"/>
        </w:rPr>
      </w:pPr>
      <w:hyperlink r:id="rId8" w:tgtFrame="_blank" w:history="1">
        <w:r w:rsidR="00BB1A94" w:rsidRPr="002A5014">
          <w:rPr>
            <w:rStyle w:val="Hipervnculo"/>
            <w:rFonts w:ascii="Palatino Linotype" w:hAnsi="Palatino Linotype" w:cs="Arial"/>
            <w:b/>
            <w:bCs/>
            <w:color w:val="000000" w:themeColor="text1"/>
            <w:u w:val="none"/>
          </w:rPr>
          <w:t>RESPUESTA DESARROLLO ECONOMICO.....pdf</w:t>
        </w:r>
      </w:hyperlink>
      <w:r w:rsidR="00BB1A94" w:rsidRPr="002A5014">
        <w:rPr>
          <w:rFonts w:ascii="Palatino Linotype" w:hAnsi="Palatino Linotype"/>
          <w:color w:val="000000" w:themeColor="text1"/>
        </w:rPr>
        <w:t>: Oficio suscrito por el Director de Desarrollo Económico, por medio del cual, remitió un link para dar respuesta a la información solicitada. Por otro lado, refirió que el sustento legal para la integración del Comité Municipal de Dictámenes de Giro y sus integrantes, es la Ley de Competitividad y Ordenamiento Comercial del Estado de México.</w:t>
      </w:r>
    </w:p>
    <w:p w:rsidR="007F0605" w:rsidRPr="002A5014" w:rsidRDefault="003B0F22"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2A5014">
        <w:rPr>
          <w:rFonts w:ascii="Palatino Linotype" w:eastAsia="Palatino Linotype" w:hAnsi="Palatino Linotype" w:cs="Palatino Linotype"/>
          <w:color w:val="000000" w:themeColor="text1"/>
        </w:rPr>
        <w:lastRenderedPageBreak/>
        <w:t>El</w:t>
      </w:r>
      <w:r w:rsidR="00301111" w:rsidRPr="002A5014">
        <w:rPr>
          <w:rFonts w:ascii="Palatino Linotype" w:eastAsia="Palatino Linotype" w:hAnsi="Palatino Linotype" w:cs="Palatino Linotype"/>
          <w:color w:val="000000" w:themeColor="text1"/>
        </w:rPr>
        <w:t xml:space="preserve"> </w:t>
      </w:r>
      <w:r w:rsidR="00BB1A94" w:rsidRPr="002A5014">
        <w:rPr>
          <w:rFonts w:ascii="Palatino Linotype" w:eastAsia="Palatino Linotype" w:hAnsi="Palatino Linotype" w:cs="Palatino Linotype"/>
          <w:b/>
          <w:color w:val="000000" w:themeColor="text1"/>
        </w:rPr>
        <w:t>catorce de julio</w:t>
      </w:r>
      <w:r w:rsidR="00301111" w:rsidRPr="002A5014">
        <w:rPr>
          <w:rFonts w:ascii="Palatino Linotype" w:eastAsia="Palatino Linotype" w:hAnsi="Palatino Linotype" w:cs="Palatino Linotype"/>
          <w:b/>
          <w:color w:val="000000" w:themeColor="text1"/>
        </w:rPr>
        <w:t xml:space="preserve"> de dos mil veinticinco</w:t>
      </w:r>
      <w:r w:rsidR="00301111" w:rsidRPr="002A5014">
        <w:rPr>
          <w:rFonts w:ascii="Palatino Linotype" w:eastAsia="Palatino Linotype" w:hAnsi="Palatino Linotype" w:cs="Palatino Linotype"/>
          <w:color w:val="000000" w:themeColor="text1"/>
        </w:rPr>
        <w:t xml:space="preserve">, </w:t>
      </w:r>
      <w:r w:rsidRPr="002A5014">
        <w:rPr>
          <w:rFonts w:ascii="Palatino Linotype" w:eastAsia="Palatino Linotype" w:hAnsi="Palatino Linotype" w:cs="Palatino Linotype"/>
          <w:color w:val="000000" w:themeColor="text1"/>
        </w:rPr>
        <w:t xml:space="preserve">la parte </w:t>
      </w:r>
      <w:r w:rsidRPr="002A5014">
        <w:rPr>
          <w:rFonts w:ascii="Palatino Linotype" w:eastAsia="Palatino Linotype" w:hAnsi="Palatino Linotype" w:cs="Palatino Linotype"/>
          <w:b/>
          <w:color w:val="000000" w:themeColor="text1"/>
        </w:rPr>
        <w:t>RECURRENTE</w:t>
      </w:r>
      <w:r w:rsidR="00301111" w:rsidRPr="002A5014">
        <w:rPr>
          <w:rFonts w:ascii="Palatino Linotype" w:eastAsia="Palatino Linotype" w:hAnsi="Palatino Linotype" w:cs="Palatino Linotype"/>
          <w:color w:val="000000" w:themeColor="text1"/>
        </w:rPr>
        <w:t xml:space="preserve"> interpuso recurso de revisión, </w:t>
      </w:r>
      <w:r w:rsidRPr="002A5014">
        <w:rPr>
          <w:rFonts w:ascii="Palatino Linotype" w:eastAsia="Palatino Linotype" w:hAnsi="Palatino Linotype" w:cs="Palatino Linotype"/>
          <w:color w:val="000000" w:themeColor="text1"/>
        </w:rPr>
        <w:t>en los siguientes términos:</w:t>
      </w:r>
    </w:p>
    <w:p w:rsidR="007F0605" w:rsidRPr="002A5014" w:rsidRDefault="007F0605" w:rsidP="002A5014">
      <w:pPr>
        <w:pBdr>
          <w:top w:val="nil"/>
          <w:left w:val="nil"/>
          <w:bottom w:val="nil"/>
          <w:right w:val="nil"/>
          <w:between w:val="nil"/>
        </w:pBdr>
        <w:jc w:val="both"/>
        <w:rPr>
          <w:rFonts w:ascii="Palatino Linotype" w:eastAsia="Palatino Linotype" w:hAnsi="Palatino Linotype" w:cs="Palatino Linotype"/>
          <w:i/>
          <w:color w:val="000000" w:themeColor="text1"/>
        </w:rPr>
      </w:pPr>
    </w:p>
    <w:p w:rsidR="007F0605" w:rsidRPr="00D46CC6" w:rsidRDefault="00301111" w:rsidP="00D46CC6">
      <w:pPr>
        <w:pStyle w:val="Prrafodelista"/>
        <w:numPr>
          <w:ilvl w:val="0"/>
          <w:numId w:val="35"/>
        </w:numPr>
        <w:pBdr>
          <w:top w:val="nil"/>
          <w:left w:val="nil"/>
          <w:bottom w:val="nil"/>
          <w:right w:val="nil"/>
          <w:between w:val="nil"/>
        </w:pBdr>
        <w:jc w:val="both"/>
        <w:rPr>
          <w:rFonts w:ascii="Palatino Linotype" w:hAnsi="Palatino Linotype"/>
          <w:i/>
          <w:color w:val="000000" w:themeColor="text1"/>
        </w:rPr>
      </w:pPr>
      <w:bookmarkStart w:id="2" w:name="_heading=h.a4yqcbbd8811" w:colFirst="0" w:colLast="0"/>
      <w:bookmarkEnd w:id="2"/>
      <w:r w:rsidRPr="00D46CC6">
        <w:rPr>
          <w:rFonts w:ascii="Palatino Linotype" w:eastAsia="Palatino Linotype" w:hAnsi="Palatino Linotype" w:cs="Palatino Linotype"/>
          <w:b/>
          <w:color w:val="000000" w:themeColor="text1"/>
        </w:rPr>
        <w:t>ACTO IMPUGNADO</w:t>
      </w:r>
      <w:r w:rsidRPr="00D46CC6">
        <w:rPr>
          <w:rFonts w:ascii="Palatino Linotype" w:eastAsia="Palatino Linotype" w:hAnsi="Palatino Linotype" w:cs="Palatino Linotype"/>
          <w:b/>
          <w:i/>
          <w:color w:val="000000" w:themeColor="text1"/>
        </w:rPr>
        <w:t>:</w:t>
      </w:r>
      <w:r w:rsidR="003B0F22" w:rsidRPr="00D46CC6">
        <w:rPr>
          <w:rFonts w:ascii="Palatino Linotype" w:eastAsia="Palatino Linotype" w:hAnsi="Palatino Linotype" w:cs="Palatino Linotype"/>
          <w:b/>
          <w:i/>
          <w:color w:val="000000" w:themeColor="text1"/>
        </w:rPr>
        <w:t xml:space="preserve"> </w:t>
      </w:r>
      <w:r w:rsidRPr="00D46CC6">
        <w:rPr>
          <w:rFonts w:ascii="Palatino Linotype" w:eastAsia="Palatino Linotype" w:hAnsi="Palatino Linotype" w:cs="Palatino Linotype"/>
          <w:i/>
          <w:color w:val="000000" w:themeColor="text1"/>
        </w:rPr>
        <w:t>“</w:t>
      </w:r>
      <w:r w:rsidR="00BB1A94" w:rsidRPr="00D46CC6">
        <w:rPr>
          <w:rFonts w:ascii="Palatino Linotype" w:hAnsi="Palatino Linotype"/>
          <w:i/>
          <w:color w:val="000000" w:themeColor="text1"/>
        </w:rPr>
        <w:t>La falta de especificación de la resuesta por parte de la Direccion de DEsarrollo Economico</w:t>
      </w:r>
      <w:r w:rsidR="003B0F22" w:rsidRPr="00D46CC6">
        <w:rPr>
          <w:rFonts w:ascii="Palatino Linotype" w:hAnsi="Palatino Linotype"/>
          <w:i/>
          <w:color w:val="000000" w:themeColor="text1"/>
        </w:rPr>
        <w:t>” (Sic)</w:t>
      </w:r>
    </w:p>
    <w:p w:rsidR="007F0605" w:rsidRPr="002A5014" w:rsidRDefault="007F0605" w:rsidP="002A50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B6DBB" w:rsidRPr="00D46CC6" w:rsidRDefault="00301111" w:rsidP="00D46CC6">
      <w:pPr>
        <w:pStyle w:val="Prrafodelista"/>
        <w:numPr>
          <w:ilvl w:val="0"/>
          <w:numId w:val="35"/>
        </w:numPr>
        <w:pBdr>
          <w:top w:val="nil"/>
          <w:left w:val="nil"/>
          <w:bottom w:val="nil"/>
          <w:right w:val="nil"/>
          <w:between w:val="nil"/>
        </w:pBdr>
        <w:jc w:val="both"/>
        <w:rPr>
          <w:rFonts w:ascii="Palatino Linotype" w:eastAsia="Palatino Linotype" w:hAnsi="Palatino Linotype" w:cs="Palatino Linotype"/>
          <w:i/>
          <w:color w:val="000000" w:themeColor="text1"/>
        </w:rPr>
      </w:pPr>
      <w:r w:rsidRPr="00D46CC6">
        <w:rPr>
          <w:rFonts w:ascii="Palatino Linotype" w:eastAsia="Palatino Linotype" w:hAnsi="Palatino Linotype" w:cs="Palatino Linotype"/>
          <w:b/>
          <w:color w:val="000000" w:themeColor="text1"/>
        </w:rPr>
        <w:t>RAZONE</w:t>
      </w:r>
      <w:r w:rsidR="003B0F22" w:rsidRPr="00D46CC6">
        <w:rPr>
          <w:rFonts w:ascii="Palatino Linotype" w:eastAsia="Palatino Linotype" w:hAnsi="Palatino Linotype" w:cs="Palatino Linotype"/>
          <w:b/>
          <w:color w:val="000000" w:themeColor="text1"/>
        </w:rPr>
        <w:t xml:space="preserve">S O MOTIVOS DE LA INCONFORMIDAD: </w:t>
      </w:r>
      <w:r w:rsidR="00FB6DBB" w:rsidRPr="00D46CC6">
        <w:rPr>
          <w:rFonts w:ascii="Palatino Linotype" w:eastAsia="Palatino Linotype" w:hAnsi="Palatino Linotype" w:cs="Palatino Linotype"/>
          <w:i/>
          <w:color w:val="000000" w:themeColor="text1"/>
        </w:rPr>
        <w:t>“</w:t>
      </w:r>
      <w:r w:rsidR="00BB1A94" w:rsidRPr="00D46CC6">
        <w:rPr>
          <w:rFonts w:ascii="Palatino Linotype" w:eastAsia="Palatino Linotype" w:hAnsi="Palatino Linotype" w:cs="Palatino Linotype"/>
          <w:i/>
          <w:color w:val="000000" w:themeColor="text1"/>
        </w:rPr>
        <w:t>S</w:t>
      </w:r>
      <w:r w:rsidR="00BB1A94" w:rsidRPr="00D46CC6">
        <w:rPr>
          <w:rFonts w:ascii="Palatino Linotype" w:hAnsi="Palatino Linotype"/>
          <w:i/>
          <w:color w:val="000000" w:themeColor="text1"/>
        </w:rPr>
        <w:t>e solicita al gobierno del municipio de Chicoloapan especifique los artículos de la Ley de Competitividad y Ordenamiento Comercial del Estado de México donde se estipule la conformación del Comité Municipal de Dictámenes de Giro.</w:t>
      </w:r>
      <w:r w:rsidR="00FB6DBB" w:rsidRPr="00D46CC6">
        <w:rPr>
          <w:rFonts w:ascii="Palatino Linotype" w:hAnsi="Palatino Linotype"/>
          <w:i/>
          <w:color w:val="000000" w:themeColor="text1"/>
        </w:rPr>
        <w:t>” (Sic)</w:t>
      </w:r>
    </w:p>
    <w:p w:rsidR="007F0605" w:rsidRPr="002A5014" w:rsidRDefault="007F0605" w:rsidP="002A50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7F0605" w:rsidRPr="002A5014" w:rsidRDefault="00301111"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2A5014">
        <w:rPr>
          <w:rFonts w:ascii="Palatino Linotype" w:eastAsia="Palatino Linotype" w:hAnsi="Palatino Linotype" w:cs="Palatino Linotype"/>
          <w:color w:val="000000" w:themeColor="text1"/>
        </w:rPr>
        <w:t xml:space="preserve">La Comisionada </w:t>
      </w:r>
      <w:r w:rsidR="00974C79">
        <w:rPr>
          <w:rFonts w:ascii="Palatino Linotype" w:eastAsia="Palatino Linotype" w:hAnsi="Palatino Linotype" w:cs="Palatino Linotype"/>
          <w:color w:val="000000" w:themeColor="text1"/>
        </w:rPr>
        <w:t>p</w:t>
      </w:r>
      <w:r w:rsidRPr="002A5014">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BB1A94" w:rsidRPr="002A5014">
        <w:rPr>
          <w:rFonts w:ascii="Palatino Linotype" w:eastAsia="Palatino Linotype" w:hAnsi="Palatino Linotype" w:cs="Palatino Linotype"/>
          <w:b/>
          <w:color w:val="000000" w:themeColor="text1"/>
        </w:rPr>
        <w:t>catorce de julio</w:t>
      </w:r>
      <w:r w:rsidR="00A3102E" w:rsidRPr="002A5014">
        <w:rPr>
          <w:rFonts w:ascii="Palatino Linotype" w:eastAsia="Palatino Linotype" w:hAnsi="Palatino Linotype" w:cs="Palatino Linotype"/>
          <w:b/>
          <w:color w:val="000000" w:themeColor="text1"/>
        </w:rPr>
        <w:t xml:space="preserve"> </w:t>
      </w:r>
      <w:r w:rsidRPr="002A5014">
        <w:rPr>
          <w:rFonts w:ascii="Palatino Linotype" w:eastAsia="Palatino Linotype" w:hAnsi="Palatino Linotype" w:cs="Palatino Linotype"/>
          <w:b/>
          <w:color w:val="000000" w:themeColor="text1"/>
        </w:rPr>
        <w:t>de dos mil veinticinco</w:t>
      </w:r>
      <w:r w:rsidRPr="002A5014">
        <w:rPr>
          <w:rFonts w:ascii="Palatino Linotype" w:eastAsia="Palatino Linotype" w:hAnsi="Palatino Linotype" w:cs="Palatino Linotype"/>
          <w:color w:val="000000" w:themeColor="text1"/>
        </w:rPr>
        <w:t xml:space="preserve">, puso a disposición de las partes el expediente electrónico vía </w:t>
      </w:r>
      <w:r w:rsidRPr="002A5014">
        <w:rPr>
          <w:rFonts w:ascii="Palatino Linotype" w:eastAsia="Palatino Linotype" w:hAnsi="Palatino Linotype" w:cs="Palatino Linotype"/>
          <w:b/>
          <w:color w:val="000000" w:themeColor="text1"/>
        </w:rPr>
        <w:t xml:space="preserve">SAIMEX </w:t>
      </w:r>
      <w:r w:rsidRPr="002A5014">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 xml:space="preserve"> presentará el Informe Justificado procedente.</w:t>
      </w:r>
    </w:p>
    <w:p w:rsidR="00FB6DBB" w:rsidRPr="002A5014" w:rsidRDefault="00FB6DBB" w:rsidP="002A501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B1A94" w:rsidRPr="002A5014" w:rsidRDefault="00FB6DBB" w:rsidP="002A5014">
      <w:pPr>
        <w:numPr>
          <w:ilvl w:val="0"/>
          <w:numId w:val="1"/>
        </w:numPr>
        <w:pBdr>
          <w:top w:val="nil"/>
          <w:left w:val="nil"/>
          <w:bottom w:val="nil"/>
          <w:right w:val="nil"/>
          <w:between w:val="nil"/>
        </w:pBdr>
        <w:spacing w:line="360" w:lineRule="auto"/>
        <w:ind w:left="0" w:firstLine="0"/>
        <w:jc w:val="both"/>
        <w:rPr>
          <w:rStyle w:val="Hipervnculo"/>
          <w:rFonts w:ascii="Palatino Linotype" w:eastAsia="Palatino Linotype" w:hAnsi="Palatino Linotype" w:cs="Palatino Linotype"/>
          <w:b/>
          <w:color w:val="000000" w:themeColor="text1"/>
          <w:u w:val="none"/>
        </w:rPr>
      </w:pPr>
      <w:r w:rsidRPr="002A5014">
        <w:rPr>
          <w:rFonts w:ascii="Palatino Linotype" w:eastAsia="Palatino Linotype" w:hAnsi="Palatino Linotype" w:cs="Palatino Linotype"/>
          <w:color w:val="000000" w:themeColor="text1"/>
        </w:rPr>
        <w:t>El</w:t>
      </w:r>
      <w:r w:rsidR="005E0F45" w:rsidRPr="002A5014">
        <w:rPr>
          <w:rFonts w:ascii="Palatino Linotype" w:eastAsia="Palatino Linotype" w:hAnsi="Palatino Linotype" w:cs="Palatino Linotype"/>
          <w:color w:val="000000" w:themeColor="text1"/>
        </w:rPr>
        <w:t xml:space="preserve"> </w:t>
      </w:r>
      <w:r w:rsidR="00BB1A94" w:rsidRPr="002A5014">
        <w:rPr>
          <w:rFonts w:ascii="Palatino Linotype" w:eastAsia="Palatino Linotype" w:hAnsi="Palatino Linotype" w:cs="Palatino Linotype"/>
          <w:b/>
          <w:color w:val="000000" w:themeColor="text1"/>
        </w:rPr>
        <w:t>veintiséis de agosto</w:t>
      </w:r>
      <w:r w:rsidR="005E0F45" w:rsidRPr="002A5014">
        <w:rPr>
          <w:rFonts w:ascii="Palatino Linotype" w:eastAsia="Palatino Linotype" w:hAnsi="Palatino Linotype" w:cs="Palatino Linotype"/>
          <w:b/>
          <w:color w:val="000000" w:themeColor="text1"/>
        </w:rPr>
        <w:t xml:space="preserve"> de dos mil veinticinco</w:t>
      </w:r>
      <w:r w:rsidR="005E0F45" w:rsidRPr="002A5014">
        <w:rPr>
          <w:rFonts w:ascii="Palatino Linotype" w:eastAsia="Palatino Linotype" w:hAnsi="Palatino Linotype" w:cs="Palatino Linotype"/>
          <w:color w:val="000000" w:themeColor="text1"/>
        </w:rPr>
        <w:t>, el</w:t>
      </w:r>
      <w:r w:rsidRPr="002A5014">
        <w:rPr>
          <w:rFonts w:ascii="Palatino Linotype" w:eastAsia="Palatino Linotype" w:hAnsi="Palatino Linotype" w:cs="Palatino Linotype"/>
          <w:color w:val="000000" w:themeColor="text1"/>
        </w:rPr>
        <w:t xml:space="preserve"> </w:t>
      </w:r>
      <w:r w:rsidRPr="002A5014">
        <w:rPr>
          <w:rFonts w:ascii="Palatino Linotype" w:eastAsia="Palatino Linotype" w:hAnsi="Palatino Linotype" w:cs="Palatino Linotype"/>
          <w:b/>
          <w:color w:val="000000" w:themeColor="text1"/>
        </w:rPr>
        <w:t>SUJETO OBLIGADO</w:t>
      </w:r>
      <w:r w:rsidR="005E0F45" w:rsidRPr="002A5014">
        <w:rPr>
          <w:rFonts w:ascii="Palatino Linotype" w:eastAsia="Palatino Linotype" w:hAnsi="Palatino Linotype" w:cs="Palatino Linotype"/>
          <w:color w:val="000000" w:themeColor="text1"/>
        </w:rPr>
        <w:t xml:space="preserve"> rindió</w:t>
      </w:r>
      <w:r w:rsidRPr="002A5014">
        <w:rPr>
          <w:rFonts w:ascii="Palatino Linotype" w:eastAsia="Palatino Linotype" w:hAnsi="Palatino Linotype" w:cs="Palatino Linotype"/>
          <w:color w:val="000000" w:themeColor="text1"/>
        </w:rPr>
        <w:t xml:space="preserve"> el infor</w:t>
      </w:r>
      <w:r w:rsidR="005E0F45" w:rsidRPr="002A5014">
        <w:rPr>
          <w:rFonts w:ascii="Palatino Linotype" w:eastAsia="Palatino Linotype" w:hAnsi="Palatino Linotype" w:cs="Palatino Linotype"/>
          <w:color w:val="000000" w:themeColor="text1"/>
        </w:rPr>
        <w:t xml:space="preserve">me justificado correspondiente, por medio del archivo electrónico denominado </w:t>
      </w:r>
      <w:r w:rsidR="00BB1A94" w:rsidRPr="002A5014">
        <w:rPr>
          <w:rFonts w:ascii="Palatino Linotype" w:eastAsia="Palatino Linotype" w:hAnsi="Palatino Linotype" w:cs="Palatino Linotype"/>
          <w:b/>
          <w:color w:val="000000" w:themeColor="text1"/>
        </w:rPr>
        <w:t>8498</w:t>
      </w:r>
      <w:r w:rsidR="005E0F45" w:rsidRPr="002A5014">
        <w:rPr>
          <w:rFonts w:ascii="Palatino Linotype" w:eastAsia="Palatino Linotype" w:hAnsi="Palatino Linotype" w:cs="Palatino Linotype"/>
          <w:b/>
          <w:color w:val="000000" w:themeColor="text1"/>
        </w:rPr>
        <w:t>.pdf</w:t>
      </w:r>
      <w:r w:rsidR="005E0F45" w:rsidRPr="002A5014">
        <w:rPr>
          <w:rFonts w:ascii="Palatino Linotype" w:eastAsia="Palatino Linotype" w:hAnsi="Palatino Linotype" w:cs="Palatino Linotype"/>
          <w:color w:val="000000" w:themeColor="text1"/>
        </w:rPr>
        <w:t>, consistente en un oficio</w:t>
      </w:r>
      <w:r w:rsidR="00BB1A94" w:rsidRPr="002A5014">
        <w:rPr>
          <w:rFonts w:ascii="Palatino Linotype" w:hAnsi="Palatino Linotype"/>
          <w:color w:val="000000" w:themeColor="text1"/>
        </w:rPr>
        <w:t xml:space="preserve"> suscrito por el Director de Desarrollo Económico, por medio del cual,</w:t>
      </w:r>
      <w:r w:rsidR="00BB1A94" w:rsidRPr="002A5014">
        <w:rPr>
          <w:rFonts w:ascii="Palatino Linotype" w:hAnsi="Palatino Linotype"/>
          <w:b/>
          <w:color w:val="000000" w:themeColor="text1"/>
        </w:rPr>
        <w:t xml:space="preserve"> precisó que el Capítulo III, Sección Tercera, Artículo 20 Bis de la Ley </w:t>
      </w:r>
      <w:r w:rsidR="00BB1A94" w:rsidRPr="002A5014">
        <w:rPr>
          <w:rFonts w:ascii="Palatino Linotype" w:hAnsi="Palatino Linotype"/>
          <w:color w:val="000000" w:themeColor="text1"/>
        </w:rPr>
        <w:t xml:space="preserve">de Competitividad y Ordenamiento Comercial del Estado de México, establece la integración del Comité Municipal de Dictámenes de Giro, asimismo, proporcionó un link para </w:t>
      </w:r>
      <w:r w:rsidR="006140D4" w:rsidRPr="002A5014">
        <w:rPr>
          <w:rFonts w:ascii="Palatino Linotype" w:hAnsi="Palatino Linotype"/>
          <w:color w:val="000000" w:themeColor="text1"/>
        </w:rPr>
        <w:t>la consulta.</w:t>
      </w:r>
    </w:p>
    <w:p w:rsidR="00BB1A94" w:rsidRPr="002A5014" w:rsidRDefault="00BB1A94" w:rsidP="002A501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B6DBB" w:rsidRPr="002A5014" w:rsidRDefault="005E0F45"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lastRenderedPageBreak/>
        <w:t>P</w:t>
      </w:r>
      <w:r w:rsidR="00FB6DBB" w:rsidRPr="002A5014">
        <w:rPr>
          <w:rFonts w:ascii="Palatino Linotype" w:eastAsia="Palatino Linotype" w:hAnsi="Palatino Linotype" w:cs="Palatino Linotype"/>
          <w:color w:val="000000" w:themeColor="text1"/>
        </w:rPr>
        <w:t xml:space="preserve">or su parte, el </w:t>
      </w:r>
      <w:r w:rsidR="00FB6DBB" w:rsidRPr="002A5014">
        <w:rPr>
          <w:rFonts w:ascii="Palatino Linotype" w:eastAsia="Palatino Linotype" w:hAnsi="Palatino Linotype" w:cs="Palatino Linotype"/>
          <w:b/>
          <w:color w:val="000000" w:themeColor="text1"/>
        </w:rPr>
        <w:t xml:space="preserve">RECURRENTE </w:t>
      </w:r>
      <w:r w:rsidR="00FB6DBB" w:rsidRPr="002A5014">
        <w:rPr>
          <w:rFonts w:ascii="Palatino Linotype" w:eastAsia="Palatino Linotype" w:hAnsi="Palatino Linotype" w:cs="Palatino Linotype"/>
          <w:color w:val="000000" w:themeColor="text1"/>
        </w:rPr>
        <w:t>no realizó manifestaciones, ni ofreció pruebas o alegatos que a su derecho conviniera.</w:t>
      </w:r>
    </w:p>
    <w:p w:rsidR="0068443A" w:rsidRPr="002A5014" w:rsidRDefault="0068443A" w:rsidP="002A5014">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2A5014" w:rsidRDefault="0068443A"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color w:val="000000" w:themeColor="text1"/>
        </w:rPr>
        <w:t xml:space="preserve">El </w:t>
      </w:r>
      <w:r w:rsidR="00474777" w:rsidRPr="002A5014">
        <w:rPr>
          <w:rFonts w:ascii="Palatino Linotype" w:eastAsia="Palatino Linotype" w:hAnsi="Palatino Linotype" w:cs="Palatino Linotype"/>
          <w:b/>
          <w:color w:val="000000" w:themeColor="text1"/>
        </w:rPr>
        <w:t xml:space="preserve">veinte </w:t>
      </w:r>
      <w:r w:rsidR="005E0F45" w:rsidRPr="002A5014">
        <w:rPr>
          <w:rFonts w:ascii="Palatino Linotype" w:eastAsia="Palatino Linotype" w:hAnsi="Palatino Linotype" w:cs="Palatino Linotype"/>
          <w:b/>
          <w:color w:val="000000" w:themeColor="text1"/>
        </w:rPr>
        <w:t>de noviembre</w:t>
      </w:r>
      <w:r w:rsidR="008F4EAA" w:rsidRPr="002A5014">
        <w:rPr>
          <w:rFonts w:ascii="Palatino Linotype" w:eastAsia="Palatino Linotype" w:hAnsi="Palatino Linotype" w:cs="Palatino Linotype"/>
          <w:b/>
          <w:color w:val="000000" w:themeColor="text1"/>
        </w:rPr>
        <w:t xml:space="preserve"> </w:t>
      </w:r>
      <w:r w:rsidRPr="002A5014">
        <w:rPr>
          <w:rFonts w:ascii="Palatino Linotype" w:eastAsia="Palatino Linotype" w:hAnsi="Palatino Linotype" w:cs="Palatino Linotype"/>
          <w:b/>
          <w:color w:val="000000" w:themeColor="text1"/>
        </w:rPr>
        <w:t xml:space="preserve">de dos mil veinticinco, </w:t>
      </w:r>
      <w:r w:rsidR="00301111" w:rsidRPr="002A5014">
        <w:rPr>
          <w:rFonts w:ascii="Palatino Linotype" w:eastAsia="Palatino Linotype" w:hAnsi="Palatino Linotype" w:cs="Palatino Linotype"/>
          <w:color w:val="000000" w:themeColor="text1"/>
        </w:rPr>
        <w:t>se decretó el cierre de instrucción, por lo que</w:t>
      </w:r>
      <w:r w:rsidRPr="002A5014">
        <w:rPr>
          <w:rFonts w:ascii="Palatino Linotype" w:eastAsia="Palatino Linotype" w:hAnsi="Palatino Linotype" w:cs="Palatino Linotype"/>
          <w:color w:val="000000" w:themeColor="text1"/>
        </w:rPr>
        <w:t xml:space="preserve"> no habiendo más que hacer constar y </w:t>
      </w:r>
    </w:p>
    <w:p w:rsidR="007F0605" w:rsidRDefault="007F0605" w:rsidP="002A5014">
      <w:pPr>
        <w:pBdr>
          <w:top w:val="nil"/>
          <w:left w:val="nil"/>
          <w:bottom w:val="nil"/>
          <w:right w:val="nil"/>
          <w:between w:val="nil"/>
        </w:pBdr>
        <w:jc w:val="both"/>
        <w:rPr>
          <w:rFonts w:ascii="Palatino Linotype" w:eastAsia="Palatino Linotype" w:hAnsi="Palatino Linotype" w:cs="Palatino Linotype"/>
          <w:b/>
          <w:color w:val="000000" w:themeColor="text1"/>
        </w:rPr>
      </w:pPr>
    </w:p>
    <w:p w:rsidR="00D46CC6" w:rsidRPr="002A5014" w:rsidRDefault="00D46CC6" w:rsidP="002A5014">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605" w:rsidRPr="002A5014" w:rsidRDefault="00301111" w:rsidP="002A501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3" w:name="_heading=h.tcdf2ax2f2z" w:colFirst="0" w:colLast="0"/>
      <w:bookmarkEnd w:id="3"/>
      <w:r w:rsidRPr="002A5014">
        <w:rPr>
          <w:rFonts w:ascii="Palatino Linotype" w:eastAsia="Palatino Linotype" w:hAnsi="Palatino Linotype" w:cs="Palatino Linotype"/>
          <w:b/>
          <w:color w:val="000000" w:themeColor="text1"/>
          <w:sz w:val="24"/>
          <w:szCs w:val="24"/>
        </w:rPr>
        <w:t>C</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O</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N</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S</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I</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D</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E</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R</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A</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N</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D</w:t>
      </w:r>
      <w:r w:rsidR="00D46CC6">
        <w:rPr>
          <w:rFonts w:ascii="Palatino Linotype" w:eastAsia="Palatino Linotype" w:hAnsi="Palatino Linotype" w:cs="Palatino Linotype"/>
          <w:b/>
          <w:color w:val="000000" w:themeColor="text1"/>
          <w:sz w:val="24"/>
          <w:szCs w:val="24"/>
        </w:rPr>
        <w:t xml:space="preserve"> </w:t>
      </w:r>
      <w:r w:rsidRPr="002A5014">
        <w:rPr>
          <w:rFonts w:ascii="Palatino Linotype" w:eastAsia="Palatino Linotype" w:hAnsi="Palatino Linotype" w:cs="Palatino Linotype"/>
          <w:b/>
          <w:color w:val="000000" w:themeColor="text1"/>
          <w:sz w:val="24"/>
          <w:szCs w:val="24"/>
        </w:rPr>
        <w:t>O</w:t>
      </w:r>
    </w:p>
    <w:p w:rsidR="007F0605" w:rsidRPr="002A5014" w:rsidRDefault="007F0605" w:rsidP="002A5014">
      <w:pPr>
        <w:pStyle w:val="Ttulo2"/>
        <w:spacing w:before="0"/>
        <w:rPr>
          <w:rFonts w:ascii="Palatino Linotype" w:eastAsia="Palatino Linotype" w:hAnsi="Palatino Linotype" w:cs="Palatino Linotype"/>
          <w:b/>
          <w:color w:val="000000" w:themeColor="text1"/>
          <w:sz w:val="24"/>
          <w:szCs w:val="24"/>
        </w:rPr>
      </w:pPr>
      <w:bookmarkStart w:id="4" w:name="_heading=h.eukquq32djgq" w:colFirst="0" w:colLast="0"/>
      <w:bookmarkEnd w:id="4"/>
    </w:p>
    <w:p w:rsidR="007F0605" w:rsidRPr="002A5014" w:rsidRDefault="00301111" w:rsidP="002A5014">
      <w:pPr>
        <w:pStyle w:val="Ttulo2"/>
        <w:spacing w:before="0" w:line="360" w:lineRule="auto"/>
        <w:rPr>
          <w:rFonts w:ascii="Palatino Linotype" w:eastAsia="Palatino Linotype" w:hAnsi="Palatino Linotype" w:cs="Palatino Linotype"/>
          <w:b/>
          <w:color w:val="000000" w:themeColor="text1"/>
          <w:sz w:val="24"/>
          <w:szCs w:val="24"/>
        </w:rPr>
      </w:pPr>
      <w:r w:rsidRPr="002A5014">
        <w:rPr>
          <w:rFonts w:ascii="Palatino Linotype" w:eastAsia="Palatino Linotype" w:hAnsi="Palatino Linotype" w:cs="Palatino Linotype"/>
          <w:b/>
          <w:color w:val="000000" w:themeColor="text1"/>
          <w:sz w:val="24"/>
          <w:szCs w:val="24"/>
        </w:rPr>
        <w:t>PRIMERO. De la competencia</w:t>
      </w:r>
    </w:p>
    <w:p w:rsidR="00FA52BC" w:rsidRDefault="00FA52BC"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2A5014">
        <w:rPr>
          <w:rFonts w:ascii="Palatino Linotype" w:eastAsia="Palatino Linotype" w:hAnsi="Palatino Linotype" w:cs="Palatino Linotype"/>
          <w:color w:val="000000" w:themeColor="text1"/>
          <w:lang w:val="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974C79" w:rsidRDefault="00974C79" w:rsidP="00974C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rsidR="00974C79" w:rsidRDefault="00974C79" w:rsidP="00974C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rsidR="00974C79" w:rsidRPr="002A5014" w:rsidRDefault="00974C79" w:rsidP="00974C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lang w:val="es-MX"/>
        </w:rPr>
      </w:pPr>
    </w:p>
    <w:p w:rsidR="007F0605" w:rsidRPr="002A5014" w:rsidRDefault="00301111" w:rsidP="002A5014">
      <w:pPr>
        <w:spacing w:line="360" w:lineRule="auto"/>
        <w:jc w:val="both"/>
        <w:rPr>
          <w:rFonts w:ascii="Palatino Linotype" w:eastAsia="Palatino Linotype" w:hAnsi="Palatino Linotype" w:cs="Palatino Linotype"/>
          <w:b/>
          <w:color w:val="000000" w:themeColor="text1"/>
        </w:rPr>
      </w:pPr>
      <w:bookmarkStart w:id="5" w:name="_heading=h.dyf81up906hi" w:colFirst="0" w:colLast="0"/>
      <w:bookmarkEnd w:id="5"/>
      <w:r w:rsidRPr="002A5014">
        <w:rPr>
          <w:rFonts w:ascii="Palatino Linotype" w:eastAsia="Palatino Linotype" w:hAnsi="Palatino Linotype" w:cs="Palatino Linotype"/>
          <w:color w:val="000000" w:themeColor="text1"/>
        </w:rPr>
        <w:lastRenderedPageBreak/>
        <w:t xml:space="preserve"> </w:t>
      </w:r>
      <w:r w:rsidRPr="002A5014">
        <w:rPr>
          <w:rFonts w:ascii="Palatino Linotype" w:eastAsia="Palatino Linotype" w:hAnsi="Palatino Linotype" w:cs="Palatino Linotype"/>
          <w:b/>
          <w:color w:val="000000" w:themeColor="text1"/>
        </w:rPr>
        <w:t>SEGUNDO. De la oportunidad y procedencia.</w:t>
      </w:r>
    </w:p>
    <w:p w:rsidR="00FA52BC" w:rsidRPr="002A5014" w:rsidRDefault="00FA52BC" w:rsidP="002A501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lang w:val="es-MX"/>
        </w:rPr>
      </w:pPr>
      <w:r w:rsidRPr="002A5014">
        <w:rPr>
          <w:rFonts w:ascii="Palatino Linotype" w:eastAsia="Palatino Linotype" w:hAnsi="Palatino Linotype" w:cs="Palatino Linotype"/>
          <w:color w:val="000000" w:themeColor="text1"/>
          <w:lang w:val="es-MX"/>
        </w:rPr>
        <w:t xml:space="preserve">El medio de impugnación fue presentado a través del </w:t>
      </w:r>
      <w:r w:rsidRPr="002A5014">
        <w:rPr>
          <w:rFonts w:ascii="Palatino Linotype" w:eastAsia="Palatino Linotype" w:hAnsi="Palatino Linotype" w:cs="Palatino Linotype"/>
          <w:b/>
          <w:color w:val="000000" w:themeColor="text1"/>
          <w:lang w:val="es-MX"/>
        </w:rPr>
        <w:t>SAIMEX,</w:t>
      </w:r>
      <w:r w:rsidRPr="002A5014">
        <w:rPr>
          <w:rFonts w:ascii="Palatino Linotype" w:eastAsia="Palatino Linotype" w:hAnsi="Palatino Linotype" w:cs="Palatino Linotype"/>
          <w:color w:val="000000" w:themeColor="text1"/>
          <w:lang w:val="es-MX"/>
        </w:rPr>
        <w:t xml:space="preserve"> en el formato previamente aprobado para tal efecto y dentro del plazo legal de quince días hábiles otorgados; para el caso en particular es de señalar que el </w:t>
      </w:r>
      <w:r w:rsidRPr="002A5014">
        <w:rPr>
          <w:rFonts w:ascii="Palatino Linotype" w:eastAsia="Palatino Linotype" w:hAnsi="Palatino Linotype" w:cs="Palatino Linotype"/>
          <w:b/>
          <w:color w:val="000000" w:themeColor="text1"/>
          <w:lang w:val="es-MX"/>
        </w:rPr>
        <w:t>SUJETO OBLIGADO</w:t>
      </w:r>
      <w:r w:rsidRPr="002A5014">
        <w:rPr>
          <w:rFonts w:ascii="Palatino Linotype" w:eastAsia="Palatino Linotype" w:hAnsi="Palatino Linotype" w:cs="Palatino Linotype"/>
          <w:color w:val="000000" w:themeColor="text1"/>
          <w:lang w:val="es-MX"/>
        </w:rPr>
        <w:t xml:space="preserve"> entregó respuesta el </w:t>
      </w:r>
      <w:r w:rsidR="006140D4" w:rsidRPr="002A5014">
        <w:rPr>
          <w:rFonts w:ascii="Palatino Linotype" w:eastAsia="Palatino Linotype" w:hAnsi="Palatino Linotype" w:cs="Palatino Linotype"/>
          <w:b/>
          <w:color w:val="000000" w:themeColor="text1"/>
          <w:lang w:val="es-MX"/>
        </w:rPr>
        <w:t>once de julio</w:t>
      </w:r>
      <w:r w:rsidRPr="002A5014">
        <w:rPr>
          <w:rFonts w:ascii="Palatino Linotype" w:eastAsia="Palatino Linotype" w:hAnsi="Palatino Linotype" w:cs="Palatino Linotype"/>
          <w:b/>
          <w:color w:val="000000" w:themeColor="text1"/>
          <w:lang w:val="es-MX"/>
        </w:rPr>
        <w:t xml:space="preserve"> de dos mil veinticinco</w:t>
      </w:r>
      <w:r w:rsidRPr="002A5014">
        <w:rPr>
          <w:rFonts w:ascii="Palatino Linotype" w:eastAsia="Palatino Linotype" w:hAnsi="Palatino Linotype" w:cs="Palatino Linotype"/>
          <w:color w:val="000000" w:themeColor="text1"/>
          <w:lang w:val="es-MX"/>
        </w:rPr>
        <w:t xml:space="preserve">, de tal forma que el plazo para interponer el recurso transcurrió del </w:t>
      </w:r>
      <w:r w:rsidR="006140D4" w:rsidRPr="002A5014">
        <w:rPr>
          <w:rFonts w:ascii="Palatino Linotype" w:eastAsia="Palatino Linotype" w:hAnsi="Palatino Linotype" w:cs="Palatino Linotype"/>
          <w:b/>
          <w:color w:val="000000" w:themeColor="text1"/>
          <w:lang w:val="es-MX"/>
        </w:rPr>
        <w:t xml:space="preserve">catorce de julio </w:t>
      </w:r>
      <w:r w:rsidR="00474777" w:rsidRPr="002A5014">
        <w:rPr>
          <w:rFonts w:ascii="Palatino Linotype" w:eastAsia="Palatino Linotype" w:hAnsi="Palatino Linotype" w:cs="Palatino Linotype"/>
          <w:b/>
          <w:color w:val="000000" w:themeColor="text1"/>
          <w:lang w:val="es-MX"/>
        </w:rPr>
        <w:t>de octubre</w:t>
      </w:r>
      <w:r w:rsidR="005E0F45" w:rsidRPr="002A5014">
        <w:rPr>
          <w:rFonts w:ascii="Palatino Linotype" w:eastAsia="Palatino Linotype" w:hAnsi="Palatino Linotype" w:cs="Palatino Linotype"/>
          <w:b/>
          <w:color w:val="000000" w:themeColor="text1"/>
          <w:lang w:val="es-MX"/>
        </w:rPr>
        <w:t xml:space="preserve"> al </w:t>
      </w:r>
      <w:r w:rsidR="006140D4" w:rsidRPr="002A5014">
        <w:rPr>
          <w:rFonts w:ascii="Palatino Linotype" w:eastAsia="Palatino Linotype" w:hAnsi="Palatino Linotype" w:cs="Palatino Linotype"/>
          <w:b/>
          <w:color w:val="000000" w:themeColor="text1"/>
          <w:lang w:val="es-MX"/>
        </w:rPr>
        <w:t>quince de agosto</w:t>
      </w:r>
      <w:r w:rsidRPr="002A5014">
        <w:rPr>
          <w:rFonts w:ascii="Palatino Linotype" w:eastAsia="Palatino Linotype" w:hAnsi="Palatino Linotype" w:cs="Palatino Linotype"/>
          <w:b/>
          <w:color w:val="000000" w:themeColor="text1"/>
          <w:lang w:val="es-MX"/>
        </w:rPr>
        <w:t xml:space="preserve"> de dos mil veinticinco, </w:t>
      </w:r>
      <w:r w:rsidRPr="002A5014">
        <w:rPr>
          <w:rFonts w:ascii="Palatino Linotype" w:eastAsia="Palatino Linotype" w:hAnsi="Palatino Linotype" w:cs="Palatino Linotype"/>
          <w:color w:val="000000" w:themeColor="text1"/>
          <w:lang w:val="es-MX"/>
        </w:rPr>
        <w:t xml:space="preserve">en consecuencia, si el </w:t>
      </w:r>
      <w:r w:rsidRPr="002A5014">
        <w:rPr>
          <w:rFonts w:ascii="Palatino Linotype" w:eastAsia="Palatino Linotype" w:hAnsi="Palatino Linotype" w:cs="Palatino Linotype"/>
          <w:b/>
          <w:color w:val="000000" w:themeColor="text1"/>
          <w:lang w:val="es-MX"/>
        </w:rPr>
        <w:t>PARTICULAR</w:t>
      </w:r>
      <w:r w:rsidRPr="002A5014">
        <w:rPr>
          <w:rFonts w:ascii="Palatino Linotype" w:eastAsia="Palatino Linotype" w:hAnsi="Palatino Linotype" w:cs="Palatino Linotype"/>
          <w:color w:val="000000" w:themeColor="text1"/>
          <w:lang w:val="es-MX"/>
        </w:rPr>
        <w:t xml:space="preserve"> presentó su inconformidad el </w:t>
      </w:r>
      <w:r w:rsidR="006140D4" w:rsidRPr="002A5014">
        <w:rPr>
          <w:rFonts w:ascii="Palatino Linotype" w:eastAsia="Palatino Linotype" w:hAnsi="Palatino Linotype" w:cs="Palatino Linotype"/>
          <w:b/>
          <w:color w:val="000000" w:themeColor="text1"/>
          <w:lang w:val="es-MX"/>
        </w:rPr>
        <w:t>trece de julio</w:t>
      </w:r>
      <w:r w:rsidR="00474777" w:rsidRPr="002A5014">
        <w:rPr>
          <w:rFonts w:ascii="Palatino Linotype" w:eastAsia="Palatino Linotype" w:hAnsi="Palatino Linotype" w:cs="Palatino Linotype"/>
          <w:b/>
          <w:color w:val="000000" w:themeColor="text1"/>
          <w:lang w:val="es-MX"/>
        </w:rPr>
        <w:t xml:space="preserve"> </w:t>
      </w:r>
      <w:r w:rsidRPr="002A5014">
        <w:rPr>
          <w:rFonts w:ascii="Palatino Linotype" w:eastAsia="Palatino Linotype" w:hAnsi="Palatino Linotype" w:cs="Palatino Linotype"/>
          <w:b/>
          <w:color w:val="000000" w:themeColor="text1"/>
          <w:lang w:val="es-MX"/>
        </w:rPr>
        <w:t>de dos mil veinticinco</w:t>
      </w:r>
      <w:r w:rsidR="00474777" w:rsidRPr="002A5014">
        <w:rPr>
          <w:rFonts w:ascii="Palatino Linotype" w:eastAsia="Palatino Linotype" w:hAnsi="Palatino Linotype" w:cs="Palatino Linotype"/>
          <w:color w:val="000000" w:themeColor="text1"/>
          <w:lang w:val="es-MX"/>
        </w:rPr>
        <w:t xml:space="preserve">, este </w:t>
      </w:r>
      <w:r w:rsidRPr="002A5014">
        <w:rPr>
          <w:rFonts w:ascii="Palatino Linotype" w:eastAsia="Palatino Linotype" w:hAnsi="Palatino Linotype" w:cs="Palatino Linotype"/>
          <w:color w:val="000000" w:themeColor="text1"/>
          <w:lang w:val="es-MX"/>
        </w:rPr>
        <w:t xml:space="preserve">se encuentra dentro de los márgenes temporales previstos en el artículo 178 de la </w:t>
      </w:r>
      <w:r w:rsidRPr="002A5014">
        <w:rPr>
          <w:rFonts w:ascii="Palatino Linotype" w:eastAsia="Palatino Linotype" w:hAnsi="Palatino Linotype" w:cs="Palatino Linotype"/>
          <w:b/>
          <w:color w:val="000000" w:themeColor="text1"/>
          <w:lang w:val="es-MX"/>
        </w:rPr>
        <w:t xml:space="preserve">Ley de Transparencia y Acceso a la Información Pública del Estado de México y Municipios </w:t>
      </w:r>
      <w:r w:rsidRPr="002A5014">
        <w:rPr>
          <w:rFonts w:ascii="Palatino Linotype" w:eastAsia="Palatino Linotype" w:hAnsi="Palatino Linotype" w:cs="Palatino Linotype"/>
          <w:color w:val="000000" w:themeColor="text1"/>
          <w:lang w:val="es-MX"/>
        </w:rPr>
        <w:t xml:space="preserve">vigente. </w:t>
      </w:r>
    </w:p>
    <w:p w:rsidR="007F0605" w:rsidRPr="002A5014" w:rsidRDefault="007F0605" w:rsidP="002A5014">
      <w:pPr>
        <w:rPr>
          <w:rFonts w:ascii="Palatino Linotype" w:eastAsia="Palatino Linotype" w:hAnsi="Palatino Linotype" w:cs="Palatino Linotype"/>
          <w:color w:val="000000" w:themeColor="text1"/>
        </w:rPr>
      </w:pPr>
    </w:p>
    <w:p w:rsidR="00FA52BC" w:rsidRPr="002A5014" w:rsidRDefault="00ED55EB" w:rsidP="002A5014">
      <w:pPr>
        <w:pStyle w:val="Ttulo2"/>
        <w:rPr>
          <w:rFonts w:ascii="Palatino Linotype" w:eastAsia="Palatino Linotype" w:hAnsi="Palatino Linotype" w:cs="Palatino Linotype"/>
          <w:b/>
          <w:i/>
          <w:color w:val="000000" w:themeColor="text1"/>
          <w:sz w:val="24"/>
          <w:szCs w:val="24"/>
        </w:rPr>
      </w:pPr>
      <w:bookmarkStart w:id="6" w:name="_heading=h.dtalz9vugpm6" w:colFirst="0" w:colLast="0"/>
      <w:bookmarkEnd w:id="6"/>
      <w:r w:rsidRPr="002A5014">
        <w:rPr>
          <w:rFonts w:ascii="Palatino Linotype" w:eastAsia="Palatino Linotype" w:hAnsi="Palatino Linotype" w:cs="Palatino Linotype"/>
          <w:b/>
          <w:color w:val="000000" w:themeColor="text1"/>
          <w:sz w:val="24"/>
          <w:szCs w:val="24"/>
        </w:rPr>
        <w:t>TERCERO. De las causales del sobreseimiento.</w:t>
      </w:r>
    </w:p>
    <w:p w:rsidR="00ED55EB" w:rsidRPr="002A5014" w:rsidRDefault="00ED55EB" w:rsidP="002A5014">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bookmarkStart w:id="7" w:name="_Toc504500693"/>
      <w:bookmarkStart w:id="8" w:name="_Toc534742545"/>
      <w:bookmarkStart w:id="9" w:name="_Toc2248738"/>
      <w:bookmarkStart w:id="10" w:name="_Toc34819440"/>
      <w:bookmarkStart w:id="11" w:name="_Toc51259595"/>
      <w:bookmarkStart w:id="12" w:name="_Toc83128595"/>
      <w:bookmarkStart w:id="13" w:name="_Toc34911390"/>
      <w:r w:rsidRPr="002A5014">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2A5014">
        <w:rPr>
          <w:rFonts w:ascii="Palatino Linotype" w:eastAsia="Palatino Linotype" w:hAnsi="Palatino Linotype" w:cs="Palatino Linotype"/>
          <w:b/>
          <w:color w:val="000000" w:themeColor="text1"/>
          <w:u w:val="single"/>
        </w:rPr>
        <w:t>sobreseimiento</w:t>
      </w:r>
      <w:r w:rsidRPr="002A5014">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2A5014">
        <w:rPr>
          <w:rFonts w:ascii="Palatino Linotype" w:eastAsia="Palatino Linotype" w:hAnsi="Palatino Linotype" w:cs="Palatino Linotype"/>
          <w:b/>
          <w:color w:val="000000" w:themeColor="text1"/>
        </w:rPr>
        <w:t>SUJETO</w:t>
      </w:r>
      <w:r w:rsidRPr="002A5014">
        <w:rPr>
          <w:rFonts w:ascii="Palatino Linotype" w:eastAsia="Palatino Linotype" w:hAnsi="Palatino Linotype" w:cs="Palatino Linotype"/>
          <w:color w:val="000000" w:themeColor="text1"/>
        </w:rPr>
        <w:t xml:space="preserve"> </w:t>
      </w:r>
      <w:r w:rsidRPr="002A5014">
        <w:rPr>
          <w:rFonts w:ascii="Palatino Linotype" w:eastAsia="Palatino Linotype" w:hAnsi="Palatino Linotype" w:cs="Palatino Linotype"/>
          <w:b/>
          <w:color w:val="000000" w:themeColor="text1"/>
        </w:rPr>
        <w:t>OBLIGADO</w:t>
      </w:r>
      <w:r w:rsidRPr="002A5014">
        <w:rPr>
          <w:rFonts w:ascii="Palatino Linotype" w:eastAsia="Palatino Linotype" w:hAnsi="Palatino Linotype" w:cs="Palatino Linotype"/>
          <w:color w:val="000000" w:themeColor="text1"/>
        </w:rPr>
        <w:t>.</w:t>
      </w:r>
    </w:p>
    <w:p w:rsidR="00ED55EB" w:rsidRPr="002A5014" w:rsidRDefault="00ED55EB" w:rsidP="002A5014">
      <w:pPr>
        <w:pStyle w:val="Prrafodelista"/>
        <w:spacing w:line="360" w:lineRule="auto"/>
        <w:ind w:left="0"/>
        <w:jc w:val="both"/>
        <w:rPr>
          <w:rFonts w:ascii="Palatino Linotype" w:eastAsia="Palatino Linotype" w:hAnsi="Palatino Linotype" w:cs="Palatino Linotype"/>
          <w:color w:val="000000" w:themeColor="text1"/>
        </w:rPr>
      </w:pPr>
    </w:p>
    <w:p w:rsidR="00ED55EB" w:rsidRPr="002A5014" w:rsidRDefault="00ED55EB" w:rsidP="002A501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 xml:space="preserve">De acuerdo al precepto legal contenido en la fracción III del artículo 192 de la </w:t>
      </w:r>
      <w:r w:rsidRPr="002A5014">
        <w:rPr>
          <w:rFonts w:ascii="Palatino Linotype" w:eastAsia="Palatino Linotype" w:hAnsi="Palatino Linotype" w:cs="Palatino Linotype"/>
          <w:b/>
          <w:color w:val="000000" w:themeColor="text1"/>
        </w:rPr>
        <w:t>Ley de Transparencia y Acceso a la Información Pública del Estado de México y Municipios</w:t>
      </w:r>
      <w:r w:rsidRPr="002A5014">
        <w:rPr>
          <w:rFonts w:ascii="Palatino Linotype" w:eastAsia="Palatino Linotype" w:hAnsi="Palatino Linotype" w:cs="Palatino Linotype"/>
          <w:color w:val="000000" w:themeColor="text1"/>
        </w:rPr>
        <w:t xml:space="preserve">, el recurso será sobreseído, en todo o en parte, cuando una vez admitido, el sujeto obligado responsable del acto lo modifique o revoque de tal manera que el recurso de revisión quede sin materia; de ahí que la actualización de alguno de éste trae como consecuencia que el </w:t>
      </w:r>
      <w:r w:rsidRPr="002A5014">
        <w:rPr>
          <w:rFonts w:ascii="Palatino Linotype" w:eastAsia="Palatino Linotype" w:hAnsi="Palatino Linotype" w:cs="Palatino Linotype"/>
          <w:color w:val="000000" w:themeColor="text1"/>
        </w:rPr>
        <w:lastRenderedPageBreak/>
        <w:t>medio de impugnación se concluya sin que se analice el objeto de estudio planteado, es decir se sobresea.</w:t>
      </w:r>
    </w:p>
    <w:p w:rsidR="00ED55EB" w:rsidRPr="002A5014" w:rsidRDefault="00ED55EB" w:rsidP="002A5014">
      <w:pPr>
        <w:spacing w:line="360" w:lineRule="auto"/>
        <w:jc w:val="both"/>
        <w:rPr>
          <w:rFonts w:ascii="Palatino Linotype" w:eastAsia="Palatino Linotype" w:hAnsi="Palatino Linotype" w:cs="Palatino Linotype"/>
          <w:color w:val="000000" w:themeColor="text1"/>
        </w:rPr>
      </w:pPr>
    </w:p>
    <w:p w:rsidR="00ED55EB" w:rsidRPr="002A5014" w:rsidRDefault="00ED55EB" w:rsidP="002A501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w:t>
      </w:r>
    </w:p>
    <w:p w:rsidR="00ED55EB" w:rsidRPr="002A5014" w:rsidRDefault="00ED55EB" w:rsidP="002A5014">
      <w:pPr>
        <w:numPr>
          <w:ilvl w:val="0"/>
          <w:numId w:val="32"/>
        </w:numPr>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b/>
          <w:color w:val="000000" w:themeColor="text1"/>
        </w:rPr>
        <w:t>Modifique el acto impugnado:</w:t>
      </w:r>
      <w:r w:rsidRPr="002A5014">
        <w:rPr>
          <w:rFonts w:ascii="Palatino Linotype" w:eastAsia="Palatino Linotype" w:hAnsi="Palatino Linotype" w:cs="Palatino Linotype"/>
          <w:color w:val="000000" w:themeColor="text1"/>
        </w:rPr>
        <w:t xml:space="preserve"> Se actualiza cuando 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ED55EB" w:rsidRPr="002A5014" w:rsidRDefault="00ED55EB" w:rsidP="002A5014">
      <w:pPr>
        <w:jc w:val="both"/>
        <w:rPr>
          <w:rFonts w:ascii="Palatino Linotype" w:eastAsia="Palatino Linotype" w:hAnsi="Palatino Linotype" w:cs="Palatino Linotype"/>
          <w:color w:val="000000" w:themeColor="text1"/>
        </w:rPr>
      </w:pPr>
    </w:p>
    <w:p w:rsidR="00ED55EB" w:rsidRPr="002A5014" w:rsidRDefault="00ED55EB" w:rsidP="002A5014">
      <w:pPr>
        <w:numPr>
          <w:ilvl w:val="0"/>
          <w:numId w:val="32"/>
        </w:numPr>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b/>
          <w:color w:val="000000" w:themeColor="text1"/>
        </w:rPr>
        <w:t>Revoque el acto impugnado:</w:t>
      </w:r>
      <w:r w:rsidRPr="002A5014">
        <w:rPr>
          <w:rFonts w:ascii="Palatino Linotype" w:eastAsia="Palatino Linotype" w:hAnsi="Palatino Linotype" w:cs="Palatino Linotype"/>
          <w:color w:val="000000" w:themeColor="text1"/>
        </w:rPr>
        <w:t xml:space="preserve"> En este supuesto, 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ED55EB" w:rsidRPr="002A5014" w:rsidRDefault="00ED55EB" w:rsidP="002A5014">
      <w:pPr>
        <w:spacing w:line="360" w:lineRule="auto"/>
        <w:jc w:val="both"/>
        <w:rPr>
          <w:rFonts w:ascii="Palatino Linotype" w:eastAsia="Palatino Linotype" w:hAnsi="Palatino Linotype" w:cs="Palatino Linotype"/>
          <w:color w:val="000000" w:themeColor="text1"/>
        </w:rPr>
      </w:pPr>
    </w:p>
    <w:p w:rsidR="00ED55EB" w:rsidRPr="002A5014" w:rsidRDefault="00ED55EB" w:rsidP="002A501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ED55EB" w:rsidRPr="002A5014" w:rsidRDefault="00ED55EB" w:rsidP="002A5014">
      <w:pPr>
        <w:spacing w:line="360" w:lineRule="auto"/>
        <w:jc w:val="both"/>
        <w:rPr>
          <w:rFonts w:ascii="Palatino Linotype" w:eastAsia="Palatino Linotype" w:hAnsi="Palatino Linotype" w:cs="Palatino Linotype"/>
          <w:color w:val="000000" w:themeColor="text1"/>
        </w:rPr>
      </w:pPr>
    </w:p>
    <w:p w:rsidR="006140D4" w:rsidRPr="002A5014" w:rsidRDefault="00ED55E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color w:val="000000" w:themeColor="text1"/>
        </w:rPr>
        <w:t xml:space="preserve">En el presente caso, el </w:t>
      </w:r>
      <w:r w:rsidRPr="002A5014">
        <w:rPr>
          <w:rFonts w:ascii="Palatino Linotype" w:eastAsia="Palatino Linotype" w:hAnsi="Palatino Linotype" w:cs="Palatino Linotype"/>
          <w:b/>
          <w:color w:val="000000" w:themeColor="text1"/>
        </w:rPr>
        <w:t xml:space="preserve">RECURRENTE </w:t>
      </w:r>
      <w:r w:rsidRPr="002A5014">
        <w:rPr>
          <w:rFonts w:ascii="Palatino Linotype" w:eastAsia="Palatino Linotype" w:hAnsi="Palatino Linotype" w:cs="Palatino Linotype"/>
          <w:color w:val="000000" w:themeColor="text1"/>
        </w:rPr>
        <w:t xml:space="preserve">solicitó </w:t>
      </w:r>
      <w:r w:rsidR="006140D4" w:rsidRPr="002A5014">
        <w:rPr>
          <w:rFonts w:ascii="Palatino Linotype" w:hAnsi="Palatino Linotype"/>
          <w:color w:val="000000" w:themeColor="text1"/>
        </w:rPr>
        <w:t>la liga digital de internet (link) donde se pueda consultar los nombres de los integrantes del Comité Municipal de Dictámenes de Giro, así como, el sustento legal donde se pronuncia los requisitos que se deben de cumplir para poder ser parte del mismo comité.</w:t>
      </w:r>
      <w:r w:rsidR="006140D4" w:rsidRPr="002A5014">
        <w:rPr>
          <w:rFonts w:ascii="Palatino Linotype" w:eastAsia="Palatino Linotype" w:hAnsi="Palatino Linotype" w:cs="Palatino Linotype"/>
          <w:color w:val="000000" w:themeColor="text1"/>
        </w:rPr>
        <w:t>”</w:t>
      </w:r>
    </w:p>
    <w:p w:rsidR="00474777" w:rsidRPr="002A5014" w:rsidRDefault="00474777" w:rsidP="002A5014">
      <w:pPr>
        <w:spacing w:line="360" w:lineRule="auto"/>
        <w:jc w:val="both"/>
        <w:rPr>
          <w:rFonts w:ascii="Palatino Linotype" w:eastAsia="Palatino Linotype" w:hAnsi="Palatino Linotype" w:cs="Palatino Linotype"/>
          <w:b/>
          <w:color w:val="000000" w:themeColor="text1"/>
        </w:rPr>
      </w:pPr>
    </w:p>
    <w:p w:rsidR="006140D4" w:rsidRPr="002A5014" w:rsidRDefault="00ED55EB" w:rsidP="002A5014">
      <w:pPr>
        <w:numPr>
          <w:ilvl w:val="0"/>
          <w:numId w:val="1"/>
        </w:numPr>
        <w:spacing w:line="360" w:lineRule="auto"/>
        <w:ind w:left="0" w:firstLine="0"/>
        <w:jc w:val="both"/>
        <w:rPr>
          <w:rStyle w:val="Hipervnculo"/>
          <w:rFonts w:ascii="Palatino Linotype" w:eastAsia="Palatino Linotype" w:hAnsi="Palatino Linotype" w:cs="Palatino Linotype"/>
          <w:b/>
          <w:color w:val="000000" w:themeColor="text1"/>
          <w:u w:val="none"/>
        </w:rPr>
      </w:pPr>
      <w:r w:rsidRPr="002A5014">
        <w:rPr>
          <w:rFonts w:ascii="Palatino Linotype" w:eastAsia="Palatino Linotype" w:hAnsi="Palatino Linotype" w:cs="Palatino Linotype"/>
          <w:color w:val="000000" w:themeColor="text1"/>
        </w:rPr>
        <w:lastRenderedPageBreak/>
        <w:t xml:space="preserve">En respuesta, 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 xml:space="preserve"> por medio </w:t>
      </w:r>
      <w:r w:rsidR="006140D4" w:rsidRPr="002A5014">
        <w:rPr>
          <w:rFonts w:ascii="Palatino Linotype" w:eastAsia="Palatino Linotype" w:hAnsi="Palatino Linotype" w:cs="Palatino Linotype"/>
          <w:color w:val="000000" w:themeColor="text1"/>
        </w:rPr>
        <w:t xml:space="preserve">del </w:t>
      </w:r>
      <w:r w:rsidR="006140D4" w:rsidRPr="002A5014">
        <w:rPr>
          <w:rFonts w:ascii="Palatino Linotype" w:hAnsi="Palatino Linotype"/>
          <w:color w:val="000000" w:themeColor="text1"/>
        </w:rPr>
        <w:t>Director de Desarrollo Económico, remitió un link para dar respuesta a la solicitud de información. Por otro lado, refirió que el sustento legal para la integración del Comité Municipal de Dictámenes de Giro y sus integrantes, es la Ley de Competitividad y Ordenamiento Comercial del Estado de México.</w:t>
      </w:r>
    </w:p>
    <w:p w:rsidR="00ED55EB" w:rsidRPr="002A5014" w:rsidRDefault="00ED55EB" w:rsidP="002A5014">
      <w:pPr>
        <w:spacing w:line="360" w:lineRule="auto"/>
        <w:jc w:val="both"/>
        <w:rPr>
          <w:rFonts w:ascii="Palatino Linotype" w:eastAsia="Palatino Linotype" w:hAnsi="Palatino Linotype" w:cs="Palatino Linotype"/>
          <w:color w:val="000000" w:themeColor="text1"/>
        </w:rPr>
      </w:pPr>
    </w:p>
    <w:p w:rsidR="00ED55EB" w:rsidRPr="002A5014" w:rsidRDefault="00ED55E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color w:val="000000" w:themeColor="text1"/>
        </w:rPr>
        <w:t xml:space="preserve">Posteriormente, el </w:t>
      </w:r>
      <w:r w:rsidRPr="002A5014">
        <w:rPr>
          <w:rFonts w:ascii="Palatino Linotype" w:eastAsia="Palatino Linotype" w:hAnsi="Palatino Linotype" w:cs="Palatino Linotype"/>
          <w:b/>
          <w:color w:val="000000" w:themeColor="text1"/>
        </w:rPr>
        <w:t>RECURRENTE</w:t>
      </w:r>
      <w:r w:rsidRPr="002A5014">
        <w:rPr>
          <w:rFonts w:ascii="Palatino Linotype" w:eastAsia="Palatino Linotype" w:hAnsi="Palatino Linotype" w:cs="Palatino Linotype"/>
          <w:color w:val="000000" w:themeColor="text1"/>
        </w:rPr>
        <w:t xml:space="preserve"> se inconformó por</w:t>
      </w:r>
      <w:r w:rsidR="00D9264B" w:rsidRPr="002A5014">
        <w:rPr>
          <w:rFonts w:ascii="Palatino Linotype" w:eastAsia="Palatino Linotype" w:hAnsi="Palatino Linotype" w:cs="Palatino Linotype"/>
          <w:color w:val="000000" w:themeColor="text1"/>
        </w:rPr>
        <w:t xml:space="preserve">que </w:t>
      </w:r>
      <w:r w:rsidR="00474777" w:rsidRPr="002A5014">
        <w:rPr>
          <w:rFonts w:ascii="Palatino Linotype" w:eastAsia="Palatino Linotype" w:hAnsi="Palatino Linotype" w:cs="Palatino Linotype"/>
          <w:b/>
          <w:color w:val="000000" w:themeColor="text1"/>
        </w:rPr>
        <w:t xml:space="preserve">no </w:t>
      </w:r>
      <w:r w:rsidR="006140D4" w:rsidRPr="002A5014">
        <w:rPr>
          <w:rFonts w:ascii="Palatino Linotype" w:eastAsia="Palatino Linotype" w:hAnsi="Palatino Linotype" w:cs="Palatino Linotype"/>
          <w:b/>
          <w:color w:val="000000" w:themeColor="text1"/>
        </w:rPr>
        <w:t xml:space="preserve">se precisaron los artículos </w:t>
      </w:r>
      <w:r w:rsidR="006140D4" w:rsidRPr="002A5014">
        <w:rPr>
          <w:rFonts w:ascii="Palatino Linotype" w:hAnsi="Palatino Linotype"/>
          <w:b/>
          <w:color w:val="000000" w:themeColor="text1"/>
        </w:rPr>
        <w:t>de la Ley de Competitividad y Ordenamiento Comercial del Estado de México, donde se estipula la conformación del Comité Municipal de Dictámenes de Giro.</w:t>
      </w:r>
      <w:r w:rsidR="006140D4" w:rsidRPr="002A5014">
        <w:rPr>
          <w:rFonts w:ascii="Palatino Linotype" w:eastAsia="Palatino Linotype" w:hAnsi="Palatino Linotype" w:cs="Palatino Linotype"/>
          <w:b/>
          <w:color w:val="000000" w:themeColor="text1"/>
        </w:rPr>
        <w:t xml:space="preserve"> </w:t>
      </w:r>
    </w:p>
    <w:p w:rsidR="00C81CE6" w:rsidRPr="002A5014" w:rsidRDefault="00C81CE6" w:rsidP="002A5014">
      <w:pPr>
        <w:pStyle w:val="Prrafodelista"/>
        <w:ind w:left="0"/>
        <w:rPr>
          <w:rFonts w:ascii="Palatino Linotype" w:eastAsia="Palatino Linotype" w:hAnsi="Palatino Linotype" w:cs="Palatino Linotype"/>
          <w:b/>
          <w:color w:val="000000" w:themeColor="text1"/>
        </w:rPr>
      </w:pPr>
    </w:p>
    <w:p w:rsidR="00C81CE6" w:rsidRPr="002A5014" w:rsidRDefault="00C81CE6" w:rsidP="002A501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 xml:space="preserve">En </w:t>
      </w:r>
      <w:r w:rsidRPr="002A5014">
        <w:rPr>
          <w:rFonts w:ascii="Palatino Linotype" w:eastAsia="MS Gothic" w:hAnsi="Palatino Linotype" w:cstheme="majorBidi"/>
          <w:color w:val="000000" w:themeColor="text1"/>
        </w:rPr>
        <w:t xml:space="preserve">este caso, el </w:t>
      </w:r>
      <w:r w:rsidRPr="002A5014">
        <w:rPr>
          <w:rFonts w:ascii="Palatino Linotype" w:eastAsia="MS Gothic" w:hAnsi="Palatino Linotype" w:cstheme="majorBidi"/>
          <w:b/>
          <w:bCs/>
          <w:color w:val="000000" w:themeColor="text1"/>
        </w:rPr>
        <w:t>RECURRENTE</w:t>
      </w:r>
      <w:r w:rsidRPr="002A5014">
        <w:rPr>
          <w:rFonts w:ascii="Palatino Linotype" w:eastAsia="MS Gothic" w:hAnsi="Palatino Linotype" w:cstheme="majorBidi"/>
          <w:b/>
          <w:color w:val="000000" w:themeColor="text1"/>
        </w:rPr>
        <w:t xml:space="preserve"> </w:t>
      </w:r>
      <w:r w:rsidRPr="002A5014">
        <w:rPr>
          <w:rFonts w:ascii="Palatino Linotype" w:eastAsia="MS Gothic" w:hAnsi="Palatino Linotype" w:cstheme="majorBidi"/>
          <w:color w:val="000000" w:themeColor="text1"/>
        </w:rPr>
        <w:t xml:space="preserve">no se inconformó por la totalidad de la respuesta. Bajo ese tenor, se tiene que la parte de la respuesta que no fue impugnada debe declararse como consentida, toda vez que, </w:t>
      </w:r>
      <w:r w:rsidRPr="002A5014">
        <w:rPr>
          <w:rFonts w:ascii="Palatino Linotype" w:eastAsia="Palatino Linotype" w:hAnsi="Palatino Linotype" w:cs="Palatino Linotype"/>
          <w:color w:val="000000" w:themeColor="text1"/>
        </w:rPr>
        <w:t xml:space="preserve">al no haber realizado manifestaciones de inconformidad al respecto, se infiere que la información proporcionada por 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 xml:space="preserve"> satisface este punto de la solicitud presentada.</w:t>
      </w:r>
    </w:p>
    <w:p w:rsidR="00C81CE6" w:rsidRPr="002A5014" w:rsidRDefault="00C81CE6" w:rsidP="002A50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C81CE6" w:rsidRPr="002A5014" w:rsidRDefault="00C81CE6" w:rsidP="002A501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A5014">
        <w:rPr>
          <w:rFonts w:ascii="Palatino Linotype" w:eastAsia="Calibri" w:hAnsi="Palatino Linotype" w:cs="Arial"/>
          <w:color w:val="000000" w:themeColor="text1"/>
          <w:lang w:val="es-ES"/>
        </w:rPr>
        <w:t xml:space="preserve">Lo </w:t>
      </w:r>
      <w:r w:rsidRPr="002A5014">
        <w:rPr>
          <w:rFonts w:ascii="Palatino Linotype" w:eastAsia="Palatino Linotype" w:hAnsi="Palatino Linotype" w:cs="Palatino Linotype"/>
          <w:color w:val="000000" w:themeColor="text1"/>
        </w:rPr>
        <w:t xml:space="preserve">anterior es así, debido a que cuando un Recurrente impugna la respuesta del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C81CE6" w:rsidRPr="002A5014" w:rsidRDefault="00C81CE6" w:rsidP="002A5014">
      <w:pPr>
        <w:pStyle w:val="Prrafodelista"/>
        <w:ind w:left="0"/>
        <w:rPr>
          <w:rFonts w:ascii="Palatino Linotype" w:eastAsia="Calibri" w:hAnsi="Palatino Linotype" w:cs="Arial"/>
          <w:color w:val="000000" w:themeColor="text1"/>
          <w:lang w:val="es-ES"/>
        </w:rPr>
      </w:pPr>
    </w:p>
    <w:p w:rsidR="00C81CE6" w:rsidRPr="002A5014" w:rsidRDefault="00C81CE6" w:rsidP="002A5014">
      <w:pPr>
        <w:pStyle w:val="Prrafodelista"/>
        <w:ind w:left="0"/>
        <w:jc w:val="both"/>
        <w:rPr>
          <w:rFonts w:ascii="Palatino Linotype" w:eastAsia="Palatino Linotype" w:hAnsi="Palatino Linotype" w:cs="Palatino Linotype"/>
          <w:i/>
          <w:color w:val="000000" w:themeColor="text1"/>
        </w:rPr>
      </w:pPr>
      <w:r w:rsidRPr="002A5014">
        <w:rPr>
          <w:rFonts w:ascii="Palatino Linotype" w:eastAsia="Palatino Linotype" w:hAnsi="Palatino Linotype" w:cs="Palatino Linotype"/>
          <w:b/>
          <w:i/>
          <w:color w:val="000000" w:themeColor="text1"/>
        </w:rPr>
        <w:lastRenderedPageBreak/>
        <w:t xml:space="preserve">“REVISIÓN EN AMPARO. LOS RESOLUTIVOS NO COMBATIDOS DEBEN DECLARARSE FIRMES. </w:t>
      </w:r>
      <w:r w:rsidRPr="002A5014">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81CE6" w:rsidRPr="002A5014" w:rsidRDefault="00C81CE6" w:rsidP="002A5014">
      <w:pPr>
        <w:pStyle w:val="Prrafodelista"/>
        <w:ind w:left="0"/>
        <w:rPr>
          <w:rFonts w:ascii="Palatino Linotype" w:eastAsia="Calibri" w:hAnsi="Palatino Linotype" w:cs="Arial"/>
          <w:color w:val="000000" w:themeColor="text1"/>
          <w:lang w:val="es-ES"/>
        </w:rPr>
      </w:pPr>
    </w:p>
    <w:p w:rsidR="00C81CE6" w:rsidRPr="002A5014" w:rsidRDefault="00C81CE6" w:rsidP="002A501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A5014">
        <w:rPr>
          <w:rFonts w:ascii="Palatino Linotype" w:eastAsia="Calibri" w:hAnsi="Palatino Linotype" w:cs="Arial"/>
          <w:color w:val="000000" w:themeColor="text1"/>
          <w:lang w:val="es-ES"/>
        </w:rPr>
        <w:t xml:space="preserve">Consecuentemente, </w:t>
      </w:r>
      <w:r w:rsidRPr="002A5014">
        <w:rPr>
          <w:rFonts w:ascii="Palatino Linotype" w:eastAsia="Palatino Linotype" w:hAnsi="Palatino Linotype" w:cs="Palatino Linotype"/>
          <w:color w:val="000000" w:themeColor="text1"/>
        </w:rPr>
        <w:t>se reitera que la parte de la solicitud que no fue impugnada debe declararse consentida por el Recurrente, debido a que no se realizaron manifestaciones de inconformidad, por</w:t>
      </w:r>
      <w:r w:rsidRPr="002A5014">
        <w:rPr>
          <w:rFonts w:ascii="Palatino Linotype" w:eastAsia="Palatino Linotype" w:hAnsi="Palatino Linotype" w:cs="Palatino Linotype"/>
          <w:bCs/>
          <w:color w:val="000000" w:themeColor="text1"/>
        </w:rPr>
        <w:t xml:space="preserve"> lo que no pueden producirse efectos jurídicos tendentes a revocar, confirmar o modificar el acto reclamado ya que se infiere un consentimiento del Recurrente</w:t>
      </w:r>
      <w:r w:rsidRPr="002A5014">
        <w:rPr>
          <w:rFonts w:ascii="Palatino Linotype" w:eastAsia="Palatino Linotype" w:hAnsi="Palatino Linotype" w:cs="Palatino Linotype"/>
          <w:b/>
          <w:color w:val="000000" w:themeColor="text1"/>
        </w:rPr>
        <w:t xml:space="preserve"> </w:t>
      </w:r>
      <w:r w:rsidRPr="002A5014">
        <w:rPr>
          <w:rFonts w:ascii="Palatino Linotype" w:eastAsia="Palatino Linotype" w:hAnsi="Palatino Linotype" w:cs="Palatino Linotype"/>
          <w:color w:val="000000" w:themeColor="text1"/>
        </w:rPr>
        <w:t>ante la falta de impugnación eficaz.</w:t>
      </w:r>
    </w:p>
    <w:p w:rsidR="00C81CE6" w:rsidRPr="002A5014" w:rsidRDefault="00C81CE6" w:rsidP="002A50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C81CE6" w:rsidRPr="002A5014" w:rsidRDefault="00C81CE6" w:rsidP="002A501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A5014">
        <w:rPr>
          <w:rFonts w:ascii="Palatino Linotype" w:eastAsia="Calibri" w:hAnsi="Palatino Linotype" w:cs="Arial"/>
          <w:color w:val="000000" w:themeColor="text1"/>
          <w:lang w:val="es-ES"/>
        </w:rPr>
        <w:t xml:space="preserve">Sirve </w:t>
      </w:r>
      <w:r w:rsidRPr="002A5014">
        <w:rPr>
          <w:rFonts w:ascii="Palatino Linotype" w:eastAsia="Palatino Linotype" w:hAnsi="Palatino Linotype" w:cs="Palatino Linotype"/>
          <w:color w:val="000000" w:themeColor="text1"/>
        </w:rPr>
        <w:t>de sustento a lo anterior por analogía la tesis jurisprudencial número VI.3o.C. J/60, publicada en el Semanario Judicial de la Federación y su Gaceta bajo el número de registro 176,608 que a la letra dice:</w:t>
      </w:r>
    </w:p>
    <w:p w:rsidR="00C81CE6" w:rsidRPr="002A5014" w:rsidRDefault="00C81CE6" w:rsidP="002A5014">
      <w:pPr>
        <w:pStyle w:val="Prrafodelista"/>
        <w:ind w:left="0"/>
        <w:jc w:val="both"/>
        <w:rPr>
          <w:rFonts w:ascii="Palatino Linotype" w:eastAsia="Palatino Linotype" w:hAnsi="Palatino Linotype" w:cs="Palatino Linotype"/>
          <w:i/>
          <w:color w:val="000000" w:themeColor="text1"/>
        </w:rPr>
      </w:pPr>
      <w:r w:rsidRPr="002A5014">
        <w:rPr>
          <w:rFonts w:ascii="Palatino Linotype" w:eastAsia="Palatino Linotype" w:hAnsi="Palatino Linotype" w:cs="Palatino Linotype"/>
          <w:b/>
          <w:i/>
          <w:smallCaps/>
          <w:color w:val="000000" w:themeColor="text1"/>
        </w:rPr>
        <w:t xml:space="preserve">ACTOS CONSENTIDOS. SON LOS QUE NO SE IMPUGNAN MEDIANTE EL RECURSO IDÓNEO. </w:t>
      </w:r>
      <w:r w:rsidRPr="002A5014">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81CE6" w:rsidRPr="002A5014" w:rsidRDefault="00C81CE6" w:rsidP="002A50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C81CE6" w:rsidRPr="002A5014" w:rsidRDefault="00C81CE6" w:rsidP="002A501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A5014">
        <w:rPr>
          <w:rFonts w:ascii="Palatino Linotype" w:eastAsia="Calibri" w:hAnsi="Palatino Linotype" w:cs="Arial"/>
          <w:color w:val="000000" w:themeColor="text1"/>
          <w:lang w:val="es-ES"/>
        </w:rPr>
        <w:t xml:space="preserve">Para </w:t>
      </w:r>
      <w:r w:rsidRPr="002A5014">
        <w:rPr>
          <w:rFonts w:ascii="Palatino Linotype" w:eastAsia="Palatino Linotype" w:hAnsi="Palatino Linotype" w:cs="Palatino Linotype"/>
          <w:color w:val="000000" w:themeColor="text1"/>
        </w:rPr>
        <w:t>mayor abundamiento, también resulta aplicable el criterio 01/20 emitido por el Instituto Nacional de Transparencia, Acceso a la Información Pública y Protección de Datos Personales, que a la letra estipula lo siguiente:</w:t>
      </w:r>
    </w:p>
    <w:p w:rsidR="00C81CE6" w:rsidRPr="002A5014" w:rsidRDefault="00C81CE6" w:rsidP="002A5014">
      <w:pPr>
        <w:pStyle w:val="Prrafodelista"/>
        <w:ind w:left="0"/>
        <w:jc w:val="both"/>
        <w:rPr>
          <w:rFonts w:ascii="Palatino Linotype" w:eastAsia="Palatino Linotype" w:hAnsi="Palatino Linotype" w:cs="Palatino Linotype"/>
          <w:i/>
          <w:color w:val="000000" w:themeColor="text1"/>
        </w:rPr>
      </w:pPr>
      <w:r w:rsidRPr="002A5014">
        <w:rPr>
          <w:rFonts w:ascii="Palatino Linotype" w:eastAsia="Palatino Linotype" w:hAnsi="Palatino Linotype" w:cs="Palatino Linotype"/>
          <w:b/>
          <w:i/>
          <w:color w:val="000000" w:themeColor="text1"/>
        </w:rPr>
        <w:lastRenderedPageBreak/>
        <w:t>Actos consentidos tácitamente. Improcedencia de su análisis.</w:t>
      </w:r>
      <w:r w:rsidRPr="002A5014">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C81CE6" w:rsidRPr="002A5014" w:rsidRDefault="00C81CE6" w:rsidP="002A501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C81CE6" w:rsidRPr="002A5014" w:rsidRDefault="00C81CE6" w:rsidP="002A5014">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Calibri" w:hAnsi="Palatino Linotype" w:cs="Arial"/>
          <w:color w:val="000000" w:themeColor="text1"/>
          <w:lang w:val="es-ES"/>
        </w:rPr>
        <w:t xml:space="preserve">De </w:t>
      </w:r>
      <w:r w:rsidRPr="002A5014">
        <w:rPr>
          <w:rFonts w:ascii="Palatino Linotype" w:eastAsia="Palatino Linotype" w:hAnsi="Palatino Linotype" w:cs="Palatino Linotype"/>
          <w:color w:val="000000" w:themeColor="text1"/>
        </w:rPr>
        <w:t xml:space="preserve">lo anteriormente referido, y a efecto de garantizar el efectivo ejercicio del derecho de acceso a la información pública que asiste al Recurrente, resulta conveniente precisar que el presente análisis versará únicamente sobre, </w:t>
      </w:r>
      <w:r w:rsidRPr="002A5014">
        <w:rPr>
          <w:rFonts w:ascii="Palatino Linotype" w:hAnsi="Palatino Linotype"/>
          <w:b/>
          <w:color w:val="000000" w:themeColor="text1"/>
        </w:rPr>
        <w:t xml:space="preserve">el fundamento legal </w:t>
      </w:r>
      <w:r w:rsidRPr="002A5014">
        <w:rPr>
          <w:rFonts w:ascii="Palatino Linotype" w:eastAsia="Palatino Linotype" w:hAnsi="Palatino Linotype" w:cs="Palatino Linotype"/>
          <w:b/>
          <w:color w:val="000000" w:themeColor="text1"/>
        </w:rPr>
        <w:t xml:space="preserve">que </w:t>
      </w:r>
      <w:r w:rsidRPr="002A5014">
        <w:rPr>
          <w:rFonts w:ascii="Palatino Linotype" w:hAnsi="Palatino Linotype"/>
          <w:b/>
          <w:color w:val="000000" w:themeColor="text1"/>
        </w:rPr>
        <w:t>establece la integración del Comité Municipal de Dictámenes de Giro.</w:t>
      </w:r>
    </w:p>
    <w:p w:rsidR="00ED55EB" w:rsidRPr="002A5014" w:rsidRDefault="00ED55EB" w:rsidP="002A5014">
      <w:pPr>
        <w:rPr>
          <w:rFonts w:ascii="Palatino Linotype" w:eastAsia="Palatino Linotype" w:hAnsi="Palatino Linotype" w:cs="Palatino Linotype"/>
          <w:color w:val="000000" w:themeColor="text1"/>
        </w:rPr>
      </w:pPr>
    </w:p>
    <w:p w:rsidR="006140D4" w:rsidRPr="002A5014" w:rsidRDefault="00ED55E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color w:val="000000" w:themeColor="text1"/>
        </w:rPr>
        <w:t xml:space="preserve">Así, mediante un acto jurídico posterior como lo es el informe justificado, el </w:t>
      </w:r>
      <w:r w:rsidRPr="002A5014">
        <w:rPr>
          <w:rFonts w:ascii="Palatino Linotype" w:eastAsia="Palatino Linotype" w:hAnsi="Palatino Linotype" w:cs="Palatino Linotype"/>
          <w:b/>
          <w:color w:val="000000" w:themeColor="text1"/>
        </w:rPr>
        <w:t>SUJETO OBLIGADO</w:t>
      </w:r>
      <w:r w:rsidRPr="002A5014">
        <w:rPr>
          <w:rFonts w:ascii="Palatino Linotype" w:eastAsia="Palatino Linotype" w:hAnsi="Palatino Linotype" w:cs="Palatino Linotype"/>
          <w:color w:val="000000" w:themeColor="text1"/>
        </w:rPr>
        <w:t xml:space="preserve"> </w:t>
      </w:r>
      <w:r w:rsidR="00D9264B" w:rsidRPr="002A5014">
        <w:rPr>
          <w:rFonts w:ascii="Palatino Linotype" w:eastAsia="Palatino Linotype" w:hAnsi="Palatino Linotype" w:cs="Palatino Linotype"/>
          <w:color w:val="000000" w:themeColor="text1"/>
        </w:rPr>
        <w:t>por med</w:t>
      </w:r>
      <w:r w:rsidR="006140D4" w:rsidRPr="002A5014">
        <w:rPr>
          <w:rFonts w:ascii="Palatino Linotype" w:eastAsia="Palatino Linotype" w:hAnsi="Palatino Linotype" w:cs="Palatino Linotype"/>
          <w:color w:val="000000" w:themeColor="text1"/>
        </w:rPr>
        <w:t xml:space="preserve">io del </w:t>
      </w:r>
      <w:r w:rsidR="006140D4" w:rsidRPr="002A5014">
        <w:rPr>
          <w:rFonts w:ascii="Palatino Linotype" w:hAnsi="Palatino Linotype"/>
          <w:color w:val="000000" w:themeColor="text1"/>
        </w:rPr>
        <w:t xml:space="preserve">Director de Desarrollo Económico, </w:t>
      </w:r>
      <w:r w:rsidR="006140D4" w:rsidRPr="002A5014">
        <w:rPr>
          <w:rFonts w:ascii="Palatino Linotype" w:hAnsi="Palatino Linotype"/>
          <w:b/>
          <w:color w:val="000000" w:themeColor="text1"/>
        </w:rPr>
        <w:t xml:space="preserve">precisó que el Capítulo III, Sección Tercera, Artículo 20 Bis de la Ley </w:t>
      </w:r>
      <w:r w:rsidR="006140D4" w:rsidRPr="002A5014">
        <w:rPr>
          <w:rFonts w:ascii="Palatino Linotype" w:hAnsi="Palatino Linotype"/>
          <w:color w:val="000000" w:themeColor="text1"/>
        </w:rPr>
        <w:t>de Competitividad y Ordenamiento Comercial del Estado de México, establece la integración del Comité Municipal de Dictámenes de Giro.</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color w:val="000000" w:themeColor="text1"/>
        </w:rPr>
        <w:t xml:space="preserve">Al respecto, cabe </w:t>
      </w:r>
      <w:r w:rsidRPr="002A5014">
        <w:rPr>
          <w:rFonts w:ascii="Palatino Linotype" w:eastAsia="Calibri" w:hAnsi="Palatino Linotype" w:cs="Arial"/>
          <w:color w:val="000000" w:themeColor="text1"/>
          <w:lang w:val="es-ES"/>
        </w:rPr>
        <w:t xml:space="preserve">resaltar </w:t>
      </w:r>
      <w:r w:rsidRPr="002A5014">
        <w:rPr>
          <w:rFonts w:ascii="Palatino Linotype" w:hAnsi="Palatino Linotype"/>
          <w:color w:val="000000" w:themeColor="text1"/>
        </w:rPr>
        <w:t>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D9264B" w:rsidRPr="002A5014" w:rsidRDefault="00D9264B" w:rsidP="002A5014">
      <w:pPr>
        <w:spacing w:line="360" w:lineRule="auto"/>
        <w:jc w:val="both"/>
        <w:rPr>
          <w:rFonts w:ascii="Palatino Linotype" w:eastAsia="Palatino Linotype" w:hAnsi="Palatino Linotype" w:cs="Palatino Linotype"/>
          <w:color w:val="000000" w:themeColor="text1"/>
        </w:rPr>
      </w:pPr>
    </w:p>
    <w:p w:rsidR="00D9264B" w:rsidRPr="002A5014" w:rsidRDefault="00D9264B" w:rsidP="002A501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Calibri" w:hAnsi="Palatino Linotype" w:cs="Arial"/>
          <w:color w:val="000000" w:themeColor="text1"/>
          <w:lang w:val="es-ES"/>
        </w:rPr>
        <w:lastRenderedPageBreak/>
        <w:t xml:space="preserve">En </w:t>
      </w:r>
      <w:r w:rsidRPr="002A5014">
        <w:rPr>
          <w:rFonts w:ascii="Palatino Linotype" w:hAnsi="Palatino Linotype"/>
          <w:color w:val="000000" w:themeColor="text1"/>
        </w:rPr>
        <w:t xml:space="preserve">este sentido, para </w:t>
      </w:r>
      <w:r w:rsidRPr="002A5014">
        <w:rPr>
          <w:rFonts w:ascii="Palatino Linotype" w:hAnsi="Palatino Linotype" w:cs="Arial"/>
          <w:color w:val="000000" w:themeColor="text1"/>
        </w:rPr>
        <w:t>atender las solicitudes de información, los Sujetos Obligados contarán con un área denominada Unidad de Transparencia</w:t>
      </w:r>
      <w:r w:rsidRPr="002A5014">
        <w:rPr>
          <w:rFonts w:ascii="Palatino Linotype" w:hAnsi="Palatino Linotype"/>
          <w:color w:val="000000" w:themeColor="text1"/>
          <w:vertAlign w:val="superscript"/>
        </w:rPr>
        <w:footnoteReference w:id="1"/>
      </w:r>
      <w:r w:rsidRPr="002A5014">
        <w:rPr>
          <w:rFonts w:ascii="Palatino Linotype" w:hAnsi="Palatino Linotype" w:cs="Arial"/>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2A5014">
        <w:rPr>
          <w:rFonts w:ascii="Palatino Linotype" w:hAnsi="Palatino Linotype" w:cs="Arial"/>
          <w:b/>
          <w:bCs/>
          <w:color w:val="000000" w:themeColor="text1"/>
        </w:rPr>
        <w:t xml:space="preserve"> </w:t>
      </w:r>
      <w:r w:rsidRPr="002A5014">
        <w:rPr>
          <w:rFonts w:ascii="Palatino Linotype" w:hAnsi="Palatino Linotype" w:cs="Arial"/>
          <w:color w:val="000000" w:themeColor="text1"/>
        </w:rPr>
        <w:t>en los términos de la Ley General y la Ley de Transparencia y Acceso a la Información Pública del Estado de México y Municipios</w:t>
      </w:r>
      <w:r w:rsidRPr="002A5014">
        <w:rPr>
          <w:rFonts w:ascii="Palatino Linotype" w:hAnsi="Palatino Linotype"/>
          <w:color w:val="000000" w:themeColor="text1"/>
          <w:vertAlign w:val="superscript"/>
        </w:rPr>
        <w:footnoteReference w:id="2"/>
      </w:r>
      <w:r w:rsidRPr="002A5014">
        <w:rPr>
          <w:rFonts w:ascii="Palatino Linotype" w:hAnsi="Palatino Linotype" w:cs="Arial"/>
          <w:color w:val="000000" w:themeColor="text1"/>
        </w:rPr>
        <w:t>.</w:t>
      </w:r>
    </w:p>
    <w:p w:rsidR="00D9264B" w:rsidRPr="002A5014" w:rsidRDefault="00D9264B" w:rsidP="002A5014">
      <w:pPr>
        <w:spacing w:line="360" w:lineRule="auto"/>
        <w:jc w:val="both"/>
        <w:rPr>
          <w:rFonts w:ascii="Palatino Linotype" w:eastAsia="Palatino Linotype" w:hAnsi="Palatino Linotype" w:cs="Palatino Linotype"/>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Calibri" w:hAnsi="Palatino Linotype" w:cs="Arial"/>
          <w:color w:val="000000" w:themeColor="text1"/>
          <w:lang w:val="es-ES"/>
        </w:rPr>
        <w:t xml:space="preserve">De </w:t>
      </w:r>
      <w:r w:rsidRPr="002A5014">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rsidR="00D9264B" w:rsidRPr="002A5014" w:rsidRDefault="00D9264B" w:rsidP="002A5014">
      <w:pPr>
        <w:pStyle w:val="Prrafodelista"/>
        <w:numPr>
          <w:ilvl w:val="1"/>
          <w:numId w:val="30"/>
        </w:numPr>
        <w:spacing w:before="240" w:after="240"/>
        <w:ind w:left="0" w:firstLine="0"/>
        <w:jc w:val="both"/>
        <w:rPr>
          <w:rFonts w:ascii="Palatino Linotype" w:hAnsi="Palatino Linotype" w:cs="Arial"/>
          <w:color w:val="000000" w:themeColor="text1"/>
        </w:rPr>
      </w:pPr>
      <w:r w:rsidRPr="002A5014">
        <w:rPr>
          <w:rFonts w:ascii="Palatino Linotype" w:hAnsi="Palatino Linotype" w:cs="Arial"/>
          <w:color w:val="000000" w:themeColor="text1"/>
        </w:rPr>
        <w:t>Recibir, tramitar y dar respuesta a las solicitudes de acceso a la información;</w:t>
      </w:r>
    </w:p>
    <w:p w:rsidR="00D9264B" w:rsidRPr="002A5014" w:rsidRDefault="00D9264B" w:rsidP="002A5014">
      <w:pPr>
        <w:pStyle w:val="Prrafodelista"/>
        <w:numPr>
          <w:ilvl w:val="1"/>
          <w:numId w:val="30"/>
        </w:numPr>
        <w:spacing w:before="240" w:after="240"/>
        <w:ind w:left="0" w:firstLine="0"/>
        <w:jc w:val="both"/>
        <w:rPr>
          <w:rFonts w:ascii="Palatino Linotype" w:hAnsi="Palatino Linotype" w:cs="Arial"/>
          <w:color w:val="000000" w:themeColor="text1"/>
        </w:rPr>
      </w:pPr>
      <w:r w:rsidRPr="002A5014">
        <w:rPr>
          <w:rFonts w:ascii="Palatino Linotype" w:hAnsi="Palatino Linotype" w:cs="Arial"/>
          <w:color w:val="000000" w:themeColor="text1"/>
        </w:rPr>
        <w:t xml:space="preserve">Realizar, con efectividad, los trámites internos necesarios para la atención de las solicitudes de acceso a la información; </w:t>
      </w:r>
    </w:p>
    <w:p w:rsidR="00D9264B" w:rsidRPr="002A5014" w:rsidRDefault="00D9264B" w:rsidP="002A5014">
      <w:pPr>
        <w:pStyle w:val="Prrafodelista"/>
        <w:numPr>
          <w:ilvl w:val="1"/>
          <w:numId w:val="30"/>
        </w:numPr>
        <w:spacing w:before="240" w:after="240"/>
        <w:ind w:left="0" w:firstLine="0"/>
        <w:jc w:val="both"/>
        <w:rPr>
          <w:rFonts w:ascii="Palatino Linotype" w:hAnsi="Palatino Linotype" w:cs="Arial"/>
          <w:color w:val="000000" w:themeColor="text1"/>
        </w:rPr>
      </w:pPr>
      <w:r w:rsidRPr="002A5014">
        <w:rPr>
          <w:rFonts w:ascii="Palatino Linotype" w:hAnsi="Palatino Linotype" w:cs="Arial"/>
          <w:color w:val="000000" w:themeColor="text1"/>
        </w:rPr>
        <w:t xml:space="preserve">Entregar, en su caso, a los particulares la información solicitada; y </w:t>
      </w:r>
    </w:p>
    <w:p w:rsidR="00D9264B" w:rsidRPr="002A5014" w:rsidRDefault="00D9264B" w:rsidP="002A5014">
      <w:pPr>
        <w:pStyle w:val="Prrafodelista"/>
        <w:numPr>
          <w:ilvl w:val="1"/>
          <w:numId w:val="30"/>
        </w:numPr>
        <w:spacing w:before="240" w:after="240"/>
        <w:ind w:left="0" w:firstLine="0"/>
        <w:jc w:val="both"/>
        <w:rPr>
          <w:rFonts w:ascii="Palatino Linotype" w:hAnsi="Palatino Linotype"/>
          <w:color w:val="000000" w:themeColor="text1"/>
        </w:rPr>
      </w:pPr>
      <w:r w:rsidRPr="002A5014">
        <w:rPr>
          <w:rFonts w:ascii="Palatino Linotype" w:hAnsi="Palatino Linotype" w:cs="Arial"/>
          <w:color w:val="000000" w:themeColor="text1"/>
        </w:rPr>
        <w:t>Efectuar las notificaciones a los solicitantes.</w:t>
      </w:r>
    </w:p>
    <w:p w:rsidR="00D9264B" w:rsidRPr="002A5014" w:rsidRDefault="00D9264B" w:rsidP="002A5014">
      <w:pPr>
        <w:spacing w:line="360" w:lineRule="auto"/>
        <w:jc w:val="both"/>
        <w:rPr>
          <w:rFonts w:ascii="Palatino Linotype" w:eastAsia="Palatino Linotype" w:hAnsi="Palatino Linotype" w:cs="Palatino Linotype"/>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Calibri" w:hAnsi="Palatino Linotype" w:cs="Arial"/>
          <w:color w:val="000000" w:themeColor="text1"/>
          <w:lang w:val="es-ES"/>
        </w:rPr>
        <w:t xml:space="preserve">Otros </w:t>
      </w:r>
      <w:r w:rsidRPr="002A5014">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2A5014">
        <w:rPr>
          <w:rFonts w:ascii="Palatino Linotype" w:hAnsi="Palatino Linotype" w:cs="Arial"/>
          <w:b/>
          <w:color w:val="000000" w:themeColor="text1"/>
        </w:rPr>
        <w:t xml:space="preserve">SUJETO </w:t>
      </w:r>
      <w:r w:rsidRPr="002A5014">
        <w:rPr>
          <w:rFonts w:ascii="Palatino Linotype" w:hAnsi="Palatino Linotype" w:cs="Arial"/>
          <w:b/>
          <w:color w:val="000000" w:themeColor="text1"/>
        </w:rPr>
        <w:lastRenderedPageBreak/>
        <w:t xml:space="preserve">OBLIGADO </w:t>
      </w:r>
      <w:r w:rsidRPr="002A5014">
        <w:rPr>
          <w:rFonts w:ascii="Palatino Linotype" w:hAnsi="Palatino Linotype" w:cs="Arial"/>
          <w:color w:val="000000" w:themeColor="text1"/>
        </w:rPr>
        <w:t>a propuesta del responsable de la Unidad de Transparencia</w:t>
      </w:r>
      <w:r w:rsidRPr="002A5014">
        <w:rPr>
          <w:rStyle w:val="Refdenotaalpie"/>
          <w:rFonts w:ascii="Palatino Linotype" w:hAnsi="Palatino Linotype" w:cs="Arial"/>
          <w:color w:val="000000" w:themeColor="text1"/>
        </w:rPr>
        <w:footnoteReference w:id="3"/>
      </w:r>
      <w:r w:rsidRPr="002A5014">
        <w:rPr>
          <w:rFonts w:ascii="Palatino Linotype" w:hAnsi="Palatino Linotype" w:cs="Arial"/>
          <w:color w:val="000000" w:themeColor="text1"/>
        </w:rPr>
        <w:t xml:space="preserve"> y tendrán, entre sus atribuciones, las siguientes</w:t>
      </w:r>
      <w:r w:rsidRPr="002A5014">
        <w:rPr>
          <w:rStyle w:val="Refdenotaalpie"/>
          <w:rFonts w:ascii="Palatino Linotype" w:hAnsi="Palatino Linotype" w:cs="Arial"/>
          <w:color w:val="000000" w:themeColor="text1"/>
        </w:rPr>
        <w:footnoteReference w:id="4"/>
      </w:r>
      <w:r w:rsidRPr="002A5014">
        <w:rPr>
          <w:rFonts w:ascii="Palatino Linotype" w:hAnsi="Palatino Linotype" w:cs="Arial"/>
          <w:color w:val="000000" w:themeColor="text1"/>
        </w:rPr>
        <w:t>:</w:t>
      </w:r>
    </w:p>
    <w:p w:rsidR="00D9264B" w:rsidRPr="002A5014" w:rsidRDefault="00D9264B" w:rsidP="002A5014">
      <w:pPr>
        <w:pStyle w:val="Prrafodelista"/>
        <w:numPr>
          <w:ilvl w:val="1"/>
          <w:numId w:val="31"/>
        </w:numPr>
        <w:spacing w:before="240" w:after="240"/>
        <w:ind w:left="0" w:firstLine="0"/>
        <w:jc w:val="both"/>
        <w:rPr>
          <w:rFonts w:ascii="Palatino Linotype" w:hAnsi="Palatino Linotype" w:cs="Arial"/>
          <w:color w:val="000000" w:themeColor="text1"/>
        </w:rPr>
      </w:pPr>
      <w:r w:rsidRPr="002A5014">
        <w:rPr>
          <w:rFonts w:ascii="Palatino Linotype" w:hAnsi="Palatino Linotype" w:cs="Arial"/>
          <w:color w:val="000000" w:themeColor="text1"/>
        </w:rPr>
        <w:t>Localizar la información que le solicite la Unidad de Transparencia; y</w:t>
      </w:r>
    </w:p>
    <w:p w:rsidR="00D9264B" w:rsidRPr="002A5014" w:rsidRDefault="00D9264B" w:rsidP="002A5014">
      <w:pPr>
        <w:pStyle w:val="Prrafodelista"/>
        <w:numPr>
          <w:ilvl w:val="1"/>
          <w:numId w:val="31"/>
        </w:numPr>
        <w:spacing w:before="240" w:after="240"/>
        <w:ind w:left="0" w:firstLine="0"/>
        <w:jc w:val="both"/>
        <w:rPr>
          <w:rFonts w:ascii="Palatino Linotype" w:hAnsi="Palatino Linotype"/>
          <w:color w:val="000000" w:themeColor="text1"/>
        </w:rPr>
      </w:pPr>
      <w:r w:rsidRPr="002A5014">
        <w:rPr>
          <w:rFonts w:ascii="Palatino Linotype" w:hAnsi="Palatino Linotype" w:cs="Arial"/>
          <w:color w:val="000000" w:themeColor="text1"/>
        </w:rPr>
        <w:t>Proporcionar la información que obre en los archivos y que le sea solicitada por la Unidad de Transparencia.</w:t>
      </w:r>
    </w:p>
    <w:p w:rsidR="00D9264B" w:rsidRPr="002A5014" w:rsidRDefault="00D9264B" w:rsidP="002A5014">
      <w:pPr>
        <w:spacing w:line="360" w:lineRule="auto"/>
        <w:jc w:val="both"/>
        <w:rPr>
          <w:rFonts w:ascii="Palatino Linotype" w:eastAsia="Palatino Linotype" w:hAnsi="Palatino Linotype" w:cs="Palatino Linotype"/>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hAnsi="Palatino Linotype"/>
          <w:color w:val="000000" w:themeColor="text1"/>
        </w:rPr>
        <w:t xml:space="preserve">De </w:t>
      </w:r>
      <w:r w:rsidRPr="002A5014">
        <w:rPr>
          <w:rFonts w:ascii="Palatino Linotype" w:hAnsi="Palatino Linotype" w:cs="Arial"/>
          <w:color w:val="000000" w:themeColor="text1"/>
        </w:rPr>
        <w:t xml:space="preserve">tal manera que cada una de las áreas administrativas del </w:t>
      </w:r>
      <w:r w:rsidRPr="002A5014">
        <w:rPr>
          <w:rFonts w:ascii="Palatino Linotype" w:hAnsi="Palatino Linotype" w:cs="Arial"/>
          <w:b/>
          <w:bCs/>
          <w:color w:val="000000" w:themeColor="text1"/>
        </w:rPr>
        <w:t>SUJETO OBLIGADO</w:t>
      </w:r>
      <w:r w:rsidRPr="002A5014">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D9264B" w:rsidRPr="002A5014" w:rsidRDefault="00D9264B" w:rsidP="002A5014">
      <w:pPr>
        <w:spacing w:line="360" w:lineRule="auto"/>
        <w:jc w:val="both"/>
        <w:rPr>
          <w:rFonts w:ascii="Palatino Linotype" w:eastAsia="Palatino Linotype" w:hAnsi="Palatino Linotype" w:cs="Palatino Linotype"/>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Calibri" w:hAnsi="Palatino Linotype" w:cs="Arial"/>
          <w:color w:val="000000" w:themeColor="text1"/>
          <w:lang w:val="es-ES"/>
        </w:rPr>
        <w:t xml:space="preserve">Aunado a lo anterior, </w:t>
      </w:r>
      <w:r w:rsidRPr="002A5014">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b/>
          <w:bCs/>
          <w:i/>
          <w:iCs/>
          <w:color w:val="000000" w:themeColor="text1"/>
        </w:rPr>
        <w:t>“Artículo 53</w:t>
      </w:r>
      <w:r w:rsidRPr="002A5014">
        <w:rPr>
          <w:rFonts w:ascii="Palatino Linotype" w:hAnsi="Palatino Linotype"/>
          <w:i/>
          <w:iCs/>
          <w:color w:val="000000" w:themeColor="text1"/>
        </w:rPr>
        <w:t xml:space="preserve">. Las Unidades de Transparencia tendrán las siguientes funciones: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9264B" w:rsidRPr="002A5014" w:rsidRDefault="00D9264B" w:rsidP="002A5014">
      <w:pPr>
        <w:pStyle w:val="Prrafodelista"/>
        <w:tabs>
          <w:tab w:val="left" w:pos="426"/>
        </w:tabs>
        <w:spacing w:before="240" w:after="240"/>
        <w:ind w:left="0"/>
        <w:jc w:val="both"/>
        <w:rPr>
          <w:rFonts w:ascii="Palatino Linotype" w:hAnsi="Palatino Linotype"/>
          <w:b/>
          <w:bCs/>
          <w:i/>
          <w:iCs/>
          <w:color w:val="000000" w:themeColor="text1"/>
        </w:rPr>
      </w:pPr>
      <w:r w:rsidRPr="002A5014">
        <w:rPr>
          <w:rFonts w:ascii="Palatino Linotype" w:hAnsi="Palatino Linotype"/>
          <w:b/>
          <w:bCs/>
          <w:i/>
          <w:iCs/>
          <w:color w:val="000000" w:themeColor="text1"/>
        </w:rPr>
        <w:t xml:space="preserve">II. Recibir, tramitar y dar respuesta a las solicitudes de acceso a la información;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III. Auxiliar a los particulares en la elaboración de solicitudes de acceso a la información y, en su caso, orientarlos sobre los sujetos obligados competentes conforme a la normatividad aplicable; </w:t>
      </w:r>
    </w:p>
    <w:p w:rsidR="00D9264B" w:rsidRPr="002A5014" w:rsidRDefault="00D9264B" w:rsidP="002A5014">
      <w:pPr>
        <w:pStyle w:val="Prrafodelista"/>
        <w:tabs>
          <w:tab w:val="left" w:pos="426"/>
        </w:tabs>
        <w:spacing w:before="240" w:after="240"/>
        <w:ind w:left="0"/>
        <w:jc w:val="both"/>
        <w:rPr>
          <w:rFonts w:ascii="Palatino Linotype" w:hAnsi="Palatino Linotype"/>
          <w:b/>
          <w:bCs/>
          <w:i/>
          <w:iCs/>
          <w:color w:val="000000" w:themeColor="text1"/>
        </w:rPr>
      </w:pPr>
      <w:r w:rsidRPr="002A5014">
        <w:rPr>
          <w:rFonts w:ascii="Palatino Linotype" w:hAnsi="Palatino Linotype"/>
          <w:b/>
          <w:bCs/>
          <w:i/>
          <w:iCs/>
          <w:color w:val="000000" w:themeColor="text1"/>
        </w:rPr>
        <w:lastRenderedPageBreak/>
        <w:t xml:space="preserve">IV. Realizar, con efectividad, los trámites internos necesarios para la atención de las solicitudes de acceso a la información;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V. Entregar, en su caso, a los particulares la información solicitada;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VI. Efectuar las notificaciones a los solicitantes;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VIII. Proponer a quien preside el Comité de Transparencia, personal habilitado que sea necesario para recibir y dar trámite a las solicitudes de acceso a la información; </w:t>
      </w:r>
    </w:p>
    <w:p w:rsidR="00D9264B" w:rsidRPr="002A5014" w:rsidRDefault="00D9264B" w:rsidP="002A5014">
      <w:pPr>
        <w:pStyle w:val="Prrafodelista"/>
        <w:tabs>
          <w:tab w:val="left" w:pos="426"/>
        </w:tabs>
        <w:spacing w:before="240" w:after="240"/>
        <w:ind w:left="0"/>
        <w:jc w:val="both"/>
        <w:rPr>
          <w:rFonts w:ascii="Palatino Linotype" w:hAnsi="Palatino Linotype"/>
          <w:b/>
          <w:bCs/>
          <w:i/>
          <w:iCs/>
          <w:color w:val="000000" w:themeColor="text1"/>
        </w:rPr>
      </w:pPr>
      <w:r w:rsidRPr="002A5014">
        <w:rPr>
          <w:rFonts w:ascii="Palatino Linotype" w:hAnsi="Palatino Linotype"/>
          <w:b/>
          <w:bCs/>
          <w:i/>
          <w:iCs/>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X. Presentar ante el Comité, el proyecto de clasificación de información;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XI. Promover e implementar políticas de transparencia proactiva procurando su accesibilidad;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XII. Fomentar la transparencia y accesibilidad al interior del sujeto obligado;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XIII. Hacer del conocimiento de la instancia competente la probable responsabilidad por el incumplimiento de las obligaciones previstas en la presente Ley; y</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XIV. Las demás que resulten necesarias para facilitar el acceso a la información y aquellas que se desprenden de la presente Ley y demás disposiciones jurídicas aplicables. (…)</w:t>
      </w:r>
    </w:p>
    <w:p w:rsidR="00D9264B" w:rsidRPr="002A5014" w:rsidRDefault="00D9264B" w:rsidP="002A5014">
      <w:pPr>
        <w:pStyle w:val="Prrafodelista"/>
        <w:tabs>
          <w:tab w:val="left" w:pos="426"/>
        </w:tabs>
        <w:spacing w:before="240" w:after="240"/>
        <w:ind w:left="0"/>
        <w:jc w:val="both"/>
        <w:rPr>
          <w:rFonts w:ascii="Palatino Linotype" w:hAnsi="Palatino Linotype"/>
          <w:i/>
          <w:iCs/>
          <w:color w:val="000000" w:themeColor="text1"/>
        </w:rPr>
      </w:pPr>
      <w:r w:rsidRPr="002A5014">
        <w:rPr>
          <w:rFonts w:ascii="Palatino Linotype" w:hAnsi="Palatino Linotype"/>
          <w:i/>
          <w:iCs/>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D9264B" w:rsidRPr="002A5014" w:rsidRDefault="00D9264B" w:rsidP="002A5014">
      <w:pPr>
        <w:spacing w:line="360" w:lineRule="auto"/>
        <w:jc w:val="both"/>
        <w:rPr>
          <w:rFonts w:ascii="Palatino Linotype" w:eastAsia="Palatino Linotype" w:hAnsi="Palatino Linotype" w:cs="Palatino Linotype"/>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Calibri" w:hAnsi="Palatino Linotype" w:cs="Arial"/>
          <w:color w:val="000000" w:themeColor="text1"/>
          <w:lang w:val="es-ES"/>
        </w:rPr>
        <w:t xml:space="preserve">De </w:t>
      </w:r>
      <w:r w:rsidRPr="002A5014">
        <w:rPr>
          <w:rFonts w:ascii="Palatino Linotype" w:hAnsi="Palatino Linotype"/>
          <w:color w:val="000000" w:themeColor="text1"/>
        </w:rPr>
        <w:t>lo expuesto y con relación a lo solicitado, se tiene que, la Unidad de Transparencia es la encargada de recibir, tramitar y dar respuesta a las solicitudes de acceso a la información</w:t>
      </w:r>
      <w:r w:rsidRPr="002A5014">
        <w:rPr>
          <w:rFonts w:ascii="Palatino Linotype" w:eastAsia="Calibri" w:hAnsi="Palatino Linotype" w:cs="Arial"/>
          <w:color w:val="000000" w:themeColor="text1"/>
          <w:lang w:val="es-ES"/>
        </w:rPr>
        <w:t>.</w:t>
      </w:r>
    </w:p>
    <w:p w:rsidR="00D9264B" w:rsidRPr="002A5014" w:rsidRDefault="00D9264B" w:rsidP="002A5014">
      <w:pPr>
        <w:spacing w:line="360" w:lineRule="auto"/>
        <w:jc w:val="both"/>
        <w:rPr>
          <w:rFonts w:ascii="Palatino Linotype" w:eastAsia="Palatino Linotype" w:hAnsi="Palatino Linotype" w:cs="Palatino Linotype"/>
          <w:color w:val="000000" w:themeColor="text1"/>
        </w:rPr>
      </w:pPr>
    </w:p>
    <w:p w:rsidR="006140D4" w:rsidRPr="002A5014" w:rsidRDefault="00D9264B" w:rsidP="002A501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hAnsi="Palatino Linotype" w:cs="Arial"/>
          <w:color w:val="000000" w:themeColor="text1"/>
          <w:lang w:val="es-ES"/>
        </w:rPr>
        <w:lastRenderedPageBreak/>
        <w:t xml:space="preserve">En este sentido, se reitera que </w:t>
      </w:r>
      <w:r w:rsidRPr="002A5014">
        <w:rPr>
          <w:rFonts w:ascii="Palatino Linotype" w:hAnsi="Palatino Linotype"/>
          <w:color w:val="000000" w:themeColor="text1"/>
        </w:rPr>
        <w:t xml:space="preserve">existió un pronunciamiento por parte del </w:t>
      </w:r>
      <w:r w:rsidRPr="002A5014">
        <w:rPr>
          <w:rFonts w:ascii="Palatino Linotype" w:hAnsi="Palatino Linotype"/>
          <w:b/>
          <w:bCs/>
          <w:color w:val="000000" w:themeColor="text1"/>
        </w:rPr>
        <w:t>SUJETO OBLIGADO</w:t>
      </w:r>
      <w:r w:rsidRPr="002A5014">
        <w:rPr>
          <w:rFonts w:ascii="Palatino Linotype" w:hAnsi="Palatino Linotype"/>
          <w:color w:val="000000" w:themeColor="text1"/>
        </w:rPr>
        <w:t xml:space="preserve">, </w:t>
      </w:r>
      <w:r w:rsidR="002B0229" w:rsidRPr="002A5014">
        <w:rPr>
          <w:rFonts w:ascii="Palatino Linotype" w:hAnsi="Palatino Linotype"/>
          <w:color w:val="000000" w:themeColor="text1"/>
        </w:rPr>
        <w:t>a través de</w:t>
      </w:r>
      <w:r w:rsidRPr="002A5014">
        <w:rPr>
          <w:rFonts w:ascii="Palatino Linotype" w:hAnsi="Palatino Linotype"/>
          <w:color w:val="000000" w:themeColor="text1"/>
        </w:rPr>
        <w:t xml:space="preserve"> </w:t>
      </w:r>
      <w:r w:rsidR="006140D4" w:rsidRPr="002A5014">
        <w:rPr>
          <w:rFonts w:ascii="Palatino Linotype" w:hAnsi="Palatino Linotype"/>
          <w:color w:val="000000" w:themeColor="text1"/>
        </w:rPr>
        <w:t>Director de Desarrollo Económico</w:t>
      </w:r>
      <w:r w:rsidR="002B0229" w:rsidRPr="002A5014">
        <w:rPr>
          <w:rFonts w:ascii="Palatino Linotype" w:hAnsi="Palatino Linotype"/>
          <w:color w:val="000000" w:themeColor="text1"/>
        </w:rPr>
        <w:t>,</w:t>
      </w:r>
      <w:r w:rsidR="002B0229" w:rsidRPr="002A5014">
        <w:rPr>
          <w:rFonts w:ascii="Palatino Linotype" w:hAnsi="Palatino Linotype"/>
          <w:b/>
          <w:color w:val="000000" w:themeColor="text1"/>
        </w:rPr>
        <w:t xml:space="preserve"> quien mediante informe justificado </w:t>
      </w:r>
      <w:r w:rsidR="006140D4" w:rsidRPr="002A5014">
        <w:rPr>
          <w:rFonts w:ascii="Palatino Linotype" w:hAnsi="Palatino Linotype"/>
          <w:b/>
          <w:color w:val="000000" w:themeColor="text1"/>
        </w:rPr>
        <w:t xml:space="preserve">precisó el fundamento legal </w:t>
      </w:r>
      <w:r w:rsidR="006140D4" w:rsidRPr="002A5014">
        <w:rPr>
          <w:rFonts w:ascii="Palatino Linotype" w:eastAsia="Palatino Linotype" w:hAnsi="Palatino Linotype" w:cs="Palatino Linotype"/>
          <w:b/>
          <w:color w:val="000000" w:themeColor="text1"/>
        </w:rPr>
        <w:t xml:space="preserve">que </w:t>
      </w:r>
      <w:r w:rsidR="006140D4" w:rsidRPr="002A5014">
        <w:rPr>
          <w:rFonts w:ascii="Palatino Linotype" w:hAnsi="Palatino Linotype"/>
          <w:b/>
          <w:color w:val="000000" w:themeColor="text1"/>
        </w:rPr>
        <w:t>establece la integración del Comité Municipal de Dictámenes de Giro.</w:t>
      </w:r>
    </w:p>
    <w:p w:rsidR="00D9264B" w:rsidRPr="002A5014" w:rsidRDefault="00D9264B" w:rsidP="002A5014">
      <w:pPr>
        <w:rPr>
          <w:rFonts w:ascii="Palatino Linotype" w:eastAsia="Palatino Linotype" w:hAnsi="Palatino Linotype" w:cs="Palatino Linotype"/>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En consecuencia,</w:t>
      </w:r>
      <w:r w:rsidRPr="002A5014">
        <w:rPr>
          <w:rFonts w:ascii="Palatino Linotype" w:eastAsia="Palatino Linotype" w:hAnsi="Palatino Linotype" w:cs="Palatino Linotype"/>
          <w:b/>
          <w:color w:val="000000" w:themeColor="text1"/>
        </w:rPr>
        <w:t xml:space="preserve"> </w:t>
      </w:r>
      <w:r w:rsidRPr="002A5014">
        <w:rPr>
          <w:rFonts w:ascii="Palatino Linotype" w:hAnsi="Palatino Linotype" w:cs="Arial"/>
          <w:color w:val="000000" w:themeColor="text1"/>
        </w:rPr>
        <w:t xml:space="preserve">se presume que, </w:t>
      </w:r>
      <w:r w:rsidRPr="002A5014">
        <w:rPr>
          <w:rFonts w:ascii="Palatino Linotype" w:hAnsi="Palatino Linotype"/>
          <w:b/>
          <w:color w:val="000000" w:themeColor="text1"/>
        </w:rPr>
        <w:t xml:space="preserve">al haber existido un pronunciamiento por parte del </w:t>
      </w:r>
      <w:r w:rsidRPr="002A5014">
        <w:rPr>
          <w:rFonts w:ascii="Palatino Linotype" w:hAnsi="Palatino Linotype"/>
          <w:b/>
          <w:bCs/>
          <w:color w:val="000000" w:themeColor="text1"/>
        </w:rPr>
        <w:t xml:space="preserve">SUJETO OBLIGADO </w:t>
      </w:r>
      <w:r w:rsidRPr="002A5014">
        <w:rPr>
          <w:rFonts w:ascii="Palatino Linotype" w:hAnsi="Palatino Linotype"/>
          <w:b/>
          <w:color w:val="000000" w:themeColor="text1"/>
        </w:rPr>
        <w:t xml:space="preserve">a </w:t>
      </w:r>
      <w:r w:rsidR="002B0229" w:rsidRPr="002A5014">
        <w:rPr>
          <w:rFonts w:ascii="Palatino Linotype" w:hAnsi="Palatino Linotype"/>
          <w:b/>
          <w:color w:val="000000" w:themeColor="text1"/>
        </w:rPr>
        <w:t>través del informe justificado,</w:t>
      </w:r>
      <w:r w:rsidR="002B0229" w:rsidRPr="002A5014">
        <w:rPr>
          <w:rFonts w:ascii="Palatino Linotype" w:hAnsi="Palatino Linotype"/>
          <w:color w:val="000000" w:themeColor="text1"/>
        </w:rPr>
        <w:t xml:space="preserve"> </w:t>
      </w:r>
      <w:r w:rsidR="00115A15" w:rsidRPr="002A5014">
        <w:rPr>
          <w:rFonts w:ascii="Palatino Linotype" w:hAnsi="Palatino Linotype"/>
          <w:b/>
          <w:color w:val="000000" w:themeColor="text1"/>
        </w:rPr>
        <w:t>modificar la respuesta</w:t>
      </w:r>
      <w:r w:rsidR="002B0229" w:rsidRPr="002A5014">
        <w:rPr>
          <w:rFonts w:ascii="Palatino Linotype" w:hAnsi="Palatino Linotype"/>
          <w:b/>
          <w:color w:val="000000" w:themeColor="text1"/>
        </w:rPr>
        <w:t xml:space="preserve"> y atender el requerimiento de Particular,</w:t>
      </w:r>
      <w:r w:rsidRPr="002A5014">
        <w:rPr>
          <w:rFonts w:ascii="Palatino Linotype" w:hAnsi="Palatino Linotype"/>
          <w:color w:val="000000" w:themeColor="text1"/>
        </w:rPr>
        <w:t xml:space="preserve"> </w:t>
      </w:r>
      <w:r w:rsidRPr="002A5014">
        <w:rPr>
          <w:rFonts w:ascii="Palatino Linotype" w:hAnsi="Palatino Linotype" w:cs="Arial"/>
          <w:bCs/>
          <w:color w:val="000000" w:themeColor="text1"/>
        </w:rPr>
        <w:t>este Instituto no está facultado para manifestarse sobre la veracidad, pues no existe precepto legal alguno en la Ley de la materia que lo faculte para que, vía recurso de revisión, pueda pronunciarse al respecto.</w:t>
      </w:r>
    </w:p>
    <w:p w:rsidR="00D9264B" w:rsidRPr="002A5014" w:rsidRDefault="00D9264B" w:rsidP="002A5014">
      <w:pPr>
        <w:rPr>
          <w:rFonts w:ascii="Palatino Linotype" w:eastAsia="Calibri" w:hAnsi="Palatino Linotype" w:cs="Arial"/>
          <w:color w:val="000000" w:themeColor="text1"/>
          <w:lang w:val="es-ES"/>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eastAsia="Calibri" w:hAnsi="Palatino Linotype" w:cs="Arial"/>
          <w:color w:val="000000" w:themeColor="text1"/>
          <w:lang w:val="es-ES"/>
        </w:rPr>
        <w:t xml:space="preserve">Así, </w:t>
      </w:r>
      <w:r w:rsidRPr="002A5014">
        <w:rPr>
          <w:rFonts w:ascii="Palatino Linotype" w:eastAsia="Calibri" w:hAnsi="Palatino Linotype"/>
          <w:color w:val="000000" w:themeColor="text1"/>
        </w:rPr>
        <w:t xml:space="preserve">este Pleno advierte que el </w:t>
      </w:r>
      <w:r w:rsidRPr="002A5014">
        <w:rPr>
          <w:rFonts w:ascii="Palatino Linotype" w:eastAsia="Calibri" w:hAnsi="Palatino Linotype"/>
          <w:b/>
          <w:color w:val="000000" w:themeColor="text1"/>
        </w:rPr>
        <w:t>SUJETO OBLIGADO</w:t>
      </w:r>
      <w:r w:rsidRPr="002A5014">
        <w:rPr>
          <w:rFonts w:ascii="Palatino Linotype" w:eastAsia="Calibri" w:hAnsi="Palatino Linotype"/>
          <w:color w:val="000000" w:themeColor="text1"/>
        </w:rPr>
        <w:t xml:space="preserve"> </w:t>
      </w:r>
      <w:r w:rsidRPr="002A5014">
        <w:rPr>
          <w:rFonts w:ascii="Palatino Linotype" w:eastAsia="Calibri" w:hAnsi="Palatino Linotype"/>
          <w:b/>
          <w:color w:val="000000" w:themeColor="text1"/>
        </w:rPr>
        <w:t xml:space="preserve">modificó </w:t>
      </w:r>
      <w:r w:rsidRPr="002A5014">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D9264B" w:rsidRPr="002A5014" w:rsidRDefault="00D9264B" w:rsidP="002A5014">
      <w:pPr>
        <w:pStyle w:val="Prrafodelista"/>
        <w:ind w:left="0"/>
        <w:rPr>
          <w:rFonts w:ascii="Palatino Linotype" w:eastAsia="Palatino Linotype" w:hAnsi="Palatino Linotype" w:cs="Palatino Linotype"/>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color w:val="000000" w:themeColor="text1"/>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como ya fue establecido, se dejan a salvo los derechos de la parte </w:t>
      </w:r>
      <w:r w:rsidRPr="002A5014">
        <w:rPr>
          <w:rFonts w:ascii="Palatino Linotype" w:eastAsia="Palatino Linotype" w:hAnsi="Palatino Linotype" w:cs="Palatino Linotype"/>
          <w:b/>
          <w:color w:val="000000" w:themeColor="text1"/>
        </w:rPr>
        <w:t>RECURRENTE</w:t>
      </w:r>
      <w:r w:rsidRPr="002A5014">
        <w:rPr>
          <w:rFonts w:ascii="Palatino Linotype" w:eastAsia="Palatino Linotype" w:hAnsi="Palatino Linotype" w:cs="Palatino Linotype"/>
          <w:color w:val="000000" w:themeColor="text1"/>
        </w:rPr>
        <w:t xml:space="preserve"> para que pueda realizar la solicitud de información ante el Sujeto Obligado correspondiente.</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hAnsi="Palatino Linotype" w:cs="Arial"/>
          <w:color w:val="000000" w:themeColor="text1"/>
        </w:rPr>
        <w:lastRenderedPageBreak/>
        <w:t xml:space="preserve">Ahora bien, </w:t>
      </w:r>
      <w:r w:rsidRPr="002A5014">
        <w:rPr>
          <w:rFonts w:ascii="Palatino Linotype" w:eastAsia="Calibri" w:hAnsi="Palatino Linotype"/>
          <w:color w:val="000000" w:themeColor="text1"/>
        </w:rPr>
        <w:t>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Sujetos Obligados o la negativa de entrega de esta, derivada de la solicitud de información pública.</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hAnsi="Palatino Linotype" w:cs="Arial"/>
          <w:color w:val="000000" w:themeColor="text1"/>
        </w:rPr>
        <w:t xml:space="preserve">De </w:t>
      </w:r>
      <w:r w:rsidRPr="002A5014">
        <w:rPr>
          <w:rFonts w:ascii="Palatino Linotype" w:eastAsia="Calibri" w:hAnsi="Palatino Linotype"/>
          <w:color w:val="000000" w:themeColor="text1"/>
        </w:rPr>
        <w:t xml:space="preserve">este modo, cuando el </w:t>
      </w:r>
      <w:r w:rsidRPr="002A5014">
        <w:rPr>
          <w:rFonts w:ascii="Palatino Linotype" w:eastAsia="Calibri" w:hAnsi="Palatino Linotype"/>
          <w:b/>
          <w:color w:val="000000" w:themeColor="text1"/>
        </w:rPr>
        <w:t xml:space="preserve">SUJETO OBLIGADO, </w:t>
      </w:r>
      <w:r w:rsidRPr="002A5014">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2A5014">
        <w:rPr>
          <w:rFonts w:ascii="Palatino Linotype" w:eastAsia="Calibri" w:hAnsi="Palatino Linotype"/>
          <w:i/>
          <w:color w:val="000000" w:themeColor="text1"/>
        </w:rPr>
        <w:t>litis</w:t>
      </w:r>
      <w:r w:rsidRPr="002A5014">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hAnsi="Palatino Linotype" w:cs="Arial"/>
          <w:color w:val="000000" w:themeColor="text1"/>
        </w:rPr>
        <w:t xml:space="preserve">Sirve </w:t>
      </w:r>
      <w:r w:rsidRPr="002A5014">
        <w:rPr>
          <w:rFonts w:ascii="Palatino Linotype" w:eastAsia="Calibri" w:hAnsi="Palatino Linotype"/>
          <w:color w:val="000000" w:themeColor="text1"/>
        </w:rPr>
        <w:t>de sustento a lo anterior la siguiente jurisprudencia por contradicción, cuyo rubro, texto y datos de identificación son los siguientes:</w:t>
      </w:r>
    </w:p>
    <w:p w:rsidR="00D9264B" w:rsidRPr="002A5014" w:rsidRDefault="00D9264B" w:rsidP="002A5014">
      <w:pPr>
        <w:pStyle w:val="Prrafodelista"/>
        <w:tabs>
          <w:tab w:val="left" w:pos="426"/>
          <w:tab w:val="left" w:pos="567"/>
        </w:tabs>
        <w:ind w:left="0"/>
        <w:jc w:val="both"/>
        <w:rPr>
          <w:rFonts w:ascii="Palatino Linotype" w:eastAsia="Calibri" w:hAnsi="Palatino Linotype"/>
          <w:i/>
          <w:color w:val="000000" w:themeColor="text1"/>
        </w:rPr>
      </w:pPr>
      <w:r w:rsidRPr="002A5014">
        <w:rPr>
          <w:rFonts w:ascii="Palatino Linotype" w:eastAsia="Calibri" w:hAnsi="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2A5014">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w:t>
      </w:r>
      <w:r w:rsidRPr="002A5014">
        <w:rPr>
          <w:rFonts w:ascii="Palatino Linotype" w:eastAsia="Calibri" w:hAnsi="Palatino Linotype"/>
          <w:i/>
          <w:color w:val="000000" w:themeColor="text1"/>
        </w:rPr>
        <w:lastRenderedPageBreak/>
        <w:t>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hAnsi="Palatino Linotype" w:cs="Arial"/>
          <w:color w:val="000000" w:themeColor="text1"/>
        </w:rPr>
        <w:t xml:space="preserve">La </w:t>
      </w:r>
      <w:r w:rsidRPr="002A5014">
        <w:rPr>
          <w:rFonts w:ascii="Palatino Linotype" w:eastAsia="Calibri" w:hAnsi="Palatino Linotype"/>
          <w:color w:val="000000" w:themeColor="text1"/>
        </w:rPr>
        <w:t>anterior jurisprudencia resulta aplicable al presente asunto, en dos aspectos:</w:t>
      </w:r>
    </w:p>
    <w:p w:rsidR="00D9264B" w:rsidRPr="002A5014" w:rsidRDefault="00D9264B" w:rsidP="002A5014">
      <w:pPr>
        <w:numPr>
          <w:ilvl w:val="0"/>
          <w:numId w:val="33"/>
        </w:numPr>
        <w:ind w:left="0" w:firstLine="0"/>
        <w:contextualSpacing/>
        <w:jc w:val="both"/>
        <w:rPr>
          <w:rFonts w:ascii="Palatino Linotype" w:eastAsia="Calibri" w:hAnsi="Palatino Linotype"/>
          <w:color w:val="000000" w:themeColor="text1"/>
        </w:rPr>
      </w:pPr>
      <w:r w:rsidRPr="002A5014">
        <w:rPr>
          <w:rFonts w:ascii="Palatino Linotype" w:eastAsia="Calibri" w:hAnsi="Palatino Linotype"/>
          <w:b/>
          <w:color w:val="000000" w:themeColor="text1"/>
        </w:rPr>
        <w:t>La cesación de los efectos perniciosos del acto de autoridad:</w:t>
      </w:r>
      <w:r w:rsidRPr="002A5014">
        <w:rPr>
          <w:rFonts w:ascii="Palatino Linotype" w:eastAsia="Calibri" w:hAnsi="Palatino Linotype"/>
          <w:color w:val="000000" w:themeColor="text1"/>
        </w:rPr>
        <w:t xml:space="preserve"> Al respecto, la Ley de Transparencia contempla la figura jurídica del sobreseimiento cuando el </w:t>
      </w:r>
      <w:r w:rsidRPr="002A5014">
        <w:rPr>
          <w:rFonts w:ascii="Palatino Linotype" w:eastAsia="Calibri" w:hAnsi="Palatino Linotype"/>
          <w:b/>
          <w:color w:val="000000" w:themeColor="text1"/>
        </w:rPr>
        <w:t>SUJETO OBLIGADO</w:t>
      </w:r>
      <w:r w:rsidRPr="002A5014">
        <w:rPr>
          <w:rFonts w:ascii="Palatino Linotype" w:eastAsia="Calibri" w:hAnsi="Palatino Linotype"/>
          <w:color w:val="000000" w:themeColor="text1"/>
        </w:rPr>
        <w:t xml:space="preserve"> de </w:t>
      </w:r>
      <w:r w:rsidRPr="002A5014">
        <w:rPr>
          <w:rFonts w:ascii="Palatino Linotype" w:eastAsia="Calibri" w:hAnsi="Palatino Linotype"/>
          <w:i/>
          <w:color w:val="000000" w:themeColor="text1"/>
        </w:rPr>
        <w:t>motu proprio</w:t>
      </w:r>
      <w:r w:rsidRPr="002A5014">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D9264B" w:rsidRPr="002A5014" w:rsidRDefault="00D9264B" w:rsidP="002A5014">
      <w:pPr>
        <w:contextualSpacing/>
        <w:rPr>
          <w:rFonts w:ascii="Palatino Linotype" w:eastAsia="Calibri" w:hAnsi="Palatino Linotype"/>
          <w:color w:val="000000" w:themeColor="text1"/>
        </w:rPr>
      </w:pPr>
    </w:p>
    <w:p w:rsidR="00D9264B" w:rsidRPr="002A5014" w:rsidRDefault="00D9264B" w:rsidP="002A5014">
      <w:pPr>
        <w:numPr>
          <w:ilvl w:val="0"/>
          <w:numId w:val="33"/>
        </w:numPr>
        <w:ind w:left="0" w:firstLine="0"/>
        <w:contextualSpacing/>
        <w:jc w:val="both"/>
        <w:rPr>
          <w:rFonts w:ascii="Palatino Linotype" w:eastAsia="Calibri" w:hAnsi="Palatino Linotype"/>
          <w:color w:val="000000" w:themeColor="text1"/>
        </w:rPr>
      </w:pPr>
      <w:r w:rsidRPr="002A5014">
        <w:rPr>
          <w:rFonts w:ascii="Palatino Linotype" w:eastAsia="Calibri" w:hAnsi="Palatino Linotype"/>
          <w:b/>
          <w:color w:val="000000" w:themeColor="text1"/>
        </w:rPr>
        <w:t>El momento procesal para modificar el acto impugnado:</w:t>
      </w:r>
      <w:r w:rsidRPr="002A5014">
        <w:rPr>
          <w:rFonts w:ascii="Palatino Linotype" w:eastAsia="Calibri" w:hAnsi="Palatino Linotype"/>
          <w:color w:val="000000" w:themeColor="text1"/>
        </w:rPr>
        <w:t xml:space="preserve"> Para que se actualice el sobreseimiento de un recurso de revisión, el </w:t>
      </w:r>
      <w:r w:rsidRPr="002A5014">
        <w:rPr>
          <w:rFonts w:ascii="Palatino Linotype" w:eastAsia="Calibri" w:hAnsi="Palatino Linotype"/>
          <w:b/>
          <w:color w:val="000000" w:themeColor="text1"/>
        </w:rPr>
        <w:t>SUJETO OBLIGADO</w:t>
      </w:r>
      <w:r w:rsidRPr="002A5014">
        <w:rPr>
          <w:rFonts w:ascii="Palatino Linotype" w:eastAsia="Calibri" w:hAnsi="Palatino Linotype"/>
          <w:color w:val="000000" w:themeColor="text1"/>
        </w:rPr>
        <w:t xml:space="preserve"> puede entregar o completar la información al momento de rendir su informe de justificación o </w:t>
      </w:r>
      <w:r w:rsidRPr="002A5014">
        <w:rPr>
          <w:rFonts w:ascii="Palatino Linotype" w:eastAsia="Calibri" w:hAnsi="Palatino Linotype"/>
          <w:b/>
          <w:color w:val="000000" w:themeColor="text1"/>
          <w:u w:val="single"/>
        </w:rPr>
        <w:t>posteriormente</w:t>
      </w:r>
      <w:r w:rsidRPr="002A5014">
        <w:rPr>
          <w:rFonts w:ascii="Palatino Linotype" w:eastAsia="Calibri" w:hAnsi="Palatino Linotype"/>
          <w:color w:val="000000" w:themeColor="text1"/>
        </w:rPr>
        <w:t xml:space="preserve"> a éste, siempre y cuando el Pleno del Instituto no haya dictado resolución definitiva.</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hAnsi="Palatino Linotype" w:cs="Arial"/>
          <w:color w:val="000000" w:themeColor="text1"/>
        </w:rPr>
        <w:t xml:space="preserve">Eduardo </w:t>
      </w:r>
      <w:r w:rsidRPr="002A5014">
        <w:rPr>
          <w:rFonts w:ascii="Palatino Linotype" w:eastAsia="Calibri" w:hAnsi="Palatino Linotype" w:cs="Arial"/>
          <w:color w:val="000000" w:themeColor="text1"/>
          <w:lang w:val="es-ES"/>
        </w:rPr>
        <w:t xml:space="preserve">Pallares, </w:t>
      </w:r>
      <w:r w:rsidRPr="002A5014">
        <w:rPr>
          <w:rFonts w:ascii="Palatino Linotype" w:eastAsia="Calibri" w:hAnsi="Palatino Linotype"/>
          <w:color w:val="000000" w:themeColor="text1"/>
        </w:rPr>
        <w:t xml:space="preserve">en su artículo </w:t>
      </w:r>
      <w:r w:rsidRPr="002A5014">
        <w:rPr>
          <w:rFonts w:ascii="Palatino Linotype" w:eastAsia="Calibri" w:hAnsi="Palatino Linotype"/>
          <w:i/>
          <w:color w:val="000000" w:themeColor="text1"/>
        </w:rPr>
        <w:t>“La caducidad y el sobreseimiento en el amparo”</w:t>
      </w:r>
      <w:r w:rsidRPr="002A5014">
        <w:rPr>
          <w:rFonts w:ascii="Palatino Linotype" w:eastAsia="Calibri" w:hAnsi="Palatino Linotype"/>
          <w:color w:val="000000" w:themeColor="text1"/>
        </w:rPr>
        <w:t xml:space="preserve">, cita la definición de Aguilera Paz, aduciendo que se </w:t>
      </w:r>
      <w:r w:rsidRPr="002A5014">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2A5014">
        <w:rPr>
          <w:rFonts w:ascii="Palatino Linotype" w:eastAsia="Calibri" w:hAnsi="Palatino Linotype"/>
          <w:color w:val="000000" w:themeColor="text1"/>
        </w:rPr>
        <w:t>. Asimismo, señala que existe el sobreseimiento provisional y el definitivo</w:t>
      </w:r>
      <w:r w:rsidRPr="002A5014">
        <w:rPr>
          <w:rFonts w:ascii="Palatino Linotype" w:eastAsia="Calibri" w:hAnsi="Palatino Linotype"/>
          <w:i/>
          <w:color w:val="000000" w:themeColor="text1"/>
        </w:rPr>
        <w:t>: “...el definitivo es una verdadera sentencia que pone fin al juicio, y que una vez dictada, produce cosa juzgada, mientras que el provisorio tiene por efectos suspender la prosecución de la causa...”</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hAnsi="Palatino Linotype" w:cs="Arial"/>
          <w:color w:val="000000" w:themeColor="text1"/>
        </w:rPr>
        <w:lastRenderedPageBreak/>
        <w:t xml:space="preserve">Así, </w:t>
      </w:r>
      <w:r w:rsidRPr="002A5014">
        <w:rPr>
          <w:rFonts w:ascii="Palatino Linotype" w:eastAsia="Calibri" w:hAnsi="Palatino Linotype"/>
          <w:color w:val="000000" w:themeColor="text1"/>
        </w:rPr>
        <w:t xml:space="preserve">para la doctrina el sobreseimiento provoca que un procedimiento se suspenda o se resuelva en definitiva </w:t>
      </w:r>
      <w:r w:rsidRPr="002A5014">
        <w:rPr>
          <w:rFonts w:ascii="Palatino Linotype" w:eastAsia="Calibri" w:hAnsi="Palatino Linotype"/>
          <w:b/>
          <w:color w:val="000000" w:themeColor="text1"/>
          <w:u w:val="single"/>
        </w:rPr>
        <w:t xml:space="preserve">sin que se entre al estudio de los agravios o motivos de inconformidad. </w:t>
      </w:r>
      <w:r w:rsidRPr="002A5014">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rsidR="00D9264B" w:rsidRPr="002A5014" w:rsidRDefault="00D9264B" w:rsidP="002A5014">
      <w:pPr>
        <w:contextualSpacing/>
        <w:jc w:val="both"/>
        <w:rPr>
          <w:rFonts w:ascii="Palatino Linotype" w:eastAsia="Calibri" w:hAnsi="Palatino Linotype"/>
          <w:i/>
          <w:color w:val="000000" w:themeColor="text1"/>
          <w:lang w:val="es-AR"/>
        </w:rPr>
      </w:pPr>
      <w:r w:rsidRPr="002A5014">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2A5014">
        <w:rPr>
          <w:rFonts w:ascii="Palatino Linotype" w:eastAsia="Calibri" w:hAnsi="Palatino Linotype"/>
          <w:i/>
          <w:color w:val="000000" w:themeColor="text1"/>
          <w:lang w:val="es-AR"/>
        </w:rPr>
        <w:t xml:space="preserve"> en el juicio de amparo directo </w:t>
      </w:r>
      <w:r w:rsidRPr="002A5014">
        <w:rPr>
          <w:rFonts w:ascii="Palatino Linotype" w:eastAsia="Calibri" w:hAnsi="Palatino Linotype"/>
          <w:b/>
          <w:i/>
          <w:color w:val="000000" w:themeColor="text1"/>
          <w:lang w:val="es-AR"/>
        </w:rPr>
        <w:t>provoca la terminación de la controversia planteada</w:t>
      </w:r>
      <w:r w:rsidRPr="002A5014">
        <w:rPr>
          <w:rFonts w:ascii="Palatino Linotype" w:eastAsia="Calibri" w:hAnsi="Palatino Linotype"/>
          <w:i/>
          <w:color w:val="000000" w:themeColor="text1"/>
          <w:lang w:val="es-AR"/>
        </w:rPr>
        <w:t xml:space="preserve"> por el quejoso en la demanda de amparo</w:t>
      </w:r>
      <w:r w:rsidRPr="002A5014">
        <w:rPr>
          <w:rFonts w:ascii="Palatino Linotype" w:eastAsia="Calibri" w:hAnsi="Palatino Linotype"/>
          <w:b/>
          <w:i/>
          <w:color w:val="000000" w:themeColor="text1"/>
          <w:lang w:val="es-AR"/>
        </w:rPr>
        <w:t>, sin hacer un pronunciamiento de fondo sobre la legalidad o ilegalidad de la sentencia reclamada</w:t>
      </w:r>
      <w:r w:rsidRPr="002A5014">
        <w:rPr>
          <w:rFonts w:ascii="Palatino Linotype" w:eastAsia="Calibri" w:hAnsi="Palatino Linotype"/>
          <w:i/>
          <w:color w:val="000000" w:themeColor="text1"/>
          <w:lang w:val="es-AR"/>
        </w:rPr>
        <w:t xml:space="preserve">. </w:t>
      </w:r>
      <w:r w:rsidRPr="002A5014">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A5014">
        <w:rPr>
          <w:rFonts w:ascii="Palatino Linotype" w:eastAsia="Calibri" w:hAnsi="Palatino Linotype"/>
          <w:i/>
          <w:color w:val="000000" w:themeColor="text1"/>
          <w:lang w:val="es-AR"/>
        </w:rPr>
        <w:t>.</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hAnsi="Palatino Linotype" w:cs="Arial"/>
          <w:color w:val="000000" w:themeColor="text1"/>
        </w:rPr>
        <w:t xml:space="preserve">Consecuentemente, </w:t>
      </w:r>
      <w:r w:rsidRPr="002A5014">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D9264B" w:rsidRPr="002A5014" w:rsidRDefault="00D9264B" w:rsidP="002A5014">
      <w:pPr>
        <w:spacing w:line="360" w:lineRule="auto"/>
        <w:jc w:val="both"/>
        <w:rPr>
          <w:rFonts w:ascii="Palatino Linotype" w:eastAsia="Palatino Linotype" w:hAnsi="Palatino Linotype" w:cs="Palatino Linotype"/>
          <w:b/>
          <w:color w:val="000000" w:themeColor="text1"/>
        </w:rPr>
      </w:pPr>
    </w:p>
    <w:p w:rsidR="00D9264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hAnsi="Palatino Linotype" w:cs="Arial"/>
          <w:color w:val="000000" w:themeColor="text1"/>
        </w:rPr>
        <w:t xml:space="preserve">Bajo </w:t>
      </w:r>
      <w:r w:rsidRPr="002A5014">
        <w:rPr>
          <w:rFonts w:ascii="Palatino Linotype" w:eastAsia="Calibri" w:hAnsi="Palatino Linotype"/>
          <w:color w:val="000000" w:themeColor="text1"/>
          <w:lang w:val="es-CO"/>
        </w:rPr>
        <w:t xml:space="preserve">ese tenor y en términos del artículo 186 fracción I este Pleno determina el </w:t>
      </w:r>
      <w:r w:rsidRPr="002A5014">
        <w:rPr>
          <w:rFonts w:ascii="Palatino Linotype" w:eastAsia="Calibri" w:hAnsi="Palatino Linotype"/>
          <w:b/>
          <w:color w:val="000000" w:themeColor="text1"/>
          <w:lang w:val="es-CO"/>
        </w:rPr>
        <w:t xml:space="preserve">SOBRESEIMIENTO </w:t>
      </w:r>
      <w:r w:rsidRPr="002A5014">
        <w:rPr>
          <w:rFonts w:ascii="Palatino Linotype" w:eastAsia="Calibri" w:hAnsi="Palatino Linotype"/>
          <w:color w:val="000000" w:themeColor="text1"/>
          <w:lang w:val="es-CO"/>
        </w:rPr>
        <w:t>del presente recurso de revisión, toda vez que la afectación al derecho de acceso a la información pública establecido constitucionalmente a favor del Particular ha sido resarcida.</w:t>
      </w:r>
    </w:p>
    <w:p w:rsidR="00D9264B" w:rsidRPr="002A5014" w:rsidRDefault="00D9264B" w:rsidP="002A5014">
      <w:pPr>
        <w:rPr>
          <w:rFonts w:ascii="Palatino Linotype" w:eastAsia="Palatino Linotype" w:hAnsi="Palatino Linotype" w:cs="Palatino Linotype"/>
          <w:color w:val="000000" w:themeColor="text1"/>
        </w:rPr>
      </w:pPr>
    </w:p>
    <w:p w:rsidR="00ED55EB" w:rsidRPr="002A5014" w:rsidRDefault="00D9264B" w:rsidP="002A501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color w:val="000000" w:themeColor="text1"/>
        </w:rPr>
        <w:t xml:space="preserve">Por lo anteriormente expuesto y fundado, este </w:t>
      </w:r>
      <w:r w:rsidRPr="002A5014">
        <w:rPr>
          <w:rFonts w:ascii="Palatino Linotype" w:eastAsia="Palatino Linotype" w:hAnsi="Palatino Linotype" w:cs="Palatino Linotype"/>
          <w:b/>
          <w:color w:val="000000" w:themeColor="text1"/>
        </w:rPr>
        <w:t>ÓRGANO GARANTE</w:t>
      </w:r>
      <w:r w:rsidRPr="002A5014">
        <w:rPr>
          <w:rFonts w:ascii="Palatino Linotype" w:eastAsia="Palatino Linotype" w:hAnsi="Palatino Linotype" w:cs="Palatino Linotype"/>
          <w:color w:val="000000" w:themeColor="text1"/>
        </w:rPr>
        <w:t xml:space="preserve"> emite los siguientes:</w:t>
      </w:r>
      <w:r w:rsidR="00D46CC6">
        <w:rPr>
          <w:rFonts w:ascii="Palatino Linotype" w:eastAsia="Palatino Linotype" w:hAnsi="Palatino Linotype" w:cs="Palatino Linotype"/>
          <w:color w:val="000000" w:themeColor="text1"/>
        </w:rPr>
        <w:t xml:space="preserve"> ---------------------------------------------------------------------------------------------------------</w:t>
      </w:r>
    </w:p>
    <w:p w:rsidR="00FA52BC" w:rsidRPr="002A5014" w:rsidRDefault="00FA52BC" w:rsidP="002A5014">
      <w:pPr>
        <w:pStyle w:val="Ttulo1"/>
        <w:spacing w:before="0" w:line="360" w:lineRule="auto"/>
        <w:jc w:val="center"/>
        <w:rPr>
          <w:rFonts w:ascii="Palatino Linotype" w:eastAsia="Calibri" w:hAnsi="Palatino Linotype"/>
          <w:b/>
          <w:color w:val="000000" w:themeColor="text1"/>
          <w:sz w:val="24"/>
          <w:szCs w:val="24"/>
          <w:lang w:val="es-ES"/>
        </w:rPr>
      </w:pPr>
      <w:r w:rsidRPr="002A5014">
        <w:rPr>
          <w:rFonts w:ascii="Palatino Linotype" w:eastAsia="Calibri" w:hAnsi="Palatino Linotype"/>
          <w:b/>
          <w:color w:val="000000" w:themeColor="text1"/>
          <w:sz w:val="24"/>
          <w:szCs w:val="24"/>
          <w:lang w:val="es-ES"/>
        </w:rPr>
        <w:lastRenderedPageBreak/>
        <w:t>R E S O L U T I V O S</w:t>
      </w:r>
      <w:bookmarkEnd w:id="7"/>
      <w:bookmarkEnd w:id="8"/>
      <w:bookmarkEnd w:id="9"/>
      <w:bookmarkEnd w:id="10"/>
      <w:bookmarkEnd w:id="11"/>
      <w:bookmarkEnd w:id="12"/>
    </w:p>
    <w:p w:rsidR="00FA52BC" w:rsidRPr="002A5014" w:rsidRDefault="00FA52BC" w:rsidP="002A5014">
      <w:pPr>
        <w:rPr>
          <w:rFonts w:ascii="Palatino Linotype" w:hAnsi="Palatino Linotype"/>
          <w:color w:val="000000" w:themeColor="text1"/>
          <w:lang w:val="es-ES"/>
        </w:rPr>
      </w:pPr>
    </w:p>
    <w:p w:rsidR="00115A15" w:rsidRPr="002A5014" w:rsidRDefault="00115A15" w:rsidP="002A5014">
      <w:pPr>
        <w:spacing w:line="360" w:lineRule="auto"/>
        <w:jc w:val="both"/>
        <w:rPr>
          <w:rFonts w:ascii="Palatino Linotype" w:hAnsi="Palatino Linotype"/>
          <w:b/>
          <w:color w:val="000000" w:themeColor="text1"/>
        </w:rPr>
      </w:pPr>
      <w:r w:rsidRPr="002A5014">
        <w:rPr>
          <w:rFonts w:ascii="Palatino Linotype" w:hAnsi="Palatino Linotype" w:cs="Arial"/>
          <w:b/>
          <w:color w:val="000000" w:themeColor="text1"/>
        </w:rPr>
        <w:t xml:space="preserve">PRIMERO. </w:t>
      </w:r>
      <w:r w:rsidRPr="002A5014">
        <w:rPr>
          <w:rFonts w:ascii="Palatino Linotype" w:hAnsi="Palatino Linotype"/>
          <w:color w:val="000000" w:themeColor="text1"/>
        </w:rPr>
        <w:t xml:space="preserve">Se </w:t>
      </w:r>
      <w:r w:rsidRPr="002A5014">
        <w:rPr>
          <w:rFonts w:ascii="Palatino Linotype" w:hAnsi="Palatino Linotype"/>
          <w:b/>
          <w:color w:val="000000" w:themeColor="text1"/>
        </w:rPr>
        <w:t>SOBRESEE</w:t>
      </w:r>
      <w:r w:rsidRPr="002A5014">
        <w:rPr>
          <w:rFonts w:ascii="Palatino Linotype" w:hAnsi="Palatino Linotype"/>
          <w:color w:val="000000" w:themeColor="text1"/>
        </w:rPr>
        <w:t xml:space="preserve"> el recurso de revisión número </w:t>
      </w:r>
      <w:r w:rsidR="006140D4" w:rsidRPr="002A5014">
        <w:rPr>
          <w:rFonts w:ascii="Palatino Linotype" w:hAnsi="Palatino Linotype"/>
          <w:b/>
          <w:color w:val="000000" w:themeColor="text1"/>
        </w:rPr>
        <w:t>08498</w:t>
      </w:r>
      <w:r w:rsidRPr="002A5014">
        <w:rPr>
          <w:rFonts w:ascii="Palatino Linotype" w:hAnsi="Palatino Linotype"/>
          <w:b/>
          <w:color w:val="000000" w:themeColor="text1"/>
        </w:rPr>
        <w:t xml:space="preserve">/INFOEM/IP/RR/2025 </w:t>
      </w:r>
      <w:r w:rsidRPr="002A5014">
        <w:rPr>
          <w:rFonts w:ascii="Palatino Linotype" w:hAnsi="Palatino Linotype"/>
          <w:bCs/>
          <w:color w:val="000000" w:themeColor="text1"/>
        </w:rPr>
        <w:t>conforme al artículo 192 fracción III de la Ley de Transparencia y Acceso a la Información Pública del Estado de México y Municipios,</w:t>
      </w:r>
      <w:r w:rsidRPr="002A5014">
        <w:rPr>
          <w:rFonts w:ascii="Palatino Linotype" w:hAnsi="Palatino Linotype"/>
          <w:color w:val="000000" w:themeColor="text1"/>
        </w:rPr>
        <w:t xml:space="preserve"> porque al </w:t>
      </w:r>
      <w:r w:rsidRPr="002A5014">
        <w:rPr>
          <w:rFonts w:ascii="Palatino Linotype" w:hAnsi="Palatino Linotype"/>
          <w:b/>
          <w:bCs/>
          <w:color w:val="000000" w:themeColor="text1"/>
        </w:rPr>
        <w:t>modificar la respuesta a través del informe justificado y atender lo solicitado</w:t>
      </w:r>
      <w:r w:rsidRPr="002A5014">
        <w:rPr>
          <w:rFonts w:ascii="Palatino Linotype" w:hAnsi="Palatino Linotype"/>
          <w:color w:val="000000" w:themeColor="text1"/>
        </w:rPr>
        <w:t xml:space="preserve">, el recurso de revisión quedó sin materia en términos del Considerando </w:t>
      </w:r>
      <w:r w:rsidRPr="002A5014">
        <w:rPr>
          <w:rFonts w:ascii="Palatino Linotype" w:hAnsi="Palatino Linotype"/>
          <w:b/>
          <w:color w:val="000000" w:themeColor="text1"/>
        </w:rPr>
        <w:t>TERCERO</w:t>
      </w:r>
      <w:r w:rsidRPr="002A5014">
        <w:rPr>
          <w:rFonts w:ascii="Palatino Linotype" w:hAnsi="Palatino Linotype"/>
          <w:color w:val="000000" w:themeColor="text1"/>
        </w:rPr>
        <w:t xml:space="preserve"> de la presente resolución.</w:t>
      </w:r>
    </w:p>
    <w:p w:rsidR="00115A15" w:rsidRPr="002A5014" w:rsidRDefault="00115A15" w:rsidP="002A5014">
      <w:pPr>
        <w:spacing w:line="360" w:lineRule="auto"/>
        <w:contextualSpacing/>
        <w:jc w:val="both"/>
        <w:rPr>
          <w:rFonts w:ascii="Palatino Linotype" w:eastAsia="Calibri" w:hAnsi="Palatino Linotype" w:cs="Arial"/>
          <w:b/>
          <w:bCs/>
          <w:color w:val="000000" w:themeColor="text1"/>
          <w:lang w:val="es-ES"/>
        </w:rPr>
      </w:pPr>
    </w:p>
    <w:p w:rsidR="00115A15" w:rsidRPr="002A5014" w:rsidRDefault="002A5014" w:rsidP="002A5014">
      <w:pPr>
        <w:pStyle w:val="Sinespaciado"/>
        <w:spacing w:line="360" w:lineRule="auto"/>
        <w:jc w:val="both"/>
        <w:rPr>
          <w:rFonts w:ascii="Palatino Linotype" w:hAnsi="Palatino Linotype" w:cs="Arial"/>
          <w:b/>
          <w:bCs/>
          <w:color w:val="000000" w:themeColor="text1"/>
          <w:lang w:val="es-ES"/>
        </w:rPr>
      </w:pPr>
      <w:r>
        <w:rPr>
          <w:rFonts w:ascii="Palatino Linotype" w:hAnsi="Palatino Linotype" w:cs="Arial"/>
          <w:b/>
          <w:bCs/>
          <w:color w:val="000000" w:themeColor="text1"/>
          <w:lang w:val="es-ES"/>
        </w:rPr>
        <w:t>SEGUNDO. NOTIFÍQUESE</w:t>
      </w:r>
      <w:r w:rsidR="00115A15" w:rsidRPr="002A5014">
        <w:rPr>
          <w:rFonts w:ascii="Palatino Linotype" w:hAnsi="Palatino Linotype" w:cs="Arial"/>
          <w:b/>
          <w:bCs/>
          <w:color w:val="000000" w:themeColor="text1"/>
          <w:lang w:val="es-ES"/>
        </w:rPr>
        <w:t xml:space="preserve"> </w:t>
      </w:r>
      <w:r w:rsidR="00115A15" w:rsidRPr="002A5014">
        <w:rPr>
          <w:rFonts w:ascii="Palatino Linotype" w:hAnsi="Palatino Linotype" w:cs="Arial"/>
          <w:bCs/>
          <w:color w:val="000000" w:themeColor="text1"/>
          <w:lang w:val="es-ES"/>
        </w:rPr>
        <w:t xml:space="preserve">a través del Sistema de Acceso a la Información Mexiquense </w:t>
      </w:r>
      <w:r w:rsidR="00115A15" w:rsidRPr="002A5014">
        <w:rPr>
          <w:rFonts w:ascii="Palatino Linotype" w:hAnsi="Palatino Linotype" w:cs="Arial"/>
          <w:b/>
          <w:bCs/>
          <w:color w:val="000000" w:themeColor="text1"/>
          <w:lang w:val="es-ES"/>
        </w:rPr>
        <w:t xml:space="preserve">(SAIMEX) </w:t>
      </w:r>
      <w:r w:rsidR="00115A15" w:rsidRPr="002A5014">
        <w:rPr>
          <w:rFonts w:ascii="Palatino Linotype" w:hAnsi="Palatino Linotype" w:cs="Arial"/>
          <w:bCs/>
          <w:color w:val="000000" w:themeColor="text1"/>
          <w:lang w:val="es-ES"/>
        </w:rPr>
        <w:t>la presente resolución al Titular de la Unidad de Transparencia del</w:t>
      </w:r>
      <w:r w:rsidR="00115A15" w:rsidRPr="002A5014">
        <w:rPr>
          <w:rFonts w:ascii="Palatino Linotype" w:hAnsi="Palatino Linotype" w:cs="Arial"/>
          <w:b/>
          <w:bCs/>
          <w:color w:val="000000" w:themeColor="text1"/>
          <w:lang w:val="es-ES"/>
        </w:rPr>
        <w:t xml:space="preserve"> SUJETO OBLIGADO.</w:t>
      </w:r>
    </w:p>
    <w:p w:rsidR="00115A15" w:rsidRPr="002A5014" w:rsidRDefault="00115A15" w:rsidP="002A5014">
      <w:pPr>
        <w:pStyle w:val="Sinespaciado"/>
        <w:spacing w:line="360" w:lineRule="auto"/>
        <w:jc w:val="both"/>
        <w:rPr>
          <w:rFonts w:ascii="Palatino Linotype" w:hAnsi="Palatino Linotype" w:cs="Arial"/>
          <w:bCs/>
          <w:color w:val="000000" w:themeColor="text1"/>
          <w:lang w:val="es-ES"/>
        </w:rPr>
      </w:pPr>
    </w:p>
    <w:p w:rsidR="00115A15" w:rsidRPr="002A5014" w:rsidRDefault="00115A15" w:rsidP="002A5014">
      <w:pPr>
        <w:tabs>
          <w:tab w:val="left" w:pos="8080"/>
        </w:tabs>
        <w:spacing w:line="360" w:lineRule="auto"/>
        <w:contextualSpacing/>
        <w:jc w:val="both"/>
        <w:rPr>
          <w:rFonts w:ascii="Palatino Linotype" w:eastAsia="Calibri" w:hAnsi="Palatino Linotype" w:cs="Arial"/>
          <w:b/>
          <w:bCs/>
          <w:color w:val="000000" w:themeColor="text1"/>
          <w:lang w:val="es-ES"/>
        </w:rPr>
      </w:pPr>
      <w:r w:rsidRPr="002A5014">
        <w:rPr>
          <w:rFonts w:ascii="Palatino Linotype" w:eastAsia="Palatino Linotype" w:hAnsi="Palatino Linotype" w:cs="Palatino Linotype"/>
          <w:b/>
          <w:color w:val="000000" w:themeColor="text1"/>
        </w:rPr>
        <w:t xml:space="preserve">TERCERO. </w:t>
      </w:r>
      <w:r w:rsidRPr="002A5014">
        <w:rPr>
          <w:rFonts w:ascii="Palatino Linotype" w:hAnsi="Palatino Linotype"/>
          <w:b/>
          <w:bCs/>
          <w:color w:val="000000" w:themeColor="text1"/>
          <w:lang w:val="es-ES"/>
        </w:rPr>
        <w:t xml:space="preserve">Notifíquese </w:t>
      </w:r>
      <w:r w:rsidRPr="002A5014">
        <w:rPr>
          <w:rFonts w:ascii="Palatino Linotype" w:hAnsi="Palatino Linotype"/>
          <w:color w:val="000000" w:themeColor="text1"/>
          <w:lang w:val="es-ES"/>
        </w:rPr>
        <w:t>a</w:t>
      </w:r>
      <w:r w:rsidRPr="002A5014">
        <w:rPr>
          <w:rFonts w:ascii="Palatino Linotype" w:hAnsi="Palatino Linotype"/>
          <w:b/>
          <w:bCs/>
          <w:color w:val="000000" w:themeColor="text1"/>
          <w:lang w:val="es-ES"/>
        </w:rPr>
        <w:t xml:space="preserve"> </w:t>
      </w:r>
      <w:r w:rsidRPr="002A5014">
        <w:rPr>
          <w:rFonts w:ascii="Palatino Linotype" w:hAnsi="Palatino Linotype"/>
          <w:bCs/>
          <w:color w:val="000000" w:themeColor="text1"/>
          <w:lang w:val="es-ES"/>
        </w:rPr>
        <w:t xml:space="preserve">la parte </w:t>
      </w:r>
      <w:r w:rsidRPr="002A5014">
        <w:rPr>
          <w:rFonts w:ascii="Palatino Linotype" w:hAnsi="Palatino Linotype"/>
          <w:b/>
          <w:bCs/>
          <w:color w:val="000000" w:themeColor="text1"/>
          <w:lang w:val="es-ES"/>
        </w:rPr>
        <w:t>RECURRENTE</w:t>
      </w:r>
      <w:r w:rsidRPr="002A5014">
        <w:rPr>
          <w:rFonts w:ascii="Palatino Linotype" w:hAnsi="Palatino Linotype"/>
          <w:color w:val="000000" w:themeColor="text1"/>
        </w:rPr>
        <w:t xml:space="preserve"> </w:t>
      </w:r>
      <w:r w:rsidRPr="002A5014">
        <w:rPr>
          <w:rFonts w:ascii="Palatino Linotype" w:hAnsi="Palatino Linotype"/>
          <w:color w:val="000000" w:themeColor="text1"/>
          <w:lang w:val="es-ES"/>
        </w:rPr>
        <w:t xml:space="preserve">la presente resolución </w:t>
      </w:r>
      <w:r w:rsidRPr="002A5014">
        <w:rPr>
          <w:rFonts w:ascii="Palatino Linotype" w:eastAsia="Calibri" w:hAnsi="Palatino Linotype" w:cs="Arial"/>
          <w:bCs/>
          <w:color w:val="000000" w:themeColor="text1"/>
          <w:lang w:val="es-ES"/>
        </w:rPr>
        <w:t xml:space="preserve">a través del Sistema de Acceso a la Información Mexiquense </w:t>
      </w:r>
      <w:r w:rsidRPr="002A5014">
        <w:rPr>
          <w:rFonts w:ascii="Palatino Linotype" w:eastAsia="Calibri" w:hAnsi="Palatino Linotype" w:cs="Arial"/>
          <w:b/>
          <w:bCs/>
          <w:color w:val="000000" w:themeColor="text1"/>
          <w:lang w:val="es-ES"/>
        </w:rPr>
        <w:t>(SAIMEX).</w:t>
      </w:r>
    </w:p>
    <w:p w:rsidR="00115A15" w:rsidRPr="002A5014" w:rsidRDefault="00115A15" w:rsidP="002A5014">
      <w:pPr>
        <w:tabs>
          <w:tab w:val="left" w:pos="8080"/>
        </w:tabs>
        <w:spacing w:line="360" w:lineRule="auto"/>
        <w:contextualSpacing/>
        <w:jc w:val="both"/>
        <w:rPr>
          <w:rFonts w:ascii="Palatino Linotype" w:eastAsia="Calibri" w:hAnsi="Palatino Linotype" w:cs="Arial"/>
          <w:b/>
          <w:bCs/>
          <w:color w:val="000000" w:themeColor="text1"/>
          <w:lang w:val="es-ES"/>
        </w:rPr>
      </w:pPr>
    </w:p>
    <w:p w:rsidR="00FA52BC" w:rsidRPr="002A5014" w:rsidRDefault="00115A15" w:rsidP="002A5014">
      <w:pPr>
        <w:shd w:val="clear" w:color="auto" w:fill="FFFFFF"/>
        <w:spacing w:line="360" w:lineRule="auto"/>
        <w:jc w:val="both"/>
        <w:rPr>
          <w:rFonts w:ascii="Palatino Linotype" w:eastAsia="Palatino Linotype" w:hAnsi="Palatino Linotype" w:cs="Palatino Linotype"/>
          <w:color w:val="000000" w:themeColor="text1"/>
        </w:rPr>
      </w:pPr>
      <w:r w:rsidRPr="002A5014">
        <w:rPr>
          <w:rFonts w:ascii="Palatino Linotype" w:hAnsi="Palatino Linotype" w:cs="Arial"/>
          <w:b/>
          <w:color w:val="000000" w:themeColor="text1"/>
        </w:rPr>
        <w:t xml:space="preserve">CUARTO. </w:t>
      </w:r>
      <w:r w:rsidRPr="002A5014">
        <w:rPr>
          <w:rFonts w:ascii="Palatino Linotype" w:eastAsia="MS Mincho" w:hAnsi="Palatino Linotype"/>
          <w:color w:val="000000" w:themeColor="text1"/>
          <w:lang w:val="es-ES"/>
        </w:rPr>
        <w:t xml:space="preserve">Se hace del conocimiento de la parte </w:t>
      </w:r>
      <w:r w:rsidRPr="002A5014">
        <w:rPr>
          <w:rFonts w:ascii="Palatino Linotype" w:hAnsi="Palatino Linotype"/>
          <w:b/>
          <w:bCs/>
          <w:color w:val="000000" w:themeColor="text1"/>
          <w:lang w:val="es-ES"/>
        </w:rPr>
        <w:t>RECURRENTE</w:t>
      </w:r>
      <w:r w:rsidRPr="002A5014">
        <w:rPr>
          <w:rFonts w:ascii="Palatino Linotype" w:hAnsi="Palatino Linotype"/>
          <w:color w:val="000000" w:themeColor="text1"/>
        </w:rPr>
        <w:t xml:space="preserve"> </w:t>
      </w:r>
      <w:r w:rsidRPr="002A5014">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A5014">
        <w:rPr>
          <w:rFonts w:ascii="Palatino Linotype" w:eastAsia="MS Mincho" w:hAnsi="Palatino Linotype"/>
          <w:bCs/>
          <w:color w:val="000000" w:themeColor="text1"/>
          <w:lang w:val="es-ES"/>
        </w:rPr>
        <w:t>vía juicio de amparo</w:t>
      </w:r>
      <w:r w:rsidRPr="002A5014">
        <w:rPr>
          <w:rFonts w:ascii="Palatino Linotype" w:eastAsia="MS Mincho" w:hAnsi="Palatino Linotype"/>
          <w:color w:val="000000" w:themeColor="text1"/>
          <w:lang w:val="es-ES"/>
        </w:rPr>
        <w:t> en los términos de las leyes aplicables.</w:t>
      </w:r>
    </w:p>
    <w:p w:rsidR="00FA52BC" w:rsidRPr="002A5014" w:rsidRDefault="00FA52BC" w:rsidP="002A5014">
      <w:pPr>
        <w:shd w:val="clear" w:color="auto" w:fill="FFFFFF"/>
        <w:jc w:val="both"/>
        <w:rPr>
          <w:rFonts w:ascii="Palatino Linotype" w:hAnsi="Palatino Linotype"/>
          <w:color w:val="000000" w:themeColor="text1"/>
          <w:lang w:val="es-ES" w:eastAsia="es-MX"/>
        </w:rPr>
      </w:pPr>
    </w:p>
    <w:p w:rsidR="00FA52BC" w:rsidRPr="002A5014" w:rsidRDefault="002A5014" w:rsidP="002A5014">
      <w:pPr>
        <w:spacing w:line="360" w:lineRule="auto"/>
        <w:jc w:val="both"/>
        <w:rPr>
          <w:rFonts w:ascii="Palatino Linotype" w:hAnsi="Palatino Linotype"/>
          <w:b/>
          <w:bCs/>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rPr>
        <w:lastRenderedPageBreak/>
        <w:t xml:space="preserve">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FA52BC" w:rsidRPr="002A5014" w:rsidRDefault="00FA52BC" w:rsidP="002A5014">
      <w:pPr>
        <w:spacing w:line="360" w:lineRule="auto"/>
        <w:jc w:val="both"/>
        <w:rPr>
          <w:rFonts w:ascii="Palatino Linotype" w:hAnsi="Palatino Linotype"/>
          <w:b/>
          <w:bCs/>
          <w:color w:val="000000" w:themeColor="text1"/>
        </w:rPr>
      </w:pPr>
    </w:p>
    <w:p w:rsidR="00FA52BC" w:rsidRPr="002A5014" w:rsidRDefault="00FA52BC" w:rsidP="002A5014">
      <w:pPr>
        <w:spacing w:line="360" w:lineRule="auto"/>
        <w:jc w:val="both"/>
        <w:rPr>
          <w:rFonts w:ascii="Palatino Linotype" w:eastAsia="Palatino Linotype" w:hAnsi="Palatino Linotype" w:cs="Palatino Linotype"/>
          <w:color w:val="000000" w:themeColor="text1"/>
        </w:rPr>
      </w:pPr>
      <w:bookmarkStart w:id="14" w:name="_heading=h.tyjcwt" w:colFirst="0" w:colLast="0"/>
      <w:bookmarkEnd w:id="13"/>
      <w:bookmarkEnd w:id="14"/>
    </w:p>
    <w:p w:rsidR="006827B8" w:rsidRPr="002A5014" w:rsidRDefault="006827B8" w:rsidP="002A5014">
      <w:pPr>
        <w:spacing w:line="360" w:lineRule="auto"/>
        <w:jc w:val="both"/>
        <w:rPr>
          <w:rFonts w:ascii="Palatino Linotype" w:eastAsia="Palatino Linotype" w:hAnsi="Palatino Linotype" w:cs="Palatino Linotype"/>
          <w:color w:val="000000" w:themeColor="text1"/>
        </w:rPr>
      </w:pPr>
    </w:p>
    <w:p w:rsidR="007F0605" w:rsidRDefault="007F0605"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D46CC6" w:rsidRDefault="00D46CC6"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Default="005459EC" w:rsidP="002A5014">
      <w:pPr>
        <w:spacing w:line="360" w:lineRule="auto"/>
        <w:rPr>
          <w:rFonts w:ascii="Palatino Linotype" w:eastAsia="Palatino Linotype" w:hAnsi="Palatino Linotype" w:cs="Palatino Linotype"/>
          <w:color w:val="000000" w:themeColor="text1"/>
        </w:rPr>
      </w:pPr>
    </w:p>
    <w:p w:rsidR="005459EC" w:rsidRPr="002A5014" w:rsidRDefault="005459EC" w:rsidP="002A5014">
      <w:pPr>
        <w:spacing w:line="360" w:lineRule="auto"/>
        <w:rPr>
          <w:rFonts w:ascii="Palatino Linotype" w:eastAsia="Palatino Linotype" w:hAnsi="Palatino Linotype" w:cs="Palatino Linotype"/>
          <w:color w:val="000000" w:themeColor="text1"/>
        </w:rPr>
      </w:pPr>
    </w:p>
    <w:sectPr w:rsidR="005459EC" w:rsidRPr="002A5014" w:rsidSect="00D46CC6">
      <w:headerReference w:type="even" r:id="rId9"/>
      <w:headerReference w:type="default" r:id="rId10"/>
      <w:footerReference w:type="default" r:id="rId11"/>
      <w:headerReference w:type="first" r:id="rId12"/>
      <w:footerReference w:type="first" r:id="rId13"/>
      <w:pgSz w:w="12240" w:h="15840"/>
      <w:pgMar w:top="2269" w:right="900"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9B8" w:rsidRDefault="00D909B8">
      <w:r>
        <w:separator/>
      </w:r>
    </w:p>
  </w:endnote>
  <w:endnote w:type="continuationSeparator" w:id="0">
    <w:p w:rsidR="00D909B8" w:rsidRDefault="00D9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94" w:rsidRDefault="00BB1A9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74C7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74C7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BB1A94" w:rsidRDefault="00BB1A94">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94" w:rsidRDefault="00BB1A9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74C7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74C7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BB1A94" w:rsidRDefault="00BB1A94">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9B8" w:rsidRDefault="00D909B8">
      <w:r>
        <w:separator/>
      </w:r>
    </w:p>
  </w:footnote>
  <w:footnote w:type="continuationSeparator" w:id="0">
    <w:p w:rsidR="00D909B8" w:rsidRDefault="00D909B8">
      <w:r>
        <w:continuationSeparator/>
      </w:r>
    </w:p>
  </w:footnote>
  <w:footnote w:id="1">
    <w:p w:rsidR="00BB1A94" w:rsidRDefault="00BB1A94" w:rsidP="00D9264B">
      <w:pPr>
        <w:pStyle w:val="Textonotapie"/>
      </w:pPr>
      <w:r>
        <w:rPr>
          <w:rStyle w:val="Refdenotaalpie"/>
        </w:rPr>
        <w:footnoteRef/>
      </w:r>
      <w:r>
        <w:t xml:space="preserve"> Artículo 50, Ley de Transparencia y Acceso a la Información Pública del Estado de México y Municipios.</w:t>
      </w:r>
    </w:p>
  </w:footnote>
  <w:footnote w:id="2">
    <w:p w:rsidR="00BB1A94" w:rsidRDefault="00BB1A94" w:rsidP="00D9264B">
      <w:pPr>
        <w:pStyle w:val="Textonotapie"/>
      </w:pPr>
      <w:r>
        <w:rPr>
          <w:rStyle w:val="Refdenotaalpie"/>
        </w:rPr>
        <w:footnoteRef/>
      </w:r>
      <w:r>
        <w:t xml:space="preserve"> Artículo 51, Ídem.</w:t>
      </w:r>
    </w:p>
  </w:footnote>
  <w:footnote w:id="3">
    <w:p w:rsidR="00BB1A94" w:rsidRDefault="00BB1A94" w:rsidP="00D9264B">
      <w:pPr>
        <w:pStyle w:val="Textonotapie"/>
      </w:pPr>
      <w:r>
        <w:rPr>
          <w:rStyle w:val="Refdenotaalpie"/>
        </w:rPr>
        <w:footnoteRef/>
      </w:r>
      <w:r>
        <w:t xml:space="preserve"> Artículo 58, Ley de Transparencia y Acceso a la Información Pública del Estado de México y Municipios.</w:t>
      </w:r>
    </w:p>
  </w:footnote>
  <w:footnote w:id="4">
    <w:p w:rsidR="00BB1A94" w:rsidRDefault="00BB1A94" w:rsidP="00D9264B">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A94" w:rsidRDefault="00D909B8">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945" w:type="dxa"/>
      <w:tblInd w:w="3261" w:type="dxa"/>
      <w:tblLayout w:type="fixed"/>
      <w:tblLook w:val="0400" w:firstRow="0" w:lastRow="0" w:firstColumn="0" w:lastColumn="0" w:noHBand="0" w:noVBand="1"/>
    </w:tblPr>
    <w:tblGrid>
      <w:gridCol w:w="2976"/>
      <w:gridCol w:w="3969"/>
    </w:tblGrid>
    <w:tr w:rsidR="00BB1A94" w:rsidTr="00D46CC6">
      <w:trPr>
        <w:trHeight w:val="227"/>
      </w:trPr>
      <w:tc>
        <w:tcPr>
          <w:tcW w:w="2976" w:type="dxa"/>
          <w:vAlign w:val="center"/>
        </w:tcPr>
        <w:p w:rsidR="00BB1A94" w:rsidRPr="002A5014" w:rsidRDefault="00BB1A94" w:rsidP="002A5014">
          <w:pPr>
            <w:ind w:right="34"/>
            <w:jc w:val="right"/>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b/>
              <w:color w:val="000000" w:themeColor="text1"/>
            </w:rPr>
            <w:t>Recurso de Revisión:</w:t>
          </w:r>
        </w:p>
      </w:tc>
      <w:tc>
        <w:tcPr>
          <w:tcW w:w="3969" w:type="dxa"/>
          <w:vAlign w:val="center"/>
        </w:tcPr>
        <w:p w:rsidR="00BB1A94" w:rsidRPr="002A5014" w:rsidRDefault="00BB1A94" w:rsidP="002A5014">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bCs/>
              <w:color w:val="000000" w:themeColor="text1"/>
            </w:rPr>
            <w:t>08498/INFOEM/IP/RR/2025</w:t>
          </w:r>
        </w:p>
      </w:tc>
    </w:tr>
    <w:tr w:rsidR="00BB1A94" w:rsidTr="00D46CC6">
      <w:trPr>
        <w:trHeight w:val="242"/>
      </w:trPr>
      <w:tc>
        <w:tcPr>
          <w:tcW w:w="2976" w:type="dxa"/>
          <w:vAlign w:val="center"/>
        </w:tcPr>
        <w:p w:rsidR="00BB1A94" w:rsidRPr="002A5014" w:rsidRDefault="00BB1A94" w:rsidP="002A5014">
          <w:pPr>
            <w:ind w:right="34"/>
            <w:jc w:val="right"/>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b/>
              <w:color w:val="000000" w:themeColor="text1"/>
            </w:rPr>
            <w:t>Sujeto Obligado:</w:t>
          </w:r>
        </w:p>
      </w:tc>
      <w:tc>
        <w:tcPr>
          <w:tcW w:w="3969" w:type="dxa"/>
          <w:vAlign w:val="center"/>
        </w:tcPr>
        <w:p w:rsidR="00BB1A94" w:rsidRPr="002A5014" w:rsidRDefault="00BB1A94" w:rsidP="002A5014">
          <w:pPr>
            <w:pBdr>
              <w:top w:val="nil"/>
              <w:left w:val="nil"/>
              <w:bottom w:val="nil"/>
              <w:right w:val="nil"/>
              <w:between w:val="nil"/>
            </w:pBdr>
            <w:tabs>
              <w:tab w:val="right" w:pos="8838"/>
            </w:tabs>
            <w:ind w:right="212"/>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Ayuntamiento de Chicoloapan</w:t>
          </w:r>
        </w:p>
      </w:tc>
    </w:tr>
    <w:tr w:rsidR="00BB1A94" w:rsidTr="00D46CC6">
      <w:trPr>
        <w:trHeight w:val="342"/>
      </w:trPr>
      <w:tc>
        <w:tcPr>
          <w:tcW w:w="2976" w:type="dxa"/>
          <w:vAlign w:val="center"/>
        </w:tcPr>
        <w:p w:rsidR="00BB1A94" w:rsidRPr="002A5014" w:rsidRDefault="00BB1A94" w:rsidP="002A5014">
          <w:pPr>
            <w:ind w:right="34"/>
            <w:jc w:val="right"/>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b/>
              <w:color w:val="000000" w:themeColor="text1"/>
            </w:rPr>
            <w:t>Comisionada Ponente:</w:t>
          </w:r>
        </w:p>
      </w:tc>
      <w:tc>
        <w:tcPr>
          <w:tcW w:w="3969" w:type="dxa"/>
          <w:vAlign w:val="center"/>
        </w:tcPr>
        <w:p w:rsidR="00BB1A94" w:rsidRPr="002A5014" w:rsidRDefault="00BB1A94" w:rsidP="002A5014">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María del Rosario Mejía Ayala</w:t>
          </w:r>
        </w:p>
      </w:tc>
    </w:tr>
  </w:tbl>
  <w:p w:rsidR="00BB1A94" w:rsidRDefault="00D909B8">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7.35pt;margin-top:-128.4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946" w:type="dxa"/>
      <w:tblInd w:w="3261" w:type="dxa"/>
      <w:tblLayout w:type="fixed"/>
      <w:tblLook w:val="0400" w:firstRow="0" w:lastRow="0" w:firstColumn="0" w:lastColumn="0" w:noHBand="0" w:noVBand="1"/>
    </w:tblPr>
    <w:tblGrid>
      <w:gridCol w:w="2977"/>
      <w:gridCol w:w="3969"/>
    </w:tblGrid>
    <w:tr w:rsidR="002A5014" w:rsidRPr="002A5014" w:rsidTr="00D46CC6">
      <w:trPr>
        <w:trHeight w:val="227"/>
      </w:trPr>
      <w:tc>
        <w:tcPr>
          <w:tcW w:w="2977" w:type="dxa"/>
          <w:vAlign w:val="center"/>
        </w:tcPr>
        <w:p w:rsidR="00BB1A94" w:rsidRPr="002A5014" w:rsidRDefault="00BB1A94" w:rsidP="002A5014">
          <w:pPr>
            <w:jc w:val="right"/>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b/>
              <w:color w:val="000000" w:themeColor="text1"/>
            </w:rPr>
            <w:t>Recurso de Revisión:</w:t>
          </w:r>
        </w:p>
      </w:tc>
      <w:tc>
        <w:tcPr>
          <w:tcW w:w="3969" w:type="dxa"/>
          <w:vAlign w:val="center"/>
        </w:tcPr>
        <w:p w:rsidR="00BB1A94" w:rsidRPr="002A5014" w:rsidRDefault="00BB1A94" w:rsidP="002A5014">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bCs/>
              <w:color w:val="000000" w:themeColor="text1"/>
            </w:rPr>
            <w:t>08498/INFOEM/IP/RR/2025</w:t>
          </w:r>
        </w:p>
      </w:tc>
    </w:tr>
    <w:tr w:rsidR="002A5014" w:rsidRPr="002A5014" w:rsidTr="00D46CC6">
      <w:trPr>
        <w:trHeight w:val="242"/>
      </w:trPr>
      <w:tc>
        <w:tcPr>
          <w:tcW w:w="2977" w:type="dxa"/>
          <w:vAlign w:val="center"/>
        </w:tcPr>
        <w:p w:rsidR="00BB1A94" w:rsidRPr="002A5014" w:rsidRDefault="00BB1A94" w:rsidP="002A5014">
          <w:pPr>
            <w:jc w:val="right"/>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b/>
              <w:color w:val="000000" w:themeColor="text1"/>
            </w:rPr>
            <w:t>Recurrente:</w:t>
          </w:r>
        </w:p>
      </w:tc>
      <w:tc>
        <w:tcPr>
          <w:tcW w:w="3969" w:type="dxa"/>
        </w:tcPr>
        <w:p w:rsidR="00BB1A94" w:rsidRPr="002A5014" w:rsidRDefault="00974C79" w:rsidP="002A5014">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2A5014" w:rsidRPr="002A5014" w:rsidTr="00D46CC6">
      <w:trPr>
        <w:trHeight w:val="342"/>
      </w:trPr>
      <w:tc>
        <w:tcPr>
          <w:tcW w:w="2977" w:type="dxa"/>
          <w:vAlign w:val="center"/>
        </w:tcPr>
        <w:p w:rsidR="00BB1A94" w:rsidRPr="002A5014" w:rsidRDefault="00BB1A94" w:rsidP="002A5014">
          <w:pPr>
            <w:jc w:val="right"/>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b/>
              <w:color w:val="000000" w:themeColor="text1"/>
            </w:rPr>
            <w:t>Sujeto Obligado:</w:t>
          </w:r>
        </w:p>
      </w:tc>
      <w:tc>
        <w:tcPr>
          <w:tcW w:w="3969" w:type="dxa"/>
          <w:vAlign w:val="center"/>
        </w:tcPr>
        <w:p w:rsidR="00BB1A94" w:rsidRPr="002A5014" w:rsidRDefault="00BB1A94" w:rsidP="002A5014">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Ayuntamiento de Chicoloapan</w:t>
          </w:r>
        </w:p>
      </w:tc>
    </w:tr>
    <w:tr w:rsidR="002A5014" w:rsidRPr="002A5014" w:rsidTr="00D46CC6">
      <w:trPr>
        <w:trHeight w:val="342"/>
      </w:trPr>
      <w:tc>
        <w:tcPr>
          <w:tcW w:w="2977" w:type="dxa"/>
          <w:vAlign w:val="center"/>
        </w:tcPr>
        <w:p w:rsidR="00BB1A94" w:rsidRPr="002A5014" w:rsidRDefault="00BB1A94" w:rsidP="002A5014">
          <w:pPr>
            <w:jc w:val="right"/>
            <w:rPr>
              <w:rFonts w:ascii="Palatino Linotype" w:eastAsia="Palatino Linotype" w:hAnsi="Palatino Linotype" w:cs="Palatino Linotype"/>
              <w:b/>
              <w:color w:val="000000" w:themeColor="text1"/>
            </w:rPr>
          </w:pPr>
          <w:r w:rsidRPr="002A5014">
            <w:rPr>
              <w:rFonts w:ascii="Palatino Linotype" w:eastAsia="Palatino Linotype" w:hAnsi="Palatino Linotype" w:cs="Palatino Linotype"/>
              <w:b/>
              <w:color w:val="000000" w:themeColor="text1"/>
            </w:rPr>
            <w:t>Comisionada Ponente:</w:t>
          </w:r>
        </w:p>
      </w:tc>
      <w:tc>
        <w:tcPr>
          <w:tcW w:w="3969" w:type="dxa"/>
          <w:vAlign w:val="center"/>
        </w:tcPr>
        <w:p w:rsidR="00BB1A94" w:rsidRPr="002A5014" w:rsidRDefault="00BB1A94" w:rsidP="002A5014">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2A5014">
            <w:rPr>
              <w:rFonts w:ascii="Palatino Linotype" w:eastAsia="Palatino Linotype" w:hAnsi="Palatino Linotype" w:cs="Palatino Linotype"/>
              <w:color w:val="000000" w:themeColor="text1"/>
            </w:rPr>
            <w:t>María del Rosario Mejía Ayala</w:t>
          </w:r>
        </w:p>
      </w:tc>
    </w:tr>
  </w:tbl>
  <w:p w:rsidR="00BB1A94" w:rsidRDefault="00D909B8">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A170E"/>
    <w:multiLevelType w:val="hybridMultilevel"/>
    <w:tmpl w:val="2AAA0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7613EB3"/>
    <w:multiLevelType w:val="multilevel"/>
    <w:tmpl w:val="19CAB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056DC"/>
    <w:multiLevelType w:val="multilevel"/>
    <w:tmpl w:val="1130A9B6"/>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081E0831"/>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0172BB"/>
    <w:multiLevelType w:val="hybridMultilevel"/>
    <w:tmpl w:val="F52E8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9D3F24"/>
    <w:multiLevelType w:val="hybridMultilevel"/>
    <w:tmpl w:val="13F4D0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8039B"/>
    <w:multiLevelType w:val="multilevel"/>
    <w:tmpl w:val="18503D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CB087A"/>
    <w:multiLevelType w:val="hybridMultilevel"/>
    <w:tmpl w:val="C9E4B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D7C5CA6"/>
    <w:multiLevelType w:val="multilevel"/>
    <w:tmpl w:val="46AA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963DA"/>
    <w:multiLevelType w:val="multilevel"/>
    <w:tmpl w:val="B6F0BF78"/>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6E0074"/>
    <w:multiLevelType w:val="multilevel"/>
    <w:tmpl w:val="FD206A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9" w15:restartNumberingAfterBreak="0">
    <w:nsid w:val="3FAE3F7D"/>
    <w:multiLevelType w:val="multilevel"/>
    <w:tmpl w:val="A944026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0" w15:restartNumberingAfterBreak="0">
    <w:nsid w:val="49CD7694"/>
    <w:multiLevelType w:val="multilevel"/>
    <w:tmpl w:val="DAC2C7B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1" w15:restartNumberingAfterBreak="0">
    <w:nsid w:val="51206E6F"/>
    <w:multiLevelType w:val="hybridMultilevel"/>
    <w:tmpl w:val="BED22C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66408EF"/>
    <w:multiLevelType w:val="hybridMultilevel"/>
    <w:tmpl w:val="4266A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200C8C"/>
    <w:multiLevelType w:val="multilevel"/>
    <w:tmpl w:val="0E7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D4B02"/>
    <w:multiLevelType w:val="hybridMultilevel"/>
    <w:tmpl w:val="02606F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941D3E"/>
    <w:multiLevelType w:val="hybridMultilevel"/>
    <w:tmpl w:val="930A72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2A1933"/>
    <w:multiLevelType w:val="multilevel"/>
    <w:tmpl w:val="D97620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1" w15:restartNumberingAfterBreak="0">
    <w:nsid w:val="6FB07F24"/>
    <w:multiLevelType w:val="multilevel"/>
    <w:tmpl w:val="AEC0A0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2" w15:restartNumberingAfterBreak="0">
    <w:nsid w:val="74AE1110"/>
    <w:multiLevelType w:val="multilevel"/>
    <w:tmpl w:val="790C31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CD246D4"/>
    <w:multiLevelType w:val="hybridMultilevel"/>
    <w:tmpl w:val="1E3410F4"/>
    <w:lvl w:ilvl="0" w:tplc="DC58BC7A">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2"/>
  </w:num>
  <w:num w:numId="2">
    <w:abstractNumId w:val="14"/>
  </w:num>
  <w:num w:numId="3">
    <w:abstractNumId w:val="31"/>
  </w:num>
  <w:num w:numId="4">
    <w:abstractNumId w:val="16"/>
  </w:num>
  <w:num w:numId="5">
    <w:abstractNumId w:val="20"/>
  </w:num>
  <w:num w:numId="6">
    <w:abstractNumId w:val="8"/>
  </w:num>
  <w:num w:numId="7">
    <w:abstractNumId w:val="30"/>
  </w:num>
  <w:num w:numId="8">
    <w:abstractNumId w:val="11"/>
  </w:num>
  <w:num w:numId="9">
    <w:abstractNumId w:val="0"/>
  </w:num>
  <w:num w:numId="10">
    <w:abstractNumId w:val="33"/>
  </w:num>
  <w:num w:numId="11">
    <w:abstractNumId w:val="18"/>
  </w:num>
  <w:num w:numId="12">
    <w:abstractNumId w:val="21"/>
  </w:num>
  <w:num w:numId="13">
    <w:abstractNumId w:val="28"/>
  </w:num>
  <w:num w:numId="14">
    <w:abstractNumId w:val="5"/>
  </w:num>
  <w:num w:numId="15">
    <w:abstractNumId w:val="29"/>
  </w:num>
  <w:num w:numId="16">
    <w:abstractNumId w:val="7"/>
  </w:num>
  <w:num w:numId="17">
    <w:abstractNumId w:val="34"/>
  </w:num>
  <w:num w:numId="18">
    <w:abstractNumId w:val="23"/>
  </w:num>
  <w:num w:numId="19">
    <w:abstractNumId w:val="9"/>
  </w:num>
  <w:num w:numId="20">
    <w:abstractNumId w:val="1"/>
  </w:num>
  <w:num w:numId="21">
    <w:abstractNumId w:val="2"/>
  </w:num>
  <w:num w:numId="22">
    <w:abstractNumId w:val="15"/>
  </w:num>
  <w:num w:numId="23">
    <w:abstractNumId w:val="19"/>
  </w:num>
  <w:num w:numId="24">
    <w:abstractNumId w:val="10"/>
  </w:num>
  <w:num w:numId="25">
    <w:abstractNumId w:val="12"/>
  </w:num>
  <w:num w:numId="26">
    <w:abstractNumId w:val="4"/>
  </w:num>
  <w:num w:numId="27">
    <w:abstractNumId w:val="24"/>
  </w:num>
  <w:num w:numId="28">
    <w:abstractNumId w:val="13"/>
  </w:num>
  <w:num w:numId="29">
    <w:abstractNumId w:val="26"/>
  </w:num>
  <w:num w:numId="30">
    <w:abstractNumId w:val="25"/>
  </w:num>
  <w:num w:numId="31">
    <w:abstractNumId w:val="27"/>
  </w:num>
  <w:num w:numId="32">
    <w:abstractNumId w:val="3"/>
  </w:num>
  <w:num w:numId="33">
    <w:abstractNumId w:val="17"/>
  </w:num>
  <w:num w:numId="34">
    <w:abstractNumId w:val="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605"/>
    <w:rsid w:val="00014B17"/>
    <w:rsid w:val="00016AE8"/>
    <w:rsid w:val="00071E47"/>
    <w:rsid w:val="000D155B"/>
    <w:rsid w:val="00115A15"/>
    <w:rsid w:val="001725E3"/>
    <w:rsid w:val="00184A2D"/>
    <w:rsid w:val="00186EA7"/>
    <w:rsid w:val="001E042D"/>
    <w:rsid w:val="001E109C"/>
    <w:rsid w:val="001F3566"/>
    <w:rsid w:val="00210821"/>
    <w:rsid w:val="002477B0"/>
    <w:rsid w:val="00253635"/>
    <w:rsid w:val="002979AB"/>
    <w:rsid w:val="002A5014"/>
    <w:rsid w:val="002B0229"/>
    <w:rsid w:val="002E31E6"/>
    <w:rsid w:val="00301111"/>
    <w:rsid w:val="00355D22"/>
    <w:rsid w:val="003B0F22"/>
    <w:rsid w:val="00441177"/>
    <w:rsid w:val="00456380"/>
    <w:rsid w:val="00474777"/>
    <w:rsid w:val="004A4DD1"/>
    <w:rsid w:val="004C2802"/>
    <w:rsid w:val="005459EC"/>
    <w:rsid w:val="00564C9A"/>
    <w:rsid w:val="005A72DC"/>
    <w:rsid w:val="005E0F45"/>
    <w:rsid w:val="006140D4"/>
    <w:rsid w:val="00624CCB"/>
    <w:rsid w:val="00625E94"/>
    <w:rsid w:val="0066123A"/>
    <w:rsid w:val="006827B8"/>
    <w:rsid w:val="0068443A"/>
    <w:rsid w:val="007704C1"/>
    <w:rsid w:val="00781B34"/>
    <w:rsid w:val="007F0605"/>
    <w:rsid w:val="007F712A"/>
    <w:rsid w:val="008070C6"/>
    <w:rsid w:val="008F4EAA"/>
    <w:rsid w:val="00903432"/>
    <w:rsid w:val="00940B75"/>
    <w:rsid w:val="0096234D"/>
    <w:rsid w:val="00974C79"/>
    <w:rsid w:val="00A3102E"/>
    <w:rsid w:val="00A42E88"/>
    <w:rsid w:val="00A62BA6"/>
    <w:rsid w:val="00A76465"/>
    <w:rsid w:val="00A908DD"/>
    <w:rsid w:val="00AF4484"/>
    <w:rsid w:val="00B07386"/>
    <w:rsid w:val="00B4211F"/>
    <w:rsid w:val="00B534E0"/>
    <w:rsid w:val="00B55796"/>
    <w:rsid w:val="00BA28A7"/>
    <w:rsid w:val="00BB1A94"/>
    <w:rsid w:val="00BF78B5"/>
    <w:rsid w:val="00C726F0"/>
    <w:rsid w:val="00C81CE6"/>
    <w:rsid w:val="00CA6A4C"/>
    <w:rsid w:val="00CB7ABF"/>
    <w:rsid w:val="00D164A6"/>
    <w:rsid w:val="00D41203"/>
    <w:rsid w:val="00D46CC6"/>
    <w:rsid w:val="00D50EE7"/>
    <w:rsid w:val="00D60033"/>
    <w:rsid w:val="00D909B8"/>
    <w:rsid w:val="00D9264B"/>
    <w:rsid w:val="00D94029"/>
    <w:rsid w:val="00DE0586"/>
    <w:rsid w:val="00DE2DBA"/>
    <w:rsid w:val="00E41C13"/>
    <w:rsid w:val="00E95AF5"/>
    <w:rsid w:val="00ED55EB"/>
    <w:rsid w:val="00F30DD8"/>
    <w:rsid w:val="00F704B7"/>
    <w:rsid w:val="00FA52BC"/>
    <w:rsid w:val="00FB6DBB"/>
    <w:rsid w:val="00FC63F4"/>
    <w:rsid w:val="00FE168D"/>
    <w:rsid w:val="00FE41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D8267A-637E-4AA1-A447-D6369ED4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rPr>
      <w:rFonts w:eastAsiaTheme="minorEastAsia"/>
      <w:lang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Fundamentos"/>
    <w:link w:val="SinespaciadoCar"/>
    <w:uiPriority w:val="1"/>
    <w:qFormat/>
    <w:rsid w:val="00B90932"/>
  </w:style>
  <w:style w:type="character" w:customStyle="1" w:styleId="SinespaciadoCar">
    <w:name w:val="Sin espaciado Car"/>
    <w:aliases w:val="Francesa Car,INAI Car,Fundamentos Car"/>
    <w:link w:val="Sinespaciado"/>
    <w:uiPriority w:val="1"/>
    <w:qFormat/>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styleId="Tablaconcuadrcula">
    <w:name w:val="Table Grid"/>
    <w:basedOn w:val="Tablanormal"/>
    <w:uiPriority w:val="39"/>
    <w:rsid w:val="001F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247">
      <w:bodyDiv w:val="1"/>
      <w:marLeft w:val="0"/>
      <w:marRight w:val="0"/>
      <w:marTop w:val="0"/>
      <w:marBottom w:val="0"/>
      <w:divBdr>
        <w:top w:val="none" w:sz="0" w:space="0" w:color="auto"/>
        <w:left w:val="none" w:sz="0" w:space="0" w:color="auto"/>
        <w:bottom w:val="none" w:sz="0" w:space="0" w:color="auto"/>
        <w:right w:val="none" w:sz="0" w:space="0" w:color="auto"/>
      </w:divBdr>
    </w:div>
    <w:div w:id="893852210">
      <w:bodyDiv w:val="1"/>
      <w:marLeft w:val="0"/>
      <w:marRight w:val="0"/>
      <w:marTop w:val="0"/>
      <w:marBottom w:val="0"/>
      <w:divBdr>
        <w:top w:val="none" w:sz="0" w:space="0" w:color="auto"/>
        <w:left w:val="none" w:sz="0" w:space="0" w:color="auto"/>
        <w:bottom w:val="none" w:sz="0" w:space="0" w:color="auto"/>
        <w:right w:val="none" w:sz="0" w:space="0" w:color="auto"/>
      </w:divBdr>
    </w:div>
    <w:div w:id="978343066">
      <w:bodyDiv w:val="1"/>
      <w:marLeft w:val="0"/>
      <w:marRight w:val="0"/>
      <w:marTop w:val="0"/>
      <w:marBottom w:val="0"/>
      <w:divBdr>
        <w:top w:val="none" w:sz="0" w:space="0" w:color="auto"/>
        <w:left w:val="none" w:sz="0" w:space="0" w:color="auto"/>
        <w:bottom w:val="none" w:sz="0" w:space="0" w:color="auto"/>
        <w:right w:val="none" w:sz="0" w:space="0" w:color="auto"/>
      </w:divBdr>
    </w:div>
    <w:div w:id="1865972236">
      <w:bodyDiv w:val="1"/>
      <w:marLeft w:val="0"/>
      <w:marRight w:val="0"/>
      <w:marTop w:val="0"/>
      <w:marBottom w:val="0"/>
      <w:divBdr>
        <w:top w:val="none" w:sz="0" w:space="0" w:color="auto"/>
        <w:left w:val="none" w:sz="0" w:space="0" w:color="auto"/>
        <w:bottom w:val="none" w:sz="0" w:space="0" w:color="auto"/>
        <w:right w:val="none" w:sz="0" w:space="0" w:color="auto"/>
      </w:divBdr>
    </w:div>
    <w:div w:id="1958564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9879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a+GhD3E7IitL4coygLD0YD8ug==">CgMxLjAyDmguZ2JsdnZidGJ5aWU1Mg5oLmE0eXFjYmJkODgxMTINaC50Y2RmMmF4MmYyejIOaC5ldWtxdXEzMmRqZ3EyDmguZHlmODF1cDkwNmhpMg5oLmR0YWx6OXZ1Z3BtNjIIaC5sbnhiejkyCWguNGQzNG9nODIJaC4xdDNoNXNmMgloLjM1bmt1bjIyDmgudDc4cXg1emMwc3c2OAByITEteWJCVHZ6bk94OTdhc2xic005MWJCaDVEaFN0dFdOMA==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4546</Words>
  <Characters>25006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Cuenta Microsoft</cp:lastModifiedBy>
  <cp:revision>9</cp:revision>
  <cp:lastPrinted>2025-11-21T19:45:00Z</cp:lastPrinted>
  <dcterms:created xsi:type="dcterms:W3CDTF">2025-11-13T21:17:00Z</dcterms:created>
  <dcterms:modified xsi:type="dcterms:W3CDTF">2025-12-01T23:01:00Z</dcterms:modified>
</cp:coreProperties>
</file>