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26D" w:rsidRPr="007E1ECF" w:rsidRDefault="001D7851" w:rsidP="007654B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7E1EC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654B7" w:rsidRPr="007E1ECF">
        <w:rPr>
          <w:rFonts w:ascii="Palatino Linotype" w:eastAsia="Palatino Linotype" w:hAnsi="Palatino Linotype" w:cs="Palatino Linotype"/>
          <w:b/>
          <w:color w:val="000000" w:themeColor="text1"/>
        </w:rPr>
        <w:t xml:space="preserve">de fecha diez </w:t>
      </w:r>
      <w:r w:rsidRPr="007E1ECF">
        <w:rPr>
          <w:rFonts w:ascii="Palatino Linotype" w:eastAsia="Palatino Linotype" w:hAnsi="Palatino Linotype" w:cs="Palatino Linotype"/>
          <w:b/>
          <w:color w:val="000000" w:themeColor="text1"/>
        </w:rPr>
        <w:t>(</w:t>
      </w:r>
      <w:r w:rsidR="007654B7" w:rsidRPr="007E1ECF">
        <w:rPr>
          <w:rFonts w:ascii="Palatino Linotype" w:eastAsia="Palatino Linotype" w:hAnsi="Palatino Linotype" w:cs="Palatino Linotype"/>
          <w:b/>
          <w:color w:val="000000" w:themeColor="text1"/>
        </w:rPr>
        <w:t>10</w:t>
      </w:r>
      <w:r w:rsidRPr="007E1ECF">
        <w:rPr>
          <w:rFonts w:ascii="Palatino Linotype" w:eastAsia="Palatino Linotype" w:hAnsi="Palatino Linotype" w:cs="Palatino Linotype"/>
          <w:b/>
          <w:color w:val="000000" w:themeColor="text1"/>
        </w:rPr>
        <w:t>) de septiembre de dos mil veinticinco</w:t>
      </w:r>
      <w:r w:rsidRPr="007E1ECF">
        <w:rPr>
          <w:rFonts w:ascii="Palatino Linotype" w:eastAsia="Palatino Linotype" w:hAnsi="Palatino Linotype" w:cs="Palatino Linotype"/>
          <w:color w:val="000000" w:themeColor="text1"/>
        </w:rPr>
        <w:t>.</w:t>
      </w:r>
    </w:p>
    <w:p w:rsidR="00D2426D" w:rsidRPr="007E1ECF" w:rsidRDefault="00D2426D" w:rsidP="007654B7">
      <w:pPr>
        <w:tabs>
          <w:tab w:val="left" w:pos="3465"/>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 xml:space="preserve">VISTAS </w:t>
      </w:r>
      <w:r w:rsidRPr="007E1ECF">
        <w:rPr>
          <w:rFonts w:ascii="Palatino Linotype" w:eastAsia="Palatino Linotype" w:hAnsi="Palatino Linotype" w:cs="Palatino Linotype"/>
          <w:color w:val="000000" w:themeColor="text1"/>
        </w:rPr>
        <w:t xml:space="preserve">las constancias para resolver el Recurso de Revisión </w:t>
      </w:r>
      <w:r w:rsidRPr="007E1ECF">
        <w:rPr>
          <w:rFonts w:ascii="Palatino Linotype" w:eastAsia="Palatino Linotype" w:hAnsi="Palatino Linotype" w:cs="Palatino Linotype"/>
          <w:b/>
          <w:color w:val="000000" w:themeColor="text1"/>
        </w:rPr>
        <w:t>04053/INFOEM/IP/RR/2025</w:t>
      </w:r>
      <w:r w:rsidRPr="007E1ECF">
        <w:rPr>
          <w:rFonts w:ascii="Palatino Linotype" w:eastAsia="Palatino Linotype" w:hAnsi="Palatino Linotype" w:cs="Palatino Linotype"/>
          <w:color w:val="000000" w:themeColor="text1"/>
        </w:rPr>
        <w:t xml:space="preserve">, promovido de manera anónima, en lo sucesivo </w:t>
      </w:r>
      <w:r w:rsidRPr="007E1ECF">
        <w:rPr>
          <w:rFonts w:ascii="Palatino Linotype" w:eastAsia="Palatino Linotype" w:hAnsi="Palatino Linotype" w:cs="Palatino Linotype"/>
          <w:b/>
          <w:color w:val="000000" w:themeColor="text1"/>
        </w:rPr>
        <w:t>EL RECURRENTE</w:t>
      </w:r>
      <w:r w:rsidRPr="007E1ECF">
        <w:rPr>
          <w:rFonts w:ascii="Palatino Linotype" w:eastAsia="Palatino Linotype" w:hAnsi="Palatino Linotype" w:cs="Palatino Linotype"/>
          <w:color w:val="000000" w:themeColor="text1"/>
        </w:rPr>
        <w:t xml:space="preserve">, en contra de la respuesta otorgada a la solicitud de información </w:t>
      </w:r>
      <w:r w:rsidRPr="007E1ECF">
        <w:rPr>
          <w:rFonts w:ascii="Palatino Linotype" w:eastAsia="Palatino Linotype" w:hAnsi="Palatino Linotype" w:cs="Palatino Linotype"/>
          <w:b/>
          <w:color w:val="000000" w:themeColor="text1"/>
        </w:rPr>
        <w:t>00139/ZINACANT/IP/2025</w:t>
      </w:r>
      <w:r w:rsidRPr="007E1ECF">
        <w:rPr>
          <w:rFonts w:ascii="Palatino Linotype" w:eastAsia="Palatino Linotype" w:hAnsi="Palatino Linotype" w:cs="Palatino Linotype"/>
          <w:color w:val="000000" w:themeColor="text1"/>
        </w:rPr>
        <w:t xml:space="preserve">, por parte del </w:t>
      </w:r>
      <w:r w:rsidRPr="007E1ECF">
        <w:rPr>
          <w:rFonts w:ascii="Palatino Linotype" w:eastAsia="Palatino Linotype" w:hAnsi="Palatino Linotype" w:cs="Palatino Linotype"/>
          <w:b/>
          <w:color w:val="000000" w:themeColor="text1"/>
        </w:rPr>
        <w:t xml:space="preserve">Ayuntamiento de Zinacantepec, </w:t>
      </w:r>
      <w:r w:rsidRPr="007E1ECF">
        <w:rPr>
          <w:rFonts w:ascii="Palatino Linotype" w:eastAsia="Palatino Linotype" w:hAnsi="Palatino Linotype" w:cs="Palatino Linotype"/>
          <w:color w:val="000000" w:themeColor="text1"/>
        </w:rPr>
        <w:t xml:space="preserve">en adelante 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se emite la presente resolución con base en los siguientes:</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E1ECF">
        <w:rPr>
          <w:rFonts w:ascii="Palatino Linotype" w:eastAsia="Palatino Linotype" w:hAnsi="Palatino Linotype" w:cs="Palatino Linotype"/>
          <w:b/>
          <w:color w:val="000000" w:themeColor="text1"/>
          <w:sz w:val="24"/>
          <w:szCs w:val="24"/>
        </w:rPr>
        <w:t>A N T E C E D E N T E S</w:t>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D2426D" w:rsidRPr="007E1ECF" w:rsidRDefault="001D7851" w:rsidP="00765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El </w:t>
      </w:r>
      <w:r w:rsidRPr="007E1ECF">
        <w:rPr>
          <w:rFonts w:ascii="Palatino Linotype" w:eastAsia="Palatino Linotype" w:hAnsi="Palatino Linotype" w:cs="Palatino Linotype"/>
          <w:b/>
          <w:color w:val="000000" w:themeColor="text1"/>
        </w:rPr>
        <w:t>veinticinco de marzo de dos mil veinticinco</w:t>
      </w:r>
      <w:r w:rsidRPr="007E1ECF">
        <w:rPr>
          <w:rFonts w:ascii="Palatino Linotype" w:eastAsia="Palatino Linotype" w:hAnsi="Palatino Linotype" w:cs="Palatino Linotype"/>
          <w:color w:val="000000" w:themeColor="text1"/>
        </w:rPr>
        <w:t>,</w:t>
      </w:r>
      <w:r w:rsidRPr="007E1ECF">
        <w:rPr>
          <w:rFonts w:ascii="Palatino Linotype" w:eastAsia="Palatino Linotype" w:hAnsi="Palatino Linotype" w:cs="Palatino Linotype"/>
          <w:b/>
          <w:color w:val="000000" w:themeColor="text1"/>
        </w:rPr>
        <w:t xml:space="preserve"> </w:t>
      </w:r>
      <w:r w:rsidRPr="007E1ECF">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7E1ECF">
        <w:rPr>
          <w:rFonts w:ascii="Palatino Linotype" w:eastAsia="Palatino Linotype" w:hAnsi="Palatino Linotype" w:cs="Palatino Linotype"/>
          <w:b/>
          <w:color w:val="000000" w:themeColor="text1"/>
        </w:rPr>
        <w:t>solicitud de información pública</w:t>
      </w:r>
      <w:r w:rsidRPr="007E1ECF">
        <w:rPr>
          <w:rFonts w:ascii="Palatino Linotype" w:eastAsia="Palatino Linotype" w:hAnsi="Palatino Linotype" w:cs="Palatino Linotype"/>
          <w:color w:val="000000" w:themeColor="text1"/>
        </w:rPr>
        <w:t>:</w:t>
      </w:r>
    </w:p>
    <w:p w:rsidR="00D2426D" w:rsidRPr="007E1ECF" w:rsidRDefault="00D2426D" w:rsidP="007654B7">
      <w:pPr>
        <w:pBdr>
          <w:top w:val="nil"/>
          <w:left w:val="nil"/>
          <w:bottom w:val="nil"/>
          <w:right w:val="nil"/>
          <w:between w:val="nil"/>
        </w:pBdr>
        <w:jc w:val="both"/>
        <w:rPr>
          <w:rFonts w:ascii="Palatino Linotype" w:eastAsia="Palatino Linotype" w:hAnsi="Palatino Linotype" w:cs="Palatino Linotype"/>
          <w:color w:val="000000" w:themeColor="text1"/>
        </w:rPr>
      </w:pPr>
    </w:p>
    <w:p w:rsidR="00D2426D" w:rsidRPr="007E1ECF" w:rsidRDefault="001D7851" w:rsidP="007654B7">
      <w:pPr>
        <w:pBdr>
          <w:top w:val="nil"/>
          <w:left w:val="nil"/>
          <w:bottom w:val="nil"/>
          <w:right w:val="nil"/>
          <w:between w:val="nil"/>
        </w:pBd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 “Solicito un desglose detallado de los ingresos y egresos del último año fiscal, con la inclusión de los tipos de ingresos obtenidos, su distribución y las partidas de egresos más relevantes, especificando los rubros más significativos.” (Sic)</w:t>
      </w:r>
    </w:p>
    <w:p w:rsidR="00D2426D" w:rsidRPr="007E1ECF" w:rsidRDefault="00D2426D" w:rsidP="007654B7">
      <w:pPr>
        <w:pBdr>
          <w:top w:val="nil"/>
          <w:left w:val="nil"/>
          <w:bottom w:val="nil"/>
          <w:right w:val="nil"/>
          <w:between w:val="nil"/>
        </w:pBdr>
        <w:jc w:val="both"/>
        <w:rPr>
          <w:rFonts w:ascii="Palatino Linotype" w:eastAsia="Palatino Linotype" w:hAnsi="Palatino Linotype" w:cs="Palatino Linotype"/>
          <w:i/>
          <w:color w:val="000000" w:themeColor="text1"/>
        </w:rPr>
      </w:pPr>
    </w:p>
    <w:p w:rsidR="00D2426D" w:rsidRPr="007E1ECF" w:rsidRDefault="001D7851" w:rsidP="007654B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Se eligió como modalidad de entrega de la información: A través del </w:t>
      </w:r>
      <w:r w:rsidRPr="007E1ECF">
        <w:rPr>
          <w:rFonts w:ascii="Palatino Linotype" w:eastAsia="Palatino Linotype" w:hAnsi="Palatino Linotype" w:cs="Palatino Linotype"/>
          <w:b/>
          <w:color w:val="000000" w:themeColor="text1"/>
        </w:rPr>
        <w:t>SAIMEX.</w:t>
      </w:r>
    </w:p>
    <w:p w:rsidR="00D2426D" w:rsidRPr="007E1ECF" w:rsidRDefault="00D2426D" w:rsidP="00765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El</w:t>
      </w:r>
      <w:r w:rsidRPr="007E1ECF">
        <w:rPr>
          <w:rFonts w:ascii="Palatino Linotype" w:eastAsia="Palatino Linotype" w:hAnsi="Palatino Linotype" w:cs="Palatino Linotype"/>
          <w:b/>
          <w:color w:val="000000" w:themeColor="text1"/>
        </w:rPr>
        <w:t xml:space="preserve"> uno de abril de dos mil veinticinco</w:t>
      </w:r>
      <w:r w:rsidRPr="007E1ECF">
        <w:rPr>
          <w:rFonts w:ascii="Palatino Linotype" w:eastAsia="Palatino Linotype" w:hAnsi="Palatino Linotype" w:cs="Palatino Linotype"/>
          <w:color w:val="000000" w:themeColor="text1"/>
        </w:rPr>
        <w:t>, el Sujeto Obligado</w:t>
      </w:r>
      <w:r w:rsidRPr="007E1ECF">
        <w:rPr>
          <w:rFonts w:ascii="Palatino Linotype" w:eastAsia="Palatino Linotype" w:hAnsi="Palatino Linotype" w:cs="Palatino Linotype"/>
          <w:b/>
          <w:color w:val="000000" w:themeColor="text1"/>
        </w:rPr>
        <w:t>,</w:t>
      </w:r>
      <w:r w:rsidRPr="007E1ECF">
        <w:rPr>
          <w:rFonts w:ascii="Palatino Linotype" w:eastAsia="Palatino Linotype" w:hAnsi="Palatino Linotype" w:cs="Palatino Linotype"/>
          <w:color w:val="000000" w:themeColor="text1"/>
        </w:rPr>
        <w:t xml:space="preserve"> dio </w:t>
      </w:r>
      <w:r w:rsidRPr="007E1ECF">
        <w:rPr>
          <w:rFonts w:ascii="Palatino Linotype" w:eastAsia="Palatino Linotype" w:hAnsi="Palatino Linotype" w:cs="Palatino Linotype"/>
          <w:b/>
          <w:color w:val="000000" w:themeColor="text1"/>
        </w:rPr>
        <w:t>respuesta</w:t>
      </w:r>
      <w:r w:rsidRPr="007E1ECF">
        <w:rPr>
          <w:rFonts w:ascii="Palatino Linotype" w:eastAsia="Palatino Linotype" w:hAnsi="Palatino Linotype" w:cs="Palatino Linotype"/>
          <w:color w:val="000000" w:themeColor="text1"/>
        </w:rPr>
        <w:t xml:space="preserve"> a través de los siguientes archivos electrónicos</w:t>
      </w:r>
      <w:r w:rsidRPr="007E1ECF">
        <w:rPr>
          <w:rFonts w:ascii="Palatino Linotype" w:eastAsia="Palatino Linotype" w:hAnsi="Palatino Linotype" w:cs="Palatino Linotype"/>
          <w:b/>
          <w:i/>
          <w:color w:val="000000" w:themeColor="text1"/>
        </w:rPr>
        <w:t>:</w:t>
      </w:r>
    </w:p>
    <w:p w:rsidR="00D2426D" w:rsidRPr="007E1ECF" w:rsidRDefault="001D7851" w:rsidP="007654B7">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Oficio 459 Sol 0139.pdf</w:t>
      </w:r>
    </w:p>
    <w:p w:rsidR="00D2426D" w:rsidRPr="007E1ECF" w:rsidRDefault="001D7851" w:rsidP="007654B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Oficio número ZIN/TM/0459/2025 de fecha 31 de marzo de 2025, rubricado por el Tesorero Municipal a través del cual señala que la información requerida se encuentra en la página </w:t>
      </w:r>
      <w:r w:rsidRPr="007E1ECF">
        <w:rPr>
          <w:rFonts w:ascii="Palatino Linotype" w:eastAsia="Palatino Linotype" w:hAnsi="Palatino Linotype" w:cs="Palatino Linotype"/>
          <w:color w:val="000000" w:themeColor="text1"/>
        </w:rPr>
        <w:lastRenderedPageBreak/>
        <w:t xml:space="preserve">oficial del Ayuntamiento, poniendo a disposición del solicitante el link </w:t>
      </w:r>
      <w:hyperlink r:id="rId8">
        <w:r w:rsidRPr="007E1ECF">
          <w:rPr>
            <w:rFonts w:ascii="Palatino Linotype" w:eastAsia="Palatino Linotype" w:hAnsi="Palatino Linotype" w:cs="Palatino Linotype"/>
            <w:color w:val="000000" w:themeColor="text1"/>
            <w:u w:val="single"/>
          </w:rPr>
          <w:t>https://www.zinacantepec.gob.mx/conac.php</w:t>
        </w:r>
      </w:hyperlink>
      <w:r w:rsidRPr="007E1ECF">
        <w:rPr>
          <w:rFonts w:ascii="Palatino Linotype" w:eastAsia="Palatino Linotype" w:hAnsi="Palatino Linotype" w:cs="Palatino Linotype"/>
          <w:color w:val="000000" w:themeColor="text1"/>
        </w:rPr>
        <w:t xml:space="preserve"> </w:t>
      </w:r>
    </w:p>
    <w:p w:rsidR="00D2426D" w:rsidRPr="007E1ECF" w:rsidRDefault="00D2426D" w:rsidP="007654B7">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D2426D" w:rsidRPr="007E1ECF" w:rsidRDefault="001D7851" w:rsidP="007654B7">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OFICIO RESPUESTA SOLICITUD 139.pdf</w:t>
      </w:r>
    </w:p>
    <w:p w:rsidR="00D2426D" w:rsidRPr="007E1ECF" w:rsidRDefault="001D7851" w:rsidP="007654B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Oficio rubricado por la Titular de la Unidad de Transparencia, a través del cual remite la respuesta proporcionada por el área competente, adicionalmente informa que la información solicitada ya se encuentra publicada en la página oficial del ayuntamiento consultable a través de la liga electrónica: </w:t>
      </w:r>
      <w:hyperlink r:id="rId9">
        <w:r w:rsidRPr="007E1ECF">
          <w:rPr>
            <w:rFonts w:ascii="Palatino Linotype" w:eastAsia="Palatino Linotype" w:hAnsi="Palatino Linotype" w:cs="Palatino Linotype"/>
            <w:color w:val="000000" w:themeColor="text1"/>
            <w:u w:val="single"/>
          </w:rPr>
          <w:t>https://www.zinacantepec.gob.mx/conac.php</w:t>
        </w:r>
      </w:hyperlink>
      <w:r w:rsidRPr="007E1ECF">
        <w:rPr>
          <w:rFonts w:ascii="Palatino Linotype" w:eastAsia="Palatino Linotype" w:hAnsi="Palatino Linotype" w:cs="Palatino Linotype"/>
          <w:color w:val="000000" w:themeColor="text1"/>
        </w:rPr>
        <w:t xml:space="preserve"> </w:t>
      </w:r>
    </w:p>
    <w:p w:rsidR="00D2426D" w:rsidRPr="007E1ECF" w:rsidRDefault="001D7851" w:rsidP="007654B7">
      <w:pPr>
        <w:pBdr>
          <w:top w:val="nil"/>
          <w:left w:val="nil"/>
          <w:bottom w:val="nil"/>
          <w:right w:val="nil"/>
          <w:between w:val="nil"/>
        </w:pBdr>
        <w:tabs>
          <w:tab w:val="left" w:pos="1660"/>
        </w:tabs>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tab/>
      </w:r>
    </w:p>
    <w:p w:rsidR="00D2426D" w:rsidRPr="007E1ECF" w:rsidRDefault="00D2426D" w:rsidP="007654B7">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D2426D" w:rsidRPr="007E1ECF" w:rsidRDefault="001D7851" w:rsidP="00765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El</w:t>
      </w:r>
      <w:r w:rsidRPr="007E1ECF">
        <w:rPr>
          <w:rFonts w:ascii="Palatino Linotype" w:eastAsia="Palatino Linotype" w:hAnsi="Palatino Linotype" w:cs="Palatino Linotype"/>
          <w:b/>
          <w:color w:val="000000" w:themeColor="text1"/>
        </w:rPr>
        <w:t xml:space="preserve"> siete de abril de dos mil veinticinco</w:t>
      </w:r>
      <w:r w:rsidRPr="007E1ECF">
        <w:rPr>
          <w:rFonts w:ascii="Palatino Linotype" w:eastAsia="Palatino Linotype" w:hAnsi="Palatino Linotype" w:cs="Palatino Linotype"/>
          <w:color w:val="000000" w:themeColor="text1"/>
        </w:rPr>
        <w:t xml:space="preserve">, el particular interpuso el </w:t>
      </w:r>
      <w:r w:rsidRPr="007E1ECF">
        <w:rPr>
          <w:rFonts w:ascii="Palatino Linotype" w:eastAsia="Palatino Linotype" w:hAnsi="Palatino Linotype" w:cs="Palatino Linotype"/>
          <w:b/>
          <w:color w:val="000000" w:themeColor="text1"/>
        </w:rPr>
        <w:t>recurso de revisión</w:t>
      </w:r>
      <w:r w:rsidRPr="007E1ECF">
        <w:rPr>
          <w:rFonts w:ascii="Palatino Linotype" w:eastAsia="Palatino Linotype" w:hAnsi="Palatino Linotype" w:cs="Palatino Linotype"/>
          <w:color w:val="000000" w:themeColor="text1"/>
        </w:rPr>
        <w:t xml:space="preserve"> al que se le asignó el folio </w:t>
      </w:r>
      <w:r w:rsidRPr="007E1ECF">
        <w:rPr>
          <w:rFonts w:ascii="Palatino Linotype" w:eastAsia="Palatino Linotype" w:hAnsi="Palatino Linotype" w:cs="Palatino Linotype"/>
          <w:b/>
          <w:color w:val="000000" w:themeColor="text1"/>
        </w:rPr>
        <w:t xml:space="preserve">04053/INFOEM/IP/RR/2025 </w:t>
      </w:r>
      <w:r w:rsidRPr="007E1ECF">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D2426D" w:rsidRPr="007E1ECF" w:rsidRDefault="00D2426D" w:rsidP="007654B7">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D2426D" w:rsidRPr="00DB73F7" w:rsidRDefault="001D7851" w:rsidP="00DB73F7">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DB73F7">
        <w:rPr>
          <w:rFonts w:ascii="Palatino Linotype" w:eastAsia="Palatino Linotype" w:hAnsi="Palatino Linotype" w:cs="Palatino Linotype"/>
          <w:b/>
          <w:color w:val="000000" w:themeColor="text1"/>
        </w:rPr>
        <w:t xml:space="preserve">Acto impugnado: </w:t>
      </w:r>
      <w:r w:rsidRPr="00DB73F7">
        <w:rPr>
          <w:rFonts w:ascii="Palatino Linotype" w:eastAsia="Palatino Linotype" w:hAnsi="Palatino Linotype" w:cs="Palatino Linotype"/>
          <w:i/>
          <w:color w:val="000000" w:themeColor="text1"/>
        </w:rPr>
        <w:t>“NO ENTREGA INFORMACIÓN” (Sic)</w:t>
      </w:r>
    </w:p>
    <w:p w:rsidR="00D2426D" w:rsidRPr="007E1ECF" w:rsidRDefault="00D2426D" w:rsidP="007654B7">
      <w:pPr>
        <w:pBdr>
          <w:top w:val="nil"/>
          <w:left w:val="nil"/>
          <w:bottom w:val="nil"/>
          <w:right w:val="nil"/>
          <w:between w:val="nil"/>
        </w:pBdr>
        <w:jc w:val="both"/>
        <w:rPr>
          <w:rFonts w:ascii="Palatino Linotype" w:eastAsia="Palatino Linotype" w:hAnsi="Palatino Linotype" w:cs="Palatino Linotype"/>
          <w:i/>
          <w:color w:val="000000" w:themeColor="text1"/>
        </w:rPr>
      </w:pPr>
    </w:p>
    <w:p w:rsidR="00D2426D" w:rsidRPr="00DB73F7" w:rsidRDefault="001D7851" w:rsidP="00DB73F7">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DB73F7">
        <w:rPr>
          <w:rFonts w:ascii="Palatino Linotype" w:eastAsia="Palatino Linotype" w:hAnsi="Palatino Linotype" w:cs="Palatino Linotype"/>
          <w:b/>
          <w:color w:val="000000" w:themeColor="text1"/>
        </w:rPr>
        <w:t xml:space="preserve">Razones o Motivos de inconformidad: </w:t>
      </w:r>
      <w:r w:rsidRPr="00DB73F7">
        <w:rPr>
          <w:rFonts w:ascii="Palatino Linotype" w:eastAsia="Palatino Linotype" w:hAnsi="Palatino Linotype" w:cs="Palatino Linotype"/>
          <w:i/>
          <w:color w:val="000000" w:themeColor="text1"/>
        </w:rPr>
        <w:t xml:space="preserve">“NO ENTREGA INFORMACIÓN” </w:t>
      </w:r>
      <w:r w:rsidRPr="00DB73F7">
        <w:rPr>
          <w:rFonts w:ascii="Palatino Linotype" w:eastAsia="Palatino Linotype" w:hAnsi="Palatino Linotype" w:cs="Palatino Linotype"/>
          <w:color w:val="000000" w:themeColor="text1"/>
        </w:rPr>
        <w:t>(Sic)</w:t>
      </w:r>
    </w:p>
    <w:p w:rsidR="00D2426D" w:rsidRPr="007E1ECF" w:rsidRDefault="00D2426D" w:rsidP="00765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D2426D" w:rsidRPr="007E1ECF" w:rsidRDefault="001D7851" w:rsidP="00765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7E1ECF">
        <w:rPr>
          <w:rFonts w:ascii="Palatino Linotype" w:eastAsia="Palatino Linotype" w:hAnsi="Palatino Linotype" w:cs="Palatino Linotype"/>
          <w:b/>
          <w:color w:val="000000" w:themeColor="text1"/>
        </w:rPr>
        <w:t xml:space="preserve">acuerdo de admisión </w:t>
      </w:r>
      <w:r w:rsidRPr="007E1ECF">
        <w:rPr>
          <w:rFonts w:ascii="Palatino Linotype" w:eastAsia="Palatino Linotype" w:hAnsi="Palatino Linotype" w:cs="Palatino Linotype"/>
          <w:color w:val="000000" w:themeColor="text1"/>
        </w:rPr>
        <w:t xml:space="preserve">de fecha </w:t>
      </w:r>
      <w:r w:rsidRPr="007E1ECF">
        <w:rPr>
          <w:rFonts w:ascii="Palatino Linotype" w:eastAsia="Palatino Linotype" w:hAnsi="Palatino Linotype" w:cs="Palatino Linotype"/>
          <w:b/>
          <w:color w:val="000000" w:themeColor="text1"/>
        </w:rPr>
        <w:t xml:space="preserve">diez de abril dos mil veinticinco, </w:t>
      </w:r>
      <w:r w:rsidRPr="007E1ECF">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7E1ECF">
        <w:rPr>
          <w:rFonts w:ascii="Palatino Linotype" w:eastAsia="Palatino Linotype" w:hAnsi="Palatino Linotype" w:cs="Palatino Linotype"/>
          <w:b/>
          <w:color w:val="000000" w:themeColor="text1"/>
        </w:rPr>
        <w:t xml:space="preserve">SUJETO OBLIGADO </w:t>
      </w:r>
      <w:r w:rsidRPr="007E1ECF">
        <w:rPr>
          <w:rFonts w:ascii="Palatino Linotype" w:eastAsia="Palatino Linotype" w:hAnsi="Palatino Linotype" w:cs="Palatino Linotype"/>
          <w:color w:val="000000" w:themeColor="text1"/>
        </w:rPr>
        <w:t>presentara el Informe Justificado procedente.</w:t>
      </w:r>
    </w:p>
    <w:p w:rsidR="00D2426D" w:rsidRPr="007E1ECF" w:rsidRDefault="00D2426D" w:rsidP="00765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El Recurrente</w:t>
      </w:r>
      <w:r w:rsidRPr="007E1ECF">
        <w:rPr>
          <w:rFonts w:ascii="Palatino Linotype" w:eastAsia="Palatino Linotype" w:hAnsi="Palatino Linotype" w:cs="Palatino Linotype"/>
          <w:b/>
          <w:color w:val="000000" w:themeColor="text1"/>
        </w:rPr>
        <w:t xml:space="preserve"> </w:t>
      </w:r>
      <w:r w:rsidRPr="007E1ECF">
        <w:rPr>
          <w:rFonts w:ascii="Palatino Linotype" w:eastAsia="Palatino Linotype" w:hAnsi="Palatino Linotype" w:cs="Palatino Linotype"/>
          <w:color w:val="000000" w:themeColor="text1"/>
        </w:rPr>
        <w:t xml:space="preserve">dejó de realizar manifestaciones que a su derecho conviniera y asistiera. Por su parte, el Sujeto Obligado, en fecha </w:t>
      </w:r>
      <w:r w:rsidRPr="007E1ECF">
        <w:rPr>
          <w:rFonts w:ascii="Palatino Linotype" w:eastAsia="Palatino Linotype" w:hAnsi="Palatino Linotype" w:cs="Palatino Linotype"/>
          <w:b/>
          <w:color w:val="000000" w:themeColor="text1"/>
        </w:rPr>
        <w:t>veintiocho de abril de dos mil veinticinco</w:t>
      </w:r>
      <w:r w:rsidRPr="007E1ECF">
        <w:rPr>
          <w:rFonts w:ascii="Palatino Linotype" w:eastAsia="Palatino Linotype" w:hAnsi="Palatino Linotype" w:cs="Palatino Linotype"/>
          <w:color w:val="000000" w:themeColor="text1"/>
        </w:rPr>
        <w:t>, rindió informe justificado, a través de los archivos electrónicos siguientes:</w:t>
      </w:r>
    </w:p>
    <w:p w:rsidR="00D2426D" w:rsidRPr="007E1ECF" w:rsidRDefault="001D7851" w:rsidP="007654B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lastRenderedPageBreak/>
        <w:t>TESORERIA SOL 139.pdf</w:t>
      </w:r>
    </w:p>
    <w:p w:rsidR="00D2426D" w:rsidRPr="007E1ECF" w:rsidRDefault="001D7851" w:rsidP="007654B7">
      <w:pPr>
        <w:pBdr>
          <w:top w:val="nil"/>
          <w:left w:val="nil"/>
          <w:bottom w:val="nil"/>
          <w:right w:val="nil"/>
          <w:between w:val="nil"/>
        </w:pBdr>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Oficio número ZIN/TM/0534/2025 de fecha 08 de abril de 2025 firmado por el Tesorero Municipal a través del cual ratifica que la información solicitada se encuentra pública en la página web del Ayuntamiento, señalando la liga </w:t>
      </w:r>
      <w:hyperlink r:id="rId10">
        <w:r w:rsidRPr="007E1ECF">
          <w:rPr>
            <w:rFonts w:ascii="Palatino Linotype" w:eastAsia="Palatino Linotype" w:hAnsi="Palatino Linotype" w:cs="Palatino Linotype"/>
            <w:color w:val="000000" w:themeColor="text1"/>
            <w:u w:val="single"/>
          </w:rPr>
          <w:t>https://www.zinacantepec.gob.mx/index.php</w:t>
        </w:r>
      </w:hyperlink>
      <w:r w:rsidRPr="007E1ECF">
        <w:rPr>
          <w:rFonts w:ascii="Palatino Linotype" w:eastAsia="Palatino Linotype" w:hAnsi="Palatino Linotype" w:cs="Palatino Linotype"/>
          <w:color w:val="000000" w:themeColor="text1"/>
        </w:rPr>
        <w:t xml:space="preserve"> y describiendo los pasos para obtener la información requerida, reiterando que los Sujetos Obligados solo están constreñidos a proporcionar la información que obre en sus archivos, en el estado en que esta se encuentre.</w:t>
      </w:r>
    </w:p>
    <w:p w:rsidR="00D2426D" w:rsidRPr="007E1ECF" w:rsidRDefault="00D2426D" w:rsidP="007654B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2426D" w:rsidRPr="007E1ECF" w:rsidRDefault="001D7851" w:rsidP="007654B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IJ 4053 2025.pdf</w:t>
      </w:r>
    </w:p>
    <w:p w:rsidR="00D2426D" w:rsidRPr="007E1ECF" w:rsidRDefault="001D7851" w:rsidP="007654B7">
      <w:pPr>
        <w:pBdr>
          <w:top w:val="nil"/>
          <w:left w:val="nil"/>
          <w:bottom w:val="nil"/>
          <w:right w:val="nil"/>
          <w:between w:val="nil"/>
        </w:pBdr>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Oficio rubricado por la Titular de la Unidad de Transparencia a través del cual rinde informe justificado en el sentido de la nueva información proporcionada por el área competente, solicitando sobreseer el presente medio de impugnación por modificar su respuesta. </w:t>
      </w:r>
    </w:p>
    <w:p w:rsidR="00D2426D" w:rsidRPr="007E1ECF" w:rsidRDefault="00D2426D" w:rsidP="007654B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2426D" w:rsidRPr="007E1ECF" w:rsidRDefault="001D7851" w:rsidP="00765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E1ECF">
        <w:rPr>
          <w:rFonts w:ascii="Palatino Linotype" w:eastAsia="Palatino Linotype" w:hAnsi="Palatino Linotype" w:cs="Palatino Linotype"/>
          <w:color w:val="000000" w:themeColor="text1"/>
        </w:rPr>
        <w:t>En fecha</w:t>
      </w:r>
      <w:r w:rsidRPr="007E1ECF">
        <w:rPr>
          <w:rFonts w:ascii="Palatino Linotype" w:eastAsia="Palatino Linotype" w:hAnsi="Palatino Linotype" w:cs="Palatino Linotype"/>
          <w:b/>
          <w:color w:val="000000" w:themeColor="text1"/>
        </w:rPr>
        <w:t xml:space="preserve"> dos de junio de dos mil veinticinco</w:t>
      </w:r>
      <w:r w:rsidRPr="007E1ECF">
        <w:rPr>
          <w:rFonts w:ascii="Palatino Linotype" w:eastAsia="Palatino Linotype" w:hAnsi="Palatino Linotype" w:cs="Palatino Linotype"/>
          <w:color w:val="000000" w:themeColor="text1"/>
        </w:rPr>
        <w:t>, se acordó ampliar el plazo para resolver el presente Recurso de Revisión.</w:t>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2426D" w:rsidRPr="007E1ECF" w:rsidRDefault="001D7851" w:rsidP="00765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 xml:space="preserve">Seguidamente, en fecha </w:t>
      </w:r>
      <w:r w:rsidRPr="007E1ECF">
        <w:rPr>
          <w:rFonts w:ascii="Palatino Linotype" w:eastAsia="Palatino Linotype" w:hAnsi="Palatino Linotype" w:cs="Palatino Linotype"/>
          <w:b/>
          <w:color w:val="000000" w:themeColor="text1"/>
        </w:rPr>
        <w:t>uno de septiembre de dos mil veinticinco</w:t>
      </w:r>
      <w:r w:rsidRPr="007E1ECF">
        <w:rPr>
          <w:rFonts w:ascii="Palatino Linotype" w:eastAsia="Palatino Linotype" w:hAnsi="Palatino Linotype" w:cs="Palatino Linotype"/>
          <w:color w:val="000000" w:themeColor="text1"/>
        </w:rPr>
        <w:t xml:space="preserve">, la Comisionada Ponente dictó el </w:t>
      </w:r>
      <w:r w:rsidRPr="007E1ECF">
        <w:rPr>
          <w:rFonts w:ascii="Palatino Linotype" w:eastAsia="Palatino Linotype" w:hAnsi="Palatino Linotype" w:cs="Palatino Linotype"/>
          <w:b/>
          <w:color w:val="000000" w:themeColor="text1"/>
        </w:rPr>
        <w:t>cierre del periodo de instrucción</w:t>
      </w:r>
      <w:r w:rsidRPr="007E1ECF">
        <w:rPr>
          <w:rFonts w:ascii="Palatino Linotype" w:eastAsia="Palatino Linotype" w:hAnsi="Palatino Linotype" w:cs="Palatino Linotype"/>
          <w:color w:val="000000" w:themeColor="text1"/>
        </w:rPr>
        <w:t xml:space="preserve"> y, ordenó la resolución que conforme a Derecho proceda:</w:t>
      </w:r>
    </w:p>
    <w:p w:rsidR="00D2426D" w:rsidRPr="007E1ECF" w:rsidRDefault="00D2426D" w:rsidP="007654B7">
      <w:pPr>
        <w:pBdr>
          <w:top w:val="nil"/>
          <w:left w:val="nil"/>
          <w:bottom w:val="nil"/>
          <w:right w:val="nil"/>
          <w:between w:val="nil"/>
        </w:pBdr>
        <w:rPr>
          <w:rFonts w:ascii="Palatino Linotype" w:eastAsia="Palatino Linotype" w:hAnsi="Palatino Linotype" w:cs="Palatino Linotype"/>
          <w:b/>
          <w:color w:val="000000" w:themeColor="text1"/>
        </w:rPr>
      </w:pPr>
    </w:p>
    <w:p w:rsidR="00D2426D" w:rsidRPr="007E1ECF" w:rsidRDefault="001D7851" w:rsidP="007654B7">
      <w:pPr>
        <w:keepNext/>
        <w:keepLines/>
        <w:spacing w:line="360" w:lineRule="auto"/>
        <w:jc w:val="center"/>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t xml:space="preserve">C O N S I D E R A N D O </w:t>
      </w:r>
    </w:p>
    <w:p w:rsidR="00D2426D" w:rsidRPr="007E1ECF" w:rsidRDefault="00D2426D" w:rsidP="007654B7">
      <w:pPr>
        <w:spacing w:line="360" w:lineRule="auto"/>
        <w:rPr>
          <w:rFonts w:ascii="Palatino Linotype" w:eastAsia="Palatino Linotype" w:hAnsi="Palatino Linotype" w:cs="Palatino Linotype"/>
          <w:color w:val="000000" w:themeColor="text1"/>
        </w:rPr>
      </w:pPr>
    </w:p>
    <w:p w:rsidR="00D2426D" w:rsidRPr="007E1ECF" w:rsidRDefault="001D7851" w:rsidP="007654B7">
      <w:pPr>
        <w:keepNext/>
        <w:keepLines/>
        <w:spacing w:line="360" w:lineRule="auto"/>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t>PRIMERO. De la competencia</w:t>
      </w:r>
    </w:p>
    <w:p w:rsidR="00D2426D" w:rsidRPr="007E1ECF" w:rsidRDefault="001D7851" w:rsidP="00765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w:t>
      </w:r>
      <w:r w:rsidRPr="007E1ECF">
        <w:rPr>
          <w:rFonts w:ascii="Palatino Linotype" w:eastAsia="Palatino Linotype" w:hAnsi="Palatino Linotype" w:cs="Palatino Linotype"/>
          <w:color w:val="000000" w:themeColor="text1"/>
        </w:rPr>
        <w:lastRenderedPageBreak/>
        <w:t>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2426D" w:rsidRPr="007E1ECF" w:rsidRDefault="00D2426D" w:rsidP="007654B7">
      <w:pPr>
        <w:tabs>
          <w:tab w:val="left" w:pos="426"/>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keepNext/>
        <w:keepLines/>
        <w:spacing w:line="360" w:lineRule="auto"/>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t>SEGUNDO. De la oportunidad y procedencia.</w:t>
      </w:r>
    </w:p>
    <w:p w:rsidR="00D2426D" w:rsidRPr="007E1ECF" w:rsidRDefault="001D7851" w:rsidP="00765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El medio de impugnación fue presentado a través del </w:t>
      </w:r>
      <w:r w:rsidRPr="007E1ECF">
        <w:rPr>
          <w:rFonts w:ascii="Palatino Linotype" w:eastAsia="Palatino Linotype" w:hAnsi="Palatino Linotype" w:cs="Palatino Linotype"/>
          <w:b/>
          <w:color w:val="000000" w:themeColor="text1"/>
        </w:rPr>
        <w:t>SAIMEX,</w:t>
      </w:r>
      <w:r w:rsidRPr="007E1EC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xml:space="preserve"> entregó respuesta el </w:t>
      </w:r>
      <w:r w:rsidRPr="007E1ECF">
        <w:rPr>
          <w:rFonts w:ascii="Palatino Linotype" w:eastAsia="Palatino Linotype" w:hAnsi="Palatino Linotype" w:cs="Palatino Linotype"/>
          <w:b/>
          <w:color w:val="000000" w:themeColor="text1"/>
        </w:rPr>
        <w:t>uno de abril de dos mil veinticinco</w:t>
      </w:r>
      <w:r w:rsidRPr="007E1ECF">
        <w:rPr>
          <w:rFonts w:ascii="Palatino Linotype" w:eastAsia="Palatino Linotype" w:hAnsi="Palatino Linotype" w:cs="Palatino Linotype"/>
          <w:color w:val="000000" w:themeColor="text1"/>
        </w:rPr>
        <w:t xml:space="preserve">, de tal forma que el plazo para interponer el recurso transcurrió del </w:t>
      </w:r>
      <w:r w:rsidRPr="007E1ECF">
        <w:rPr>
          <w:rFonts w:ascii="Palatino Linotype" w:eastAsia="Palatino Linotype" w:hAnsi="Palatino Linotype" w:cs="Palatino Linotype"/>
          <w:b/>
          <w:color w:val="000000" w:themeColor="text1"/>
        </w:rPr>
        <w:t xml:space="preserve">dos al veintinueve de abril de dos mil veinticinco, </w:t>
      </w:r>
      <w:r w:rsidRPr="007E1ECF">
        <w:rPr>
          <w:rFonts w:ascii="Palatino Linotype" w:eastAsia="Palatino Linotype" w:hAnsi="Palatino Linotype" w:cs="Palatino Linotype"/>
          <w:color w:val="000000" w:themeColor="text1"/>
        </w:rPr>
        <w:t xml:space="preserve">en consecuencia, si el </w:t>
      </w:r>
      <w:r w:rsidRPr="007E1ECF">
        <w:rPr>
          <w:rFonts w:ascii="Palatino Linotype" w:eastAsia="Palatino Linotype" w:hAnsi="Palatino Linotype" w:cs="Palatino Linotype"/>
          <w:b/>
          <w:color w:val="000000" w:themeColor="text1"/>
        </w:rPr>
        <w:t>PARTICULAR</w:t>
      </w:r>
      <w:r w:rsidRPr="007E1ECF">
        <w:rPr>
          <w:rFonts w:ascii="Palatino Linotype" w:eastAsia="Palatino Linotype" w:hAnsi="Palatino Linotype" w:cs="Palatino Linotype"/>
          <w:color w:val="000000" w:themeColor="text1"/>
        </w:rPr>
        <w:t xml:space="preserve"> presentó su inconformidad el </w:t>
      </w:r>
      <w:r w:rsidRPr="007E1ECF">
        <w:rPr>
          <w:rFonts w:ascii="Palatino Linotype" w:eastAsia="Palatino Linotype" w:hAnsi="Palatino Linotype" w:cs="Palatino Linotype"/>
          <w:b/>
          <w:color w:val="000000" w:themeColor="text1"/>
        </w:rPr>
        <w:t>siete de abril de dos mil veinticinco</w:t>
      </w:r>
      <w:r w:rsidRPr="007E1ECF">
        <w:rPr>
          <w:rFonts w:ascii="Palatino Linotype" w:eastAsia="Palatino Linotype" w:hAnsi="Palatino Linotype" w:cs="Palatino Linotype"/>
          <w:color w:val="000000" w:themeColor="text1"/>
        </w:rPr>
        <w:t xml:space="preserve">, este  se encuentra dentro de los márgenes temporales previstos en el artículo 178 de la </w:t>
      </w:r>
      <w:r w:rsidRPr="007E1EC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E1ECF">
        <w:rPr>
          <w:rFonts w:ascii="Palatino Linotype" w:eastAsia="Palatino Linotype" w:hAnsi="Palatino Linotype" w:cs="Palatino Linotype"/>
          <w:color w:val="000000" w:themeColor="text1"/>
        </w:rPr>
        <w:t xml:space="preserve">vigente.  </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D2426D" w:rsidRPr="007E1ECF" w:rsidRDefault="001D7851" w:rsidP="007654B7">
      <w:pPr>
        <w:pStyle w:val="Ttulo2"/>
        <w:rPr>
          <w:rFonts w:ascii="Palatino Linotype" w:eastAsia="Palatino Linotype" w:hAnsi="Palatino Linotype" w:cs="Palatino Linotype"/>
          <w:b/>
          <w:i/>
          <w:color w:val="000000" w:themeColor="text1"/>
          <w:sz w:val="24"/>
          <w:szCs w:val="24"/>
        </w:rPr>
      </w:pPr>
      <w:r w:rsidRPr="007E1ECF">
        <w:rPr>
          <w:rFonts w:ascii="Palatino Linotype" w:eastAsia="Palatino Linotype" w:hAnsi="Palatino Linotype" w:cs="Palatino Linotype"/>
          <w:b/>
          <w:color w:val="000000" w:themeColor="text1"/>
          <w:sz w:val="24"/>
          <w:szCs w:val="24"/>
        </w:rPr>
        <w:t xml:space="preserve">TERCERO. Del planteamiento de la </w:t>
      </w:r>
      <w:r w:rsidRPr="007E1ECF">
        <w:rPr>
          <w:rFonts w:ascii="Palatino Linotype" w:eastAsia="Palatino Linotype" w:hAnsi="Palatino Linotype" w:cs="Palatino Linotype"/>
          <w:b/>
          <w:i/>
          <w:color w:val="000000" w:themeColor="text1"/>
          <w:sz w:val="24"/>
          <w:szCs w:val="24"/>
        </w:rPr>
        <w:t>Litis.</w:t>
      </w: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Se solicitó tener acceso, a la información que a continuación se simplifica:</w:t>
      </w:r>
    </w:p>
    <w:p w:rsidR="00D2426D" w:rsidRPr="007E1ECF" w:rsidRDefault="001D7851" w:rsidP="007654B7">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i/>
          <w:color w:val="000000" w:themeColor="text1"/>
        </w:rPr>
        <w:t xml:space="preserve"> Desglose detallado de los ingresos y egresos del último año fiscal, con la inclusión de los tipos de ingresos obtenidos, su distribución y las partidas de egresos más relevantes, especificando los rubros más significativos.</w:t>
      </w:r>
    </w:p>
    <w:p w:rsidR="00D2426D" w:rsidRDefault="00D2426D" w:rsidP="007654B7">
      <w:pPr>
        <w:pBdr>
          <w:top w:val="nil"/>
          <w:left w:val="nil"/>
          <w:bottom w:val="nil"/>
          <w:right w:val="nil"/>
          <w:between w:val="nil"/>
        </w:pBdr>
        <w:jc w:val="both"/>
        <w:rPr>
          <w:rFonts w:ascii="Palatino Linotype" w:eastAsia="Palatino Linotype" w:hAnsi="Palatino Linotype" w:cs="Palatino Linotype"/>
          <w:color w:val="000000" w:themeColor="text1"/>
        </w:rPr>
      </w:pPr>
    </w:p>
    <w:p w:rsidR="00DB73F7" w:rsidRPr="007E1ECF" w:rsidRDefault="00DB73F7" w:rsidP="007654B7">
      <w:pPr>
        <w:pBdr>
          <w:top w:val="nil"/>
          <w:left w:val="nil"/>
          <w:bottom w:val="nil"/>
          <w:right w:val="nil"/>
          <w:between w:val="nil"/>
        </w:pBdr>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En respuesta, el Sujeto Obligado</w:t>
      </w:r>
      <w:r w:rsidRPr="007E1ECF">
        <w:rPr>
          <w:rFonts w:ascii="Palatino Linotype" w:eastAsia="Palatino Linotype" w:hAnsi="Palatino Linotype" w:cs="Palatino Linotype"/>
          <w:b/>
          <w:color w:val="000000" w:themeColor="text1"/>
        </w:rPr>
        <w:t xml:space="preserve"> </w:t>
      </w:r>
      <w:r w:rsidRPr="007E1ECF">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la negativa de la información solicitada.</w:t>
      </w: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w:t>
      </w:r>
      <w:r w:rsidRPr="007E1ECF">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7E1ECF">
        <w:rPr>
          <w:rFonts w:ascii="Palatino Linotype" w:eastAsia="Palatino Linotype" w:hAnsi="Palatino Linotype" w:cs="Palatino Linotype"/>
          <w:color w:val="000000" w:themeColor="text1"/>
        </w:rPr>
        <w:t xml:space="preserve">; fracción que determina la hipótesis relativa </w:t>
      </w:r>
      <w:r w:rsidRPr="007E1ECF">
        <w:rPr>
          <w:rFonts w:ascii="Palatino Linotype" w:eastAsia="Palatino Linotype" w:hAnsi="Palatino Linotype" w:cs="Palatino Linotype"/>
          <w:b/>
          <w:color w:val="000000" w:themeColor="text1"/>
        </w:rPr>
        <w:t>la negativa a la información solicitada</w:t>
      </w:r>
      <w:r w:rsidRPr="007E1ECF">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E1ECF">
        <w:rPr>
          <w:rFonts w:ascii="Palatino Linotype" w:eastAsia="Palatino Linotype" w:hAnsi="Palatino Linotype" w:cs="Palatino Linotype"/>
          <w:b/>
          <w:color w:val="000000" w:themeColor="text1"/>
        </w:rPr>
        <w:t xml:space="preserve"> </w:t>
      </w:r>
      <w:r w:rsidRPr="007E1ECF">
        <w:rPr>
          <w:rFonts w:ascii="Palatino Linotype" w:eastAsia="Palatino Linotype" w:hAnsi="Palatino Linotype" w:cs="Palatino Linotype"/>
          <w:color w:val="000000" w:themeColor="text1"/>
        </w:rPr>
        <w:t>señalada.</w:t>
      </w:r>
    </w:p>
    <w:p w:rsidR="00D2426D" w:rsidRPr="007E1ECF" w:rsidRDefault="00D2426D" w:rsidP="007654B7">
      <w:pPr>
        <w:spacing w:line="360" w:lineRule="auto"/>
        <w:rPr>
          <w:rFonts w:ascii="Palatino Linotype" w:eastAsia="Palatino Linotype" w:hAnsi="Palatino Linotype" w:cs="Palatino Linotype"/>
          <w:color w:val="000000" w:themeColor="text1"/>
        </w:rPr>
      </w:pPr>
    </w:p>
    <w:p w:rsidR="00D2426D" w:rsidRPr="007E1ECF" w:rsidRDefault="001D7851" w:rsidP="007654B7">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7E1ECF">
        <w:rPr>
          <w:rFonts w:ascii="Palatino Linotype" w:eastAsia="Palatino Linotype" w:hAnsi="Palatino Linotype" w:cs="Palatino Linotype"/>
          <w:b/>
          <w:color w:val="000000" w:themeColor="text1"/>
          <w:sz w:val="24"/>
          <w:szCs w:val="24"/>
        </w:rPr>
        <w:t>CUARTO. Del estudio y resolución del asunto.</w:t>
      </w: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t>Del Sujeto Obligado.</w:t>
      </w: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Para el despacho, estudio y planeación de los diversos asuntos de la administración municipal, el ayuntamiento contará por lo menos con las Dependencias enunciadas en el artículo 87, de la Ley Orgánica Municipal del Estado de México:</w:t>
      </w:r>
    </w:p>
    <w:p w:rsidR="00D2426D" w:rsidRPr="007E1ECF" w:rsidRDefault="001D7851" w:rsidP="007654B7">
      <w:pPr>
        <w:jc w:val="center"/>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Ley Orgánica Municipal del Estado de México</w:t>
      </w:r>
    </w:p>
    <w:p w:rsidR="00D2426D" w:rsidRPr="007E1ECF" w:rsidRDefault="00D2426D" w:rsidP="007654B7">
      <w:pPr>
        <w:jc w:val="center"/>
        <w:rPr>
          <w:rFonts w:ascii="Palatino Linotype" w:eastAsia="Palatino Linotype" w:hAnsi="Palatino Linotype" w:cs="Palatino Linotype"/>
          <w:b/>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Artículo 87.- Para el despacho, estudio y planeación de los diversos asuntos de la administración municipal, el ayuntamiento contará por lo menos con las siguientes Dependencias: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I. La secretaría del ayuntamiento; </w:t>
      </w: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 xml:space="preserve">II. La tesorería municipal.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III. La Dirección de Obras Públicas o equivalente.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IV. La Dirección de Desarrollo Económico o equivalente.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V. La Dirección de Desarrollo Urbano o equivalente;</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hAnsi="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 xml:space="preserve">La </w:t>
      </w:r>
      <w:r w:rsidRPr="007E1ECF">
        <w:rPr>
          <w:rFonts w:ascii="Palatino Linotype" w:eastAsia="Palatino Linotype" w:hAnsi="Palatino Linotype" w:cs="Palatino Linotype"/>
          <w:b/>
          <w:color w:val="000000" w:themeColor="text1"/>
        </w:rPr>
        <w:t>tesorería municipal</w:t>
      </w:r>
      <w:r w:rsidRPr="007E1ECF">
        <w:rPr>
          <w:rFonts w:ascii="Palatino Linotype" w:eastAsia="Palatino Linotype" w:hAnsi="Palatino Linotype" w:cs="Palatino Linotype"/>
          <w:color w:val="000000" w:themeColor="text1"/>
        </w:rPr>
        <w:t xml:space="preserve"> es el órgano encargado de la recaudación de los ingresos municipales y responsable de realizar las erogaciones que haga el ayuntamiento, de conformidad con el artículo 93 de la Ley Orgánica Municipal del Estado de México.</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D2426D" w:rsidRPr="007E1ECF" w:rsidRDefault="001D7851" w:rsidP="007654B7">
      <w:pPr>
        <w:jc w:val="center"/>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Bando Municipal 2025</w:t>
      </w:r>
    </w:p>
    <w:p w:rsidR="00D2426D" w:rsidRPr="007E1ECF" w:rsidRDefault="00D2426D" w:rsidP="007654B7">
      <w:pPr>
        <w:jc w:val="center"/>
        <w:rPr>
          <w:rFonts w:ascii="Palatino Linotype" w:eastAsia="Palatino Linotype" w:hAnsi="Palatino Linotype" w:cs="Palatino Linotype"/>
          <w:b/>
          <w:i/>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Artículo 21.</w:t>
      </w:r>
    </w:p>
    <w:p w:rsidR="00D2426D" w:rsidRPr="007E1ECF" w:rsidRDefault="001D7851" w:rsidP="007654B7">
      <w:pPr>
        <w:spacing w:line="360" w:lineRule="auto"/>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 xml:space="preserve">I. DEPENDENCIAS ADMINISTRATIVAS: </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1. Secretaría del Ayuntamiento </w:t>
      </w: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 xml:space="preserve">2. Tesorería Municipal.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3. Organo Interno de Control Municipal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En lo que respecta a la Tesorería Municipal, el Bando Municipal refiere lo siguiente:: </w:t>
      </w:r>
    </w:p>
    <w:p w:rsidR="00D2426D" w:rsidRPr="007E1ECF" w:rsidRDefault="001D7851" w:rsidP="007654B7">
      <w:pPr>
        <w:jc w:val="center"/>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Bando Municipal 2025</w:t>
      </w:r>
    </w:p>
    <w:p w:rsidR="00D2426D" w:rsidRPr="007E1ECF" w:rsidRDefault="00D2426D" w:rsidP="007654B7">
      <w:pPr>
        <w:jc w:val="both"/>
        <w:rPr>
          <w:rFonts w:ascii="Palatino Linotype" w:eastAsia="Palatino Linotype" w:hAnsi="Palatino Linotype" w:cs="Palatino Linotype"/>
          <w:b/>
          <w:i/>
          <w:color w:val="000000" w:themeColor="text1"/>
        </w:rPr>
      </w:pP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 xml:space="preserve">Artículo 54. </w:t>
      </w:r>
      <w:r w:rsidRPr="007E1ECF">
        <w:rPr>
          <w:rFonts w:ascii="Palatino Linotype" w:eastAsia="Palatino Linotype" w:hAnsi="Palatino Linotype" w:cs="Palatino Linotype"/>
          <w:i/>
          <w:color w:val="000000" w:themeColor="text1"/>
        </w:rPr>
        <w:t xml:space="preserve">La </w:t>
      </w:r>
      <w:r w:rsidRPr="007E1ECF">
        <w:rPr>
          <w:rFonts w:ascii="Palatino Linotype" w:eastAsia="Palatino Linotype" w:hAnsi="Palatino Linotype" w:cs="Palatino Linotype"/>
          <w:b/>
          <w:i/>
          <w:color w:val="000000" w:themeColor="text1"/>
        </w:rPr>
        <w:t>Tesorería Municipal</w:t>
      </w:r>
      <w:r w:rsidRPr="007E1ECF">
        <w:rPr>
          <w:rFonts w:ascii="Palatino Linotype" w:eastAsia="Palatino Linotype" w:hAnsi="Palatino Linotype" w:cs="Palatino Linotype"/>
          <w:i/>
          <w:color w:val="000000" w:themeColor="text1"/>
        </w:rPr>
        <w:t xml:space="preserve"> es el único Órgano de la Administración Pública Municipal autorizado para la </w:t>
      </w:r>
      <w:r w:rsidRPr="007E1ECF">
        <w:rPr>
          <w:rFonts w:ascii="Palatino Linotype" w:eastAsia="Palatino Linotype" w:hAnsi="Palatino Linotype" w:cs="Palatino Linotype"/>
          <w:b/>
          <w:i/>
          <w:color w:val="000000" w:themeColor="text1"/>
        </w:rPr>
        <w:t>recaudación de los impuestos</w:t>
      </w:r>
      <w:r w:rsidRPr="007E1ECF">
        <w:rPr>
          <w:rFonts w:ascii="Palatino Linotype" w:eastAsia="Palatino Linotype" w:hAnsi="Palatino Linotype" w:cs="Palatino Linotype"/>
          <w:i/>
          <w:color w:val="000000" w:themeColor="text1"/>
        </w:rPr>
        <w:t xml:space="preserve"> y derechos municipales y demás contribuciones de los particulares de conformidad al artículo 95 fracciones I, II, III, y IV de la Ley Orgánica </w:t>
      </w:r>
      <w:r w:rsidRPr="007E1ECF">
        <w:rPr>
          <w:rFonts w:ascii="Palatino Linotype" w:eastAsia="Palatino Linotype" w:hAnsi="Palatino Linotype" w:cs="Palatino Linotype"/>
          <w:i/>
          <w:color w:val="000000" w:themeColor="text1"/>
        </w:rPr>
        <w:lastRenderedPageBreak/>
        <w:t xml:space="preserve">Municipal del Estado de México, así mismo es responsable de </w:t>
      </w:r>
      <w:r w:rsidRPr="007E1ECF">
        <w:rPr>
          <w:rFonts w:ascii="Palatino Linotype" w:eastAsia="Palatino Linotype" w:hAnsi="Palatino Linotype" w:cs="Palatino Linotype"/>
          <w:b/>
          <w:i/>
          <w:color w:val="000000" w:themeColor="text1"/>
        </w:rPr>
        <w:t>efectuar las erogaciones</w:t>
      </w:r>
      <w:r w:rsidRPr="007E1ECF">
        <w:rPr>
          <w:rFonts w:ascii="Palatino Linotype" w:eastAsia="Palatino Linotype" w:hAnsi="Palatino Linotype" w:cs="Palatino Linotype"/>
          <w:i/>
          <w:color w:val="000000" w:themeColor="text1"/>
        </w:rPr>
        <w:t xml:space="preserve"> que realice con cargo al presupuesto aprobado por el Ayuntamiento.</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 xml:space="preserve">De lo expuesto es de precisar que la respuesta fue emitida por la </w:t>
      </w:r>
      <w:r w:rsidRPr="007E1ECF">
        <w:rPr>
          <w:rFonts w:ascii="Palatino Linotype" w:eastAsia="Palatino Linotype" w:hAnsi="Palatino Linotype" w:cs="Palatino Linotype"/>
          <w:b/>
          <w:color w:val="000000" w:themeColor="text1"/>
        </w:rPr>
        <w:t>Tesorería Municipal</w:t>
      </w:r>
      <w:r w:rsidRPr="007E1ECF">
        <w:rPr>
          <w:rFonts w:ascii="Palatino Linotype" w:eastAsia="Palatino Linotype" w:hAnsi="Palatino Linotype" w:cs="Palatino Linotype"/>
          <w:color w:val="000000" w:themeColor="text1"/>
        </w:rPr>
        <w:t xml:space="preserve">, por lo que podemos advertir que </w:t>
      </w:r>
      <w:r w:rsidRPr="007E1ECF">
        <w:rPr>
          <w:rFonts w:ascii="Palatino Linotype" w:eastAsia="Palatino Linotype" w:hAnsi="Palatino Linotype" w:cs="Palatino Linotype"/>
          <w:b/>
          <w:color w:val="000000" w:themeColor="text1"/>
        </w:rPr>
        <w:t xml:space="preserve">EL SUJETO OBLIGADO </w:t>
      </w:r>
      <w:r w:rsidRPr="007E1ECF">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D2426D" w:rsidRPr="007E1ECF" w:rsidRDefault="00D2426D" w:rsidP="007654B7">
      <w:pPr>
        <w:spacing w:line="360" w:lineRule="auto"/>
        <w:jc w:val="both"/>
        <w:rPr>
          <w:rFonts w:ascii="Palatino Linotype" w:hAnsi="Palatino Linotype"/>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XXXIX.</w:t>
      </w:r>
      <w:r w:rsidRPr="007E1ECF">
        <w:rPr>
          <w:rFonts w:ascii="Palatino Linotype" w:eastAsia="Palatino Linotype" w:hAnsi="Palatino Linotype" w:cs="Palatino Linotype"/>
          <w:i/>
          <w:color w:val="000000" w:themeColor="text1"/>
        </w:rPr>
        <w:t xml:space="preserve"> </w:t>
      </w:r>
      <w:r w:rsidRPr="007E1ECF">
        <w:rPr>
          <w:rFonts w:ascii="Palatino Linotype" w:eastAsia="Palatino Linotype" w:hAnsi="Palatino Linotype" w:cs="Palatino Linotype"/>
          <w:b/>
          <w:i/>
          <w:color w:val="000000" w:themeColor="text1"/>
        </w:rPr>
        <w:t>Servidor público habilitado</w:t>
      </w:r>
      <w:r w:rsidRPr="007E1ECF">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r w:rsidRPr="007E1ECF">
        <w:rPr>
          <w:rFonts w:ascii="Palatino Linotype" w:eastAsia="Palatino Linotype" w:hAnsi="Palatino Linotype" w:cs="Palatino Linotype"/>
          <w:b/>
          <w:i/>
          <w:color w:val="000000" w:themeColor="text1"/>
        </w:rPr>
        <w:t>Artículo 162.</w:t>
      </w:r>
      <w:r w:rsidRPr="007E1ECF">
        <w:rPr>
          <w:rFonts w:ascii="Palatino Linotype" w:eastAsia="Palatino Linotype" w:hAnsi="Palatino Linotype" w:cs="Palatino Linotype"/>
          <w:i/>
          <w:color w:val="000000" w:themeColor="text1"/>
        </w:rPr>
        <w:t xml:space="preserve"> Las unidades de transparencia deberán garantizar que las solicitudes se turnen a </w:t>
      </w:r>
      <w:r w:rsidRPr="007E1ECF">
        <w:rPr>
          <w:rFonts w:ascii="Palatino Linotype" w:eastAsia="Palatino Linotype" w:hAnsi="Palatino Linotype" w:cs="Palatino Linotype"/>
          <w:b/>
          <w:i/>
          <w:color w:val="000000" w:themeColor="text1"/>
        </w:rPr>
        <w:t>todas las Áreas competentes</w:t>
      </w:r>
      <w:r w:rsidRPr="007E1ECF">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w:t>
      </w:r>
      <w:r w:rsidRPr="007E1ECF">
        <w:rPr>
          <w:rFonts w:ascii="Palatino Linotype" w:eastAsia="Palatino Linotype" w:hAnsi="Palatino Linotype" w:cs="Palatino Linotype"/>
          <w:color w:val="000000" w:themeColor="text1"/>
        </w:rPr>
        <w:lastRenderedPageBreak/>
        <w:t xml:space="preserve">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r w:rsidRPr="007E1ECF">
        <w:rPr>
          <w:rFonts w:ascii="Palatino Linotype" w:eastAsia="Palatino Linotype" w:hAnsi="Palatino Linotype" w:cs="Palatino Linotype"/>
          <w:b/>
          <w:i/>
          <w:color w:val="000000" w:themeColor="text1"/>
        </w:rPr>
        <w:t xml:space="preserve">Artículo 3. </w:t>
      </w:r>
      <w:r w:rsidRPr="007E1ECF">
        <w:rPr>
          <w:rFonts w:ascii="Palatino Linotype" w:eastAsia="Palatino Linotype" w:hAnsi="Palatino Linotype" w:cs="Palatino Linotype"/>
          <w:i/>
          <w:color w:val="000000" w:themeColor="text1"/>
        </w:rPr>
        <w:t>Para los efectos de la presente Ley se entenderá por:</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XI. Documento:</w:t>
      </w:r>
      <w:r w:rsidRPr="007E1EC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2426D" w:rsidRPr="007E1ECF" w:rsidRDefault="001D7851" w:rsidP="007654B7">
      <w:pPr>
        <w:spacing w:line="360" w:lineRule="auto"/>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color w:val="000000" w:themeColor="text1"/>
        </w:rPr>
        <w:t>“</w:t>
      </w:r>
      <w:r w:rsidRPr="007E1ECF">
        <w:rPr>
          <w:rFonts w:ascii="Palatino Linotype" w:eastAsia="Palatino Linotype" w:hAnsi="Palatino Linotype" w:cs="Palatino Linotype"/>
          <w:b/>
          <w:i/>
          <w:color w:val="000000" w:themeColor="text1"/>
        </w:rPr>
        <w:t>CRITERIO 0002-11</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E1EC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 xml:space="preserve">1) </w:t>
      </w:r>
      <w:r w:rsidRPr="007E1ECF">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2426D" w:rsidRPr="007E1ECF" w:rsidRDefault="001D7851" w:rsidP="007654B7">
      <w:pPr>
        <w:tabs>
          <w:tab w:val="left" w:pos="851"/>
        </w:tabs>
        <w:spacing w:line="360" w:lineRule="auto"/>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(Énfasis Añadido)</w:t>
      </w:r>
    </w:p>
    <w:p w:rsidR="00D2426D" w:rsidRPr="007E1ECF" w:rsidRDefault="00D2426D" w:rsidP="007654B7">
      <w:pPr>
        <w:pBdr>
          <w:top w:val="nil"/>
          <w:left w:val="nil"/>
          <w:bottom w:val="nil"/>
          <w:right w:val="nil"/>
          <w:between w:val="nil"/>
        </w:pBdr>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Por su parte los artículos 160 y 166, de la Ley local en la materia, que se reproduce de la siguiente forma:</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r w:rsidRPr="007E1ECF">
        <w:rPr>
          <w:rFonts w:ascii="Palatino Linotype" w:eastAsia="Palatino Linotype" w:hAnsi="Palatino Linotype" w:cs="Palatino Linotype"/>
          <w:b/>
          <w:i/>
          <w:color w:val="000000" w:themeColor="text1"/>
        </w:rPr>
        <w:t>Artículo 160.</w:t>
      </w:r>
      <w:r w:rsidRPr="007E1ECF">
        <w:rPr>
          <w:rFonts w:ascii="Palatino Linotype" w:eastAsia="Palatino Linotype" w:hAnsi="Palatino Linotype" w:cs="Palatino Linotype"/>
          <w:i/>
          <w:color w:val="000000" w:themeColor="text1"/>
        </w:rPr>
        <w:t xml:space="preserve"> </w:t>
      </w:r>
      <w:r w:rsidRPr="007E1ECF">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D2426D" w:rsidRPr="007E1ECF" w:rsidRDefault="001D7851" w:rsidP="007654B7">
      <w:pPr>
        <w:jc w:val="both"/>
        <w:rPr>
          <w:rFonts w:ascii="Palatino Linotype" w:eastAsia="Palatino Linotype" w:hAnsi="Palatino Linotype" w:cs="Palatino Linotype"/>
          <w:i/>
          <w:color w:val="000000" w:themeColor="text1"/>
          <w:u w:val="single"/>
        </w:rPr>
      </w:pPr>
      <w:r w:rsidRPr="007E1ECF">
        <w:rPr>
          <w:rFonts w:ascii="Palatino Linotype" w:eastAsia="Palatino Linotype" w:hAnsi="Palatino Linotype" w:cs="Palatino Linotype"/>
          <w:b/>
          <w:i/>
          <w:color w:val="000000" w:themeColor="text1"/>
        </w:rPr>
        <w:t>Artículo 166.</w:t>
      </w:r>
      <w:r w:rsidRPr="007E1ECF">
        <w:rPr>
          <w:rFonts w:ascii="Palatino Linotype" w:eastAsia="Palatino Linotype" w:hAnsi="Palatino Linotype" w:cs="Palatino Linotype"/>
          <w:i/>
          <w:color w:val="000000" w:themeColor="text1"/>
        </w:rPr>
        <w:t xml:space="preserve"> </w:t>
      </w:r>
      <w:r w:rsidRPr="007E1EC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(Énfasis añadido)</w:t>
      </w:r>
    </w:p>
    <w:p w:rsidR="00D2426D" w:rsidRPr="007E1ECF" w:rsidRDefault="00D2426D" w:rsidP="007654B7">
      <w:pPr>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Ahora bien, es de precisar que el particular requirió </w:t>
      </w:r>
      <w:r w:rsidRPr="007E1ECF">
        <w:rPr>
          <w:rFonts w:ascii="Palatino Linotype" w:eastAsia="Palatino Linotype" w:hAnsi="Palatino Linotype" w:cs="Palatino Linotype"/>
          <w:i/>
          <w:color w:val="000000" w:themeColor="text1"/>
          <w:u w:val="single"/>
        </w:rPr>
        <w:t xml:space="preserve">el desglose detallado de los ingresos y egresos del último año fiscal, con la inclusión de los tipos de ingresos obtenidos, su distribución y </w:t>
      </w:r>
      <w:r w:rsidRPr="007E1ECF">
        <w:rPr>
          <w:rFonts w:ascii="Palatino Linotype" w:eastAsia="Palatino Linotype" w:hAnsi="Palatino Linotype" w:cs="Palatino Linotype"/>
          <w:i/>
          <w:color w:val="000000" w:themeColor="text1"/>
          <w:u w:val="single"/>
        </w:rPr>
        <w:lastRenderedPageBreak/>
        <w:t>las partidas de egresos más relevantes, especificando los rubros más significativos</w:t>
      </w:r>
      <w:r w:rsidRPr="007E1ECF">
        <w:rPr>
          <w:rFonts w:ascii="Palatino Linotype" w:eastAsia="Palatino Linotype" w:hAnsi="Palatino Linotype" w:cs="Palatino Linotype"/>
          <w:color w:val="000000" w:themeColor="text1"/>
        </w:rPr>
        <w:t xml:space="preserve">, en consecuencia el Sujeto Obligado refirió que la información requerida se encuentra en la página oficial del Ayuntamiento, poniendo a disposición del solicitante el link </w:t>
      </w:r>
      <w:hyperlink r:id="rId11">
        <w:r w:rsidRPr="007E1ECF">
          <w:rPr>
            <w:rFonts w:ascii="Palatino Linotype" w:eastAsia="Palatino Linotype" w:hAnsi="Palatino Linotype" w:cs="Palatino Linotype"/>
            <w:color w:val="000000" w:themeColor="text1"/>
            <w:u w:val="single"/>
          </w:rPr>
          <w:t>https://www.zinacantepec.gob.mx/conac.php</w:t>
        </w:r>
      </w:hyperlink>
      <w:r w:rsidRPr="007E1ECF">
        <w:rPr>
          <w:rFonts w:ascii="Palatino Linotype" w:eastAsia="Palatino Linotype" w:hAnsi="Palatino Linotype" w:cs="Palatino Linotype"/>
          <w:color w:val="000000" w:themeColor="text1"/>
        </w:rPr>
        <w:t xml:space="preserve"> </w:t>
      </w:r>
      <w:r w:rsidRPr="007E1ECF">
        <w:rPr>
          <w:rFonts w:ascii="Palatino Linotype" w:eastAsia="Palatino Linotype" w:hAnsi="Palatino Linotype" w:cs="Palatino Linotype"/>
          <w:b/>
          <w:color w:val="000000" w:themeColor="text1"/>
        </w:rPr>
        <w:t xml:space="preserve"> </w:t>
      </w:r>
      <w:r w:rsidRPr="007E1ECF">
        <w:rPr>
          <w:rFonts w:ascii="Palatino Linotype" w:eastAsia="Palatino Linotype" w:hAnsi="Palatino Linotype" w:cs="Palatino Linotype"/>
          <w:color w:val="000000" w:themeColor="text1"/>
        </w:rPr>
        <w:t xml:space="preserve">respuesta de la cual se dolió el recurrente argumentando la negativa a la información. Posteriormente, a través de informe justificado el Sujeto Obligado ratifica su respuesta y añade información novedosa, en primer lugar reitera que la información se encuentra publicada en el portal de internet del Ayuntamiento, señalando el link </w:t>
      </w:r>
      <w:hyperlink r:id="rId12">
        <w:r w:rsidRPr="007E1ECF">
          <w:rPr>
            <w:rFonts w:ascii="Palatino Linotype" w:eastAsia="Palatino Linotype" w:hAnsi="Palatino Linotype" w:cs="Palatino Linotype"/>
            <w:color w:val="000000" w:themeColor="text1"/>
            <w:u w:val="single"/>
          </w:rPr>
          <w:t>https://www.zinacantepec.gob.mx/index.php</w:t>
        </w:r>
      </w:hyperlink>
      <w:r w:rsidRPr="007E1ECF">
        <w:rPr>
          <w:rFonts w:ascii="Palatino Linotype" w:eastAsia="Palatino Linotype" w:hAnsi="Palatino Linotype" w:cs="Palatino Linotype"/>
          <w:color w:val="000000" w:themeColor="text1"/>
        </w:rPr>
        <w:t xml:space="preserve"> y describiendo los pasos para obtener la información requerida, reiterando que los Sujetos Obligados solo están constreñidos a proporcionar la información que obre en sus archivos, en el estado en que esta se encuentre.</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i/>
          <w:color w:val="000000" w:themeColor="text1"/>
          <w:u w:val="single"/>
        </w:rPr>
      </w:pPr>
      <w:r w:rsidRPr="007E1ECF">
        <w:rPr>
          <w:rFonts w:ascii="Palatino Linotype" w:eastAsia="Palatino Linotype" w:hAnsi="Palatino Linotype" w:cs="Palatino Linotype"/>
          <w:color w:val="000000" w:themeColor="text1"/>
        </w:rPr>
        <w:t>Es de precisar que en lo que respecta a la parte de la solicitud que refiere “…</w:t>
      </w:r>
      <w:r w:rsidRPr="007E1ECF">
        <w:rPr>
          <w:rFonts w:ascii="Palatino Linotype" w:eastAsia="Palatino Linotype" w:hAnsi="Palatino Linotype" w:cs="Palatino Linotype"/>
          <w:i/>
          <w:color w:val="000000" w:themeColor="text1"/>
          <w:u w:val="single"/>
        </w:rPr>
        <w:t>las partidas de egresos más relevantes, especificando los rubros más significativos”</w:t>
      </w:r>
      <w:r w:rsidRPr="007E1ECF">
        <w:rPr>
          <w:rFonts w:ascii="Palatino Linotype" w:eastAsia="Palatino Linotype" w:hAnsi="Palatino Linotype" w:cs="Palatino Linotype"/>
          <w:color w:val="000000" w:themeColor="text1"/>
        </w:rPr>
        <w:t xml:space="preserve"> se advierte que no constituyen un derecho de acceso a la información y por lo tanto no es atendible mediante una solicitud de acceso a la información pública, porque se tratan de una consulta para un caso específico, situación que conlleva a afirmar que se está en presencia del ejercicio del </w:t>
      </w:r>
      <w:r w:rsidRPr="007E1ECF">
        <w:rPr>
          <w:rFonts w:ascii="Palatino Linotype" w:eastAsia="Palatino Linotype" w:hAnsi="Palatino Linotype" w:cs="Palatino Linotype"/>
          <w:b/>
          <w:color w:val="000000" w:themeColor="text1"/>
        </w:rPr>
        <w:t>derecho de petición.</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DB73F7"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En ese sentido, es importante diferenciar lo que se entiende por derecho de petición y por derecho de acceso a la información pública.</w:t>
      </w:r>
    </w:p>
    <w:p w:rsidR="00DB73F7" w:rsidRDefault="00DB73F7" w:rsidP="00DB73F7">
      <w:pPr>
        <w:pStyle w:val="Prrafodelista"/>
        <w:rPr>
          <w:rFonts w:ascii="Palatino Linotype" w:hAnsi="Palatino Linotype"/>
          <w:color w:val="000000" w:themeColor="text1"/>
        </w:rPr>
      </w:pPr>
    </w:p>
    <w:p w:rsidR="00DB73F7" w:rsidRDefault="00DB73F7" w:rsidP="00DB73F7">
      <w:pPr>
        <w:spacing w:line="360" w:lineRule="auto"/>
        <w:jc w:val="both"/>
        <w:rPr>
          <w:rFonts w:ascii="Palatino Linotype" w:hAnsi="Palatino Linotype"/>
          <w:color w:val="000000" w:themeColor="text1"/>
        </w:rPr>
      </w:pPr>
    </w:p>
    <w:p w:rsidR="00DB73F7" w:rsidRPr="007E1ECF" w:rsidRDefault="00DB73F7" w:rsidP="00DB73F7">
      <w:pPr>
        <w:spacing w:line="360" w:lineRule="auto"/>
        <w:jc w:val="both"/>
        <w:rPr>
          <w:rFonts w:ascii="Palatino Linotype" w:hAnsi="Palatino Linotype"/>
          <w:color w:val="000000" w:themeColor="text1"/>
        </w:rPr>
      </w:pPr>
    </w:p>
    <w:p w:rsidR="00D2426D" w:rsidRPr="007E1ECF" w:rsidRDefault="001D7851" w:rsidP="007654B7">
      <w:pPr>
        <w:spacing w:before="240" w:after="240" w:line="360" w:lineRule="auto"/>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lastRenderedPageBreak/>
        <w:t>Derecho de Petición:</w:t>
      </w:r>
    </w:p>
    <w:p w:rsidR="00D2426D" w:rsidRPr="007E1ECF" w:rsidRDefault="001D7851" w:rsidP="007654B7">
      <w:pPr>
        <w:spacing w:before="240" w:after="240"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El Doctor Ignacio Burgoa Orihuela refiere que derecho de petición: "...</w:t>
      </w:r>
      <w:r w:rsidRPr="007E1ECF">
        <w:rPr>
          <w:rFonts w:ascii="Palatino Linotype" w:eastAsia="Palatino Linotype" w:hAnsi="Palatino Linotype" w:cs="Palatino Linotype"/>
          <w:i/>
          <w:color w:val="000000" w:themeColor="text1"/>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7E1ECF">
        <w:rPr>
          <w:rFonts w:ascii="Palatino Linotype" w:eastAsia="Palatino Linotype" w:hAnsi="Palatino Linotype" w:cs="Palatino Linotype"/>
          <w:color w:val="000000" w:themeColor="text1"/>
        </w:rPr>
        <w:t>"</w:t>
      </w:r>
      <w:r w:rsidRPr="007E1ECF">
        <w:rPr>
          <w:rFonts w:ascii="Palatino Linotype" w:eastAsia="Palatino Linotype" w:hAnsi="Palatino Linotype" w:cs="Palatino Linotype"/>
          <w:color w:val="000000" w:themeColor="text1"/>
          <w:vertAlign w:val="superscript"/>
        </w:rPr>
        <w:footnoteReference w:id="1"/>
      </w:r>
      <w:r w:rsidRPr="007E1ECF">
        <w:rPr>
          <w:rFonts w:ascii="Palatino Linotype" w:eastAsia="Palatino Linotype" w:hAnsi="Palatino Linotype" w:cs="Palatino Linotype"/>
          <w:color w:val="000000" w:themeColor="text1"/>
        </w:rPr>
        <w:t>(Sic)</w:t>
      </w:r>
    </w:p>
    <w:p w:rsidR="00D2426D" w:rsidRPr="007E1ECF" w:rsidRDefault="001D7851" w:rsidP="007654B7">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color w:val="000000" w:themeColor="text1"/>
        </w:rPr>
        <w:t xml:space="preserve">Por su parte, David Cienfuegos Salgado, concibe al derecho de petición como </w:t>
      </w:r>
      <w:r w:rsidRPr="007E1ECF">
        <w:rPr>
          <w:rFonts w:ascii="Palatino Linotype" w:eastAsia="Palatino Linotype" w:hAnsi="Palatino Linotype" w:cs="Palatino Linotype"/>
          <w:i/>
          <w:color w:val="000000" w:themeColor="text1"/>
        </w:rPr>
        <w:t>“el derecho de toda persona a ser escuchado por quienes ejercen el poder público.</w:t>
      </w:r>
      <w:r w:rsidRPr="007E1ECF">
        <w:rPr>
          <w:rFonts w:ascii="Palatino Linotype" w:eastAsia="Palatino Linotype" w:hAnsi="Palatino Linotype" w:cs="Palatino Linotype"/>
          <w:i/>
          <w:color w:val="000000" w:themeColor="text1"/>
          <w:vertAlign w:val="superscript"/>
        </w:rPr>
        <w:t xml:space="preserve"> </w:t>
      </w:r>
      <w:r w:rsidRPr="007E1ECF">
        <w:rPr>
          <w:rFonts w:ascii="Palatino Linotype" w:eastAsia="Palatino Linotype" w:hAnsi="Palatino Linotype" w:cs="Palatino Linotype"/>
          <w:i/>
          <w:color w:val="000000" w:themeColor="text1"/>
          <w:vertAlign w:val="superscript"/>
        </w:rPr>
        <w:footnoteReference w:id="2"/>
      </w:r>
      <w:r w:rsidRPr="007E1ECF">
        <w:rPr>
          <w:rFonts w:ascii="Palatino Linotype" w:eastAsia="Palatino Linotype" w:hAnsi="Palatino Linotype" w:cs="Palatino Linotype"/>
          <w:i/>
          <w:color w:val="000000" w:themeColor="text1"/>
        </w:rPr>
        <w:t xml:space="preserve">” (Sic) </w:t>
      </w: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7E1ECF">
        <w:rPr>
          <w:rFonts w:ascii="Palatino Linotype" w:eastAsia="Palatino Linotype" w:hAnsi="Palatino Linotype" w:cs="Palatino Linotype"/>
          <w:color w:val="000000" w:themeColor="text1"/>
          <w:vertAlign w:val="superscript"/>
        </w:rPr>
        <w:footnoteReference w:id="3"/>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lastRenderedPageBreak/>
        <w:t>Derecho de Acceso a la Información Pública:</w:t>
      </w: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D2426D" w:rsidRPr="007E1ECF" w:rsidRDefault="00D2426D" w:rsidP="007654B7">
      <w:pPr>
        <w:pBdr>
          <w:top w:val="nil"/>
          <w:left w:val="nil"/>
          <w:bottom w:val="nil"/>
          <w:right w:val="nil"/>
          <w:between w:val="nil"/>
        </w:pBdr>
        <w:spacing w:line="360" w:lineRule="auto"/>
        <w:rPr>
          <w:rFonts w:ascii="Palatino Linotype" w:hAnsi="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7E1ECF">
        <w:rPr>
          <w:rFonts w:ascii="Palatino Linotype" w:eastAsia="Palatino Linotype" w:hAnsi="Palatino Linotype" w:cs="Palatino Linotype"/>
          <w:color w:val="000000" w:themeColor="text1"/>
          <w:vertAlign w:val="superscript"/>
        </w:rPr>
        <w:footnoteReference w:id="4"/>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7E1ECF">
        <w:rPr>
          <w:rFonts w:ascii="Palatino Linotype" w:eastAsia="Palatino Linotype" w:hAnsi="Palatino Linotype" w:cs="Palatino Linotype"/>
          <w:color w:val="000000" w:themeColor="text1"/>
          <w:vertAlign w:val="superscript"/>
        </w:rPr>
        <w:footnoteReference w:id="5"/>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426D" w:rsidRPr="007E1ECF" w:rsidRDefault="001D7851" w:rsidP="007654B7">
      <w:pPr>
        <w:jc w:val="both"/>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“CRITERIO 0002-11</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7E1EC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Obligados.”(Sic)</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 xml:space="preserve">De lo anterior se puede concluir que la </w:t>
      </w:r>
      <w:r w:rsidRPr="007E1ECF">
        <w:rPr>
          <w:rFonts w:ascii="Palatino Linotype" w:eastAsia="Palatino Linotype" w:hAnsi="Palatino Linotype" w:cs="Palatino Linotype"/>
          <w:b/>
          <w:color w:val="000000" w:themeColor="text1"/>
        </w:rPr>
        <w:t xml:space="preserve">distinción entre el derecho de petición y el derecho de acceso a la información </w:t>
      </w:r>
      <w:r w:rsidRPr="007E1ECF">
        <w:rPr>
          <w:rFonts w:ascii="Palatino Linotype" w:eastAsia="Palatino Linotype" w:hAnsi="Palatino Linotype" w:cs="Palatino Linotype"/>
          <w:color w:val="000000" w:themeColor="text1"/>
        </w:rPr>
        <w:t xml:space="preserve">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w:t>
      </w:r>
      <w:r w:rsidRPr="007E1ECF">
        <w:rPr>
          <w:rFonts w:ascii="Palatino Linotype" w:eastAsia="Palatino Linotype" w:hAnsi="Palatino Linotype" w:cs="Palatino Linotype"/>
          <w:color w:val="000000" w:themeColor="text1"/>
        </w:rPr>
        <w:lastRenderedPageBreak/>
        <w:t>administrada o se encuentre en posesión de los considerados Sujetos Obligados por la Ley de la Materia.</w:t>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 xml:space="preserve">Con base a lo anterior, tenemos que el </w:t>
      </w:r>
      <w:r w:rsidRPr="007E1ECF">
        <w:rPr>
          <w:rFonts w:ascii="Palatino Linotype" w:eastAsia="Palatino Linotype" w:hAnsi="Palatino Linotype" w:cs="Palatino Linotype"/>
          <w:b/>
          <w:color w:val="000000" w:themeColor="text1"/>
        </w:rPr>
        <w:t>RECURRENTE</w:t>
      </w:r>
      <w:r w:rsidRPr="007E1ECF">
        <w:rPr>
          <w:rFonts w:ascii="Palatino Linotype" w:eastAsia="Palatino Linotype" w:hAnsi="Palatino Linotype" w:cs="Palatino Linotype"/>
          <w:color w:val="000000" w:themeColor="text1"/>
        </w:rPr>
        <w:t xml:space="preserve"> pretende ejercitar un derecho de petición; por consiguiente, la entrega de una razón o la respuesta a cuestionamientos que no encuentren soporte documental alguno, por parte de los Sujetos Obligados no es algo que la Ley de la Materia establece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b/>
          <w:color w:val="000000" w:themeColor="text1"/>
        </w:rPr>
      </w:pPr>
      <w:r w:rsidRPr="007E1ECF">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w:t>
      </w:r>
      <w:r w:rsidRPr="007E1ECF">
        <w:rPr>
          <w:rFonts w:ascii="Palatino Linotype" w:eastAsia="Palatino Linotype" w:hAnsi="Palatino Linotype" w:cs="Palatino Linotype"/>
          <w:color w:val="000000" w:themeColor="text1"/>
        </w:rPr>
        <w:lastRenderedPageBreak/>
        <w:t xml:space="preserve">en ejercicio del derecho de acceso a la información pública, no así cuando se trate de un derecho de petición ejercido por un gobernado; en consecuencia, </w:t>
      </w:r>
      <w:r w:rsidRPr="007E1ECF">
        <w:rPr>
          <w:rFonts w:ascii="Palatino Linotype" w:eastAsia="Palatino Linotype" w:hAnsi="Palatino Linotype" w:cs="Palatino Linotype"/>
          <w:b/>
          <w:color w:val="000000" w:themeColor="text1"/>
        </w:rPr>
        <w:t>este Instinto no tiene atribuciones para pronunciarse respecto a las manifestaciones expuestas por el particular.</w:t>
      </w:r>
    </w:p>
    <w:p w:rsidR="00D2426D" w:rsidRPr="007E1ECF" w:rsidRDefault="00D2426D" w:rsidP="007654B7">
      <w:pPr>
        <w:spacing w:line="360" w:lineRule="auto"/>
        <w:jc w:val="both"/>
        <w:rPr>
          <w:rFonts w:ascii="Palatino Linotype" w:eastAsia="Palatino Linotype" w:hAnsi="Palatino Linotype" w:cs="Palatino Linotype"/>
          <w:b/>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 xml:space="preserve">En otro orden de ideas, es de referir que al abrir el link </w:t>
      </w:r>
      <w:hyperlink r:id="rId13">
        <w:r w:rsidRPr="007E1ECF">
          <w:rPr>
            <w:rFonts w:ascii="Palatino Linotype" w:eastAsia="Palatino Linotype" w:hAnsi="Palatino Linotype" w:cs="Palatino Linotype"/>
            <w:color w:val="000000" w:themeColor="text1"/>
            <w:u w:val="single"/>
          </w:rPr>
          <w:t>https://www.zinacantepec.gob.mx/conac.php</w:t>
        </w:r>
      </w:hyperlink>
      <w:r w:rsidRPr="007E1ECF">
        <w:rPr>
          <w:rFonts w:ascii="Palatino Linotype" w:eastAsia="Palatino Linotype" w:hAnsi="Palatino Linotype" w:cs="Palatino Linotype"/>
          <w:color w:val="000000" w:themeColor="text1"/>
        </w:rPr>
        <w:t xml:space="preserve"> nos remite a la página siguiente:</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Default="001D7851" w:rsidP="007654B7">
      <w:pPr>
        <w:spacing w:line="360" w:lineRule="auto"/>
        <w:jc w:val="center"/>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noProof/>
          <w:color w:val="000000" w:themeColor="text1"/>
          <w:lang w:val="es-MX"/>
        </w:rPr>
        <w:drawing>
          <wp:inline distT="0" distB="0" distL="0" distR="0">
            <wp:extent cx="4214606" cy="2234461"/>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214606" cy="2234461"/>
                    </a:xfrm>
                    <a:prstGeom prst="rect">
                      <a:avLst/>
                    </a:prstGeom>
                    <a:ln/>
                  </pic:spPr>
                </pic:pic>
              </a:graphicData>
            </a:graphic>
          </wp:inline>
        </w:drawing>
      </w:r>
    </w:p>
    <w:p w:rsidR="00DB73F7" w:rsidRPr="007E1ECF" w:rsidRDefault="00DB73F7" w:rsidP="007654B7">
      <w:pPr>
        <w:spacing w:line="360" w:lineRule="auto"/>
        <w:jc w:val="center"/>
        <w:rPr>
          <w:rFonts w:ascii="Palatino Linotype" w:eastAsia="Palatino Linotype" w:hAnsi="Palatino Linotype" w:cs="Palatino Linotype"/>
          <w:b/>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Página que contiene diversa información contable y presupuestaria del Sujeto Obligado de diversos ejercicios fiscales.</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Posteriormente a través de Informe Justificado el Sujeto Obligado reiteró que la información solicitada se encuentra pública en la página web del Ayuntamiento, señalando la liga </w:t>
      </w:r>
      <w:hyperlink r:id="rId15">
        <w:r w:rsidRPr="007E1ECF">
          <w:rPr>
            <w:rFonts w:ascii="Palatino Linotype" w:eastAsia="Palatino Linotype" w:hAnsi="Palatino Linotype" w:cs="Palatino Linotype"/>
            <w:color w:val="000000" w:themeColor="text1"/>
            <w:u w:val="single"/>
          </w:rPr>
          <w:t>https://www.zinacantepec.gob.mx/index.php</w:t>
        </w:r>
      </w:hyperlink>
      <w:r w:rsidRPr="007E1ECF">
        <w:rPr>
          <w:rFonts w:ascii="Palatino Linotype" w:eastAsia="Palatino Linotype" w:hAnsi="Palatino Linotype" w:cs="Palatino Linotype"/>
          <w:color w:val="000000" w:themeColor="text1"/>
        </w:rPr>
        <w:t xml:space="preserve"> y describiendo los pasos para obtener la información requerida.</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lastRenderedPageBreak/>
        <w:t xml:space="preserve">En esta línea, es de señalar que la liga referida en respuesta se proporcionó en datos abiertos; sin embargo la referida en Informe Justificado se proporcionó en un </w:t>
      </w:r>
      <w:r w:rsidRPr="007E1ECF">
        <w:rPr>
          <w:rFonts w:ascii="Palatino Linotype" w:eastAsia="Palatino Linotype" w:hAnsi="Palatino Linotype" w:cs="Palatino Linotype"/>
          <w:b/>
          <w:color w:val="000000" w:themeColor="text1"/>
          <w:u w:val="single"/>
        </w:rPr>
        <w:t>formato cerrado</w:t>
      </w:r>
      <w:r w:rsidRPr="007E1ECF">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7E1ECF">
        <w:rPr>
          <w:rFonts w:ascii="Palatino Linotype" w:eastAsia="Palatino Linotype" w:hAnsi="Palatino Linotype" w:cs="Palatino Linotype"/>
          <w:b/>
          <w:color w:val="000000" w:themeColor="text1"/>
        </w:rPr>
        <w:t>en formatos abiertos, con los efectos de facilitar la reutilización de la información</w:t>
      </w:r>
      <w:r w:rsidRPr="007E1ECF">
        <w:rPr>
          <w:rFonts w:ascii="Palatino Linotype" w:eastAsia="Palatino Linotype" w:hAnsi="Palatino Linotype" w:cs="Palatino Linotype"/>
          <w:color w:val="000000" w:themeColor="text1"/>
        </w:rPr>
        <w:t>, tal como a la letra refiere:</w:t>
      </w:r>
    </w:p>
    <w:p w:rsidR="00D2426D" w:rsidRPr="007E1ECF" w:rsidRDefault="001D7851" w:rsidP="007654B7">
      <w:pPr>
        <w:jc w:val="center"/>
        <w:rPr>
          <w:rFonts w:ascii="Palatino Linotype" w:eastAsia="Palatino Linotype" w:hAnsi="Palatino Linotype" w:cs="Palatino Linotype"/>
          <w:b/>
          <w:i/>
          <w:color w:val="000000" w:themeColor="text1"/>
        </w:rPr>
      </w:pPr>
      <w:r w:rsidRPr="007E1ECF">
        <w:rPr>
          <w:rFonts w:ascii="Palatino Linotype" w:eastAsia="Palatino Linotype" w:hAnsi="Palatino Linotype" w:cs="Palatino Linotype"/>
          <w:b/>
          <w:i/>
          <w:color w:val="000000" w:themeColor="text1"/>
        </w:rPr>
        <w:t>Ley de Transparencia y Acceso a la Información Pública del Estado de México y Municipios</w:t>
      </w:r>
    </w:p>
    <w:p w:rsidR="00D2426D" w:rsidRPr="007E1ECF" w:rsidRDefault="00D2426D" w:rsidP="007654B7">
      <w:pPr>
        <w:jc w:val="center"/>
        <w:rPr>
          <w:rFonts w:ascii="Palatino Linotype" w:eastAsia="Palatino Linotype" w:hAnsi="Palatino Linotype" w:cs="Palatino Linotype"/>
          <w:b/>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Artículo 3</w:t>
      </w:r>
      <w:r w:rsidRPr="007E1ECF">
        <w:rPr>
          <w:rFonts w:ascii="Palatino Linotype" w:eastAsia="Palatino Linotype" w:hAnsi="Palatino Linotype" w:cs="Palatino Linotype"/>
          <w:i/>
          <w:color w:val="000000" w:themeColor="text1"/>
        </w:rPr>
        <w:t>. Para los efectos de la presente Ley se entenderá por:</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VIII. Datos abiertos</w:t>
      </w:r>
      <w:r w:rsidRPr="007E1ECF">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a) </w:t>
      </w:r>
      <w:r w:rsidRPr="007E1ECF">
        <w:rPr>
          <w:rFonts w:ascii="Palatino Linotype" w:eastAsia="Palatino Linotype" w:hAnsi="Palatino Linotype" w:cs="Palatino Linotype"/>
          <w:b/>
          <w:i/>
          <w:color w:val="000000" w:themeColor="text1"/>
        </w:rPr>
        <w:t>Accesibles</w:t>
      </w:r>
      <w:r w:rsidRPr="007E1ECF">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b) </w:t>
      </w:r>
      <w:r w:rsidRPr="007E1ECF">
        <w:rPr>
          <w:rFonts w:ascii="Palatino Linotype" w:eastAsia="Palatino Linotype" w:hAnsi="Palatino Linotype" w:cs="Palatino Linotype"/>
          <w:b/>
          <w:i/>
          <w:color w:val="000000" w:themeColor="text1"/>
        </w:rPr>
        <w:t>Integrales</w:t>
      </w:r>
      <w:r w:rsidRPr="007E1ECF">
        <w:rPr>
          <w:rFonts w:ascii="Palatino Linotype" w:eastAsia="Palatino Linotype" w:hAnsi="Palatino Linotype" w:cs="Palatino Linotype"/>
          <w:i/>
          <w:color w:val="000000" w:themeColor="text1"/>
        </w:rPr>
        <w:t>: Contienen el tema que describen a detalle y con los metadatos necesarios;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c) </w:t>
      </w:r>
      <w:r w:rsidRPr="007E1ECF">
        <w:rPr>
          <w:rFonts w:ascii="Palatino Linotype" w:eastAsia="Palatino Linotype" w:hAnsi="Palatino Linotype" w:cs="Palatino Linotype"/>
          <w:b/>
          <w:i/>
          <w:color w:val="000000" w:themeColor="text1"/>
        </w:rPr>
        <w:t>Gratuitos</w:t>
      </w:r>
      <w:r w:rsidRPr="007E1ECF">
        <w:rPr>
          <w:rFonts w:ascii="Palatino Linotype" w:eastAsia="Palatino Linotype" w:hAnsi="Palatino Linotype" w:cs="Palatino Linotype"/>
          <w:i/>
          <w:color w:val="000000" w:themeColor="text1"/>
        </w:rPr>
        <w:t xml:space="preserve">: Se obtienen sin entregar a cambio contraprestación alguna;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d) </w:t>
      </w:r>
      <w:r w:rsidRPr="007E1ECF">
        <w:rPr>
          <w:rFonts w:ascii="Palatino Linotype" w:eastAsia="Palatino Linotype" w:hAnsi="Palatino Linotype" w:cs="Palatino Linotype"/>
          <w:b/>
          <w:i/>
          <w:color w:val="000000" w:themeColor="text1"/>
        </w:rPr>
        <w:t>No discriminatorios</w:t>
      </w:r>
      <w:r w:rsidRPr="007E1ECF">
        <w:rPr>
          <w:rFonts w:ascii="Palatino Linotype" w:eastAsia="Palatino Linotype" w:hAnsi="Palatino Linotype" w:cs="Palatino Linotype"/>
          <w:i/>
          <w:color w:val="000000" w:themeColor="text1"/>
        </w:rPr>
        <w:t xml:space="preserve">: Los datos están disponibles para cualquier persona, sin necesidad de registro;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e) </w:t>
      </w:r>
      <w:r w:rsidRPr="007E1ECF">
        <w:rPr>
          <w:rFonts w:ascii="Palatino Linotype" w:eastAsia="Palatino Linotype" w:hAnsi="Palatino Linotype" w:cs="Palatino Linotype"/>
          <w:b/>
          <w:i/>
          <w:color w:val="000000" w:themeColor="text1"/>
        </w:rPr>
        <w:t>Oportunos</w:t>
      </w:r>
      <w:r w:rsidRPr="007E1ECF">
        <w:rPr>
          <w:rFonts w:ascii="Palatino Linotype" w:eastAsia="Palatino Linotype" w:hAnsi="Palatino Linotype" w:cs="Palatino Linotype"/>
          <w:i/>
          <w:color w:val="000000" w:themeColor="text1"/>
        </w:rPr>
        <w:t>: Son actualizados, periódicamente, conforme se generen;</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f) </w:t>
      </w:r>
      <w:r w:rsidRPr="007E1ECF">
        <w:rPr>
          <w:rFonts w:ascii="Palatino Linotype" w:eastAsia="Palatino Linotype" w:hAnsi="Palatino Linotype" w:cs="Palatino Linotype"/>
          <w:b/>
          <w:i/>
          <w:color w:val="000000" w:themeColor="text1"/>
        </w:rPr>
        <w:t>Permanentes</w:t>
      </w:r>
      <w:r w:rsidRPr="007E1ECF">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g) </w:t>
      </w:r>
      <w:r w:rsidRPr="007E1ECF">
        <w:rPr>
          <w:rFonts w:ascii="Palatino Linotype" w:eastAsia="Palatino Linotype" w:hAnsi="Palatino Linotype" w:cs="Palatino Linotype"/>
          <w:b/>
          <w:i/>
          <w:color w:val="000000" w:themeColor="text1"/>
        </w:rPr>
        <w:t>Primarios</w:t>
      </w:r>
      <w:r w:rsidRPr="007E1ECF">
        <w:rPr>
          <w:rFonts w:ascii="Palatino Linotype" w:eastAsia="Palatino Linotype" w:hAnsi="Palatino Linotype" w:cs="Palatino Linotype"/>
          <w:i/>
          <w:color w:val="000000" w:themeColor="text1"/>
        </w:rPr>
        <w:t xml:space="preserve">: Provienen de la fuente de origen con el máximo nivel de desagregación posible;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h) </w:t>
      </w:r>
      <w:r w:rsidRPr="007E1ECF">
        <w:rPr>
          <w:rFonts w:ascii="Palatino Linotype" w:eastAsia="Palatino Linotype" w:hAnsi="Palatino Linotype" w:cs="Palatino Linotype"/>
          <w:b/>
          <w:i/>
          <w:color w:val="000000" w:themeColor="text1"/>
        </w:rPr>
        <w:t>Legibles por máquinas</w:t>
      </w:r>
      <w:r w:rsidRPr="007E1ECF">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i) </w:t>
      </w:r>
      <w:r w:rsidRPr="007E1ECF">
        <w:rPr>
          <w:rFonts w:ascii="Palatino Linotype" w:eastAsia="Palatino Linotype" w:hAnsi="Palatino Linotype" w:cs="Palatino Linotype"/>
          <w:b/>
          <w:i/>
          <w:color w:val="000000" w:themeColor="text1"/>
        </w:rPr>
        <w:t>En formatos abiertos</w:t>
      </w:r>
      <w:r w:rsidRPr="007E1ECF">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lastRenderedPageBreak/>
        <w:t xml:space="preserve">j) </w:t>
      </w:r>
      <w:r w:rsidRPr="007E1ECF">
        <w:rPr>
          <w:rFonts w:ascii="Palatino Linotype" w:eastAsia="Palatino Linotype" w:hAnsi="Palatino Linotype" w:cs="Palatino Linotype"/>
          <w:b/>
          <w:i/>
          <w:color w:val="000000" w:themeColor="text1"/>
        </w:rPr>
        <w:t>De libre uso</w:t>
      </w:r>
      <w:r w:rsidRPr="007E1ECF">
        <w:rPr>
          <w:rFonts w:ascii="Palatino Linotype" w:eastAsia="Palatino Linotype" w:hAnsi="Palatino Linotype" w:cs="Palatino Linotype"/>
          <w:i/>
          <w:color w:val="000000" w:themeColor="text1"/>
        </w:rPr>
        <w:t>: Citan la fuente de origen como único requerimiento para ser utilizados libremente.</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XVI. Formatos abiertos</w:t>
      </w:r>
      <w:r w:rsidRPr="007E1ECF">
        <w:rPr>
          <w:rFonts w:ascii="Palatino Linotype" w:eastAsia="Palatino Linotype" w:hAnsi="Palatino Linotype" w:cs="Palatino Linotype"/>
          <w:i/>
          <w:color w:val="000000" w:themeColor="text1"/>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Artículo 24</w:t>
      </w:r>
      <w:r w:rsidRPr="007E1ECF">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V. Promover la generación, documentación y publicación de la información en formatos abiertos y accesibles;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Artículo 41</w:t>
      </w:r>
      <w:r w:rsidRPr="007E1ECF">
        <w:rPr>
          <w:rFonts w:ascii="Palatino Linotype" w:eastAsia="Palatino Linotype" w:hAnsi="Palatino Linotype" w:cs="Palatino Linotype"/>
          <w:i/>
          <w:color w:val="000000" w:themeColor="text1"/>
        </w:rPr>
        <w:t>. El Instituto promoverá la publicación de la información en datos abiertos y accesibles.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w:t>
      </w:r>
    </w:p>
    <w:p w:rsidR="00D2426D" w:rsidRPr="007E1ECF" w:rsidRDefault="00D2426D" w:rsidP="007654B7">
      <w:pPr>
        <w:jc w:val="both"/>
        <w:rPr>
          <w:rFonts w:ascii="Palatino Linotype" w:eastAsia="Palatino Linotype" w:hAnsi="Palatino Linotype" w:cs="Palatino Linotype"/>
          <w:i/>
          <w:color w:val="000000" w:themeColor="text1"/>
        </w:rPr>
      </w:pP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Artículo 160</w:t>
      </w:r>
      <w:r w:rsidRPr="007E1ECF">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D2426D" w:rsidRDefault="00D2426D" w:rsidP="007654B7">
      <w:pPr>
        <w:jc w:val="both"/>
        <w:rPr>
          <w:rFonts w:ascii="Palatino Linotype" w:eastAsia="Palatino Linotype" w:hAnsi="Palatino Linotype" w:cs="Palatino Linotype"/>
          <w:i/>
          <w:color w:val="000000" w:themeColor="text1"/>
        </w:rPr>
      </w:pPr>
    </w:p>
    <w:p w:rsidR="00DB73F7" w:rsidRPr="007E1ECF" w:rsidRDefault="00DB73F7" w:rsidP="007654B7">
      <w:pPr>
        <w:jc w:val="both"/>
        <w:rPr>
          <w:rFonts w:ascii="Palatino Linotype" w:eastAsia="Palatino Linotype" w:hAnsi="Palatino Linotype" w:cs="Palatino Linotype"/>
          <w:i/>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 xml:space="preserve">Es así que, los Sujetos Obligados y este Organismo Garante, deben velar por la generación y entrega de la información a los Particulares </w:t>
      </w:r>
      <w:r w:rsidRPr="007E1ECF">
        <w:rPr>
          <w:rFonts w:ascii="Palatino Linotype" w:eastAsia="Palatino Linotype" w:hAnsi="Palatino Linotype" w:cs="Palatino Linotype"/>
          <w:b/>
          <w:color w:val="000000" w:themeColor="text1"/>
        </w:rPr>
        <w:t>en formatos abiertos, con los efectos de facilitar la reutilización de la información.</w:t>
      </w:r>
    </w:p>
    <w:p w:rsidR="00D2426D" w:rsidRPr="007E1ECF" w:rsidRDefault="00D2426D" w:rsidP="007654B7">
      <w:pPr>
        <w:spacing w:line="360" w:lineRule="auto"/>
        <w:jc w:val="both"/>
        <w:rPr>
          <w:rFonts w:ascii="Palatino Linotype" w:eastAsia="Palatino Linotype" w:hAnsi="Palatino Linotype" w:cs="Palatino Linotype"/>
          <w:b/>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color w:val="000000" w:themeColor="text1"/>
        </w:rPr>
        <w:t xml:space="preserve">En este sentido, en acatamiento a lo estipulado en el artículo 161 de la Ley de Transparencia y Acceso a la Información Pública del Estado de México y Municipios, mismo </w:t>
      </w:r>
      <w:r w:rsidRPr="007E1ECF">
        <w:rPr>
          <w:rFonts w:ascii="Palatino Linotype" w:eastAsia="Palatino Linotype" w:hAnsi="Palatino Linotype" w:cs="Palatino Linotype"/>
          <w:color w:val="000000" w:themeColor="text1"/>
        </w:rPr>
        <w:lastRenderedPageBreak/>
        <w:t xml:space="preserve">que señala que cuando la información requerida por el solicitante ya esté disponible al público en medios impresos, tales como libros, compendios, trípticos, registros públicos, en formatos electrónicos disponibles en Internet o en cualquier otro medio, </w:t>
      </w:r>
      <w:r w:rsidRPr="007E1ECF">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D2426D" w:rsidRPr="007E1ECF" w:rsidRDefault="00D2426D" w:rsidP="007654B7">
      <w:pPr>
        <w:spacing w:line="360" w:lineRule="auto"/>
        <w:jc w:val="both"/>
        <w:rPr>
          <w:rFonts w:ascii="Palatino Linotype" w:eastAsia="Palatino Linotype" w:hAnsi="Palatino Linotype" w:cs="Palatino Linotype"/>
          <w:i/>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color w:val="000000" w:themeColor="text1"/>
        </w:rPr>
        <w:t xml:space="preserve">Por ello, como ya se mencionó en párrafos anteriores, en Informe Justificado se proporcionó la liga en formato cerrado y se describieron los pasos para obtener la información requerida, por lo que al ingresar a la misma y seguir los pasos referidos, es de notar que en el </w:t>
      </w:r>
      <w:r w:rsidRPr="007E1ECF">
        <w:rPr>
          <w:rFonts w:ascii="Palatino Linotype" w:eastAsia="Palatino Linotype" w:hAnsi="Palatino Linotype" w:cs="Palatino Linotype"/>
          <w:i/>
          <w:color w:val="000000" w:themeColor="text1"/>
        </w:rPr>
        <w:t>“</w:t>
      </w:r>
      <w:r w:rsidRPr="007E1ECF">
        <w:rPr>
          <w:rFonts w:ascii="Palatino Linotype" w:eastAsia="Palatino Linotype" w:hAnsi="Palatino Linotype" w:cs="Palatino Linotype"/>
          <w:b/>
          <w:i/>
          <w:color w:val="000000" w:themeColor="text1"/>
        </w:rPr>
        <w:t>Paso 3</w:t>
      </w:r>
      <w:r w:rsidRPr="007E1ECF">
        <w:rPr>
          <w:rFonts w:ascii="Palatino Linotype" w:eastAsia="Palatino Linotype" w:hAnsi="Palatino Linotype" w:cs="Palatino Linotype"/>
          <w:i/>
          <w:color w:val="000000" w:themeColor="text1"/>
        </w:rPr>
        <w:t xml:space="preserve"> Dar clic en el icono CONAC y se desplegara la siguiente ventana donde contiene lo referente a los informes trimestrales que genera este Ayuntamiento”, </w:t>
      </w:r>
      <w:r w:rsidRPr="007E1ECF">
        <w:rPr>
          <w:rFonts w:ascii="Palatino Linotype" w:eastAsia="Palatino Linotype" w:hAnsi="Palatino Linotype" w:cs="Palatino Linotype"/>
          <w:color w:val="000000" w:themeColor="text1"/>
        </w:rPr>
        <w:t>nos posiciona en la página web señalada en respuesta; posteriormente se señala como “</w:t>
      </w:r>
      <w:r w:rsidRPr="007E1ECF">
        <w:rPr>
          <w:rFonts w:ascii="Palatino Linotype" w:eastAsia="Palatino Linotype" w:hAnsi="Palatino Linotype" w:cs="Palatino Linotype"/>
          <w:b/>
          <w:i/>
          <w:color w:val="000000" w:themeColor="text1"/>
        </w:rPr>
        <w:t>Paso 4</w:t>
      </w:r>
      <w:r w:rsidRPr="007E1ECF">
        <w:rPr>
          <w:rFonts w:ascii="Palatino Linotype" w:eastAsia="Palatino Linotype" w:hAnsi="Palatino Linotype" w:cs="Palatino Linotype"/>
          <w:i/>
          <w:color w:val="000000" w:themeColor="text1"/>
        </w:rPr>
        <w:t xml:space="preserve"> Selecciona el archivo que desee consultar y le da clic, esto le abrirá otra ventana con la información solicitada.”</w:t>
      </w:r>
      <w:r w:rsidRPr="007E1ECF">
        <w:rPr>
          <w:rFonts w:ascii="Palatino Linotype" w:eastAsia="Palatino Linotype" w:hAnsi="Palatino Linotype" w:cs="Palatino Linotype"/>
          <w:color w:val="000000" w:themeColor="text1"/>
        </w:rPr>
        <w:t>, por lo que al haber entregado una liga en formato abierto en respuesta y en acto posterior señalar los pasos para obtener la información requerida, se estima que el Sujeto Obligado subsanó las formalidades establecidas en la norma al precisar la fuente, el lugar y la forma en que se puede consultar o adquirir dicha información.</w:t>
      </w:r>
    </w:p>
    <w:p w:rsidR="00D2426D" w:rsidRPr="007E1ECF" w:rsidRDefault="00D2426D" w:rsidP="007654B7">
      <w:pPr>
        <w:spacing w:line="360" w:lineRule="auto"/>
        <w:jc w:val="both"/>
        <w:rPr>
          <w:rFonts w:ascii="Palatino Linotype" w:eastAsia="Palatino Linotype" w:hAnsi="Palatino Linotype" w:cs="Palatino Linotype"/>
          <w:i/>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Ahora bien, se estudiará la naturaleza de la información solicitada, a fin de determinar que con la información contenida en la página web, se da atención al requerimiento hecho por el particular.</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 xml:space="preserve">Resulta importante mencionar lo que establece el Manual Único de Contabilidad Gubernamental para las Dependencias y Entidades Públicas del Gobierno y Municipios del Estado de México 2024,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rsidR="00D2426D" w:rsidRPr="007E1ECF" w:rsidRDefault="00D2426D" w:rsidP="007654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rsidR="00D2426D" w:rsidRPr="007E1ECF" w:rsidRDefault="00D2426D" w:rsidP="007654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Asimismo, como </w:t>
      </w:r>
      <w:r w:rsidRPr="007E1ECF">
        <w:rPr>
          <w:rFonts w:ascii="Palatino Linotype" w:eastAsia="Palatino Linotype" w:hAnsi="Palatino Linotype" w:cs="Palatino Linotype"/>
          <w:b/>
          <w:color w:val="000000" w:themeColor="text1"/>
        </w:rPr>
        <w:t>información financiera</w:t>
      </w:r>
      <w:r w:rsidRPr="007E1ECF">
        <w:rPr>
          <w:rFonts w:ascii="Palatino Linotype" w:eastAsia="Palatino Linotype" w:hAnsi="Palatino Linotype" w:cs="Palatino Linotype"/>
          <w:color w:val="000000" w:themeColor="text1"/>
        </w:rPr>
        <w:t xml:space="preserve"> se considera la contable y presupuestaria y se presentará en </w:t>
      </w:r>
      <w:r w:rsidRPr="007E1ECF">
        <w:rPr>
          <w:rFonts w:ascii="Palatino Linotype" w:eastAsia="Palatino Linotype" w:hAnsi="Palatino Linotype" w:cs="Palatino Linotype"/>
          <w:b/>
          <w:color w:val="000000" w:themeColor="text1"/>
          <w:u w:val="single"/>
        </w:rPr>
        <w:t>estados financieros, reportes e informes</w:t>
      </w:r>
      <w:r w:rsidRPr="007E1ECF">
        <w:rPr>
          <w:rFonts w:ascii="Palatino Linotype" w:eastAsia="Palatino Linotype" w:hAnsi="Palatino Linotype" w:cs="Palatino Linotype"/>
          <w:color w:val="000000" w:themeColor="text1"/>
        </w:rPr>
        <w:t xml:space="preserve"> acompañándose, en su caso, de las notas explicativas y de la información necesaria que sea representativa de la situación del ente público a una fecha establecida.</w:t>
      </w:r>
    </w:p>
    <w:p w:rsidR="00D2426D" w:rsidRPr="007E1ECF" w:rsidRDefault="001D7851" w:rsidP="007654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 </w:t>
      </w: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Los entes públicos deberán generar y presentar los siguientes estados e información contable: </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Estado de Situación Financiera.</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Estado de Actividades para Entidades con fines no lucrativos.</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Estado de Resultados para Entidades con fines lucrativos.</w:t>
      </w:r>
      <w:r w:rsidRPr="007E1ECF">
        <w:rPr>
          <w:rFonts w:ascii="Palatino Linotype" w:eastAsia="Palatino Linotype" w:hAnsi="Palatino Linotype" w:cs="Palatino Linotype"/>
          <w:b/>
          <w:color w:val="000000" w:themeColor="text1"/>
        </w:rPr>
        <w:t xml:space="preserve"> </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Estado de Variación en la Hacienda Pública.</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Estado de Cambios en la Situación Financiera.</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Estado de Flujos de Efectivo</w:t>
      </w:r>
      <w:r w:rsidRPr="007E1ECF">
        <w:rPr>
          <w:rFonts w:ascii="Palatino Linotype" w:eastAsia="Palatino Linotype" w:hAnsi="Palatino Linotype" w:cs="Palatino Linotype"/>
          <w:b/>
          <w:color w:val="000000" w:themeColor="text1"/>
        </w:rPr>
        <w:t>.</w:t>
      </w:r>
      <w:r w:rsidRPr="007E1ECF">
        <w:rPr>
          <w:rFonts w:ascii="Palatino Linotype" w:eastAsia="Palatino Linotype" w:hAnsi="Palatino Linotype" w:cs="Palatino Linotype"/>
          <w:color w:val="000000" w:themeColor="text1"/>
        </w:rPr>
        <w:t xml:space="preserve"> </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Estado Analítico del Activo. </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Estado Analítico de la Deuda y Otros Pasivos.</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Informe sobre Pasivos Contingentes</w:t>
      </w:r>
    </w:p>
    <w:p w:rsidR="00D2426D" w:rsidRPr="007E1ECF" w:rsidRDefault="001D7851" w:rsidP="007654B7">
      <w:pPr>
        <w:numPr>
          <w:ilvl w:val="0"/>
          <w:numId w:val="4"/>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Notas a los Estados Financieros.</w:t>
      </w:r>
    </w:p>
    <w:p w:rsidR="00D2426D" w:rsidRPr="007E1ECF" w:rsidRDefault="00D2426D" w:rsidP="007654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Aunado a lo anterior, cabe destacar que de acuerdo con los Lineamientos para la integración y entrega del Informe Trimestral Municipal 2024,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7E1ECF">
        <w:rPr>
          <w:rFonts w:ascii="Palatino Linotype" w:eastAsia="Palatino Linotype" w:hAnsi="Palatino Linotype" w:cs="Palatino Linotype"/>
          <w:b/>
          <w:color w:val="000000" w:themeColor="text1"/>
          <w:u w:val="single"/>
        </w:rPr>
        <w:t>informes trimestrales</w:t>
      </w:r>
      <w:r w:rsidRPr="007E1ECF">
        <w:rPr>
          <w:rFonts w:ascii="Palatino Linotype" w:eastAsia="Palatino Linotype" w:hAnsi="Palatino Linotype" w:cs="Palatino Linotype"/>
          <w:color w:val="000000" w:themeColor="text1"/>
        </w:rPr>
        <w:t xml:space="preserve">, que son documentos físico y/o electrónicos que </w:t>
      </w:r>
      <w:r w:rsidRPr="007E1ECF">
        <w:rPr>
          <w:rFonts w:ascii="Palatino Linotype" w:eastAsia="Palatino Linotype" w:hAnsi="Palatino Linotype" w:cs="Palatino Linotype"/>
          <w:b/>
          <w:color w:val="000000" w:themeColor="text1"/>
          <w:u w:val="single"/>
        </w:rPr>
        <w:t>trimestralmente deberán presentar</w:t>
      </w:r>
      <w:r w:rsidRPr="007E1ECF">
        <w:rPr>
          <w:rFonts w:ascii="Palatino Linotype" w:eastAsia="Palatino Linotype" w:hAnsi="Palatino Linotype" w:cs="Palatino Linotype"/>
          <w:color w:val="000000" w:themeColor="text1"/>
        </w:rPr>
        <w:t xml:space="preserve">, a través de la Secretaría de Finanzas del Poder Ejecutivo y las Tesorerías Municipales o sus equivalentes, </w:t>
      </w:r>
      <w:r w:rsidRPr="007E1ECF">
        <w:rPr>
          <w:rFonts w:ascii="Palatino Linotype" w:eastAsia="Palatino Linotype" w:hAnsi="Palatino Linotype" w:cs="Palatino Linotype"/>
          <w:b/>
          <w:color w:val="000000" w:themeColor="text1"/>
        </w:rPr>
        <w:t>dentro de los primeros veinte días hábiles posteriores al término del periodo a informar</w:t>
      </w:r>
      <w:r w:rsidRPr="007E1ECF">
        <w:rPr>
          <w:rFonts w:ascii="Palatino Linotype" w:eastAsia="Palatino Linotype" w:hAnsi="Palatino Linotype" w:cs="Palatino Linotype"/>
          <w:color w:val="000000" w:themeColor="text1"/>
        </w:rPr>
        <w:t xml:space="preserve"> y para el trimestre correspondiente al cierre del ejercicio fiscal.</w:t>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En ese orden de ideas, de la consulta a los Lineamientos en comento, se encontró que, </w:t>
      </w:r>
      <w:r w:rsidRPr="007E1ECF">
        <w:rPr>
          <w:rFonts w:ascii="Palatino Linotype" w:eastAsia="Palatino Linotype" w:hAnsi="Palatino Linotype" w:cs="Palatino Linotype"/>
          <w:b/>
          <w:color w:val="000000" w:themeColor="text1"/>
          <w:u w:val="single"/>
        </w:rPr>
        <w:t>los documentos que conforman los estados financieros son, de manera enunciativa, más no limitativa</w:t>
      </w:r>
      <w:r w:rsidRPr="007E1ECF">
        <w:rPr>
          <w:rFonts w:ascii="Palatino Linotype" w:eastAsia="Palatino Linotype" w:hAnsi="Palatino Linotype" w:cs="Palatino Linotype"/>
          <w:color w:val="000000" w:themeColor="text1"/>
        </w:rPr>
        <w:t xml:space="preserve">, los estados de situación financiera, estados de actividades, estado de flujos de efectivo, estado analítico de deuda y otros pasivos, estados analíticos del activo, estados de variación en Hacienda Pública, estado de cambios en la situación financiera y las notas a los estados financieros, tal como se puede apreciar a continuación: </w:t>
      </w:r>
    </w:p>
    <w:p w:rsidR="00D2426D" w:rsidRPr="007E1ECF" w:rsidRDefault="001D7851"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noProof/>
          <w:color w:val="000000" w:themeColor="text1"/>
          <w:lang w:val="es-MX"/>
        </w:rPr>
        <w:lastRenderedPageBreak/>
        <w:drawing>
          <wp:inline distT="0" distB="0" distL="0" distR="0">
            <wp:extent cx="5756275" cy="2921635"/>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756275" cy="2921635"/>
                    </a:xfrm>
                    <a:prstGeom prst="rect">
                      <a:avLst/>
                    </a:prstGeom>
                    <a:ln/>
                  </pic:spPr>
                </pic:pic>
              </a:graphicData>
            </a:graphic>
          </wp:inline>
        </w:drawing>
      </w:r>
    </w:p>
    <w:p w:rsidR="00D2426D" w:rsidRPr="007E1ECF" w:rsidRDefault="00D2426D" w:rsidP="00765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Lo anterior, es información que, tal como se observa debe ser generada por el Sujeto Obligado de manera mensual, con la finalidad de que este integre lo correspondiente a sus informes trimestrales, que son parte del cumplimiento de sus obligaciones fiscales. </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7E1ECF">
        <w:rPr>
          <w:rFonts w:ascii="Palatino Linotype" w:eastAsia="Palatino Linotype" w:hAnsi="Palatino Linotype" w:cs="Palatino Linotype"/>
          <w:color w:val="000000" w:themeColor="text1"/>
        </w:rPr>
        <w:t xml:space="preserve">En este sentido, de la información proporcionada por el Sujeto Obligado a través de Informe Justificado, en el que señaló de manera clara y precisa como acceder a la información se puede advertir la y toda vez que de la solicitud se desprende que la información que se desea corresponde al </w:t>
      </w:r>
      <w:r w:rsidRPr="007E1ECF">
        <w:rPr>
          <w:rFonts w:ascii="Palatino Linotype" w:eastAsia="Palatino Linotype" w:hAnsi="Palatino Linotype" w:cs="Palatino Linotype"/>
          <w:color w:val="000000" w:themeColor="text1"/>
          <w:u w:val="single"/>
        </w:rPr>
        <w:t>último año fiscal</w:t>
      </w:r>
      <w:r w:rsidRPr="007E1ECF">
        <w:rPr>
          <w:rFonts w:ascii="Palatino Linotype" w:eastAsia="Palatino Linotype" w:hAnsi="Palatino Linotype" w:cs="Palatino Linotype"/>
          <w:color w:val="000000" w:themeColor="text1"/>
        </w:rPr>
        <w:t xml:space="preserve">, este Organismo interpreta que se </w:t>
      </w:r>
      <w:r w:rsidRPr="007E1ECF">
        <w:rPr>
          <w:rFonts w:ascii="Palatino Linotype" w:eastAsia="Palatino Linotype" w:hAnsi="Palatino Linotype" w:cs="Palatino Linotype"/>
          <w:color w:val="000000" w:themeColor="text1"/>
          <w:u w:val="single"/>
        </w:rPr>
        <w:t>refiere al ejercicio fiscal 2024</w:t>
      </w:r>
      <w:r w:rsidRPr="007E1ECF">
        <w:rPr>
          <w:rFonts w:ascii="Palatino Linotype" w:eastAsia="Palatino Linotype" w:hAnsi="Palatino Linotype" w:cs="Palatino Linotype"/>
          <w:color w:val="000000" w:themeColor="text1"/>
        </w:rPr>
        <w:t>, al ingresar a la liga referida y seleccionar el apartado de cuenta pública se logra visualizar la información referente a 2024, en la que de manera enunciativa mas no limitativa se advierten documentos tales como: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w:t>
      </w:r>
      <w:r w:rsidR="001D7851" w:rsidRPr="007E1ECF">
        <w:rPr>
          <w:rFonts w:ascii="Palatino Linotype" w:eastAsia="Palatino Linotype" w:hAnsi="Palatino Linotype" w:cs="Palatino Linotype"/>
          <w:color w:val="000000" w:themeColor="text1"/>
        </w:rPr>
        <w:t xml:space="preserve"> BALANCE PRESUPUESTARIO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2.</w:t>
      </w:r>
      <w:r w:rsidR="001D7851" w:rsidRPr="007E1ECF">
        <w:rPr>
          <w:rFonts w:ascii="Palatino Linotype" w:eastAsia="Palatino Linotype" w:hAnsi="Palatino Linotype" w:cs="Palatino Linotype"/>
          <w:color w:val="000000" w:themeColor="text1"/>
        </w:rPr>
        <w:t xml:space="preserve"> ESTADO ANALITICO DEL EJERCICIO DEL PRESUPUESTO DE EGRESOS DETALLADO POR OBJETO DE GASTO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3.</w:t>
      </w:r>
      <w:r w:rsidR="001D7851" w:rsidRPr="007E1ECF">
        <w:rPr>
          <w:rFonts w:ascii="Palatino Linotype" w:eastAsia="Palatino Linotype" w:hAnsi="Palatino Linotype" w:cs="Palatino Linotype"/>
          <w:color w:val="000000" w:themeColor="text1"/>
        </w:rPr>
        <w:t xml:space="preserve"> ESTADO ANALITICO DEL EJERCICIO DELPRESUPUESTO DETALLADO POR CATEGORIA</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4.</w:t>
      </w:r>
      <w:r w:rsidR="001D7851" w:rsidRPr="007E1ECF">
        <w:rPr>
          <w:rFonts w:ascii="Palatino Linotype" w:eastAsia="Palatino Linotype" w:hAnsi="Palatino Linotype" w:cs="Palatino Linotype"/>
          <w:color w:val="000000" w:themeColor="text1"/>
        </w:rPr>
        <w:t xml:space="preserve"> ESTADO ANALITICO DE INGRESOS DETALLADO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5.</w:t>
      </w:r>
      <w:r w:rsidR="001D7851" w:rsidRPr="007E1ECF">
        <w:rPr>
          <w:rFonts w:ascii="Palatino Linotype" w:eastAsia="Palatino Linotype" w:hAnsi="Palatino Linotype" w:cs="Palatino Linotype"/>
          <w:color w:val="000000" w:themeColor="text1"/>
        </w:rPr>
        <w:t xml:space="preserve"> ESTADO DE SITUACION FINANCIERA COMPARATIVO DETALLADO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6.</w:t>
      </w:r>
      <w:r w:rsidR="001D7851" w:rsidRPr="007E1ECF">
        <w:rPr>
          <w:rFonts w:ascii="Palatino Linotype" w:eastAsia="Palatino Linotype" w:hAnsi="Palatino Linotype" w:cs="Palatino Linotype"/>
          <w:color w:val="000000" w:themeColor="text1"/>
        </w:rPr>
        <w:t xml:space="preserve"> ESTADO ANALITICO DEL ACTIVO</w:t>
      </w:r>
    </w:p>
    <w:p w:rsidR="00D2426D" w:rsidRPr="007E1ECF" w:rsidRDefault="001D7851" w:rsidP="007654B7">
      <w:pPr>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7. ESTADO DE ACTIVIDADES COMPARATIVO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8.</w:t>
      </w:r>
      <w:r w:rsidR="001D7851" w:rsidRPr="007E1ECF">
        <w:rPr>
          <w:rFonts w:ascii="Palatino Linotype" w:eastAsia="Palatino Linotype" w:hAnsi="Palatino Linotype" w:cs="Palatino Linotype"/>
          <w:color w:val="000000" w:themeColor="text1"/>
        </w:rPr>
        <w:t xml:space="preserve"> ESTADO ANALITICO DE LA DEUDA Y OTROS PASIVOS</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9.</w:t>
      </w:r>
      <w:r w:rsidR="001D7851" w:rsidRPr="007E1ECF">
        <w:rPr>
          <w:rFonts w:ascii="Palatino Linotype" w:eastAsia="Palatino Linotype" w:hAnsi="Palatino Linotype" w:cs="Palatino Linotype"/>
          <w:color w:val="000000" w:themeColor="text1"/>
        </w:rPr>
        <w:t xml:space="preserve"> ESTADO DE CAMBIOS EN LA SITUACION FINANCIERA</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10.</w:t>
      </w:r>
      <w:r w:rsidR="001D7851" w:rsidRPr="007E1ECF">
        <w:rPr>
          <w:rFonts w:ascii="Palatino Linotype" w:eastAsia="Palatino Linotype" w:hAnsi="Palatino Linotype" w:cs="Palatino Linotype"/>
          <w:color w:val="000000" w:themeColor="text1"/>
        </w:rPr>
        <w:t xml:space="preserve"> ESTADO DE FLUJOS DE EFECTIVO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11.</w:t>
      </w:r>
      <w:r w:rsidR="001D7851" w:rsidRPr="007E1ECF">
        <w:rPr>
          <w:rFonts w:ascii="Palatino Linotype" w:eastAsia="Palatino Linotype" w:hAnsi="Palatino Linotype" w:cs="Palatino Linotype"/>
          <w:color w:val="000000" w:themeColor="text1"/>
        </w:rPr>
        <w:t xml:space="preserve"> ESTADO DE SITUACION FINANCIERA COMPARATIVO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12.</w:t>
      </w:r>
      <w:r w:rsidR="001D7851" w:rsidRPr="007E1ECF">
        <w:rPr>
          <w:rFonts w:ascii="Palatino Linotype" w:eastAsia="Palatino Linotype" w:hAnsi="Palatino Linotype" w:cs="Palatino Linotype"/>
          <w:color w:val="000000" w:themeColor="text1"/>
        </w:rPr>
        <w:t xml:space="preserve"> ESTADO DE VARIACION EN LA HACIENDA PUBLICA</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13.</w:t>
      </w:r>
      <w:r w:rsidR="001D7851" w:rsidRPr="007E1ECF">
        <w:rPr>
          <w:rFonts w:ascii="Palatino Linotype" w:eastAsia="Palatino Linotype" w:hAnsi="Palatino Linotype" w:cs="Palatino Linotype"/>
          <w:color w:val="000000" w:themeColor="text1"/>
        </w:rPr>
        <w:t xml:space="preserve"> NOTAS A LOS ESTADOS FINANCIEROS</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14. </w:t>
      </w:r>
      <w:r w:rsidR="001D7851" w:rsidRPr="007E1ECF">
        <w:rPr>
          <w:rFonts w:ascii="Palatino Linotype" w:eastAsia="Palatino Linotype" w:hAnsi="Palatino Linotype" w:cs="Palatino Linotype"/>
          <w:color w:val="000000" w:themeColor="text1"/>
        </w:rPr>
        <w:t>ESTADO ANALITICO DEL EJERCICIO DEL PRESUPUESTO DE EGRESOS CLASIFICACION ADMINISTRATIVA</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15.</w:t>
      </w:r>
      <w:r w:rsidR="001D7851" w:rsidRPr="007E1ECF">
        <w:rPr>
          <w:rFonts w:ascii="Palatino Linotype" w:eastAsia="Palatino Linotype" w:hAnsi="Palatino Linotype" w:cs="Palatino Linotype"/>
          <w:color w:val="000000" w:themeColor="text1"/>
        </w:rPr>
        <w:t xml:space="preserve"> ESTADO ANALITICO DEL EJERCICIO DEL PRESUPUESTO DE EGRESOS CLASIFICACION FUNCIONAL</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16.</w:t>
      </w:r>
      <w:r w:rsidR="001D7851" w:rsidRPr="007E1ECF">
        <w:rPr>
          <w:rFonts w:ascii="Palatino Linotype" w:eastAsia="Palatino Linotype" w:hAnsi="Palatino Linotype" w:cs="Palatino Linotype"/>
          <w:color w:val="000000" w:themeColor="text1"/>
        </w:rPr>
        <w:t xml:space="preserve"> ESTADO ANALITICO DEL EJERCICIO DEL PRESUPUESTO DE EGRESOS CLASIFICACION ECONOMICA</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17.</w:t>
      </w:r>
      <w:r w:rsidR="001D7851" w:rsidRPr="007E1ECF">
        <w:rPr>
          <w:rFonts w:ascii="Palatino Linotype" w:eastAsia="Palatino Linotype" w:hAnsi="Palatino Linotype" w:cs="Palatino Linotype"/>
          <w:color w:val="000000" w:themeColor="text1"/>
        </w:rPr>
        <w:t xml:space="preserve"> ESTADO ANALITICO DEL EJERCICIO DEL PRESUPUESTO DE EGRESOS INTEGRADO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18.</w:t>
      </w:r>
      <w:r w:rsidR="001D7851" w:rsidRPr="007E1ECF">
        <w:rPr>
          <w:rFonts w:ascii="Palatino Linotype" w:eastAsia="Palatino Linotype" w:hAnsi="Palatino Linotype" w:cs="Palatino Linotype"/>
          <w:color w:val="000000" w:themeColor="text1"/>
        </w:rPr>
        <w:t xml:space="preserve"> ESTADO ANALITICO DEL EJERCICIO DEL PRESUPUESTO DE EGRESOS CLASIFICACION POR OBJETO DE GASTO</w:t>
      </w:r>
    </w:p>
    <w:p w:rsidR="00D2426D" w:rsidRPr="007E1ECF" w:rsidRDefault="00DB73F7" w:rsidP="007654B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19. </w:t>
      </w:r>
      <w:r w:rsidR="001D7851" w:rsidRPr="007E1ECF">
        <w:rPr>
          <w:rFonts w:ascii="Palatino Linotype" w:eastAsia="Palatino Linotype" w:hAnsi="Palatino Linotype" w:cs="Palatino Linotype"/>
          <w:color w:val="000000" w:themeColor="text1"/>
        </w:rPr>
        <w:t>ESTADO ANALITICO DE INGRESOS</w:t>
      </w:r>
    </w:p>
    <w:p w:rsidR="00D2426D" w:rsidRPr="007E1ECF" w:rsidRDefault="001D7851" w:rsidP="007654B7">
      <w:pPr>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20. ESTADO ANALITICO DE INGRESOS INTEGRADO</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Como se muestra en la imagen siguiente:</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Default="001D7851" w:rsidP="007654B7">
      <w:pPr>
        <w:spacing w:line="360" w:lineRule="auto"/>
        <w:jc w:val="center"/>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noProof/>
          <w:color w:val="000000" w:themeColor="text1"/>
          <w:lang w:val="es-MX"/>
        </w:rPr>
        <w:lastRenderedPageBreak/>
        <w:drawing>
          <wp:inline distT="0" distB="0" distL="0" distR="0">
            <wp:extent cx="3970159" cy="382344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3970159" cy="3823440"/>
                    </a:xfrm>
                    <a:prstGeom prst="rect">
                      <a:avLst/>
                    </a:prstGeom>
                    <a:ln/>
                  </pic:spPr>
                </pic:pic>
              </a:graphicData>
            </a:graphic>
          </wp:inline>
        </w:drawing>
      </w:r>
    </w:p>
    <w:p w:rsidR="00DB73F7" w:rsidRPr="007E1ECF" w:rsidRDefault="00DB73F7" w:rsidP="007654B7">
      <w:pPr>
        <w:spacing w:line="360" w:lineRule="auto"/>
        <w:jc w:val="center"/>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A modo de ejemplo, al seleccionar uno de ellos como el Estado Analítico de ingresos detallado, muestra el formato titulado </w:t>
      </w:r>
      <w:r w:rsidRPr="007E1ECF">
        <w:rPr>
          <w:rFonts w:ascii="Palatino Linotype" w:eastAsia="Palatino Linotype" w:hAnsi="Palatino Linotype" w:cs="Palatino Linotype"/>
          <w:b/>
          <w:color w:val="000000" w:themeColor="text1"/>
        </w:rPr>
        <w:t>“Cuenta Pública 2024, Estado Analítico de Ingresos Detallado - LDF Del 1 de Enero al 31 de diciembre de 2024”</w:t>
      </w:r>
      <w:r w:rsidRPr="007E1ECF">
        <w:rPr>
          <w:rFonts w:ascii="Palatino Linotype" w:eastAsia="Palatino Linotype" w:hAnsi="Palatino Linotype" w:cs="Palatino Linotype"/>
          <w:color w:val="000000" w:themeColor="text1"/>
        </w:rPr>
        <w:t>, mismo que contiene información de acuerdo a la clasificación de los ingresos a partir de la desagregación de Ingresos de Libre Disposición, Transferencias Federales Etiquetadas e Ingresos Derivados de Financiamientos, tal como se muestra en la imagen siguiente:</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Default="001D7851" w:rsidP="007654B7">
      <w:pPr>
        <w:spacing w:line="360" w:lineRule="auto"/>
        <w:jc w:val="center"/>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noProof/>
          <w:color w:val="000000" w:themeColor="text1"/>
          <w:lang w:val="es-MX"/>
        </w:rPr>
        <w:lastRenderedPageBreak/>
        <w:drawing>
          <wp:inline distT="0" distB="0" distL="0" distR="0">
            <wp:extent cx="4857819" cy="30738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857819" cy="3073850"/>
                    </a:xfrm>
                    <a:prstGeom prst="rect">
                      <a:avLst/>
                    </a:prstGeom>
                    <a:ln/>
                  </pic:spPr>
                </pic:pic>
              </a:graphicData>
            </a:graphic>
          </wp:inline>
        </w:drawing>
      </w:r>
    </w:p>
    <w:p w:rsidR="00DB73F7" w:rsidRPr="007E1ECF" w:rsidRDefault="00DB73F7" w:rsidP="007654B7">
      <w:pPr>
        <w:spacing w:line="360" w:lineRule="auto"/>
        <w:jc w:val="center"/>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O al seleccionar el </w:t>
      </w:r>
      <w:r w:rsidRPr="007E1ECF">
        <w:rPr>
          <w:rFonts w:ascii="Palatino Linotype" w:eastAsia="Palatino Linotype" w:hAnsi="Palatino Linotype" w:cs="Palatino Linotype"/>
          <w:b/>
          <w:color w:val="000000" w:themeColor="text1"/>
        </w:rPr>
        <w:t>Estado Analítico del Ejercicio del Presupuesto de Egresos Detallado</w:t>
      </w:r>
      <w:r w:rsidRPr="007E1ECF">
        <w:rPr>
          <w:rFonts w:ascii="Palatino Linotype" w:eastAsia="Palatino Linotype" w:hAnsi="Palatino Linotype" w:cs="Palatino Linotype"/>
          <w:color w:val="000000" w:themeColor="text1"/>
        </w:rPr>
        <w:t xml:space="preserve"> por Objeto de Gasto, muestra el formato del mismo nombre con información del 1 de enero al 31 de diciembre de 2024, mismo que contiene diversa información sobre el seguimiento del ejercicio de los egresos presupuestarios, bajo una clasificación de egresos por Capítulo y Concepto, tal como se muestra en la imagen siguiente:</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noProof/>
          <w:color w:val="000000" w:themeColor="text1"/>
          <w:lang w:val="es-MX"/>
        </w:rPr>
        <w:drawing>
          <wp:inline distT="0" distB="0" distL="0" distR="0">
            <wp:extent cx="5756275" cy="187198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756275" cy="1871980"/>
                    </a:xfrm>
                    <a:prstGeom prst="rect">
                      <a:avLst/>
                    </a:prstGeom>
                    <a:ln/>
                  </pic:spPr>
                </pic:pic>
              </a:graphicData>
            </a:graphic>
          </wp:inline>
        </w:drawing>
      </w: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 xml:space="preserve">En razón de lo expuesto y como ya quedó plasmado en líneas anteriores, los </w:t>
      </w:r>
      <w:r w:rsidRPr="007E1ECF">
        <w:rPr>
          <w:rFonts w:ascii="Palatino Linotype" w:eastAsia="Palatino Linotype" w:hAnsi="Palatino Linotype" w:cs="Palatino Linotype"/>
          <w:b/>
          <w:color w:val="000000" w:themeColor="text1"/>
        </w:rPr>
        <w:t>Estados Financieros</w:t>
      </w:r>
      <w:r w:rsidRPr="007E1ECF">
        <w:rPr>
          <w:rFonts w:ascii="Palatino Linotype" w:eastAsia="Palatino Linotype" w:hAnsi="Palatino Linotype" w:cs="Palatino Linotype"/>
          <w:color w:val="000000" w:themeColor="text1"/>
        </w:rPr>
        <w:t xml:space="preserve"> muestran los hechos con incidencia económica-financiera que ha realizado un ente público durante un periodo determinado y son necesarios para mostrar los resultados del ejercicio presupuestal, así como la situación patrimonial de los mismos, todo ello con la estructura, oportunidad y periodicidad que la ley establece. </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 xml:space="preserve">El objetivo general de los </w:t>
      </w:r>
      <w:r w:rsidRPr="007E1ECF">
        <w:rPr>
          <w:rFonts w:ascii="Palatino Linotype" w:eastAsia="Palatino Linotype" w:hAnsi="Palatino Linotype" w:cs="Palatino Linotype"/>
          <w:b/>
          <w:color w:val="000000" w:themeColor="text1"/>
        </w:rPr>
        <w:t>estados financieros</w:t>
      </w:r>
      <w:r w:rsidRPr="007E1ECF">
        <w:rPr>
          <w:rFonts w:ascii="Palatino Linotype" w:eastAsia="Palatino Linotype" w:hAnsi="Palatino Linotype" w:cs="Palatino Linotype"/>
          <w:color w:val="000000" w:themeColor="text1"/>
        </w:rPr>
        <w:t xml:space="preserve">, </w:t>
      </w:r>
      <w:r w:rsidRPr="007E1ECF">
        <w:rPr>
          <w:rFonts w:ascii="Palatino Linotype" w:eastAsia="Palatino Linotype" w:hAnsi="Palatino Linotype" w:cs="Palatino Linotype"/>
          <w:color w:val="000000" w:themeColor="text1"/>
          <w:u w:val="single"/>
        </w:rPr>
        <w:t>es proporcionar información sobre la situación financiera, los resultados de la gestión, los flujos de efectivo y el ejercicio de la Ley de Ingresos y del Presupuesto de Egresos, así como de la postura fiscal de los entes públicos</w:t>
      </w:r>
      <w:r w:rsidRPr="007E1ECF">
        <w:rPr>
          <w:rFonts w:ascii="Palatino Linotype" w:eastAsia="Palatino Linotype" w:hAnsi="Palatino Linotype" w:cs="Palatino Linotype"/>
          <w:color w:val="000000" w:themeColor="text1"/>
        </w:rPr>
        <w:t>.</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Para lo cual, los entes públicos deberán generar y presentar los siguientes estados e información contable: a) Estado de Situación Financiera b) Estado de Actividades para Entidades con fines no lucrativos c) Estado de Resultados para Entidades con fines lucrativos d) Estado de Variación en la Hacienda Pública e) Estado de Cambios en la Situación Financiera f) Estado de Flujos de Efectivo g) Estado Analítico del Activo h) Estado Analítico de la Deuda y Otros Pasivos i) Informe sobre Pasivos Contingentes j) Notas a los Estados Financieros; en forma periódica y en la cuenta pública.</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Tal información sobre la situación financiera del Sujeto Obligado</w:t>
      </w:r>
      <w:r w:rsidRPr="007E1ECF">
        <w:rPr>
          <w:rFonts w:ascii="Palatino Linotype" w:eastAsia="Palatino Linotype" w:hAnsi="Palatino Linotype" w:cs="Palatino Linotype"/>
          <w:color w:val="000000" w:themeColor="text1"/>
        </w:rPr>
        <w:t xml:space="preserve">, particularmente </w:t>
      </w:r>
      <w:r w:rsidRPr="007E1ECF">
        <w:rPr>
          <w:rFonts w:ascii="Palatino Linotype" w:eastAsia="Palatino Linotype" w:hAnsi="Palatino Linotype" w:cs="Palatino Linotype"/>
          <w:b/>
          <w:color w:val="000000" w:themeColor="text1"/>
        </w:rPr>
        <w:t>sobre ingresos y egresos del ejercicio fiscal 2024</w:t>
      </w:r>
      <w:r w:rsidRPr="007E1ECF">
        <w:rPr>
          <w:rFonts w:ascii="Palatino Linotype" w:eastAsia="Palatino Linotype" w:hAnsi="Palatino Linotype" w:cs="Palatino Linotype"/>
          <w:color w:val="000000" w:themeColor="text1"/>
        </w:rPr>
        <w:t>, al máximo detalle establecido en la norma, ya se encuentran publicados en su página web, tal como se manifestó en respuesta e informe justificado.</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lastRenderedPageBreak/>
        <w:t>Es así como se vuelve necesario recordar lo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 conformidad a lo establecido en el artículo 12 de la Ley de Transparencia Local.</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En este sentido se reitera que el Sujeto Obligado cumplió con la obligación señalada en el artículo 161 de la Ley en la materia local, mismo que señala que, cuando la información requerida por el solicitante ya esté disponible al público en formatos electrónicos disponibles en Internet, se le hará saber la fuente, el lugar y la forma en que puede consultar, reproducir o adquirir dicha información. La fuente deberá ser precisa y concreta y no debe implicar que el solicitante realice una búsqueda en toda la información que se encuentre disponible, circunstancia que aconteció en el presente caso.</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D2426D" w:rsidRPr="007E1ECF" w:rsidRDefault="00D2426D" w:rsidP="007654B7">
      <w:pPr>
        <w:spacing w:line="360" w:lineRule="auto"/>
        <w:jc w:val="both"/>
        <w:rPr>
          <w:rFonts w:ascii="Palatino Linotype" w:eastAsia="Palatino Linotype" w:hAnsi="Palatino Linotype" w:cs="Palatino Linotype"/>
          <w:b/>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lastRenderedPageBreak/>
        <w:t xml:space="preserve">Como apoyo a lo anterior, es aplicable el Criterio orientador 03-17, emitido por el Instituto Nacional de Transparencia, Acceso a la Información y Protección de Datos Personales, que dice: </w:t>
      </w:r>
    </w:p>
    <w:p w:rsidR="00D2426D" w:rsidRPr="007E1ECF" w:rsidRDefault="001D7851" w:rsidP="007654B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E1ECF">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2426D" w:rsidRPr="007E1ECF" w:rsidRDefault="00D2426D" w:rsidP="007654B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D2426D" w:rsidRPr="007E1ECF" w:rsidRDefault="001D7851" w:rsidP="007654B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i/>
          <w:color w:val="000000" w:themeColor="text1"/>
        </w:rPr>
        <w:t xml:space="preserve">Resoluciones: </w:t>
      </w:r>
    </w:p>
    <w:p w:rsidR="00D2426D" w:rsidRPr="007E1ECF" w:rsidRDefault="001D7851" w:rsidP="007654B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E1ECF">
        <w:rPr>
          <w:rFonts w:ascii="Palatino Linotype" w:eastAsia="Symbol" w:hAnsi="Palatino Linotype" w:cs="Symbol"/>
          <w:i/>
          <w:color w:val="000000" w:themeColor="text1"/>
        </w:rPr>
        <w:t>∙</w:t>
      </w:r>
      <w:r w:rsidRPr="007E1ECF">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D2426D" w:rsidRPr="007E1ECF" w:rsidRDefault="001D7851" w:rsidP="007654B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E1ECF">
        <w:rPr>
          <w:rFonts w:ascii="Palatino Linotype" w:eastAsia="Symbol" w:hAnsi="Palatino Linotype" w:cs="Symbol"/>
          <w:i/>
          <w:color w:val="000000" w:themeColor="text1"/>
        </w:rPr>
        <w:t>∙</w:t>
      </w:r>
      <w:r w:rsidRPr="007E1ECF">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D2426D" w:rsidRPr="007E1ECF" w:rsidRDefault="001D7851" w:rsidP="007654B7">
      <w:pPr>
        <w:tabs>
          <w:tab w:val="left" w:pos="709"/>
          <w:tab w:val="left" w:pos="1985"/>
        </w:tabs>
        <w:jc w:val="both"/>
        <w:rPr>
          <w:rFonts w:ascii="Palatino Linotype" w:eastAsia="Palatino Linotype" w:hAnsi="Palatino Linotype" w:cs="Palatino Linotype"/>
          <w:color w:val="000000" w:themeColor="text1"/>
        </w:rPr>
      </w:pPr>
      <w:r w:rsidRPr="007E1ECF">
        <w:rPr>
          <w:rFonts w:ascii="Palatino Linotype" w:eastAsia="Symbol" w:hAnsi="Palatino Linotype" w:cs="Symbol"/>
          <w:i/>
          <w:color w:val="000000" w:themeColor="text1"/>
        </w:rPr>
        <w:t>∙</w:t>
      </w:r>
      <w:r w:rsidRPr="007E1ECF">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D2426D" w:rsidRPr="007E1ECF" w:rsidRDefault="00D2426D" w:rsidP="007654B7">
      <w:pPr>
        <w:spacing w:line="360" w:lineRule="auto"/>
        <w:jc w:val="both"/>
        <w:rPr>
          <w:rFonts w:ascii="Palatino Linotype" w:eastAsia="Palatino Linotype" w:hAnsi="Palatino Linotype" w:cs="Palatino Linotype"/>
          <w:b/>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color w:val="000000" w:themeColor="text1"/>
        </w:rPr>
        <w:t xml:space="preserve">Por todo lo anterior, y en razón que tales estados de información contable se encuentran publicados en la página web del Sujeto Obligado, tal como lo señaló en respuesta primigenia y ratificó en informe justificado, agregando información novedosa al </w:t>
      </w:r>
      <w:r w:rsidRPr="007E1ECF">
        <w:rPr>
          <w:rFonts w:ascii="Palatino Linotype" w:eastAsia="Palatino Linotype" w:hAnsi="Palatino Linotype" w:cs="Palatino Linotype"/>
          <w:color w:val="000000" w:themeColor="text1"/>
        </w:rPr>
        <w:lastRenderedPageBreak/>
        <w:t xml:space="preserve">describir los pasos para visualizar dicha documentación, </w:t>
      </w:r>
      <w:r w:rsidRPr="007E1ECF">
        <w:rPr>
          <w:rFonts w:ascii="Palatino Linotype" w:eastAsia="Palatino Linotype" w:hAnsi="Palatino Linotype" w:cs="Palatino Linotype"/>
          <w:b/>
          <w:color w:val="000000" w:themeColor="text1"/>
        </w:rPr>
        <w:t>el Sujeto obligado da atención total al requerimiento realizado por el particular.</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 xml:space="preserve">Luego entonces, al haberse modificado la respuesta inicial, resulta necesario invocar la fracción III del artículo 192, de la </w:t>
      </w:r>
      <w:r w:rsidRPr="007E1ECF">
        <w:rPr>
          <w:rFonts w:ascii="Palatino Linotype" w:eastAsia="Palatino Linotype" w:hAnsi="Palatino Linotype" w:cs="Palatino Linotype"/>
          <w:b/>
          <w:color w:val="000000" w:themeColor="text1"/>
        </w:rPr>
        <w:t>Ley de Transparencia y Acceso a la Información Pública del Estado de México y Municipios</w:t>
      </w:r>
      <w:r w:rsidRPr="007E1ECF">
        <w:rPr>
          <w:rFonts w:ascii="Palatino Linotype" w:eastAsia="Palatino Linotype" w:hAnsi="Palatino Linotype" w:cs="Palatino Linotype"/>
          <w:color w:val="000000" w:themeColor="text1"/>
        </w:rPr>
        <w:t xml:space="preserve">, por contener la causal de sobreseimiento relativa a que el Sujeto Obligado </w:t>
      </w:r>
      <w:r w:rsidRPr="007E1ECF">
        <w:rPr>
          <w:rFonts w:ascii="Palatino Linotype" w:eastAsia="Palatino Linotype" w:hAnsi="Palatino Linotype" w:cs="Palatino Linotype"/>
          <w:b/>
          <w:color w:val="000000" w:themeColor="text1"/>
          <w:u w:val="single"/>
        </w:rPr>
        <w:t>modifique o revoque el acto</w:t>
      </w:r>
      <w:r w:rsidRPr="007E1ECF">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D2426D" w:rsidRPr="007E1ECF" w:rsidRDefault="001D7851" w:rsidP="007654B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Modifique el acto impugnado:</w:t>
      </w:r>
      <w:r w:rsidRPr="007E1ECF">
        <w:rPr>
          <w:rFonts w:ascii="Palatino Linotype" w:eastAsia="Palatino Linotype" w:hAnsi="Palatino Linotype" w:cs="Palatino Linotype"/>
          <w:color w:val="000000" w:themeColor="text1"/>
        </w:rPr>
        <w:t xml:space="preserve"> Se actualiza cuando 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D2426D" w:rsidRPr="007E1ECF" w:rsidRDefault="001D7851" w:rsidP="007654B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Revoque el acto impugnado:</w:t>
      </w:r>
      <w:r w:rsidRPr="007E1ECF">
        <w:rPr>
          <w:rFonts w:ascii="Palatino Linotype" w:eastAsia="Palatino Linotype" w:hAnsi="Palatino Linotype" w:cs="Palatino Linotype"/>
          <w:color w:val="000000" w:themeColor="text1"/>
        </w:rPr>
        <w:t xml:space="preserve"> En este supuesto, 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D2426D" w:rsidRPr="007E1ECF" w:rsidRDefault="00D2426D" w:rsidP="007654B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lastRenderedPageBreak/>
        <w:t xml:space="preserve">En el presente asunto, este Pleno advierte que el Sujeto Obligado con la información entregada a través del informe de justificado, </w:t>
      </w:r>
      <w:r w:rsidRPr="007E1ECF">
        <w:rPr>
          <w:rFonts w:ascii="Palatino Linotype" w:eastAsia="Palatino Linotype" w:hAnsi="Palatino Linotype" w:cs="Palatino Linotype"/>
          <w:b/>
          <w:color w:val="000000" w:themeColor="text1"/>
        </w:rPr>
        <w:t>modifica</w:t>
      </w:r>
      <w:r w:rsidRPr="007E1ECF">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D2426D" w:rsidRPr="007E1ECF" w:rsidRDefault="00D2426D" w:rsidP="007654B7">
      <w:pPr>
        <w:spacing w:line="360" w:lineRule="auto"/>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De este modo, cuando el Sujeto Obligado</w:t>
      </w:r>
      <w:r w:rsidRPr="007E1ECF">
        <w:rPr>
          <w:rFonts w:ascii="Palatino Linotype" w:eastAsia="Palatino Linotype" w:hAnsi="Palatino Linotype" w:cs="Palatino Linotype"/>
          <w:b/>
          <w:color w:val="000000" w:themeColor="text1"/>
        </w:rPr>
        <w:t xml:space="preserve">, </w:t>
      </w:r>
      <w:r w:rsidRPr="007E1ECF">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D2426D" w:rsidRPr="007E1ECF" w:rsidRDefault="00D2426D" w:rsidP="007654B7">
      <w:pPr>
        <w:spacing w:line="360" w:lineRule="auto"/>
        <w:rPr>
          <w:rFonts w:ascii="Palatino Linotype" w:eastAsia="Palatino Linotype" w:hAnsi="Palatino Linotype" w:cs="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hAnsi="Palatino Linotype"/>
          <w:color w:val="000000" w:themeColor="text1"/>
        </w:rPr>
      </w:pPr>
      <w:r w:rsidRPr="007E1ECF">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D2426D" w:rsidRPr="007E1ECF" w:rsidRDefault="001D7851" w:rsidP="007654B7">
      <w:pPr>
        <w:jc w:val="both"/>
        <w:rPr>
          <w:rFonts w:ascii="Palatino Linotype" w:eastAsia="Palatino Linotype" w:hAnsi="Palatino Linotype" w:cs="Palatino Linotype"/>
          <w:i/>
          <w:color w:val="000000" w:themeColor="text1"/>
        </w:rPr>
      </w:pPr>
      <w:r w:rsidRPr="007E1ECF">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E1ECF">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w:t>
      </w:r>
      <w:r w:rsidRPr="007E1ECF">
        <w:rPr>
          <w:rFonts w:ascii="Palatino Linotype" w:eastAsia="Palatino Linotype" w:hAnsi="Palatino Linotype" w:cs="Palatino Linotype"/>
          <w:i/>
          <w:color w:val="000000" w:themeColor="text1"/>
        </w:rPr>
        <w:lastRenderedPageBreak/>
        <w:t>Unidos Mexicanos, y por otra, que respecto del contenido de dicha contestación, el quejoso puede ampliar su demanda inicial, promover otro juicio de amparo o el medio ordinario de defensa que proceda, toda vez que se trata de un nuevo acto.</w:t>
      </w:r>
    </w:p>
    <w:p w:rsidR="00D2426D" w:rsidRPr="007E1ECF" w:rsidRDefault="00D2426D" w:rsidP="007654B7">
      <w:pPr>
        <w:spacing w:line="360" w:lineRule="auto"/>
        <w:jc w:val="both"/>
        <w:rPr>
          <w:rFonts w:ascii="Palatino Linotype" w:eastAsia="Palatino Linotype" w:hAnsi="Palatino Linotype" w:cs="Palatino Linotype"/>
          <w:i/>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La anterior jurisprudencia resulta aplicable al presente asunto, en dos aspectos:</w:t>
      </w:r>
    </w:p>
    <w:p w:rsidR="00D2426D" w:rsidRPr="007E1ECF" w:rsidRDefault="001D7851" w:rsidP="007654B7">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La cesación de los efectos perniciosos del acto de autoridad:</w:t>
      </w:r>
      <w:r w:rsidRPr="007E1ECF">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xml:space="preserve"> de </w:t>
      </w:r>
      <w:r w:rsidRPr="007E1ECF">
        <w:rPr>
          <w:rFonts w:ascii="Palatino Linotype" w:eastAsia="Palatino Linotype" w:hAnsi="Palatino Linotype" w:cs="Palatino Linotype"/>
          <w:i/>
          <w:color w:val="000000" w:themeColor="text1"/>
        </w:rPr>
        <w:t>motu proprio</w:t>
      </w:r>
      <w:r w:rsidRPr="007E1ECF">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D2426D" w:rsidRPr="007E1ECF" w:rsidRDefault="001D7851" w:rsidP="007654B7">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El momento procesal para modificar el acto impugnado:</w:t>
      </w:r>
      <w:r w:rsidRPr="007E1ECF">
        <w:rPr>
          <w:rFonts w:ascii="Palatino Linotype" w:eastAsia="Palatino Linotype" w:hAnsi="Palatino Linotype" w:cs="Palatino Linotype"/>
          <w:color w:val="000000" w:themeColor="text1"/>
        </w:rPr>
        <w:t xml:space="preserve"> Para que se actualice el sobreseimiento de un recurso de revisión, 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7E1ECF">
        <w:rPr>
          <w:rFonts w:ascii="Palatino Linotype" w:eastAsia="Palatino Linotype" w:hAnsi="Palatino Linotype" w:cs="Palatino Linotype"/>
          <w:b/>
          <w:color w:val="000000" w:themeColor="text1"/>
          <w:u w:val="single"/>
        </w:rPr>
        <w:t>posteriormente</w:t>
      </w:r>
      <w:r w:rsidRPr="007E1ECF">
        <w:rPr>
          <w:rFonts w:ascii="Palatino Linotype" w:eastAsia="Palatino Linotype" w:hAnsi="Palatino Linotype" w:cs="Palatino Linotype"/>
          <w:color w:val="000000" w:themeColor="text1"/>
        </w:rPr>
        <w:t xml:space="preserve"> a éste, siempre y cuando el Pleno del Instituto no haya dictado resolución definitiva.</w:t>
      </w:r>
    </w:p>
    <w:p w:rsidR="00D2426D" w:rsidRPr="007E1ECF" w:rsidRDefault="00D2426D" w:rsidP="007654B7">
      <w:pPr>
        <w:spacing w:line="360" w:lineRule="auto"/>
        <w:jc w:val="both"/>
        <w:rPr>
          <w:rFonts w:ascii="Palatino Linotype" w:hAnsi="Palatino Linotype"/>
          <w:color w:val="000000" w:themeColor="text1"/>
        </w:rPr>
      </w:pPr>
    </w:p>
    <w:p w:rsidR="00D2426D" w:rsidRPr="007E1ECF" w:rsidRDefault="001D7851" w:rsidP="00765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color w:val="000000" w:themeColor="text1"/>
        </w:rPr>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D2426D" w:rsidRPr="007E1ECF" w:rsidRDefault="00D2426D" w:rsidP="007654B7">
      <w:pPr>
        <w:rPr>
          <w:rFonts w:ascii="Palatino Linotype" w:eastAsia="Palatino Linotype" w:hAnsi="Palatino Linotype" w:cs="Palatino Linotype"/>
          <w:color w:val="000000" w:themeColor="text1"/>
        </w:rPr>
      </w:pPr>
    </w:p>
    <w:p w:rsidR="00D2426D" w:rsidRPr="007E1ECF" w:rsidRDefault="001D7851" w:rsidP="007654B7">
      <w:pPr>
        <w:spacing w:line="360" w:lineRule="auto"/>
        <w:jc w:val="center"/>
        <w:rPr>
          <w:rFonts w:ascii="Palatino Linotype" w:eastAsia="Palatino Linotype" w:hAnsi="Palatino Linotype" w:cs="Palatino Linotype"/>
          <w:b/>
          <w:color w:val="000000" w:themeColor="text1"/>
        </w:rPr>
      </w:pPr>
      <w:r w:rsidRPr="007E1ECF">
        <w:rPr>
          <w:rFonts w:ascii="Palatino Linotype" w:eastAsia="Palatino Linotype" w:hAnsi="Palatino Linotype" w:cs="Palatino Linotype"/>
          <w:b/>
          <w:color w:val="000000" w:themeColor="text1"/>
        </w:rPr>
        <w:t>R E S U E L V E</w:t>
      </w:r>
    </w:p>
    <w:p w:rsidR="00D2426D" w:rsidRPr="007E1ECF" w:rsidRDefault="00D2426D" w:rsidP="007654B7">
      <w:pPr>
        <w:spacing w:line="360" w:lineRule="auto"/>
        <w:jc w:val="center"/>
        <w:rPr>
          <w:rFonts w:ascii="Palatino Linotype" w:eastAsia="Palatino Linotype" w:hAnsi="Palatino Linotype" w:cs="Palatino Linotype"/>
          <w:b/>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PRIMERO</w:t>
      </w:r>
      <w:r w:rsidRPr="007E1ECF">
        <w:rPr>
          <w:rFonts w:ascii="Palatino Linotype" w:eastAsia="Palatino Linotype" w:hAnsi="Palatino Linotype" w:cs="Palatino Linotype"/>
          <w:color w:val="000000" w:themeColor="text1"/>
        </w:rPr>
        <w:t xml:space="preserve">. Se </w:t>
      </w:r>
      <w:r w:rsidRPr="007E1ECF">
        <w:rPr>
          <w:rFonts w:ascii="Palatino Linotype" w:eastAsia="Palatino Linotype" w:hAnsi="Palatino Linotype" w:cs="Palatino Linotype"/>
          <w:b/>
          <w:color w:val="000000" w:themeColor="text1"/>
        </w:rPr>
        <w:t>SOBRESEE</w:t>
      </w:r>
      <w:r w:rsidRPr="007E1ECF">
        <w:rPr>
          <w:rFonts w:ascii="Palatino Linotype" w:eastAsia="Palatino Linotype" w:hAnsi="Palatino Linotype" w:cs="Palatino Linotype"/>
          <w:color w:val="000000" w:themeColor="text1"/>
        </w:rPr>
        <w:t xml:space="preserve"> el Recurso de Revisión número </w:t>
      </w:r>
      <w:r w:rsidRPr="007E1ECF">
        <w:rPr>
          <w:rFonts w:ascii="Palatino Linotype" w:eastAsia="Palatino Linotype" w:hAnsi="Palatino Linotype" w:cs="Palatino Linotype"/>
          <w:b/>
          <w:color w:val="000000" w:themeColor="text1"/>
        </w:rPr>
        <w:t>04053/INFOEM/IP/RR/2025</w:t>
      </w:r>
      <w:r w:rsidRPr="007E1ECF">
        <w:rPr>
          <w:rFonts w:ascii="Palatino Linotype" w:eastAsia="Palatino Linotype" w:hAnsi="Palatino Linotype" w:cs="Palatino Linotype"/>
          <w:color w:val="000000" w:themeColor="text1"/>
        </w:rPr>
        <w:t xml:space="preserve">, conforme al artículo 192, fracción III, de la Ley de la Materia, porque al modificar la </w:t>
      </w:r>
      <w:r w:rsidRPr="007E1ECF">
        <w:rPr>
          <w:rFonts w:ascii="Palatino Linotype" w:eastAsia="Palatino Linotype" w:hAnsi="Palatino Linotype" w:cs="Palatino Linotype"/>
          <w:color w:val="000000" w:themeColor="text1"/>
        </w:rPr>
        <w:lastRenderedPageBreak/>
        <w:t xml:space="preserve">respuesta, el Recurso de Revisión quedó sin materia en términos del  </w:t>
      </w:r>
      <w:r w:rsidRPr="007E1ECF">
        <w:rPr>
          <w:rFonts w:ascii="Palatino Linotype" w:eastAsia="Palatino Linotype" w:hAnsi="Palatino Linotype" w:cs="Palatino Linotype"/>
          <w:b/>
          <w:color w:val="000000" w:themeColor="text1"/>
        </w:rPr>
        <w:t>Considerando Cuarto</w:t>
      </w:r>
      <w:r w:rsidRPr="007E1ECF">
        <w:rPr>
          <w:rFonts w:ascii="Palatino Linotype" w:eastAsia="Palatino Linotype" w:hAnsi="Palatino Linotype" w:cs="Palatino Linotype"/>
          <w:color w:val="000000" w:themeColor="text1"/>
        </w:rPr>
        <w:t xml:space="preserve"> de la presente resolución.</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r w:rsidRPr="007E1ECF">
        <w:rPr>
          <w:rFonts w:ascii="Palatino Linotype" w:eastAsia="Palatino Linotype" w:hAnsi="Palatino Linotype" w:cs="Palatino Linotype"/>
          <w:b/>
          <w:color w:val="000000" w:themeColor="text1"/>
        </w:rPr>
        <w:t>SEGUNDO. Notifíquese</w:t>
      </w:r>
      <w:r w:rsidRPr="007E1ECF">
        <w:rPr>
          <w:rFonts w:ascii="Palatino Linotype" w:eastAsia="Palatino Linotype" w:hAnsi="Palatino Linotype" w:cs="Palatino Linotype"/>
          <w:color w:val="000000" w:themeColor="text1"/>
        </w:rPr>
        <w:t xml:space="preserve"> al Titular de la Unidad de Transparencia del </w:t>
      </w:r>
      <w:r w:rsidRPr="007E1ECF">
        <w:rPr>
          <w:rFonts w:ascii="Palatino Linotype" w:eastAsia="Palatino Linotype" w:hAnsi="Palatino Linotype" w:cs="Palatino Linotype"/>
          <w:b/>
          <w:color w:val="000000" w:themeColor="text1"/>
        </w:rPr>
        <w:t>SUJETO OBLIGADO</w:t>
      </w:r>
      <w:r w:rsidRPr="007E1ECF">
        <w:rPr>
          <w:rFonts w:ascii="Palatino Linotype" w:eastAsia="Palatino Linotype" w:hAnsi="Palatino Linotype" w:cs="Palatino Linotype"/>
          <w:color w:val="000000" w:themeColor="text1"/>
        </w:rPr>
        <w:t xml:space="preserve"> vía SAIMEX, para su conocimiento.</w:t>
      </w:r>
    </w:p>
    <w:p w:rsidR="00D2426D" w:rsidRPr="007E1ECF" w:rsidRDefault="00D2426D" w:rsidP="007654B7">
      <w:pPr>
        <w:spacing w:line="360" w:lineRule="auto"/>
        <w:jc w:val="both"/>
        <w:rPr>
          <w:rFonts w:ascii="Palatino Linotype" w:eastAsia="Palatino Linotype" w:hAnsi="Palatino Linotype" w:cs="Palatino Linotype"/>
          <w:color w:val="000000" w:themeColor="text1"/>
        </w:rPr>
      </w:pPr>
    </w:p>
    <w:p w:rsidR="00D2426D" w:rsidRPr="007E1ECF" w:rsidRDefault="001D7851" w:rsidP="007654B7">
      <w:pPr>
        <w:spacing w:line="360" w:lineRule="auto"/>
        <w:jc w:val="both"/>
        <w:rPr>
          <w:rFonts w:ascii="Palatino Linotype" w:eastAsia="Palatino Linotype" w:hAnsi="Palatino Linotype" w:cs="Palatino Linotype"/>
          <w:color w:val="000000" w:themeColor="text1"/>
        </w:rPr>
      </w:pPr>
      <w:bookmarkStart w:id="7" w:name="_heading=h.xqeync8mwh44" w:colFirst="0" w:colLast="0"/>
      <w:bookmarkEnd w:id="7"/>
      <w:r w:rsidRPr="007E1ECF">
        <w:rPr>
          <w:rFonts w:ascii="Palatino Linotype" w:eastAsia="Palatino Linotype" w:hAnsi="Palatino Linotype" w:cs="Palatino Linotype"/>
          <w:b/>
          <w:color w:val="000000" w:themeColor="text1"/>
        </w:rPr>
        <w:t>TERCERO. NOTIFÍQUESE</w:t>
      </w:r>
      <w:r w:rsidRPr="007E1ECF">
        <w:rPr>
          <w:rFonts w:ascii="Palatino Linotype" w:eastAsia="Palatino Linotype" w:hAnsi="Palatino Linotype" w:cs="Palatino Linotype"/>
          <w:color w:val="000000" w:themeColor="text1"/>
        </w:rPr>
        <w:t xml:space="preserve"> la presente resolución a la parte </w:t>
      </w:r>
      <w:r w:rsidRPr="007E1ECF">
        <w:rPr>
          <w:rFonts w:ascii="Palatino Linotype" w:eastAsia="Palatino Linotype" w:hAnsi="Palatino Linotype" w:cs="Palatino Linotype"/>
          <w:b/>
          <w:color w:val="000000" w:themeColor="text1"/>
        </w:rPr>
        <w:t>Recurrente</w:t>
      </w:r>
      <w:r w:rsidRPr="007E1ECF">
        <w:rPr>
          <w:rFonts w:ascii="Palatino Linotype" w:eastAsia="Palatino Linotype" w:hAnsi="Palatino Linotype" w:cs="Palatino Linotype"/>
          <w:color w:val="000000" w:themeColor="text1"/>
        </w:rPr>
        <w:t xml:space="preserve"> a través del Sistema de Acceso a la Información Mexiquense </w:t>
      </w:r>
      <w:r w:rsidRPr="007E1ECF">
        <w:rPr>
          <w:rFonts w:ascii="Palatino Linotype" w:eastAsia="Palatino Linotype" w:hAnsi="Palatino Linotype" w:cs="Palatino Linotype"/>
          <w:b/>
          <w:color w:val="000000" w:themeColor="text1"/>
        </w:rPr>
        <w:t>(SAIMEX)</w:t>
      </w:r>
      <w:r w:rsidRPr="007E1ECF">
        <w:rPr>
          <w:rFonts w:ascii="Palatino Linotype" w:eastAsia="Palatino Linotype" w:hAnsi="Palatino Linotype" w:cs="Palatino Linotype"/>
          <w:color w:val="000000" w:themeColor="text1"/>
        </w:rPr>
        <w:t>.</w:t>
      </w:r>
    </w:p>
    <w:p w:rsidR="007654B7" w:rsidRPr="007E1ECF" w:rsidRDefault="007654B7" w:rsidP="007654B7">
      <w:pPr>
        <w:spacing w:line="360" w:lineRule="auto"/>
        <w:jc w:val="both"/>
        <w:rPr>
          <w:rFonts w:ascii="Palatino Linotype" w:eastAsia="Palatino Linotype" w:hAnsi="Palatino Linotype" w:cs="Palatino Linotype"/>
          <w:color w:val="000000" w:themeColor="text1"/>
        </w:rPr>
      </w:pPr>
    </w:p>
    <w:p w:rsidR="007654B7" w:rsidRPr="007E1ECF" w:rsidRDefault="007654B7" w:rsidP="007654B7">
      <w:pPr>
        <w:tabs>
          <w:tab w:val="left" w:pos="8080"/>
        </w:tabs>
        <w:spacing w:line="360" w:lineRule="auto"/>
        <w:jc w:val="both"/>
        <w:rPr>
          <w:rFonts w:ascii="Palatino Linotype" w:hAnsi="Palatino Linotype"/>
          <w:b/>
          <w:lang w:eastAsia="en-US"/>
        </w:rPr>
      </w:pPr>
      <w:r w:rsidRPr="007E1ECF">
        <w:rPr>
          <w:rFonts w:ascii="Palatino Linotype" w:hAnsi="Palatino Linotype"/>
          <w:b/>
          <w:lang w:eastAsia="en-US"/>
        </w:rPr>
        <w:t xml:space="preserve">CUARTO. </w:t>
      </w:r>
      <w:r w:rsidRPr="007E1ECF">
        <w:rPr>
          <w:rFonts w:ascii="Palatino Linotype" w:hAnsi="Palatino Linotype"/>
          <w:lang w:eastAsia="en-US"/>
        </w:rPr>
        <w:t>Se hace del conocimiento del</w:t>
      </w:r>
      <w:r w:rsidRPr="007E1ECF">
        <w:rPr>
          <w:rFonts w:ascii="Palatino Linotype" w:hAnsi="Palatino Linotype"/>
          <w:b/>
          <w:lang w:eastAsia="en-US"/>
        </w:rPr>
        <w:t xml:space="preserve"> RECURRENTE </w:t>
      </w:r>
      <w:r w:rsidRPr="007E1ECF">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654B7" w:rsidRPr="007E1ECF" w:rsidRDefault="007654B7" w:rsidP="007654B7">
      <w:pPr>
        <w:spacing w:line="360" w:lineRule="auto"/>
        <w:jc w:val="both"/>
        <w:rPr>
          <w:rFonts w:ascii="Palatino Linotype" w:eastAsia="Palatino Linotype" w:hAnsi="Palatino Linotype" w:cs="Palatino Linotype"/>
          <w:color w:val="000000" w:themeColor="text1"/>
        </w:rPr>
      </w:pPr>
    </w:p>
    <w:p w:rsidR="007654B7" w:rsidRPr="00444783" w:rsidRDefault="007E1ECF" w:rsidP="007654B7">
      <w:pPr>
        <w:spacing w:line="360" w:lineRule="auto"/>
        <w:ind w:right="49"/>
        <w:jc w:val="both"/>
        <w:rPr>
          <w:rFonts w:ascii="Palatino Linotype" w:eastAsia="Palatino Linotype" w:hAnsi="Palatino Linotype" w:cs="Palatino Linotype"/>
        </w:rPr>
      </w:pPr>
      <w:r w:rsidRPr="007E1EC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7654B7" w:rsidRPr="007E1ECF">
        <w:rPr>
          <w:rFonts w:ascii="Palatino Linotype" w:eastAsia="Palatino Linotype" w:hAnsi="Palatino Linotype" w:cs="Palatino Linotype"/>
        </w:rPr>
        <w:t>.</w:t>
      </w:r>
    </w:p>
    <w:p w:rsidR="00D2426D" w:rsidRPr="007654B7" w:rsidRDefault="001D7851" w:rsidP="007654B7">
      <w:pPr>
        <w:rPr>
          <w:rFonts w:ascii="Palatino Linotype" w:eastAsia="Palatino Linotype" w:hAnsi="Palatino Linotype" w:cs="Palatino Linotype"/>
          <w:color w:val="000000" w:themeColor="text1"/>
        </w:rPr>
      </w:pPr>
      <w:r w:rsidRPr="007654B7">
        <w:rPr>
          <w:rFonts w:ascii="Palatino Linotype" w:hAnsi="Palatino Linotype"/>
          <w:color w:val="000000" w:themeColor="text1"/>
        </w:rPr>
        <w:br w:type="page"/>
      </w:r>
    </w:p>
    <w:p w:rsidR="00D2426D" w:rsidRPr="007654B7" w:rsidRDefault="00D2426D" w:rsidP="007654B7">
      <w:pPr>
        <w:spacing w:before="240" w:after="240" w:line="360" w:lineRule="auto"/>
        <w:jc w:val="both"/>
        <w:rPr>
          <w:rFonts w:ascii="Palatino Linotype" w:eastAsia="Palatino Linotype" w:hAnsi="Palatino Linotype" w:cs="Palatino Linotype"/>
          <w:color w:val="000000" w:themeColor="text1"/>
        </w:rPr>
      </w:pPr>
    </w:p>
    <w:p w:rsidR="00D2426D" w:rsidRPr="007654B7" w:rsidRDefault="00D2426D" w:rsidP="007654B7">
      <w:pPr>
        <w:rPr>
          <w:rFonts w:ascii="Palatino Linotype" w:eastAsia="Palatino Linotype" w:hAnsi="Palatino Linotype" w:cs="Palatino Linotype"/>
          <w:color w:val="000000" w:themeColor="text1"/>
        </w:rPr>
      </w:pPr>
    </w:p>
    <w:p w:rsidR="00D2426D" w:rsidRPr="007654B7" w:rsidRDefault="00D2426D" w:rsidP="007654B7">
      <w:pPr>
        <w:spacing w:line="360" w:lineRule="auto"/>
        <w:rPr>
          <w:rFonts w:ascii="Palatino Linotype" w:eastAsia="Palatino Linotype" w:hAnsi="Palatino Linotype" w:cs="Palatino Linotype"/>
          <w:color w:val="000000" w:themeColor="text1"/>
        </w:rPr>
      </w:pPr>
    </w:p>
    <w:p w:rsidR="00D2426D" w:rsidRPr="007654B7" w:rsidRDefault="00D2426D" w:rsidP="007654B7">
      <w:pPr>
        <w:spacing w:line="360" w:lineRule="auto"/>
        <w:rPr>
          <w:rFonts w:ascii="Palatino Linotype" w:eastAsia="Palatino Linotype" w:hAnsi="Palatino Linotype" w:cs="Palatino Linotype"/>
          <w:color w:val="000000" w:themeColor="text1"/>
        </w:rPr>
      </w:pPr>
    </w:p>
    <w:p w:rsidR="00D2426D" w:rsidRPr="007654B7" w:rsidRDefault="00D2426D" w:rsidP="007654B7">
      <w:pPr>
        <w:spacing w:line="360" w:lineRule="auto"/>
        <w:rPr>
          <w:rFonts w:ascii="Palatino Linotype" w:eastAsia="Palatino Linotype" w:hAnsi="Palatino Linotype" w:cs="Palatino Linotype"/>
          <w:color w:val="000000" w:themeColor="text1"/>
        </w:rPr>
      </w:pPr>
    </w:p>
    <w:p w:rsidR="00D2426D" w:rsidRPr="007654B7" w:rsidRDefault="001D7851" w:rsidP="007654B7">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r w:rsidRPr="007654B7">
        <w:rPr>
          <w:rFonts w:ascii="Palatino Linotype" w:eastAsia="Palatino Linotype" w:hAnsi="Palatino Linotype" w:cs="Palatino Linotype"/>
          <w:color w:val="000000" w:themeColor="text1"/>
        </w:rPr>
        <w:tab/>
      </w:r>
    </w:p>
    <w:sectPr w:rsidR="00D2426D" w:rsidRPr="007654B7" w:rsidSect="00DB73F7">
      <w:headerReference w:type="even" r:id="rId20"/>
      <w:headerReference w:type="default" r:id="rId21"/>
      <w:footerReference w:type="default" r:id="rId22"/>
      <w:headerReference w:type="first" r:id="rId23"/>
      <w:footerReference w:type="first" r:id="rId2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433" w:rsidRDefault="00293433">
      <w:r>
        <w:separator/>
      </w:r>
    </w:p>
  </w:endnote>
  <w:endnote w:type="continuationSeparator" w:id="0">
    <w:p w:rsidR="00293433" w:rsidRDefault="0029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26D" w:rsidRDefault="001D785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73F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73F7">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D2426D" w:rsidRDefault="00D2426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26D" w:rsidRDefault="001D785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73F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73F7">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D2426D" w:rsidRDefault="00D2426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433" w:rsidRDefault="00293433">
      <w:r>
        <w:separator/>
      </w:r>
    </w:p>
  </w:footnote>
  <w:footnote w:type="continuationSeparator" w:id="0">
    <w:p w:rsidR="00293433" w:rsidRDefault="00293433">
      <w:r>
        <w:continuationSeparator/>
      </w:r>
    </w:p>
  </w:footnote>
  <w:footnote w:id="1">
    <w:p w:rsidR="00D2426D" w:rsidRDefault="001D785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D2426D" w:rsidRDefault="001D785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D2426D" w:rsidRDefault="001D785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D2426D" w:rsidRDefault="001D7851">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D2426D" w:rsidRDefault="001D7851">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26D" w:rsidRDefault="0029343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6945" w:type="dxa"/>
      <w:tblInd w:w="3544" w:type="dxa"/>
      <w:tblLayout w:type="fixed"/>
      <w:tblLook w:val="0400" w:firstRow="0" w:lastRow="0" w:firstColumn="0" w:lastColumn="0" w:noHBand="0" w:noVBand="1"/>
    </w:tblPr>
    <w:tblGrid>
      <w:gridCol w:w="2693"/>
      <w:gridCol w:w="4252"/>
    </w:tblGrid>
    <w:tr w:rsidR="00D2426D" w:rsidTr="00DB73F7">
      <w:trPr>
        <w:trHeight w:val="227"/>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Recurso de Revisión:</w:t>
          </w:r>
        </w:p>
      </w:tc>
      <w:tc>
        <w:tcPr>
          <w:tcW w:w="4252" w:type="dxa"/>
        </w:tcPr>
        <w:p w:rsidR="00D2426D" w:rsidRPr="007654B7" w:rsidRDefault="001D7851" w:rsidP="007654B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7654B7">
            <w:rPr>
              <w:rFonts w:ascii="Palatino Linotype" w:eastAsia="Palatino Linotype" w:hAnsi="Palatino Linotype" w:cs="Palatino Linotype"/>
              <w:color w:val="000000"/>
            </w:rPr>
            <w:t>04053/INFOEM/IP/RR/2025</w:t>
          </w:r>
        </w:p>
      </w:tc>
    </w:tr>
    <w:tr w:rsidR="00D2426D" w:rsidTr="00DB73F7">
      <w:trPr>
        <w:trHeight w:val="342"/>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Sujeto Obligado:</w:t>
          </w:r>
        </w:p>
      </w:tc>
      <w:tc>
        <w:tcPr>
          <w:tcW w:w="4252" w:type="dxa"/>
        </w:tcPr>
        <w:p w:rsidR="00D2426D" w:rsidRPr="007654B7" w:rsidRDefault="001D7851" w:rsidP="007654B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654B7">
            <w:rPr>
              <w:rFonts w:ascii="Palatino Linotype" w:eastAsia="Palatino Linotype" w:hAnsi="Palatino Linotype" w:cs="Palatino Linotype"/>
              <w:color w:val="000000"/>
            </w:rPr>
            <w:t>Ayuntamiento de Zinacantepec</w:t>
          </w:r>
        </w:p>
      </w:tc>
    </w:tr>
    <w:tr w:rsidR="00D2426D" w:rsidTr="00DB73F7">
      <w:trPr>
        <w:trHeight w:val="342"/>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Comisionada Ponente:</w:t>
          </w:r>
        </w:p>
      </w:tc>
      <w:tc>
        <w:tcPr>
          <w:tcW w:w="4252" w:type="dxa"/>
        </w:tcPr>
        <w:p w:rsidR="00D2426D" w:rsidRPr="007654B7" w:rsidRDefault="001D7851" w:rsidP="007654B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7654B7">
            <w:rPr>
              <w:rFonts w:ascii="Palatino Linotype" w:eastAsia="Palatino Linotype" w:hAnsi="Palatino Linotype" w:cs="Palatino Linotype"/>
              <w:color w:val="000000"/>
            </w:rPr>
            <w:t>María del Rosario Mejía Ayala</w:t>
          </w:r>
        </w:p>
      </w:tc>
    </w:tr>
  </w:tbl>
  <w:p w:rsidR="00D2426D" w:rsidRDefault="0029343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945" w:type="dxa"/>
      <w:tblInd w:w="3544" w:type="dxa"/>
      <w:tblLayout w:type="fixed"/>
      <w:tblLook w:val="0400" w:firstRow="0" w:lastRow="0" w:firstColumn="0" w:lastColumn="0" w:noHBand="0" w:noVBand="1"/>
    </w:tblPr>
    <w:tblGrid>
      <w:gridCol w:w="2693"/>
      <w:gridCol w:w="4252"/>
    </w:tblGrid>
    <w:tr w:rsidR="00D2426D" w:rsidTr="00DB73F7">
      <w:trPr>
        <w:trHeight w:val="227"/>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Recurso de Revisión:</w:t>
          </w:r>
        </w:p>
      </w:tc>
      <w:tc>
        <w:tcPr>
          <w:tcW w:w="4252" w:type="dxa"/>
        </w:tcPr>
        <w:p w:rsidR="00D2426D" w:rsidRPr="007654B7" w:rsidRDefault="001D7851" w:rsidP="007654B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7654B7">
            <w:rPr>
              <w:rFonts w:ascii="Palatino Linotype" w:eastAsia="Palatino Linotype" w:hAnsi="Palatino Linotype" w:cs="Palatino Linotype"/>
              <w:color w:val="000000"/>
            </w:rPr>
            <w:t>04053/INFOEM/IP/RR/2025</w:t>
          </w:r>
        </w:p>
      </w:tc>
    </w:tr>
    <w:tr w:rsidR="00D2426D" w:rsidTr="00DB73F7">
      <w:trPr>
        <w:trHeight w:val="242"/>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Recurrente:</w:t>
          </w:r>
        </w:p>
      </w:tc>
      <w:tc>
        <w:tcPr>
          <w:tcW w:w="4252" w:type="dxa"/>
        </w:tcPr>
        <w:p w:rsidR="00D2426D" w:rsidRPr="007654B7" w:rsidRDefault="00D2426D" w:rsidP="007654B7">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D2426D" w:rsidTr="00DB73F7">
      <w:trPr>
        <w:trHeight w:val="342"/>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Sujeto Obligado:</w:t>
          </w:r>
        </w:p>
      </w:tc>
      <w:tc>
        <w:tcPr>
          <w:tcW w:w="4252" w:type="dxa"/>
        </w:tcPr>
        <w:p w:rsidR="00D2426D" w:rsidRPr="007654B7" w:rsidRDefault="001D7851" w:rsidP="007654B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654B7">
            <w:rPr>
              <w:rFonts w:ascii="Palatino Linotype" w:eastAsia="Palatino Linotype" w:hAnsi="Palatino Linotype" w:cs="Palatino Linotype"/>
              <w:color w:val="000000"/>
            </w:rPr>
            <w:t>Ayuntamiento de Zinacantepec</w:t>
          </w:r>
        </w:p>
      </w:tc>
    </w:tr>
    <w:tr w:rsidR="00D2426D" w:rsidTr="00DB73F7">
      <w:trPr>
        <w:trHeight w:val="342"/>
      </w:trPr>
      <w:tc>
        <w:tcPr>
          <w:tcW w:w="2693" w:type="dxa"/>
        </w:tcPr>
        <w:p w:rsidR="00D2426D" w:rsidRPr="007654B7" w:rsidRDefault="001D7851" w:rsidP="007654B7">
          <w:pPr>
            <w:jc w:val="right"/>
            <w:rPr>
              <w:rFonts w:ascii="Palatino Linotype" w:eastAsia="Palatino Linotype" w:hAnsi="Palatino Linotype" w:cs="Palatino Linotype"/>
              <w:b/>
            </w:rPr>
          </w:pPr>
          <w:r w:rsidRPr="007654B7">
            <w:rPr>
              <w:rFonts w:ascii="Palatino Linotype" w:eastAsia="Palatino Linotype" w:hAnsi="Palatino Linotype" w:cs="Palatino Linotype"/>
              <w:b/>
            </w:rPr>
            <w:t>Comisionada Ponente:</w:t>
          </w:r>
        </w:p>
      </w:tc>
      <w:tc>
        <w:tcPr>
          <w:tcW w:w="4252" w:type="dxa"/>
        </w:tcPr>
        <w:p w:rsidR="00D2426D" w:rsidRPr="007654B7" w:rsidRDefault="001D7851" w:rsidP="007654B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7654B7">
            <w:rPr>
              <w:rFonts w:ascii="Palatino Linotype" w:eastAsia="Palatino Linotype" w:hAnsi="Palatino Linotype" w:cs="Palatino Linotype"/>
              <w:color w:val="000000"/>
            </w:rPr>
            <w:t>María del Rosario Mejía Ayala</w:t>
          </w:r>
        </w:p>
      </w:tc>
    </w:tr>
  </w:tbl>
  <w:p w:rsidR="00D2426D" w:rsidRDefault="0029343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8C6"/>
    <w:multiLevelType w:val="multilevel"/>
    <w:tmpl w:val="7EB2E94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F105D"/>
    <w:multiLevelType w:val="multilevel"/>
    <w:tmpl w:val="E95E5626"/>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2646C0"/>
    <w:multiLevelType w:val="hybridMultilevel"/>
    <w:tmpl w:val="E398D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F6222E"/>
    <w:multiLevelType w:val="multilevel"/>
    <w:tmpl w:val="14381A4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285206A0"/>
    <w:multiLevelType w:val="multilevel"/>
    <w:tmpl w:val="D3B41F9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3C79FB"/>
    <w:multiLevelType w:val="multilevel"/>
    <w:tmpl w:val="CCC6426E"/>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6" w15:restartNumberingAfterBreak="0">
    <w:nsid w:val="625B0D0E"/>
    <w:multiLevelType w:val="multilevel"/>
    <w:tmpl w:val="E7FAE7A0"/>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6F6F322A"/>
    <w:multiLevelType w:val="multilevel"/>
    <w:tmpl w:val="72B4F24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6D"/>
    <w:rsid w:val="001D7851"/>
    <w:rsid w:val="00293433"/>
    <w:rsid w:val="00680744"/>
    <w:rsid w:val="007654B7"/>
    <w:rsid w:val="007E1ECF"/>
    <w:rsid w:val="008E46BF"/>
    <w:rsid w:val="00D2426D"/>
    <w:rsid w:val="00DB7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E4F8505-BD22-49F4-A975-D91506A2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zinacantepec.gob.mx/conac.php" TargetMode="External"/><Relationship Id="rId13" Type="http://schemas.openxmlformats.org/officeDocument/2006/relationships/hyperlink" Target="https://www.zinacantepec.gob.mx/conac.php"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zinacantepec.gob.mx/index.php"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inacantepec.gob.mx/conac.ph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inacantepec.gob.mx/index.php" TargetMode="External"/><Relationship Id="rId23" Type="http://schemas.openxmlformats.org/officeDocument/2006/relationships/header" Target="header3.xml"/><Relationship Id="rId10" Type="http://schemas.openxmlformats.org/officeDocument/2006/relationships/hyperlink" Target="https://www.zinacantepec.gob.mx/index.php"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zinacantepec.gob.mx/conac.php"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aluZtTCbZEXU6bSvUlpgk5Mjw==">CgMxLjAyCGguZ2pkZ3hzMgloLjMwajB6bGwyCWguMWZvYjl0ZTIJaC4zem55c2g3MgloLjJldDkycDAyCWguMXQzaDVzZjIOaC54cWV5bmM4bXdoNDQyCGgubG54Yno5OAByITFCXzVuRGh3cFBoblBTLVlUTE9zRGFnUl90TGJwZmFvTg==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7881</Words>
  <Characters>43351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cp:revision>
  <cp:lastPrinted>2025-09-11T17:36:00Z</cp:lastPrinted>
  <dcterms:created xsi:type="dcterms:W3CDTF">2025-08-26T01:21:00Z</dcterms:created>
  <dcterms:modified xsi:type="dcterms:W3CDTF">2025-09-19T20:20:00Z</dcterms:modified>
</cp:coreProperties>
</file>