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187BB" w14:textId="77777777" w:rsidR="009656B9" w:rsidRDefault="009656B9">
      <w:pPr>
        <w:widowControl w:val="0"/>
        <w:pBdr>
          <w:top w:val="nil"/>
          <w:left w:val="nil"/>
          <w:bottom w:val="nil"/>
          <w:right w:val="nil"/>
          <w:between w:val="nil"/>
        </w:pBdr>
        <w:spacing w:after="0" w:line="276" w:lineRule="auto"/>
        <w:jc w:val="left"/>
      </w:pPr>
    </w:p>
    <w:p w14:paraId="75D10106" w14:textId="77777777" w:rsidR="007231A3" w:rsidRDefault="007A4EF7">
      <w:pPr>
        <w:tabs>
          <w:tab w:val="left" w:pos="8931"/>
        </w:tabs>
        <w:spacing w:after="0" w:line="360" w:lineRule="auto"/>
      </w:pPr>
      <w:r>
        <w:t xml:space="preserve">Resolución del Pleno del Instituto de Transparencia, Acceso a la Información Pública y Protección de Datos Personales del Estado de México y Municipios, con domicilio en Metepec, Estado de México, de fecha tres de septiembre de dos mil veinticinco. </w:t>
      </w:r>
    </w:p>
    <w:p w14:paraId="6E213930" w14:textId="77777777" w:rsidR="007231A3" w:rsidRDefault="007231A3">
      <w:pPr>
        <w:spacing w:after="0" w:line="360" w:lineRule="auto"/>
        <w:rPr>
          <w:b/>
        </w:rPr>
      </w:pPr>
    </w:p>
    <w:p w14:paraId="0B9BE9F1" w14:textId="34726C1B" w:rsidR="007231A3" w:rsidRDefault="007A4EF7">
      <w:pPr>
        <w:spacing w:after="0" w:line="360" w:lineRule="auto"/>
        <w:rPr>
          <w:color w:val="0D0D0D"/>
        </w:rPr>
      </w:pPr>
      <w:r>
        <w:rPr>
          <w:b/>
        </w:rPr>
        <w:t xml:space="preserve">VISTO </w:t>
      </w:r>
      <w:r>
        <w:t xml:space="preserve">el expediente conformado con motivo del Recurso de Revisión </w:t>
      </w:r>
      <w:r w:rsidRPr="007F7A25">
        <w:rPr>
          <w:b/>
        </w:rPr>
        <w:t>06476/INFOEM/IP/RR/2025</w:t>
      </w:r>
      <w:r>
        <w:t xml:space="preserve">, interpuesto por </w:t>
      </w:r>
      <w:r w:rsidR="00221D28" w:rsidRPr="00221D28">
        <w:rPr>
          <w:b/>
          <w:highlight w:val="black"/>
        </w:rPr>
        <w:t>XXXXXXXXXXXXXXXXXXXXXXXXXX</w:t>
      </w:r>
      <w:r>
        <w:t>, el</w:t>
      </w:r>
      <w:r>
        <w:rPr>
          <w:color w:val="0D0D0D"/>
        </w:rPr>
        <w:t xml:space="preserve"> Recurrente o Particular, en contra de la falta de respuesta del Sujeto Obligado, </w:t>
      </w:r>
      <w:r w:rsidRPr="007F7A25">
        <w:rPr>
          <w:b/>
          <w:color w:val="000000"/>
        </w:rPr>
        <w:t>Sistema Municipal para el Desarrollo Integral de la Familia de Coyotepec</w:t>
      </w:r>
      <w:r w:rsidRPr="007F7A25">
        <w:rPr>
          <w:b/>
          <w:color w:val="0D0D0D"/>
        </w:rPr>
        <w:t>,</w:t>
      </w:r>
      <w:r>
        <w:rPr>
          <w:color w:val="0D0D0D"/>
        </w:rPr>
        <w:t xml:space="preserve"> a la solicitud de acceso a la información pública</w:t>
      </w:r>
      <w:r>
        <w:rPr>
          <w:b/>
          <w:color w:val="FF0000"/>
        </w:rPr>
        <w:t> </w:t>
      </w:r>
      <w:r>
        <w:t>00015/DIFCOYOTEPEC/IP/2025</w:t>
      </w:r>
      <w:r>
        <w:rPr>
          <w:color w:val="0D0D0D"/>
        </w:rPr>
        <w:t xml:space="preserve">, se emite la presente Resolución, con base en los Antecedentes y Considerandos que se exponen a continuación: </w:t>
      </w:r>
    </w:p>
    <w:p w14:paraId="776A6DA2" w14:textId="77777777" w:rsidR="007231A3" w:rsidRDefault="007231A3">
      <w:pPr>
        <w:spacing w:after="0" w:line="360" w:lineRule="auto"/>
        <w:rPr>
          <w:b/>
        </w:rPr>
      </w:pPr>
    </w:p>
    <w:p w14:paraId="48FCCAB3" w14:textId="77777777" w:rsidR="007231A3" w:rsidRDefault="00CB2805">
      <w:pPr>
        <w:spacing w:after="0" w:line="360" w:lineRule="auto"/>
        <w:jc w:val="center"/>
        <w:rPr>
          <w:b/>
        </w:rPr>
      </w:pPr>
      <w:r>
        <w:rPr>
          <w:b/>
        </w:rPr>
        <w:t>A N T E C E D E N T E S</w:t>
      </w:r>
    </w:p>
    <w:p w14:paraId="24F90FC4" w14:textId="77777777" w:rsidR="007231A3" w:rsidRDefault="007231A3">
      <w:pPr>
        <w:spacing w:after="0" w:line="360" w:lineRule="auto"/>
      </w:pPr>
    </w:p>
    <w:p w14:paraId="01DEAAC6" w14:textId="77777777" w:rsidR="007231A3" w:rsidRDefault="007A4EF7">
      <w:pPr>
        <w:spacing w:after="0" w:line="360" w:lineRule="auto"/>
        <w:rPr>
          <w:b/>
        </w:rPr>
      </w:pPr>
      <w:r>
        <w:rPr>
          <w:b/>
        </w:rPr>
        <w:t>I. Presentación</w:t>
      </w:r>
      <w:r w:rsidR="00CB2805">
        <w:rPr>
          <w:b/>
        </w:rPr>
        <w:t xml:space="preserve"> de la solicitud de información</w:t>
      </w:r>
    </w:p>
    <w:p w14:paraId="564A15DE" w14:textId="77777777" w:rsidR="007231A3" w:rsidRDefault="007231A3">
      <w:pPr>
        <w:spacing w:after="0" w:line="360" w:lineRule="auto"/>
      </w:pPr>
    </w:p>
    <w:p w14:paraId="7335B85E" w14:textId="77777777" w:rsidR="007231A3" w:rsidRDefault="007A4EF7">
      <w:pPr>
        <w:spacing w:after="0" w:line="360" w:lineRule="auto"/>
      </w:pPr>
      <w:r>
        <w:t>Con fecha siete de mayo de dos mil veinticinco, se presentó una solicitud de información del Particular, a través del Sistema de Acceso a la Información Mexiquense (SAIMEX),</w:t>
      </w:r>
      <w:r>
        <w:rPr>
          <w:b/>
        </w:rPr>
        <w:t xml:space="preserve"> </w:t>
      </w:r>
      <w:r>
        <w:t>ante el</w:t>
      </w:r>
      <w:r>
        <w:rPr>
          <w:color w:val="000000"/>
        </w:rPr>
        <w:t xml:space="preserve"> Sistema Municipal para el Desarrollo Integral de la Familia de Coyotepec</w:t>
      </w:r>
      <w:r>
        <w:t>, en los siguientes términos:</w:t>
      </w:r>
    </w:p>
    <w:p w14:paraId="6EEEF35E" w14:textId="77777777" w:rsidR="007231A3" w:rsidRDefault="007231A3">
      <w:pPr>
        <w:spacing w:after="0" w:line="360" w:lineRule="auto"/>
      </w:pPr>
    </w:p>
    <w:p w14:paraId="5FFB5BDA" w14:textId="77777777" w:rsidR="007231A3" w:rsidRDefault="007A4EF7">
      <w:pPr>
        <w:tabs>
          <w:tab w:val="left" w:pos="4667"/>
        </w:tabs>
        <w:spacing w:after="0" w:line="360" w:lineRule="auto"/>
        <w:ind w:left="567" w:right="567"/>
        <w:rPr>
          <w:b/>
          <w:i/>
          <w:sz w:val="20"/>
          <w:szCs w:val="20"/>
        </w:rPr>
      </w:pPr>
      <w:r>
        <w:rPr>
          <w:b/>
          <w:i/>
          <w:sz w:val="20"/>
          <w:szCs w:val="20"/>
        </w:rPr>
        <w:t>“DESCRIPCIÓN CLARA Y PRECISA DE LA INFORMACIÓN SOLICITADA</w:t>
      </w:r>
    </w:p>
    <w:p w14:paraId="48FF9A07" w14:textId="77777777" w:rsidR="007231A3" w:rsidRDefault="007A4EF7">
      <w:pPr>
        <w:spacing w:after="0" w:line="360" w:lineRule="auto"/>
        <w:ind w:left="567" w:right="567"/>
        <w:rPr>
          <w:i/>
          <w:color w:val="000000"/>
          <w:sz w:val="20"/>
          <w:szCs w:val="20"/>
        </w:rPr>
      </w:pPr>
      <w:r>
        <w:rPr>
          <w:i/>
          <w:color w:val="000000"/>
          <w:sz w:val="20"/>
          <w:szCs w:val="20"/>
        </w:rPr>
        <w:t xml:space="preserve">Liga de acceso a IPOMEX, el sujeto obligado vulnera el acceso a la información pública respecto al primer trimestre de 2025, </w:t>
      </w:r>
      <w:proofErr w:type="spellStart"/>
      <w:r>
        <w:rPr>
          <w:i/>
          <w:color w:val="000000"/>
          <w:sz w:val="20"/>
          <w:szCs w:val="20"/>
        </w:rPr>
        <w:t>aún</w:t>
      </w:r>
      <w:proofErr w:type="spellEnd"/>
      <w:r>
        <w:rPr>
          <w:i/>
          <w:color w:val="000000"/>
          <w:sz w:val="20"/>
          <w:szCs w:val="20"/>
        </w:rPr>
        <w:t xml:space="preserve"> cuando realizo la declaratoria expresa que se anexa a continuación. Solicito se de vista al </w:t>
      </w:r>
      <w:proofErr w:type="spellStart"/>
      <w:r>
        <w:rPr>
          <w:i/>
          <w:color w:val="000000"/>
          <w:sz w:val="20"/>
          <w:szCs w:val="20"/>
        </w:rPr>
        <w:t>Orgáno</w:t>
      </w:r>
      <w:proofErr w:type="spellEnd"/>
      <w:r>
        <w:rPr>
          <w:i/>
          <w:color w:val="000000"/>
          <w:sz w:val="20"/>
          <w:szCs w:val="20"/>
        </w:rPr>
        <w:t xml:space="preserve"> Interno de Control, con la finalidad de que se esclarezcan los hechos.</w:t>
      </w:r>
      <w:r>
        <w:rPr>
          <w:i/>
          <w:sz w:val="20"/>
          <w:szCs w:val="20"/>
        </w:rPr>
        <w:t>” (Sic)</w:t>
      </w:r>
    </w:p>
    <w:p w14:paraId="10C4E499" w14:textId="77777777" w:rsidR="007231A3" w:rsidRDefault="007231A3">
      <w:pPr>
        <w:tabs>
          <w:tab w:val="left" w:pos="4667"/>
        </w:tabs>
        <w:spacing w:after="0" w:line="360" w:lineRule="auto"/>
        <w:ind w:left="567" w:right="567"/>
        <w:rPr>
          <w:i/>
          <w:sz w:val="20"/>
          <w:szCs w:val="20"/>
        </w:rPr>
      </w:pPr>
    </w:p>
    <w:p w14:paraId="6C828431" w14:textId="77777777" w:rsidR="007231A3" w:rsidRDefault="007231A3">
      <w:pPr>
        <w:tabs>
          <w:tab w:val="left" w:pos="4667"/>
        </w:tabs>
        <w:spacing w:after="0" w:line="360" w:lineRule="auto"/>
        <w:ind w:right="567"/>
        <w:rPr>
          <w:i/>
          <w:sz w:val="20"/>
          <w:szCs w:val="20"/>
        </w:rPr>
      </w:pPr>
    </w:p>
    <w:p w14:paraId="661637FF" w14:textId="77777777" w:rsidR="007231A3" w:rsidRDefault="007A4EF7">
      <w:pPr>
        <w:tabs>
          <w:tab w:val="left" w:pos="4667"/>
        </w:tabs>
        <w:spacing w:after="0" w:line="360" w:lineRule="auto"/>
        <w:ind w:left="567" w:right="567"/>
        <w:rPr>
          <w:b/>
          <w:i/>
          <w:color w:val="000000"/>
          <w:sz w:val="20"/>
          <w:szCs w:val="20"/>
        </w:rPr>
      </w:pPr>
      <w:r>
        <w:rPr>
          <w:b/>
          <w:i/>
          <w:color w:val="000000"/>
          <w:sz w:val="20"/>
          <w:szCs w:val="20"/>
        </w:rPr>
        <w:t>“MODALIDAD DE ENTREGA</w:t>
      </w:r>
    </w:p>
    <w:p w14:paraId="7D6F1690" w14:textId="77777777" w:rsidR="007231A3" w:rsidRDefault="007A4EF7">
      <w:pPr>
        <w:spacing w:after="0" w:line="360" w:lineRule="auto"/>
        <w:ind w:left="567" w:right="567"/>
        <w:rPr>
          <w:i/>
          <w:color w:val="000000"/>
          <w:sz w:val="20"/>
          <w:szCs w:val="20"/>
        </w:rPr>
      </w:pPr>
      <w:r>
        <w:rPr>
          <w:i/>
          <w:color w:val="000000"/>
          <w:sz w:val="20"/>
          <w:szCs w:val="20"/>
        </w:rPr>
        <w:t>A través del SAIMEX” (Sic)</w:t>
      </w:r>
    </w:p>
    <w:p w14:paraId="29C185DB" w14:textId="77777777" w:rsidR="007231A3" w:rsidRDefault="007231A3">
      <w:pPr>
        <w:spacing w:after="0" w:line="360" w:lineRule="auto"/>
        <w:ind w:left="567" w:right="567"/>
        <w:rPr>
          <w:i/>
          <w:color w:val="000000"/>
          <w:sz w:val="20"/>
          <w:szCs w:val="20"/>
        </w:rPr>
      </w:pPr>
    </w:p>
    <w:p w14:paraId="0038D9A3" w14:textId="77777777" w:rsidR="007231A3" w:rsidRDefault="007A4EF7">
      <w:pPr>
        <w:tabs>
          <w:tab w:val="left" w:pos="567"/>
        </w:tabs>
        <w:spacing w:after="0" w:line="360" w:lineRule="auto"/>
      </w:pPr>
      <w:r>
        <w:t xml:space="preserve">El recurrente adjunto la declaración expresa del Acuerdo por el cual se modifica el padrón de sujetos obligados en fecha veinticinco de octubre del dos mil veinticuatro, suscrito por la Titular de la Unidad de Transparencia del SMDIF Coyotepec, donde refiere que se someterá a consideración por parte del pleno del </w:t>
      </w:r>
      <w:proofErr w:type="spellStart"/>
      <w:r>
        <w:t>infoem</w:t>
      </w:r>
      <w:proofErr w:type="spellEnd"/>
      <w:r>
        <w:t>, y al aprobarse, se publicara la información correspondiente.</w:t>
      </w:r>
    </w:p>
    <w:p w14:paraId="2001E2BC" w14:textId="77777777" w:rsidR="007231A3" w:rsidRDefault="007231A3">
      <w:pPr>
        <w:tabs>
          <w:tab w:val="left" w:pos="567"/>
        </w:tabs>
        <w:spacing w:after="0" w:line="360" w:lineRule="auto"/>
        <w:rPr>
          <w:b/>
        </w:rPr>
      </w:pPr>
    </w:p>
    <w:p w14:paraId="036419B3" w14:textId="77777777" w:rsidR="007231A3" w:rsidRDefault="007A4EF7">
      <w:pPr>
        <w:tabs>
          <w:tab w:val="left" w:pos="4667"/>
        </w:tabs>
        <w:spacing w:after="0" w:line="360" w:lineRule="auto"/>
        <w:ind w:right="567"/>
        <w:rPr>
          <w:b/>
          <w:color w:val="000000"/>
        </w:rPr>
      </w:pPr>
      <w:r>
        <w:rPr>
          <w:b/>
        </w:rPr>
        <w:t xml:space="preserve">II. </w:t>
      </w:r>
      <w:r w:rsidR="00CB2805">
        <w:rPr>
          <w:b/>
          <w:color w:val="000000"/>
        </w:rPr>
        <w:t>Respuesta del Sujeto Obligado</w:t>
      </w:r>
    </w:p>
    <w:p w14:paraId="323A89E5" w14:textId="77777777" w:rsidR="007231A3" w:rsidRDefault="007231A3">
      <w:pPr>
        <w:spacing w:after="0" w:line="360" w:lineRule="auto"/>
        <w:rPr>
          <w:color w:val="000000"/>
        </w:rPr>
      </w:pPr>
    </w:p>
    <w:p w14:paraId="0AC8F3EE" w14:textId="77777777" w:rsidR="007231A3" w:rsidRDefault="007A4EF7">
      <w:pPr>
        <w:spacing w:after="0" w:line="360" w:lineRule="auto"/>
        <w:rPr>
          <w:color w:val="000000"/>
        </w:rPr>
      </w:pPr>
      <w:r>
        <w:rPr>
          <w:color w:val="000000"/>
        </w:rPr>
        <w:t>El veintiocho de mayo de dos mil veinticinco, el Sujeto Obligado notificó, a través del Sistema de Acceso a la Información Mexiquense (SAIMEX), la respuesta a la solicitud de acceso a la Información pública, mediante el siguiente documento:</w:t>
      </w:r>
    </w:p>
    <w:p w14:paraId="5A42ADDA" w14:textId="77777777" w:rsidR="007231A3" w:rsidRDefault="007231A3">
      <w:pPr>
        <w:spacing w:after="0" w:line="360" w:lineRule="auto"/>
        <w:rPr>
          <w:color w:val="000000"/>
        </w:rPr>
      </w:pPr>
    </w:p>
    <w:p w14:paraId="4B146D78" w14:textId="77777777" w:rsidR="007231A3" w:rsidRDefault="007A4EF7">
      <w:pPr>
        <w:numPr>
          <w:ilvl w:val="0"/>
          <w:numId w:val="2"/>
        </w:numPr>
        <w:pBdr>
          <w:top w:val="nil"/>
          <w:left w:val="nil"/>
          <w:bottom w:val="nil"/>
          <w:right w:val="nil"/>
          <w:between w:val="nil"/>
        </w:pBdr>
        <w:spacing w:after="0" w:line="360" w:lineRule="auto"/>
        <w:rPr>
          <w:color w:val="000000"/>
        </w:rPr>
      </w:pPr>
      <w:r>
        <w:rPr>
          <w:color w:val="000000"/>
        </w:rPr>
        <w:t>Oficio número SM/DIF/COY/TRN/059/2025, de fecha diecinueve de mayo de dos mil veinticinco, suscrito por la Titular de la Unidad de Transparencia y dirigido al Solicitante, donde refiere lo siguiente:</w:t>
      </w:r>
    </w:p>
    <w:p w14:paraId="69B8764C" w14:textId="77777777" w:rsidR="007231A3" w:rsidRDefault="007231A3">
      <w:pPr>
        <w:spacing w:after="0" w:line="360" w:lineRule="auto"/>
        <w:ind w:left="360"/>
        <w:rPr>
          <w:color w:val="000000"/>
        </w:rPr>
      </w:pPr>
    </w:p>
    <w:p w14:paraId="649F3C6A" w14:textId="77777777" w:rsidR="007231A3" w:rsidRDefault="007A4EF7">
      <w:pPr>
        <w:spacing w:after="0" w:line="360" w:lineRule="auto"/>
        <w:ind w:left="360"/>
        <w:rPr>
          <w:i/>
          <w:color w:val="000000"/>
          <w:sz w:val="20"/>
          <w:szCs w:val="20"/>
        </w:rPr>
      </w:pPr>
      <w:r>
        <w:rPr>
          <w:color w:val="000000"/>
        </w:rPr>
        <w:t>“</w:t>
      </w:r>
      <w:r>
        <w:rPr>
          <w:i/>
          <w:color w:val="000000"/>
          <w:sz w:val="20"/>
          <w:szCs w:val="20"/>
        </w:rPr>
        <w:t>Con referencia a su solicitud presentada, se comparte la liga de acceso a la plataforma IPOMEX</w:t>
      </w:r>
    </w:p>
    <w:p w14:paraId="4BDDA38C" w14:textId="77777777" w:rsidR="007231A3" w:rsidRDefault="007A4EF7">
      <w:pPr>
        <w:spacing w:after="0" w:line="360" w:lineRule="auto"/>
        <w:ind w:left="360"/>
        <w:rPr>
          <w:i/>
          <w:color w:val="000000"/>
          <w:sz w:val="20"/>
          <w:szCs w:val="20"/>
        </w:rPr>
      </w:pPr>
      <w:hyperlink r:id="rId9" w:anchor="/obligaciones/440">
        <w:r>
          <w:rPr>
            <w:i/>
            <w:color w:val="0563C1"/>
            <w:sz w:val="20"/>
            <w:szCs w:val="20"/>
            <w:u w:val="single"/>
          </w:rPr>
          <w:t>https://ipomex.org.mx/ipomex/#/obligaciones/440</w:t>
        </w:r>
      </w:hyperlink>
    </w:p>
    <w:p w14:paraId="10D80110" w14:textId="77777777" w:rsidR="007231A3" w:rsidRDefault="007231A3">
      <w:pPr>
        <w:spacing w:after="0" w:line="360" w:lineRule="auto"/>
        <w:rPr>
          <w:color w:val="000000"/>
        </w:rPr>
      </w:pPr>
    </w:p>
    <w:p w14:paraId="49AD7610" w14:textId="77777777" w:rsidR="007231A3" w:rsidRDefault="007A4EF7">
      <w:pPr>
        <w:spacing w:after="0" w:line="360" w:lineRule="auto"/>
        <w:rPr>
          <w:b/>
          <w:color w:val="000000"/>
        </w:rPr>
      </w:pPr>
      <w:r>
        <w:rPr>
          <w:b/>
          <w:color w:val="000000"/>
        </w:rPr>
        <w:t>III. Interpo</w:t>
      </w:r>
      <w:r w:rsidR="00CB2805">
        <w:rPr>
          <w:b/>
          <w:color w:val="000000"/>
        </w:rPr>
        <w:t>sición del Recurso de Revisión</w:t>
      </w:r>
    </w:p>
    <w:p w14:paraId="1E9726F2" w14:textId="77777777" w:rsidR="007231A3" w:rsidRDefault="007231A3">
      <w:pPr>
        <w:spacing w:after="0" w:line="360" w:lineRule="auto"/>
        <w:rPr>
          <w:color w:val="000000"/>
        </w:rPr>
      </w:pPr>
    </w:p>
    <w:p w14:paraId="27BDD14E" w14:textId="77777777" w:rsidR="007231A3" w:rsidRDefault="007231A3">
      <w:pPr>
        <w:spacing w:after="0" w:line="360" w:lineRule="auto"/>
        <w:rPr>
          <w:color w:val="000000"/>
        </w:rPr>
      </w:pPr>
    </w:p>
    <w:p w14:paraId="38136A70" w14:textId="77777777" w:rsidR="007231A3" w:rsidRDefault="007A4EF7">
      <w:pPr>
        <w:spacing w:after="0" w:line="360" w:lineRule="auto"/>
        <w:rPr>
          <w:color w:val="000000"/>
        </w:rPr>
      </w:pPr>
      <w:r>
        <w:rPr>
          <w:color w:val="000000"/>
        </w:rPr>
        <w:lastRenderedPageBreak/>
        <w:t>Con fecha tres de junio de dos mil veinticinco, se recibió en este Instituto, a través del Sistema de Acceso a la Información Mexiquense (SAIMEX), el Recurso de Revisión interpuesto por la parte Recurrente, en contra de la falta de respuesta del Sujeto Obligado,</w:t>
      </w:r>
      <w:r>
        <w:rPr>
          <w:b/>
        </w:rPr>
        <w:t xml:space="preserve"> </w:t>
      </w:r>
      <w:r>
        <w:rPr>
          <w:color w:val="000000"/>
        </w:rPr>
        <w:t>en los siguientes términos:</w:t>
      </w:r>
    </w:p>
    <w:p w14:paraId="5BE72101" w14:textId="77777777" w:rsidR="007231A3" w:rsidRDefault="007231A3">
      <w:pPr>
        <w:spacing w:after="0" w:line="360" w:lineRule="auto"/>
        <w:rPr>
          <w:color w:val="000000"/>
        </w:rPr>
      </w:pPr>
    </w:p>
    <w:p w14:paraId="4CEA06CB" w14:textId="77777777" w:rsidR="007231A3" w:rsidRDefault="007A4EF7">
      <w:pPr>
        <w:spacing w:after="0" w:line="360" w:lineRule="auto"/>
        <w:ind w:left="567" w:right="567"/>
        <w:rPr>
          <w:b/>
          <w:i/>
          <w:color w:val="000000"/>
          <w:sz w:val="20"/>
          <w:szCs w:val="20"/>
        </w:rPr>
      </w:pPr>
      <w:r>
        <w:rPr>
          <w:b/>
          <w:i/>
          <w:color w:val="000000"/>
          <w:sz w:val="20"/>
          <w:szCs w:val="20"/>
        </w:rPr>
        <w:t>“ACTO IMPUGNADO</w:t>
      </w:r>
    </w:p>
    <w:p w14:paraId="49137502" w14:textId="77777777" w:rsidR="007231A3" w:rsidRDefault="007A4EF7">
      <w:pPr>
        <w:spacing w:after="0" w:line="360" w:lineRule="auto"/>
        <w:ind w:left="567" w:right="567"/>
        <w:rPr>
          <w:i/>
          <w:color w:val="000000"/>
          <w:sz w:val="20"/>
          <w:szCs w:val="20"/>
        </w:rPr>
      </w:pPr>
      <w:r>
        <w:rPr>
          <w:i/>
          <w:color w:val="000000"/>
          <w:sz w:val="20"/>
          <w:szCs w:val="20"/>
        </w:rPr>
        <w:t>LA RESPUESTA DEL SUJETO OBLIGADO”</w:t>
      </w:r>
      <w:r>
        <w:rPr>
          <w:i/>
          <w:sz w:val="20"/>
          <w:szCs w:val="20"/>
        </w:rPr>
        <w:t xml:space="preserve"> </w:t>
      </w:r>
      <w:r>
        <w:rPr>
          <w:i/>
          <w:color w:val="000000"/>
          <w:sz w:val="20"/>
          <w:szCs w:val="20"/>
        </w:rPr>
        <w:t>(Sic)</w:t>
      </w:r>
    </w:p>
    <w:p w14:paraId="0A7CB0B6" w14:textId="77777777" w:rsidR="007231A3" w:rsidRDefault="007231A3">
      <w:pPr>
        <w:spacing w:after="0" w:line="360" w:lineRule="auto"/>
        <w:ind w:left="567" w:right="567"/>
        <w:rPr>
          <w:i/>
          <w:color w:val="000000"/>
          <w:sz w:val="20"/>
          <w:szCs w:val="20"/>
        </w:rPr>
      </w:pPr>
    </w:p>
    <w:p w14:paraId="6C93E791" w14:textId="77777777" w:rsidR="007231A3" w:rsidRDefault="007A4EF7">
      <w:pPr>
        <w:spacing w:after="0" w:line="360" w:lineRule="auto"/>
        <w:ind w:left="567" w:right="567"/>
        <w:rPr>
          <w:b/>
          <w:i/>
          <w:color w:val="000000"/>
          <w:sz w:val="20"/>
          <w:szCs w:val="20"/>
        </w:rPr>
      </w:pPr>
      <w:r>
        <w:rPr>
          <w:b/>
          <w:i/>
          <w:color w:val="000000"/>
          <w:sz w:val="20"/>
          <w:szCs w:val="20"/>
        </w:rPr>
        <w:t>“RAZONES O MOTIVOS DE LA INCONFORMIDAD</w:t>
      </w:r>
    </w:p>
    <w:p w14:paraId="0127A163" w14:textId="77777777" w:rsidR="007231A3" w:rsidRDefault="007A4EF7">
      <w:pPr>
        <w:spacing w:after="0" w:line="360" w:lineRule="auto"/>
        <w:ind w:left="567" w:right="567"/>
        <w:rPr>
          <w:color w:val="000000"/>
          <w:sz w:val="20"/>
          <w:szCs w:val="20"/>
        </w:rPr>
      </w:pPr>
      <w:r>
        <w:rPr>
          <w:i/>
          <w:color w:val="000000"/>
          <w:sz w:val="20"/>
          <w:szCs w:val="20"/>
        </w:rPr>
        <w:t>SIGO SIN TENER ACCESO A LA INFORMACION” (Sic)</w:t>
      </w:r>
    </w:p>
    <w:p w14:paraId="6867023E" w14:textId="77777777" w:rsidR="007231A3" w:rsidRDefault="007231A3">
      <w:pPr>
        <w:spacing w:after="0" w:line="360" w:lineRule="auto"/>
        <w:rPr>
          <w:color w:val="000000"/>
        </w:rPr>
      </w:pPr>
    </w:p>
    <w:p w14:paraId="52CDF5F7" w14:textId="77777777" w:rsidR="007231A3" w:rsidRDefault="007A4EF7">
      <w:pPr>
        <w:spacing w:after="0" w:line="360" w:lineRule="auto"/>
        <w:rPr>
          <w:b/>
          <w:color w:val="000000"/>
        </w:rPr>
      </w:pPr>
      <w:r>
        <w:rPr>
          <w:b/>
          <w:color w:val="000000"/>
        </w:rPr>
        <w:t xml:space="preserve">IV. Trámite del Recurso </w:t>
      </w:r>
      <w:r w:rsidR="00CB2805">
        <w:rPr>
          <w:b/>
          <w:color w:val="000000"/>
        </w:rPr>
        <w:t>de Revisión ante este Instituto</w:t>
      </w:r>
    </w:p>
    <w:p w14:paraId="4261EA2F" w14:textId="77777777" w:rsidR="007231A3" w:rsidRDefault="007231A3">
      <w:pPr>
        <w:spacing w:after="0" w:line="360" w:lineRule="auto"/>
        <w:rPr>
          <w:color w:val="000000"/>
        </w:rPr>
      </w:pPr>
    </w:p>
    <w:p w14:paraId="4161E4AA" w14:textId="77777777" w:rsidR="007231A3" w:rsidRDefault="007A4EF7">
      <w:pPr>
        <w:spacing w:after="0" w:line="360" w:lineRule="auto"/>
        <w:rPr>
          <w:color w:val="000000"/>
        </w:rPr>
      </w:pPr>
      <w:r>
        <w:rPr>
          <w:b/>
          <w:color w:val="000000"/>
        </w:rPr>
        <w:t xml:space="preserve">a) Turno del Medio de Impugnación. </w:t>
      </w:r>
      <w:r>
        <w:rPr>
          <w:color w:val="000000"/>
        </w:rPr>
        <w:t>El tres de junio de dos mil veinticinco, el Sistema de Acceso a la Información Mexiquense (SAIMEX), asignó el número de expediente 06476</w:t>
      </w:r>
      <w:r>
        <w:t>/INFOEM/IP/RR/2025</w:t>
      </w:r>
      <w:r>
        <w:rPr>
          <w:color w:val="000000"/>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638E348F" w14:textId="77777777" w:rsidR="007231A3" w:rsidRDefault="007231A3">
      <w:pPr>
        <w:spacing w:after="0" w:line="360" w:lineRule="auto"/>
        <w:rPr>
          <w:color w:val="000000"/>
        </w:rPr>
      </w:pPr>
    </w:p>
    <w:p w14:paraId="618333E1" w14:textId="77777777" w:rsidR="007231A3" w:rsidRDefault="007A4EF7">
      <w:pPr>
        <w:spacing w:after="0" w:line="360" w:lineRule="auto"/>
        <w:rPr>
          <w:b/>
          <w:color w:val="000000"/>
        </w:rPr>
      </w:pPr>
      <w:r>
        <w:rPr>
          <w:b/>
          <w:color w:val="000000"/>
        </w:rPr>
        <w:t xml:space="preserve">b) Admisión del Recurso de Revisión. </w:t>
      </w:r>
      <w:r>
        <w:rPr>
          <w:color w:val="000000"/>
        </w:rPr>
        <w:t xml:space="preserve">El nueve de junio de dos mil veinticinco,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once del mismo mes y año, a través del Sistema de Acceso a la Información Mexiquense (SAIMEX), en el que se les otorgó un plazo de siete días hábiles posteriores a la misma, para que manifestaran lo que a su derecho conviniera y formularan alegatos. </w:t>
      </w:r>
    </w:p>
    <w:p w14:paraId="016A2817" w14:textId="77777777" w:rsidR="007231A3" w:rsidRDefault="007231A3">
      <w:pPr>
        <w:spacing w:after="0" w:line="360" w:lineRule="auto"/>
      </w:pPr>
    </w:p>
    <w:p w14:paraId="6090BCAA" w14:textId="77777777" w:rsidR="007231A3" w:rsidRDefault="007A4EF7">
      <w:pPr>
        <w:spacing w:after="0" w:line="360" w:lineRule="auto"/>
      </w:pPr>
      <w:r>
        <w:rPr>
          <w:b/>
          <w:color w:val="000000"/>
        </w:rPr>
        <w:t xml:space="preserve">c) </w:t>
      </w:r>
      <w:r>
        <w:rPr>
          <w:b/>
        </w:rPr>
        <w:t xml:space="preserve">Informe Justificado o Manifestaciones. </w:t>
      </w:r>
      <w:r>
        <w:t>Las partes fueron omisas en emitir manifestaciones o alegatos.</w:t>
      </w:r>
    </w:p>
    <w:p w14:paraId="2BA2BC72" w14:textId="77777777" w:rsidR="007231A3" w:rsidRDefault="007231A3">
      <w:pPr>
        <w:spacing w:after="0" w:line="360" w:lineRule="auto"/>
      </w:pPr>
    </w:p>
    <w:p w14:paraId="1D243BEE" w14:textId="77777777" w:rsidR="007231A3" w:rsidRDefault="007A4EF7">
      <w:pPr>
        <w:widowControl w:val="0"/>
        <w:spacing w:after="0" w:line="360" w:lineRule="auto"/>
      </w:pPr>
      <w:r>
        <w:rPr>
          <w:b/>
        </w:rPr>
        <w:t xml:space="preserve">d) Ampliación de plazo para resolver. </w:t>
      </w:r>
      <w:r>
        <w:t>El veintisiete de agosto de dos mil veinticinco,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el mismo día, mediante el Sistema de Acceso a la Información Mexiquense (SAIMEX).</w:t>
      </w:r>
    </w:p>
    <w:p w14:paraId="121BDD20" w14:textId="77777777" w:rsidR="007231A3" w:rsidRDefault="007231A3">
      <w:pPr>
        <w:widowControl w:val="0"/>
        <w:spacing w:after="0" w:line="360" w:lineRule="auto"/>
      </w:pPr>
    </w:p>
    <w:p w14:paraId="51FEC8ED" w14:textId="77777777" w:rsidR="007231A3" w:rsidRDefault="007A4EF7">
      <w:pPr>
        <w:widowControl w:val="0"/>
        <w:spacing w:after="0" w:line="360" w:lineRule="auto"/>
        <w:rPr>
          <w:color w:val="000000"/>
        </w:rPr>
      </w:pPr>
      <w:r>
        <w:rPr>
          <w:b/>
        </w:rPr>
        <w:t>e</w:t>
      </w:r>
      <w:r>
        <w:rPr>
          <w:b/>
          <w:color w:val="000000"/>
        </w:rPr>
        <w:t>) Cierre de instrucción.</w:t>
      </w:r>
      <w:r>
        <w:rPr>
          <w:color w:val="000000"/>
        </w:rPr>
        <w:t xml:space="preserve"> El veintisiete de agosto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Sistema de Acceso a la Información Mexiquense (SAIMEX). </w:t>
      </w:r>
    </w:p>
    <w:p w14:paraId="366EFDB2" w14:textId="77777777" w:rsidR="007231A3" w:rsidRDefault="007231A3">
      <w:pPr>
        <w:spacing w:after="0" w:line="360" w:lineRule="auto"/>
        <w:rPr>
          <w:color w:val="000000"/>
        </w:rPr>
      </w:pPr>
    </w:p>
    <w:p w14:paraId="5B076815" w14:textId="77777777" w:rsidR="007231A3" w:rsidRDefault="007A4EF7">
      <w:pPr>
        <w:spacing w:after="0" w:line="360" w:lineRule="auto"/>
        <w:rPr>
          <w:color w:val="000000"/>
        </w:rPr>
      </w:pPr>
      <w:r>
        <w:rPr>
          <w:color w:val="000000"/>
        </w:rPr>
        <w:t>En razón de que fue debidamente sustanciado e integrado el expediente electrónico y no existe diligencia pendiente de desahogo, se emite la resolución que conforme a Derecho proceda, de acuerdo a los siguientes:</w:t>
      </w:r>
    </w:p>
    <w:p w14:paraId="4630E657" w14:textId="77777777" w:rsidR="007231A3" w:rsidRDefault="007231A3">
      <w:pPr>
        <w:spacing w:after="0" w:line="360" w:lineRule="auto"/>
        <w:rPr>
          <w:color w:val="000000"/>
        </w:rPr>
      </w:pPr>
    </w:p>
    <w:p w14:paraId="5D0162FB" w14:textId="77777777" w:rsidR="007231A3" w:rsidRDefault="00CB2805">
      <w:pPr>
        <w:spacing w:after="0" w:line="360" w:lineRule="auto"/>
        <w:jc w:val="center"/>
        <w:rPr>
          <w:b/>
          <w:color w:val="000000"/>
        </w:rPr>
      </w:pPr>
      <w:r>
        <w:rPr>
          <w:b/>
          <w:color w:val="000000"/>
        </w:rPr>
        <w:t>C O N S I D E R A N D O S</w:t>
      </w:r>
    </w:p>
    <w:p w14:paraId="193F2D0C" w14:textId="77777777" w:rsidR="007231A3" w:rsidRDefault="007231A3">
      <w:pPr>
        <w:spacing w:after="0" w:line="360" w:lineRule="auto"/>
        <w:jc w:val="center"/>
        <w:rPr>
          <w:b/>
          <w:color w:val="000000"/>
        </w:rPr>
      </w:pPr>
    </w:p>
    <w:p w14:paraId="27AFF47C" w14:textId="77777777" w:rsidR="007231A3" w:rsidRDefault="007A4EF7">
      <w:pPr>
        <w:spacing w:after="0" w:line="360" w:lineRule="auto"/>
        <w:rPr>
          <w:b/>
          <w:color w:val="000000"/>
        </w:rPr>
      </w:pPr>
      <w:r>
        <w:rPr>
          <w:b/>
          <w:color w:val="000000"/>
        </w:rPr>
        <w:t>PRIMERO</w:t>
      </w:r>
      <w:r>
        <w:rPr>
          <w:color w:val="000000"/>
        </w:rPr>
        <w:t xml:space="preserve">. </w:t>
      </w:r>
      <w:r>
        <w:rPr>
          <w:b/>
          <w:color w:val="000000"/>
        </w:rPr>
        <w:t>Competencia.</w:t>
      </w:r>
    </w:p>
    <w:p w14:paraId="24430BB2" w14:textId="77777777" w:rsidR="007231A3" w:rsidRDefault="007231A3">
      <w:pPr>
        <w:spacing w:after="0" w:line="360" w:lineRule="auto"/>
        <w:rPr>
          <w:b/>
          <w:color w:val="000000"/>
        </w:rPr>
      </w:pPr>
    </w:p>
    <w:p w14:paraId="3B246C8D" w14:textId="77777777" w:rsidR="007231A3" w:rsidRDefault="007A4EF7">
      <w:pPr>
        <w:spacing w:after="0" w:line="360" w:lineRule="auto"/>
        <w:rPr>
          <w:color w:val="000000"/>
        </w:rPr>
      </w:pPr>
      <w:bookmarkStart w:id="0" w:name="_heading=h.g3hh59ras5md" w:colFirst="0" w:colLast="0"/>
      <w:bookmarkEnd w:id="0"/>
      <w:r>
        <w:rPr>
          <w:color w:val="000000"/>
        </w:rPr>
        <w:lastRenderedPageBreak/>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w:t>
      </w:r>
    </w:p>
    <w:p w14:paraId="7F654299" w14:textId="77777777" w:rsidR="007231A3" w:rsidRDefault="007A4EF7">
      <w:pPr>
        <w:spacing w:after="0" w:line="360" w:lineRule="auto"/>
        <w:rPr>
          <w:color w:val="000000"/>
        </w:rPr>
      </w:pPr>
      <w:r>
        <w:rPr>
          <w:color w:val="000000"/>
        </w:rPr>
        <w:t>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6AB8DE91" w14:textId="77777777" w:rsidR="007231A3" w:rsidRDefault="007231A3">
      <w:pPr>
        <w:spacing w:after="0" w:line="360" w:lineRule="auto"/>
      </w:pPr>
    </w:p>
    <w:p w14:paraId="513F4B99" w14:textId="77777777" w:rsidR="007231A3" w:rsidRDefault="007A4EF7">
      <w:pPr>
        <w:spacing w:after="0" w:line="360" w:lineRule="auto"/>
        <w:rPr>
          <w:b/>
          <w:color w:val="000000"/>
        </w:rPr>
      </w:pPr>
      <w:r>
        <w:rPr>
          <w:b/>
          <w:color w:val="000000"/>
        </w:rPr>
        <w:t>SEGUNDO</w:t>
      </w:r>
      <w:r>
        <w:rPr>
          <w:color w:val="000000"/>
        </w:rPr>
        <w:t xml:space="preserve">. </w:t>
      </w:r>
      <w:r w:rsidR="00CB2805">
        <w:rPr>
          <w:b/>
          <w:color w:val="000000"/>
        </w:rPr>
        <w:t>Causales de improcedencia</w:t>
      </w:r>
    </w:p>
    <w:p w14:paraId="04440E25" w14:textId="77777777" w:rsidR="007231A3" w:rsidRDefault="007231A3">
      <w:pPr>
        <w:spacing w:after="0" w:line="360" w:lineRule="auto"/>
        <w:rPr>
          <w:color w:val="000000"/>
        </w:rPr>
      </w:pPr>
    </w:p>
    <w:p w14:paraId="41DF4196" w14:textId="77777777" w:rsidR="007231A3" w:rsidRDefault="007A4EF7">
      <w:pPr>
        <w:spacing w:after="0" w:line="360" w:lineRule="auto"/>
        <w:rPr>
          <w:color w:val="000000"/>
        </w:rPr>
      </w:pPr>
      <w:r>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CE3EE69" w14:textId="77777777" w:rsidR="007231A3" w:rsidRDefault="007231A3">
      <w:pPr>
        <w:spacing w:after="0" w:line="360" w:lineRule="auto"/>
        <w:rPr>
          <w:color w:val="000000"/>
        </w:rPr>
      </w:pPr>
    </w:p>
    <w:p w14:paraId="3F3E0098" w14:textId="77777777" w:rsidR="007231A3" w:rsidRDefault="007A4EF7">
      <w:pPr>
        <w:spacing w:after="0" w:line="360" w:lineRule="auto"/>
        <w:rPr>
          <w:color w:val="000000"/>
        </w:rPr>
      </w:pPr>
      <w:r>
        <w:rPr>
          <w:color w:val="000000"/>
        </w:rPr>
        <w:t xml:space="preserve">En el presente caso, no se actualiza las causales de improcedencia establecidas en el ordenamiento jurídico previamente señalado, fracciones I a V, y VII,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w:t>
      </w:r>
      <w:r>
        <w:rPr>
          <w:color w:val="000000"/>
        </w:rPr>
        <w:lastRenderedPageBreak/>
        <w:t xml:space="preserve">veracidad de la respuesta no formó parte del agravio; ni se realizó una ampliación a los alcances del requerimiento informativo. </w:t>
      </w:r>
    </w:p>
    <w:p w14:paraId="48A9A7E0" w14:textId="77777777" w:rsidR="007231A3" w:rsidRDefault="007231A3">
      <w:pPr>
        <w:spacing w:after="0" w:line="360" w:lineRule="auto"/>
        <w:rPr>
          <w:color w:val="000000"/>
        </w:rPr>
      </w:pPr>
    </w:p>
    <w:p w14:paraId="2F9A225B" w14:textId="77777777" w:rsidR="007231A3" w:rsidRDefault="007A4EF7">
      <w:pPr>
        <w:spacing w:after="0" w:line="360" w:lineRule="auto"/>
        <w:rPr>
          <w:color w:val="000000"/>
        </w:rPr>
      </w:pPr>
      <w:r>
        <w:rPr>
          <w:color w:val="000000"/>
        </w:rPr>
        <w:t xml:space="preserve">Asimismo, se actualizan la causal de procedencia del Recurso de Revisión establecida en el artículo 179, fracción IX, de la Ley de Transparencia y Acceso a la Información Pública del Estado de México y Municipios, referente </w:t>
      </w:r>
      <w:r>
        <w:t>a la entrega de información que no corresponde con lo solicitado.</w:t>
      </w:r>
    </w:p>
    <w:p w14:paraId="4724B8B4" w14:textId="77777777" w:rsidR="007231A3" w:rsidRDefault="007231A3">
      <w:pPr>
        <w:spacing w:after="0" w:line="360" w:lineRule="auto"/>
        <w:rPr>
          <w:color w:val="000000"/>
        </w:rPr>
      </w:pPr>
    </w:p>
    <w:p w14:paraId="66CE9B58" w14:textId="77777777" w:rsidR="007231A3" w:rsidRDefault="007A4EF7">
      <w:pPr>
        <w:spacing w:after="0" w:line="360" w:lineRule="auto"/>
        <w:rPr>
          <w:b/>
          <w:color w:val="000000"/>
        </w:rPr>
      </w:pPr>
      <w:r>
        <w:rPr>
          <w:b/>
          <w:color w:val="000000"/>
        </w:rPr>
        <w:t>TERC</w:t>
      </w:r>
      <w:r w:rsidR="00CB2805">
        <w:rPr>
          <w:b/>
          <w:color w:val="000000"/>
        </w:rPr>
        <w:t>ERO. Causales de sobreseimiento</w:t>
      </w:r>
    </w:p>
    <w:p w14:paraId="1F2A6386" w14:textId="77777777" w:rsidR="007231A3" w:rsidRDefault="007A4EF7">
      <w:pPr>
        <w:spacing w:after="0" w:line="360" w:lineRule="auto"/>
        <w:rPr>
          <w:color w:val="000000"/>
        </w:rPr>
      </w:pPr>
      <w:r>
        <w:rPr>
          <w:color w:val="000000"/>
        </w:rPr>
        <w:t xml:space="preserve"> </w:t>
      </w:r>
    </w:p>
    <w:p w14:paraId="3838DC61" w14:textId="77777777" w:rsidR="007231A3" w:rsidRDefault="007A4EF7">
      <w:pPr>
        <w:spacing w:after="0" w:line="360" w:lineRule="auto"/>
        <w:rPr>
          <w:color w:val="000000"/>
        </w:rPr>
      </w:pPr>
      <w:r>
        <w:rPr>
          <w:color w:val="000000"/>
        </w:rPr>
        <w:t xml:space="preserve">Por ser de previo y especial pronunciamiento, este Instituto analiza si se actualiza alguna causal de sobreseimiento. </w:t>
      </w:r>
    </w:p>
    <w:p w14:paraId="786B40C3" w14:textId="77777777" w:rsidR="007231A3" w:rsidRDefault="007231A3">
      <w:pPr>
        <w:spacing w:after="0" w:line="360" w:lineRule="auto"/>
        <w:rPr>
          <w:color w:val="000000"/>
        </w:rPr>
      </w:pPr>
    </w:p>
    <w:p w14:paraId="45A07CA4" w14:textId="77777777" w:rsidR="007231A3" w:rsidRDefault="007A4EF7">
      <w:pPr>
        <w:spacing w:after="0" w:line="360" w:lineRule="auto"/>
        <w:rPr>
          <w:color w:val="000000"/>
        </w:rPr>
      </w:pPr>
      <w:r>
        <w:rPr>
          <w:color w:val="000000"/>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w:t>
      </w:r>
      <w:r>
        <w:rPr>
          <w:b/>
          <w:color w:val="000000"/>
        </w:rPr>
        <w:t>que no se actualizan los supuestos de sobreseimiento previstos en las fracciones I, II, III y V</w:t>
      </w:r>
      <w:r>
        <w:rPr>
          <w:color w:val="000000"/>
        </w:rPr>
        <w:t>, toda vez que no hay constancias en el expediente en que se actúa, de que la Recurrente se haya desistido, haya fallecido, haya modificado o revocado su respuesta o bien, que el Recurso de Revisión haya quedado sin materia.</w:t>
      </w:r>
    </w:p>
    <w:p w14:paraId="38DA6689" w14:textId="77777777" w:rsidR="007231A3" w:rsidRDefault="007231A3">
      <w:pPr>
        <w:spacing w:after="0" w:line="360" w:lineRule="auto"/>
        <w:rPr>
          <w:color w:val="000000"/>
        </w:rPr>
      </w:pPr>
    </w:p>
    <w:p w14:paraId="2D9C7022" w14:textId="77777777" w:rsidR="007231A3" w:rsidRDefault="007A4EF7">
      <w:pPr>
        <w:spacing w:after="0" w:line="360" w:lineRule="auto"/>
        <w:rPr>
          <w:color w:val="000000"/>
        </w:rPr>
      </w:pPr>
      <w:r>
        <w:rPr>
          <w:color w:val="000000"/>
        </w:rPr>
        <w:t xml:space="preserve">No obstante, por lo que hace a la hipótesis prevista en la </w:t>
      </w:r>
      <w:r>
        <w:rPr>
          <w:b/>
          <w:color w:val="000000"/>
        </w:rPr>
        <w:t>fracción IV</w:t>
      </w:r>
      <w:r>
        <w:rPr>
          <w:color w:val="000000"/>
        </w:rPr>
        <w:t xml:space="preserve">, a saber, que admitido una vez admitido el Recurso de Revisión, aparezca alguna causal de improcedencia en términos de la presente Ley, resulta necesario traer a colación el artículo 191, fracción VI, de la Ley de la materia, que establece que el Recurso de Revisión será desechado por improcedente, cuando </w:t>
      </w:r>
      <w:r>
        <w:rPr>
          <w:b/>
          <w:color w:val="000000"/>
        </w:rPr>
        <w:t>la solicitud de información se trate de una consulta para denunciar.</w:t>
      </w:r>
    </w:p>
    <w:p w14:paraId="6586A470" w14:textId="77777777" w:rsidR="007231A3" w:rsidRDefault="007231A3">
      <w:pPr>
        <w:spacing w:after="0" w:line="360" w:lineRule="auto"/>
        <w:rPr>
          <w:color w:val="000000"/>
        </w:rPr>
      </w:pPr>
    </w:p>
    <w:p w14:paraId="795F3F97" w14:textId="77777777" w:rsidR="007231A3" w:rsidRDefault="007A4EF7">
      <w:pPr>
        <w:tabs>
          <w:tab w:val="left" w:pos="4667"/>
        </w:tabs>
        <w:spacing w:after="0" w:line="360" w:lineRule="auto"/>
        <w:rPr>
          <w:i/>
          <w:color w:val="000000"/>
        </w:rPr>
      </w:pPr>
      <w:r>
        <w:rPr>
          <w:color w:val="000000"/>
        </w:rPr>
        <w:lastRenderedPageBreak/>
        <w:t xml:space="preserve">En principio, con el fin de verificar si se actualiza la causal de improcedencia, es necesario precisar que el </w:t>
      </w:r>
      <w:r>
        <w:t>Recurrente requirió “</w:t>
      </w:r>
      <w:r>
        <w:rPr>
          <w:i/>
        </w:rPr>
        <w:t>Liga de acceso a IPOMEX,</w:t>
      </w:r>
      <w:r>
        <w:rPr>
          <w:i/>
          <w:color w:val="000000"/>
        </w:rPr>
        <w:t xml:space="preserve"> el sujeto obligado vulnera el acceso a la información pública respecto al primer trimestre de 2025, aun cuando realizo la declaratoria expresa que se anexa a continuación”.</w:t>
      </w:r>
    </w:p>
    <w:p w14:paraId="56177B11" w14:textId="77777777" w:rsidR="007231A3" w:rsidRDefault="007231A3">
      <w:pPr>
        <w:spacing w:after="0" w:line="360" w:lineRule="auto"/>
      </w:pPr>
    </w:p>
    <w:p w14:paraId="5DD914B7" w14:textId="77777777" w:rsidR="007231A3" w:rsidRDefault="007A4EF7">
      <w:pPr>
        <w:spacing w:after="0" w:line="360" w:lineRule="auto"/>
        <w:rPr>
          <w:color w:val="000000"/>
        </w:rPr>
      </w:pPr>
      <w:r>
        <w:rPr>
          <w:color w:val="000000"/>
        </w:rPr>
        <w:t>Conforme a lo anterior, se logra vislumbrar que el Particular quiere conocer el medio por el cual puede interponer una denuncia relacionada con la falta de actualización con el Portal de Información Pública de Oficio Mexiquense, lo que implicaría que el Ayuntamiento elaborara una expresión documental específica; sobre dicha situación, es necesario colación los artículos 2°, fracción II; 3°, fracción XI y 18 de la Ley de Transparencia y Acceso a la Información Pública del Estado de México y Municipios, los cuales disponen lo siguiente:</w:t>
      </w:r>
    </w:p>
    <w:p w14:paraId="6BFC8CA4" w14:textId="77777777" w:rsidR="007231A3" w:rsidRDefault="007231A3">
      <w:pPr>
        <w:spacing w:after="0" w:line="360" w:lineRule="auto"/>
        <w:rPr>
          <w:color w:val="000000"/>
        </w:rPr>
      </w:pPr>
    </w:p>
    <w:p w14:paraId="52AC5973" w14:textId="77777777" w:rsidR="007231A3" w:rsidRDefault="007A4EF7">
      <w:pPr>
        <w:numPr>
          <w:ilvl w:val="0"/>
          <w:numId w:val="1"/>
        </w:numPr>
        <w:spacing w:after="0" w:line="360" w:lineRule="auto"/>
        <w:jc w:val="left"/>
        <w:rPr>
          <w:color w:val="000000"/>
        </w:rPr>
      </w:pPr>
      <w:r>
        <w:rPr>
          <w:color w:val="000000"/>
        </w:rPr>
        <w:t>Que uno de los objetivos de la Ley es proveer lo necesario para garantizar a toda persona el derecho de acceso a la información pública, y</w:t>
      </w:r>
    </w:p>
    <w:p w14:paraId="38F083F1" w14:textId="77777777" w:rsidR="007231A3" w:rsidRDefault="007231A3">
      <w:pPr>
        <w:spacing w:after="0" w:line="360" w:lineRule="auto"/>
        <w:rPr>
          <w:color w:val="000000"/>
        </w:rPr>
      </w:pPr>
    </w:p>
    <w:p w14:paraId="7E02955B" w14:textId="77777777" w:rsidR="007231A3" w:rsidRDefault="007A4EF7">
      <w:pPr>
        <w:numPr>
          <w:ilvl w:val="0"/>
          <w:numId w:val="1"/>
        </w:numPr>
        <w:spacing w:after="0" w:line="360" w:lineRule="auto"/>
        <w:rPr>
          <w:color w:val="000000"/>
        </w:rPr>
      </w:pPr>
      <w:r>
        <w:rPr>
          <w:color w:val="000000"/>
        </w:rPr>
        <w:t xml:space="preserve">Que los </w:t>
      </w:r>
      <w:r>
        <w:rPr>
          <w:b/>
          <w:color w:val="000000"/>
        </w:rPr>
        <w:t xml:space="preserve">documentos </w:t>
      </w:r>
      <w:r>
        <w:rPr>
          <w:color w:val="000000"/>
        </w:rPr>
        <w:t xml:space="preserve">son los expedientes, reportes, estudios, actas, resoluciones, contratos, convenios, instructivos, notas, memorandos, estadísticas o </w:t>
      </w:r>
      <w:r>
        <w:rPr>
          <w:b/>
          <w:color w:val="000000"/>
        </w:rPr>
        <w:t>cualquier registro que documente el ejercicio de facultades, funciones y competencia</w:t>
      </w:r>
      <w:r>
        <w:rPr>
          <w:color w:val="000000"/>
        </w:rPr>
        <w:t>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de la manera, es una ley de acceso a documentos.</w:t>
      </w:r>
    </w:p>
    <w:p w14:paraId="4428B7F9" w14:textId="77777777" w:rsidR="007231A3" w:rsidRDefault="007231A3">
      <w:pPr>
        <w:spacing w:after="0" w:line="360" w:lineRule="auto"/>
        <w:rPr>
          <w:color w:val="000000"/>
        </w:rPr>
      </w:pPr>
    </w:p>
    <w:p w14:paraId="6926A54B" w14:textId="77777777" w:rsidR="007231A3" w:rsidRDefault="007A4EF7">
      <w:pPr>
        <w:spacing w:after="0" w:line="360" w:lineRule="auto"/>
        <w:rPr>
          <w:color w:val="000000"/>
        </w:rPr>
      </w:pPr>
      <w:r>
        <w:rPr>
          <w:color w:val="000000"/>
        </w:rPr>
        <w:t xml:space="preserve">En razón de lo anterior, es necesario señalar que del análisis del requerimiento de información presentado ante el Sistema Municipal para el Desarrollo Integral de la Familia de Coyotepec, se logra colegir que el Particular requiere un pronunciamiento específico, a </w:t>
      </w:r>
      <w:r>
        <w:rPr>
          <w:color w:val="000000"/>
        </w:rPr>
        <w:lastRenderedPageBreak/>
        <w:t xml:space="preserve">una situación concreta y determinada, lo cual implicaría que el Sujeto Obligado elaborara una respuesta delimitada y </w:t>
      </w:r>
      <w:r>
        <w:rPr>
          <w:i/>
          <w:color w:val="000000"/>
        </w:rPr>
        <w:t>ad hoc.</w:t>
      </w:r>
      <w:r>
        <w:rPr>
          <w:color w:val="000000"/>
        </w:rPr>
        <w:t> </w:t>
      </w:r>
    </w:p>
    <w:p w14:paraId="0AA02649" w14:textId="77777777" w:rsidR="007231A3" w:rsidRDefault="007231A3">
      <w:pPr>
        <w:spacing w:after="0" w:line="360" w:lineRule="auto"/>
        <w:rPr>
          <w:color w:val="000000"/>
        </w:rPr>
      </w:pPr>
    </w:p>
    <w:p w14:paraId="3CE9718C" w14:textId="77777777" w:rsidR="007231A3" w:rsidRDefault="007A4EF7">
      <w:pPr>
        <w:spacing w:after="0" w:line="360" w:lineRule="auto"/>
        <w:rPr>
          <w:b/>
          <w:color w:val="000000"/>
        </w:rPr>
      </w:pPr>
      <w:r>
        <w:rPr>
          <w:color w:val="000000"/>
        </w:rPr>
        <w:t xml:space="preserve">Sobre el tema, cabe precisar que de conformidad con los artículos 6°, apartado A, de la Constitución Política de los Estados Unidos Mexicanos, 5° de la Constitución Política del Estado Libre y Soberano de México, 4° de la Ley General de Transparencia y Acceso a la Información Pública y 4° de la Ley de Transparencia y Acceso a la Información Pública del Estado de México y Municipios, toda la información </w:t>
      </w:r>
      <w:r>
        <w:rPr>
          <w:b/>
          <w:color w:val="000000"/>
        </w:rPr>
        <w:t xml:space="preserve">generada, obtenida, adquirida, transformada </w:t>
      </w:r>
      <w:r>
        <w:rPr>
          <w:color w:val="000000"/>
        </w:rPr>
        <w:t xml:space="preserve">por los sujetos obligados, o en su caso, </w:t>
      </w:r>
      <w:r>
        <w:rPr>
          <w:b/>
          <w:color w:val="000000"/>
        </w:rPr>
        <w:t xml:space="preserve">la tengan en su posesión, será pública y accesible para cualquier persona. </w:t>
      </w:r>
      <w:r>
        <w:rPr>
          <w:color w:val="000000"/>
        </w:rPr>
        <w:t xml:space="preserve">Así, se advierte que el derecho de acceso a la información, consiste en una prerrogativa de cualquier persona, a solicitar información pública que conste en </w:t>
      </w:r>
      <w:r>
        <w:rPr>
          <w:b/>
          <w:color w:val="000000"/>
        </w:rPr>
        <w:t>documentos generados, obtenidos, adquiridos, transformados o que tengan en posesión los sujetos obligados.</w:t>
      </w:r>
    </w:p>
    <w:p w14:paraId="62B5D615" w14:textId="77777777" w:rsidR="007231A3" w:rsidRDefault="007231A3">
      <w:pPr>
        <w:spacing w:after="0" w:line="360" w:lineRule="auto"/>
        <w:rPr>
          <w:b/>
          <w:color w:val="000000"/>
        </w:rPr>
      </w:pPr>
    </w:p>
    <w:p w14:paraId="74E2D5BE" w14:textId="77777777" w:rsidR="007231A3" w:rsidRDefault="007A4EF7">
      <w:pPr>
        <w:spacing w:after="0" w:line="360" w:lineRule="auto"/>
        <w:rPr>
          <w:rFonts w:ascii="Times New Roman" w:eastAsia="Times New Roman" w:hAnsi="Times New Roman" w:cs="Times New Roman"/>
          <w:color w:val="000000"/>
          <w:sz w:val="20"/>
          <w:szCs w:val="20"/>
          <w:highlight w:val="white"/>
        </w:rPr>
      </w:pPr>
      <w:r>
        <w:rPr>
          <w:color w:val="000000"/>
        </w:rPr>
        <w:t>En ese orden de ideas, el artículo 3°, fracción VII, de la Ley General Transparencia, con</w:t>
      </w:r>
      <w:r>
        <w:rPr>
          <w:color w:val="000000"/>
          <w:sz w:val="24"/>
          <w:szCs w:val="24"/>
          <w:highlight w:val="white"/>
        </w:rPr>
        <w:t xml:space="preserve"> </w:t>
      </w:r>
      <w:r>
        <w:rPr>
          <w:color w:val="000000"/>
          <w:highlight w:val="white"/>
        </w:rPr>
        <w:t>relación al 3°, fracción XI, de la Ley Local de Transparencia, establecen que los documentos son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3D2ECC5D" w14:textId="77777777" w:rsidR="007231A3" w:rsidRDefault="007231A3">
      <w:pPr>
        <w:spacing w:after="0" w:line="360" w:lineRule="auto"/>
        <w:rPr>
          <w:color w:val="000000"/>
          <w:highlight w:val="white"/>
        </w:rPr>
      </w:pPr>
    </w:p>
    <w:p w14:paraId="4762ECD1" w14:textId="77777777" w:rsidR="007231A3" w:rsidRDefault="007A4EF7">
      <w:pPr>
        <w:spacing w:after="0" w:line="360" w:lineRule="auto"/>
        <w:rPr>
          <w:rFonts w:ascii="Times New Roman" w:eastAsia="Times New Roman" w:hAnsi="Times New Roman" w:cs="Times New Roman"/>
          <w:color w:val="000000"/>
          <w:sz w:val="20"/>
          <w:szCs w:val="20"/>
        </w:rPr>
      </w:pPr>
      <w:r>
        <w:rPr>
          <w:color w:val="000000"/>
        </w:rPr>
        <w:t xml:space="preserve">En ese contexto, se puede afirmar que, mediante el derecho de acceso a la información pública, los solicitantes pueden acceder a toda aquella información generada por los Sujetos Obligados, es decir, la ciudadanía puede allegarse de aquellos documentos que obren en los archivos por las dependencias gubernamentales. Lo anterior, se robustece pues de </w:t>
      </w:r>
      <w:r>
        <w:rPr>
          <w:color w:val="000000"/>
        </w:rPr>
        <w:lastRenderedPageBreak/>
        <w:t>conformidad con los 12, 24, último párrafo, y 160 de la Ley de Transparencia y Acceso a la Información Pública del Estado de México y Municipios, los Sujetos Obligados sólo entregarán la información que obre en sus archivos y no estarán obligados a procesarla, resumirla, efectuar cálculos o practicar investigaciones.</w:t>
      </w:r>
    </w:p>
    <w:p w14:paraId="3923F062" w14:textId="77777777" w:rsidR="007231A3" w:rsidRDefault="007231A3">
      <w:pPr>
        <w:spacing w:after="0" w:line="360" w:lineRule="auto"/>
        <w:rPr>
          <w:color w:val="000000"/>
        </w:rPr>
      </w:pPr>
    </w:p>
    <w:p w14:paraId="32C9AD01" w14:textId="77777777" w:rsidR="007231A3" w:rsidRDefault="007A4EF7">
      <w:pPr>
        <w:spacing w:after="0" w:line="360" w:lineRule="auto"/>
        <w:rPr>
          <w:color w:val="000000"/>
        </w:rPr>
      </w:pPr>
      <w:r>
        <w:rPr>
          <w:color w:val="000000"/>
        </w:rPr>
        <w:t xml:space="preserve">De tales circunstancias, se colige que los sujetos obligados únicamente están constreñidos a proporcionar </w:t>
      </w:r>
      <w:r>
        <w:rPr>
          <w:b/>
          <w:color w:val="000000"/>
        </w:rPr>
        <w:t>la documentación que obre en sus archivos</w:t>
      </w:r>
      <w:r>
        <w:rPr>
          <w:color w:val="000000"/>
        </w:rPr>
        <w:t>; por lo que, no están obligados a generar o elaborar documentos </w:t>
      </w:r>
      <w:r>
        <w:rPr>
          <w:i/>
          <w:color w:val="000000"/>
        </w:rPr>
        <w:t>ad hoc, </w:t>
      </w:r>
      <w:r>
        <w:rPr>
          <w:color w:val="000000"/>
        </w:rPr>
        <w:t>como es el caso de proporcionar respuesta a un cuestionamiento. Robustece lo anterior el Criterio de Interpretación, con clave de control SO/013/2017, de la Segunda Época, emitido por el Instituto Nacional de Transparencia, Acceso a la Información y Protección de Datos Personales, que a continuación se cita:</w:t>
      </w:r>
    </w:p>
    <w:p w14:paraId="7DFECB30" w14:textId="77777777" w:rsidR="007231A3" w:rsidRDefault="007231A3">
      <w:pPr>
        <w:spacing w:after="0" w:line="360" w:lineRule="auto"/>
        <w:rPr>
          <w:color w:val="000000"/>
        </w:rPr>
      </w:pPr>
    </w:p>
    <w:p w14:paraId="32C5E9BF" w14:textId="77777777" w:rsidR="007231A3" w:rsidRDefault="007A4EF7">
      <w:pPr>
        <w:spacing w:after="0" w:line="360" w:lineRule="auto"/>
        <w:ind w:left="567" w:right="567"/>
        <w:rPr>
          <w:i/>
          <w:color w:val="000000"/>
          <w:sz w:val="20"/>
          <w:szCs w:val="20"/>
        </w:rPr>
      </w:pPr>
      <w:r>
        <w:rPr>
          <w:b/>
          <w:i/>
          <w:color w:val="000000"/>
          <w:sz w:val="20"/>
          <w:szCs w:val="20"/>
        </w:rPr>
        <w:t xml:space="preserve">“No existe obligación de elaborar documentos ad hoc para atender las solicitudes de acceso a la información. </w:t>
      </w:r>
      <w:r>
        <w:rPr>
          <w:i/>
          <w:color w:val="000000"/>
          <w:sz w:val="20"/>
          <w:szCs w:val="20"/>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w:t>
      </w:r>
    </w:p>
    <w:p w14:paraId="6DA52138" w14:textId="77777777" w:rsidR="007231A3" w:rsidRDefault="007231A3">
      <w:pPr>
        <w:spacing w:after="0" w:line="360" w:lineRule="auto"/>
        <w:rPr>
          <w:color w:val="000000"/>
        </w:rPr>
      </w:pPr>
    </w:p>
    <w:p w14:paraId="72F86391" w14:textId="77777777" w:rsidR="007231A3" w:rsidRDefault="007A4EF7">
      <w:pPr>
        <w:spacing w:after="0" w:line="360" w:lineRule="auto"/>
        <w:rPr>
          <w:color w:val="000000"/>
        </w:rPr>
      </w:pPr>
      <w:r>
        <w:rPr>
          <w:color w:val="000000"/>
        </w:rPr>
        <w:t xml:space="preserve">Conforme a lo anterior, </w:t>
      </w:r>
      <w:r>
        <w:rPr>
          <w:b/>
          <w:color w:val="000000"/>
        </w:rPr>
        <w:t>se advierte que la respuesta al cuestionamiento previamente referido constituye una consulta</w:t>
      </w:r>
      <w:r>
        <w:rPr>
          <w:color w:val="000000"/>
        </w:rPr>
        <w:t xml:space="preserve"> y no así una solicitud de acceso a información pública que pueda ser atendida mediante una expresión documental; lo anterior, toda vez que el requerimiento corresponde a una pregunta que implicaría elaborar un documento </w:t>
      </w:r>
      <w:r>
        <w:rPr>
          <w:i/>
          <w:color w:val="000000"/>
        </w:rPr>
        <w:t>ad hoc</w:t>
      </w:r>
      <w:r>
        <w:rPr>
          <w:color w:val="000000"/>
        </w:rPr>
        <w:t>, en el que se precisará las razones de la falta de actualización de un Portal.</w:t>
      </w:r>
    </w:p>
    <w:p w14:paraId="3E10A631" w14:textId="77777777" w:rsidR="007231A3" w:rsidRDefault="007231A3">
      <w:pPr>
        <w:spacing w:after="0" w:line="360" w:lineRule="auto"/>
        <w:rPr>
          <w:color w:val="000000"/>
        </w:rPr>
      </w:pPr>
    </w:p>
    <w:p w14:paraId="1FC46AAA" w14:textId="77777777" w:rsidR="007231A3" w:rsidRDefault="007A4EF7">
      <w:pPr>
        <w:spacing w:after="0" w:line="360" w:lineRule="auto"/>
        <w:rPr>
          <w:color w:val="000000"/>
        </w:rPr>
      </w:pPr>
      <w:r>
        <w:rPr>
          <w:color w:val="000000"/>
        </w:rPr>
        <w:t>Lo anterior toma relevancia, pues según Trujillo, Humberto (2019), en el “Diccionario de Transparencia y Acceso a la Información Pública” (p. 122), el derecho de petición, es una prerrogativa constitucional que tienen las personas para solicitar o reclamar a las autoridades públicas; por lo que, las instancias deben recibirlas y realizar una respuesta. Además, la Jurisprudencia XXI.1o.P.A. J/27, de los Tribunales Colegiados de Circuito, localizada en la página 1406, del Semanario Judicial de la Federación y su Gaceta, Tomo XXXIII, marzo 2011, Novena Época, que establece lo siguiente:</w:t>
      </w:r>
    </w:p>
    <w:p w14:paraId="4D3CAC76" w14:textId="77777777" w:rsidR="007231A3" w:rsidRDefault="007231A3">
      <w:pPr>
        <w:spacing w:after="0" w:line="360" w:lineRule="auto"/>
        <w:rPr>
          <w:color w:val="000000"/>
        </w:rPr>
      </w:pPr>
    </w:p>
    <w:p w14:paraId="2BB10741" w14:textId="77777777" w:rsidR="007231A3" w:rsidRDefault="007A4EF7">
      <w:pPr>
        <w:spacing w:after="0" w:line="360" w:lineRule="auto"/>
        <w:ind w:left="567" w:right="567"/>
        <w:rPr>
          <w:i/>
          <w:color w:val="000000"/>
          <w:sz w:val="20"/>
          <w:szCs w:val="20"/>
        </w:rPr>
      </w:pPr>
      <w:r>
        <w:rPr>
          <w:b/>
          <w:i/>
          <w:color w:val="000000"/>
          <w:sz w:val="20"/>
          <w:szCs w:val="20"/>
        </w:rPr>
        <w:t xml:space="preserve">“DERECHO DE PETICIÓN. SUS ELEMENTOS. </w:t>
      </w:r>
      <w:r>
        <w:rPr>
          <w:i/>
          <w:color w:val="000000"/>
          <w:sz w:val="20"/>
          <w:szCs w:val="20"/>
        </w:rPr>
        <w:t>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promovente, sino que está en libertad de resolver de conformidad con los ordenamientos que resulten aplicables al caso, y la respuesta o trámite que se dé a la petición debe ser comunicada precisamente por la autoridad ante quien se ejercitó el derecho, y no por otra diversa.”</w:t>
      </w:r>
    </w:p>
    <w:p w14:paraId="41702107" w14:textId="77777777" w:rsidR="007231A3" w:rsidRDefault="007231A3">
      <w:pPr>
        <w:spacing w:after="0" w:line="360" w:lineRule="auto"/>
        <w:rPr>
          <w:color w:val="000000"/>
        </w:rPr>
      </w:pPr>
    </w:p>
    <w:p w14:paraId="05AFF046" w14:textId="77777777" w:rsidR="007231A3" w:rsidRDefault="007A4EF7">
      <w:pPr>
        <w:spacing w:after="0" w:line="360" w:lineRule="auto"/>
        <w:rPr>
          <w:color w:val="000000"/>
        </w:rPr>
      </w:pPr>
      <w:r>
        <w:rPr>
          <w:color w:val="000000"/>
        </w:rPr>
        <w:lastRenderedPageBreak/>
        <w:t>De la Jurisprudencia citada, se advierte que el derecho de petición, es una prerrogativa individual consagrada en el artículo 8° de la Constitución Política de los Estados Unidos Mexicanos, con el fin de que cualquier ciudadano o persona, presente una petición de manera pacífica y respetuosa (pregunta, consulta, duda, acción, entre otros), ante una autoridad, por lo que, tiene derecho de recibir una respuesta.</w:t>
      </w:r>
    </w:p>
    <w:p w14:paraId="49A16207" w14:textId="77777777" w:rsidR="007231A3" w:rsidRDefault="007231A3">
      <w:pPr>
        <w:spacing w:after="0" w:line="360" w:lineRule="auto"/>
        <w:rPr>
          <w:color w:val="000000"/>
        </w:rPr>
      </w:pPr>
    </w:p>
    <w:p w14:paraId="4F3A9403" w14:textId="77777777" w:rsidR="007231A3" w:rsidRDefault="007A4EF7">
      <w:pPr>
        <w:spacing w:after="0" w:line="360" w:lineRule="auto"/>
        <w:rPr>
          <w:b/>
          <w:color w:val="000000"/>
        </w:rPr>
      </w:pPr>
      <w:r>
        <w:rPr>
          <w:b/>
          <w:color w:val="000000"/>
        </w:rPr>
        <w:t xml:space="preserve">De tal circunstancia, se puede colegir que el requerimiento de información realizado por el Recurrente, se trata de una consulta y derecho de petición que implicaría la generación de un documento </w:t>
      </w:r>
      <w:r>
        <w:rPr>
          <w:b/>
          <w:i/>
          <w:color w:val="000000"/>
        </w:rPr>
        <w:t>ad hoc</w:t>
      </w:r>
      <w:r>
        <w:rPr>
          <w:b/>
          <w:color w:val="000000"/>
        </w:rPr>
        <w:t xml:space="preserve">, y, por lo tanto, no es procedente la vía del derecho de acceso a la información. </w:t>
      </w:r>
    </w:p>
    <w:p w14:paraId="154D1F65" w14:textId="77777777" w:rsidR="007231A3" w:rsidRDefault="007231A3">
      <w:pPr>
        <w:spacing w:after="0" w:line="360" w:lineRule="auto"/>
        <w:rPr>
          <w:b/>
          <w:color w:val="000000"/>
        </w:rPr>
      </w:pPr>
    </w:p>
    <w:p w14:paraId="4ABA132C" w14:textId="77777777" w:rsidR="007231A3" w:rsidRDefault="007A4EF7">
      <w:pPr>
        <w:spacing w:after="0" w:line="360" w:lineRule="auto"/>
        <w:rPr>
          <w:color w:val="000000"/>
        </w:rPr>
      </w:pPr>
      <w:r>
        <w:rPr>
          <w:color w:val="000000"/>
        </w:rPr>
        <w:t xml:space="preserve">En consecuencia, toda vez de que la solicitud de acceso a la información se trata de una consulta, que implicaría que el Sujeto Obligado realizará un documento que contenga determinado contenido, con un pronunciamiento específico, el Medio de Impugnación </w:t>
      </w:r>
      <w:r>
        <w:rPr>
          <w:b/>
          <w:color w:val="000000"/>
        </w:rPr>
        <w:t xml:space="preserve">actualiza la causal de </w:t>
      </w:r>
      <w:proofErr w:type="spellStart"/>
      <w:r>
        <w:rPr>
          <w:b/>
          <w:color w:val="000000"/>
        </w:rPr>
        <w:t>desechamiento</w:t>
      </w:r>
      <w:proofErr w:type="spellEnd"/>
      <w:r>
        <w:rPr>
          <w:b/>
          <w:color w:val="000000"/>
        </w:rPr>
        <w:t xml:space="preserve"> establecida en el artículo 191, fracción VI, </w:t>
      </w:r>
      <w:r>
        <w:rPr>
          <w:color w:val="000000"/>
        </w:rPr>
        <w:t>de la Ley de Transparencia y Acceso a la Información Pública del Estado de México y Municipios, únicamente por lo que, hace a dicho pedimento;</w:t>
      </w:r>
      <w:r>
        <w:rPr>
          <w:b/>
          <w:color w:val="000000"/>
        </w:rPr>
        <w:t xml:space="preserve"> </w:t>
      </w:r>
      <w:r>
        <w:rPr>
          <w:color w:val="000000"/>
        </w:rPr>
        <w:t xml:space="preserve">por lo que  lo procedente es </w:t>
      </w:r>
      <w:r>
        <w:rPr>
          <w:b/>
          <w:color w:val="000000"/>
        </w:rPr>
        <w:t xml:space="preserve">SOBRESEER PARCIALMENTE </w:t>
      </w:r>
      <w:r>
        <w:rPr>
          <w:color w:val="000000"/>
        </w:rPr>
        <w:t xml:space="preserve">el presente Recurso de Revisión, al actualizarse el supuesto previsto en el </w:t>
      </w:r>
      <w:r>
        <w:rPr>
          <w:b/>
          <w:color w:val="000000"/>
        </w:rPr>
        <w:t>artículo 192, fracción IV</w:t>
      </w:r>
      <w:r>
        <w:rPr>
          <w:color w:val="000000"/>
        </w:rPr>
        <w:t>, en relación con el diverso 186, fracción I, de ese ordenamiento legal.</w:t>
      </w:r>
    </w:p>
    <w:p w14:paraId="5F7E62A3" w14:textId="77777777" w:rsidR="007231A3" w:rsidRDefault="007231A3">
      <w:pPr>
        <w:spacing w:after="0" w:line="360" w:lineRule="auto"/>
        <w:rPr>
          <w:b/>
          <w:color w:val="000000"/>
        </w:rPr>
      </w:pPr>
    </w:p>
    <w:p w14:paraId="0E9AF763" w14:textId="77777777" w:rsidR="007231A3" w:rsidRDefault="007A4EF7">
      <w:pPr>
        <w:spacing w:after="0" w:line="360" w:lineRule="auto"/>
      </w:pPr>
      <w:r>
        <w:t>Ahora bien, el artículo 111 de la Ley de Transparencia y Acceso a la Información del Estado de México y Municipios, establece que cualquier persona podrá denunciar ante el Instituto la falta de publicación de las obligaciones de transparencia.</w:t>
      </w:r>
    </w:p>
    <w:p w14:paraId="6A114137" w14:textId="77777777" w:rsidR="007231A3" w:rsidRDefault="007231A3">
      <w:pPr>
        <w:spacing w:after="0" w:line="360" w:lineRule="auto"/>
      </w:pPr>
    </w:p>
    <w:p w14:paraId="32FFDA49" w14:textId="77777777" w:rsidR="007231A3" w:rsidRDefault="007A4EF7">
      <w:pPr>
        <w:spacing w:after="0" w:line="360" w:lineRule="auto"/>
      </w:pPr>
      <w:r>
        <w:t xml:space="preserve">En ese contexto, el artículo 3o, fracción VIII, y 23, fracción XIX, del Reglamento Interior del Instituto de Transparencia, Acceso a la Información Pública y Protección de Datos Personales del Estado de México y Municipios, precisa que la Dirección General Jurídica y de </w:t>
      </w:r>
      <w:r>
        <w:lastRenderedPageBreak/>
        <w:t xml:space="preserve">Verificación de este Instituto, será el encargado de tramitar y resolver las denuncias presentadas por la falta de publicación de las obligaciones de transparencia. </w:t>
      </w:r>
    </w:p>
    <w:p w14:paraId="1C65ED4D" w14:textId="77777777" w:rsidR="007231A3" w:rsidRDefault="007231A3">
      <w:pPr>
        <w:spacing w:after="0" w:line="360" w:lineRule="auto"/>
      </w:pPr>
    </w:p>
    <w:p w14:paraId="0D4D6117" w14:textId="77777777" w:rsidR="007231A3" w:rsidRDefault="007A4EF7">
      <w:pPr>
        <w:spacing w:after="0" w:line="360" w:lineRule="auto"/>
      </w:pPr>
      <w:r>
        <w:t>Conforme a lo anterior, se logra vislumbrar que la solicitud del Particular es una denuncia por la falta de publicación de las obligaciones de transparencia, normadas en la Ley referida, con lo cual se robustece que el requerimiento no es una solicitud de información, sino una consulta.</w:t>
      </w:r>
    </w:p>
    <w:p w14:paraId="6C927915" w14:textId="77777777" w:rsidR="007231A3" w:rsidRDefault="007231A3">
      <w:pPr>
        <w:spacing w:after="0" w:line="360" w:lineRule="auto"/>
        <w:rPr>
          <w:b/>
          <w:color w:val="000000"/>
        </w:rPr>
      </w:pPr>
    </w:p>
    <w:p w14:paraId="4A3C10A4" w14:textId="77777777" w:rsidR="007231A3" w:rsidRDefault="007A4EF7">
      <w:pPr>
        <w:spacing w:after="0" w:line="360" w:lineRule="auto"/>
        <w:rPr>
          <w:b/>
          <w:color w:val="000000"/>
        </w:rPr>
      </w:pPr>
      <w:r>
        <w:t>Sin embargo, se dejan a salvo sus derechos, para el caso de que sea de su interés presente la denuncia por falta de actualización del Portal de Información Pública de Oficio Mexiquense ante la Dirección General Jurídica y de Verificación de este Instituto.</w:t>
      </w:r>
    </w:p>
    <w:p w14:paraId="7D5740B6" w14:textId="77777777" w:rsidR="007231A3" w:rsidRDefault="007231A3">
      <w:pPr>
        <w:spacing w:after="0" w:line="360" w:lineRule="auto"/>
        <w:rPr>
          <w:b/>
          <w:color w:val="000000"/>
        </w:rPr>
      </w:pPr>
    </w:p>
    <w:p w14:paraId="175A7DDB" w14:textId="77777777" w:rsidR="007231A3" w:rsidRDefault="007A4EF7">
      <w:pPr>
        <w:spacing w:after="0" w:line="360" w:lineRule="auto"/>
        <w:rPr>
          <w:b/>
          <w:color w:val="000000"/>
        </w:rPr>
      </w:pPr>
      <w:r>
        <w:rPr>
          <w:color w:val="0D0D0D"/>
        </w:rPr>
        <w:t>En ese orden de ideas, toda vez que no ha quedado por completo sin materia el Recurso de Revisión, se considera procedente entrar al fondo del presente asunto, al no quedar sin materia.</w:t>
      </w:r>
    </w:p>
    <w:p w14:paraId="059AF83A" w14:textId="77777777" w:rsidR="007231A3" w:rsidRDefault="007231A3">
      <w:pPr>
        <w:spacing w:after="0" w:line="360" w:lineRule="auto"/>
        <w:rPr>
          <w:b/>
          <w:color w:val="000000"/>
        </w:rPr>
      </w:pPr>
    </w:p>
    <w:p w14:paraId="25318F5B" w14:textId="77777777" w:rsidR="007231A3" w:rsidRDefault="007A4EF7">
      <w:pPr>
        <w:pStyle w:val="Ttulo2"/>
        <w:spacing w:before="0" w:after="0" w:line="360" w:lineRule="auto"/>
        <w:rPr>
          <w:sz w:val="22"/>
          <w:szCs w:val="22"/>
        </w:rPr>
      </w:pPr>
      <w:bookmarkStart w:id="1" w:name="_heading=h.xvbvj03ysamb" w:colFirst="0" w:colLast="0"/>
      <w:bookmarkStart w:id="2" w:name="_Toc207895586"/>
      <w:bookmarkEnd w:id="1"/>
      <w:r>
        <w:rPr>
          <w:sz w:val="22"/>
          <w:szCs w:val="22"/>
        </w:rPr>
        <w:t>TERCERO. Determinación de la Controversia</w:t>
      </w:r>
      <w:bookmarkEnd w:id="2"/>
    </w:p>
    <w:p w14:paraId="79555811" w14:textId="77777777" w:rsidR="007231A3" w:rsidRDefault="007231A3">
      <w:pPr>
        <w:spacing w:after="0" w:line="360" w:lineRule="auto"/>
        <w:rPr>
          <w:b/>
          <w:color w:val="000000"/>
        </w:rPr>
      </w:pPr>
    </w:p>
    <w:p w14:paraId="5A20855A" w14:textId="77777777" w:rsidR="007231A3" w:rsidRDefault="007A4EF7">
      <w:pPr>
        <w:spacing w:after="0" w:line="360" w:lineRule="auto"/>
      </w:pPr>
      <w:r>
        <w:t>Con el objetivo de ilustrar la controversia planteada, resulta conveniente precisar, que una vez realizado el estudio de las constancias que integran el expediente en el que se actúa, se desprende que el Particular requirió la liga del Portal de Información Pública de Oficio Mexiquense del Sujeto Obligado.</w:t>
      </w:r>
    </w:p>
    <w:p w14:paraId="2CA8AD3B" w14:textId="77777777" w:rsidR="007231A3" w:rsidRDefault="007231A3">
      <w:pPr>
        <w:spacing w:after="0" w:line="360" w:lineRule="auto"/>
      </w:pPr>
    </w:p>
    <w:p w14:paraId="5E0A7A9C" w14:textId="77777777" w:rsidR="007231A3" w:rsidRDefault="007A4EF7">
      <w:pPr>
        <w:spacing w:after="0" w:line="360" w:lineRule="auto"/>
      </w:pPr>
      <w:r>
        <w:rPr>
          <w:color w:val="000000"/>
        </w:rPr>
        <w:t xml:space="preserve">En respuesta, el Sujeto Obligado, a través de la Titular de la Unidad de Transparencia, adjunto una liga en formato abierto que dirige al Portal </w:t>
      </w:r>
      <w:proofErr w:type="spellStart"/>
      <w:r>
        <w:rPr>
          <w:color w:val="000000"/>
        </w:rPr>
        <w:t>Ipomex</w:t>
      </w:r>
      <w:proofErr w:type="spellEnd"/>
      <w:r>
        <w:rPr>
          <w:color w:val="000000"/>
        </w:rPr>
        <w:t xml:space="preserve"> del Sujeto Obligado referido, </w:t>
      </w:r>
      <w:r>
        <w:t xml:space="preserve">ante dicha circunstancia, el Particular se inconformó de la entrega o puesta a disposición de información en un formato incomprensible y/o no accesible para el solicitante, lo cual </w:t>
      </w:r>
      <w:r>
        <w:lastRenderedPageBreak/>
        <w:t>actualiza la causal de procedencia prevista en la fracción IX, del artículo 179 de la Ley de Transparencia y Acceso a la Información Pública del Estado de México y Municipios</w:t>
      </w:r>
      <w:r>
        <w:rPr>
          <w:color w:val="0D0D0D"/>
        </w:rPr>
        <w:t xml:space="preserve">. </w:t>
      </w:r>
      <w:r>
        <w:t xml:space="preserve">Así, las cosas, una vez admitido y notificado el Recurso de Revisión a las partes, fueron omisas en emitir alguna manifestación o alegato. </w:t>
      </w:r>
    </w:p>
    <w:p w14:paraId="530EAC21" w14:textId="77777777" w:rsidR="007231A3" w:rsidRDefault="007231A3">
      <w:pPr>
        <w:spacing w:after="0" w:line="360" w:lineRule="auto"/>
        <w:ind w:right="567"/>
        <w:rPr>
          <w:i/>
          <w:sz w:val="20"/>
          <w:szCs w:val="20"/>
        </w:rPr>
      </w:pPr>
    </w:p>
    <w:p w14:paraId="74EE58AF" w14:textId="77777777" w:rsidR="007231A3" w:rsidRDefault="007A4EF7">
      <w:pPr>
        <w:tabs>
          <w:tab w:val="left" w:pos="4962"/>
        </w:tabs>
        <w:spacing w:after="0" w:line="360" w:lineRule="auto"/>
      </w:pPr>
      <w:r>
        <w:t xml:space="preserve">Lo anterior, se desprende de las documentales que obran en el expediente de referencia, materia de la presente resolución, consistente en: la solicitud de acceso a la información, el escrito </w:t>
      </w:r>
      <w:proofErr w:type="spellStart"/>
      <w:r>
        <w:t>recursal</w:t>
      </w:r>
      <w:proofErr w:type="spellEnd"/>
      <w:r>
        <w:t xml:space="preserve"> y el Informe Justificado; instrumentales que se toman en cuenta a efecto de resolver el presente medio de impugnación, conforme a lo dispuesto por el artículo 185, fracción IV, de la Ley de Transparencia y Acceso a la Información Pública del Estado de México y Municipios.</w:t>
      </w:r>
    </w:p>
    <w:p w14:paraId="76CD2496" w14:textId="77777777" w:rsidR="007231A3" w:rsidRDefault="007231A3">
      <w:pPr>
        <w:spacing w:after="0" w:line="360" w:lineRule="auto"/>
        <w:rPr>
          <w:b/>
          <w:color w:val="000000"/>
        </w:rPr>
      </w:pPr>
    </w:p>
    <w:p w14:paraId="370187CD" w14:textId="77777777" w:rsidR="007231A3" w:rsidRDefault="007A4EF7">
      <w:pPr>
        <w:pStyle w:val="Ttulo2"/>
        <w:spacing w:before="0" w:after="0" w:line="360" w:lineRule="auto"/>
        <w:rPr>
          <w:sz w:val="22"/>
          <w:szCs w:val="22"/>
        </w:rPr>
      </w:pPr>
      <w:bookmarkStart w:id="3" w:name="_heading=h.yjrf0pu071s6" w:colFirst="0" w:colLast="0"/>
      <w:bookmarkStart w:id="4" w:name="_Toc207895587"/>
      <w:bookmarkEnd w:id="3"/>
      <w:r>
        <w:rPr>
          <w:sz w:val="22"/>
          <w:szCs w:val="22"/>
        </w:rPr>
        <w:t>CUARTO. Marco normativo aplicable en materia de transparencia y acceso a la información pública</w:t>
      </w:r>
      <w:bookmarkEnd w:id="4"/>
    </w:p>
    <w:p w14:paraId="50C3A04F" w14:textId="77777777" w:rsidR="007231A3" w:rsidRDefault="007231A3">
      <w:pPr>
        <w:spacing w:after="0" w:line="360" w:lineRule="auto"/>
        <w:rPr>
          <w:color w:val="000000"/>
        </w:rPr>
      </w:pPr>
    </w:p>
    <w:p w14:paraId="7BE9D28F" w14:textId="77777777" w:rsidR="007231A3" w:rsidRDefault="007A4EF7">
      <w:pPr>
        <w:spacing w:after="0" w:line="360" w:lineRule="auto"/>
        <w:rPr>
          <w:color w:val="000000"/>
        </w:rPr>
      </w:pPr>
      <w:r>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543FAC50" w14:textId="77777777" w:rsidR="007231A3" w:rsidRDefault="007231A3">
      <w:pPr>
        <w:spacing w:after="0" w:line="360" w:lineRule="auto"/>
        <w:rPr>
          <w:color w:val="000000"/>
        </w:rPr>
      </w:pPr>
    </w:p>
    <w:p w14:paraId="29C2565A" w14:textId="77777777" w:rsidR="007231A3" w:rsidRDefault="007A4EF7">
      <w:pPr>
        <w:spacing w:after="0" w:line="360" w:lineRule="auto"/>
        <w:rPr>
          <w:color w:val="000000"/>
        </w:rPr>
      </w:pPr>
      <w:r>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F7773A5" w14:textId="77777777" w:rsidR="007231A3" w:rsidRDefault="007231A3">
      <w:pPr>
        <w:spacing w:after="0" w:line="360" w:lineRule="auto"/>
        <w:rPr>
          <w:color w:val="000000"/>
        </w:rPr>
      </w:pPr>
    </w:p>
    <w:p w14:paraId="449C3637" w14:textId="77777777" w:rsidR="007231A3" w:rsidRDefault="007A4EF7">
      <w:pPr>
        <w:spacing w:after="0" w:line="360" w:lineRule="auto"/>
        <w:rPr>
          <w:color w:val="000000"/>
        </w:rPr>
      </w:pPr>
      <w:r>
        <w:rPr>
          <w:color w:val="000000"/>
        </w:rPr>
        <w:t>Por su parte, la Ley de Transparencia y Acceso a la Información Pública del Estado de México y Municipios (Reglamentaria del artículo 5° de la Constitución Local), establece lo siguiente:</w:t>
      </w:r>
    </w:p>
    <w:p w14:paraId="37D8BB71" w14:textId="77777777" w:rsidR="007231A3" w:rsidRDefault="007231A3">
      <w:pPr>
        <w:spacing w:after="0" w:line="360" w:lineRule="auto"/>
        <w:rPr>
          <w:color w:val="000000"/>
        </w:rPr>
      </w:pPr>
    </w:p>
    <w:p w14:paraId="109BA144" w14:textId="77777777" w:rsidR="007231A3" w:rsidRDefault="007A4EF7">
      <w:pPr>
        <w:spacing w:after="0" w:line="360" w:lineRule="auto"/>
        <w:rPr>
          <w:color w:val="000000"/>
        </w:rPr>
      </w:pPr>
      <w:r>
        <w:rPr>
          <w:color w:val="000000"/>
        </w:rPr>
        <w:t>El artículo 12, que, quienes generen, recopilen, administren, manejen, procesen, archiven o conserven información pública serán responsables de la misma.</w:t>
      </w:r>
    </w:p>
    <w:p w14:paraId="3D865E8F" w14:textId="77777777" w:rsidR="007231A3" w:rsidRDefault="007231A3">
      <w:pPr>
        <w:spacing w:after="0" w:line="360" w:lineRule="auto"/>
        <w:rPr>
          <w:color w:val="000000"/>
        </w:rPr>
      </w:pPr>
    </w:p>
    <w:p w14:paraId="66E657E8" w14:textId="77777777" w:rsidR="007231A3" w:rsidRDefault="007A4EF7">
      <w:pPr>
        <w:widowControl w:val="0"/>
        <w:spacing w:after="0" w:line="360" w:lineRule="auto"/>
        <w:rPr>
          <w:color w:val="000000"/>
        </w:rPr>
      </w:pPr>
      <w:r>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2DC755D2" w14:textId="77777777" w:rsidR="007231A3" w:rsidRDefault="007231A3">
      <w:pPr>
        <w:widowControl w:val="0"/>
        <w:spacing w:after="0" w:line="360" w:lineRule="auto"/>
        <w:rPr>
          <w:color w:val="000000"/>
        </w:rPr>
      </w:pPr>
    </w:p>
    <w:p w14:paraId="53341A67" w14:textId="77777777" w:rsidR="007231A3" w:rsidRDefault="007A4EF7">
      <w:pPr>
        <w:spacing w:after="0" w:line="360" w:lineRule="auto"/>
        <w:rPr>
          <w:color w:val="000000"/>
        </w:rPr>
      </w:pPr>
      <w:r>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0E5B557" w14:textId="77777777" w:rsidR="007231A3" w:rsidRDefault="007231A3">
      <w:pPr>
        <w:spacing w:after="0" w:line="360" w:lineRule="auto"/>
      </w:pPr>
    </w:p>
    <w:p w14:paraId="576A8EDD" w14:textId="77777777" w:rsidR="007231A3" w:rsidRDefault="007A4EF7">
      <w:pPr>
        <w:pStyle w:val="Ttulo2"/>
        <w:spacing w:before="0" w:after="0" w:line="360" w:lineRule="auto"/>
        <w:rPr>
          <w:sz w:val="22"/>
          <w:szCs w:val="22"/>
        </w:rPr>
      </w:pPr>
      <w:bookmarkStart w:id="5" w:name="_heading=h.2duqxjzdmrpx" w:colFirst="0" w:colLast="0"/>
      <w:bookmarkStart w:id="6" w:name="_Toc207895588"/>
      <w:bookmarkEnd w:id="5"/>
      <w:r>
        <w:rPr>
          <w:sz w:val="22"/>
          <w:szCs w:val="22"/>
        </w:rPr>
        <w:t>QUINTO. Estudio de Fondo</w:t>
      </w:r>
      <w:bookmarkEnd w:id="6"/>
    </w:p>
    <w:p w14:paraId="2DF7A055" w14:textId="77777777" w:rsidR="007231A3" w:rsidRDefault="007231A3">
      <w:pPr>
        <w:spacing w:after="0" w:line="360" w:lineRule="auto"/>
        <w:rPr>
          <w:b/>
          <w:color w:val="000000"/>
        </w:rPr>
      </w:pPr>
    </w:p>
    <w:p w14:paraId="0FCEB3E0" w14:textId="77777777" w:rsidR="007231A3" w:rsidRDefault="007A4EF7">
      <w:pPr>
        <w:spacing w:after="0" w:line="360" w:lineRule="auto"/>
      </w:pPr>
      <w:r>
        <w:rPr>
          <w:color w:val="000000"/>
        </w:rPr>
        <w:t>Expuestas las posturas de las partes, se procede al análisis de los agravios hechos valer por la persona Recurrente</w:t>
      </w:r>
      <w:r>
        <w:t>, por lo que, en principio es necesario contextualizar la solicitud de información.</w:t>
      </w:r>
    </w:p>
    <w:p w14:paraId="07D7476F" w14:textId="77777777" w:rsidR="007231A3" w:rsidRDefault="007231A3">
      <w:pPr>
        <w:spacing w:after="0" w:line="360" w:lineRule="auto"/>
      </w:pPr>
    </w:p>
    <w:p w14:paraId="68DC237F" w14:textId="77777777" w:rsidR="007231A3" w:rsidRDefault="007A4EF7">
      <w:pPr>
        <w:spacing w:after="0" w:line="360" w:lineRule="auto"/>
      </w:pPr>
      <w:r>
        <w:t>Sobre el tema, Trujillo, Humberto (2019), en el “Diccionario de Transparencia y Acceso a la Información Pública” (p. 136 y 137), precisa que cuando un Sujeto Obligado proporciona información pública de manera electrónica es necesario garantizar su interoperabilidad, lo cual se traduce al hecho a que la información contenga datos en formatos y estándares abiertos para su reproducción y reutilización electrónica de manera libre y sin ninguna restricción.</w:t>
      </w:r>
    </w:p>
    <w:p w14:paraId="604AA57D" w14:textId="77777777" w:rsidR="007231A3" w:rsidRDefault="007231A3">
      <w:pPr>
        <w:spacing w:after="0" w:line="360" w:lineRule="auto"/>
      </w:pPr>
    </w:p>
    <w:p w14:paraId="2ABB8AE5" w14:textId="77777777" w:rsidR="007231A3" w:rsidRDefault="007A4EF7">
      <w:pPr>
        <w:spacing w:after="0" w:line="360" w:lineRule="auto"/>
      </w:pPr>
      <w:r>
        <w:lastRenderedPageBreak/>
        <w:t>Asimismo, establece que al proporcionar información pública es necesario que sea en un formato que no tenga ninguna restricción en el acceso o reutilización, por lo que, es necesario que los datos digitales (como ligas electrónicas), se proporcionen en un formato abierto. En ese contexto, el artículo al 3°, fracciones VIII y XVI de la Ley de Transparencia y Acceso a la Información Pública del Estado de México y Municipios, precisan lo siguiente:</w:t>
      </w:r>
    </w:p>
    <w:p w14:paraId="77CC4EE7" w14:textId="77777777" w:rsidR="007231A3" w:rsidRDefault="007231A3">
      <w:pPr>
        <w:spacing w:after="0" w:line="360" w:lineRule="auto"/>
      </w:pPr>
    </w:p>
    <w:p w14:paraId="73FBDA58" w14:textId="77777777" w:rsidR="007231A3" w:rsidRDefault="007A4EF7">
      <w:pPr>
        <w:numPr>
          <w:ilvl w:val="0"/>
          <w:numId w:val="3"/>
        </w:numPr>
        <w:pBdr>
          <w:top w:val="nil"/>
          <w:left w:val="nil"/>
          <w:bottom w:val="nil"/>
          <w:right w:val="nil"/>
          <w:between w:val="nil"/>
        </w:pBdr>
        <w:spacing w:after="0" w:line="360" w:lineRule="auto"/>
        <w:rPr>
          <w:color w:val="000000"/>
        </w:rPr>
      </w:pPr>
      <w:r>
        <w:rPr>
          <w:color w:val="000000"/>
        </w:rPr>
        <w:t>Dato abierto: 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1FF44780" w14:textId="77777777" w:rsidR="007231A3" w:rsidRDefault="007231A3">
      <w:pPr>
        <w:spacing w:after="0" w:line="360" w:lineRule="auto"/>
      </w:pPr>
    </w:p>
    <w:p w14:paraId="7967B1C5" w14:textId="77777777" w:rsidR="007231A3" w:rsidRDefault="007A4EF7">
      <w:pPr>
        <w:numPr>
          <w:ilvl w:val="0"/>
          <w:numId w:val="3"/>
        </w:numPr>
        <w:pBdr>
          <w:top w:val="nil"/>
          <w:left w:val="nil"/>
          <w:bottom w:val="nil"/>
          <w:right w:val="nil"/>
          <w:between w:val="nil"/>
        </w:pBdr>
        <w:spacing w:after="0" w:line="360" w:lineRule="auto"/>
        <w:rPr>
          <w:color w:val="000000"/>
        </w:rPr>
      </w:pPr>
      <w:r>
        <w:rPr>
          <w:color w:val="000000"/>
        </w:rPr>
        <w:t>Formato accesible: 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1A1BBC38" w14:textId="77777777" w:rsidR="007231A3" w:rsidRDefault="007231A3">
      <w:pPr>
        <w:pBdr>
          <w:top w:val="nil"/>
          <w:left w:val="nil"/>
          <w:bottom w:val="nil"/>
          <w:right w:val="nil"/>
          <w:between w:val="nil"/>
        </w:pBdr>
        <w:spacing w:after="0" w:line="360" w:lineRule="auto"/>
        <w:rPr>
          <w:color w:val="000000"/>
        </w:rPr>
      </w:pPr>
    </w:p>
    <w:p w14:paraId="35106851" w14:textId="77777777" w:rsidR="007231A3" w:rsidRDefault="007A4EF7">
      <w:pPr>
        <w:spacing w:after="0" w:line="360" w:lineRule="auto"/>
      </w:pPr>
      <w:r>
        <w:t>Conforme a lo anterior, se considera que en el caso de que la información peticionada obre</w:t>
      </w:r>
    </w:p>
    <w:p w14:paraId="517EB933" w14:textId="77777777" w:rsidR="007231A3" w:rsidRDefault="007A4EF7">
      <w:pPr>
        <w:spacing w:after="0" w:line="360" w:lineRule="auto"/>
      </w:pPr>
      <w:r>
        <w:t>en ligas electrónicas, el Sujeto Obligado deberá privilegiar la entrega de estas, en datos abiertos, es decir, en un formato que permita la accesibilidad y facilidad a los Particulares, para obtener la información contenida en estas.</w:t>
      </w:r>
    </w:p>
    <w:p w14:paraId="0593C833" w14:textId="77777777" w:rsidR="007231A3" w:rsidRDefault="007231A3">
      <w:pPr>
        <w:spacing w:after="0" w:line="360" w:lineRule="auto"/>
      </w:pPr>
    </w:p>
    <w:p w14:paraId="11740ADF" w14:textId="77777777" w:rsidR="007231A3" w:rsidRDefault="007A4EF7">
      <w:pPr>
        <w:spacing w:after="0" w:line="360" w:lineRule="auto"/>
      </w:pPr>
      <w:r>
        <w:t xml:space="preserve">Al respecto, el artículo 161 de la Ley de Transparencia y Acceso a la Información Pública del Estado de México y Municipios, establece que cuando la documentación peticionada ya se encuentra disponible al público, entre otros, en formatos electrónicos disponibles en internet, los sujetos obligados cumplirán el derecho de acceso a la información, cuando le hagan saber </w:t>
      </w:r>
      <w:r>
        <w:lastRenderedPageBreak/>
        <w:t>de manera precisa a los solicitantes, la fuente, el lugar y la forma en que se puede obtener la información.</w:t>
      </w:r>
    </w:p>
    <w:p w14:paraId="2BD1C549" w14:textId="77777777" w:rsidR="007231A3" w:rsidRDefault="007231A3">
      <w:pPr>
        <w:spacing w:after="0" w:line="360" w:lineRule="auto"/>
      </w:pPr>
    </w:p>
    <w:p w14:paraId="298A44CF" w14:textId="77777777" w:rsidR="007231A3" w:rsidRDefault="007A4EF7">
      <w:pPr>
        <w:spacing w:after="0" w:line="360" w:lineRule="auto"/>
        <w:rPr>
          <w:b/>
          <w:color w:val="000000"/>
        </w:rPr>
      </w:pPr>
      <w:r>
        <w:rPr>
          <w:color w:val="000000"/>
        </w:rPr>
        <w:t xml:space="preserve">En ese contexto, cabe precisar que de conformidad con los artículos 6°, apartado A, de la Constitución Política de los Estados Unidos Mexicanos, 5° de la Constitución Política del Estado Libre y Soberano de México y 4° de la Ley de Transparencia y Acceso a la Información Pública del Estado de México y Municipios, </w:t>
      </w:r>
      <w:r>
        <w:rPr>
          <w:b/>
          <w:color w:val="000000"/>
        </w:rPr>
        <w:t>toda la información generada, obtenida, adquirida, transformada o en posesión de los sujetos obligados es pública y accesible a cualquier persona.</w:t>
      </w:r>
    </w:p>
    <w:p w14:paraId="387E7106" w14:textId="77777777" w:rsidR="007231A3" w:rsidRDefault="007231A3">
      <w:pPr>
        <w:spacing w:after="0" w:line="360" w:lineRule="auto"/>
        <w:rPr>
          <w:color w:val="000000"/>
        </w:rPr>
      </w:pPr>
    </w:p>
    <w:p w14:paraId="65C2B304" w14:textId="77777777" w:rsidR="007231A3" w:rsidRDefault="007A4EF7">
      <w:pPr>
        <w:spacing w:after="0" w:line="360" w:lineRule="auto"/>
        <w:rPr>
          <w:color w:val="000000"/>
        </w:rPr>
      </w:pPr>
      <w:r>
        <w:rPr>
          <w:color w:val="000000"/>
        </w:rPr>
        <w:t>Por lo que se puede afirmar que, mediante el derecho de acceso a la información pública, los solicitantes pueden acceder a toda aquella información generada por los Sujetos Obligados, es decir, la ciudadanía puede allegarse de aquellos documentos generados por las dependencias gubernamentales.</w:t>
      </w:r>
    </w:p>
    <w:p w14:paraId="795A975C" w14:textId="77777777" w:rsidR="007231A3" w:rsidRDefault="007231A3">
      <w:pPr>
        <w:spacing w:after="0" w:line="360" w:lineRule="auto"/>
      </w:pPr>
    </w:p>
    <w:p w14:paraId="236DAEBE" w14:textId="77777777" w:rsidR="007231A3" w:rsidRDefault="007A4EF7">
      <w:pPr>
        <w:spacing w:after="0" w:line="360" w:lineRule="auto"/>
      </w:pPr>
      <w:bookmarkStart w:id="7" w:name="_heading=h.f8unmwdesdb9" w:colFirst="0" w:colLast="0"/>
      <w:bookmarkEnd w:id="7"/>
      <w:r>
        <w:t>Conforme a lo anterior, se advierte que la pretensión de la persona Recurrente, es obtener la liga del Portal de Información Pública de Oficio Mexiquense del Ente Recurrido; e</w:t>
      </w:r>
      <w:r>
        <w:rPr>
          <w:color w:val="000000"/>
        </w:rPr>
        <w:t xml:space="preserve">stablecida dicha circunstancia, de las constancias que obran en el expediente electrónico, se advierte que el Sujeto Obligado turnó la solicitud de información a la Unidad de Transparencia </w:t>
      </w:r>
      <w:r>
        <w:t xml:space="preserve">por lo que, es oportuno hacer referencia al </w:t>
      </w:r>
      <w:r>
        <w:rPr>
          <w:b/>
        </w:rPr>
        <w:t>procedimiento de búsqueda que deben de seguir los Sujetos Obligados para localizar la información</w:t>
      </w:r>
      <w:r>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41D56E7D" w14:textId="77777777" w:rsidR="007231A3" w:rsidRDefault="007231A3">
      <w:pPr>
        <w:spacing w:after="0" w:line="360" w:lineRule="auto"/>
      </w:pPr>
    </w:p>
    <w:p w14:paraId="33FC857B" w14:textId="77777777" w:rsidR="007231A3" w:rsidRDefault="007A4EF7">
      <w:pPr>
        <w:spacing w:after="0" w:line="360" w:lineRule="auto"/>
      </w:pPr>
      <w:r>
        <w:t>Así, a efecto de verificar si el Sujeto Obligado cumplió con dicho procedimiento, es necesario traer a colación el artículo 50 de la Ley de Transparencia y Acceso a la Información Pública del Estado de México y Municipios, que establece que los Sujetos Obligados contaran con una Unidad de Transparencia que dentro de sus atribuciones se encargara de recibir, tramitar y dar respuesta a las solicitudes de acceso a la información al igual que entregar, a los particulares la información solicitada.</w:t>
      </w:r>
    </w:p>
    <w:p w14:paraId="799991E0" w14:textId="77777777" w:rsidR="007231A3" w:rsidRDefault="007231A3">
      <w:pPr>
        <w:spacing w:after="0" w:line="360" w:lineRule="auto"/>
      </w:pPr>
    </w:p>
    <w:p w14:paraId="137E488C" w14:textId="77777777" w:rsidR="007231A3" w:rsidRDefault="007A4EF7">
      <w:pPr>
        <w:spacing w:after="0" w:line="360" w:lineRule="auto"/>
        <w:rPr>
          <w:color w:val="000000"/>
        </w:rPr>
      </w:pPr>
      <w:r>
        <w:rPr>
          <w:color w:val="000000"/>
        </w:rPr>
        <w:t xml:space="preserve">Así y de lo plasmado en párrafos anteriores, </w:t>
      </w:r>
      <w:r>
        <w:t xml:space="preserve">se logra colegir que, el Sujeto Obligado cumplió con el procedimiento de búsqueda </w:t>
      </w:r>
      <w:r>
        <w:rPr>
          <w:color w:val="000000"/>
        </w:rPr>
        <w:t>establecido en el artículo 162 de la Ley de Transparencia y Acceso a la Información Pública del Estado de México y Municipios, toda vez, que gestionó el requerimiento de información al área competente para conocer de lo peticionado.</w:t>
      </w:r>
    </w:p>
    <w:p w14:paraId="6EB1D43C" w14:textId="77777777" w:rsidR="007231A3" w:rsidRDefault="007231A3">
      <w:pPr>
        <w:spacing w:after="0" w:line="360" w:lineRule="auto"/>
        <w:rPr>
          <w:color w:val="000000"/>
        </w:rPr>
      </w:pPr>
    </w:p>
    <w:p w14:paraId="3727F689" w14:textId="77777777" w:rsidR="007231A3" w:rsidRDefault="007A4EF7">
      <w:pPr>
        <w:spacing w:after="0" w:line="360" w:lineRule="auto"/>
      </w:pPr>
      <w:r>
        <w:rPr>
          <w:color w:val="000000"/>
        </w:rPr>
        <w:t xml:space="preserve">Ahora bien, en respuesta, la Unidad de Transparencia proporcionó un vínculo electrónico, en formato abierto, de cuya revisión se logra vislumbrar que remite el Portal de Información Pública de Oficio Mexiquense del Sujeto Obligado, </w:t>
      </w:r>
      <w:r>
        <w:t>tal como se muestra a continuación:</w:t>
      </w:r>
    </w:p>
    <w:p w14:paraId="1329BF9D" w14:textId="77777777" w:rsidR="007231A3" w:rsidRDefault="007231A3">
      <w:pPr>
        <w:spacing w:after="0" w:line="360" w:lineRule="auto"/>
      </w:pPr>
    </w:p>
    <w:p w14:paraId="43A89558" w14:textId="77777777" w:rsidR="007231A3" w:rsidRDefault="007A4EF7">
      <w:pPr>
        <w:spacing w:after="0" w:line="360" w:lineRule="auto"/>
        <w:jc w:val="center"/>
      </w:pPr>
      <w:r>
        <w:rPr>
          <w:noProof/>
        </w:rPr>
        <w:drawing>
          <wp:inline distT="0" distB="0" distL="0" distR="0" wp14:anchorId="01DBD5F1" wp14:editId="69AB2091">
            <wp:extent cx="4284069" cy="2196959"/>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4284069" cy="2196959"/>
                    </a:xfrm>
                    <a:prstGeom prst="rect">
                      <a:avLst/>
                    </a:prstGeom>
                    <a:ln/>
                  </pic:spPr>
                </pic:pic>
              </a:graphicData>
            </a:graphic>
          </wp:inline>
        </w:drawing>
      </w:r>
    </w:p>
    <w:p w14:paraId="35762A5C" w14:textId="77777777" w:rsidR="007231A3" w:rsidRDefault="007231A3">
      <w:pPr>
        <w:spacing w:after="0" w:line="360" w:lineRule="auto"/>
        <w:rPr>
          <w:color w:val="000000"/>
          <w:highlight w:val="yellow"/>
        </w:rPr>
      </w:pPr>
    </w:p>
    <w:p w14:paraId="1143D9A6" w14:textId="77777777" w:rsidR="007231A3" w:rsidRDefault="007A4EF7">
      <w:pPr>
        <w:spacing w:after="0" w:line="360" w:lineRule="auto"/>
        <w:rPr>
          <w:color w:val="000000"/>
        </w:rPr>
      </w:pPr>
      <w:r>
        <w:lastRenderedPageBreak/>
        <w:t>Conforme a lo anterior, se logra vislumbrar el Sujeto Obligado, proporcionó el enlace que remite de manera directa a su Portal de Información Pública de Oficio Mexiquense, con lo cual dio cumplimiento a los artículos 12 y 160 de la Ley de la materia, y contrario a lo señalado por el Particular si da cuente de lo peticionado</w:t>
      </w:r>
      <w:r>
        <w:rPr>
          <w:color w:val="000000"/>
        </w:rPr>
        <w:t xml:space="preserve">, lo cual da como resultado que el agravio sea </w:t>
      </w:r>
      <w:r>
        <w:rPr>
          <w:b/>
          <w:color w:val="000000"/>
        </w:rPr>
        <w:t>INFUNDADO.</w:t>
      </w:r>
      <w:r>
        <w:rPr>
          <w:color w:val="000000"/>
        </w:rPr>
        <w:t xml:space="preserve"> </w:t>
      </w:r>
    </w:p>
    <w:p w14:paraId="7301810E" w14:textId="77777777" w:rsidR="007231A3" w:rsidRDefault="007231A3">
      <w:pPr>
        <w:spacing w:after="0" w:line="360" w:lineRule="auto"/>
        <w:rPr>
          <w:color w:val="000000"/>
        </w:rPr>
      </w:pPr>
    </w:p>
    <w:p w14:paraId="1BC0E86E" w14:textId="77777777" w:rsidR="007231A3" w:rsidRDefault="007A4EF7">
      <w:pPr>
        <w:spacing w:after="0" w:line="360" w:lineRule="auto"/>
      </w:pPr>
      <w:r>
        <w:t>Finalmente, no pasa desapercibido, que el ahora Recurrente, requirió que se diera vista al Órgano Interno de Control o Contraloría, a efecto de que se iniciara un procedimiento de responsabilidades en contra de los servidores públicos. Al respecto, en el artículo 36, fracción X, de la Ley de Transparencia y Acceso a la Información Pública del Estado de México y Municipios, se establece que es atribución de este Instituto hacer del conocimiento del Órgano Interno de Control o equivalente de cada Sujeto Obligado las infracciones a esta Ley.</w:t>
      </w:r>
    </w:p>
    <w:p w14:paraId="52A17EA1" w14:textId="77777777" w:rsidR="007231A3" w:rsidRDefault="007231A3">
      <w:pPr>
        <w:spacing w:after="0" w:line="360" w:lineRule="auto"/>
      </w:pPr>
    </w:p>
    <w:p w14:paraId="1883C8F2" w14:textId="77777777" w:rsidR="007231A3" w:rsidRDefault="007A4EF7">
      <w:pPr>
        <w:spacing w:after="0" w:line="360" w:lineRule="auto"/>
      </w:pPr>
      <w:r>
        <w:t>En ese sentido, de conformidad con lo previsto en el artículo 222, fracción III, de dicho ordenamiento, son causas de sanción por incumplimiento de las obligaciones establecida en la Ley de la materia, entre otras conductas, el actuar con negligencia, dolo o mala fe en la clasificación y desclasificación de la información.</w:t>
      </w:r>
    </w:p>
    <w:p w14:paraId="12C0B951" w14:textId="77777777" w:rsidR="007231A3" w:rsidRDefault="007231A3">
      <w:pPr>
        <w:spacing w:after="0" w:line="360" w:lineRule="auto"/>
      </w:pPr>
    </w:p>
    <w:p w14:paraId="06922442" w14:textId="77777777" w:rsidR="007231A3" w:rsidRDefault="007A4EF7">
      <w:pPr>
        <w:spacing w:after="0" w:line="360" w:lineRule="auto"/>
      </w:pPr>
      <w: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2F85A48F" w14:textId="77777777" w:rsidR="007231A3" w:rsidRDefault="007231A3">
      <w:pPr>
        <w:spacing w:after="0" w:line="360" w:lineRule="auto"/>
      </w:pPr>
    </w:p>
    <w:p w14:paraId="3506DEB6" w14:textId="77777777" w:rsidR="007231A3" w:rsidRDefault="007A4EF7">
      <w:pPr>
        <w:spacing w:after="0" w:line="360" w:lineRule="auto"/>
      </w:pPr>
      <w:r>
        <w:t xml:space="preserve">En el presente caso, este Instituto no cuenta con elementos necesarios para indicar que el actuar del Sujeto Obligado actuó con negligencia, dolo o mala fe al atender la solicitud de información; por lo que, no resulta procedente dar vista a la contraloría en el presente asunto. </w:t>
      </w:r>
      <w:r>
        <w:lastRenderedPageBreak/>
        <w:t xml:space="preserve">Sin embargo, se dejan a salvo los derechos del Particular, para que dé así requerirlo, presente la queja o denuncia, ante el Órgano Interno de Control del Sujeto Obligado. </w:t>
      </w:r>
    </w:p>
    <w:p w14:paraId="639AC102" w14:textId="77777777" w:rsidR="007231A3" w:rsidRDefault="007231A3">
      <w:pPr>
        <w:spacing w:after="0" w:line="360" w:lineRule="auto"/>
        <w:rPr>
          <w:color w:val="000000"/>
        </w:rPr>
      </w:pPr>
    </w:p>
    <w:p w14:paraId="42EB6236" w14:textId="77777777" w:rsidR="007231A3" w:rsidRDefault="007A4EF7">
      <w:pPr>
        <w:pStyle w:val="Ttulo2"/>
        <w:spacing w:before="0" w:after="0" w:line="360" w:lineRule="auto"/>
        <w:rPr>
          <w:b w:val="0"/>
          <w:color w:val="000000"/>
          <w:sz w:val="22"/>
          <w:szCs w:val="22"/>
        </w:rPr>
      </w:pPr>
      <w:bookmarkStart w:id="8" w:name="_heading=h.xmeu3x5geucn" w:colFirst="0" w:colLast="0"/>
      <w:bookmarkStart w:id="9" w:name="_Toc207895589"/>
      <w:bookmarkEnd w:id="8"/>
      <w:r>
        <w:rPr>
          <w:color w:val="000000"/>
          <w:sz w:val="22"/>
          <w:szCs w:val="22"/>
        </w:rPr>
        <w:t>SEXTO. Decisión</w:t>
      </w:r>
      <w:bookmarkEnd w:id="9"/>
    </w:p>
    <w:p w14:paraId="5B238E74" w14:textId="77777777" w:rsidR="007231A3" w:rsidRDefault="007231A3">
      <w:pPr>
        <w:spacing w:after="0" w:line="360" w:lineRule="auto"/>
        <w:rPr>
          <w:b/>
        </w:rPr>
      </w:pPr>
    </w:p>
    <w:p w14:paraId="7E1CD400" w14:textId="77777777" w:rsidR="007231A3" w:rsidRDefault="007A4EF7">
      <w:pPr>
        <w:spacing w:after="0" w:line="360" w:lineRule="auto"/>
      </w:pPr>
      <w:r>
        <w:t xml:space="preserve">Con fundamento en el artículo 186, fracción II, de la Ley de Transparencia y Acceso a la Información Pública del Estado de México y Municipios, este Instituto considera procedente </w:t>
      </w:r>
      <w:r>
        <w:rPr>
          <w:b/>
        </w:rPr>
        <w:t>CONFIRMAR</w:t>
      </w:r>
      <w:r>
        <w:t xml:space="preserve"> la respuesta otorgada por el Sujeto Obligado a la solicitud de información 00015/DIFCOYOTEPEC/IP/2025.</w:t>
      </w:r>
    </w:p>
    <w:p w14:paraId="32FDF85D" w14:textId="77777777" w:rsidR="007231A3" w:rsidRDefault="007231A3">
      <w:pPr>
        <w:spacing w:after="0" w:line="360" w:lineRule="auto"/>
      </w:pPr>
    </w:p>
    <w:p w14:paraId="542DE512" w14:textId="77777777" w:rsidR="007231A3" w:rsidRDefault="007A4EF7">
      <w:pPr>
        <w:spacing w:after="0" w:line="360" w:lineRule="auto"/>
        <w:rPr>
          <w:b/>
        </w:rPr>
      </w:pPr>
      <w:r>
        <w:rPr>
          <w:b/>
        </w:rPr>
        <w:t>Términos de la Resolución para conocimiento del Particular</w:t>
      </w:r>
    </w:p>
    <w:p w14:paraId="7FB9C2D8" w14:textId="77777777" w:rsidR="007231A3" w:rsidRDefault="007231A3">
      <w:pPr>
        <w:spacing w:after="0" w:line="360" w:lineRule="auto"/>
        <w:rPr>
          <w:b/>
        </w:rPr>
      </w:pPr>
    </w:p>
    <w:p w14:paraId="1474DA79" w14:textId="77777777" w:rsidR="007231A3" w:rsidRDefault="007A4EF7">
      <w:pPr>
        <w:widowControl w:val="0"/>
        <w:spacing w:after="0" w:line="360" w:lineRule="auto"/>
        <w:rPr>
          <w:color w:val="000000"/>
        </w:rPr>
      </w:pPr>
      <w:bookmarkStart w:id="10" w:name="_heading=h.1fob9te" w:colFirst="0" w:colLast="0"/>
      <w:bookmarkEnd w:id="10"/>
      <w:r>
        <w:rPr>
          <w:color w:val="000000"/>
        </w:rPr>
        <w:t xml:space="preserve">Se le hace del conocimiento al Particular, que, en el presente caso, no se le da la razón, pues el Sujeto Obligado desde respuesta adjunto la liga en formato abierto que dirige a </w:t>
      </w:r>
      <w:proofErr w:type="spellStart"/>
      <w:r>
        <w:rPr>
          <w:color w:val="000000"/>
        </w:rPr>
        <w:t>Ipomex</w:t>
      </w:r>
      <w:proofErr w:type="spellEnd"/>
      <w:r>
        <w:rPr>
          <w:color w:val="000000"/>
        </w:rPr>
        <w:t>, con lo cual dio atención cabal al requerimiento de información; la labor del Instituto de Transparencia, Acceso a la Información Pública y Protección de Datos Personales del Estado de México y Municipios, es apoyar a la población a acceder a la información pública y garantizar la protección de sus datos personales.</w:t>
      </w:r>
    </w:p>
    <w:p w14:paraId="61EE0D20" w14:textId="77777777" w:rsidR="007231A3" w:rsidRDefault="007231A3">
      <w:pPr>
        <w:widowControl w:val="0"/>
        <w:spacing w:after="0" w:line="360" w:lineRule="auto"/>
        <w:rPr>
          <w:color w:val="000000"/>
        </w:rPr>
      </w:pPr>
    </w:p>
    <w:p w14:paraId="047A752C" w14:textId="77777777" w:rsidR="007231A3" w:rsidRDefault="007A4EF7">
      <w:pPr>
        <w:spacing w:after="0" w:line="360" w:lineRule="auto"/>
      </w:pPr>
      <w:r>
        <w:t>Por lo expuesto y fundado, este Pleno:</w:t>
      </w:r>
    </w:p>
    <w:p w14:paraId="68EDC5B7" w14:textId="77777777" w:rsidR="007231A3" w:rsidRDefault="007231A3">
      <w:pPr>
        <w:spacing w:after="0" w:line="360" w:lineRule="auto"/>
      </w:pPr>
    </w:p>
    <w:p w14:paraId="04C6E82F" w14:textId="77777777" w:rsidR="007231A3" w:rsidRDefault="007A4EF7">
      <w:pPr>
        <w:pStyle w:val="Ttulo1"/>
        <w:spacing w:before="0" w:line="360" w:lineRule="auto"/>
        <w:jc w:val="center"/>
        <w:rPr>
          <w:rFonts w:ascii="Palatino Linotype" w:eastAsia="Palatino Linotype" w:hAnsi="Palatino Linotype" w:cs="Palatino Linotype"/>
          <w:b/>
          <w:color w:val="000000"/>
          <w:sz w:val="22"/>
          <w:szCs w:val="22"/>
        </w:rPr>
      </w:pPr>
      <w:bookmarkStart w:id="11" w:name="_heading=h.pfd85qep347g" w:colFirst="0" w:colLast="0"/>
      <w:bookmarkStart w:id="12" w:name="_Toc207895590"/>
      <w:bookmarkEnd w:id="11"/>
      <w:r>
        <w:rPr>
          <w:rFonts w:ascii="Palatino Linotype" w:eastAsia="Palatino Linotype" w:hAnsi="Palatino Linotype" w:cs="Palatino Linotype"/>
          <w:b/>
          <w:color w:val="000000"/>
          <w:sz w:val="22"/>
          <w:szCs w:val="22"/>
        </w:rPr>
        <w:t>R E S U E L V E</w:t>
      </w:r>
      <w:bookmarkEnd w:id="12"/>
    </w:p>
    <w:p w14:paraId="5DC5F95C" w14:textId="77777777" w:rsidR="007231A3" w:rsidRDefault="007231A3">
      <w:pPr>
        <w:spacing w:after="0" w:line="360" w:lineRule="auto"/>
      </w:pPr>
    </w:p>
    <w:p w14:paraId="0EFC37A9" w14:textId="77777777" w:rsidR="007231A3" w:rsidRDefault="007A4EF7">
      <w:pPr>
        <w:spacing w:after="0" w:line="360" w:lineRule="auto"/>
      </w:pPr>
      <w:r>
        <w:rPr>
          <w:b/>
        </w:rPr>
        <w:t xml:space="preserve">PRIMERO. </w:t>
      </w:r>
      <w:r>
        <w:t xml:space="preserve">Se </w:t>
      </w:r>
      <w:r>
        <w:rPr>
          <w:b/>
        </w:rPr>
        <w:t xml:space="preserve">CONFIRMA </w:t>
      </w:r>
      <w:r>
        <w:t>la respuesta entregada por el Sistema Municipal para el Desarrollo Integral de la Familia de Coyotepec, a la solicitud de información 00015/DIFCOYOTEPEC/IP/2025</w:t>
      </w:r>
      <w:r>
        <w:rPr>
          <w:color w:val="000000"/>
        </w:rPr>
        <w:t>,</w:t>
      </w:r>
      <w:r>
        <w:t xml:space="preserve"> por resultar </w:t>
      </w:r>
      <w:r>
        <w:rPr>
          <w:b/>
        </w:rPr>
        <w:t xml:space="preserve">INFUNDADAS </w:t>
      </w:r>
      <w:r>
        <w:t xml:space="preserve">las razones o motivos de </w:t>
      </w:r>
      <w:r>
        <w:lastRenderedPageBreak/>
        <w:t>inconformidad hechos valer por la persona Recurrente, en términos de los considerandos QUINTO y SEXTO de la presente Resolución.</w:t>
      </w:r>
    </w:p>
    <w:p w14:paraId="7CEFFDD2" w14:textId="77777777" w:rsidR="007231A3" w:rsidRDefault="007231A3">
      <w:pPr>
        <w:spacing w:after="0" w:line="360" w:lineRule="auto"/>
      </w:pPr>
    </w:p>
    <w:p w14:paraId="1DE960AB" w14:textId="77777777" w:rsidR="007231A3" w:rsidRDefault="007A4EF7">
      <w:pPr>
        <w:spacing w:after="0" w:line="360" w:lineRule="auto"/>
        <w:rPr>
          <w:b/>
          <w:color w:val="000000"/>
        </w:rPr>
      </w:pPr>
      <w:r>
        <w:rPr>
          <w:b/>
          <w:color w:val="000000"/>
        </w:rPr>
        <w:t xml:space="preserve">SEGUNDO. NOTIFÍQUESE POR SAIMEX </w:t>
      </w:r>
      <w:r>
        <w:rPr>
          <w:color w:val="000000"/>
        </w:rPr>
        <w:t>la presente Resolución, al Titular de la Unidad de Transparencia del Sujeto Obligado.</w:t>
      </w:r>
    </w:p>
    <w:p w14:paraId="1D2E51DF" w14:textId="77777777" w:rsidR="007231A3" w:rsidRDefault="007231A3">
      <w:pPr>
        <w:spacing w:after="0" w:line="360" w:lineRule="auto"/>
        <w:rPr>
          <w:b/>
          <w:i/>
          <w:color w:val="000000"/>
        </w:rPr>
      </w:pPr>
    </w:p>
    <w:p w14:paraId="15079202" w14:textId="77777777" w:rsidR="007231A3" w:rsidRDefault="007A4EF7">
      <w:pPr>
        <w:spacing w:after="0" w:line="360" w:lineRule="auto"/>
        <w:rPr>
          <w:b/>
          <w:color w:val="000000"/>
        </w:rPr>
      </w:pPr>
      <w:r>
        <w:rPr>
          <w:b/>
          <w:color w:val="000000"/>
        </w:rPr>
        <w:t xml:space="preserve">TERCERO. NOTIFÍQUESE POR SAIMEX </w:t>
      </w:r>
      <w:r>
        <w:rPr>
          <w:color w:val="000000"/>
        </w:rPr>
        <w:t>a la persona Recurrente, la presente Resolución</w:t>
      </w:r>
      <w:r>
        <w:t>,</w:t>
      </w:r>
      <w:r>
        <w:rPr>
          <w:color w:val="000000"/>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E7920D4" w14:textId="77777777" w:rsidR="007231A3" w:rsidRDefault="007231A3">
      <w:pPr>
        <w:spacing w:after="0" w:line="360" w:lineRule="auto"/>
        <w:rPr>
          <w:b/>
        </w:rPr>
      </w:pPr>
    </w:p>
    <w:p w14:paraId="67ED5781" w14:textId="77777777" w:rsidR="007231A3" w:rsidRDefault="007A4EF7">
      <w:pPr>
        <w:spacing w:after="0" w:line="360" w:lineRule="auto"/>
        <w:rPr>
          <w:b/>
        </w:rPr>
      </w:pPr>
      <w:r>
        <w:t>ASÍ LO RESUELVE, POR </w:t>
      </w:r>
      <w:r>
        <w:rPr>
          <w:b/>
        </w:rPr>
        <w:t>UNANIMIDAD</w:t>
      </w:r>
      <w:r>
        <w:t>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TRIGÉSIMA PRIMERA SESIÓN ORDINARIA, CELEBRADA EL TRES DE SEPTIEMBRE DE DOS MIL VEINTICINCO, ANTE EL SECRETARIO TÉCNICO DEL PLENO, ALEXIS TAPIA RAMÍREZ.</w:t>
      </w:r>
    </w:p>
    <w:p w14:paraId="1742DEAF" w14:textId="77777777" w:rsidR="007231A3" w:rsidRDefault="007231A3">
      <w:pPr>
        <w:spacing w:after="0" w:line="360" w:lineRule="auto"/>
      </w:pPr>
    </w:p>
    <w:p w14:paraId="7B65ABD9" w14:textId="77777777" w:rsidR="007231A3" w:rsidRDefault="007231A3">
      <w:pPr>
        <w:spacing w:after="0" w:line="360" w:lineRule="auto"/>
      </w:pPr>
    </w:p>
    <w:p w14:paraId="067EA097" w14:textId="77777777" w:rsidR="007231A3" w:rsidRDefault="007231A3">
      <w:pPr>
        <w:spacing w:after="0" w:line="360" w:lineRule="auto"/>
      </w:pPr>
    </w:p>
    <w:p w14:paraId="42E384F7" w14:textId="77777777" w:rsidR="007231A3" w:rsidRDefault="007231A3">
      <w:pPr>
        <w:spacing w:after="0" w:line="360" w:lineRule="auto"/>
      </w:pPr>
    </w:p>
    <w:p w14:paraId="2D70D5D8" w14:textId="77777777" w:rsidR="007231A3" w:rsidRDefault="007231A3">
      <w:pPr>
        <w:spacing w:after="0" w:line="360" w:lineRule="auto"/>
      </w:pPr>
    </w:p>
    <w:p w14:paraId="5CC87857" w14:textId="77777777" w:rsidR="007231A3" w:rsidRDefault="007231A3">
      <w:pPr>
        <w:spacing w:after="0" w:line="360" w:lineRule="auto"/>
      </w:pPr>
    </w:p>
    <w:p w14:paraId="11BD7647" w14:textId="77777777" w:rsidR="007231A3" w:rsidRDefault="007231A3">
      <w:pPr>
        <w:spacing w:after="0" w:line="360" w:lineRule="auto"/>
      </w:pPr>
    </w:p>
    <w:p w14:paraId="2C6F3F03" w14:textId="77777777" w:rsidR="007231A3" w:rsidRDefault="007231A3">
      <w:pPr>
        <w:spacing w:after="0" w:line="360" w:lineRule="auto"/>
      </w:pPr>
    </w:p>
    <w:p w14:paraId="42D118ED" w14:textId="77777777" w:rsidR="007231A3" w:rsidRDefault="007231A3">
      <w:pPr>
        <w:spacing w:after="0" w:line="360" w:lineRule="auto"/>
      </w:pPr>
    </w:p>
    <w:p w14:paraId="6AB616D5" w14:textId="77777777" w:rsidR="007231A3" w:rsidRDefault="007231A3">
      <w:pPr>
        <w:spacing w:after="0" w:line="360" w:lineRule="auto"/>
      </w:pPr>
    </w:p>
    <w:p w14:paraId="6696E84E" w14:textId="77777777" w:rsidR="007231A3" w:rsidRDefault="007231A3">
      <w:pPr>
        <w:spacing w:after="0" w:line="360" w:lineRule="auto"/>
      </w:pPr>
    </w:p>
    <w:p w14:paraId="465AED00" w14:textId="77777777" w:rsidR="007231A3" w:rsidRDefault="007231A3">
      <w:pPr>
        <w:spacing w:after="0" w:line="360" w:lineRule="auto"/>
      </w:pPr>
    </w:p>
    <w:p w14:paraId="2942EBB9" w14:textId="77777777" w:rsidR="007231A3" w:rsidRDefault="007231A3">
      <w:pPr>
        <w:spacing w:after="0" w:line="360" w:lineRule="auto"/>
      </w:pPr>
    </w:p>
    <w:p w14:paraId="0759E011" w14:textId="77777777" w:rsidR="007231A3" w:rsidRDefault="007231A3">
      <w:pPr>
        <w:spacing w:after="0" w:line="360" w:lineRule="auto"/>
      </w:pPr>
    </w:p>
    <w:p w14:paraId="1DF5A712" w14:textId="77777777" w:rsidR="007231A3" w:rsidRDefault="007231A3">
      <w:pPr>
        <w:spacing w:after="0" w:line="360" w:lineRule="auto"/>
      </w:pPr>
    </w:p>
    <w:p w14:paraId="74172E89" w14:textId="77777777" w:rsidR="007231A3" w:rsidRDefault="007231A3">
      <w:pPr>
        <w:spacing w:after="0" w:line="360" w:lineRule="auto"/>
      </w:pPr>
    </w:p>
    <w:p w14:paraId="3861252C" w14:textId="77777777" w:rsidR="007231A3" w:rsidRDefault="007231A3">
      <w:pPr>
        <w:spacing w:after="0" w:line="360" w:lineRule="auto"/>
      </w:pPr>
    </w:p>
    <w:sectPr w:rsidR="007231A3">
      <w:headerReference w:type="even" r:id="rId11"/>
      <w:headerReference w:type="default" r:id="rId12"/>
      <w:footerReference w:type="even" r:id="rId13"/>
      <w:footerReference w:type="default" r:id="rId14"/>
      <w:headerReference w:type="first" r:id="rId15"/>
      <w:footerReference w:type="first" r:id="rId16"/>
      <w:pgSz w:w="12240" w:h="15840"/>
      <w:pgMar w:top="1418" w:right="1608" w:bottom="1560" w:left="1701" w:header="447"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5ABCE" w14:textId="77777777" w:rsidR="00FB568E" w:rsidRDefault="00FB568E">
      <w:pPr>
        <w:spacing w:after="0" w:line="240" w:lineRule="auto"/>
      </w:pPr>
      <w:r>
        <w:separator/>
      </w:r>
    </w:p>
  </w:endnote>
  <w:endnote w:type="continuationSeparator" w:id="0">
    <w:p w14:paraId="62DA0A72" w14:textId="77777777" w:rsidR="00FB568E" w:rsidRDefault="00FB5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1410B" w14:textId="77777777" w:rsidR="007231A3" w:rsidRDefault="007A4EF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70B8E">
      <w:rPr>
        <w:b/>
        <w:noProof/>
        <w:color w:val="000000"/>
        <w:sz w:val="24"/>
        <w:szCs w:val="24"/>
      </w:rPr>
      <w:t>21</w:t>
    </w:r>
    <w:r>
      <w:rPr>
        <w:b/>
        <w:color w:val="000000"/>
        <w:sz w:val="24"/>
        <w:szCs w:val="24"/>
      </w:rPr>
      <w:fldChar w:fldCharType="end"/>
    </w:r>
  </w:p>
  <w:p w14:paraId="5209375C" w14:textId="77777777" w:rsidR="007231A3" w:rsidRDefault="007231A3">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17C11" w14:textId="77777777" w:rsidR="007231A3" w:rsidRDefault="007A4EF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170B8E">
      <w:rPr>
        <w:b/>
        <w:noProof/>
        <w:color w:val="000000"/>
        <w:sz w:val="24"/>
        <w:szCs w:val="24"/>
      </w:rPr>
      <w:t>20</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70B8E">
      <w:rPr>
        <w:b/>
        <w:noProof/>
        <w:color w:val="000000"/>
        <w:sz w:val="24"/>
        <w:szCs w:val="24"/>
      </w:rPr>
      <w:t>21</w:t>
    </w:r>
    <w:r>
      <w:rPr>
        <w:b/>
        <w:color w:val="000000"/>
        <w:sz w:val="24"/>
        <w:szCs w:val="24"/>
      </w:rPr>
      <w:fldChar w:fldCharType="end"/>
    </w:r>
  </w:p>
  <w:p w14:paraId="59114D73" w14:textId="77777777" w:rsidR="007231A3" w:rsidRDefault="007231A3">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E5F51" w14:textId="77777777" w:rsidR="007231A3" w:rsidRDefault="007A4EF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170B8E">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70B8E">
      <w:rPr>
        <w:b/>
        <w:noProof/>
        <w:color w:val="000000"/>
        <w:sz w:val="24"/>
        <w:szCs w:val="24"/>
      </w:rPr>
      <w:t>21</w:t>
    </w:r>
    <w:r>
      <w:rPr>
        <w:b/>
        <w:color w:val="000000"/>
        <w:sz w:val="24"/>
        <w:szCs w:val="24"/>
      </w:rPr>
      <w:fldChar w:fldCharType="end"/>
    </w:r>
  </w:p>
  <w:p w14:paraId="76AB8701" w14:textId="77777777" w:rsidR="007231A3" w:rsidRDefault="007231A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C03BC" w14:textId="77777777" w:rsidR="00FB568E" w:rsidRDefault="00FB568E">
      <w:pPr>
        <w:spacing w:after="0" w:line="240" w:lineRule="auto"/>
      </w:pPr>
      <w:r>
        <w:separator/>
      </w:r>
    </w:p>
  </w:footnote>
  <w:footnote w:type="continuationSeparator" w:id="0">
    <w:p w14:paraId="0A54C0D2" w14:textId="77777777" w:rsidR="00FB568E" w:rsidRDefault="00FB56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DE627" w14:textId="77777777" w:rsidR="007231A3" w:rsidRDefault="007231A3">
    <w:pPr>
      <w:widowControl w:val="0"/>
      <w:pBdr>
        <w:top w:val="nil"/>
        <w:left w:val="nil"/>
        <w:bottom w:val="nil"/>
        <w:right w:val="nil"/>
        <w:between w:val="nil"/>
      </w:pBdr>
      <w:spacing w:after="0" w:line="276" w:lineRule="auto"/>
      <w:jc w:val="left"/>
    </w:pPr>
  </w:p>
  <w:tbl>
    <w:tblPr>
      <w:tblStyle w:val="a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7231A3" w14:paraId="3800BB8A" w14:textId="77777777">
      <w:trPr>
        <w:trHeight w:val="132"/>
      </w:trPr>
      <w:tc>
        <w:tcPr>
          <w:tcW w:w="2691" w:type="dxa"/>
        </w:tcPr>
        <w:p w14:paraId="42E36027" w14:textId="77777777" w:rsidR="007231A3" w:rsidRDefault="007A4EF7">
          <w:pPr>
            <w:tabs>
              <w:tab w:val="right" w:pos="8838"/>
            </w:tabs>
            <w:ind w:right="-105"/>
            <w:rPr>
              <w:b/>
            </w:rPr>
          </w:pPr>
          <w:r>
            <w:rPr>
              <w:b/>
            </w:rPr>
            <w:t>Recurso de Revisión:</w:t>
          </w:r>
        </w:p>
      </w:tc>
      <w:tc>
        <w:tcPr>
          <w:tcW w:w="3405" w:type="dxa"/>
        </w:tcPr>
        <w:p w14:paraId="27EC86EB" w14:textId="77777777" w:rsidR="007231A3" w:rsidRDefault="007A4EF7">
          <w:pPr>
            <w:tabs>
              <w:tab w:val="right" w:pos="8838"/>
            </w:tabs>
            <w:ind w:left="-28" w:right="-32"/>
          </w:pPr>
          <w:r>
            <w:t>03846/INFOEM/IP/RR/2020</w:t>
          </w:r>
        </w:p>
      </w:tc>
    </w:tr>
    <w:tr w:rsidR="007231A3" w14:paraId="0379CDB9" w14:textId="77777777">
      <w:trPr>
        <w:trHeight w:val="261"/>
      </w:trPr>
      <w:tc>
        <w:tcPr>
          <w:tcW w:w="2691" w:type="dxa"/>
        </w:tcPr>
        <w:p w14:paraId="0F2772A1" w14:textId="77777777" w:rsidR="007231A3" w:rsidRDefault="007A4EF7">
          <w:pPr>
            <w:tabs>
              <w:tab w:val="right" w:pos="8838"/>
            </w:tabs>
            <w:ind w:right="-105"/>
            <w:rPr>
              <w:b/>
            </w:rPr>
          </w:pPr>
          <w:r>
            <w:rPr>
              <w:b/>
            </w:rPr>
            <w:t>Sujeto Obligado:</w:t>
          </w:r>
        </w:p>
      </w:tc>
      <w:tc>
        <w:tcPr>
          <w:tcW w:w="3405" w:type="dxa"/>
        </w:tcPr>
        <w:p w14:paraId="776547A0" w14:textId="77777777" w:rsidR="007231A3" w:rsidRDefault="007A4EF7">
          <w:pPr>
            <w:tabs>
              <w:tab w:val="right" w:pos="8838"/>
            </w:tabs>
            <w:ind w:right="-32"/>
          </w:pPr>
          <w:r>
            <w:t>Ayuntamiento de Valle de Chalco Solidaridad</w:t>
          </w:r>
        </w:p>
      </w:tc>
    </w:tr>
    <w:tr w:rsidR="007231A3" w14:paraId="7D9D36FD" w14:textId="77777777">
      <w:trPr>
        <w:trHeight w:val="261"/>
      </w:trPr>
      <w:tc>
        <w:tcPr>
          <w:tcW w:w="2691" w:type="dxa"/>
        </w:tcPr>
        <w:p w14:paraId="72D5EAC6" w14:textId="77777777" w:rsidR="007231A3" w:rsidRDefault="007A4EF7">
          <w:pPr>
            <w:tabs>
              <w:tab w:val="right" w:pos="8838"/>
            </w:tabs>
            <w:ind w:right="-105"/>
            <w:rPr>
              <w:b/>
            </w:rPr>
          </w:pPr>
          <w:r>
            <w:rPr>
              <w:b/>
            </w:rPr>
            <w:t>Comisionado Ponente:</w:t>
          </w:r>
        </w:p>
      </w:tc>
      <w:tc>
        <w:tcPr>
          <w:tcW w:w="3405" w:type="dxa"/>
        </w:tcPr>
        <w:p w14:paraId="139CB374" w14:textId="77777777" w:rsidR="007231A3" w:rsidRDefault="007A4EF7">
          <w:pPr>
            <w:tabs>
              <w:tab w:val="right" w:pos="8838"/>
            </w:tabs>
            <w:ind w:right="-32"/>
            <w:rPr>
              <w:b/>
            </w:rPr>
          </w:pPr>
          <w:r>
            <w:t>Luis Gustavo Parra Noriega</w:t>
          </w:r>
        </w:p>
      </w:tc>
    </w:tr>
  </w:tbl>
  <w:p w14:paraId="13537D8D" w14:textId="77777777" w:rsidR="007231A3"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349C0F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MARCA DE AGUA - HOJA RESOLUCIÓN" style="position:absolute;left:0;text-align:left;margin-left:0;margin-top:0;width:663.5pt;height:12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841CE" w14:textId="77777777" w:rsidR="007231A3" w:rsidRDefault="007231A3">
    <w:pPr>
      <w:widowControl w:val="0"/>
      <w:pBdr>
        <w:top w:val="nil"/>
        <w:left w:val="nil"/>
        <w:bottom w:val="nil"/>
        <w:right w:val="nil"/>
        <w:between w:val="nil"/>
      </w:pBdr>
      <w:spacing w:after="0" w:line="276" w:lineRule="auto"/>
      <w:jc w:val="left"/>
      <w:rPr>
        <w:color w:val="000000"/>
      </w:rPr>
    </w:pPr>
  </w:p>
  <w:tbl>
    <w:tblPr>
      <w:tblStyle w:val="a3"/>
      <w:tblW w:w="6379" w:type="dxa"/>
      <w:tblInd w:w="2552" w:type="dxa"/>
      <w:tblBorders>
        <w:top w:val="nil"/>
        <w:left w:val="nil"/>
        <w:bottom w:val="nil"/>
        <w:right w:val="nil"/>
        <w:insideH w:val="nil"/>
        <w:insideV w:val="nil"/>
      </w:tblBorders>
      <w:tblLayout w:type="fixed"/>
      <w:tblLook w:val="0400" w:firstRow="0" w:lastRow="0" w:firstColumn="0" w:lastColumn="0" w:noHBand="0" w:noVBand="1"/>
    </w:tblPr>
    <w:tblGrid>
      <w:gridCol w:w="2552"/>
      <w:gridCol w:w="3827"/>
    </w:tblGrid>
    <w:tr w:rsidR="007231A3" w14:paraId="274B18C9" w14:textId="77777777">
      <w:trPr>
        <w:trHeight w:val="138"/>
      </w:trPr>
      <w:tc>
        <w:tcPr>
          <w:tcW w:w="2552" w:type="dxa"/>
          <w:vAlign w:val="center"/>
        </w:tcPr>
        <w:p w14:paraId="1091335C" w14:textId="77777777" w:rsidR="007231A3" w:rsidRDefault="007A4EF7">
          <w:pPr>
            <w:tabs>
              <w:tab w:val="right" w:pos="8838"/>
            </w:tabs>
            <w:ind w:right="-105"/>
            <w:jc w:val="left"/>
            <w:rPr>
              <w:b/>
            </w:rPr>
          </w:pPr>
          <w:r>
            <w:rPr>
              <w:b/>
            </w:rPr>
            <w:t>Recurso de Revisión:</w:t>
          </w:r>
        </w:p>
      </w:tc>
      <w:tc>
        <w:tcPr>
          <w:tcW w:w="3827" w:type="dxa"/>
        </w:tcPr>
        <w:p w14:paraId="2D6C1AC1" w14:textId="77777777" w:rsidR="007231A3" w:rsidRDefault="007A4EF7">
          <w:pPr>
            <w:tabs>
              <w:tab w:val="right" w:pos="8838"/>
            </w:tabs>
            <w:ind w:right="-32"/>
          </w:pPr>
          <w:r>
            <w:t>06476/INFOEM/IP/RR/2025</w:t>
          </w:r>
        </w:p>
      </w:tc>
    </w:tr>
    <w:tr w:rsidR="007231A3" w14:paraId="10759F05" w14:textId="77777777">
      <w:trPr>
        <w:trHeight w:val="273"/>
      </w:trPr>
      <w:tc>
        <w:tcPr>
          <w:tcW w:w="2552" w:type="dxa"/>
        </w:tcPr>
        <w:p w14:paraId="0702931E" w14:textId="77777777" w:rsidR="007231A3" w:rsidRDefault="007A4EF7">
          <w:pPr>
            <w:tabs>
              <w:tab w:val="right" w:pos="8838"/>
            </w:tabs>
            <w:ind w:right="-105"/>
            <w:rPr>
              <w:b/>
            </w:rPr>
          </w:pPr>
          <w:r>
            <w:rPr>
              <w:b/>
            </w:rPr>
            <w:t>Sujeto Obligado:</w:t>
          </w:r>
        </w:p>
      </w:tc>
      <w:tc>
        <w:tcPr>
          <w:tcW w:w="3827" w:type="dxa"/>
        </w:tcPr>
        <w:p w14:paraId="08D28CF1" w14:textId="77777777" w:rsidR="007231A3" w:rsidRDefault="007A4EF7">
          <w:pPr>
            <w:tabs>
              <w:tab w:val="right" w:pos="8838"/>
            </w:tabs>
            <w:ind w:left="-28" w:right="-32"/>
          </w:pPr>
          <w:r>
            <w:rPr>
              <w:color w:val="000000"/>
            </w:rPr>
            <w:t>Sistema Municipal para el Desarrollo Integral de la Familia de Coyotepec</w:t>
          </w:r>
        </w:p>
      </w:tc>
    </w:tr>
    <w:tr w:rsidR="007231A3" w14:paraId="1FAD7ED2" w14:textId="77777777">
      <w:trPr>
        <w:trHeight w:val="273"/>
      </w:trPr>
      <w:tc>
        <w:tcPr>
          <w:tcW w:w="2552" w:type="dxa"/>
        </w:tcPr>
        <w:p w14:paraId="0B622F67" w14:textId="77777777" w:rsidR="007231A3" w:rsidRDefault="007A4EF7">
          <w:pPr>
            <w:tabs>
              <w:tab w:val="right" w:pos="8838"/>
            </w:tabs>
            <w:ind w:right="-105"/>
            <w:rPr>
              <w:b/>
            </w:rPr>
          </w:pPr>
          <w:r>
            <w:rPr>
              <w:b/>
            </w:rPr>
            <w:t>Comisionado Ponente:</w:t>
          </w:r>
        </w:p>
      </w:tc>
      <w:tc>
        <w:tcPr>
          <w:tcW w:w="3827" w:type="dxa"/>
        </w:tcPr>
        <w:p w14:paraId="50C138D1" w14:textId="77777777" w:rsidR="007231A3" w:rsidRDefault="007A4EF7">
          <w:pPr>
            <w:tabs>
              <w:tab w:val="right" w:pos="8838"/>
            </w:tabs>
            <w:ind w:left="-28" w:right="-32"/>
            <w:rPr>
              <w:b/>
            </w:rPr>
          </w:pPr>
          <w:r>
            <w:t>Luis Gustavo Parra Noriega</w:t>
          </w:r>
        </w:p>
      </w:tc>
    </w:tr>
  </w:tbl>
  <w:p w14:paraId="5DE71069" w14:textId="77777777" w:rsidR="007231A3"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61FF19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alt="MARCA DE AGUA - HOJA RESOLUCIÓN" style="position:absolute;left:0;text-align:left;margin-left:-84.6pt;margin-top:-122.95pt;width:663.5pt;height:12in;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62B60" w14:textId="77777777" w:rsidR="007231A3" w:rsidRDefault="00000000">
    <w:pPr>
      <w:widowControl w:val="0"/>
      <w:pBdr>
        <w:top w:val="nil"/>
        <w:left w:val="nil"/>
        <w:bottom w:val="nil"/>
        <w:right w:val="nil"/>
        <w:between w:val="nil"/>
      </w:pBdr>
      <w:spacing w:after="0" w:line="276" w:lineRule="auto"/>
      <w:jc w:val="left"/>
      <w:rPr>
        <w:color w:val="000000"/>
      </w:rPr>
    </w:pPr>
    <w:r>
      <w:rPr>
        <w:color w:val="000000"/>
      </w:rPr>
      <w:pict w14:anchorId="1284E9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MARCA DE AGUA - HOJA RESOLUCIÓN" style="position:absolute;margin-left:-91.25pt;margin-top:-126.5pt;width:663.5pt;height:12in;z-index:-251658752;mso-position-horizontal:absolute;mso-position-horizontal-relative:margin;mso-position-vertical:absolute;mso-position-vertical-relative:margin">
          <v:imagedata r:id="rId1" o:title="image1"/>
          <w10:wrap anchorx="margin" anchory="margin"/>
        </v:shape>
      </w:pict>
    </w:r>
  </w:p>
  <w:tbl>
    <w:tblPr>
      <w:tblStyle w:val="a4"/>
      <w:tblW w:w="6520" w:type="dxa"/>
      <w:tblInd w:w="2517" w:type="dxa"/>
      <w:tblBorders>
        <w:top w:val="nil"/>
        <w:left w:val="nil"/>
        <w:bottom w:val="nil"/>
        <w:right w:val="nil"/>
        <w:insideH w:val="nil"/>
        <w:insideV w:val="nil"/>
      </w:tblBorders>
      <w:tblLayout w:type="fixed"/>
      <w:tblLook w:val="0400" w:firstRow="0" w:lastRow="0" w:firstColumn="0" w:lastColumn="0" w:noHBand="0" w:noVBand="1"/>
    </w:tblPr>
    <w:tblGrid>
      <w:gridCol w:w="2552"/>
      <w:gridCol w:w="3968"/>
    </w:tblGrid>
    <w:tr w:rsidR="007231A3" w14:paraId="2205E85E" w14:textId="77777777">
      <w:trPr>
        <w:trHeight w:val="132"/>
      </w:trPr>
      <w:tc>
        <w:tcPr>
          <w:tcW w:w="2552" w:type="dxa"/>
        </w:tcPr>
        <w:p w14:paraId="146AB2BB" w14:textId="77777777" w:rsidR="007231A3" w:rsidRDefault="007A4EF7">
          <w:pPr>
            <w:tabs>
              <w:tab w:val="right" w:pos="8838"/>
            </w:tabs>
            <w:ind w:right="-105"/>
            <w:rPr>
              <w:b/>
            </w:rPr>
          </w:pPr>
          <w:r>
            <w:rPr>
              <w:b/>
            </w:rPr>
            <w:t>Recurso de Revisión:</w:t>
          </w:r>
        </w:p>
      </w:tc>
      <w:tc>
        <w:tcPr>
          <w:tcW w:w="3969" w:type="dxa"/>
        </w:tcPr>
        <w:p w14:paraId="5C5773E4" w14:textId="77777777" w:rsidR="007231A3" w:rsidRDefault="007A4EF7">
          <w:pPr>
            <w:tabs>
              <w:tab w:val="right" w:pos="8838"/>
            </w:tabs>
            <w:ind w:left="-111" w:right="-32"/>
          </w:pPr>
          <w:r>
            <w:t xml:space="preserve"> 06476/INFOEM/IP/RR/2025</w:t>
          </w:r>
        </w:p>
      </w:tc>
    </w:tr>
    <w:tr w:rsidR="007231A3" w14:paraId="5884CB99" w14:textId="77777777">
      <w:trPr>
        <w:trHeight w:val="132"/>
      </w:trPr>
      <w:tc>
        <w:tcPr>
          <w:tcW w:w="2552" w:type="dxa"/>
        </w:tcPr>
        <w:p w14:paraId="57B01F43" w14:textId="77777777" w:rsidR="007231A3" w:rsidRDefault="007A4EF7">
          <w:pPr>
            <w:tabs>
              <w:tab w:val="left" w:pos="1875"/>
            </w:tabs>
            <w:ind w:right="-105"/>
            <w:rPr>
              <w:b/>
            </w:rPr>
          </w:pPr>
          <w:r>
            <w:rPr>
              <w:b/>
            </w:rPr>
            <w:t>Recurrente:</w:t>
          </w:r>
          <w:r>
            <w:rPr>
              <w:b/>
            </w:rPr>
            <w:tab/>
            <w:t xml:space="preserve">             </w:t>
          </w:r>
        </w:p>
      </w:tc>
      <w:tc>
        <w:tcPr>
          <w:tcW w:w="3969" w:type="dxa"/>
        </w:tcPr>
        <w:p w14:paraId="1AAC2143" w14:textId="65AE5D14" w:rsidR="007231A3" w:rsidRPr="00221D28" w:rsidRDefault="00221D28">
          <w:pPr>
            <w:tabs>
              <w:tab w:val="right" w:pos="8838"/>
            </w:tabs>
            <w:ind w:left="-111" w:right="-109"/>
            <w:rPr>
              <w:highlight w:val="black"/>
            </w:rPr>
          </w:pPr>
          <w:r w:rsidRPr="00221D28">
            <w:rPr>
              <w:highlight w:val="black"/>
            </w:rPr>
            <w:t>XXXXXXXXXXXXXXXXXXXXXXXXXX</w:t>
          </w:r>
        </w:p>
      </w:tc>
    </w:tr>
    <w:tr w:rsidR="007231A3" w14:paraId="6BC1572D" w14:textId="77777777">
      <w:trPr>
        <w:trHeight w:val="261"/>
      </w:trPr>
      <w:tc>
        <w:tcPr>
          <w:tcW w:w="2552" w:type="dxa"/>
        </w:tcPr>
        <w:p w14:paraId="798398A0" w14:textId="77777777" w:rsidR="007231A3" w:rsidRDefault="007A4EF7">
          <w:pPr>
            <w:tabs>
              <w:tab w:val="right" w:pos="8838"/>
            </w:tabs>
            <w:ind w:right="-105"/>
            <w:rPr>
              <w:b/>
            </w:rPr>
          </w:pPr>
          <w:r>
            <w:rPr>
              <w:b/>
            </w:rPr>
            <w:t>Sujeto Obligado:</w:t>
          </w:r>
        </w:p>
      </w:tc>
      <w:tc>
        <w:tcPr>
          <w:tcW w:w="3969" w:type="dxa"/>
        </w:tcPr>
        <w:p w14:paraId="48832F7B" w14:textId="77777777" w:rsidR="007231A3" w:rsidRDefault="007A4EF7">
          <w:pPr>
            <w:tabs>
              <w:tab w:val="right" w:pos="8838"/>
            </w:tabs>
            <w:ind w:left="-111" w:right="-32"/>
          </w:pPr>
          <w:r>
            <w:rPr>
              <w:color w:val="000000"/>
            </w:rPr>
            <w:t>Sistema Municipal para el Desarrollo Integral de la Familia de Coyotepec</w:t>
          </w:r>
        </w:p>
      </w:tc>
    </w:tr>
    <w:tr w:rsidR="007231A3" w14:paraId="789C8987" w14:textId="77777777">
      <w:trPr>
        <w:trHeight w:val="261"/>
      </w:trPr>
      <w:tc>
        <w:tcPr>
          <w:tcW w:w="2552" w:type="dxa"/>
        </w:tcPr>
        <w:p w14:paraId="733A3CDA" w14:textId="77777777" w:rsidR="007231A3" w:rsidRDefault="007A4EF7">
          <w:pPr>
            <w:tabs>
              <w:tab w:val="right" w:pos="8838"/>
            </w:tabs>
            <w:ind w:right="-105"/>
            <w:rPr>
              <w:b/>
            </w:rPr>
          </w:pPr>
          <w:r>
            <w:rPr>
              <w:b/>
            </w:rPr>
            <w:t>Comisionado Ponente:</w:t>
          </w:r>
        </w:p>
      </w:tc>
      <w:tc>
        <w:tcPr>
          <w:tcW w:w="3969" w:type="dxa"/>
        </w:tcPr>
        <w:p w14:paraId="1C3D596E" w14:textId="77777777" w:rsidR="007231A3" w:rsidRDefault="007A4EF7">
          <w:pPr>
            <w:tabs>
              <w:tab w:val="right" w:pos="8838"/>
            </w:tabs>
            <w:ind w:left="-111" w:right="-32"/>
            <w:rPr>
              <w:b/>
            </w:rPr>
          </w:pPr>
          <w:r>
            <w:t>Luis Gustavo Parra Noriega</w:t>
          </w:r>
        </w:p>
      </w:tc>
    </w:tr>
  </w:tbl>
  <w:p w14:paraId="28550591" w14:textId="77777777" w:rsidR="007231A3" w:rsidRDefault="007231A3">
    <w:pPr>
      <w:pBdr>
        <w:top w:val="nil"/>
        <w:left w:val="nil"/>
        <w:bottom w:val="nil"/>
        <w:right w:val="nil"/>
        <w:between w:val="nil"/>
      </w:pBdr>
      <w:tabs>
        <w:tab w:val="center" w:pos="4419"/>
        <w:tab w:val="right" w:pos="8838"/>
        <w:tab w:val="left" w:pos="581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B1D8C"/>
    <w:multiLevelType w:val="multilevel"/>
    <w:tmpl w:val="69B47A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D560A9"/>
    <w:multiLevelType w:val="multilevel"/>
    <w:tmpl w:val="E6C6D3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00B3243"/>
    <w:multiLevelType w:val="multilevel"/>
    <w:tmpl w:val="E76A7F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48861205">
    <w:abstractNumId w:val="0"/>
  </w:num>
  <w:num w:numId="2" w16cid:durableId="258492753">
    <w:abstractNumId w:val="1"/>
  </w:num>
  <w:num w:numId="3" w16cid:durableId="13688707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1A3"/>
    <w:rsid w:val="00170B8E"/>
    <w:rsid w:val="00221D28"/>
    <w:rsid w:val="006B101A"/>
    <w:rsid w:val="006D7F82"/>
    <w:rsid w:val="007231A3"/>
    <w:rsid w:val="007A4EF7"/>
    <w:rsid w:val="007F7A25"/>
    <w:rsid w:val="009656B9"/>
    <w:rsid w:val="00CB2805"/>
    <w:rsid w:val="00FA2E75"/>
    <w:rsid w:val="00FB56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21A77"/>
  <w15:docId w15:val="{FD2B5A10-7BD6-43CA-A614-DA98BB7A1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s-MX"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240" w:after="0"/>
      <w:outlineLvl w:val="0"/>
    </w:pPr>
    <w:rPr>
      <w:rFonts w:ascii="Calibri" w:eastAsia="Calibri" w:hAnsi="Calibri" w:cs="Calibri"/>
      <w:color w:val="2F5496"/>
      <w:sz w:val="32"/>
      <w:szCs w:val="32"/>
    </w:rPr>
  </w:style>
  <w:style w:type="paragraph" w:styleId="Ttulo2">
    <w:name w:val="heading 2"/>
    <w:basedOn w:val="Normal"/>
    <w:next w:val="Normal"/>
    <w:pPr>
      <w:keepNext/>
      <w:keepLines/>
      <w:spacing w:before="360" w:after="80" w:line="254" w:lineRule="auto"/>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paragraph" w:styleId="Encabezado">
    <w:name w:val="header"/>
    <w:basedOn w:val="Normal"/>
    <w:link w:val="EncabezadoCar"/>
    <w:uiPriority w:val="99"/>
    <w:unhideWhenUsed/>
    <w:rsid w:val="00EC77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77D9"/>
    <w:rPr>
      <w:rFonts w:ascii="Palatino Linotype" w:hAnsi="Palatino Linotype"/>
      <w:color w:val="000000" w:themeColor="text1"/>
    </w:rPr>
  </w:style>
  <w:style w:type="paragraph" w:styleId="Piedepgina">
    <w:name w:val="footer"/>
    <w:basedOn w:val="Normal"/>
    <w:link w:val="PiedepginaCar"/>
    <w:uiPriority w:val="99"/>
    <w:unhideWhenUsed/>
    <w:rsid w:val="00EC77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77D9"/>
    <w:rPr>
      <w:rFonts w:ascii="Palatino Linotype" w:hAnsi="Palatino Linotype"/>
      <w:color w:val="000000" w:themeColor="text1"/>
    </w:rPr>
  </w:style>
  <w:style w:type="table" w:styleId="Tablaconcuadrcula">
    <w:name w:val="Table Grid"/>
    <w:basedOn w:val="Tablanormal"/>
    <w:uiPriority w:val="39"/>
    <w:qFormat/>
    <w:rsid w:val="00EC77D9"/>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C77D9"/>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C77D9"/>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EC77D9"/>
    <w:rPr>
      <w:rFonts w:ascii="Palatino Linotype" w:hAnsi="Palatino Linotype"/>
      <w:color w:val="000000" w:themeColor="text1"/>
    </w:rPr>
  </w:style>
  <w:style w:type="character" w:customStyle="1" w:styleId="normaltextrun">
    <w:name w:val="normaltextrun"/>
    <w:basedOn w:val="Fuentedeprrafopredeter"/>
    <w:rsid w:val="0097492D"/>
  </w:style>
  <w:style w:type="paragraph" w:customStyle="1" w:styleId="paragraph">
    <w:name w:val="paragraph"/>
    <w:basedOn w:val="Normal"/>
    <w:rsid w:val="001756F2"/>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eop">
    <w:name w:val="eop"/>
    <w:basedOn w:val="Fuentedeprrafopredeter"/>
    <w:rsid w:val="001756F2"/>
  </w:style>
  <w:style w:type="character" w:styleId="Hipervnculo">
    <w:name w:val="Hyperlink"/>
    <w:aliases w:val="Hipervínculo1,Hipervínculo11,Hipervínculo12,Hipervínculo13,Hipervínculo14,Hipervínculo15"/>
    <w:basedOn w:val="Fuentedeprrafopredeter"/>
    <w:uiPriority w:val="99"/>
    <w:unhideWhenUsed/>
    <w:rsid w:val="002A5660"/>
    <w:rPr>
      <w:color w:val="0563C1" w:themeColor="hyperlink"/>
      <w:u w:val="single"/>
    </w:rPr>
  </w:style>
  <w:style w:type="character" w:customStyle="1" w:styleId="Mencinsinresolver1">
    <w:name w:val="Mención sin resolver1"/>
    <w:basedOn w:val="Fuentedeprrafopredeter"/>
    <w:uiPriority w:val="99"/>
    <w:semiHidden/>
    <w:unhideWhenUsed/>
    <w:rsid w:val="001928BD"/>
    <w:rPr>
      <w:color w:val="605E5C"/>
      <w:shd w:val="clear" w:color="auto" w:fill="E1DFDD"/>
    </w:rPr>
  </w:style>
  <w:style w:type="character" w:customStyle="1" w:styleId="Mencinsinresolver2">
    <w:name w:val="Mención sin resolver2"/>
    <w:basedOn w:val="Fuentedeprrafopredeter"/>
    <w:uiPriority w:val="99"/>
    <w:semiHidden/>
    <w:unhideWhenUsed/>
    <w:rsid w:val="00C13E00"/>
    <w:rPr>
      <w:color w:val="605E5C"/>
      <w:shd w:val="clear" w:color="auto" w:fill="E1DFDD"/>
    </w:rPr>
  </w:style>
  <w:style w:type="character" w:customStyle="1" w:styleId="Mencinsinresolver3">
    <w:name w:val="Mención sin resolver3"/>
    <w:basedOn w:val="Fuentedeprrafopredeter"/>
    <w:uiPriority w:val="99"/>
    <w:semiHidden/>
    <w:unhideWhenUsed/>
    <w:rsid w:val="00AF127B"/>
    <w:rPr>
      <w:color w:val="605E5C"/>
      <w:shd w:val="clear" w:color="auto" w:fill="E1DFDD"/>
    </w:rPr>
  </w:style>
  <w:style w:type="character" w:customStyle="1" w:styleId="Mencinsinresolver4">
    <w:name w:val="Mención sin resolver4"/>
    <w:basedOn w:val="Fuentedeprrafopredeter"/>
    <w:uiPriority w:val="99"/>
    <w:semiHidden/>
    <w:unhideWhenUsed/>
    <w:rsid w:val="0026349A"/>
    <w:rPr>
      <w:color w:val="605E5C"/>
      <w:shd w:val="clear" w:color="auto" w:fill="E1DFDD"/>
    </w:rPr>
  </w:style>
  <w:style w:type="character" w:styleId="Textoennegrita">
    <w:name w:val="Strong"/>
    <w:basedOn w:val="Fuentedeprrafopredeter"/>
    <w:uiPriority w:val="22"/>
    <w:qFormat/>
    <w:rsid w:val="0026349A"/>
    <w:rPr>
      <w:b/>
      <w:bCs/>
    </w:rPr>
  </w:style>
  <w:style w:type="character" w:customStyle="1" w:styleId="Ttulo2Car">
    <w:name w:val="Título 2 Car"/>
    <w:basedOn w:val="Fuentedeprrafopredeter"/>
    <w:uiPriority w:val="9"/>
    <w:rsid w:val="00A36453"/>
    <w:rPr>
      <w:rFonts w:ascii="Palatino Linotype" w:eastAsia="Palatino Linotype" w:hAnsi="Palatino Linotype" w:cs="Palatino Linotype"/>
      <w:b/>
      <w:color w:val="000000" w:themeColor="text1"/>
      <w:sz w:val="36"/>
      <w:szCs w:val="36"/>
      <w:lang w:eastAsia="es-MX"/>
    </w:rPr>
  </w:style>
  <w:style w:type="character" w:customStyle="1" w:styleId="Ttulo1Car">
    <w:name w:val="Título 1 Car"/>
    <w:basedOn w:val="Fuentedeprrafopredeter"/>
    <w:uiPriority w:val="9"/>
    <w:rsid w:val="00CB780B"/>
    <w:rPr>
      <w:rFonts w:asciiTheme="majorHAnsi" w:eastAsiaTheme="majorEastAsia" w:hAnsiTheme="majorHAnsi" w:cstheme="majorBidi"/>
      <w:color w:val="2F5496" w:themeColor="accent1" w:themeShade="BF"/>
      <w:sz w:val="32"/>
      <w:szCs w:val="32"/>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paragraph" w:styleId="TtuloTDC">
    <w:name w:val="TOC Heading"/>
    <w:basedOn w:val="Ttulo1"/>
    <w:next w:val="Normal"/>
    <w:uiPriority w:val="39"/>
    <w:unhideWhenUsed/>
    <w:qFormat/>
    <w:rsid w:val="009656B9"/>
    <w:pPr>
      <w:jc w:val="left"/>
      <w:outlineLvl w:val="9"/>
    </w:pPr>
    <w:rPr>
      <w:rFonts w:asciiTheme="majorHAnsi" w:eastAsiaTheme="majorEastAsia" w:hAnsiTheme="majorHAnsi" w:cstheme="majorBidi"/>
      <w:color w:val="2F5496" w:themeColor="accent1" w:themeShade="BF"/>
    </w:rPr>
  </w:style>
  <w:style w:type="paragraph" w:styleId="TDC2">
    <w:name w:val="toc 2"/>
    <w:basedOn w:val="Normal"/>
    <w:next w:val="Normal"/>
    <w:autoRedefine/>
    <w:uiPriority w:val="39"/>
    <w:unhideWhenUsed/>
    <w:rsid w:val="009656B9"/>
    <w:pPr>
      <w:spacing w:after="100"/>
      <w:ind w:left="220"/>
    </w:pPr>
  </w:style>
  <w:style w:type="paragraph" w:styleId="TDC1">
    <w:name w:val="toc 1"/>
    <w:basedOn w:val="Normal"/>
    <w:next w:val="Normal"/>
    <w:autoRedefine/>
    <w:uiPriority w:val="39"/>
    <w:unhideWhenUsed/>
    <w:rsid w:val="009656B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ipomex.org.mx/ipome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Fy6HaTTLCb97wfEb0wGP4C9DTQ==">CgMxLjAyDmguZzNoaDU5cmFzNW1kMg5oLnh2YnZqMDN5c2FtYjIOaC55anJmMHB1MDcxczYyDmguMmR1cXhqemRtcnB4Mg5oLmY4dW5td2Rlc2RiOTIOaC54bWV1M3g1Z2V1Y24yCWguMWZvYjl0ZTIOaC5wZmQ4NXFlcDM0N2c4AHIhMUhfVGxsMEtIZklQb2V2MjZ3U1FsY0JLUmxsVFdhUlZ3</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68DC7BA-CE54-47C3-9F6E-C85A9BACE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5331</Words>
  <Characters>28204</Characters>
  <Application>Microsoft Office Word</Application>
  <DocSecurity>0</DocSecurity>
  <Lines>542</Lines>
  <Paragraphs>121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PEÑA VARA</dc:creator>
  <cp:lastModifiedBy>Roxana Lechuga</cp:lastModifiedBy>
  <cp:revision>4</cp:revision>
  <cp:lastPrinted>2025-09-05T16:05:00Z</cp:lastPrinted>
  <dcterms:created xsi:type="dcterms:W3CDTF">2025-09-05T16:05:00Z</dcterms:created>
  <dcterms:modified xsi:type="dcterms:W3CDTF">2025-11-28T02:38:00Z</dcterms:modified>
</cp:coreProperties>
</file>