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013A3" w:rsidRPr="004D79F8" w:rsidRDefault="00657552" w:rsidP="004D79F8">
      <w:pPr>
        <w:tabs>
          <w:tab w:val="left" w:pos="3465"/>
        </w:tabs>
        <w:spacing w:before="240" w:after="360" w:line="360" w:lineRule="auto"/>
        <w:jc w:val="both"/>
        <w:rPr>
          <w:rFonts w:ascii="Palatino Linotype" w:eastAsia="Palatino Linotype" w:hAnsi="Palatino Linotype" w:cs="Palatino Linotype"/>
          <w:color w:val="000000" w:themeColor="text1"/>
        </w:rPr>
      </w:pPr>
      <w:bookmarkStart w:id="0" w:name="_GoBack"/>
      <w:bookmarkEnd w:id="0"/>
      <w:r w:rsidRPr="004D79F8">
        <w:rPr>
          <w:rFonts w:ascii="Palatino Linotype" w:eastAsia="Palatino Linotype" w:hAnsi="Palatino Linotype" w:cs="Palatino Linotype"/>
          <w:color w:val="000000" w:themeColor="text1"/>
        </w:rPr>
        <w:t xml:space="preserve">Resolución del Pleno del Instituto de Transparencia, Acceso a la Información Pública y Protección de Datos Personales del Estado de México y Municipios, con domicilio en Metepec, Estado de México; </w:t>
      </w:r>
      <w:r w:rsidR="004D79F8">
        <w:rPr>
          <w:rFonts w:ascii="Palatino Linotype" w:eastAsia="Palatino Linotype" w:hAnsi="Palatino Linotype" w:cs="Palatino Linotype"/>
          <w:b/>
          <w:color w:val="000000" w:themeColor="text1"/>
        </w:rPr>
        <w:t xml:space="preserve">de fecha veinticinco (25) </w:t>
      </w:r>
      <w:r w:rsidR="004D79F8" w:rsidRPr="00157555">
        <w:rPr>
          <w:rFonts w:ascii="Palatino Linotype" w:eastAsia="Palatino Linotype" w:hAnsi="Palatino Linotype" w:cs="Palatino Linotype"/>
          <w:b/>
          <w:color w:val="000000" w:themeColor="text1"/>
        </w:rPr>
        <w:t xml:space="preserve">de </w:t>
      </w:r>
      <w:r w:rsidR="004D79F8">
        <w:rPr>
          <w:rFonts w:ascii="Palatino Linotype" w:eastAsia="Palatino Linotype" w:hAnsi="Palatino Linotype" w:cs="Palatino Linotype"/>
          <w:b/>
          <w:color w:val="000000" w:themeColor="text1"/>
        </w:rPr>
        <w:t xml:space="preserve">noviembre </w:t>
      </w:r>
      <w:r w:rsidR="004D79F8" w:rsidRPr="00157555">
        <w:rPr>
          <w:rFonts w:ascii="Palatino Linotype" w:eastAsia="Palatino Linotype" w:hAnsi="Palatino Linotype" w:cs="Palatino Linotype"/>
          <w:b/>
          <w:color w:val="000000" w:themeColor="text1"/>
        </w:rPr>
        <w:t>de dos mil veinticinco</w:t>
      </w:r>
      <w:r w:rsidRPr="004D79F8">
        <w:rPr>
          <w:rFonts w:ascii="Palatino Linotype" w:eastAsia="Palatino Linotype" w:hAnsi="Palatino Linotype" w:cs="Palatino Linotype"/>
          <w:color w:val="000000" w:themeColor="text1"/>
        </w:rPr>
        <w:t xml:space="preserve">. </w:t>
      </w:r>
    </w:p>
    <w:p w:rsidR="00E013A3" w:rsidRDefault="00657552" w:rsidP="004D79F8">
      <w:pPr>
        <w:tabs>
          <w:tab w:val="left" w:pos="3465"/>
        </w:tabs>
        <w:spacing w:before="240" w:after="360" w:line="360" w:lineRule="auto"/>
        <w:jc w:val="both"/>
        <w:rPr>
          <w:rFonts w:ascii="Palatino Linotype" w:eastAsia="Palatino Linotype" w:hAnsi="Palatino Linotype" w:cs="Palatino Linotype"/>
          <w:color w:val="000000" w:themeColor="text1"/>
        </w:rPr>
      </w:pPr>
      <w:r w:rsidRPr="004D79F8">
        <w:rPr>
          <w:rFonts w:ascii="Palatino Linotype" w:eastAsia="Palatino Linotype" w:hAnsi="Palatino Linotype" w:cs="Palatino Linotype"/>
          <w:b/>
          <w:bCs/>
          <w:color w:val="000000" w:themeColor="text1"/>
        </w:rPr>
        <w:t xml:space="preserve">VISTO </w:t>
      </w:r>
      <w:r w:rsidRPr="004D79F8">
        <w:rPr>
          <w:rFonts w:ascii="Palatino Linotype" w:eastAsia="Palatino Linotype" w:hAnsi="Palatino Linotype" w:cs="Palatino Linotype"/>
          <w:color w:val="000000" w:themeColor="text1"/>
        </w:rPr>
        <w:t xml:space="preserve">el expediente electrónico formado con motivo del recurso de revisión </w:t>
      </w:r>
      <w:r w:rsidRPr="004D79F8">
        <w:rPr>
          <w:rFonts w:ascii="Palatino Linotype" w:eastAsia="Palatino Linotype" w:hAnsi="Palatino Linotype" w:cs="Palatino Linotype"/>
          <w:b/>
          <w:bCs/>
          <w:color w:val="000000" w:themeColor="text1"/>
        </w:rPr>
        <w:t>07278/INFOEM/IP/RR/2025</w:t>
      </w:r>
      <w:r w:rsidRPr="004D79F8">
        <w:rPr>
          <w:rFonts w:ascii="Palatino Linotype" w:eastAsia="Palatino Linotype" w:hAnsi="Palatino Linotype" w:cs="Palatino Linotype"/>
          <w:color w:val="000000" w:themeColor="text1"/>
        </w:rPr>
        <w:t xml:space="preserve">, promovido por </w:t>
      </w:r>
      <w:r w:rsidRPr="004D79F8">
        <w:rPr>
          <w:rFonts w:ascii="Palatino Linotype" w:eastAsia="Palatino Linotype" w:hAnsi="Palatino Linotype" w:cs="Palatino Linotype"/>
          <w:b/>
          <w:bCs/>
          <w:color w:val="000000" w:themeColor="text1"/>
        </w:rPr>
        <w:t>un usuario que no proporcionó nombre,</w:t>
      </w:r>
      <w:r w:rsidRPr="004D79F8">
        <w:rPr>
          <w:rFonts w:ascii="Palatino Linotype" w:eastAsia="Palatino Linotype" w:hAnsi="Palatino Linotype" w:cs="Palatino Linotype"/>
          <w:color w:val="000000" w:themeColor="text1"/>
        </w:rPr>
        <w:t xml:space="preserve"> </w:t>
      </w:r>
      <w:r w:rsidR="00FD031B">
        <w:rPr>
          <w:rFonts w:ascii="Palatino Linotype" w:eastAsia="Palatino Linotype" w:hAnsi="Palatino Linotype" w:cs="Palatino Linotype"/>
          <w:color w:val="000000" w:themeColor="text1"/>
        </w:rPr>
        <w:t xml:space="preserve">a </w:t>
      </w:r>
      <w:r w:rsidRPr="004D79F8">
        <w:rPr>
          <w:rFonts w:ascii="Palatino Linotype" w:eastAsia="Palatino Linotype" w:hAnsi="Palatino Linotype" w:cs="Palatino Linotype"/>
          <w:color w:val="000000" w:themeColor="text1"/>
        </w:rPr>
        <w:t>quien</w:t>
      </w:r>
      <w:r w:rsidRPr="004D79F8">
        <w:rPr>
          <w:rFonts w:ascii="Palatino Linotype" w:eastAsia="Palatino Linotype" w:hAnsi="Palatino Linotype" w:cs="Palatino Linotype"/>
          <w:b/>
          <w:bCs/>
          <w:color w:val="000000" w:themeColor="text1"/>
        </w:rPr>
        <w:t xml:space="preserve"> </w:t>
      </w:r>
      <w:r w:rsidRPr="004D79F8">
        <w:rPr>
          <w:rFonts w:ascii="Palatino Linotype" w:eastAsia="Palatino Linotype" w:hAnsi="Palatino Linotype" w:cs="Palatino Linotype"/>
          <w:color w:val="000000" w:themeColor="text1"/>
        </w:rPr>
        <w:t xml:space="preserve">en lo sucesivo será identificado en su calidad de </w:t>
      </w:r>
      <w:r w:rsidRPr="004D79F8">
        <w:rPr>
          <w:rFonts w:ascii="Palatino Linotype" w:eastAsia="Palatino Linotype" w:hAnsi="Palatino Linotype" w:cs="Palatino Linotype"/>
          <w:b/>
          <w:bCs/>
          <w:color w:val="000000" w:themeColor="text1"/>
        </w:rPr>
        <w:t>RECURRENTE</w:t>
      </w:r>
      <w:r w:rsidRPr="004D79F8">
        <w:rPr>
          <w:rFonts w:ascii="Palatino Linotype" w:eastAsia="Palatino Linotype" w:hAnsi="Palatino Linotype" w:cs="Palatino Linotype"/>
          <w:color w:val="000000" w:themeColor="text1"/>
        </w:rPr>
        <w:t>,</w:t>
      </w:r>
      <w:r w:rsidRPr="004D79F8">
        <w:rPr>
          <w:rFonts w:ascii="Palatino Linotype" w:eastAsia="Palatino Linotype" w:hAnsi="Palatino Linotype" w:cs="Palatino Linotype"/>
          <w:b/>
          <w:bCs/>
          <w:color w:val="000000" w:themeColor="text1"/>
        </w:rPr>
        <w:t xml:space="preserve"> </w:t>
      </w:r>
      <w:r w:rsidRPr="004D79F8">
        <w:rPr>
          <w:rFonts w:ascii="Palatino Linotype" w:eastAsia="Palatino Linotype" w:hAnsi="Palatino Linotype" w:cs="Palatino Linotype"/>
          <w:color w:val="000000" w:themeColor="text1"/>
        </w:rPr>
        <w:t xml:space="preserve">en contra de las respuestas del </w:t>
      </w:r>
      <w:r w:rsidRPr="004D79F8">
        <w:rPr>
          <w:rFonts w:ascii="Palatino Linotype" w:eastAsia="Palatino Linotype" w:hAnsi="Palatino Linotype" w:cs="Palatino Linotype"/>
          <w:b/>
          <w:bCs/>
          <w:color w:val="000000" w:themeColor="text1"/>
        </w:rPr>
        <w:t xml:space="preserve">Ayuntamiento de Toluca, </w:t>
      </w:r>
      <w:r w:rsidRPr="004D79F8">
        <w:rPr>
          <w:rFonts w:ascii="Palatino Linotype" w:eastAsia="Palatino Linotype" w:hAnsi="Palatino Linotype" w:cs="Palatino Linotype"/>
          <w:color w:val="000000" w:themeColor="text1"/>
        </w:rPr>
        <w:t>en adelante el</w:t>
      </w:r>
      <w:r w:rsidRPr="004D79F8">
        <w:rPr>
          <w:rFonts w:ascii="Palatino Linotype" w:eastAsia="Palatino Linotype" w:hAnsi="Palatino Linotype" w:cs="Palatino Linotype"/>
          <w:b/>
          <w:bCs/>
          <w:color w:val="000000" w:themeColor="text1"/>
        </w:rPr>
        <w:t xml:space="preserve"> SUJETO OBLIGADO, </w:t>
      </w:r>
      <w:r w:rsidRPr="004D79F8">
        <w:rPr>
          <w:rFonts w:ascii="Palatino Linotype" w:eastAsia="Palatino Linotype" w:hAnsi="Palatino Linotype" w:cs="Palatino Linotype"/>
          <w:color w:val="000000" w:themeColor="text1"/>
        </w:rPr>
        <w:t xml:space="preserve">se procede a dictar la presente resolución, con base en los siguientes: </w:t>
      </w:r>
    </w:p>
    <w:p w:rsidR="00FD031B" w:rsidRPr="004D79F8" w:rsidRDefault="00FD031B" w:rsidP="004D79F8">
      <w:pPr>
        <w:tabs>
          <w:tab w:val="left" w:pos="3465"/>
        </w:tabs>
        <w:spacing w:before="240" w:after="360" w:line="360" w:lineRule="auto"/>
        <w:jc w:val="both"/>
        <w:rPr>
          <w:rFonts w:ascii="Palatino Linotype" w:eastAsia="Palatino Linotype" w:hAnsi="Palatino Linotype" w:cs="Palatino Linotype"/>
          <w:b/>
          <w:bCs/>
          <w:color w:val="000000" w:themeColor="text1"/>
        </w:rPr>
      </w:pPr>
    </w:p>
    <w:p w:rsidR="00E013A3" w:rsidRPr="004D79F8" w:rsidRDefault="00657552" w:rsidP="004D79F8">
      <w:pPr>
        <w:pStyle w:val="Ttulo1"/>
        <w:spacing w:line="360" w:lineRule="auto"/>
        <w:jc w:val="center"/>
        <w:rPr>
          <w:rFonts w:ascii="Palatino Linotype" w:eastAsia="Palatino Linotype" w:hAnsi="Palatino Linotype" w:cs="Palatino Linotype"/>
          <w:b/>
          <w:bCs/>
          <w:color w:val="000000" w:themeColor="text1"/>
          <w:sz w:val="24"/>
          <w:szCs w:val="24"/>
        </w:rPr>
      </w:pPr>
      <w:bookmarkStart w:id="1" w:name="_heading=h.gjdgxs" w:colFirst="0" w:colLast="0"/>
      <w:bookmarkEnd w:id="1"/>
      <w:r w:rsidRPr="004D79F8">
        <w:rPr>
          <w:rFonts w:ascii="Palatino Linotype" w:eastAsia="Palatino Linotype" w:hAnsi="Palatino Linotype" w:cs="Palatino Linotype"/>
          <w:b/>
          <w:bCs/>
          <w:color w:val="000000" w:themeColor="text1"/>
          <w:sz w:val="24"/>
          <w:szCs w:val="24"/>
        </w:rPr>
        <w:t>A N T E C E D E N T E S</w:t>
      </w:r>
    </w:p>
    <w:p w:rsidR="00E013A3" w:rsidRPr="004D79F8" w:rsidRDefault="00657552" w:rsidP="004D79F8">
      <w:pPr>
        <w:numPr>
          <w:ilvl w:val="0"/>
          <w:numId w:val="1"/>
        </w:numPr>
        <w:pBdr>
          <w:top w:val="nil"/>
          <w:left w:val="nil"/>
          <w:bottom w:val="nil"/>
          <w:right w:val="nil"/>
          <w:between w:val="nil"/>
        </w:pBdr>
        <w:tabs>
          <w:tab w:val="left" w:pos="567"/>
        </w:tabs>
        <w:spacing w:before="240" w:line="360" w:lineRule="auto"/>
        <w:ind w:left="0" w:firstLine="0"/>
        <w:jc w:val="both"/>
        <w:rPr>
          <w:rFonts w:ascii="Palatino Linotype" w:eastAsia="Palatino Linotype" w:hAnsi="Palatino Linotype" w:cs="Palatino Linotype"/>
          <w:color w:val="000000" w:themeColor="text1"/>
        </w:rPr>
      </w:pPr>
      <w:r w:rsidRPr="004D79F8">
        <w:rPr>
          <w:rFonts w:ascii="Palatino Linotype" w:eastAsia="Palatino Linotype" w:hAnsi="Palatino Linotype" w:cs="Palatino Linotype"/>
          <w:color w:val="000000" w:themeColor="text1"/>
        </w:rPr>
        <w:t xml:space="preserve">El </w:t>
      </w:r>
      <w:r w:rsidRPr="004D79F8">
        <w:rPr>
          <w:rFonts w:ascii="Palatino Linotype" w:eastAsia="Palatino Linotype" w:hAnsi="Palatino Linotype" w:cs="Palatino Linotype"/>
          <w:b/>
          <w:bCs/>
          <w:color w:val="000000" w:themeColor="text1"/>
        </w:rPr>
        <w:t>veintiséis de mayo de dos mil veinticinco</w:t>
      </w:r>
      <w:r w:rsidRPr="004D79F8">
        <w:rPr>
          <w:rFonts w:ascii="Palatino Linotype" w:eastAsia="Palatino Linotype" w:hAnsi="Palatino Linotype" w:cs="Palatino Linotype"/>
          <w:color w:val="000000" w:themeColor="text1"/>
        </w:rPr>
        <w:t>, el particular presentó</w:t>
      </w:r>
      <w:r w:rsidRPr="004D79F8">
        <w:rPr>
          <w:rFonts w:ascii="Palatino Linotype" w:eastAsia="Palatino Linotype" w:hAnsi="Palatino Linotype" w:cs="Palatino Linotype"/>
          <w:b/>
          <w:bCs/>
          <w:color w:val="000000" w:themeColor="text1"/>
        </w:rPr>
        <w:t xml:space="preserve"> </w:t>
      </w:r>
      <w:r w:rsidRPr="004D79F8">
        <w:rPr>
          <w:rFonts w:ascii="Palatino Linotype" w:eastAsia="Palatino Linotype" w:hAnsi="Palatino Linotype" w:cs="Palatino Linotype"/>
          <w:color w:val="000000" w:themeColor="text1"/>
        </w:rPr>
        <w:t xml:space="preserve">a través del Sistema de Acceso a la Información Mexiquense </w:t>
      </w:r>
      <w:r w:rsidRPr="004D79F8">
        <w:rPr>
          <w:rFonts w:ascii="Palatino Linotype" w:eastAsia="Palatino Linotype" w:hAnsi="Palatino Linotype" w:cs="Palatino Linotype"/>
          <w:b/>
          <w:bCs/>
          <w:color w:val="000000" w:themeColor="text1"/>
        </w:rPr>
        <w:t xml:space="preserve">(SAIMEX), </w:t>
      </w:r>
      <w:r w:rsidRPr="004D79F8">
        <w:rPr>
          <w:rFonts w:ascii="Palatino Linotype" w:eastAsia="Palatino Linotype" w:hAnsi="Palatino Linotype" w:cs="Palatino Linotype"/>
          <w:color w:val="000000" w:themeColor="text1"/>
        </w:rPr>
        <w:t xml:space="preserve">la solicitud de información pública registrada con el número </w:t>
      </w:r>
      <w:r w:rsidRPr="004D79F8">
        <w:rPr>
          <w:rFonts w:ascii="Palatino Linotype" w:eastAsia="Palatino Linotype" w:hAnsi="Palatino Linotype" w:cs="Palatino Linotype"/>
          <w:b/>
          <w:bCs/>
          <w:color w:val="000000" w:themeColor="text1"/>
        </w:rPr>
        <w:t xml:space="preserve">03041/TOLUCA/IP/2025, </w:t>
      </w:r>
      <w:r w:rsidRPr="004D79F8">
        <w:rPr>
          <w:rFonts w:ascii="Palatino Linotype" w:eastAsia="Palatino Linotype" w:hAnsi="Palatino Linotype" w:cs="Palatino Linotype"/>
          <w:color w:val="000000" w:themeColor="text1"/>
        </w:rPr>
        <w:t>en la que se requirió:</w:t>
      </w:r>
    </w:p>
    <w:p w:rsidR="00E013A3" w:rsidRDefault="00657552" w:rsidP="004D79F8">
      <w:pPr>
        <w:tabs>
          <w:tab w:val="left" w:pos="426"/>
          <w:tab w:val="left" w:pos="7938"/>
        </w:tabs>
        <w:spacing w:before="240" w:after="240" w:line="360" w:lineRule="auto"/>
        <w:jc w:val="both"/>
        <w:rPr>
          <w:rFonts w:ascii="Palatino Linotype" w:eastAsia="Palatino Linotype" w:hAnsi="Palatino Linotype" w:cs="Palatino Linotype"/>
          <w:color w:val="000000" w:themeColor="text1"/>
        </w:rPr>
      </w:pPr>
      <w:r w:rsidRPr="004D79F8">
        <w:rPr>
          <w:rFonts w:ascii="Palatino Linotype" w:eastAsia="Palatino Linotype" w:hAnsi="Palatino Linotype" w:cs="Palatino Linotype"/>
          <w:color w:val="000000" w:themeColor="text1"/>
        </w:rPr>
        <w:t xml:space="preserve"> “</w:t>
      </w:r>
      <w:r w:rsidRPr="004D79F8">
        <w:rPr>
          <w:rFonts w:ascii="Palatino Linotype" w:eastAsia="Palatino Linotype" w:hAnsi="Palatino Linotype" w:cs="Palatino Linotype"/>
          <w:i/>
          <w:iCs/>
          <w:color w:val="000000" w:themeColor="text1"/>
        </w:rPr>
        <w:t>La normativida para que la sesión de cabildo se convirtiera en necesario y publicidad del equipo de fútbol de Toluca qué este permitido mezclar en oficinaa de gobierno con este equipo y caunto se gasto en esa publicidad, hola cuantos focos se utilizaron y su costo para iluminar de rojo los edificios públicos y el acuerdo de cabildo para hacerlo y si no existe las acciones de la Contraloría por acciones violatororias contra el actuar del gobierno municipal</w:t>
      </w:r>
      <w:r w:rsidRPr="004D79F8">
        <w:rPr>
          <w:rFonts w:ascii="Palatino Linotype" w:eastAsia="Palatino Linotype" w:hAnsi="Palatino Linotype" w:cs="Palatino Linotype"/>
          <w:color w:val="000000" w:themeColor="text1"/>
        </w:rPr>
        <w:t>” (Sic)</w:t>
      </w:r>
    </w:p>
    <w:p w:rsidR="00FD031B" w:rsidRDefault="00FD031B" w:rsidP="00FD031B">
      <w:pPr>
        <w:pBdr>
          <w:top w:val="nil"/>
          <w:left w:val="nil"/>
          <w:bottom w:val="nil"/>
          <w:right w:val="nil"/>
          <w:between w:val="nil"/>
        </w:pBdr>
        <w:tabs>
          <w:tab w:val="left" w:pos="567"/>
        </w:tabs>
        <w:spacing w:before="280" w:line="360" w:lineRule="auto"/>
        <w:jc w:val="both"/>
        <w:rPr>
          <w:rFonts w:ascii="Palatino Linotype" w:eastAsia="Palatino Linotype" w:hAnsi="Palatino Linotype" w:cs="Palatino Linotype"/>
          <w:color w:val="000000" w:themeColor="text1"/>
        </w:rPr>
      </w:pPr>
    </w:p>
    <w:p w:rsidR="00E013A3" w:rsidRPr="004D79F8" w:rsidRDefault="00657552" w:rsidP="004D79F8">
      <w:pPr>
        <w:numPr>
          <w:ilvl w:val="0"/>
          <w:numId w:val="1"/>
        </w:numPr>
        <w:pBdr>
          <w:top w:val="nil"/>
          <w:left w:val="nil"/>
          <w:bottom w:val="nil"/>
          <w:right w:val="nil"/>
          <w:between w:val="nil"/>
        </w:pBdr>
        <w:tabs>
          <w:tab w:val="left" w:pos="567"/>
        </w:tabs>
        <w:spacing w:before="280" w:line="360" w:lineRule="auto"/>
        <w:ind w:left="0" w:firstLine="0"/>
        <w:jc w:val="both"/>
        <w:rPr>
          <w:rFonts w:ascii="Palatino Linotype" w:eastAsia="Palatino Linotype" w:hAnsi="Palatino Linotype" w:cs="Palatino Linotype"/>
          <w:color w:val="000000" w:themeColor="text1"/>
        </w:rPr>
      </w:pPr>
      <w:r w:rsidRPr="004D79F8">
        <w:rPr>
          <w:rFonts w:ascii="Palatino Linotype" w:eastAsia="Palatino Linotype" w:hAnsi="Palatino Linotype" w:cs="Palatino Linotype"/>
          <w:color w:val="000000" w:themeColor="text1"/>
        </w:rPr>
        <w:lastRenderedPageBreak/>
        <w:t>Se hace constar que se señaló como modalidad de entrega de la información</w:t>
      </w:r>
      <w:r w:rsidRPr="004D79F8">
        <w:rPr>
          <w:rFonts w:ascii="Palatino Linotype" w:eastAsia="Palatino Linotype" w:hAnsi="Palatino Linotype" w:cs="Palatino Linotype"/>
          <w:b/>
          <w:bCs/>
          <w:color w:val="000000" w:themeColor="text1"/>
        </w:rPr>
        <w:t>:</w:t>
      </w:r>
      <w:r w:rsidRPr="004D79F8">
        <w:rPr>
          <w:rFonts w:ascii="Palatino Linotype" w:eastAsia="Palatino Linotype" w:hAnsi="Palatino Linotype" w:cs="Palatino Linotype"/>
          <w:color w:val="000000" w:themeColor="text1"/>
        </w:rPr>
        <w:t xml:space="preserve"> </w:t>
      </w:r>
      <w:r w:rsidRPr="004D79F8">
        <w:rPr>
          <w:rFonts w:ascii="Palatino Linotype" w:eastAsia="Palatino Linotype" w:hAnsi="Palatino Linotype" w:cs="Palatino Linotype"/>
          <w:b/>
          <w:bCs/>
          <w:color w:val="000000" w:themeColor="text1"/>
        </w:rPr>
        <w:t>A través del SAIMEX.</w:t>
      </w:r>
    </w:p>
    <w:p w:rsidR="00E013A3" w:rsidRPr="004D79F8" w:rsidRDefault="00E013A3" w:rsidP="004D79F8">
      <w:pPr>
        <w:pBdr>
          <w:top w:val="nil"/>
          <w:left w:val="nil"/>
          <w:bottom w:val="nil"/>
          <w:right w:val="nil"/>
          <w:between w:val="nil"/>
        </w:pBdr>
        <w:tabs>
          <w:tab w:val="left" w:pos="284"/>
          <w:tab w:val="left" w:pos="567"/>
        </w:tabs>
        <w:spacing w:line="360" w:lineRule="auto"/>
        <w:jc w:val="both"/>
        <w:rPr>
          <w:rFonts w:ascii="Palatino Linotype" w:eastAsia="Palatino Linotype" w:hAnsi="Palatino Linotype" w:cs="Palatino Linotype"/>
          <w:color w:val="000000" w:themeColor="text1"/>
        </w:rPr>
      </w:pPr>
    </w:p>
    <w:p w:rsidR="00E013A3" w:rsidRPr="004D79F8" w:rsidRDefault="00657552" w:rsidP="004D79F8">
      <w:pPr>
        <w:numPr>
          <w:ilvl w:val="0"/>
          <w:numId w:val="1"/>
        </w:numPr>
        <w:pBdr>
          <w:top w:val="nil"/>
          <w:left w:val="nil"/>
          <w:bottom w:val="nil"/>
          <w:right w:val="nil"/>
          <w:between w:val="nil"/>
        </w:pBdr>
        <w:tabs>
          <w:tab w:val="left" w:pos="567"/>
        </w:tabs>
        <w:spacing w:line="360" w:lineRule="auto"/>
        <w:ind w:left="0" w:firstLine="0"/>
        <w:jc w:val="both"/>
        <w:rPr>
          <w:rFonts w:ascii="Palatino Linotype" w:eastAsia="Palatino Linotype" w:hAnsi="Palatino Linotype" w:cs="Palatino Linotype"/>
          <w:color w:val="000000" w:themeColor="text1"/>
        </w:rPr>
      </w:pPr>
      <w:r w:rsidRPr="004D79F8">
        <w:rPr>
          <w:rFonts w:ascii="Palatino Linotype" w:eastAsia="Palatino Linotype" w:hAnsi="Palatino Linotype" w:cs="Palatino Linotype"/>
          <w:color w:val="000000" w:themeColor="text1"/>
        </w:rPr>
        <w:t xml:space="preserve">El </w:t>
      </w:r>
      <w:r w:rsidRPr="004D79F8">
        <w:rPr>
          <w:rFonts w:ascii="Palatino Linotype" w:eastAsia="Palatino Linotype" w:hAnsi="Palatino Linotype" w:cs="Palatino Linotype"/>
          <w:b/>
          <w:bCs/>
          <w:color w:val="000000" w:themeColor="text1"/>
        </w:rPr>
        <w:t xml:space="preserve">veintisiete de </w:t>
      </w:r>
      <w:r w:rsidR="004D79F8" w:rsidRPr="004D79F8">
        <w:rPr>
          <w:rFonts w:ascii="Palatino Linotype" w:eastAsia="Palatino Linotype" w:hAnsi="Palatino Linotype" w:cs="Palatino Linotype"/>
          <w:b/>
          <w:bCs/>
          <w:color w:val="000000" w:themeColor="text1"/>
        </w:rPr>
        <w:t>mayo de</w:t>
      </w:r>
      <w:r w:rsidRPr="004D79F8">
        <w:rPr>
          <w:rFonts w:ascii="Palatino Linotype" w:eastAsia="Palatino Linotype" w:hAnsi="Palatino Linotype" w:cs="Palatino Linotype"/>
          <w:b/>
          <w:bCs/>
          <w:color w:val="000000" w:themeColor="text1"/>
        </w:rPr>
        <w:t xml:space="preserve"> dos mil veinticinco</w:t>
      </w:r>
      <w:r w:rsidRPr="004D79F8">
        <w:rPr>
          <w:rFonts w:ascii="Palatino Linotype" w:eastAsia="Palatino Linotype" w:hAnsi="Palatino Linotype" w:cs="Palatino Linotype"/>
          <w:color w:val="000000" w:themeColor="text1"/>
        </w:rPr>
        <w:t>, se realizó un requerimiento de información al servidor público habilitado.</w:t>
      </w:r>
    </w:p>
    <w:p w:rsidR="00E013A3" w:rsidRPr="004D79F8" w:rsidRDefault="00E013A3" w:rsidP="004D79F8">
      <w:pPr>
        <w:pBdr>
          <w:top w:val="nil"/>
          <w:left w:val="nil"/>
          <w:bottom w:val="nil"/>
          <w:right w:val="nil"/>
          <w:between w:val="nil"/>
        </w:pBdr>
        <w:tabs>
          <w:tab w:val="left" w:pos="567"/>
        </w:tabs>
        <w:spacing w:line="360" w:lineRule="auto"/>
        <w:jc w:val="both"/>
        <w:rPr>
          <w:rFonts w:ascii="Palatino Linotype" w:eastAsia="Palatino Linotype" w:hAnsi="Palatino Linotype" w:cs="Palatino Linotype"/>
          <w:color w:val="000000" w:themeColor="text1"/>
        </w:rPr>
      </w:pPr>
    </w:p>
    <w:p w:rsidR="00E013A3" w:rsidRPr="004D79F8" w:rsidRDefault="00657552" w:rsidP="004D79F8">
      <w:pPr>
        <w:numPr>
          <w:ilvl w:val="0"/>
          <w:numId w:val="1"/>
        </w:numPr>
        <w:pBdr>
          <w:top w:val="nil"/>
          <w:left w:val="nil"/>
          <w:bottom w:val="nil"/>
          <w:right w:val="nil"/>
          <w:between w:val="nil"/>
        </w:pBdr>
        <w:tabs>
          <w:tab w:val="left" w:pos="567"/>
        </w:tabs>
        <w:spacing w:line="360" w:lineRule="auto"/>
        <w:ind w:left="0" w:firstLine="0"/>
        <w:jc w:val="both"/>
        <w:rPr>
          <w:rFonts w:ascii="Palatino Linotype" w:eastAsia="Palatino Linotype" w:hAnsi="Palatino Linotype" w:cs="Palatino Linotype"/>
          <w:color w:val="000000" w:themeColor="text1"/>
        </w:rPr>
      </w:pPr>
      <w:r w:rsidRPr="004D79F8">
        <w:rPr>
          <w:rFonts w:ascii="Palatino Linotype" w:eastAsia="Palatino Linotype" w:hAnsi="Palatino Linotype" w:cs="Palatino Linotype"/>
          <w:color w:val="000000" w:themeColor="text1"/>
        </w:rPr>
        <w:t xml:space="preserve">El </w:t>
      </w:r>
      <w:r w:rsidRPr="004D79F8">
        <w:rPr>
          <w:rFonts w:ascii="Palatino Linotype" w:eastAsia="Palatino Linotype" w:hAnsi="Palatino Linotype" w:cs="Palatino Linotype"/>
          <w:b/>
          <w:bCs/>
          <w:color w:val="000000" w:themeColor="text1"/>
        </w:rPr>
        <w:t>dieciséis de junio de dos mil veinticinco</w:t>
      </w:r>
      <w:r w:rsidRPr="004D79F8">
        <w:rPr>
          <w:rFonts w:ascii="Palatino Linotype" w:eastAsia="Palatino Linotype" w:hAnsi="Palatino Linotype" w:cs="Palatino Linotype"/>
          <w:color w:val="000000" w:themeColor="text1"/>
        </w:rPr>
        <w:t xml:space="preserve">, el </w:t>
      </w:r>
      <w:r w:rsidRPr="004D79F8">
        <w:rPr>
          <w:rFonts w:ascii="Palatino Linotype" w:eastAsia="Palatino Linotype" w:hAnsi="Palatino Linotype" w:cs="Palatino Linotype"/>
          <w:b/>
          <w:bCs/>
          <w:color w:val="000000" w:themeColor="text1"/>
        </w:rPr>
        <w:t>SUJETO OBLIGADO</w:t>
      </w:r>
      <w:r w:rsidRPr="004D79F8">
        <w:rPr>
          <w:rFonts w:ascii="Palatino Linotype" w:eastAsia="Palatino Linotype" w:hAnsi="Palatino Linotype" w:cs="Palatino Linotype"/>
          <w:color w:val="000000" w:themeColor="text1"/>
        </w:rPr>
        <w:t xml:space="preserve"> dio respuesta a las solicitud de información en los siguientes términos:</w:t>
      </w:r>
    </w:p>
    <w:p w:rsidR="00E013A3" w:rsidRPr="004D79F8" w:rsidRDefault="00E013A3" w:rsidP="004D79F8">
      <w:pPr>
        <w:pBdr>
          <w:top w:val="nil"/>
          <w:left w:val="nil"/>
          <w:bottom w:val="nil"/>
          <w:right w:val="nil"/>
          <w:between w:val="nil"/>
        </w:pBdr>
        <w:spacing w:line="360" w:lineRule="auto"/>
        <w:rPr>
          <w:rFonts w:ascii="Palatino Linotype" w:eastAsia="Palatino Linotype" w:hAnsi="Palatino Linotype" w:cs="Palatino Linotype"/>
          <w:b/>
          <w:bCs/>
          <w:color w:val="000000" w:themeColor="text1"/>
        </w:rPr>
      </w:pPr>
    </w:p>
    <w:tbl>
      <w:tblPr>
        <w:tblStyle w:val="a"/>
        <w:tblW w:w="7595" w:type="dxa"/>
        <w:jc w:val="center"/>
        <w:tblInd w:w="0" w:type="dxa"/>
        <w:tblLayout w:type="fixed"/>
        <w:tblLook w:val="0400" w:firstRow="0" w:lastRow="0" w:firstColumn="0" w:lastColumn="0" w:noHBand="0" w:noVBand="1"/>
      </w:tblPr>
      <w:tblGrid>
        <w:gridCol w:w="7595"/>
      </w:tblGrid>
      <w:tr w:rsidR="004D79F8" w:rsidRPr="004D79F8">
        <w:trPr>
          <w:trHeight w:val="303"/>
          <w:jc w:val="center"/>
        </w:trPr>
        <w:tc>
          <w:tcPr>
            <w:tcW w:w="7595" w:type="dxa"/>
            <w:vAlign w:val="center"/>
          </w:tcPr>
          <w:p w:rsidR="00E013A3" w:rsidRPr="004D79F8" w:rsidRDefault="00657552" w:rsidP="004D79F8">
            <w:pPr>
              <w:jc w:val="right"/>
              <w:rPr>
                <w:rFonts w:ascii="Palatino Linotype" w:eastAsia="Palatino Linotype" w:hAnsi="Palatino Linotype" w:cs="Palatino Linotype"/>
                <w:i/>
                <w:iCs/>
                <w:color w:val="000000" w:themeColor="text1"/>
              </w:rPr>
            </w:pPr>
            <w:r w:rsidRPr="004D79F8">
              <w:rPr>
                <w:rFonts w:ascii="Palatino Linotype" w:eastAsia="Palatino Linotype" w:hAnsi="Palatino Linotype" w:cs="Palatino Linotype"/>
                <w:i/>
                <w:iCs/>
                <w:color w:val="000000" w:themeColor="text1"/>
              </w:rPr>
              <w:t>“Toluca, México a 16 de Junio de 2025</w:t>
            </w:r>
          </w:p>
        </w:tc>
      </w:tr>
      <w:tr w:rsidR="004D79F8" w:rsidRPr="004D79F8">
        <w:trPr>
          <w:trHeight w:val="303"/>
          <w:jc w:val="center"/>
        </w:trPr>
        <w:tc>
          <w:tcPr>
            <w:tcW w:w="7595" w:type="dxa"/>
            <w:vAlign w:val="center"/>
          </w:tcPr>
          <w:p w:rsidR="00E013A3" w:rsidRPr="004D79F8" w:rsidRDefault="00657552" w:rsidP="004D79F8">
            <w:pPr>
              <w:jc w:val="right"/>
              <w:rPr>
                <w:rFonts w:ascii="Palatino Linotype" w:eastAsia="Palatino Linotype" w:hAnsi="Palatino Linotype" w:cs="Palatino Linotype"/>
                <w:i/>
                <w:iCs/>
                <w:color w:val="000000" w:themeColor="text1"/>
              </w:rPr>
            </w:pPr>
            <w:r w:rsidRPr="004D79F8">
              <w:rPr>
                <w:rFonts w:ascii="Palatino Linotype" w:eastAsia="Palatino Linotype" w:hAnsi="Palatino Linotype" w:cs="Palatino Linotype"/>
                <w:i/>
                <w:iCs/>
                <w:color w:val="000000" w:themeColor="text1"/>
              </w:rPr>
              <w:t>Nombre del solicitante: C. Solicitante</w:t>
            </w:r>
          </w:p>
        </w:tc>
      </w:tr>
      <w:tr w:rsidR="004D79F8" w:rsidRPr="004D79F8">
        <w:trPr>
          <w:trHeight w:val="303"/>
          <w:jc w:val="center"/>
        </w:trPr>
        <w:tc>
          <w:tcPr>
            <w:tcW w:w="7595" w:type="dxa"/>
            <w:vAlign w:val="center"/>
          </w:tcPr>
          <w:p w:rsidR="00E013A3" w:rsidRPr="004D79F8" w:rsidRDefault="00657552" w:rsidP="004D79F8">
            <w:pPr>
              <w:jc w:val="right"/>
              <w:rPr>
                <w:rFonts w:ascii="Palatino Linotype" w:eastAsia="Palatino Linotype" w:hAnsi="Palatino Linotype" w:cs="Palatino Linotype"/>
                <w:i/>
                <w:iCs/>
                <w:color w:val="000000" w:themeColor="text1"/>
              </w:rPr>
            </w:pPr>
            <w:r w:rsidRPr="004D79F8">
              <w:rPr>
                <w:rFonts w:ascii="Palatino Linotype" w:eastAsia="Palatino Linotype" w:hAnsi="Palatino Linotype" w:cs="Palatino Linotype"/>
                <w:i/>
                <w:iCs/>
                <w:color w:val="000000" w:themeColor="text1"/>
              </w:rPr>
              <w:t>Folio de la solicitud: 03041/TOLUCA/IP/2025</w:t>
            </w:r>
          </w:p>
        </w:tc>
      </w:tr>
      <w:tr w:rsidR="004D79F8" w:rsidRPr="004D79F8">
        <w:trPr>
          <w:trHeight w:val="454"/>
          <w:jc w:val="center"/>
        </w:trPr>
        <w:tc>
          <w:tcPr>
            <w:tcW w:w="7595" w:type="dxa"/>
            <w:vAlign w:val="center"/>
          </w:tcPr>
          <w:p w:rsidR="00E013A3" w:rsidRPr="004D79F8" w:rsidRDefault="00E013A3" w:rsidP="004D79F8">
            <w:pPr>
              <w:jc w:val="right"/>
              <w:rPr>
                <w:rFonts w:ascii="Palatino Linotype" w:eastAsia="Palatino Linotype" w:hAnsi="Palatino Linotype" w:cs="Palatino Linotype"/>
                <w:i/>
                <w:iCs/>
                <w:color w:val="000000" w:themeColor="text1"/>
              </w:rPr>
            </w:pPr>
          </w:p>
        </w:tc>
      </w:tr>
      <w:tr w:rsidR="004D79F8" w:rsidRPr="004D79F8">
        <w:trPr>
          <w:trHeight w:val="151"/>
          <w:jc w:val="center"/>
        </w:trPr>
        <w:tc>
          <w:tcPr>
            <w:tcW w:w="7595" w:type="dxa"/>
            <w:vAlign w:val="center"/>
          </w:tcPr>
          <w:p w:rsidR="00E013A3" w:rsidRPr="004D79F8" w:rsidRDefault="00657552" w:rsidP="004D79F8">
            <w:pPr>
              <w:rPr>
                <w:rFonts w:ascii="Palatino Linotype" w:eastAsia="Palatino Linotype" w:hAnsi="Palatino Linotype" w:cs="Palatino Linotype"/>
                <w:i/>
                <w:iCs/>
                <w:color w:val="000000" w:themeColor="text1"/>
              </w:rPr>
            </w:pPr>
            <w:r w:rsidRPr="004D79F8">
              <w:rPr>
                <w:rFonts w:ascii="Palatino Linotype" w:eastAsia="Palatino Linotype" w:hAnsi="Palatino Linotype" w:cs="Palatino Linotype"/>
                <w:i/>
                <w:iCs/>
                <w:color w:val="000000" w:themeColor="text1"/>
              </w:rPr>
              <w:t>En respuesta a la solicitud recibida, nos permitimos hacer de su conocimiento que con fundamento en el artículo 53, Fracciones: II, V y VI de la Ley de Transparencia y Acceso a la Información Pública del Estado de México y Municipios, le contestamos que:</w:t>
            </w:r>
          </w:p>
        </w:tc>
      </w:tr>
      <w:tr w:rsidR="004D79F8" w:rsidRPr="004D79F8">
        <w:trPr>
          <w:trHeight w:val="378"/>
          <w:jc w:val="center"/>
        </w:trPr>
        <w:tc>
          <w:tcPr>
            <w:tcW w:w="7595" w:type="dxa"/>
            <w:vAlign w:val="center"/>
          </w:tcPr>
          <w:p w:rsidR="00E013A3" w:rsidRPr="004D79F8" w:rsidRDefault="00E013A3" w:rsidP="004D79F8">
            <w:pPr>
              <w:rPr>
                <w:rFonts w:ascii="Palatino Linotype" w:eastAsia="Palatino Linotype" w:hAnsi="Palatino Linotype" w:cs="Palatino Linotype"/>
                <w:i/>
                <w:iCs/>
                <w:color w:val="000000" w:themeColor="text1"/>
              </w:rPr>
            </w:pPr>
          </w:p>
        </w:tc>
      </w:tr>
      <w:tr w:rsidR="004D79F8" w:rsidRPr="004D79F8">
        <w:trPr>
          <w:trHeight w:val="151"/>
          <w:jc w:val="center"/>
        </w:trPr>
        <w:tc>
          <w:tcPr>
            <w:tcW w:w="7595" w:type="dxa"/>
            <w:vAlign w:val="center"/>
          </w:tcPr>
          <w:p w:rsidR="00E013A3" w:rsidRPr="004D79F8" w:rsidRDefault="00657552" w:rsidP="004D79F8">
            <w:pPr>
              <w:rPr>
                <w:rFonts w:ascii="Palatino Linotype" w:eastAsia="Palatino Linotype" w:hAnsi="Palatino Linotype" w:cs="Palatino Linotype"/>
                <w:i/>
                <w:iCs/>
                <w:color w:val="000000" w:themeColor="text1"/>
              </w:rPr>
            </w:pPr>
            <w:r w:rsidRPr="004D79F8">
              <w:rPr>
                <w:rFonts w:ascii="Palatino Linotype" w:eastAsia="Palatino Linotype" w:hAnsi="Palatino Linotype" w:cs="Palatino Linotype"/>
                <w:i/>
                <w:iCs/>
                <w:color w:val="000000" w:themeColor="text1"/>
              </w:rPr>
              <w:t>En atención a la solicitud con folio 03041/TOLUCA/IP/2025, me permito adjuntar al presente la respuesta correspondiente, Sin más por el momento, reciba un saludo.</w:t>
            </w:r>
          </w:p>
        </w:tc>
      </w:tr>
      <w:tr w:rsidR="004D79F8" w:rsidRPr="004D79F8">
        <w:trPr>
          <w:trHeight w:val="378"/>
          <w:jc w:val="center"/>
        </w:trPr>
        <w:tc>
          <w:tcPr>
            <w:tcW w:w="7595" w:type="dxa"/>
            <w:vAlign w:val="center"/>
          </w:tcPr>
          <w:p w:rsidR="00E013A3" w:rsidRPr="004D79F8" w:rsidRDefault="00E013A3" w:rsidP="004D79F8">
            <w:pPr>
              <w:rPr>
                <w:rFonts w:ascii="Palatino Linotype" w:eastAsia="Palatino Linotype" w:hAnsi="Palatino Linotype" w:cs="Palatino Linotype"/>
                <w:i/>
                <w:iCs/>
                <w:color w:val="000000" w:themeColor="text1"/>
              </w:rPr>
            </w:pPr>
          </w:p>
        </w:tc>
      </w:tr>
      <w:tr w:rsidR="004D79F8" w:rsidRPr="004D79F8">
        <w:trPr>
          <w:trHeight w:val="151"/>
          <w:jc w:val="center"/>
        </w:trPr>
        <w:tc>
          <w:tcPr>
            <w:tcW w:w="7595" w:type="dxa"/>
            <w:vAlign w:val="center"/>
          </w:tcPr>
          <w:p w:rsidR="00E013A3" w:rsidRPr="004D79F8" w:rsidRDefault="00E013A3" w:rsidP="004D79F8">
            <w:pPr>
              <w:jc w:val="center"/>
              <w:rPr>
                <w:rFonts w:ascii="Palatino Linotype" w:eastAsia="Palatino Linotype" w:hAnsi="Palatino Linotype" w:cs="Palatino Linotype"/>
                <w:i/>
                <w:iCs/>
                <w:color w:val="000000" w:themeColor="text1"/>
              </w:rPr>
            </w:pPr>
          </w:p>
        </w:tc>
      </w:tr>
      <w:tr w:rsidR="004D79F8" w:rsidRPr="004D79F8">
        <w:trPr>
          <w:trHeight w:val="151"/>
          <w:jc w:val="center"/>
        </w:trPr>
        <w:tc>
          <w:tcPr>
            <w:tcW w:w="7595" w:type="dxa"/>
            <w:vAlign w:val="center"/>
          </w:tcPr>
          <w:p w:rsidR="00E013A3" w:rsidRPr="004D79F8" w:rsidRDefault="00E013A3" w:rsidP="004D79F8">
            <w:pPr>
              <w:rPr>
                <w:rFonts w:ascii="Palatino Linotype" w:eastAsia="Palatino Linotype" w:hAnsi="Palatino Linotype" w:cs="Palatino Linotype"/>
                <w:i/>
                <w:iCs/>
                <w:color w:val="000000" w:themeColor="text1"/>
              </w:rPr>
            </w:pPr>
          </w:p>
        </w:tc>
      </w:tr>
      <w:tr w:rsidR="004D79F8" w:rsidRPr="004D79F8">
        <w:trPr>
          <w:trHeight w:val="151"/>
          <w:jc w:val="center"/>
        </w:trPr>
        <w:tc>
          <w:tcPr>
            <w:tcW w:w="7595" w:type="dxa"/>
            <w:vAlign w:val="center"/>
          </w:tcPr>
          <w:p w:rsidR="00E013A3" w:rsidRPr="004D79F8" w:rsidRDefault="00657552" w:rsidP="004D79F8">
            <w:pPr>
              <w:rPr>
                <w:rFonts w:ascii="Palatino Linotype" w:eastAsia="Palatino Linotype" w:hAnsi="Palatino Linotype" w:cs="Palatino Linotype"/>
                <w:i/>
                <w:iCs/>
                <w:color w:val="000000" w:themeColor="text1"/>
              </w:rPr>
            </w:pPr>
            <w:r w:rsidRPr="004D79F8">
              <w:rPr>
                <w:rFonts w:ascii="Palatino Linotype" w:eastAsia="Palatino Linotype" w:hAnsi="Palatino Linotype" w:cs="Palatino Linotype"/>
                <w:i/>
                <w:iCs/>
                <w:color w:val="000000" w:themeColor="text1"/>
              </w:rPr>
              <w:t>ATENTAMENTE</w:t>
            </w:r>
          </w:p>
        </w:tc>
      </w:tr>
      <w:tr w:rsidR="004D79F8" w:rsidRPr="004D79F8">
        <w:trPr>
          <w:trHeight w:val="227"/>
          <w:jc w:val="center"/>
        </w:trPr>
        <w:tc>
          <w:tcPr>
            <w:tcW w:w="7595" w:type="dxa"/>
            <w:vAlign w:val="center"/>
          </w:tcPr>
          <w:p w:rsidR="00E013A3" w:rsidRPr="004D79F8" w:rsidRDefault="00E013A3" w:rsidP="004D79F8">
            <w:pPr>
              <w:rPr>
                <w:rFonts w:ascii="Palatino Linotype" w:eastAsia="Palatino Linotype" w:hAnsi="Palatino Linotype" w:cs="Palatino Linotype"/>
                <w:i/>
                <w:iCs/>
                <w:color w:val="000000" w:themeColor="text1"/>
              </w:rPr>
            </w:pPr>
          </w:p>
        </w:tc>
      </w:tr>
      <w:tr w:rsidR="004D79F8" w:rsidRPr="004D79F8">
        <w:trPr>
          <w:trHeight w:val="151"/>
          <w:jc w:val="center"/>
        </w:trPr>
        <w:tc>
          <w:tcPr>
            <w:tcW w:w="7595" w:type="dxa"/>
            <w:vAlign w:val="center"/>
          </w:tcPr>
          <w:p w:rsidR="00E013A3" w:rsidRPr="004D79F8" w:rsidRDefault="00657552" w:rsidP="004D79F8">
            <w:pPr>
              <w:rPr>
                <w:rFonts w:ascii="Palatino Linotype" w:eastAsia="Palatino Linotype" w:hAnsi="Palatino Linotype" w:cs="Palatino Linotype"/>
                <w:i/>
                <w:iCs/>
                <w:color w:val="000000" w:themeColor="text1"/>
              </w:rPr>
            </w:pPr>
            <w:r w:rsidRPr="004D79F8">
              <w:rPr>
                <w:rFonts w:ascii="Palatino Linotype" w:eastAsia="Palatino Linotype" w:hAnsi="Palatino Linotype" w:cs="Palatino Linotype"/>
                <w:i/>
                <w:iCs/>
                <w:color w:val="000000" w:themeColor="text1"/>
              </w:rPr>
              <w:t>Dr. Nahum Miguel Mendoza Morales”</w:t>
            </w:r>
          </w:p>
        </w:tc>
      </w:tr>
    </w:tbl>
    <w:p w:rsidR="00E013A3" w:rsidRPr="004D79F8" w:rsidRDefault="00E013A3" w:rsidP="004D79F8">
      <w:pPr>
        <w:spacing w:line="360" w:lineRule="auto"/>
        <w:jc w:val="both"/>
        <w:rPr>
          <w:rFonts w:ascii="Palatino Linotype" w:eastAsia="Palatino Linotype" w:hAnsi="Palatino Linotype" w:cs="Palatino Linotype"/>
          <w:color w:val="000000" w:themeColor="text1"/>
        </w:rPr>
      </w:pPr>
    </w:p>
    <w:p w:rsidR="00E013A3" w:rsidRPr="004D79F8" w:rsidRDefault="00657552" w:rsidP="004D79F8">
      <w:pPr>
        <w:spacing w:line="360" w:lineRule="auto"/>
        <w:jc w:val="both"/>
        <w:rPr>
          <w:rFonts w:ascii="Palatino Linotype" w:eastAsia="Palatino Linotype" w:hAnsi="Palatino Linotype" w:cs="Palatino Linotype"/>
          <w:color w:val="000000" w:themeColor="text1"/>
        </w:rPr>
      </w:pPr>
      <w:r w:rsidRPr="004D79F8">
        <w:rPr>
          <w:rFonts w:ascii="Palatino Linotype" w:eastAsia="Palatino Linotype" w:hAnsi="Palatino Linotype" w:cs="Palatino Linotype"/>
          <w:color w:val="000000" w:themeColor="text1"/>
        </w:rPr>
        <w:t>A la respuesta se adjuntan los archivos que se describen enseguida:</w:t>
      </w:r>
    </w:p>
    <w:p w:rsidR="00E013A3" w:rsidRPr="004D79F8" w:rsidRDefault="00967B0C" w:rsidP="004D79F8">
      <w:pPr>
        <w:numPr>
          <w:ilvl w:val="0"/>
          <w:numId w:val="6"/>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hyperlink r:id="rId8">
        <w:r w:rsidR="00657552" w:rsidRPr="004D79F8">
          <w:rPr>
            <w:rFonts w:ascii="Palatino Linotype" w:eastAsia="Palatino Linotype" w:hAnsi="Palatino Linotype" w:cs="Palatino Linotype"/>
            <w:b/>
            <w:bCs/>
            <w:color w:val="000000" w:themeColor="text1"/>
            <w:u w:val="single"/>
          </w:rPr>
          <w:t>3041.pdf</w:t>
        </w:r>
      </w:hyperlink>
      <w:r w:rsidR="00657552" w:rsidRPr="004D79F8">
        <w:rPr>
          <w:rFonts w:ascii="Palatino Linotype" w:eastAsia="Palatino Linotype" w:hAnsi="Palatino Linotype" w:cs="Palatino Linotype"/>
          <w:color w:val="000000" w:themeColor="text1"/>
        </w:rPr>
        <w:t>: oficio número 202010000/01981/2025 de fecha cuatro de junio de dos mil veinticinco, suscrito por el Tesorero Municipal, quien señaló que, una vez realizada la búsqueda exhaustiva en sus archivos, no se cuenta con registro financiero, documental, contable o presupuestal que ampare la información solicitada.</w:t>
      </w:r>
      <w:r w:rsidR="00657552" w:rsidRPr="004D79F8">
        <w:rPr>
          <w:rFonts w:ascii="Palatino Linotype" w:eastAsia="Palatino Linotype" w:hAnsi="Palatino Linotype" w:cs="Palatino Linotype"/>
          <w:b/>
          <w:bCs/>
          <w:color w:val="000000" w:themeColor="text1"/>
          <w:u w:val="single"/>
        </w:rPr>
        <w:t xml:space="preserve"> </w:t>
      </w:r>
    </w:p>
    <w:p w:rsidR="00E013A3" w:rsidRPr="004D79F8" w:rsidRDefault="00967B0C" w:rsidP="004D79F8">
      <w:pPr>
        <w:numPr>
          <w:ilvl w:val="0"/>
          <w:numId w:val="6"/>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hyperlink r:id="rId9">
        <w:r w:rsidR="00657552" w:rsidRPr="004D79F8">
          <w:rPr>
            <w:rFonts w:ascii="Palatino Linotype" w:eastAsia="Palatino Linotype" w:hAnsi="Palatino Linotype" w:cs="Palatino Linotype"/>
            <w:b/>
            <w:bCs/>
            <w:color w:val="000000" w:themeColor="text1"/>
            <w:u w:val="single"/>
          </w:rPr>
          <w:t>2022-OFI-2190-SMX-3041.pdf</w:t>
        </w:r>
      </w:hyperlink>
      <w:r w:rsidR="00657552" w:rsidRPr="004D79F8">
        <w:rPr>
          <w:rFonts w:ascii="Palatino Linotype" w:eastAsia="Palatino Linotype" w:hAnsi="Palatino Linotype" w:cs="Palatino Linotype"/>
          <w:b/>
          <w:bCs/>
          <w:color w:val="000000" w:themeColor="text1"/>
          <w:u w:val="single"/>
        </w:rPr>
        <w:t xml:space="preserve">: </w:t>
      </w:r>
    </w:p>
    <w:p w:rsidR="00E013A3" w:rsidRPr="004D79F8" w:rsidRDefault="00657552" w:rsidP="00FD031B">
      <w:pPr>
        <w:numPr>
          <w:ilvl w:val="0"/>
          <w:numId w:val="7"/>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4D79F8">
        <w:rPr>
          <w:rFonts w:ascii="Palatino Linotype" w:eastAsia="Palatino Linotype" w:hAnsi="Palatino Linotype" w:cs="Palatino Linotype"/>
          <w:color w:val="000000" w:themeColor="text1"/>
        </w:rPr>
        <w:t>Oficio número 203010000/02190/2025 de fecha diez de junio de dos mil veinticinco, suscrito por el Titular del Órgano Interno de Control Municipal, quien señaló que, da respuesta con el oficio anexo emitido por la Dirección de Investigación de Responsabilidad Administrativa.</w:t>
      </w:r>
    </w:p>
    <w:p w:rsidR="00E013A3" w:rsidRPr="004D79F8" w:rsidRDefault="00657552" w:rsidP="00FD031B">
      <w:pPr>
        <w:numPr>
          <w:ilvl w:val="0"/>
          <w:numId w:val="7"/>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4D79F8">
        <w:rPr>
          <w:rFonts w:ascii="Palatino Linotype" w:eastAsia="Palatino Linotype" w:hAnsi="Palatino Linotype" w:cs="Palatino Linotype"/>
          <w:color w:val="000000" w:themeColor="text1"/>
        </w:rPr>
        <w:t xml:space="preserve">Oficio número 203013000/1009/2025 de fecha seis de junio de dos mil veinticinco, suscrito por la Directora de Investigación de Responsabilidades Administrativas del Órgano Interno de Control, quien señaló que, no tramita ni se ha atendido denuncia concerniente a los hechos referidos. </w:t>
      </w:r>
    </w:p>
    <w:p w:rsidR="00E013A3" w:rsidRPr="004D79F8" w:rsidRDefault="00E013A3" w:rsidP="004D79F8">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rsidR="00E013A3" w:rsidRPr="004D79F8" w:rsidRDefault="00967B0C" w:rsidP="004D79F8">
      <w:pPr>
        <w:numPr>
          <w:ilvl w:val="0"/>
          <w:numId w:val="6"/>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hyperlink r:id="rId10">
        <w:r w:rsidR="00657552" w:rsidRPr="004D79F8">
          <w:rPr>
            <w:rFonts w:ascii="Palatino Linotype" w:eastAsia="Palatino Linotype" w:hAnsi="Palatino Linotype" w:cs="Palatino Linotype"/>
            <w:b/>
            <w:bCs/>
            <w:color w:val="000000" w:themeColor="text1"/>
            <w:u w:val="single"/>
          </w:rPr>
          <w:t>R. 03041. 2025.pdf</w:t>
        </w:r>
      </w:hyperlink>
      <w:r w:rsidR="00657552" w:rsidRPr="004D79F8">
        <w:rPr>
          <w:rFonts w:ascii="Palatino Linotype" w:eastAsia="Palatino Linotype" w:hAnsi="Palatino Linotype" w:cs="Palatino Linotype"/>
          <w:color w:val="000000" w:themeColor="text1"/>
        </w:rPr>
        <w:t>: oficio de respuesta de fecha dieciséis de junio de dos mil veinticinco, suscrito por el Titular de la Unidad de Transparencia, quien señaló “…</w:t>
      </w:r>
      <w:r w:rsidR="00657552" w:rsidRPr="004D79F8">
        <w:rPr>
          <w:rFonts w:ascii="Palatino Linotype" w:eastAsia="Palatino Linotype" w:hAnsi="Palatino Linotype" w:cs="Palatino Linotype"/>
          <w:i/>
          <w:iCs/>
          <w:color w:val="000000" w:themeColor="text1"/>
        </w:rPr>
        <w:t>hago de su conocimiento que la Secretaría del Ayuntamiento y Servidor Público Habilitado, informó que se procedió a realizar la búsqueda exhaustiva y razonable en los archivos que obran en la Coordinación de Apoyo a Cabildo de la Secretaría del Ayuntamiento, en este sentido, se hace del conocimiento que no se cuenta con expresión documental que de atención a la pretensión del C. Solicitante</w:t>
      </w:r>
      <w:r w:rsidR="00657552" w:rsidRPr="004D79F8">
        <w:rPr>
          <w:rFonts w:ascii="Palatino Linotype" w:eastAsia="Palatino Linotype" w:hAnsi="Palatino Linotype" w:cs="Palatino Linotype"/>
          <w:color w:val="000000" w:themeColor="text1"/>
        </w:rPr>
        <w:t>…”</w:t>
      </w:r>
    </w:p>
    <w:p w:rsidR="00E013A3" w:rsidRPr="004D79F8" w:rsidRDefault="00E013A3" w:rsidP="004D79F8">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rsidR="00E013A3" w:rsidRPr="004D79F8" w:rsidRDefault="00657552" w:rsidP="004D79F8">
      <w:pPr>
        <w:numPr>
          <w:ilvl w:val="0"/>
          <w:numId w:val="1"/>
        </w:numPr>
        <w:pBdr>
          <w:top w:val="nil"/>
          <w:left w:val="nil"/>
          <w:bottom w:val="nil"/>
          <w:right w:val="nil"/>
          <w:between w:val="nil"/>
        </w:pBdr>
        <w:tabs>
          <w:tab w:val="left" w:pos="0"/>
          <w:tab w:val="left" w:pos="567"/>
        </w:tabs>
        <w:spacing w:line="360" w:lineRule="auto"/>
        <w:ind w:left="0" w:firstLine="0"/>
        <w:jc w:val="both"/>
        <w:rPr>
          <w:rFonts w:ascii="Palatino Linotype" w:eastAsia="Palatino Linotype" w:hAnsi="Palatino Linotype" w:cs="Palatino Linotype"/>
          <w:color w:val="000000" w:themeColor="text1"/>
        </w:rPr>
      </w:pPr>
      <w:r w:rsidRPr="004D79F8">
        <w:rPr>
          <w:rFonts w:ascii="Palatino Linotype" w:eastAsia="Palatino Linotype" w:hAnsi="Palatino Linotype" w:cs="Palatino Linotype"/>
          <w:color w:val="000000" w:themeColor="text1"/>
        </w:rPr>
        <w:t xml:space="preserve">El </w:t>
      </w:r>
      <w:r w:rsidRPr="004D79F8">
        <w:rPr>
          <w:rFonts w:ascii="Palatino Linotype" w:eastAsia="Palatino Linotype" w:hAnsi="Palatino Linotype" w:cs="Palatino Linotype"/>
          <w:b/>
          <w:bCs/>
          <w:color w:val="000000" w:themeColor="text1"/>
        </w:rPr>
        <w:t>dieciséis de junio de dos mil veinticinco</w:t>
      </w:r>
      <w:r w:rsidRPr="004D79F8">
        <w:rPr>
          <w:rFonts w:ascii="Palatino Linotype" w:eastAsia="Palatino Linotype" w:hAnsi="Palatino Linotype" w:cs="Palatino Linotype"/>
          <w:color w:val="000000" w:themeColor="text1"/>
        </w:rPr>
        <w:t>, el particular interpuso recurso de revisión, en el que señaló:</w:t>
      </w:r>
    </w:p>
    <w:p w:rsidR="00E013A3" w:rsidRPr="004D79F8" w:rsidRDefault="00FD031B" w:rsidP="00FD031B">
      <w:pPr>
        <w:numPr>
          <w:ilvl w:val="0"/>
          <w:numId w:val="4"/>
        </w:numPr>
        <w:tabs>
          <w:tab w:val="left" w:pos="0"/>
        </w:tabs>
        <w:spacing w:line="360" w:lineRule="auto"/>
        <w:ind w:left="0" w:firstLine="0"/>
        <w:jc w:val="both"/>
        <w:rPr>
          <w:rFonts w:ascii="Palatino Linotype" w:eastAsia="Palatino Linotype" w:hAnsi="Palatino Linotype" w:cs="Palatino Linotype"/>
          <w:color w:val="000000" w:themeColor="text1"/>
        </w:rPr>
      </w:pPr>
      <w:r w:rsidRPr="004D79F8">
        <w:rPr>
          <w:rFonts w:ascii="Palatino Linotype" w:eastAsia="Palatino Linotype" w:hAnsi="Palatino Linotype" w:cs="Palatino Linotype"/>
          <w:b/>
          <w:bCs/>
          <w:color w:val="000000" w:themeColor="text1"/>
        </w:rPr>
        <w:lastRenderedPageBreak/>
        <w:t>ACTO IMPUGNADO</w:t>
      </w:r>
      <w:r w:rsidR="00657552" w:rsidRPr="004D79F8">
        <w:rPr>
          <w:rFonts w:ascii="Palatino Linotype" w:eastAsia="Palatino Linotype" w:hAnsi="Palatino Linotype" w:cs="Palatino Linotype"/>
          <w:b/>
          <w:bCs/>
          <w:color w:val="000000" w:themeColor="text1"/>
        </w:rPr>
        <w:t>:</w:t>
      </w:r>
      <w:r w:rsidR="00657552" w:rsidRPr="004D79F8">
        <w:rPr>
          <w:rFonts w:ascii="Palatino Linotype" w:eastAsia="Palatino Linotype" w:hAnsi="Palatino Linotype" w:cs="Palatino Linotype"/>
          <w:color w:val="000000" w:themeColor="text1"/>
        </w:rPr>
        <w:t xml:space="preserve"> “</w:t>
      </w:r>
      <w:r w:rsidR="00657552" w:rsidRPr="004D79F8">
        <w:rPr>
          <w:rFonts w:ascii="Palatino Linotype" w:eastAsia="Palatino Linotype" w:hAnsi="Palatino Linotype" w:cs="Palatino Linotype"/>
          <w:i/>
          <w:iCs/>
          <w:color w:val="000000" w:themeColor="text1"/>
        </w:rPr>
        <w:t>Sindo opacos como es costumbre de la administración no entrega la información solicitada cuando fue publico la publicidad que se hizo en el salón de cabildo no entrega lo solicitado” (</w:t>
      </w:r>
      <w:r w:rsidR="00657552" w:rsidRPr="004D79F8">
        <w:rPr>
          <w:rFonts w:ascii="Palatino Linotype" w:eastAsia="Palatino Linotype" w:hAnsi="Palatino Linotype" w:cs="Palatino Linotype"/>
          <w:color w:val="000000" w:themeColor="text1"/>
        </w:rPr>
        <w:t>Sic)</w:t>
      </w:r>
    </w:p>
    <w:p w:rsidR="00E013A3" w:rsidRPr="004D79F8" w:rsidRDefault="00E013A3" w:rsidP="00FD031B">
      <w:pPr>
        <w:tabs>
          <w:tab w:val="left" w:pos="0"/>
        </w:tabs>
        <w:spacing w:line="360" w:lineRule="auto"/>
        <w:jc w:val="both"/>
        <w:rPr>
          <w:rFonts w:ascii="Palatino Linotype" w:eastAsia="Palatino Linotype" w:hAnsi="Palatino Linotype" w:cs="Palatino Linotype"/>
          <w:color w:val="000000" w:themeColor="text1"/>
        </w:rPr>
      </w:pPr>
    </w:p>
    <w:p w:rsidR="00E013A3" w:rsidRPr="004D79F8" w:rsidRDefault="00FD031B" w:rsidP="00FD031B">
      <w:pPr>
        <w:numPr>
          <w:ilvl w:val="0"/>
          <w:numId w:val="4"/>
        </w:numPr>
        <w:tabs>
          <w:tab w:val="left" w:pos="0"/>
        </w:tabs>
        <w:spacing w:line="360" w:lineRule="auto"/>
        <w:ind w:left="0" w:firstLine="0"/>
        <w:jc w:val="both"/>
        <w:rPr>
          <w:rFonts w:ascii="Palatino Linotype" w:eastAsia="Palatino Linotype" w:hAnsi="Palatino Linotype" w:cs="Palatino Linotype"/>
          <w:color w:val="000000" w:themeColor="text1"/>
        </w:rPr>
      </w:pPr>
      <w:r w:rsidRPr="004D79F8">
        <w:rPr>
          <w:rFonts w:ascii="Palatino Linotype" w:eastAsia="Palatino Linotype" w:hAnsi="Palatino Linotype" w:cs="Palatino Linotype"/>
          <w:b/>
          <w:bCs/>
          <w:color w:val="000000" w:themeColor="text1"/>
        </w:rPr>
        <w:t>RAZONES O MOTIVOS DE INCONFORMIDAD</w:t>
      </w:r>
      <w:r w:rsidR="00657552" w:rsidRPr="004D79F8">
        <w:rPr>
          <w:rFonts w:ascii="Palatino Linotype" w:eastAsia="Palatino Linotype" w:hAnsi="Palatino Linotype" w:cs="Palatino Linotype"/>
          <w:b/>
          <w:bCs/>
          <w:color w:val="000000" w:themeColor="text1"/>
        </w:rPr>
        <w:t xml:space="preserve">: </w:t>
      </w:r>
      <w:r w:rsidR="00657552" w:rsidRPr="004D79F8">
        <w:rPr>
          <w:rFonts w:ascii="Palatino Linotype" w:eastAsia="Palatino Linotype" w:hAnsi="Palatino Linotype" w:cs="Palatino Linotype"/>
          <w:color w:val="000000" w:themeColor="text1"/>
        </w:rPr>
        <w:t>“</w:t>
      </w:r>
      <w:r w:rsidR="00657552" w:rsidRPr="004D79F8">
        <w:rPr>
          <w:rFonts w:ascii="Palatino Linotype" w:eastAsia="Palatino Linotype" w:hAnsi="Palatino Linotype" w:cs="Palatino Linotype"/>
          <w:i/>
          <w:iCs/>
          <w:color w:val="000000" w:themeColor="text1"/>
        </w:rPr>
        <w:t>Sindo opacos como es costumbre de la administración no entrega la información solicitada cuando fue publico la publicidad que se hizo en el salón de cabildo no entrega lo solicitado”</w:t>
      </w:r>
      <w:r w:rsidR="00657552" w:rsidRPr="004D79F8">
        <w:rPr>
          <w:rFonts w:ascii="Palatino Linotype" w:eastAsia="Palatino Linotype" w:hAnsi="Palatino Linotype" w:cs="Palatino Linotype"/>
          <w:color w:val="000000" w:themeColor="text1"/>
        </w:rPr>
        <w:t xml:space="preserve"> (Sic). </w:t>
      </w:r>
    </w:p>
    <w:p w:rsidR="00E013A3" w:rsidRPr="004D79F8" w:rsidRDefault="00E013A3" w:rsidP="004D79F8">
      <w:pPr>
        <w:tabs>
          <w:tab w:val="left" w:pos="0"/>
        </w:tabs>
        <w:spacing w:line="360" w:lineRule="auto"/>
        <w:jc w:val="both"/>
        <w:rPr>
          <w:rFonts w:ascii="Palatino Linotype" w:eastAsia="Palatino Linotype" w:hAnsi="Palatino Linotype" w:cs="Palatino Linotype"/>
          <w:color w:val="000000" w:themeColor="text1"/>
        </w:rPr>
      </w:pPr>
    </w:p>
    <w:p w:rsidR="00E013A3" w:rsidRPr="004D79F8" w:rsidRDefault="00657552" w:rsidP="004D79F8">
      <w:pPr>
        <w:numPr>
          <w:ilvl w:val="0"/>
          <w:numId w:val="1"/>
        </w:numPr>
        <w:pBdr>
          <w:top w:val="nil"/>
          <w:left w:val="nil"/>
          <w:bottom w:val="nil"/>
          <w:right w:val="nil"/>
          <w:between w:val="nil"/>
        </w:pBdr>
        <w:tabs>
          <w:tab w:val="left" w:pos="567"/>
        </w:tabs>
        <w:spacing w:line="360" w:lineRule="auto"/>
        <w:ind w:left="0" w:firstLine="0"/>
        <w:jc w:val="both"/>
        <w:rPr>
          <w:rFonts w:ascii="Palatino Linotype" w:eastAsia="Palatino Linotype" w:hAnsi="Palatino Linotype" w:cs="Palatino Linotype"/>
          <w:color w:val="000000" w:themeColor="text1"/>
        </w:rPr>
      </w:pPr>
      <w:r w:rsidRPr="004D79F8">
        <w:rPr>
          <w:rFonts w:ascii="Palatino Linotype" w:eastAsia="Palatino Linotype" w:hAnsi="Palatino Linotype" w:cs="Palatino Linotype"/>
          <w:color w:val="000000" w:themeColor="text1"/>
        </w:rPr>
        <w:t xml:space="preserve">Se registró el recurso de revisión bajo el número de expediente al rubro indicado, asimismo, con fundamento en lo dispuesto por el artículo 185 fracción I de la </w:t>
      </w:r>
      <w:r w:rsidRPr="004D79F8">
        <w:rPr>
          <w:rFonts w:ascii="Palatino Linotype" w:eastAsia="Palatino Linotype" w:hAnsi="Palatino Linotype" w:cs="Palatino Linotype"/>
          <w:b/>
          <w:bCs/>
          <w:color w:val="000000" w:themeColor="text1"/>
        </w:rPr>
        <w:t xml:space="preserve">Ley de Transparencia y Acceso a la Información Pública del Estado de México y Municipios </w:t>
      </w:r>
      <w:r w:rsidRPr="004D79F8">
        <w:rPr>
          <w:rFonts w:ascii="Palatino Linotype" w:eastAsia="Palatino Linotype" w:hAnsi="Palatino Linotype" w:cs="Palatino Linotype"/>
          <w:color w:val="000000" w:themeColor="text1"/>
        </w:rPr>
        <w:t xml:space="preserve">se turna a la </w:t>
      </w:r>
      <w:r w:rsidRPr="004D79F8">
        <w:rPr>
          <w:rFonts w:ascii="Palatino Linotype" w:eastAsia="Palatino Linotype" w:hAnsi="Palatino Linotype" w:cs="Palatino Linotype"/>
          <w:b/>
          <w:bCs/>
          <w:color w:val="000000" w:themeColor="text1"/>
        </w:rPr>
        <w:t xml:space="preserve">Comisionada María del Rosario Mejía Ayala, </w:t>
      </w:r>
      <w:r w:rsidRPr="004D79F8">
        <w:rPr>
          <w:rFonts w:ascii="Palatino Linotype" w:eastAsia="Palatino Linotype" w:hAnsi="Palatino Linotype" w:cs="Palatino Linotype"/>
          <w:color w:val="000000" w:themeColor="text1"/>
        </w:rPr>
        <w:t>para su análisis.</w:t>
      </w:r>
    </w:p>
    <w:p w:rsidR="00E013A3" w:rsidRPr="004D79F8" w:rsidRDefault="00E013A3" w:rsidP="004D79F8">
      <w:pPr>
        <w:rPr>
          <w:rFonts w:ascii="Palatino Linotype" w:eastAsia="Palatino Linotype" w:hAnsi="Palatino Linotype" w:cs="Palatino Linotype"/>
          <w:color w:val="000000" w:themeColor="text1"/>
        </w:rPr>
      </w:pPr>
    </w:p>
    <w:p w:rsidR="00E013A3" w:rsidRPr="004D79F8" w:rsidRDefault="00FD031B" w:rsidP="004D79F8">
      <w:pPr>
        <w:numPr>
          <w:ilvl w:val="0"/>
          <w:numId w:val="1"/>
        </w:numPr>
        <w:tabs>
          <w:tab w:val="left" w:pos="426"/>
        </w:tabs>
        <w:spacing w:line="360" w:lineRule="auto"/>
        <w:ind w:left="0" w:firstLine="0"/>
        <w:jc w:val="both"/>
        <w:rPr>
          <w:rFonts w:ascii="Palatino Linotype" w:eastAsia="Palatino Linotype" w:hAnsi="Palatino Linotype" w:cs="Palatino Linotype"/>
          <w:b/>
          <w:bCs/>
          <w:color w:val="000000" w:themeColor="text1"/>
        </w:rPr>
      </w:pPr>
      <w:bookmarkStart w:id="2" w:name="_heading=h.30j0zll" w:colFirst="0" w:colLast="0"/>
      <w:bookmarkEnd w:id="2"/>
      <w:r>
        <w:rPr>
          <w:rFonts w:ascii="Palatino Linotype" w:eastAsia="Palatino Linotype" w:hAnsi="Palatino Linotype" w:cs="Palatino Linotype"/>
          <w:color w:val="000000" w:themeColor="text1"/>
        </w:rPr>
        <w:t>La Comisionada</w:t>
      </w:r>
      <w:r w:rsidR="00657552" w:rsidRPr="004D79F8">
        <w:rPr>
          <w:rFonts w:ascii="Palatino Linotype" w:eastAsia="Palatino Linotype" w:hAnsi="Palatino Linotype" w:cs="Palatino Linotype"/>
          <w:color w:val="000000" w:themeColor="text1"/>
        </w:rPr>
        <w:t xml:space="preserve"> </w:t>
      </w:r>
      <w:r>
        <w:rPr>
          <w:rFonts w:ascii="Palatino Linotype" w:eastAsia="Palatino Linotype" w:hAnsi="Palatino Linotype" w:cs="Palatino Linotype"/>
          <w:color w:val="000000" w:themeColor="text1"/>
        </w:rPr>
        <w:t>p</w:t>
      </w:r>
      <w:r w:rsidR="00657552" w:rsidRPr="004D79F8">
        <w:rPr>
          <w:rFonts w:ascii="Palatino Linotype" w:eastAsia="Palatino Linotype" w:hAnsi="Palatino Linotype" w:cs="Palatino Linotype"/>
          <w:color w:val="000000" w:themeColor="text1"/>
        </w:rPr>
        <w:t xml:space="preserve">onente con fundamento en lo dispuesto por el artículo 185 fracción II de la ley de la materia, a través del acuerdo de admisión del </w:t>
      </w:r>
      <w:r w:rsidR="00657552" w:rsidRPr="004D79F8">
        <w:rPr>
          <w:rFonts w:ascii="Palatino Linotype" w:eastAsia="Palatino Linotype" w:hAnsi="Palatino Linotype" w:cs="Palatino Linotype"/>
          <w:b/>
          <w:bCs/>
          <w:color w:val="000000" w:themeColor="text1"/>
        </w:rPr>
        <w:t>diecinueve de junio de dos mil veinticinco</w:t>
      </w:r>
      <w:r w:rsidR="00657552" w:rsidRPr="004D79F8">
        <w:rPr>
          <w:rFonts w:ascii="Palatino Linotype" w:eastAsia="Palatino Linotype" w:hAnsi="Palatino Linotype" w:cs="Palatino Linotype"/>
          <w:color w:val="000000" w:themeColor="text1"/>
        </w:rPr>
        <w:t xml:space="preserve">, puso a disposición de las partes el expediente electrónico vía </w:t>
      </w:r>
      <w:r w:rsidR="00657552" w:rsidRPr="004D79F8">
        <w:rPr>
          <w:rFonts w:ascii="Palatino Linotype" w:eastAsia="Palatino Linotype" w:hAnsi="Palatino Linotype" w:cs="Palatino Linotype"/>
          <w:b/>
          <w:bCs/>
          <w:color w:val="000000" w:themeColor="text1"/>
        </w:rPr>
        <w:t xml:space="preserve">SAIMEX </w:t>
      </w:r>
      <w:r w:rsidR="00657552" w:rsidRPr="004D79F8">
        <w:rPr>
          <w:rFonts w:ascii="Palatino Linotype" w:eastAsia="Palatino Linotype" w:hAnsi="Palatino Linotype" w:cs="Palatino Linotype"/>
          <w:color w:val="000000" w:themeColor="text1"/>
        </w:rPr>
        <w:t xml:space="preserve">a efecto de que en un plazo máximo de siete días manifestara lo que a derecho conviniera, ofreciera pruebas y alegatos según corresponda al caso concreto, de esta forma para que el </w:t>
      </w:r>
      <w:r w:rsidR="00657552" w:rsidRPr="004D79F8">
        <w:rPr>
          <w:rFonts w:ascii="Palatino Linotype" w:eastAsia="Palatino Linotype" w:hAnsi="Palatino Linotype" w:cs="Palatino Linotype"/>
          <w:b/>
          <w:bCs/>
          <w:color w:val="000000" w:themeColor="text1"/>
        </w:rPr>
        <w:t>SUJETO OBLIGADO</w:t>
      </w:r>
      <w:r w:rsidR="00657552" w:rsidRPr="004D79F8">
        <w:rPr>
          <w:rFonts w:ascii="Palatino Linotype" w:eastAsia="Palatino Linotype" w:hAnsi="Palatino Linotype" w:cs="Palatino Linotype"/>
          <w:color w:val="000000" w:themeColor="text1"/>
        </w:rPr>
        <w:t xml:space="preserve"> presentará el informe justificado procedente. </w:t>
      </w:r>
    </w:p>
    <w:p w:rsidR="00E013A3" w:rsidRPr="004D79F8" w:rsidRDefault="00E013A3" w:rsidP="004D79F8">
      <w:pPr>
        <w:pBdr>
          <w:top w:val="nil"/>
          <w:left w:val="nil"/>
          <w:bottom w:val="nil"/>
          <w:right w:val="nil"/>
          <w:between w:val="nil"/>
        </w:pBdr>
        <w:rPr>
          <w:rFonts w:ascii="Palatino Linotype" w:eastAsia="Palatino Linotype" w:hAnsi="Palatino Linotype" w:cs="Palatino Linotype"/>
          <w:color w:val="000000" w:themeColor="text1"/>
        </w:rPr>
      </w:pPr>
    </w:p>
    <w:p w:rsidR="00E013A3" w:rsidRPr="004D79F8" w:rsidRDefault="00657552" w:rsidP="004D79F8">
      <w:pPr>
        <w:numPr>
          <w:ilvl w:val="0"/>
          <w:numId w:val="1"/>
        </w:numPr>
        <w:tabs>
          <w:tab w:val="left" w:pos="426"/>
        </w:tabs>
        <w:spacing w:line="360" w:lineRule="auto"/>
        <w:ind w:left="0" w:firstLine="0"/>
        <w:jc w:val="both"/>
        <w:rPr>
          <w:rFonts w:ascii="Palatino Linotype" w:eastAsia="Palatino Linotype" w:hAnsi="Palatino Linotype" w:cs="Palatino Linotype"/>
          <w:color w:val="000000" w:themeColor="text1"/>
        </w:rPr>
      </w:pPr>
      <w:r w:rsidRPr="004D79F8">
        <w:rPr>
          <w:rFonts w:ascii="Palatino Linotype" w:eastAsia="Palatino Linotype" w:hAnsi="Palatino Linotype" w:cs="Palatino Linotype"/>
          <w:color w:val="000000" w:themeColor="text1"/>
        </w:rPr>
        <w:t xml:space="preserve">De las constancias que obran en el expediente electrónico SAIMEX, se advierte que el RECURRENTE no realizó manifestaciones, no ofreció pruebas y alegatos que a su derecho conviniera; por su parte, el Sujeto Obligado entregó informe justificado el veintisiete de </w:t>
      </w:r>
      <w:r w:rsidRPr="004D79F8">
        <w:rPr>
          <w:rFonts w:ascii="Palatino Linotype" w:eastAsia="Palatino Linotype" w:hAnsi="Palatino Linotype" w:cs="Palatino Linotype"/>
          <w:color w:val="000000" w:themeColor="text1"/>
        </w:rPr>
        <w:lastRenderedPageBreak/>
        <w:t>junio de dos mil veinticinco, mismo que se puso a la vista del Recurrente el diecinueve de noviembre del mismo año y que consta de los archivos que se describen enseguida:</w:t>
      </w:r>
    </w:p>
    <w:p w:rsidR="00E013A3" w:rsidRPr="004D79F8" w:rsidRDefault="00967B0C" w:rsidP="004D79F8">
      <w:pPr>
        <w:numPr>
          <w:ilvl w:val="0"/>
          <w:numId w:val="6"/>
        </w:numPr>
        <w:pBdr>
          <w:top w:val="nil"/>
          <w:left w:val="nil"/>
          <w:bottom w:val="nil"/>
          <w:right w:val="nil"/>
          <w:between w:val="nil"/>
        </w:pBdr>
        <w:tabs>
          <w:tab w:val="left" w:pos="426"/>
        </w:tabs>
        <w:spacing w:line="360" w:lineRule="auto"/>
        <w:ind w:left="0" w:firstLine="0"/>
        <w:jc w:val="both"/>
        <w:rPr>
          <w:rFonts w:ascii="Palatino Linotype" w:eastAsia="Palatino Linotype" w:hAnsi="Palatino Linotype" w:cs="Palatino Linotype"/>
          <w:color w:val="000000" w:themeColor="text1"/>
        </w:rPr>
      </w:pPr>
      <w:hyperlink r:id="rId11">
        <w:r w:rsidR="00657552" w:rsidRPr="004D79F8">
          <w:rPr>
            <w:rFonts w:ascii="Palatino Linotype" w:eastAsia="Palatino Linotype" w:hAnsi="Palatino Linotype" w:cs="Palatino Linotype"/>
            <w:b/>
            <w:bCs/>
            <w:color w:val="000000" w:themeColor="text1"/>
            <w:u w:val="single"/>
          </w:rPr>
          <w:t>ANEXOS 07278-2025 (2).pdf</w:t>
        </w:r>
      </w:hyperlink>
      <w:r w:rsidR="00657552" w:rsidRPr="004D79F8">
        <w:rPr>
          <w:rFonts w:ascii="Palatino Linotype" w:eastAsia="Palatino Linotype" w:hAnsi="Palatino Linotype" w:cs="Palatino Linotype"/>
          <w:color w:val="000000" w:themeColor="text1"/>
        </w:rPr>
        <w:t xml:space="preserve">: </w:t>
      </w:r>
    </w:p>
    <w:p w:rsidR="00E013A3" w:rsidRPr="004D79F8" w:rsidRDefault="00657552" w:rsidP="004D79F8">
      <w:pPr>
        <w:numPr>
          <w:ilvl w:val="0"/>
          <w:numId w:val="7"/>
        </w:numPr>
        <w:pBdr>
          <w:top w:val="nil"/>
          <w:left w:val="nil"/>
          <w:bottom w:val="nil"/>
          <w:right w:val="nil"/>
          <w:between w:val="nil"/>
        </w:pBdr>
        <w:tabs>
          <w:tab w:val="left" w:pos="426"/>
        </w:tabs>
        <w:spacing w:line="360" w:lineRule="auto"/>
        <w:ind w:left="0" w:firstLine="0"/>
        <w:jc w:val="both"/>
        <w:rPr>
          <w:rFonts w:ascii="Palatino Linotype" w:eastAsia="Palatino Linotype" w:hAnsi="Palatino Linotype" w:cs="Palatino Linotype"/>
          <w:color w:val="000000" w:themeColor="text1"/>
        </w:rPr>
      </w:pPr>
      <w:r w:rsidRPr="004D79F8">
        <w:rPr>
          <w:rFonts w:ascii="Palatino Linotype" w:eastAsia="Palatino Linotype" w:hAnsi="Palatino Linotype" w:cs="Palatino Linotype"/>
          <w:color w:val="000000" w:themeColor="text1"/>
        </w:rPr>
        <w:t>Oficio número 203010000/2381/2025 de fecha veinticinco de junio de dos mil veinticinco, suscrito por el Titular del Órgano Interno de Control Municipal, quien ratificó la respuesta.</w:t>
      </w:r>
    </w:p>
    <w:p w:rsidR="00E013A3" w:rsidRPr="004D79F8" w:rsidRDefault="00657552" w:rsidP="004D79F8">
      <w:pPr>
        <w:numPr>
          <w:ilvl w:val="0"/>
          <w:numId w:val="7"/>
        </w:numPr>
        <w:pBdr>
          <w:top w:val="nil"/>
          <w:left w:val="nil"/>
          <w:bottom w:val="nil"/>
          <w:right w:val="nil"/>
          <w:between w:val="nil"/>
        </w:pBdr>
        <w:tabs>
          <w:tab w:val="left" w:pos="426"/>
        </w:tabs>
        <w:spacing w:line="360" w:lineRule="auto"/>
        <w:ind w:left="0" w:firstLine="0"/>
        <w:jc w:val="both"/>
        <w:rPr>
          <w:rFonts w:ascii="Palatino Linotype" w:eastAsia="Palatino Linotype" w:hAnsi="Palatino Linotype" w:cs="Palatino Linotype"/>
          <w:color w:val="000000" w:themeColor="text1"/>
        </w:rPr>
      </w:pPr>
      <w:r w:rsidRPr="004D79F8">
        <w:rPr>
          <w:rFonts w:ascii="Palatino Linotype" w:eastAsia="Palatino Linotype" w:hAnsi="Palatino Linotype" w:cs="Palatino Linotype"/>
          <w:color w:val="000000" w:themeColor="text1"/>
        </w:rPr>
        <w:t xml:space="preserve">Oficio número 203013000/1159/2025 de fecha veinticinco de junio de dos mil veinticinco, suscrito por la Directora de Investigación de Responsabilidades Administrativas del Órgano Interno de Control Municipal, quien ratificó la respuesta. </w:t>
      </w:r>
    </w:p>
    <w:p w:rsidR="00E013A3" w:rsidRPr="004D79F8" w:rsidRDefault="00967B0C" w:rsidP="004D79F8">
      <w:pPr>
        <w:numPr>
          <w:ilvl w:val="0"/>
          <w:numId w:val="6"/>
        </w:numPr>
        <w:pBdr>
          <w:top w:val="nil"/>
          <w:left w:val="nil"/>
          <w:bottom w:val="nil"/>
          <w:right w:val="nil"/>
          <w:between w:val="nil"/>
        </w:pBdr>
        <w:tabs>
          <w:tab w:val="left" w:pos="426"/>
        </w:tabs>
        <w:spacing w:line="360" w:lineRule="auto"/>
        <w:ind w:left="0" w:firstLine="0"/>
        <w:jc w:val="both"/>
        <w:rPr>
          <w:rFonts w:ascii="Palatino Linotype" w:eastAsia="Palatino Linotype" w:hAnsi="Palatino Linotype" w:cs="Palatino Linotype"/>
          <w:color w:val="000000" w:themeColor="text1"/>
        </w:rPr>
      </w:pPr>
      <w:hyperlink r:id="rId12">
        <w:r w:rsidR="00657552" w:rsidRPr="004D79F8">
          <w:rPr>
            <w:rFonts w:ascii="Palatino Linotype" w:eastAsia="Palatino Linotype" w:hAnsi="Palatino Linotype" w:cs="Palatino Linotype"/>
            <w:b/>
            <w:bCs/>
            <w:color w:val="000000" w:themeColor="text1"/>
            <w:u w:val="single"/>
          </w:rPr>
          <w:t>Ratificación 07278.pdf</w:t>
        </w:r>
      </w:hyperlink>
      <w:r w:rsidR="00657552" w:rsidRPr="004D79F8">
        <w:rPr>
          <w:rFonts w:ascii="Palatino Linotype" w:eastAsia="Palatino Linotype" w:hAnsi="Palatino Linotype" w:cs="Palatino Linotype"/>
          <w:color w:val="000000" w:themeColor="text1"/>
        </w:rPr>
        <w:t xml:space="preserve">: oficio de respuesta de fecha veintisiete de junio de dos mil veinticinco, suscrito por el Titular de la Unidad de Transparencia, quien ratificó la respuesta emitida por la Secretaría del Ayuntamiento, el Órgano Interno de Control, la Dirección General de Administración y los servidores públicos habilitado. </w:t>
      </w:r>
    </w:p>
    <w:p w:rsidR="00E013A3" w:rsidRPr="004D79F8" w:rsidRDefault="00967B0C" w:rsidP="004D79F8">
      <w:pPr>
        <w:numPr>
          <w:ilvl w:val="0"/>
          <w:numId w:val="6"/>
        </w:numPr>
        <w:pBdr>
          <w:top w:val="nil"/>
          <w:left w:val="nil"/>
          <w:bottom w:val="nil"/>
          <w:right w:val="nil"/>
          <w:between w:val="nil"/>
        </w:pBdr>
        <w:tabs>
          <w:tab w:val="left" w:pos="426"/>
        </w:tabs>
        <w:spacing w:line="360" w:lineRule="auto"/>
        <w:ind w:left="0" w:firstLine="0"/>
        <w:jc w:val="both"/>
        <w:rPr>
          <w:rFonts w:ascii="Palatino Linotype" w:eastAsia="Palatino Linotype" w:hAnsi="Palatino Linotype" w:cs="Palatino Linotype"/>
          <w:color w:val="000000" w:themeColor="text1"/>
        </w:rPr>
      </w:pPr>
      <w:hyperlink r:id="rId13">
        <w:r w:rsidR="00657552" w:rsidRPr="004D79F8">
          <w:rPr>
            <w:rFonts w:ascii="Palatino Linotype" w:eastAsia="Palatino Linotype" w:hAnsi="Palatino Linotype" w:cs="Palatino Linotype"/>
            <w:b/>
            <w:bCs/>
            <w:color w:val="000000" w:themeColor="text1"/>
            <w:u w:val="single"/>
          </w:rPr>
          <w:t>ANEXOS 07278-2025.pdf</w:t>
        </w:r>
      </w:hyperlink>
      <w:r w:rsidR="00657552" w:rsidRPr="004D79F8">
        <w:rPr>
          <w:rFonts w:ascii="Palatino Linotype" w:eastAsia="Palatino Linotype" w:hAnsi="Palatino Linotype" w:cs="Palatino Linotype"/>
          <w:color w:val="000000" w:themeColor="text1"/>
        </w:rPr>
        <w:t xml:space="preserve">: oficio número 206010000/3552/2025 de fecha veintiséis de junio de dos mil veinticinco, suscrito por la Directora General de Administración, quien ratificó la respuesta. </w:t>
      </w:r>
    </w:p>
    <w:p w:rsidR="00E013A3" w:rsidRPr="004D79F8" w:rsidRDefault="00E013A3" w:rsidP="004D79F8">
      <w:pPr>
        <w:tabs>
          <w:tab w:val="left" w:pos="426"/>
        </w:tabs>
        <w:spacing w:line="360" w:lineRule="auto"/>
        <w:jc w:val="both"/>
        <w:rPr>
          <w:rFonts w:ascii="Palatino Linotype" w:eastAsia="Palatino Linotype" w:hAnsi="Palatino Linotype" w:cs="Palatino Linotype"/>
          <w:color w:val="000000" w:themeColor="text1"/>
        </w:rPr>
      </w:pPr>
    </w:p>
    <w:p w:rsidR="00E013A3" w:rsidRPr="004D79F8" w:rsidRDefault="00657552" w:rsidP="004D79F8">
      <w:pPr>
        <w:numPr>
          <w:ilvl w:val="0"/>
          <w:numId w:val="1"/>
        </w:numPr>
        <w:tabs>
          <w:tab w:val="left" w:pos="567"/>
        </w:tabs>
        <w:spacing w:line="360" w:lineRule="auto"/>
        <w:ind w:left="0" w:firstLine="0"/>
        <w:jc w:val="both"/>
        <w:rPr>
          <w:rFonts w:ascii="Palatino Linotype" w:eastAsia="Palatino Linotype" w:hAnsi="Palatino Linotype" w:cs="Palatino Linotype"/>
          <w:color w:val="000000" w:themeColor="text1"/>
        </w:rPr>
      </w:pPr>
      <w:r w:rsidRPr="004D79F8">
        <w:rPr>
          <w:rFonts w:ascii="Palatino Linotype" w:eastAsia="Palatino Linotype" w:hAnsi="Palatino Linotype" w:cs="Palatino Linotype"/>
          <w:color w:val="000000" w:themeColor="text1"/>
        </w:rPr>
        <w:t xml:space="preserve">El </w:t>
      </w:r>
      <w:r w:rsidRPr="004D79F8">
        <w:rPr>
          <w:rFonts w:ascii="Palatino Linotype" w:eastAsia="Palatino Linotype" w:hAnsi="Palatino Linotype" w:cs="Palatino Linotype"/>
          <w:b/>
          <w:bCs/>
          <w:color w:val="000000" w:themeColor="text1"/>
        </w:rPr>
        <w:t>diecinueve de noviembre de dos mil veinticinco</w:t>
      </w:r>
      <w:r w:rsidRPr="004D79F8">
        <w:rPr>
          <w:rFonts w:ascii="Palatino Linotype" w:eastAsia="Palatino Linotype" w:hAnsi="Palatino Linotype" w:cs="Palatino Linotype"/>
          <w:color w:val="000000" w:themeColor="text1"/>
        </w:rPr>
        <w:t>, se notificó el acuerdo mediante el cual se aprobó ampliación de plazo para emitir resolución,</w:t>
      </w:r>
    </w:p>
    <w:p w:rsidR="00E013A3" w:rsidRPr="004D79F8" w:rsidRDefault="00E013A3" w:rsidP="004D79F8">
      <w:pPr>
        <w:tabs>
          <w:tab w:val="left" w:pos="567"/>
        </w:tabs>
        <w:spacing w:line="360" w:lineRule="auto"/>
        <w:jc w:val="both"/>
        <w:rPr>
          <w:rFonts w:ascii="Palatino Linotype" w:eastAsia="Palatino Linotype" w:hAnsi="Palatino Linotype" w:cs="Palatino Linotype"/>
          <w:color w:val="000000" w:themeColor="text1"/>
        </w:rPr>
      </w:pPr>
    </w:p>
    <w:p w:rsidR="00E013A3" w:rsidRPr="004D79F8" w:rsidRDefault="00657552" w:rsidP="004D79F8">
      <w:pPr>
        <w:numPr>
          <w:ilvl w:val="0"/>
          <w:numId w:val="1"/>
        </w:numPr>
        <w:tabs>
          <w:tab w:val="left" w:pos="567"/>
        </w:tabs>
        <w:spacing w:line="360" w:lineRule="auto"/>
        <w:ind w:left="0" w:firstLine="0"/>
        <w:jc w:val="both"/>
        <w:rPr>
          <w:rFonts w:ascii="Palatino Linotype" w:eastAsia="Palatino Linotype" w:hAnsi="Palatino Linotype" w:cs="Palatino Linotype"/>
          <w:color w:val="000000" w:themeColor="text1"/>
        </w:rPr>
      </w:pPr>
      <w:r w:rsidRPr="004D79F8">
        <w:rPr>
          <w:rFonts w:ascii="Palatino Linotype" w:eastAsia="Palatino Linotype" w:hAnsi="Palatino Linotype" w:cs="Palatino Linotype"/>
          <w:color w:val="000000" w:themeColor="text1"/>
        </w:rPr>
        <w:t xml:space="preserve">El </w:t>
      </w:r>
      <w:r w:rsidRPr="004D79F8">
        <w:rPr>
          <w:rFonts w:ascii="Palatino Linotype" w:eastAsia="Palatino Linotype" w:hAnsi="Palatino Linotype" w:cs="Palatino Linotype"/>
          <w:b/>
          <w:bCs/>
          <w:color w:val="000000" w:themeColor="text1"/>
        </w:rPr>
        <w:t>veinticinco de noviembre de dos mil veinticinco</w:t>
      </w:r>
      <w:r w:rsidRPr="004D79F8">
        <w:rPr>
          <w:rFonts w:ascii="Palatino Linotype" w:eastAsia="Palatino Linotype" w:hAnsi="Palatino Linotype" w:cs="Palatino Linotype"/>
          <w:color w:val="000000" w:themeColor="text1"/>
        </w:rPr>
        <w:t xml:space="preserve">, se notificó el acuerdo mediante el cual de decretó el cierre de instrucción. </w:t>
      </w:r>
      <w:r w:rsidR="00FD031B">
        <w:rPr>
          <w:rFonts w:ascii="Palatino Linotype" w:eastAsia="Palatino Linotype" w:hAnsi="Palatino Linotype" w:cs="Palatino Linotype"/>
          <w:color w:val="000000" w:themeColor="text1"/>
        </w:rPr>
        <w:t>---------------------------------------------------------------</w:t>
      </w:r>
    </w:p>
    <w:p w:rsidR="00E013A3" w:rsidRPr="004D79F8" w:rsidRDefault="00657552" w:rsidP="004D79F8">
      <w:pPr>
        <w:pStyle w:val="Ttulo1"/>
        <w:spacing w:line="360" w:lineRule="auto"/>
        <w:jc w:val="center"/>
        <w:rPr>
          <w:rFonts w:ascii="Palatino Linotype" w:eastAsia="Palatino Linotype" w:hAnsi="Palatino Linotype" w:cs="Palatino Linotype"/>
          <w:b/>
          <w:bCs/>
          <w:color w:val="000000" w:themeColor="text1"/>
          <w:sz w:val="24"/>
          <w:szCs w:val="24"/>
        </w:rPr>
      </w:pPr>
      <w:bookmarkStart w:id="3" w:name="_heading=h.1fob9te" w:colFirst="0" w:colLast="0"/>
      <w:bookmarkEnd w:id="3"/>
      <w:r w:rsidRPr="004D79F8">
        <w:rPr>
          <w:rFonts w:ascii="Palatino Linotype" w:eastAsia="Palatino Linotype" w:hAnsi="Palatino Linotype" w:cs="Palatino Linotype"/>
          <w:b/>
          <w:bCs/>
          <w:color w:val="000000" w:themeColor="text1"/>
          <w:sz w:val="24"/>
          <w:szCs w:val="24"/>
        </w:rPr>
        <w:lastRenderedPageBreak/>
        <w:t>C O N S I D E R A N D O</w:t>
      </w:r>
    </w:p>
    <w:p w:rsidR="00E013A3" w:rsidRPr="004D79F8" w:rsidRDefault="00657552" w:rsidP="004D79F8">
      <w:pPr>
        <w:pStyle w:val="Ttulo1"/>
        <w:spacing w:line="360" w:lineRule="auto"/>
        <w:rPr>
          <w:rFonts w:ascii="Palatino Linotype" w:eastAsia="Palatino Linotype" w:hAnsi="Palatino Linotype" w:cs="Palatino Linotype"/>
          <w:b/>
          <w:bCs/>
          <w:color w:val="000000" w:themeColor="text1"/>
          <w:sz w:val="24"/>
          <w:szCs w:val="24"/>
        </w:rPr>
      </w:pPr>
      <w:bookmarkStart w:id="4" w:name="_heading=h.3znysh7" w:colFirst="0" w:colLast="0"/>
      <w:bookmarkEnd w:id="4"/>
      <w:r w:rsidRPr="004D79F8">
        <w:rPr>
          <w:rFonts w:ascii="Palatino Linotype" w:eastAsia="Palatino Linotype" w:hAnsi="Palatino Linotype" w:cs="Palatino Linotype"/>
          <w:b/>
          <w:bCs/>
          <w:color w:val="000000" w:themeColor="text1"/>
          <w:sz w:val="24"/>
          <w:szCs w:val="24"/>
        </w:rPr>
        <w:t>PRIMERO. De la competencia.</w:t>
      </w:r>
    </w:p>
    <w:p w:rsidR="00E013A3" w:rsidRPr="004D79F8" w:rsidRDefault="00657552" w:rsidP="004D79F8">
      <w:pPr>
        <w:numPr>
          <w:ilvl w:val="0"/>
          <w:numId w:val="1"/>
        </w:numPr>
        <w:pBdr>
          <w:top w:val="nil"/>
          <w:left w:val="nil"/>
          <w:bottom w:val="nil"/>
          <w:right w:val="nil"/>
          <w:between w:val="nil"/>
        </w:pBdr>
        <w:tabs>
          <w:tab w:val="left" w:pos="0"/>
          <w:tab w:val="left" w:pos="567"/>
        </w:tabs>
        <w:spacing w:line="360" w:lineRule="auto"/>
        <w:ind w:left="0" w:firstLine="0"/>
        <w:jc w:val="both"/>
        <w:rPr>
          <w:rFonts w:ascii="Palatino Linotype" w:eastAsia="Palatino Linotype" w:hAnsi="Palatino Linotype" w:cs="Palatino Linotype"/>
          <w:color w:val="000000" w:themeColor="text1"/>
        </w:rPr>
      </w:pPr>
      <w:bookmarkStart w:id="5" w:name="_heading=h.2et92p0" w:colFirst="0" w:colLast="0"/>
      <w:bookmarkEnd w:id="5"/>
      <w:r w:rsidRPr="004D79F8">
        <w:rPr>
          <w:rFonts w:ascii="Palatino Linotype" w:eastAsia="Palatino Linotype" w:hAnsi="Palatino Linotype" w:cs="Palatino Linotype"/>
          <w:color w:val="000000" w:themeColor="text1"/>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4D79F8">
        <w:rPr>
          <w:rFonts w:ascii="Palatino Linotype" w:eastAsia="Palatino Linotype" w:hAnsi="Palatino Linotype" w:cs="Palatino Linotype"/>
          <w:b/>
          <w:bCs/>
          <w:color w:val="000000" w:themeColor="text1"/>
        </w:rPr>
        <w:t>Constitución Política de los Estados Unidos Mexicanos</w:t>
      </w:r>
      <w:r w:rsidRPr="004D79F8">
        <w:rPr>
          <w:rFonts w:ascii="Palatino Linotype" w:eastAsia="Palatino Linotype" w:hAnsi="Palatino Linotype" w:cs="Palatino Linotype"/>
          <w:color w:val="000000" w:themeColor="text1"/>
        </w:rPr>
        <w:t xml:space="preserve">; 5, párrafos trigésimo noveno, cuadragésimo y cuadragésimo primero fracciones IV y V, de la </w:t>
      </w:r>
      <w:r w:rsidRPr="004D79F8">
        <w:rPr>
          <w:rFonts w:ascii="Palatino Linotype" w:eastAsia="Palatino Linotype" w:hAnsi="Palatino Linotype" w:cs="Palatino Linotype"/>
          <w:b/>
          <w:bCs/>
          <w:color w:val="000000" w:themeColor="text1"/>
        </w:rPr>
        <w:t>Constitución Política del Estado Libre y Soberano de México</w:t>
      </w:r>
      <w:r w:rsidRPr="004D79F8">
        <w:rPr>
          <w:rFonts w:ascii="Palatino Linotype" w:eastAsia="Palatino Linotype" w:hAnsi="Palatino Linotype" w:cs="Palatino Linotype"/>
          <w:color w:val="000000" w:themeColor="text1"/>
        </w:rPr>
        <w:t xml:space="preserve">; artículos 1, 2 fracción II, 13, 29, 36 fracciones I y II, 176, 178, 179, 181 párrafo tercero y 185 de la </w:t>
      </w:r>
      <w:r w:rsidRPr="004D79F8">
        <w:rPr>
          <w:rFonts w:ascii="Palatino Linotype" w:eastAsia="Palatino Linotype" w:hAnsi="Palatino Linotype" w:cs="Palatino Linotype"/>
          <w:b/>
          <w:bCs/>
          <w:color w:val="000000" w:themeColor="text1"/>
        </w:rPr>
        <w:t>Ley de Transparencia y Acceso a la Información Pública del Estado de México y Municipios</w:t>
      </w:r>
      <w:r w:rsidRPr="004D79F8">
        <w:rPr>
          <w:rFonts w:ascii="Palatino Linotype" w:eastAsia="Palatino Linotype" w:hAnsi="Palatino Linotype" w:cs="Palatino Linotype"/>
          <w:color w:val="000000" w:themeColor="text1"/>
        </w:rPr>
        <w:t xml:space="preserve">; y 7, 9 fracciones I y XXIII, y 11 del </w:t>
      </w:r>
      <w:r w:rsidRPr="004D79F8">
        <w:rPr>
          <w:rFonts w:ascii="Palatino Linotype" w:eastAsia="Palatino Linotype" w:hAnsi="Palatino Linotype" w:cs="Palatino Linotype"/>
          <w:b/>
          <w:bCs/>
          <w:color w:val="000000" w:themeColor="text1"/>
        </w:rPr>
        <w:t>Reglamento Interior del Instituto de Transparencia, Acceso a la Información Pública y Protección de Datos Personales del Estado de México y Municipios.</w:t>
      </w:r>
    </w:p>
    <w:p w:rsidR="00E013A3" w:rsidRPr="004D79F8" w:rsidRDefault="00E013A3" w:rsidP="004D79F8">
      <w:pPr>
        <w:pBdr>
          <w:top w:val="nil"/>
          <w:left w:val="nil"/>
          <w:bottom w:val="nil"/>
          <w:right w:val="nil"/>
          <w:between w:val="nil"/>
        </w:pBdr>
        <w:tabs>
          <w:tab w:val="left" w:pos="0"/>
          <w:tab w:val="left" w:pos="567"/>
        </w:tabs>
        <w:spacing w:line="360" w:lineRule="auto"/>
        <w:jc w:val="both"/>
        <w:rPr>
          <w:rFonts w:ascii="Palatino Linotype" w:eastAsia="Palatino Linotype" w:hAnsi="Palatino Linotype" w:cs="Palatino Linotype"/>
          <w:color w:val="000000" w:themeColor="text1"/>
        </w:rPr>
      </w:pPr>
    </w:p>
    <w:p w:rsidR="00E013A3" w:rsidRPr="004D79F8" w:rsidRDefault="00657552" w:rsidP="004D79F8">
      <w:pPr>
        <w:pBdr>
          <w:top w:val="nil"/>
          <w:left w:val="nil"/>
          <w:bottom w:val="nil"/>
          <w:right w:val="nil"/>
          <w:between w:val="nil"/>
        </w:pBdr>
        <w:tabs>
          <w:tab w:val="left" w:pos="0"/>
          <w:tab w:val="left" w:pos="567"/>
        </w:tabs>
        <w:spacing w:after="160" w:line="360" w:lineRule="auto"/>
        <w:jc w:val="both"/>
        <w:rPr>
          <w:rFonts w:ascii="Palatino Linotype" w:eastAsia="Palatino Linotype" w:hAnsi="Palatino Linotype" w:cs="Palatino Linotype"/>
          <w:color w:val="000000" w:themeColor="text1"/>
        </w:rPr>
      </w:pPr>
      <w:r w:rsidRPr="004D79F8">
        <w:rPr>
          <w:rFonts w:ascii="Palatino Linotype" w:eastAsia="Palatino Linotype" w:hAnsi="Palatino Linotype" w:cs="Palatino Linotype"/>
          <w:b/>
          <w:bCs/>
          <w:color w:val="000000" w:themeColor="text1"/>
        </w:rPr>
        <w:t>SEGUNDO. De la oportunidad y procedencia.</w:t>
      </w:r>
    </w:p>
    <w:p w:rsidR="00E013A3" w:rsidRPr="004D79F8" w:rsidRDefault="00657552" w:rsidP="004D79F8">
      <w:pPr>
        <w:numPr>
          <w:ilvl w:val="0"/>
          <w:numId w:val="1"/>
        </w:numPr>
        <w:spacing w:line="360" w:lineRule="auto"/>
        <w:ind w:left="0" w:firstLine="0"/>
        <w:jc w:val="both"/>
        <w:rPr>
          <w:rFonts w:ascii="Palatino Linotype" w:eastAsia="Palatino Linotype" w:hAnsi="Palatino Linotype" w:cs="Palatino Linotype"/>
          <w:color w:val="000000" w:themeColor="text1"/>
        </w:rPr>
      </w:pPr>
      <w:r w:rsidRPr="004D79F8">
        <w:rPr>
          <w:rFonts w:ascii="Palatino Linotype" w:eastAsia="Palatino Linotype" w:hAnsi="Palatino Linotype" w:cs="Palatino Linotype"/>
          <w:color w:val="000000" w:themeColor="text1"/>
        </w:rPr>
        <w:t xml:space="preserve">El medio de impugnación fue presentado a través del </w:t>
      </w:r>
      <w:r w:rsidRPr="004D79F8">
        <w:rPr>
          <w:rFonts w:ascii="Palatino Linotype" w:eastAsia="Palatino Linotype" w:hAnsi="Palatino Linotype" w:cs="Palatino Linotype"/>
          <w:b/>
          <w:bCs/>
          <w:color w:val="000000" w:themeColor="text1"/>
        </w:rPr>
        <w:t>SAIMEX,</w:t>
      </w:r>
      <w:r w:rsidRPr="004D79F8">
        <w:rPr>
          <w:rFonts w:ascii="Palatino Linotype" w:eastAsia="Palatino Linotype" w:hAnsi="Palatino Linotype" w:cs="Palatino Linotype"/>
          <w:color w:val="000000" w:themeColor="text1"/>
        </w:rPr>
        <w:t xml:space="preserve"> en el formato previamente aprobado para tal efecto y dentro del plazo legal de quince días hábiles otorgados; siendo así que el </w:t>
      </w:r>
      <w:r w:rsidRPr="004D79F8">
        <w:rPr>
          <w:rFonts w:ascii="Palatino Linotype" w:eastAsia="Palatino Linotype" w:hAnsi="Palatino Linotype" w:cs="Palatino Linotype"/>
          <w:b/>
          <w:bCs/>
          <w:color w:val="000000" w:themeColor="text1"/>
        </w:rPr>
        <w:t>SUJETO OBLIGADO</w:t>
      </w:r>
      <w:r w:rsidRPr="004D79F8">
        <w:rPr>
          <w:rFonts w:ascii="Palatino Linotype" w:eastAsia="Palatino Linotype" w:hAnsi="Palatino Linotype" w:cs="Palatino Linotype"/>
          <w:color w:val="000000" w:themeColor="text1"/>
        </w:rPr>
        <w:t xml:space="preserve"> entregó respuesta a la solicitud el día </w:t>
      </w:r>
      <w:r w:rsidRPr="004D79F8">
        <w:rPr>
          <w:rFonts w:ascii="Palatino Linotype" w:eastAsia="Palatino Linotype" w:hAnsi="Palatino Linotype" w:cs="Palatino Linotype"/>
          <w:b/>
          <w:bCs/>
          <w:color w:val="000000" w:themeColor="text1"/>
        </w:rPr>
        <w:t>dieciséis de junio de dos mil veinticinco</w:t>
      </w:r>
      <w:r w:rsidRPr="004D79F8">
        <w:rPr>
          <w:rFonts w:ascii="Palatino Linotype" w:eastAsia="Palatino Linotype" w:hAnsi="Palatino Linotype" w:cs="Palatino Linotype"/>
          <w:color w:val="000000" w:themeColor="text1"/>
        </w:rPr>
        <w:t xml:space="preserve">, de tal forma que el plazo para interponer el recurso de revisión transcurrió del </w:t>
      </w:r>
      <w:r w:rsidRPr="004D79F8">
        <w:rPr>
          <w:rFonts w:ascii="Palatino Linotype" w:eastAsia="Palatino Linotype" w:hAnsi="Palatino Linotype" w:cs="Palatino Linotype"/>
          <w:b/>
          <w:bCs/>
          <w:color w:val="000000" w:themeColor="text1"/>
        </w:rPr>
        <w:t>diecisiete de junio al siete de julio de dos mil veinticinco</w:t>
      </w:r>
      <w:r w:rsidRPr="004D79F8">
        <w:rPr>
          <w:rFonts w:ascii="Palatino Linotype" w:eastAsia="Palatino Linotype" w:hAnsi="Palatino Linotype" w:cs="Palatino Linotype"/>
          <w:color w:val="000000" w:themeColor="text1"/>
        </w:rPr>
        <w:t xml:space="preserve">; en consecuencia, presentó su inconformidad el </w:t>
      </w:r>
      <w:r w:rsidRPr="004D79F8">
        <w:rPr>
          <w:rFonts w:ascii="Palatino Linotype" w:eastAsia="Palatino Linotype" w:hAnsi="Palatino Linotype" w:cs="Palatino Linotype"/>
          <w:b/>
          <w:bCs/>
          <w:color w:val="000000" w:themeColor="text1"/>
        </w:rPr>
        <w:t>dieciséis de junio de dos mil veinticinco</w:t>
      </w:r>
      <w:r w:rsidRPr="004D79F8">
        <w:rPr>
          <w:rFonts w:ascii="Palatino Linotype" w:eastAsia="Palatino Linotype" w:hAnsi="Palatino Linotype" w:cs="Palatino Linotype"/>
          <w:color w:val="000000" w:themeColor="text1"/>
        </w:rPr>
        <w:t xml:space="preserve">, por lo que se encuentra dentro de los márgenes temporales previstos en el artículo 3, fracción X y 178 de la </w:t>
      </w:r>
      <w:r w:rsidRPr="004D79F8">
        <w:rPr>
          <w:rFonts w:ascii="Palatino Linotype" w:eastAsia="Palatino Linotype" w:hAnsi="Palatino Linotype" w:cs="Palatino Linotype"/>
          <w:b/>
          <w:bCs/>
          <w:color w:val="000000" w:themeColor="text1"/>
        </w:rPr>
        <w:t xml:space="preserve">Ley de Transparencia y Acceso a la Información Pública del Estado de México y Municipios </w:t>
      </w:r>
      <w:r w:rsidRPr="004D79F8">
        <w:rPr>
          <w:rFonts w:ascii="Palatino Linotype" w:eastAsia="Palatino Linotype" w:hAnsi="Palatino Linotype" w:cs="Palatino Linotype"/>
          <w:color w:val="000000" w:themeColor="text1"/>
        </w:rPr>
        <w:t>vigente.</w:t>
      </w:r>
    </w:p>
    <w:p w:rsidR="00E013A3" w:rsidRPr="004D79F8" w:rsidRDefault="00657552" w:rsidP="004D79F8">
      <w:pPr>
        <w:numPr>
          <w:ilvl w:val="0"/>
          <w:numId w:val="1"/>
        </w:numPr>
        <w:pBdr>
          <w:top w:val="nil"/>
          <w:left w:val="nil"/>
          <w:bottom w:val="nil"/>
          <w:right w:val="nil"/>
          <w:between w:val="nil"/>
        </w:pBdr>
        <w:spacing w:before="240" w:line="360" w:lineRule="auto"/>
        <w:ind w:left="0" w:firstLine="0"/>
        <w:jc w:val="both"/>
        <w:rPr>
          <w:rFonts w:ascii="Palatino Linotype" w:eastAsia="Palatino Linotype" w:hAnsi="Palatino Linotype" w:cs="Palatino Linotype"/>
          <w:color w:val="000000" w:themeColor="text1"/>
        </w:rPr>
      </w:pPr>
      <w:r w:rsidRPr="004D79F8">
        <w:rPr>
          <w:rFonts w:ascii="Palatino Linotype" w:eastAsia="Palatino Linotype" w:hAnsi="Palatino Linotype" w:cs="Palatino Linotype"/>
          <w:color w:val="000000" w:themeColor="text1"/>
        </w:rPr>
        <w:lastRenderedPageBreak/>
        <w:t>Cuando el medio de impugnación, se haya interpuesto el mismo día en que se notificó la respuesta impugnada, resulta insuficiente para tener por extemporáneo el recurso de revisión de mérito, toda vez que el precepto legal citado, sólo establece que este medio de defensa se ha de promover dentro de los quince días hábiles siguientes en que se tenga conocimiento de la respuesta impugnada; sin embargo, no prohíbe que el recurso de revisión, se presente el mismo día en que esta fue notificada. Por lo que es de señalar que en aras de privilegiar el derecho de acceso a la información se entra al estudio del presente recurso de revisión sin que la fecha en que se presentó afecte la resolución.</w:t>
      </w:r>
    </w:p>
    <w:p w:rsidR="00E013A3" w:rsidRPr="004D79F8" w:rsidRDefault="00E013A3" w:rsidP="004D79F8">
      <w:pPr>
        <w:pBdr>
          <w:top w:val="nil"/>
          <w:left w:val="nil"/>
          <w:bottom w:val="nil"/>
          <w:right w:val="nil"/>
          <w:between w:val="nil"/>
        </w:pBdr>
        <w:rPr>
          <w:rFonts w:ascii="Palatino Linotype" w:eastAsia="Palatino Linotype" w:hAnsi="Palatino Linotype" w:cs="Palatino Linotype"/>
          <w:color w:val="000000" w:themeColor="text1"/>
        </w:rPr>
      </w:pPr>
    </w:p>
    <w:p w:rsidR="00E013A3" w:rsidRPr="004D79F8" w:rsidRDefault="00657552" w:rsidP="004D79F8">
      <w:pPr>
        <w:numPr>
          <w:ilvl w:val="0"/>
          <w:numId w:val="1"/>
        </w:numPr>
        <w:pBdr>
          <w:top w:val="nil"/>
          <w:left w:val="nil"/>
          <w:bottom w:val="nil"/>
          <w:right w:val="nil"/>
          <w:between w:val="nil"/>
        </w:pBdr>
        <w:spacing w:after="240" w:line="360" w:lineRule="auto"/>
        <w:ind w:left="0" w:firstLine="0"/>
        <w:jc w:val="both"/>
        <w:rPr>
          <w:rFonts w:ascii="Palatino Linotype" w:eastAsia="Palatino Linotype" w:hAnsi="Palatino Linotype" w:cs="Palatino Linotype"/>
          <w:color w:val="000000" w:themeColor="text1"/>
        </w:rPr>
      </w:pPr>
      <w:r w:rsidRPr="004D79F8">
        <w:rPr>
          <w:rFonts w:ascii="Palatino Linotype" w:eastAsia="Palatino Linotype" w:hAnsi="Palatino Linotype" w:cs="Palatino Linotype"/>
          <w:color w:val="000000" w:themeColor="text1"/>
        </w:rPr>
        <w:t xml:space="preserve">Lo anterior se robustece con la jurisprudencia número 1a./J. 41/2015 (10a.), Décima época, sustentada por la Primera Sala de la Suprema Corte de Justicia de la Nación, visible en la página 569, libro 19, tomo I, de la Gaceta del Semanario Judicial de la Federación, del diecinueve de junio de 2015, cuyo rubro y texto disponen: </w:t>
      </w:r>
    </w:p>
    <w:p w:rsidR="00E013A3" w:rsidRPr="004D79F8" w:rsidRDefault="00657552" w:rsidP="004D79F8">
      <w:pPr>
        <w:spacing w:before="240" w:line="360" w:lineRule="auto"/>
        <w:jc w:val="both"/>
        <w:rPr>
          <w:rFonts w:ascii="Palatino Linotype" w:eastAsia="Palatino Linotype" w:hAnsi="Palatino Linotype" w:cs="Palatino Linotype"/>
          <w:i/>
          <w:iCs/>
          <w:color w:val="000000" w:themeColor="text1"/>
        </w:rPr>
      </w:pPr>
      <w:r w:rsidRPr="004D79F8">
        <w:rPr>
          <w:rFonts w:ascii="Palatino Linotype" w:eastAsia="Palatino Linotype" w:hAnsi="Palatino Linotype" w:cs="Palatino Linotype"/>
          <w:i/>
          <w:iCs/>
          <w:color w:val="000000" w:themeColor="text1"/>
        </w:rPr>
        <w:t>RECURSO DE RECLAMACIÓN. SU INTERPOSICIÓN NO ES EXTEMPORÁNEA SI SE REALIZA ANTES DE QUE INICIE EL PLAZO PARA HACERLO. Conforme al artículo 104, párrafo segundo, de la Ley de Amparo, el recurso de reclamación podrá interponerse por cualquiera de las partes, por escrito, dentro del término de tres días siguientes al en que surta efectos la notificación de la resolución impugnada. Ahora bien, dicho numeral sólo refiere que el aludido medio de defensa no puede hacerse valer después de tres días, por tanto, no impide que el escrito correspondiente se presente antes de iniciado ese término. De ahí que si dicho recurso se interpone antes de que inicie el plazo para hacerlo, su presentación no es extemporánea.</w:t>
      </w:r>
    </w:p>
    <w:p w:rsidR="00E013A3" w:rsidRPr="004D79F8" w:rsidRDefault="00657552" w:rsidP="004D79F8">
      <w:pPr>
        <w:spacing w:line="360" w:lineRule="auto"/>
        <w:jc w:val="both"/>
        <w:rPr>
          <w:rFonts w:ascii="Palatino Linotype" w:eastAsia="Palatino Linotype" w:hAnsi="Palatino Linotype" w:cs="Palatino Linotype"/>
          <w:i/>
          <w:iCs/>
          <w:color w:val="000000" w:themeColor="text1"/>
        </w:rPr>
      </w:pPr>
      <w:r w:rsidRPr="004D79F8">
        <w:rPr>
          <w:rFonts w:ascii="Palatino Linotype" w:eastAsia="Palatino Linotype" w:hAnsi="Palatino Linotype" w:cs="Palatino Linotype"/>
          <w:i/>
          <w:iCs/>
          <w:color w:val="000000" w:themeColor="text1"/>
        </w:rPr>
        <w:t xml:space="preserve"> 1a./J. 41/2015 (10a.) </w:t>
      </w:r>
    </w:p>
    <w:p w:rsidR="00E013A3" w:rsidRPr="004D79F8" w:rsidRDefault="00657552" w:rsidP="004D79F8">
      <w:pPr>
        <w:spacing w:line="360" w:lineRule="auto"/>
        <w:jc w:val="both"/>
        <w:rPr>
          <w:rFonts w:ascii="Palatino Linotype" w:eastAsia="Palatino Linotype" w:hAnsi="Palatino Linotype" w:cs="Palatino Linotype"/>
          <w:i/>
          <w:iCs/>
          <w:color w:val="000000" w:themeColor="text1"/>
        </w:rPr>
      </w:pPr>
      <w:r w:rsidRPr="004D79F8">
        <w:rPr>
          <w:rFonts w:ascii="Palatino Linotype" w:eastAsia="Palatino Linotype" w:hAnsi="Palatino Linotype" w:cs="Palatino Linotype"/>
          <w:i/>
          <w:iCs/>
          <w:color w:val="000000" w:themeColor="text1"/>
        </w:rPr>
        <w:lastRenderedPageBreak/>
        <w:t xml:space="preserve">Recurso de reclamación 953/2013. 9 de abril de 2014. Cinco votos de los Ministros Arturo Zaldívar Lelo de Larrea, José Ramón Cossío Díaz, Alfredo Gutiérrez Ortiz Mena, Olga Sánchez Cordero de García Villegas y Jorge Mario Pardo Rebolledo. Ponente: Arturo Zaldívar Lelo de Larrea. Secretaria: Carmina Cortés Rodríguez. </w:t>
      </w:r>
    </w:p>
    <w:p w:rsidR="00E013A3" w:rsidRPr="004D79F8" w:rsidRDefault="00E013A3" w:rsidP="004D79F8">
      <w:pPr>
        <w:spacing w:line="360" w:lineRule="auto"/>
        <w:jc w:val="both"/>
        <w:rPr>
          <w:rFonts w:ascii="Palatino Linotype" w:eastAsia="Palatino Linotype" w:hAnsi="Palatino Linotype" w:cs="Palatino Linotype"/>
          <w:i/>
          <w:iCs/>
          <w:color w:val="000000" w:themeColor="text1"/>
        </w:rPr>
      </w:pPr>
    </w:p>
    <w:p w:rsidR="00E013A3" w:rsidRPr="004D79F8" w:rsidRDefault="00657552" w:rsidP="004D79F8">
      <w:pPr>
        <w:spacing w:line="360" w:lineRule="auto"/>
        <w:jc w:val="both"/>
        <w:rPr>
          <w:rFonts w:ascii="Palatino Linotype" w:eastAsia="Palatino Linotype" w:hAnsi="Palatino Linotype" w:cs="Palatino Linotype"/>
          <w:i/>
          <w:iCs/>
          <w:color w:val="000000" w:themeColor="text1"/>
        </w:rPr>
      </w:pPr>
      <w:r w:rsidRPr="004D79F8">
        <w:rPr>
          <w:rFonts w:ascii="Palatino Linotype" w:eastAsia="Palatino Linotype" w:hAnsi="Palatino Linotype" w:cs="Palatino Linotype"/>
          <w:i/>
          <w:iCs/>
          <w:color w:val="000000" w:themeColor="text1"/>
        </w:rPr>
        <w:t xml:space="preserve">Recurso de reclamación 1067/2014. Raúl Rodríguez Cervantes. 28 de enero de 2015. Cinco votos de los Ministros Arturo Zaldívar Lelo de Larrea, José Ramón Cossío Díaz, Jorge Mario Pardo Rebolledo, Olga Sánchez Cordero de García Villegas y Alfredo Gutiérrez Ortiz Mena. Ponente: Alfredo Gutiérrez Ortiz Mena. Secretaria: Cecilia Armengol Alonso. </w:t>
      </w:r>
    </w:p>
    <w:p w:rsidR="00E013A3" w:rsidRPr="004D79F8" w:rsidRDefault="00E013A3" w:rsidP="004D79F8">
      <w:pPr>
        <w:spacing w:line="360" w:lineRule="auto"/>
        <w:jc w:val="both"/>
        <w:rPr>
          <w:rFonts w:ascii="Palatino Linotype" w:eastAsia="Palatino Linotype" w:hAnsi="Palatino Linotype" w:cs="Palatino Linotype"/>
          <w:i/>
          <w:iCs/>
          <w:color w:val="000000" w:themeColor="text1"/>
        </w:rPr>
      </w:pPr>
    </w:p>
    <w:p w:rsidR="00E013A3" w:rsidRPr="004D79F8" w:rsidRDefault="00657552" w:rsidP="004D79F8">
      <w:pPr>
        <w:spacing w:line="360" w:lineRule="auto"/>
        <w:jc w:val="both"/>
        <w:rPr>
          <w:rFonts w:ascii="Palatino Linotype" w:eastAsia="Palatino Linotype" w:hAnsi="Palatino Linotype" w:cs="Palatino Linotype"/>
          <w:i/>
          <w:iCs/>
          <w:color w:val="000000" w:themeColor="text1"/>
        </w:rPr>
      </w:pPr>
      <w:r w:rsidRPr="004D79F8">
        <w:rPr>
          <w:rFonts w:ascii="Palatino Linotype" w:eastAsia="Palatino Linotype" w:hAnsi="Palatino Linotype" w:cs="Palatino Linotype"/>
          <w:i/>
          <w:iCs/>
          <w:color w:val="000000" w:themeColor="text1"/>
        </w:rPr>
        <w:t xml:space="preserve">Recurso de reclamación 895/2014. 18 de febrero de 2015. Cinco votos de los Ministros Arturo Zaldívar Lelo de Larrea, José Ramón Cossío Díaz, Jorge Mario Pardo Rebolledo, Olga Sánchez Cordero de García Villegas y Alfredo Gutiérrez Ortiz Mena. Ponente: José Ramón Cossío Díaz. Secretario: Rodrigo Montes de Oca Arboleya. </w:t>
      </w:r>
    </w:p>
    <w:p w:rsidR="00E013A3" w:rsidRPr="004D79F8" w:rsidRDefault="00E013A3" w:rsidP="004D79F8">
      <w:pPr>
        <w:spacing w:line="360" w:lineRule="auto"/>
        <w:jc w:val="both"/>
        <w:rPr>
          <w:rFonts w:ascii="Palatino Linotype" w:eastAsia="Palatino Linotype" w:hAnsi="Palatino Linotype" w:cs="Palatino Linotype"/>
          <w:i/>
          <w:iCs/>
          <w:color w:val="000000" w:themeColor="text1"/>
        </w:rPr>
      </w:pPr>
    </w:p>
    <w:p w:rsidR="00E013A3" w:rsidRPr="004D79F8" w:rsidRDefault="00657552" w:rsidP="004D79F8">
      <w:pPr>
        <w:spacing w:line="360" w:lineRule="auto"/>
        <w:jc w:val="both"/>
        <w:rPr>
          <w:rFonts w:ascii="Palatino Linotype" w:eastAsia="Palatino Linotype" w:hAnsi="Palatino Linotype" w:cs="Palatino Linotype"/>
          <w:i/>
          <w:iCs/>
          <w:color w:val="000000" w:themeColor="text1"/>
        </w:rPr>
      </w:pPr>
      <w:r w:rsidRPr="004D79F8">
        <w:rPr>
          <w:rFonts w:ascii="Palatino Linotype" w:eastAsia="Palatino Linotype" w:hAnsi="Palatino Linotype" w:cs="Palatino Linotype"/>
          <w:i/>
          <w:iCs/>
          <w:color w:val="000000" w:themeColor="text1"/>
        </w:rPr>
        <w:t xml:space="preserve">Recurso de reclamación 1164/2014. Paula Abascal Valdez. 18 de febrero de 2015. Cinco votos de los Ministros Arturo Zaldívar Lelo de Larrea, José Ramón Cossío Díaz, Jorge Mario Pardo Rebolledo, Olga Sánchez Cordero de García Villegas y Alfredo Gutiérrez Ortiz Mena. Ponente: José Ramón Cossío Díaz. Secretaria: Lorena Goslinga Remírez. </w:t>
      </w:r>
    </w:p>
    <w:p w:rsidR="00E013A3" w:rsidRPr="004D79F8" w:rsidRDefault="00E013A3" w:rsidP="004D79F8">
      <w:pPr>
        <w:spacing w:line="360" w:lineRule="auto"/>
        <w:jc w:val="both"/>
        <w:rPr>
          <w:rFonts w:ascii="Palatino Linotype" w:eastAsia="Palatino Linotype" w:hAnsi="Palatino Linotype" w:cs="Palatino Linotype"/>
          <w:i/>
          <w:iCs/>
          <w:color w:val="000000" w:themeColor="text1"/>
        </w:rPr>
      </w:pPr>
    </w:p>
    <w:p w:rsidR="00E013A3" w:rsidRPr="004D79F8" w:rsidRDefault="00657552" w:rsidP="004D79F8">
      <w:pPr>
        <w:spacing w:line="360" w:lineRule="auto"/>
        <w:jc w:val="both"/>
        <w:rPr>
          <w:rFonts w:ascii="Palatino Linotype" w:eastAsia="Palatino Linotype" w:hAnsi="Palatino Linotype" w:cs="Palatino Linotype"/>
          <w:i/>
          <w:iCs/>
          <w:color w:val="000000" w:themeColor="text1"/>
        </w:rPr>
      </w:pPr>
      <w:r w:rsidRPr="004D79F8">
        <w:rPr>
          <w:rFonts w:ascii="Palatino Linotype" w:eastAsia="Palatino Linotype" w:hAnsi="Palatino Linotype" w:cs="Palatino Linotype"/>
          <w:i/>
          <w:iCs/>
          <w:color w:val="000000" w:themeColor="text1"/>
        </w:rPr>
        <w:t xml:space="preserve">Recurso de reclamación 1231/2014. 18 de marzo de 2015. Cinco votos de los Ministros Arturo Zaldívar Lelo de Larrea, José Ramón Cossío Díaz, Jorge Mario Pardo Rebolledo, Olga Sánchez </w:t>
      </w:r>
      <w:r w:rsidRPr="004D79F8">
        <w:rPr>
          <w:rFonts w:ascii="Palatino Linotype" w:eastAsia="Palatino Linotype" w:hAnsi="Palatino Linotype" w:cs="Palatino Linotype"/>
          <w:i/>
          <w:iCs/>
          <w:color w:val="000000" w:themeColor="text1"/>
        </w:rPr>
        <w:lastRenderedPageBreak/>
        <w:t xml:space="preserve">Cordero de García Villegas y Alfredo Gutiérrez Ortiz Mena. Ponente: Arturo Zaldívar Lelo de Larrea. Secretario: Saúl Armando Patiño Lara. </w:t>
      </w:r>
    </w:p>
    <w:p w:rsidR="00E013A3" w:rsidRPr="004D79F8" w:rsidRDefault="00E013A3" w:rsidP="004D79F8">
      <w:pPr>
        <w:spacing w:line="360" w:lineRule="auto"/>
        <w:jc w:val="both"/>
        <w:rPr>
          <w:rFonts w:ascii="Palatino Linotype" w:eastAsia="Palatino Linotype" w:hAnsi="Palatino Linotype" w:cs="Palatino Linotype"/>
          <w:i/>
          <w:iCs/>
          <w:color w:val="000000" w:themeColor="text1"/>
        </w:rPr>
      </w:pPr>
    </w:p>
    <w:p w:rsidR="00E013A3" w:rsidRPr="004D79F8" w:rsidRDefault="00657552" w:rsidP="004D79F8">
      <w:pPr>
        <w:spacing w:after="240" w:line="360" w:lineRule="auto"/>
        <w:jc w:val="both"/>
        <w:rPr>
          <w:rFonts w:ascii="Palatino Linotype" w:eastAsia="Palatino Linotype" w:hAnsi="Palatino Linotype" w:cs="Palatino Linotype"/>
          <w:i/>
          <w:iCs/>
          <w:color w:val="000000" w:themeColor="text1"/>
        </w:rPr>
      </w:pPr>
      <w:r w:rsidRPr="004D79F8">
        <w:rPr>
          <w:rFonts w:ascii="Palatino Linotype" w:eastAsia="Palatino Linotype" w:hAnsi="Palatino Linotype" w:cs="Palatino Linotype"/>
          <w:i/>
          <w:iCs/>
          <w:color w:val="000000" w:themeColor="text1"/>
        </w:rPr>
        <w:t>Tesis de jurisprudencia 41/2015 (10a.). Aprobada por la Primera Sala de este Alto Tribunal, en sesión privada de veintisiete de mayo de dos mil quince.</w:t>
      </w:r>
    </w:p>
    <w:p w:rsidR="00E013A3" w:rsidRPr="004D79F8" w:rsidRDefault="00657552" w:rsidP="004D79F8">
      <w:pPr>
        <w:numPr>
          <w:ilvl w:val="0"/>
          <w:numId w:val="1"/>
        </w:numPr>
        <w:pBdr>
          <w:top w:val="nil"/>
          <w:left w:val="nil"/>
          <w:bottom w:val="nil"/>
          <w:right w:val="nil"/>
          <w:between w:val="nil"/>
        </w:pBdr>
        <w:spacing w:before="240" w:line="360" w:lineRule="auto"/>
        <w:ind w:left="0" w:firstLine="0"/>
        <w:jc w:val="both"/>
        <w:rPr>
          <w:rFonts w:ascii="Palatino Linotype" w:eastAsia="Palatino Linotype" w:hAnsi="Palatino Linotype" w:cs="Palatino Linotype"/>
          <w:i/>
          <w:iCs/>
          <w:color w:val="000000" w:themeColor="text1"/>
        </w:rPr>
      </w:pPr>
      <w:r w:rsidRPr="004D79F8">
        <w:rPr>
          <w:rFonts w:ascii="Palatino Linotype" w:eastAsia="Palatino Linotype" w:hAnsi="Palatino Linotype" w:cs="Palatino Linotype"/>
          <w:color w:val="000000" w:themeColor="text1"/>
        </w:rPr>
        <w:t>Esto es así porque en primer lugar es necesario que la recurrente conozca el acto que le provoca agravio y a partir de ahí formular su recurso de revisión señalando tanto el acto impugnado como el motivo de inconformidad. Y si bien la ley señala que el plazo corre un día después de haber sido notificada la respuesta, en nada se afecta al proceso que el mismo día de notificada el recurrente actúe, ya que al contrario lo que demuestra es el interés del mismo para ejercer su derecho bajo el principio constitucional de justicia expedita.</w:t>
      </w:r>
    </w:p>
    <w:p w:rsidR="00E013A3" w:rsidRPr="004D79F8" w:rsidRDefault="00E013A3" w:rsidP="004D79F8">
      <w:pPr>
        <w:pBdr>
          <w:top w:val="nil"/>
          <w:left w:val="nil"/>
          <w:bottom w:val="nil"/>
          <w:right w:val="nil"/>
          <w:between w:val="nil"/>
        </w:pBdr>
        <w:spacing w:line="360" w:lineRule="auto"/>
        <w:jc w:val="both"/>
        <w:rPr>
          <w:rFonts w:ascii="Palatino Linotype" w:eastAsia="Palatino Linotype" w:hAnsi="Palatino Linotype" w:cs="Palatino Linotype"/>
          <w:i/>
          <w:iCs/>
          <w:color w:val="000000" w:themeColor="text1"/>
        </w:rPr>
      </w:pPr>
    </w:p>
    <w:p w:rsidR="00E013A3" w:rsidRPr="004D79F8" w:rsidRDefault="00657552" w:rsidP="004D79F8">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i/>
          <w:iCs/>
          <w:color w:val="000000" w:themeColor="text1"/>
        </w:rPr>
      </w:pPr>
      <w:r w:rsidRPr="004D79F8">
        <w:rPr>
          <w:rFonts w:ascii="Palatino Linotype" w:eastAsia="Palatino Linotype" w:hAnsi="Palatino Linotype" w:cs="Palatino Linotype"/>
          <w:color w:val="000000" w:themeColor="text1"/>
        </w:rPr>
        <w:t>Por lo que la presentación del recurso, el mismo día del conocimiento de la respuesta, se insiste no constituye un acto que altere el procedimiento, solo permite su gestión de manera rápida lo que no afecta ningún principio procesal y es protector del derecho de acceso a la justicia pronta y expedita.</w:t>
      </w:r>
    </w:p>
    <w:p w:rsidR="00E013A3" w:rsidRPr="004D79F8" w:rsidRDefault="00E013A3" w:rsidP="004D79F8">
      <w:pPr>
        <w:pBdr>
          <w:top w:val="nil"/>
          <w:left w:val="nil"/>
          <w:bottom w:val="nil"/>
          <w:right w:val="nil"/>
          <w:between w:val="nil"/>
        </w:pBdr>
        <w:rPr>
          <w:rFonts w:ascii="Palatino Linotype" w:eastAsia="Palatino Linotype" w:hAnsi="Palatino Linotype" w:cs="Palatino Linotype"/>
          <w:i/>
          <w:iCs/>
          <w:color w:val="000000" w:themeColor="text1"/>
        </w:rPr>
      </w:pPr>
    </w:p>
    <w:p w:rsidR="00E013A3" w:rsidRPr="004D79F8" w:rsidRDefault="00657552" w:rsidP="004D79F8">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i/>
          <w:iCs/>
          <w:color w:val="000000" w:themeColor="text1"/>
        </w:rPr>
      </w:pPr>
      <w:r w:rsidRPr="004D79F8">
        <w:rPr>
          <w:rFonts w:ascii="Palatino Linotype" w:eastAsia="Palatino Linotype" w:hAnsi="Palatino Linotype" w:cs="Palatino Linotype"/>
          <w:color w:val="000000" w:themeColor="text1"/>
        </w:rPr>
        <w:t xml:space="preserve">Por lo tanto, la interposición del recursos de revisión antes de que inicie el plazo para su presentación no es determinante para declararlo extemporáneo, siempre y cuando ello ocurra de manera posterior a que se ha notificado la respuesta del </w:t>
      </w:r>
      <w:r w:rsidRPr="004D79F8">
        <w:rPr>
          <w:rFonts w:ascii="Palatino Linotype" w:eastAsia="Palatino Linotype" w:hAnsi="Palatino Linotype" w:cs="Palatino Linotype"/>
          <w:b/>
          <w:bCs/>
          <w:color w:val="000000" w:themeColor="text1"/>
        </w:rPr>
        <w:t>SUJETO OBLIGADO</w:t>
      </w:r>
      <w:r w:rsidRPr="004D79F8">
        <w:rPr>
          <w:rFonts w:ascii="Palatino Linotype" w:eastAsia="Palatino Linotype" w:hAnsi="Palatino Linotype" w:cs="Palatino Linotype"/>
          <w:color w:val="000000" w:themeColor="text1"/>
        </w:rPr>
        <w:t>.</w:t>
      </w:r>
    </w:p>
    <w:p w:rsidR="00E013A3" w:rsidRPr="004D79F8" w:rsidRDefault="00E013A3" w:rsidP="004D79F8">
      <w:pPr>
        <w:pBdr>
          <w:top w:val="nil"/>
          <w:left w:val="nil"/>
          <w:bottom w:val="nil"/>
          <w:right w:val="nil"/>
          <w:between w:val="nil"/>
        </w:pBdr>
        <w:rPr>
          <w:rFonts w:ascii="Palatino Linotype" w:eastAsia="Palatino Linotype" w:hAnsi="Palatino Linotype" w:cs="Palatino Linotype"/>
          <w:color w:val="000000" w:themeColor="text1"/>
        </w:rPr>
      </w:pPr>
    </w:p>
    <w:p w:rsidR="00E013A3" w:rsidRPr="004D79F8" w:rsidRDefault="00657552" w:rsidP="004D79F8">
      <w:pPr>
        <w:numPr>
          <w:ilvl w:val="0"/>
          <w:numId w:val="1"/>
        </w:numPr>
        <w:spacing w:line="360" w:lineRule="auto"/>
        <w:ind w:left="0" w:firstLine="0"/>
        <w:jc w:val="both"/>
        <w:rPr>
          <w:rFonts w:ascii="Palatino Linotype" w:eastAsia="Palatino Linotype" w:hAnsi="Palatino Linotype" w:cs="Palatino Linotype"/>
          <w:color w:val="000000" w:themeColor="text1"/>
        </w:rPr>
      </w:pPr>
      <w:r w:rsidRPr="004D79F8">
        <w:rPr>
          <w:rFonts w:ascii="Palatino Linotype" w:eastAsia="Palatino Linotype" w:hAnsi="Palatino Linotype" w:cs="Palatino Linotype"/>
          <w:color w:val="000000" w:themeColor="text1"/>
        </w:rPr>
        <w:lastRenderedPageBreak/>
        <w:t xml:space="preserve">Por otra parte, de la revisión al expediente electrónico del </w:t>
      </w:r>
      <w:r w:rsidRPr="004D79F8">
        <w:rPr>
          <w:rFonts w:ascii="Palatino Linotype" w:eastAsia="Palatino Linotype" w:hAnsi="Palatino Linotype" w:cs="Palatino Linotype"/>
          <w:b/>
          <w:bCs/>
          <w:color w:val="000000" w:themeColor="text1"/>
        </w:rPr>
        <w:t>SAIMEX</w:t>
      </w:r>
      <w:r w:rsidRPr="004D79F8">
        <w:rPr>
          <w:rFonts w:ascii="Palatino Linotype" w:eastAsia="Palatino Linotype" w:hAnsi="Palatino Linotype" w:cs="Palatino Linotype"/>
          <w:color w:val="000000" w:themeColor="text1"/>
        </w:rPr>
        <w:t xml:space="preserve"> se desprende que la parte solicitante en ejercicio de su derecho de acceso a la información pública en el expediente que se revisa, tanto en la solicitud de información como en el recurso de revisión no proporciona su nombre completo para que sea identificado, ni se tiene la certeza sobre su identidad; sin embargo, es importante señalar también que el nombre de los solicitantes y recurrentes no es requisito indispensable para la tramitación del acto procesal específico en materia de acceso a la información, ello en estricto apego al numeral 155 párrafo tercero de la Ley de la materia, en concatenación con el 180 del mismo ordenamiento.</w:t>
      </w:r>
    </w:p>
    <w:p w:rsidR="00E013A3" w:rsidRPr="004D79F8" w:rsidRDefault="00E013A3" w:rsidP="004D79F8">
      <w:pPr>
        <w:pBdr>
          <w:top w:val="nil"/>
          <w:left w:val="nil"/>
          <w:bottom w:val="nil"/>
          <w:right w:val="nil"/>
          <w:between w:val="nil"/>
        </w:pBdr>
        <w:rPr>
          <w:rFonts w:ascii="Palatino Linotype" w:eastAsia="Palatino Linotype" w:hAnsi="Palatino Linotype" w:cs="Palatino Linotype"/>
          <w:color w:val="000000" w:themeColor="text1"/>
        </w:rPr>
      </w:pPr>
    </w:p>
    <w:p w:rsidR="00E013A3" w:rsidRPr="004D79F8" w:rsidRDefault="00657552" w:rsidP="004D79F8">
      <w:pPr>
        <w:numPr>
          <w:ilvl w:val="0"/>
          <w:numId w:val="1"/>
        </w:numPr>
        <w:spacing w:line="360" w:lineRule="auto"/>
        <w:ind w:left="0" w:firstLine="0"/>
        <w:jc w:val="both"/>
        <w:rPr>
          <w:rFonts w:ascii="Palatino Linotype" w:eastAsia="Palatino Linotype" w:hAnsi="Palatino Linotype" w:cs="Palatino Linotype"/>
          <w:color w:val="000000" w:themeColor="text1"/>
        </w:rPr>
      </w:pPr>
      <w:r w:rsidRPr="004D79F8">
        <w:rPr>
          <w:rFonts w:ascii="Palatino Linotype" w:eastAsia="Palatino Linotype" w:hAnsi="Palatino Linotype" w:cs="Palatino Linotype"/>
          <w:color w:val="000000" w:themeColor="text1"/>
        </w:rPr>
        <w:t>Esto es así, ya que de conformidad con los artículos 6, Apartado A, fracciones III y IV de la Constitución Política de los Estados Unidos Mexicanos y 5, párrafos vigésimo, vigésimo primero y vigésimo segundo fracciones IV y V de la Constitución Política del Estado Libre y Soberano de México, se establece que toda persona, sin necesidad de acreditar interés alguno o justificar su utilización, tendrá acceso gratuito a la información pública, a sus datos personales o a la rectificación de éstos, además de que se establecerán mecanismos de acceso a la información y procedimientos de revisión expeditos que se sustanciarán ante los organismos autónomos especializados e imparciales que establece la Constitución Federal y local.</w:t>
      </w:r>
    </w:p>
    <w:p w:rsidR="00E013A3" w:rsidRPr="004D79F8" w:rsidRDefault="00E013A3" w:rsidP="004D79F8">
      <w:pPr>
        <w:pBdr>
          <w:top w:val="nil"/>
          <w:left w:val="nil"/>
          <w:bottom w:val="nil"/>
          <w:right w:val="nil"/>
          <w:between w:val="nil"/>
        </w:pBdr>
        <w:rPr>
          <w:rFonts w:ascii="Palatino Linotype" w:eastAsia="Palatino Linotype" w:hAnsi="Palatino Linotype" w:cs="Palatino Linotype"/>
          <w:color w:val="000000" w:themeColor="text1"/>
        </w:rPr>
      </w:pPr>
    </w:p>
    <w:p w:rsidR="00E013A3" w:rsidRPr="004D79F8" w:rsidRDefault="00657552" w:rsidP="004D79F8">
      <w:pPr>
        <w:numPr>
          <w:ilvl w:val="0"/>
          <w:numId w:val="1"/>
        </w:numPr>
        <w:spacing w:line="360" w:lineRule="auto"/>
        <w:ind w:left="0" w:firstLine="0"/>
        <w:jc w:val="both"/>
        <w:rPr>
          <w:rFonts w:ascii="Palatino Linotype" w:eastAsia="Palatino Linotype" w:hAnsi="Palatino Linotype" w:cs="Palatino Linotype"/>
          <w:color w:val="000000" w:themeColor="text1"/>
        </w:rPr>
      </w:pPr>
      <w:r w:rsidRPr="004D79F8">
        <w:rPr>
          <w:rFonts w:ascii="Palatino Linotype" w:eastAsia="Palatino Linotype" w:hAnsi="Palatino Linotype" w:cs="Palatino Linotype"/>
          <w:color w:val="000000" w:themeColor="text1"/>
        </w:rPr>
        <w:t xml:space="preserve">Por lo cual, de una interpretación sistemática, armónica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w:t>
      </w:r>
      <w:r w:rsidRPr="004D79F8">
        <w:rPr>
          <w:rFonts w:ascii="Palatino Linotype" w:eastAsia="Palatino Linotype" w:hAnsi="Palatino Linotype" w:cs="Palatino Linotype"/>
          <w:color w:val="000000" w:themeColor="text1"/>
        </w:rPr>
        <w:lastRenderedPageBreak/>
        <w:t>legitimación en la causa o su interés en el asunto, lo que permite la posibilidad de que inclusive, la solicitud de acceso a la información pueda ser anónima o no contener un nombre que identifique al solicitante o que permita tener certeza sobre su identidad.</w:t>
      </w:r>
    </w:p>
    <w:p w:rsidR="00E013A3" w:rsidRPr="004D79F8" w:rsidRDefault="00E013A3" w:rsidP="004D79F8">
      <w:pPr>
        <w:pBdr>
          <w:top w:val="nil"/>
          <w:left w:val="nil"/>
          <w:bottom w:val="nil"/>
          <w:right w:val="nil"/>
          <w:between w:val="nil"/>
        </w:pBdr>
        <w:rPr>
          <w:rFonts w:ascii="Palatino Linotype" w:eastAsia="Palatino Linotype" w:hAnsi="Palatino Linotype" w:cs="Palatino Linotype"/>
          <w:color w:val="000000" w:themeColor="text1"/>
        </w:rPr>
      </w:pPr>
    </w:p>
    <w:p w:rsidR="00E013A3" w:rsidRPr="004D79F8" w:rsidRDefault="00657552" w:rsidP="004D79F8">
      <w:pPr>
        <w:numPr>
          <w:ilvl w:val="0"/>
          <w:numId w:val="1"/>
        </w:numPr>
        <w:spacing w:line="360" w:lineRule="auto"/>
        <w:ind w:left="0" w:firstLine="0"/>
        <w:jc w:val="both"/>
        <w:rPr>
          <w:rFonts w:ascii="Palatino Linotype" w:eastAsia="Palatino Linotype" w:hAnsi="Palatino Linotype" w:cs="Palatino Linotype"/>
          <w:color w:val="000000" w:themeColor="text1"/>
        </w:rPr>
      </w:pPr>
      <w:r w:rsidRPr="004D79F8">
        <w:rPr>
          <w:rFonts w:ascii="Palatino Linotype" w:eastAsia="Palatino Linotype" w:hAnsi="Palatino Linotype" w:cs="Palatino Linotype"/>
          <w:color w:val="000000" w:themeColor="text1"/>
        </w:rPr>
        <w:t>En ese entendido, se omite un análisis más profundo en torno a los conceptos de interés jurídico y legitimación, debido a que se estima que a ningún efecto práctico conduciría, puesto que la propia estructura del derecho fundamental bajo análisis no lo exige.</w:t>
      </w:r>
    </w:p>
    <w:p w:rsidR="00E013A3" w:rsidRPr="004D79F8" w:rsidRDefault="00E013A3" w:rsidP="004D79F8">
      <w:pPr>
        <w:pBdr>
          <w:top w:val="nil"/>
          <w:left w:val="nil"/>
          <w:bottom w:val="nil"/>
          <w:right w:val="nil"/>
          <w:between w:val="nil"/>
        </w:pBdr>
        <w:rPr>
          <w:rFonts w:ascii="Palatino Linotype" w:eastAsia="Palatino Linotype" w:hAnsi="Palatino Linotype" w:cs="Palatino Linotype"/>
          <w:color w:val="000000" w:themeColor="text1"/>
        </w:rPr>
      </w:pPr>
    </w:p>
    <w:p w:rsidR="00E013A3" w:rsidRPr="004D79F8" w:rsidRDefault="00657552" w:rsidP="004D79F8">
      <w:pPr>
        <w:numPr>
          <w:ilvl w:val="0"/>
          <w:numId w:val="1"/>
        </w:numPr>
        <w:spacing w:line="360" w:lineRule="auto"/>
        <w:ind w:left="0" w:firstLine="0"/>
        <w:jc w:val="both"/>
        <w:rPr>
          <w:rFonts w:ascii="Palatino Linotype" w:eastAsia="Palatino Linotype" w:hAnsi="Palatino Linotype" w:cs="Palatino Linotype"/>
          <w:color w:val="000000" w:themeColor="text1"/>
        </w:rPr>
      </w:pPr>
      <w:r w:rsidRPr="004D79F8">
        <w:rPr>
          <w:rFonts w:ascii="Palatino Linotype" w:eastAsia="Palatino Linotype" w:hAnsi="Palatino Linotype" w:cs="Palatino Linotype"/>
          <w:color w:val="000000" w:themeColor="text1"/>
        </w:rPr>
        <w:t>Por lo que el nombre del solicitando y recurrente no puede ser considerado un requisito indispensable de procedibilidad del recurso de revisión que nos ocupa, ya que el acceso a la información no está condicionado a acreditar algún interés ya sea jurídico o legítimo, máxime que es un elemento subsanable por este Órgano Resolutor.</w:t>
      </w:r>
    </w:p>
    <w:p w:rsidR="00E013A3" w:rsidRPr="004D79F8" w:rsidRDefault="00E013A3" w:rsidP="004D79F8">
      <w:pPr>
        <w:rPr>
          <w:rFonts w:ascii="Palatino Linotype" w:eastAsia="Palatino Linotype" w:hAnsi="Palatino Linotype" w:cs="Palatino Linotype"/>
          <w:i/>
          <w:iCs/>
          <w:color w:val="000000" w:themeColor="text1"/>
        </w:rPr>
      </w:pPr>
    </w:p>
    <w:p w:rsidR="00E013A3" w:rsidRPr="004D79F8" w:rsidRDefault="00657552" w:rsidP="004D79F8">
      <w:pPr>
        <w:numPr>
          <w:ilvl w:val="0"/>
          <w:numId w:val="1"/>
        </w:numPr>
        <w:spacing w:line="360" w:lineRule="auto"/>
        <w:ind w:left="0" w:firstLine="0"/>
        <w:jc w:val="both"/>
        <w:rPr>
          <w:rFonts w:ascii="Palatino Linotype" w:eastAsia="Palatino Linotype" w:hAnsi="Palatino Linotype" w:cs="Palatino Linotype"/>
          <w:color w:val="000000" w:themeColor="text1"/>
        </w:rPr>
      </w:pPr>
      <w:r w:rsidRPr="004D79F8">
        <w:rPr>
          <w:rFonts w:ascii="Palatino Linotype" w:eastAsia="Palatino Linotype" w:hAnsi="Palatino Linotype" w:cs="Palatino Linotype"/>
          <w:color w:val="000000" w:themeColor="text1"/>
        </w:rPr>
        <w:t>Por otro lado,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rsidR="00E013A3" w:rsidRPr="004D79F8" w:rsidRDefault="00657552" w:rsidP="004D79F8">
      <w:pPr>
        <w:pStyle w:val="Ttulo1"/>
        <w:spacing w:line="360" w:lineRule="auto"/>
        <w:rPr>
          <w:rFonts w:ascii="Palatino Linotype" w:eastAsia="Palatino Linotype" w:hAnsi="Palatino Linotype" w:cs="Palatino Linotype"/>
          <w:b/>
          <w:bCs/>
          <w:i/>
          <w:iCs/>
          <w:color w:val="000000" w:themeColor="text1"/>
          <w:sz w:val="24"/>
          <w:szCs w:val="24"/>
        </w:rPr>
      </w:pPr>
      <w:bookmarkStart w:id="6" w:name="_heading=h.tyjcwt" w:colFirst="0" w:colLast="0"/>
      <w:bookmarkEnd w:id="6"/>
      <w:r w:rsidRPr="004D79F8">
        <w:rPr>
          <w:rFonts w:ascii="Palatino Linotype" w:eastAsia="Palatino Linotype" w:hAnsi="Palatino Linotype" w:cs="Palatino Linotype"/>
          <w:b/>
          <w:bCs/>
          <w:color w:val="000000" w:themeColor="text1"/>
          <w:sz w:val="24"/>
          <w:szCs w:val="24"/>
        </w:rPr>
        <w:t>TERCERO. Del planteamiento de la Litis</w:t>
      </w:r>
    </w:p>
    <w:p w:rsidR="00E013A3" w:rsidRPr="004D79F8" w:rsidRDefault="00657552" w:rsidP="004D79F8">
      <w:pPr>
        <w:numPr>
          <w:ilvl w:val="0"/>
          <w:numId w:val="1"/>
        </w:numPr>
        <w:spacing w:line="360" w:lineRule="auto"/>
        <w:ind w:left="0" w:firstLine="0"/>
        <w:jc w:val="both"/>
        <w:rPr>
          <w:rFonts w:ascii="Palatino Linotype" w:eastAsia="Palatino Linotype" w:hAnsi="Palatino Linotype" w:cs="Palatino Linotype"/>
          <w:color w:val="000000" w:themeColor="text1"/>
        </w:rPr>
      </w:pPr>
      <w:r w:rsidRPr="004D79F8">
        <w:rPr>
          <w:rFonts w:ascii="Palatino Linotype" w:eastAsia="Palatino Linotype" w:hAnsi="Palatino Linotype" w:cs="Palatino Linotype"/>
          <w:color w:val="000000" w:themeColor="text1"/>
        </w:rPr>
        <w:t xml:space="preserve">El particular solicitó la normatividad para que la sesión de cabildo se convirtiera en escenario y publicidad del equipo de fútbol de Toluca y que esté permitido mezclar en oficina de gobierno con el equipo y cuanto se gasto es esa publicidad, asimismo, el número y costo de los focos que se utilizaron para iluminar de rojo los edificios públicos, así como </w:t>
      </w:r>
      <w:r w:rsidRPr="004D79F8">
        <w:rPr>
          <w:rFonts w:ascii="Palatino Linotype" w:eastAsia="Palatino Linotype" w:hAnsi="Palatino Linotype" w:cs="Palatino Linotype"/>
          <w:color w:val="000000" w:themeColor="text1"/>
        </w:rPr>
        <w:lastRenderedPageBreak/>
        <w:t xml:space="preserve">el acuerdo de cabildo para realizarlo y las acciones de la contraloría por acciones violatorias contra el actuar del gobierno. </w:t>
      </w:r>
    </w:p>
    <w:p w:rsidR="00E013A3" w:rsidRPr="004D79F8" w:rsidRDefault="00E013A3" w:rsidP="004D79F8">
      <w:pPr>
        <w:spacing w:line="360" w:lineRule="auto"/>
        <w:jc w:val="both"/>
        <w:rPr>
          <w:rFonts w:ascii="Palatino Linotype" w:eastAsia="Palatino Linotype" w:hAnsi="Palatino Linotype" w:cs="Palatino Linotype"/>
          <w:i/>
          <w:iCs/>
          <w:color w:val="000000" w:themeColor="text1"/>
        </w:rPr>
      </w:pPr>
    </w:p>
    <w:p w:rsidR="00E013A3" w:rsidRPr="004D79F8" w:rsidRDefault="00657552" w:rsidP="004D79F8">
      <w:pPr>
        <w:numPr>
          <w:ilvl w:val="0"/>
          <w:numId w:val="1"/>
        </w:numPr>
        <w:spacing w:line="360" w:lineRule="auto"/>
        <w:ind w:left="0" w:firstLine="0"/>
        <w:jc w:val="both"/>
        <w:rPr>
          <w:rFonts w:ascii="Palatino Linotype" w:eastAsia="Palatino Linotype" w:hAnsi="Palatino Linotype" w:cs="Palatino Linotype"/>
          <w:color w:val="000000" w:themeColor="text1"/>
        </w:rPr>
      </w:pPr>
      <w:r w:rsidRPr="004D79F8">
        <w:rPr>
          <w:rFonts w:ascii="Palatino Linotype" w:eastAsia="Palatino Linotype" w:hAnsi="Palatino Linotype" w:cs="Palatino Linotype"/>
          <w:color w:val="000000" w:themeColor="text1"/>
        </w:rPr>
        <w:t xml:space="preserve">En respuesta, el SUJETO OBLIGADO señaló que derivado de la búsqueda exhaustiva, no se localizó la información solicitada; por su parte, el  Recurrente se inconformó por la negativa de la información. </w:t>
      </w:r>
    </w:p>
    <w:p w:rsidR="00E013A3" w:rsidRPr="004D79F8" w:rsidRDefault="00E013A3" w:rsidP="004D79F8">
      <w:pPr>
        <w:spacing w:line="360" w:lineRule="auto"/>
        <w:jc w:val="both"/>
        <w:rPr>
          <w:rFonts w:ascii="Palatino Linotype" w:eastAsia="Palatino Linotype" w:hAnsi="Palatino Linotype" w:cs="Palatino Linotype"/>
          <w:color w:val="000000" w:themeColor="text1"/>
        </w:rPr>
      </w:pPr>
    </w:p>
    <w:p w:rsidR="00E013A3" w:rsidRPr="004D79F8" w:rsidRDefault="00657552" w:rsidP="004D79F8">
      <w:pPr>
        <w:numPr>
          <w:ilvl w:val="0"/>
          <w:numId w:val="1"/>
        </w:numPr>
        <w:spacing w:line="360" w:lineRule="auto"/>
        <w:ind w:left="0" w:firstLine="0"/>
        <w:jc w:val="both"/>
        <w:rPr>
          <w:rFonts w:ascii="Palatino Linotype" w:eastAsia="Palatino Linotype" w:hAnsi="Palatino Linotype" w:cs="Palatino Linotype"/>
          <w:color w:val="000000" w:themeColor="text1"/>
        </w:rPr>
      </w:pPr>
      <w:r w:rsidRPr="004D79F8">
        <w:rPr>
          <w:rFonts w:ascii="Palatino Linotype" w:eastAsia="Palatino Linotype" w:hAnsi="Palatino Linotype" w:cs="Palatino Linotype"/>
          <w:color w:val="000000" w:themeColor="text1"/>
        </w:rPr>
        <w:t xml:space="preserve">En consecuencia, la Litis a resolver en este recurso, se circunscribe a determinar si la respuesta colma con lo solicitado o si se actualiza la causal de procedencia prevista en el artículo 179, fracción I de la Ley de Transparencia y Acceso a la Información Pública del Estado de México y Municipios; que establece la negativa de la información. </w:t>
      </w:r>
    </w:p>
    <w:p w:rsidR="00E013A3" w:rsidRPr="004D79F8" w:rsidRDefault="00657552" w:rsidP="004D79F8">
      <w:pPr>
        <w:pStyle w:val="Ttulo1"/>
        <w:spacing w:line="360" w:lineRule="auto"/>
        <w:rPr>
          <w:rFonts w:ascii="Palatino Linotype" w:eastAsia="Palatino Linotype" w:hAnsi="Palatino Linotype" w:cs="Palatino Linotype"/>
          <w:b/>
          <w:bCs/>
          <w:color w:val="000000" w:themeColor="text1"/>
          <w:sz w:val="24"/>
          <w:szCs w:val="24"/>
        </w:rPr>
      </w:pPr>
      <w:bookmarkStart w:id="7" w:name="_heading=h.3dy6vkm" w:colFirst="0" w:colLast="0"/>
      <w:bookmarkEnd w:id="7"/>
      <w:r w:rsidRPr="004D79F8">
        <w:rPr>
          <w:rFonts w:ascii="Palatino Linotype" w:eastAsia="Palatino Linotype" w:hAnsi="Palatino Linotype" w:cs="Palatino Linotype"/>
          <w:b/>
          <w:bCs/>
          <w:color w:val="000000" w:themeColor="text1"/>
          <w:sz w:val="24"/>
          <w:szCs w:val="24"/>
        </w:rPr>
        <w:t xml:space="preserve">CUARTO. Estudio y resolución del recurso de revisión. </w:t>
      </w:r>
    </w:p>
    <w:p w:rsidR="00E013A3" w:rsidRPr="004D79F8" w:rsidRDefault="00657552" w:rsidP="004D79F8">
      <w:pPr>
        <w:numPr>
          <w:ilvl w:val="0"/>
          <w:numId w:val="1"/>
        </w:numPr>
        <w:pBdr>
          <w:top w:val="nil"/>
          <w:left w:val="nil"/>
          <w:bottom w:val="nil"/>
          <w:right w:val="nil"/>
          <w:between w:val="nil"/>
        </w:pBdr>
        <w:tabs>
          <w:tab w:val="left" w:pos="567"/>
        </w:tabs>
        <w:spacing w:line="360" w:lineRule="auto"/>
        <w:ind w:left="0" w:firstLine="0"/>
        <w:jc w:val="both"/>
        <w:rPr>
          <w:rFonts w:ascii="Palatino Linotype" w:eastAsia="Palatino Linotype" w:hAnsi="Palatino Linotype" w:cs="Palatino Linotype"/>
          <w:color w:val="000000" w:themeColor="text1"/>
        </w:rPr>
      </w:pPr>
      <w:r w:rsidRPr="004D79F8">
        <w:rPr>
          <w:rFonts w:ascii="Palatino Linotype" w:eastAsia="Palatino Linotype" w:hAnsi="Palatino Linotype" w:cs="Palatino Linotype"/>
          <w:color w:val="000000" w:themeColor="text1"/>
        </w:rPr>
        <w:t xml:space="preserve">Consecuentemente y derivado del Planteamiento de la Litis, se procede analizar el contenido íntegro de las actuaciones que obran en el expediente electrónico, y así este Órgano Garante dicte la resolución correspondiente, tomando en consideración los elementos aportados por las partes y apegándose en todo momento al principio de máxima publicidad de acuerdo con lo establecido en el artículo 8 de la </w:t>
      </w:r>
      <w:r w:rsidRPr="004D79F8">
        <w:rPr>
          <w:rFonts w:ascii="Palatino Linotype" w:eastAsia="Palatino Linotype" w:hAnsi="Palatino Linotype" w:cs="Palatino Linotype"/>
          <w:b/>
          <w:bCs/>
          <w:color w:val="000000" w:themeColor="text1"/>
        </w:rPr>
        <w:t>Ley de Transparencia y Acceso a la Información Pública del Estado de México y Municipios</w:t>
      </w:r>
      <w:r w:rsidRPr="004D79F8">
        <w:rPr>
          <w:rFonts w:ascii="Palatino Linotype" w:eastAsia="Palatino Linotype" w:hAnsi="Palatino Linotype" w:cs="Palatino Linotype"/>
          <w:color w:val="000000" w:themeColor="text1"/>
        </w:rPr>
        <w:t>.</w:t>
      </w:r>
    </w:p>
    <w:p w:rsidR="00E013A3" w:rsidRPr="004D79F8" w:rsidRDefault="00E013A3" w:rsidP="004D79F8">
      <w:pPr>
        <w:pBdr>
          <w:top w:val="nil"/>
          <w:left w:val="nil"/>
          <w:bottom w:val="nil"/>
          <w:right w:val="nil"/>
          <w:between w:val="nil"/>
        </w:pBdr>
        <w:tabs>
          <w:tab w:val="left" w:pos="567"/>
        </w:tabs>
        <w:spacing w:line="360" w:lineRule="auto"/>
        <w:jc w:val="both"/>
        <w:rPr>
          <w:rFonts w:ascii="Palatino Linotype" w:eastAsia="Palatino Linotype" w:hAnsi="Palatino Linotype" w:cs="Palatino Linotype"/>
          <w:color w:val="000000" w:themeColor="text1"/>
        </w:rPr>
      </w:pPr>
    </w:p>
    <w:p w:rsidR="00E013A3" w:rsidRPr="004D79F8" w:rsidRDefault="00657552" w:rsidP="004D79F8">
      <w:pPr>
        <w:numPr>
          <w:ilvl w:val="0"/>
          <w:numId w:val="1"/>
        </w:numPr>
        <w:pBdr>
          <w:top w:val="nil"/>
          <w:left w:val="nil"/>
          <w:bottom w:val="nil"/>
          <w:right w:val="nil"/>
          <w:between w:val="nil"/>
        </w:pBdr>
        <w:tabs>
          <w:tab w:val="left" w:pos="567"/>
        </w:tabs>
        <w:spacing w:line="360" w:lineRule="auto"/>
        <w:ind w:left="0" w:firstLine="0"/>
        <w:jc w:val="both"/>
        <w:rPr>
          <w:rFonts w:ascii="Palatino Linotype" w:eastAsia="Palatino Linotype" w:hAnsi="Palatino Linotype" w:cs="Palatino Linotype"/>
          <w:color w:val="000000" w:themeColor="text1"/>
        </w:rPr>
      </w:pPr>
      <w:r w:rsidRPr="004D79F8">
        <w:rPr>
          <w:rFonts w:ascii="Palatino Linotype" w:eastAsia="Palatino Linotype" w:hAnsi="Palatino Linotype" w:cs="Palatino Linotype"/>
          <w:color w:val="000000" w:themeColor="text1"/>
        </w:rPr>
        <w:t xml:space="preserve">Ahora bien, recordemos que el Recurrente solicitó la normatividad para que la sesión de cabildo se convirtiera en escenario y publicidad del equipo de fútbol de Toluca y que esté permitido mezclar en oficina de gobierno con el equipo y cuanto se gasto es esa publicidad, asimismo, el número y costo de los focos que se utilizaron para iluminar de </w:t>
      </w:r>
      <w:r w:rsidRPr="004D79F8">
        <w:rPr>
          <w:rFonts w:ascii="Palatino Linotype" w:eastAsia="Palatino Linotype" w:hAnsi="Palatino Linotype" w:cs="Palatino Linotype"/>
          <w:color w:val="000000" w:themeColor="text1"/>
        </w:rPr>
        <w:lastRenderedPageBreak/>
        <w:t xml:space="preserve">rojo los edificios públicos, así como el acuerdo de cabildo para realizarlo y las acciones de la contraloría por acciones violatorias contra el actuar del gobierno. </w:t>
      </w:r>
    </w:p>
    <w:p w:rsidR="00E013A3" w:rsidRPr="004D79F8" w:rsidRDefault="00E013A3" w:rsidP="004D79F8">
      <w:pPr>
        <w:pBdr>
          <w:top w:val="nil"/>
          <w:left w:val="nil"/>
          <w:bottom w:val="nil"/>
          <w:right w:val="nil"/>
          <w:between w:val="nil"/>
        </w:pBdr>
        <w:tabs>
          <w:tab w:val="left" w:pos="567"/>
        </w:tabs>
        <w:spacing w:line="360" w:lineRule="auto"/>
        <w:jc w:val="both"/>
        <w:rPr>
          <w:rFonts w:ascii="Palatino Linotype" w:eastAsia="Palatino Linotype" w:hAnsi="Palatino Linotype" w:cs="Palatino Linotype"/>
          <w:color w:val="000000" w:themeColor="text1"/>
        </w:rPr>
      </w:pPr>
    </w:p>
    <w:p w:rsidR="00E013A3" w:rsidRPr="004D79F8" w:rsidRDefault="00657552" w:rsidP="004D79F8">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4D79F8">
        <w:rPr>
          <w:rFonts w:ascii="Palatino Linotype" w:eastAsia="Palatino Linotype" w:hAnsi="Palatino Linotype" w:cs="Palatino Linotype"/>
          <w:color w:val="000000" w:themeColor="text1"/>
        </w:rPr>
        <w:t xml:space="preserve">Debemos mencionar que el acceso a la información es un derecho humano constitucional y convencionalmente reconocido y para tal efecto el párrafo tercero del artículo primero de la Constitución Política de los Estados Unidos Mexicanos establece que el deber de todas las autoridades, </w:t>
      </w:r>
      <w:r w:rsidRPr="004D79F8">
        <w:rPr>
          <w:rFonts w:ascii="Palatino Linotype" w:eastAsia="Palatino Linotype" w:hAnsi="Palatino Linotype" w:cs="Palatino Linotype"/>
          <w:i/>
          <w:iCs/>
          <w:color w:val="000000" w:themeColor="text1"/>
        </w:rPr>
        <w:t xml:space="preserve">en el ámbito de sus atribuciones, de promover, respetar, proteger y </w:t>
      </w:r>
      <w:r w:rsidRPr="004D79F8">
        <w:rPr>
          <w:rFonts w:ascii="Palatino Linotype" w:eastAsia="Palatino Linotype" w:hAnsi="Palatino Linotype" w:cs="Palatino Linotype"/>
          <w:b/>
          <w:bCs/>
          <w:i/>
          <w:iCs/>
          <w:color w:val="000000" w:themeColor="text1"/>
        </w:rPr>
        <w:t>garantizar</w:t>
      </w:r>
      <w:r w:rsidRPr="004D79F8">
        <w:rPr>
          <w:rFonts w:ascii="Palatino Linotype" w:eastAsia="Palatino Linotype" w:hAnsi="Palatino Linotype" w:cs="Palatino Linotype"/>
          <w:i/>
          <w:iCs/>
          <w:color w:val="000000" w:themeColor="text1"/>
        </w:rPr>
        <w:t xml:space="preserve"> los derechos humanos. </w:t>
      </w:r>
      <w:r w:rsidRPr="004D79F8">
        <w:rPr>
          <w:rFonts w:ascii="Palatino Linotype" w:eastAsia="Palatino Linotype" w:hAnsi="Palatino Linotype" w:cs="Palatino Linotype"/>
          <w:b/>
          <w:bCs/>
          <w:i/>
          <w:iCs/>
          <w:color w:val="000000" w:themeColor="text1"/>
        </w:rPr>
        <w:t>En cuanto al derecho de acceso a la información, la Ley de Transparencia y Acceso a la Información Pública del Estado de México y Municipios prevé establece que e</w:t>
      </w:r>
      <w:r w:rsidRPr="004D79F8">
        <w:rPr>
          <w:rFonts w:ascii="Palatino Linotype" w:eastAsia="Palatino Linotype" w:hAnsi="Palatino Linotype" w:cs="Palatino Linotype"/>
          <w:i/>
          <w:iCs/>
          <w:color w:val="000000" w:themeColor="text1"/>
        </w:rPr>
        <w:t>l procedimiento de acceso a la información es la garantía primaria del derecho en cuestión y se rige por los principios de simplicidad, rapidez y gratuidad del procedimiento, auxilio y orientación a los particulares</w:t>
      </w:r>
      <w:r w:rsidRPr="004D79F8">
        <w:rPr>
          <w:rFonts w:ascii="Palatino Linotype" w:eastAsia="Palatino Linotype" w:hAnsi="Palatino Linotype" w:cs="Palatino Linotype"/>
          <w:i/>
          <w:iCs/>
          <w:color w:val="000000" w:themeColor="text1"/>
          <w:vertAlign w:val="superscript"/>
        </w:rPr>
        <w:footnoteReference w:id="1"/>
      </w:r>
      <w:r w:rsidRPr="004D79F8">
        <w:rPr>
          <w:rFonts w:ascii="Palatino Linotype" w:eastAsia="Palatino Linotype" w:hAnsi="Palatino Linotype" w:cs="Palatino Linotype"/>
          <w:i/>
          <w:iCs/>
          <w:color w:val="000000" w:themeColor="text1"/>
        </w:rPr>
        <w:t xml:space="preserve">, </w:t>
      </w:r>
      <w:r w:rsidRPr="004D79F8">
        <w:rPr>
          <w:rFonts w:ascii="Palatino Linotype" w:eastAsia="Palatino Linotype" w:hAnsi="Palatino Linotype" w:cs="Palatino Linotype"/>
          <w:color w:val="000000" w:themeColor="text1"/>
        </w:rPr>
        <w:t>asimismo establece</w:t>
      </w:r>
      <w:r w:rsidRPr="004D79F8">
        <w:rPr>
          <w:rFonts w:ascii="Palatino Linotype" w:eastAsia="Palatino Linotype" w:hAnsi="Palatino Linotype" w:cs="Palatino Linotype"/>
          <w:i/>
          <w:iCs/>
          <w:color w:val="000000" w:themeColor="text1"/>
        </w:rPr>
        <w:t xml:space="preserve"> que las unidades de transparencia de los Sujetos Obligados deberán garantizar las medidas y condiciones de accesibilidad para que toda persona pueda ejercer el derecho de acceso a la información, mediante solicitudes de información y deberá apoyar al solicitante en la elaboración de las mismas.</w:t>
      </w:r>
    </w:p>
    <w:p w:rsidR="00E013A3" w:rsidRPr="004D79F8" w:rsidRDefault="00E013A3" w:rsidP="004D79F8">
      <w:pPr>
        <w:pBdr>
          <w:top w:val="nil"/>
          <w:left w:val="nil"/>
          <w:bottom w:val="nil"/>
          <w:right w:val="nil"/>
          <w:between w:val="nil"/>
        </w:pBdr>
        <w:rPr>
          <w:rFonts w:ascii="Palatino Linotype" w:eastAsia="Palatino Linotype" w:hAnsi="Palatino Linotype" w:cs="Palatino Linotype"/>
          <w:color w:val="000000" w:themeColor="text1"/>
        </w:rPr>
      </w:pPr>
    </w:p>
    <w:p w:rsidR="00E013A3" w:rsidRPr="004D79F8" w:rsidRDefault="00657552" w:rsidP="004D79F8">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4D79F8">
        <w:rPr>
          <w:rFonts w:ascii="Palatino Linotype" w:eastAsia="Palatino Linotype" w:hAnsi="Palatino Linotype" w:cs="Palatino Linotype"/>
          <w:color w:val="000000" w:themeColor="text1"/>
        </w:rPr>
        <w:t xml:space="preserve">Por lo que, las actuaciones diligentes que lleven a cabo en un primer momento las Unidades de Transparencia y posteriormente  cada servidor público en su área es fundamental para la correcta tutela y el eficaz cumplimiento al derecho de acceso a la información, pues los primeros son el vínculo entre los particulares y los servidores públicos que generan, administra o poseen la información, mientras que los segundos tienen la responsabilidad de realizar una correcta gestión documental que permita </w:t>
      </w:r>
      <w:r w:rsidRPr="004D79F8">
        <w:rPr>
          <w:rFonts w:ascii="Palatino Linotype" w:eastAsia="Palatino Linotype" w:hAnsi="Palatino Linotype" w:cs="Palatino Linotype"/>
          <w:color w:val="000000" w:themeColor="text1"/>
        </w:rPr>
        <w:lastRenderedPageBreak/>
        <w:t>localizar de manera rápida los documentos que se soliciten o bien, simplemente para el desarrollo de sus facultades, competencias y atribuciones que a diario desempeñan.</w:t>
      </w:r>
    </w:p>
    <w:p w:rsidR="00E013A3" w:rsidRPr="004D79F8" w:rsidRDefault="00E013A3" w:rsidP="004D79F8">
      <w:pPr>
        <w:pBdr>
          <w:top w:val="nil"/>
          <w:left w:val="nil"/>
          <w:bottom w:val="nil"/>
          <w:right w:val="nil"/>
          <w:between w:val="nil"/>
        </w:pBdr>
        <w:rPr>
          <w:rFonts w:ascii="Palatino Linotype" w:eastAsia="Palatino Linotype" w:hAnsi="Palatino Linotype" w:cs="Palatino Linotype"/>
          <w:color w:val="000000" w:themeColor="text1"/>
        </w:rPr>
      </w:pPr>
    </w:p>
    <w:p w:rsidR="00E013A3" w:rsidRPr="004D79F8" w:rsidRDefault="00657552" w:rsidP="004D79F8">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4D79F8">
        <w:rPr>
          <w:rFonts w:ascii="Palatino Linotype" w:eastAsia="Palatino Linotype" w:hAnsi="Palatino Linotype" w:cs="Palatino Linotype"/>
          <w:color w:val="000000" w:themeColor="text1"/>
        </w:rPr>
        <w:t xml:space="preserve">Es así que, su obligación es </w:t>
      </w:r>
      <w:r w:rsidRPr="004D79F8">
        <w:rPr>
          <w:rFonts w:ascii="Palatino Linotype" w:eastAsia="Palatino Linotype" w:hAnsi="Palatino Linotype" w:cs="Palatino Linotype"/>
          <w:i/>
          <w:iCs/>
          <w:color w:val="000000" w:themeColor="text1"/>
        </w:rPr>
        <w:t>realizar, con efectividad, los trámites internos necesarios para la atención de las solicitudes de información</w:t>
      </w:r>
      <w:r w:rsidRPr="004D79F8">
        <w:rPr>
          <w:rFonts w:ascii="Palatino Linotype" w:eastAsia="Palatino Linotype" w:hAnsi="Palatino Linotype" w:cs="Palatino Linotype"/>
          <w:color w:val="000000" w:themeColor="text1"/>
          <w:vertAlign w:val="superscript"/>
        </w:rPr>
        <w:footnoteReference w:id="2"/>
      </w:r>
      <w:r w:rsidRPr="004D79F8">
        <w:rPr>
          <w:rFonts w:ascii="Palatino Linotype" w:eastAsia="Palatino Linotype" w:hAnsi="Palatino Linotype" w:cs="Palatino Linotype"/>
          <w:color w:val="000000" w:themeColor="text1"/>
        </w:rPr>
        <w:t>, es decir, deben otorgar respuestas concisas, contundentes y sobre todo que den la certeza de los actos que realizan.</w:t>
      </w:r>
    </w:p>
    <w:p w:rsidR="00E013A3" w:rsidRPr="004D79F8" w:rsidRDefault="00E013A3" w:rsidP="004D79F8">
      <w:pPr>
        <w:pBdr>
          <w:top w:val="nil"/>
          <w:left w:val="nil"/>
          <w:bottom w:val="nil"/>
          <w:right w:val="nil"/>
          <w:between w:val="nil"/>
        </w:pBdr>
        <w:rPr>
          <w:rFonts w:ascii="Palatino Linotype" w:eastAsia="Palatino Linotype" w:hAnsi="Palatino Linotype" w:cs="Palatino Linotype"/>
          <w:color w:val="000000" w:themeColor="text1"/>
        </w:rPr>
      </w:pPr>
    </w:p>
    <w:p w:rsidR="00E013A3" w:rsidRPr="004D79F8" w:rsidRDefault="00657552" w:rsidP="004D79F8">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4D79F8">
        <w:rPr>
          <w:rFonts w:ascii="Palatino Linotype" w:eastAsia="Palatino Linotype" w:hAnsi="Palatino Linotype" w:cs="Palatino Linotype"/>
          <w:color w:val="000000" w:themeColor="text1"/>
        </w:rPr>
        <w:t>Al respecto, es menester hacer referencia a lo establecido en los artículos 50, 53 fracciones II, IV y V, 58, 59 fracciones I y II, y 162 de la Ley de Transparencia y Acceso a la Información del Estado de México y Municipios, que a la letra estipulan lo siguiente:</w:t>
      </w:r>
    </w:p>
    <w:p w:rsidR="00E013A3" w:rsidRPr="004D79F8" w:rsidRDefault="00657552" w:rsidP="004D79F8">
      <w:pPr>
        <w:jc w:val="both"/>
        <w:rPr>
          <w:rFonts w:ascii="Palatino Linotype" w:eastAsia="Palatino Linotype" w:hAnsi="Palatino Linotype" w:cs="Palatino Linotype"/>
          <w:i/>
          <w:iCs/>
          <w:color w:val="000000" w:themeColor="text1"/>
        </w:rPr>
      </w:pPr>
      <w:r w:rsidRPr="004D79F8">
        <w:rPr>
          <w:rFonts w:ascii="Palatino Linotype" w:eastAsia="Palatino Linotype" w:hAnsi="Palatino Linotype" w:cs="Palatino Linotype"/>
          <w:b/>
          <w:bCs/>
          <w:i/>
          <w:iCs/>
          <w:color w:val="000000" w:themeColor="text1"/>
        </w:rPr>
        <w:t xml:space="preserve">Artículo 50. </w:t>
      </w:r>
      <w:r w:rsidRPr="004D79F8">
        <w:rPr>
          <w:rFonts w:ascii="Palatino Linotype" w:eastAsia="Palatino Linotype" w:hAnsi="Palatino Linotype" w:cs="Palatino Linotype"/>
          <w:i/>
          <w:iCs/>
          <w:color w:val="000000" w:themeColor="text1"/>
        </w:rPr>
        <w:t>Los sujetos obligados contarán con un área responsable para la atención de las solicitudes de información, a la que se le denominará Unidad de Transparencia.</w:t>
      </w:r>
    </w:p>
    <w:p w:rsidR="00E013A3" w:rsidRPr="004D79F8" w:rsidRDefault="00E013A3" w:rsidP="004D79F8">
      <w:pPr>
        <w:jc w:val="both"/>
        <w:rPr>
          <w:rFonts w:ascii="Palatino Linotype" w:eastAsia="Palatino Linotype" w:hAnsi="Palatino Linotype" w:cs="Palatino Linotype"/>
          <w:i/>
          <w:iCs/>
          <w:color w:val="000000" w:themeColor="text1"/>
        </w:rPr>
      </w:pPr>
    </w:p>
    <w:p w:rsidR="00E013A3" w:rsidRPr="004D79F8" w:rsidRDefault="00657552" w:rsidP="004D79F8">
      <w:pPr>
        <w:jc w:val="both"/>
        <w:rPr>
          <w:rFonts w:ascii="Palatino Linotype" w:eastAsia="Palatino Linotype" w:hAnsi="Palatino Linotype" w:cs="Palatino Linotype"/>
          <w:i/>
          <w:iCs/>
          <w:color w:val="000000" w:themeColor="text1"/>
        </w:rPr>
      </w:pPr>
      <w:r w:rsidRPr="004D79F8">
        <w:rPr>
          <w:rFonts w:ascii="Palatino Linotype" w:eastAsia="Palatino Linotype" w:hAnsi="Palatino Linotype" w:cs="Palatino Linotype"/>
          <w:b/>
          <w:bCs/>
          <w:i/>
          <w:iCs/>
          <w:color w:val="000000" w:themeColor="text1"/>
        </w:rPr>
        <w:t xml:space="preserve">Artículo 53. </w:t>
      </w:r>
      <w:r w:rsidRPr="004D79F8">
        <w:rPr>
          <w:rFonts w:ascii="Palatino Linotype" w:eastAsia="Palatino Linotype" w:hAnsi="Palatino Linotype" w:cs="Palatino Linotype"/>
          <w:i/>
          <w:iCs/>
          <w:color w:val="000000" w:themeColor="text1"/>
        </w:rPr>
        <w:t>Las Unidades de Transparencia tendrán las siguientes funciones:</w:t>
      </w:r>
    </w:p>
    <w:p w:rsidR="00E013A3" w:rsidRPr="004D79F8" w:rsidRDefault="00657552" w:rsidP="004D79F8">
      <w:pPr>
        <w:jc w:val="both"/>
        <w:rPr>
          <w:rFonts w:ascii="Palatino Linotype" w:eastAsia="Palatino Linotype" w:hAnsi="Palatino Linotype" w:cs="Palatino Linotype"/>
          <w:i/>
          <w:iCs/>
          <w:color w:val="000000" w:themeColor="text1"/>
        </w:rPr>
      </w:pPr>
      <w:r w:rsidRPr="004D79F8">
        <w:rPr>
          <w:rFonts w:ascii="Palatino Linotype" w:eastAsia="Palatino Linotype" w:hAnsi="Palatino Linotype" w:cs="Palatino Linotype"/>
          <w:i/>
          <w:iCs/>
          <w:color w:val="000000" w:themeColor="text1"/>
        </w:rPr>
        <w:t>(…)</w:t>
      </w:r>
    </w:p>
    <w:p w:rsidR="00E013A3" w:rsidRPr="004D79F8" w:rsidRDefault="00657552" w:rsidP="004D79F8">
      <w:pPr>
        <w:jc w:val="both"/>
        <w:rPr>
          <w:rFonts w:ascii="Palatino Linotype" w:eastAsia="Palatino Linotype" w:hAnsi="Palatino Linotype" w:cs="Palatino Linotype"/>
          <w:i/>
          <w:iCs/>
          <w:color w:val="000000" w:themeColor="text1"/>
        </w:rPr>
      </w:pPr>
      <w:r w:rsidRPr="004D79F8">
        <w:rPr>
          <w:rFonts w:ascii="Palatino Linotype" w:eastAsia="Palatino Linotype" w:hAnsi="Palatino Linotype" w:cs="Palatino Linotype"/>
          <w:b/>
          <w:bCs/>
          <w:i/>
          <w:iCs/>
          <w:color w:val="000000" w:themeColor="text1"/>
        </w:rPr>
        <w:t>II.</w:t>
      </w:r>
      <w:r w:rsidRPr="004D79F8">
        <w:rPr>
          <w:rFonts w:ascii="Palatino Linotype" w:eastAsia="Palatino Linotype" w:hAnsi="Palatino Linotype" w:cs="Palatino Linotype"/>
          <w:i/>
          <w:iCs/>
          <w:color w:val="000000" w:themeColor="text1"/>
        </w:rPr>
        <w:t xml:space="preserve"> Recibir, tramitar y dar respuesta a las solicitudes de acceso a la información;</w:t>
      </w:r>
    </w:p>
    <w:p w:rsidR="00E013A3" w:rsidRPr="004D79F8" w:rsidRDefault="00657552" w:rsidP="004D79F8">
      <w:pPr>
        <w:jc w:val="both"/>
        <w:rPr>
          <w:rFonts w:ascii="Palatino Linotype" w:eastAsia="Palatino Linotype" w:hAnsi="Palatino Linotype" w:cs="Palatino Linotype"/>
          <w:i/>
          <w:iCs/>
          <w:color w:val="000000" w:themeColor="text1"/>
        </w:rPr>
      </w:pPr>
      <w:r w:rsidRPr="004D79F8">
        <w:rPr>
          <w:rFonts w:ascii="Palatino Linotype" w:eastAsia="Palatino Linotype" w:hAnsi="Palatino Linotype" w:cs="Palatino Linotype"/>
          <w:i/>
          <w:iCs/>
          <w:color w:val="000000" w:themeColor="text1"/>
        </w:rPr>
        <w:t>(…)</w:t>
      </w:r>
    </w:p>
    <w:p w:rsidR="00E013A3" w:rsidRPr="004D79F8" w:rsidRDefault="00657552" w:rsidP="004D79F8">
      <w:pPr>
        <w:jc w:val="both"/>
        <w:rPr>
          <w:rFonts w:ascii="Palatino Linotype" w:eastAsia="Palatino Linotype" w:hAnsi="Palatino Linotype" w:cs="Palatino Linotype"/>
          <w:i/>
          <w:iCs/>
          <w:color w:val="000000" w:themeColor="text1"/>
        </w:rPr>
      </w:pPr>
      <w:r w:rsidRPr="004D79F8">
        <w:rPr>
          <w:rFonts w:ascii="Palatino Linotype" w:eastAsia="Palatino Linotype" w:hAnsi="Palatino Linotype" w:cs="Palatino Linotype"/>
          <w:b/>
          <w:bCs/>
          <w:i/>
          <w:iCs/>
          <w:color w:val="000000" w:themeColor="text1"/>
        </w:rPr>
        <w:t>IV.</w:t>
      </w:r>
      <w:r w:rsidRPr="004D79F8">
        <w:rPr>
          <w:rFonts w:ascii="Palatino Linotype" w:eastAsia="Palatino Linotype" w:hAnsi="Palatino Linotype" w:cs="Palatino Linotype"/>
          <w:i/>
          <w:iCs/>
          <w:color w:val="000000" w:themeColor="text1"/>
        </w:rPr>
        <w:t xml:space="preserve"> Realizar, con efectividad, los trámites internos necesarios para la atención de las solicitudes de acceso a la información;</w:t>
      </w:r>
    </w:p>
    <w:p w:rsidR="00E013A3" w:rsidRPr="004D79F8" w:rsidRDefault="00657552" w:rsidP="004D79F8">
      <w:pPr>
        <w:jc w:val="both"/>
        <w:rPr>
          <w:rFonts w:ascii="Palatino Linotype" w:eastAsia="Palatino Linotype" w:hAnsi="Palatino Linotype" w:cs="Palatino Linotype"/>
          <w:i/>
          <w:iCs/>
          <w:color w:val="000000" w:themeColor="text1"/>
        </w:rPr>
      </w:pPr>
      <w:r w:rsidRPr="004D79F8">
        <w:rPr>
          <w:rFonts w:ascii="Palatino Linotype" w:eastAsia="Palatino Linotype" w:hAnsi="Palatino Linotype" w:cs="Palatino Linotype"/>
          <w:b/>
          <w:bCs/>
          <w:i/>
          <w:iCs/>
          <w:color w:val="000000" w:themeColor="text1"/>
        </w:rPr>
        <w:t>V.</w:t>
      </w:r>
      <w:r w:rsidRPr="004D79F8">
        <w:rPr>
          <w:rFonts w:ascii="Palatino Linotype" w:eastAsia="Palatino Linotype" w:hAnsi="Palatino Linotype" w:cs="Palatino Linotype"/>
          <w:i/>
          <w:iCs/>
          <w:color w:val="000000" w:themeColor="text1"/>
        </w:rPr>
        <w:t xml:space="preserve"> Entregar, en su caso, a los particulares la información solicitada;</w:t>
      </w:r>
    </w:p>
    <w:p w:rsidR="00E013A3" w:rsidRPr="004D79F8" w:rsidRDefault="00657552" w:rsidP="004D79F8">
      <w:pPr>
        <w:jc w:val="both"/>
        <w:rPr>
          <w:rFonts w:ascii="Palatino Linotype" w:eastAsia="Palatino Linotype" w:hAnsi="Palatino Linotype" w:cs="Palatino Linotype"/>
          <w:i/>
          <w:iCs/>
          <w:color w:val="000000" w:themeColor="text1"/>
        </w:rPr>
      </w:pPr>
      <w:r w:rsidRPr="004D79F8">
        <w:rPr>
          <w:rFonts w:ascii="Palatino Linotype" w:eastAsia="Palatino Linotype" w:hAnsi="Palatino Linotype" w:cs="Palatino Linotype"/>
          <w:i/>
          <w:iCs/>
          <w:color w:val="000000" w:themeColor="text1"/>
        </w:rPr>
        <w:t>(…)</w:t>
      </w:r>
    </w:p>
    <w:p w:rsidR="00E013A3" w:rsidRPr="004D79F8" w:rsidRDefault="00E013A3" w:rsidP="004D79F8">
      <w:pPr>
        <w:jc w:val="both"/>
        <w:rPr>
          <w:rFonts w:ascii="Palatino Linotype" w:eastAsia="Palatino Linotype" w:hAnsi="Palatino Linotype" w:cs="Palatino Linotype"/>
          <w:i/>
          <w:iCs/>
          <w:color w:val="000000" w:themeColor="text1"/>
        </w:rPr>
      </w:pPr>
    </w:p>
    <w:p w:rsidR="00E013A3" w:rsidRPr="004D79F8" w:rsidRDefault="00657552" w:rsidP="004D79F8">
      <w:pPr>
        <w:jc w:val="both"/>
        <w:rPr>
          <w:rFonts w:ascii="Palatino Linotype" w:eastAsia="Palatino Linotype" w:hAnsi="Palatino Linotype" w:cs="Palatino Linotype"/>
          <w:i/>
          <w:iCs/>
          <w:color w:val="000000" w:themeColor="text1"/>
        </w:rPr>
      </w:pPr>
      <w:r w:rsidRPr="004D79F8">
        <w:rPr>
          <w:rFonts w:ascii="Palatino Linotype" w:eastAsia="Palatino Linotype" w:hAnsi="Palatino Linotype" w:cs="Palatino Linotype"/>
          <w:b/>
          <w:bCs/>
          <w:i/>
          <w:iCs/>
          <w:color w:val="000000" w:themeColor="text1"/>
        </w:rPr>
        <w:t xml:space="preserve">Artículo 58. </w:t>
      </w:r>
      <w:r w:rsidRPr="004D79F8">
        <w:rPr>
          <w:rFonts w:ascii="Palatino Linotype" w:eastAsia="Palatino Linotype" w:hAnsi="Palatino Linotype" w:cs="Palatino Linotype"/>
          <w:i/>
          <w:iCs/>
          <w:color w:val="000000" w:themeColor="text1"/>
        </w:rPr>
        <w:t>Los servidores públicos habilitados serán designados por el titular del sujeto obligado a propuesta del responsable de la Unidad de Transparencia.</w:t>
      </w:r>
    </w:p>
    <w:p w:rsidR="00E013A3" w:rsidRPr="004D79F8" w:rsidRDefault="00E013A3" w:rsidP="004D79F8">
      <w:pPr>
        <w:jc w:val="both"/>
        <w:rPr>
          <w:rFonts w:ascii="Palatino Linotype" w:eastAsia="Palatino Linotype" w:hAnsi="Palatino Linotype" w:cs="Palatino Linotype"/>
          <w:i/>
          <w:iCs/>
          <w:color w:val="000000" w:themeColor="text1"/>
        </w:rPr>
      </w:pPr>
    </w:p>
    <w:p w:rsidR="00E013A3" w:rsidRPr="004D79F8" w:rsidRDefault="00657552" w:rsidP="004D79F8">
      <w:pPr>
        <w:jc w:val="both"/>
        <w:rPr>
          <w:rFonts w:ascii="Palatino Linotype" w:eastAsia="Palatino Linotype" w:hAnsi="Palatino Linotype" w:cs="Palatino Linotype"/>
          <w:i/>
          <w:iCs/>
          <w:color w:val="000000" w:themeColor="text1"/>
        </w:rPr>
      </w:pPr>
      <w:r w:rsidRPr="004D79F8">
        <w:rPr>
          <w:rFonts w:ascii="Palatino Linotype" w:eastAsia="Palatino Linotype" w:hAnsi="Palatino Linotype" w:cs="Palatino Linotype"/>
          <w:b/>
          <w:bCs/>
          <w:i/>
          <w:iCs/>
          <w:color w:val="000000" w:themeColor="text1"/>
        </w:rPr>
        <w:t xml:space="preserve">Artículo 59. </w:t>
      </w:r>
      <w:r w:rsidRPr="004D79F8">
        <w:rPr>
          <w:rFonts w:ascii="Palatino Linotype" w:eastAsia="Palatino Linotype" w:hAnsi="Palatino Linotype" w:cs="Palatino Linotype"/>
          <w:i/>
          <w:iCs/>
          <w:color w:val="000000" w:themeColor="text1"/>
        </w:rPr>
        <w:t>Los servidores públicos habilitados tendrán las funciones siguientes:</w:t>
      </w:r>
    </w:p>
    <w:p w:rsidR="00E013A3" w:rsidRPr="004D79F8" w:rsidRDefault="00E013A3" w:rsidP="004D79F8">
      <w:pPr>
        <w:jc w:val="both"/>
        <w:rPr>
          <w:rFonts w:ascii="Palatino Linotype" w:eastAsia="Palatino Linotype" w:hAnsi="Palatino Linotype" w:cs="Palatino Linotype"/>
          <w:i/>
          <w:iCs/>
          <w:color w:val="000000" w:themeColor="text1"/>
        </w:rPr>
      </w:pPr>
    </w:p>
    <w:p w:rsidR="00E013A3" w:rsidRPr="004D79F8" w:rsidRDefault="00657552" w:rsidP="004D79F8">
      <w:pPr>
        <w:jc w:val="both"/>
        <w:rPr>
          <w:rFonts w:ascii="Palatino Linotype" w:eastAsia="Palatino Linotype" w:hAnsi="Palatino Linotype" w:cs="Palatino Linotype"/>
          <w:i/>
          <w:iCs/>
          <w:color w:val="000000" w:themeColor="text1"/>
        </w:rPr>
      </w:pPr>
      <w:r w:rsidRPr="004D79F8">
        <w:rPr>
          <w:rFonts w:ascii="Palatino Linotype" w:eastAsia="Palatino Linotype" w:hAnsi="Palatino Linotype" w:cs="Palatino Linotype"/>
          <w:b/>
          <w:bCs/>
          <w:i/>
          <w:iCs/>
          <w:color w:val="000000" w:themeColor="text1"/>
        </w:rPr>
        <w:t>I.</w:t>
      </w:r>
      <w:r w:rsidRPr="004D79F8">
        <w:rPr>
          <w:rFonts w:ascii="Palatino Linotype" w:eastAsia="Palatino Linotype" w:hAnsi="Palatino Linotype" w:cs="Palatino Linotype"/>
          <w:i/>
          <w:iCs/>
          <w:color w:val="000000" w:themeColor="text1"/>
        </w:rPr>
        <w:t xml:space="preserve"> Localizar la información que le solicite la Unidad de Transparencia;</w:t>
      </w:r>
    </w:p>
    <w:p w:rsidR="00E013A3" w:rsidRPr="004D79F8" w:rsidRDefault="00657552" w:rsidP="004D79F8">
      <w:pPr>
        <w:jc w:val="both"/>
        <w:rPr>
          <w:rFonts w:ascii="Palatino Linotype" w:eastAsia="Palatino Linotype" w:hAnsi="Palatino Linotype" w:cs="Palatino Linotype"/>
          <w:i/>
          <w:iCs/>
          <w:color w:val="000000" w:themeColor="text1"/>
        </w:rPr>
      </w:pPr>
      <w:r w:rsidRPr="004D79F8">
        <w:rPr>
          <w:rFonts w:ascii="Palatino Linotype" w:eastAsia="Palatino Linotype" w:hAnsi="Palatino Linotype" w:cs="Palatino Linotype"/>
          <w:b/>
          <w:bCs/>
          <w:i/>
          <w:iCs/>
          <w:color w:val="000000" w:themeColor="text1"/>
        </w:rPr>
        <w:lastRenderedPageBreak/>
        <w:t>II.</w:t>
      </w:r>
      <w:r w:rsidRPr="004D79F8">
        <w:rPr>
          <w:rFonts w:ascii="Palatino Linotype" w:eastAsia="Palatino Linotype" w:hAnsi="Palatino Linotype" w:cs="Palatino Linotype"/>
          <w:i/>
          <w:iCs/>
          <w:color w:val="000000" w:themeColor="text1"/>
        </w:rPr>
        <w:t xml:space="preserve"> Proporcionar la información que obre en los archivos y que le sea solicitada por la Unidad de Transparencia;</w:t>
      </w:r>
    </w:p>
    <w:p w:rsidR="00E013A3" w:rsidRPr="004D79F8" w:rsidRDefault="00657552" w:rsidP="004D79F8">
      <w:pPr>
        <w:jc w:val="both"/>
        <w:rPr>
          <w:rFonts w:ascii="Palatino Linotype" w:eastAsia="Palatino Linotype" w:hAnsi="Palatino Linotype" w:cs="Palatino Linotype"/>
          <w:i/>
          <w:iCs/>
          <w:color w:val="000000" w:themeColor="text1"/>
        </w:rPr>
      </w:pPr>
      <w:r w:rsidRPr="004D79F8">
        <w:rPr>
          <w:rFonts w:ascii="Palatino Linotype" w:eastAsia="Palatino Linotype" w:hAnsi="Palatino Linotype" w:cs="Palatino Linotype"/>
          <w:i/>
          <w:iCs/>
          <w:color w:val="000000" w:themeColor="text1"/>
        </w:rPr>
        <w:t>(...)</w:t>
      </w:r>
    </w:p>
    <w:p w:rsidR="00E013A3" w:rsidRPr="004D79F8" w:rsidRDefault="00E013A3" w:rsidP="004D79F8">
      <w:pPr>
        <w:jc w:val="both"/>
        <w:rPr>
          <w:rFonts w:ascii="Palatino Linotype" w:eastAsia="Palatino Linotype" w:hAnsi="Palatino Linotype" w:cs="Palatino Linotype"/>
          <w:i/>
          <w:iCs/>
          <w:color w:val="000000" w:themeColor="text1"/>
        </w:rPr>
      </w:pPr>
    </w:p>
    <w:p w:rsidR="00E013A3" w:rsidRPr="004D79F8" w:rsidRDefault="00657552" w:rsidP="004D79F8">
      <w:pPr>
        <w:jc w:val="both"/>
        <w:rPr>
          <w:rFonts w:ascii="Palatino Linotype" w:eastAsia="Palatino Linotype" w:hAnsi="Palatino Linotype" w:cs="Palatino Linotype"/>
          <w:i/>
          <w:iCs/>
          <w:color w:val="000000" w:themeColor="text1"/>
        </w:rPr>
      </w:pPr>
      <w:r w:rsidRPr="004D79F8">
        <w:rPr>
          <w:rFonts w:ascii="Palatino Linotype" w:eastAsia="Palatino Linotype" w:hAnsi="Palatino Linotype" w:cs="Palatino Linotype"/>
          <w:b/>
          <w:bCs/>
          <w:i/>
          <w:iCs/>
          <w:color w:val="000000" w:themeColor="text1"/>
        </w:rPr>
        <w:t xml:space="preserve">Artículo 162. </w:t>
      </w:r>
      <w:r w:rsidRPr="004D79F8">
        <w:rPr>
          <w:rFonts w:ascii="Palatino Linotype" w:eastAsia="Palatino Linotype" w:hAnsi="Palatino Linotype" w:cs="Palatino Linotype"/>
          <w:i/>
          <w:iCs/>
          <w:color w:val="000000" w:themeColor="text1"/>
        </w:rPr>
        <w:t>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p>
    <w:p w:rsidR="00E013A3" w:rsidRPr="004D79F8" w:rsidRDefault="00E013A3" w:rsidP="004D79F8">
      <w:pPr>
        <w:spacing w:line="360" w:lineRule="auto"/>
        <w:jc w:val="both"/>
        <w:rPr>
          <w:rFonts w:ascii="Palatino Linotype" w:eastAsia="Palatino Linotype" w:hAnsi="Palatino Linotype" w:cs="Palatino Linotype"/>
          <w:color w:val="000000" w:themeColor="text1"/>
        </w:rPr>
      </w:pPr>
    </w:p>
    <w:p w:rsidR="00E013A3" w:rsidRPr="004D79F8" w:rsidRDefault="00657552" w:rsidP="004D79F8">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4D79F8">
        <w:rPr>
          <w:rFonts w:ascii="Palatino Linotype" w:eastAsia="Palatino Linotype" w:hAnsi="Palatino Linotype" w:cs="Palatino Linotype"/>
          <w:color w:val="000000" w:themeColor="text1"/>
        </w:rPr>
        <w:t xml:space="preserve">De los artículos citados se desprende que las Unidades de Transparencia de los sujetos obligados son las encargadas de tramitar internamente las solicitudes de información y tienen, entre otras funciones, las de recibir, tramitar y dar respuesta a las solicitudes de acceso a la información; realizar, con efectividad, los trámites internos necesarios para la atención de las solicitudes de acceso a la información; así como, entregar, en su caso, a los particulares la información solicitada. Por su parte, los servidores públicos habilitados auxiliarán a las Unidades de Transparencia localizando la información solicitada y proporcionando la misma que obre en sus archivos. Asimismo, es una obligación de </w:t>
      </w:r>
      <w:r w:rsidR="00FD031B" w:rsidRPr="004D79F8">
        <w:rPr>
          <w:rFonts w:ascii="Palatino Linotype" w:eastAsia="Palatino Linotype" w:hAnsi="Palatino Linotype" w:cs="Palatino Linotype"/>
          <w:color w:val="000000" w:themeColor="text1"/>
        </w:rPr>
        <w:t>las</w:t>
      </w:r>
      <w:r w:rsidRPr="004D79F8">
        <w:rPr>
          <w:rFonts w:ascii="Palatino Linotype" w:eastAsia="Palatino Linotype" w:hAnsi="Palatino Linotype" w:cs="Palatino Linotype"/>
          <w:color w:val="000000" w:themeColor="text1"/>
        </w:rPr>
        <w:t xml:space="preserve"> Unidades de Transparencia turnar a todas las áreas que se consideren competentes para que realicen una búsqueda exhaustiva y razonable de la información solicitada a fin de que ésta sea entregada a los solicitantes.</w:t>
      </w:r>
    </w:p>
    <w:p w:rsidR="00E013A3" w:rsidRPr="004D79F8" w:rsidRDefault="00E013A3" w:rsidP="004D79F8">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rsidR="00E013A3" w:rsidRPr="004D79F8" w:rsidRDefault="00657552" w:rsidP="004D79F8">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4D79F8">
        <w:rPr>
          <w:rFonts w:ascii="Palatino Linotype" w:eastAsia="Palatino Linotype" w:hAnsi="Palatino Linotype" w:cs="Palatino Linotype"/>
          <w:color w:val="000000" w:themeColor="text1"/>
        </w:rPr>
        <w:t>Así, se debe entender que el trámite interno que se realice a las solicitudes de acceso a la información, es con el propósito de que se realice una búsqueda exhaustiva y razonable de la información entre sus archivos y, en su caso, se entregue la información de interés para el particular.</w:t>
      </w:r>
    </w:p>
    <w:p w:rsidR="00E013A3" w:rsidRPr="004D79F8" w:rsidRDefault="00E013A3" w:rsidP="004D79F8">
      <w:pPr>
        <w:pBdr>
          <w:top w:val="nil"/>
          <w:left w:val="nil"/>
          <w:bottom w:val="nil"/>
          <w:right w:val="nil"/>
          <w:between w:val="nil"/>
        </w:pBdr>
        <w:rPr>
          <w:rFonts w:ascii="Palatino Linotype" w:eastAsia="Palatino Linotype" w:hAnsi="Palatino Linotype" w:cs="Palatino Linotype"/>
          <w:color w:val="000000" w:themeColor="text1"/>
        </w:rPr>
      </w:pPr>
    </w:p>
    <w:p w:rsidR="00E013A3" w:rsidRPr="004D79F8" w:rsidRDefault="00657552" w:rsidP="004D79F8">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4D79F8">
        <w:rPr>
          <w:rFonts w:ascii="Palatino Linotype" w:eastAsia="Palatino Linotype" w:hAnsi="Palatino Linotype" w:cs="Palatino Linotype"/>
          <w:color w:val="000000" w:themeColor="text1"/>
        </w:rPr>
        <w:lastRenderedPageBreak/>
        <w:t>En el caso que se resuelve, la respuesta fue entregada por la Secretaría del Ayuntamiento, la Tesorería Municipal, la Dirección General de Administración y el Órgano Interno de Control, quienes de acuerdo al Bando Municipal de Toluca, tienen las siguientes atribuciones:</w:t>
      </w:r>
    </w:p>
    <w:p w:rsidR="00E013A3" w:rsidRPr="004D79F8" w:rsidRDefault="00657552" w:rsidP="004D79F8">
      <w:pPr>
        <w:pBdr>
          <w:top w:val="nil"/>
          <w:left w:val="nil"/>
          <w:bottom w:val="nil"/>
          <w:right w:val="nil"/>
          <w:between w:val="nil"/>
        </w:pBdr>
        <w:spacing w:line="276" w:lineRule="auto"/>
        <w:jc w:val="both"/>
        <w:rPr>
          <w:rFonts w:ascii="Palatino Linotype" w:eastAsia="Palatino Linotype" w:hAnsi="Palatino Linotype" w:cs="Palatino Linotype"/>
          <w:i/>
          <w:iCs/>
          <w:color w:val="000000" w:themeColor="text1"/>
        </w:rPr>
      </w:pPr>
      <w:r w:rsidRPr="004D79F8">
        <w:rPr>
          <w:rFonts w:ascii="Palatino Linotype" w:eastAsia="Palatino Linotype" w:hAnsi="Palatino Linotype" w:cs="Palatino Linotype"/>
          <w:i/>
          <w:iCs/>
          <w:color w:val="000000" w:themeColor="text1"/>
        </w:rPr>
        <w:t>“Artículo 92. La administración pública municipal será 49 centralizada, descentralizada y autónoma. Para el ejercicio del poder público municipal, las personas titulares de las Direcciones Generales, los Organismos Descentralizados y el Órgano Autónomo tendrán las atribuciones y facultades que le otorguen las disposiciones legales aplicables a su campo de actuación y las que este Bando y el Código Reglamentario les confiera.</w:t>
      </w:r>
    </w:p>
    <w:p w:rsidR="00E013A3" w:rsidRPr="004D79F8" w:rsidRDefault="00E013A3" w:rsidP="004D79F8">
      <w:pPr>
        <w:pBdr>
          <w:top w:val="nil"/>
          <w:left w:val="nil"/>
          <w:bottom w:val="nil"/>
          <w:right w:val="nil"/>
          <w:between w:val="nil"/>
        </w:pBdr>
        <w:spacing w:line="276" w:lineRule="auto"/>
        <w:jc w:val="both"/>
        <w:rPr>
          <w:rFonts w:ascii="Palatino Linotype" w:eastAsia="Palatino Linotype" w:hAnsi="Palatino Linotype" w:cs="Palatino Linotype"/>
          <w:i/>
          <w:iCs/>
          <w:color w:val="000000" w:themeColor="text1"/>
        </w:rPr>
      </w:pPr>
    </w:p>
    <w:p w:rsidR="00E013A3" w:rsidRPr="004D79F8" w:rsidRDefault="00657552" w:rsidP="004D79F8">
      <w:pPr>
        <w:pBdr>
          <w:top w:val="nil"/>
          <w:left w:val="nil"/>
          <w:bottom w:val="nil"/>
          <w:right w:val="nil"/>
          <w:between w:val="nil"/>
        </w:pBdr>
        <w:spacing w:line="276" w:lineRule="auto"/>
        <w:jc w:val="both"/>
        <w:rPr>
          <w:rFonts w:ascii="Palatino Linotype" w:eastAsia="Palatino Linotype" w:hAnsi="Palatino Linotype" w:cs="Palatino Linotype"/>
          <w:i/>
          <w:iCs/>
          <w:color w:val="000000" w:themeColor="text1"/>
        </w:rPr>
      </w:pPr>
      <w:r w:rsidRPr="004D79F8">
        <w:rPr>
          <w:rFonts w:ascii="Palatino Linotype" w:eastAsia="Palatino Linotype" w:hAnsi="Palatino Linotype" w:cs="Palatino Linotype"/>
          <w:i/>
          <w:iCs/>
          <w:color w:val="000000" w:themeColor="text1"/>
        </w:rPr>
        <w:t xml:space="preserve">I. La persona titular de la Secretaría del Ayuntamiento estará a cargo de una Secretaria o Secretario, quien tendrá como principales funciones auxiliar a la Presidenta o Presidente Municipal, formular el proyecto de orden del día de las sesiones de cabildo, así como emitir las convocatorias, asistir y levantar las actas correspondientes, elaborar los informes mensuales y trimestrales de las comisiones edilicias y fomentar la participación ciudadana en apoyo de los programas sociales municipales. </w:t>
      </w:r>
    </w:p>
    <w:p w:rsidR="00E013A3" w:rsidRPr="004D79F8" w:rsidRDefault="00E013A3" w:rsidP="004D79F8">
      <w:pPr>
        <w:pBdr>
          <w:top w:val="nil"/>
          <w:left w:val="nil"/>
          <w:bottom w:val="nil"/>
          <w:right w:val="nil"/>
          <w:between w:val="nil"/>
        </w:pBdr>
        <w:spacing w:line="276" w:lineRule="auto"/>
        <w:jc w:val="both"/>
        <w:rPr>
          <w:rFonts w:ascii="Palatino Linotype" w:eastAsia="Palatino Linotype" w:hAnsi="Palatino Linotype" w:cs="Palatino Linotype"/>
          <w:i/>
          <w:iCs/>
          <w:color w:val="000000" w:themeColor="text1"/>
        </w:rPr>
      </w:pPr>
    </w:p>
    <w:p w:rsidR="00E013A3" w:rsidRPr="004D79F8" w:rsidRDefault="00657552" w:rsidP="004D79F8">
      <w:pPr>
        <w:pBdr>
          <w:top w:val="nil"/>
          <w:left w:val="nil"/>
          <w:bottom w:val="nil"/>
          <w:right w:val="nil"/>
          <w:between w:val="nil"/>
        </w:pBdr>
        <w:spacing w:line="276" w:lineRule="auto"/>
        <w:jc w:val="both"/>
        <w:rPr>
          <w:rFonts w:ascii="Palatino Linotype" w:eastAsia="Palatino Linotype" w:hAnsi="Palatino Linotype" w:cs="Palatino Linotype"/>
          <w:i/>
          <w:iCs/>
          <w:color w:val="000000" w:themeColor="text1"/>
        </w:rPr>
      </w:pPr>
      <w:r w:rsidRPr="004D79F8">
        <w:rPr>
          <w:rFonts w:ascii="Palatino Linotype" w:eastAsia="Palatino Linotype" w:hAnsi="Palatino Linotype" w:cs="Palatino Linotype"/>
          <w:i/>
          <w:iCs/>
          <w:color w:val="000000" w:themeColor="text1"/>
        </w:rPr>
        <w:t>II. La persona titular de la Tesorería Municipal es responsable de la administración y control de los recursos financieros del municipio, asegurando el cumplimiento de las disposiciones fiscales y presupuestales. Sus funciones incluyen la recaudación, fiscalización y administración de ingresos municipales, así como la elaboración y supervisión de los informes financieros y la cuenta pública. Además, coordina la aplicación de políticas de racionalidad y austeridad presupuestal, otorga suficiencia presupuestaria a las dependencias municipales, y gestiona la nómina del personal, garantizando su pago oportuno.</w:t>
      </w:r>
    </w:p>
    <w:p w:rsidR="00E013A3" w:rsidRPr="004D79F8" w:rsidRDefault="00E013A3" w:rsidP="004D79F8">
      <w:pPr>
        <w:pBdr>
          <w:top w:val="nil"/>
          <w:left w:val="nil"/>
          <w:bottom w:val="nil"/>
          <w:right w:val="nil"/>
          <w:between w:val="nil"/>
        </w:pBdr>
        <w:spacing w:line="276" w:lineRule="auto"/>
        <w:jc w:val="both"/>
        <w:rPr>
          <w:rFonts w:ascii="Palatino Linotype" w:eastAsia="Palatino Linotype" w:hAnsi="Palatino Linotype" w:cs="Palatino Linotype"/>
          <w:i/>
          <w:iCs/>
          <w:color w:val="000000" w:themeColor="text1"/>
        </w:rPr>
      </w:pPr>
    </w:p>
    <w:p w:rsidR="00E013A3" w:rsidRPr="004D79F8" w:rsidRDefault="00657552" w:rsidP="004D79F8">
      <w:pPr>
        <w:pBdr>
          <w:top w:val="nil"/>
          <w:left w:val="nil"/>
          <w:bottom w:val="nil"/>
          <w:right w:val="nil"/>
          <w:between w:val="nil"/>
        </w:pBdr>
        <w:spacing w:line="276" w:lineRule="auto"/>
        <w:jc w:val="both"/>
        <w:rPr>
          <w:rFonts w:ascii="Palatino Linotype" w:eastAsia="Palatino Linotype" w:hAnsi="Palatino Linotype" w:cs="Palatino Linotype"/>
          <w:i/>
          <w:iCs/>
          <w:color w:val="000000" w:themeColor="text1"/>
        </w:rPr>
      </w:pPr>
      <w:r w:rsidRPr="004D79F8">
        <w:rPr>
          <w:rFonts w:ascii="Palatino Linotype" w:eastAsia="Palatino Linotype" w:hAnsi="Palatino Linotype" w:cs="Palatino Linotype"/>
          <w:i/>
          <w:iCs/>
          <w:color w:val="000000" w:themeColor="text1"/>
        </w:rPr>
        <w:t xml:space="preserve">III. La persona titular del Órgano Interno de Control Municipal tendrá como principales funciones el control y la fiscalización municipal; la aplicación de normas, evaluación de ingresos y egresos, la planeación del control interno, asesoría en responsabilidades administrativas y supervisión del cumplimiento normativo. Para ello, podrá llevar a cabo auditorías, revisiones financieras, supervisión de contrataciones y gestión patrimonial. Además, podrá investigar posibles faltas </w:t>
      </w:r>
      <w:r w:rsidRPr="004D79F8">
        <w:rPr>
          <w:rFonts w:ascii="Palatino Linotype" w:eastAsia="Palatino Linotype" w:hAnsi="Palatino Linotype" w:cs="Palatino Linotype"/>
          <w:i/>
          <w:iCs/>
          <w:color w:val="000000" w:themeColor="text1"/>
        </w:rPr>
        <w:lastRenderedPageBreak/>
        <w:t>administrativas y colaborar con instancias estatales y federales. Recibirá y canalizará denuncias, fomentará la participación ciudadana en materia de fiscalización y garantizará mecanismos para prevenir actos de corrupción, fortaleciendo la rendición de cuentas y el cumplimiento de la normatividad aplicable.</w:t>
      </w:r>
    </w:p>
    <w:p w:rsidR="00E013A3" w:rsidRPr="004D79F8" w:rsidRDefault="00657552" w:rsidP="004D79F8">
      <w:pPr>
        <w:pBdr>
          <w:top w:val="nil"/>
          <w:left w:val="nil"/>
          <w:bottom w:val="nil"/>
          <w:right w:val="nil"/>
          <w:between w:val="nil"/>
        </w:pBdr>
        <w:spacing w:line="276" w:lineRule="auto"/>
        <w:jc w:val="both"/>
        <w:rPr>
          <w:rFonts w:ascii="Palatino Linotype" w:eastAsia="Palatino Linotype" w:hAnsi="Palatino Linotype" w:cs="Palatino Linotype"/>
          <w:i/>
          <w:iCs/>
          <w:color w:val="000000" w:themeColor="text1"/>
        </w:rPr>
      </w:pPr>
      <w:r w:rsidRPr="004D79F8">
        <w:rPr>
          <w:rFonts w:ascii="Palatino Linotype" w:eastAsia="Palatino Linotype" w:hAnsi="Palatino Linotype" w:cs="Palatino Linotype"/>
          <w:i/>
          <w:iCs/>
          <w:color w:val="000000" w:themeColor="text1"/>
        </w:rPr>
        <w:t>…</w:t>
      </w:r>
    </w:p>
    <w:p w:rsidR="00E013A3" w:rsidRPr="004D79F8" w:rsidRDefault="00E013A3" w:rsidP="004D79F8">
      <w:pPr>
        <w:pBdr>
          <w:top w:val="nil"/>
          <w:left w:val="nil"/>
          <w:bottom w:val="nil"/>
          <w:right w:val="nil"/>
          <w:between w:val="nil"/>
        </w:pBdr>
        <w:spacing w:line="276" w:lineRule="auto"/>
        <w:jc w:val="both"/>
        <w:rPr>
          <w:rFonts w:ascii="Palatino Linotype" w:eastAsia="Palatino Linotype" w:hAnsi="Palatino Linotype" w:cs="Palatino Linotype"/>
          <w:i/>
          <w:iCs/>
          <w:color w:val="000000" w:themeColor="text1"/>
        </w:rPr>
      </w:pPr>
    </w:p>
    <w:p w:rsidR="00E013A3" w:rsidRPr="004D79F8" w:rsidRDefault="00657552" w:rsidP="004D79F8">
      <w:pPr>
        <w:pBdr>
          <w:top w:val="nil"/>
          <w:left w:val="nil"/>
          <w:bottom w:val="nil"/>
          <w:right w:val="nil"/>
          <w:between w:val="nil"/>
        </w:pBdr>
        <w:spacing w:line="276" w:lineRule="auto"/>
        <w:jc w:val="both"/>
        <w:rPr>
          <w:rFonts w:ascii="Palatino Linotype" w:eastAsia="Palatino Linotype" w:hAnsi="Palatino Linotype" w:cs="Palatino Linotype"/>
          <w:i/>
          <w:iCs/>
          <w:color w:val="000000" w:themeColor="text1"/>
        </w:rPr>
      </w:pPr>
      <w:r w:rsidRPr="004D79F8">
        <w:rPr>
          <w:rFonts w:ascii="Palatino Linotype" w:eastAsia="Palatino Linotype" w:hAnsi="Palatino Linotype" w:cs="Palatino Linotype"/>
          <w:i/>
          <w:iCs/>
          <w:color w:val="000000" w:themeColor="text1"/>
        </w:rPr>
        <w:t>VI. La persona titular de la Dirección General de Administración es responsable de la gestión integral del capital humano del Ayuntamiento, coordinando el reclutamiento, contratación, capacitación y desarrollo del personal, así como la aplicación de las disposiciones laborales y sindicales. Supervisará la elaboración y distribución de la nómina, garantizando su apego a la normatividad y el presupuesto autorizado. Dirigirá los procesos de adquisición, arrendamiento y contratación de servicios, asegurando la eficiencia y transparencia en el uso de los recursos públicos. Administrará el parque vehicular, los bienes municipales y la logística de eventos públicos e implementará políticas de gobierno digital y normativas para el uso de tecnologías de la información, promoviendo la eficiencia operativa de la administración pública municipal.</w:t>
      </w:r>
    </w:p>
    <w:p w:rsidR="00E013A3" w:rsidRPr="004D79F8" w:rsidRDefault="00657552" w:rsidP="004D79F8">
      <w:pPr>
        <w:pBdr>
          <w:top w:val="nil"/>
          <w:left w:val="nil"/>
          <w:bottom w:val="nil"/>
          <w:right w:val="nil"/>
          <w:between w:val="nil"/>
        </w:pBdr>
        <w:spacing w:line="276" w:lineRule="auto"/>
        <w:jc w:val="both"/>
        <w:rPr>
          <w:rFonts w:ascii="Palatino Linotype" w:eastAsia="Palatino Linotype" w:hAnsi="Palatino Linotype" w:cs="Palatino Linotype"/>
          <w:i/>
          <w:iCs/>
          <w:color w:val="000000" w:themeColor="text1"/>
        </w:rPr>
      </w:pPr>
      <w:r w:rsidRPr="004D79F8">
        <w:rPr>
          <w:rFonts w:ascii="Palatino Linotype" w:eastAsia="Palatino Linotype" w:hAnsi="Palatino Linotype" w:cs="Palatino Linotype"/>
          <w:i/>
          <w:iCs/>
          <w:color w:val="000000" w:themeColor="text1"/>
        </w:rPr>
        <w:t>…”</w:t>
      </w:r>
    </w:p>
    <w:p w:rsidR="00E013A3" w:rsidRPr="004D79F8" w:rsidRDefault="00E013A3" w:rsidP="004D79F8">
      <w:pPr>
        <w:pBdr>
          <w:top w:val="nil"/>
          <w:left w:val="nil"/>
          <w:bottom w:val="nil"/>
          <w:right w:val="nil"/>
          <w:between w:val="nil"/>
        </w:pBdr>
        <w:tabs>
          <w:tab w:val="left" w:pos="567"/>
        </w:tabs>
        <w:spacing w:line="276" w:lineRule="auto"/>
        <w:jc w:val="both"/>
        <w:rPr>
          <w:rFonts w:ascii="Palatino Linotype" w:eastAsia="Palatino Linotype" w:hAnsi="Palatino Linotype" w:cs="Palatino Linotype"/>
          <w:i/>
          <w:iCs/>
          <w:color w:val="000000" w:themeColor="text1"/>
        </w:rPr>
      </w:pPr>
    </w:p>
    <w:p w:rsidR="00E013A3" w:rsidRPr="004D79F8" w:rsidRDefault="00657552" w:rsidP="004D79F8">
      <w:pPr>
        <w:numPr>
          <w:ilvl w:val="0"/>
          <w:numId w:val="1"/>
        </w:numPr>
        <w:pBdr>
          <w:top w:val="nil"/>
          <w:left w:val="nil"/>
          <w:bottom w:val="nil"/>
          <w:right w:val="nil"/>
          <w:between w:val="nil"/>
        </w:pBdr>
        <w:tabs>
          <w:tab w:val="left" w:pos="567"/>
        </w:tabs>
        <w:spacing w:line="360" w:lineRule="auto"/>
        <w:ind w:left="0" w:firstLine="0"/>
        <w:jc w:val="both"/>
        <w:rPr>
          <w:rFonts w:ascii="Palatino Linotype" w:eastAsia="Palatino Linotype" w:hAnsi="Palatino Linotype" w:cs="Palatino Linotype"/>
          <w:color w:val="000000" w:themeColor="text1"/>
        </w:rPr>
      </w:pPr>
      <w:r w:rsidRPr="004D79F8">
        <w:rPr>
          <w:rFonts w:ascii="Palatino Linotype" w:eastAsia="Palatino Linotype" w:hAnsi="Palatino Linotype" w:cs="Palatino Linotype"/>
          <w:color w:val="000000" w:themeColor="text1"/>
        </w:rPr>
        <w:t>Como se advierte de los preceptos legales, la solicitud se turnó a las áreas que de acuerdo a sus facultades generan, poseen o administran la información solicitada, es decir, que el Sujeto Obligado dio cumplimiento al proceso de búsqueda establecido en la legislación aplicable.</w:t>
      </w:r>
    </w:p>
    <w:p w:rsidR="00E013A3" w:rsidRPr="004D79F8" w:rsidRDefault="00E013A3" w:rsidP="004D79F8">
      <w:pPr>
        <w:pBdr>
          <w:top w:val="nil"/>
          <w:left w:val="nil"/>
          <w:bottom w:val="nil"/>
          <w:right w:val="nil"/>
          <w:between w:val="nil"/>
        </w:pBdr>
        <w:tabs>
          <w:tab w:val="left" w:pos="567"/>
        </w:tabs>
        <w:spacing w:line="360" w:lineRule="auto"/>
        <w:jc w:val="both"/>
        <w:rPr>
          <w:rFonts w:ascii="Palatino Linotype" w:eastAsia="Palatino Linotype" w:hAnsi="Palatino Linotype" w:cs="Palatino Linotype"/>
          <w:color w:val="000000" w:themeColor="text1"/>
        </w:rPr>
      </w:pPr>
    </w:p>
    <w:p w:rsidR="00E013A3" w:rsidRPr="004D79F8" w:rsidRDefault="00657552" w:rsidP="004D79F8">
      <w:pPr>
        <w:numPr>
          <w:ilvl w:val="0"/>
          <w:numId w:val="1"/>
        </w:numPr>
        <w:pBdr>
          <w:top w:val="nil"/>
          <w:left w:val="nil"/>
          <w:bottom w:val="nil"/>
          <w:right w:val="nil"/>
          <w:between w:val="nil"/>
        </w:pBdr>
        <w:tabs>
          <w:tab w:val="left" w:pos="567"/>
        </w:tabs>
        <w:spacing w:line="360" w:lineRule="auto"/>
        <w:ind w:left="0" w:firstLine="0"/>
        <w:jc w:val="both"/>
        <w:rPr>
          <w:rFonts w:ascii="Palatino Linotype" w:eastAsia="Palatino Linotype" w:hAnsi="Palatino Linotype" w:cs="Palatino Linotype"/>
          <w:color w:val="000000" w:themeColor="text1"/>
        </w:rPr>
      </w:pPr>
      <w:r w:rsidRPr="004D79F8">
        <w:rPr>
          <w:rFonts w:ascii="Palatino Linotype" w:eastAsia="Palatino Linotype" w:hAnsi="Palatino Linotype" w:cs="Palatino Linotype"/>
          <w:color w:val="000000" w:themeColor="text1"/>
        </w:rPr>
        <w:t xml:space="preserve">Ahora bien, en respuesta, el Sujeto Obligado a través Secretaría del Ayuntamiento, el Sujeto Obligado señaló que derivado de la búsqueda exhaustiva en sus archivos, no se localizó información referente a la sesión de cabildo señalada, por lo que en ese caso, este Órgano Garante no está facultado para pronunciarse respecto a la veracidad de la </w:t>
      </w:r>
      <w:r w:rsidRPr="004D79F8">
        <w:rPr>
          <w:rFonts w:ascii="Palatino Linotype" w:eastAsia="Palatino Linotype" w:hAnsi="Palatino Linotype" w:cs="Palatino Linotype"/>
          <w:color w:val="000000" w:themeColor="text1"/>
        </w:rPr>
        <w:lastRenderedPageBreak/>
        <w:t xml:space="preserve">información referida, aunado a ello, no ha fuente obligacional que lo constriña a generar, poseer o administrar la información requerida. </w:t>
      </w:r>
    </w:p>
    <w:p w:rsidR="00E013A3" w:rsidRPr="004D79F8" w:rsidRDefault="00E013A3" w:rsidP="004D79F8">
      <w:pPr>
        <w:rPr>
          <w:rFonts w:ascii="Palatino Linotype" w:eastAsia="Palatino Linotype" w:hAnsi="Palatino Linotype" w:cs="Palatino Linotype"/>
          <w:color w:val="000000" w:themeColor="text1"/>
        </w:rPr>
      </w:pPr>
    </w:p>
    <w:p w:rsidR="00E013A3" w:rsidRPr="004D79F8" w:rsidRDefault="00657552" w:rsidP="004D79F8">
      <w:pPr>
        <w:numPr>
          <w:ilvl w:val="0"/>
          <w:numId w:val="1"/>
        </w:numPr>
        <w:pBdr>
          <w:top w:val="nil"/>
          <w:left w:val="nil"/>
          <w:bottom w:val="nil"/>
          <w:right w:val="nil"/>
          <w:between w:val="nil"/>
        </w:pBdr>
        <w:tabs>
          <w:tab w:val="left" w:pos="567"/>
        </w:tabs>
        <w:spacing w:line="360" w:lineRule="auto"/>
        <w:ind w:left="0" w:firstLine="0"/>
        <w:jc w:val="both"/>
        <w:rPr>
          <w:rFonts w:ascii="Palatino Linotype" w:eastAsia="Palatino Linotype" w:hAnsi="Palatino Linotype" w:cs="Palatino Linotype"/>
          <w:color w:val="000000" w:themeColor="text1"/>
        </w:rPr>
      </w:pPr>
      <w:r w:rsidRPr="004D79F8">
        <w:rPr>
          <w:rFonts w:ascii="Palatino Linotype" w:eastAsia="Palatino Linotype" w:hAnsi="Palatino Linotype" w:cs="Palatino Linotype"/>
          <w:color w:val="000000" w:themeColor="text1"/>
        </w:rPr>
        <w:t>Por otro lado, respecto al número y costo de los focos que iluminaron de rojo los edificios públicos, se pronunció la Tesorería Municipal y la Secretaría del Ayuntamiento, áreas en las que puede constar la información solicitada derivado de sus atribuciones, quienes señalaron que no se localizó información referente a lo solicitado, sin embargo, este Órgano Garante realizó una búsqueda en las diversas páginas de internet en las que se localizó lo siguiente:</w:t>
      </w:r>
    </w:p>
    <w:p w:rsidR="00E013A3" w:rsidRPr="004D79F8" w:rsidRDefault="00E013A3" w:rsidP="004D79F8">
      <w:pPr>
        <w:rPr>
          <w:rFonts w:ascii="Palatino Linotype" w:eastAsia="Palatino Linotype" w:hAnsi="Palatino Linotype" w:cs="Palatino Linotype"/>
          <w:color w:val="000000" w:themeColor="text1"/>
        </w:rPr>
      </w:pPr>
    </w:p>
    <w:p w:rsidR="00E013A3" w:rsidRDefault="00967B0C" w:rsidP="00FD031B">
      <w:pPr>
        <w:numPr>
          <w:ilvl w:val="0"/>
          <w:numId w:val="3"/>
        </w:numPr>
        <w:pBdr>
          <w:top w:val="nil"/>
          <w:left w:val="nil"/>
          <w:bottom w:val="nil"/>
          <w:right w:val="nil"/>
          <w:between w:val="nil"/>
        </w:pBdr>
        <w:ind w:left="0" w:firstLine="0"/>
        <w:rPr>
          <w:rFonts w:ascii="Palatino Linotype" w:eastAsia="Palatino Linotype" w:hAnsi="Palatino Linotype" w:cs="Palatino Linotype"/>
          <w:color w:val="000000" w:themeColor="text1"/>
        </w:rPr>
      </w:pPr>
      <w:hyperlink r:id="rId14" w:history="1">
        <w:r w:rsidR="00FD031B" w:rsidRPr="00314131">
          <w:rPr>
            <w:rStyle w:val="Hipervnculo"/>
            <w:rFonts w:ascii="Palatino Linotype" w:eastAsia="Palatino Linotype" w:hAnsi="Palatino Linotype" w:cs="Palatino Linotype"/>
          </w:rPr>
          <w:t>https://www2.toluca.gob.mx/toluca-se-viste-de-rojo-para-apoyar-a-su-equipo-en-la-gran-final-de-futbol/</w:t>
        </w:r>
      </w:hyperlink>
      <w:r w:rsidR="00657552" w:rsidRPr="004D79F8">
        <w:rPr>
          <w:rFonts w:ascii="Palatino Linotype" w:eastAsia="Palatino Linotype" w:hAnsi="Palatino Linotype" w:cs="Palatino Linotype"/>
          <w:color w:val="000000" w:themeColor="text1"/>
        </w:rPr>
        <w:t xml:space="preserve"> </w:t>
      </w:r>
    </w:p>
    <w:p w:rsidR="00FD031B" w:rsidRDefault="00FD031B" w:rsidP="00FD031B">
      <w:pPr>
        <w:pBdr>
          <w:top w:val="nil"/>
          <w:left w:val="nil"/>
          <w:bottom w:val="nil"/>
          <w:right w:val="nil"/>
          <w:between w:val="nil"/>
        </w:pBdr>
        <w:rPr>
          <w:rFonts w:ascii="Palatino Linotype" w:eastAsia="Palatino Linotype" w:hAnsi="Palatino Linotype" w:cs="Palatino Linotype"/>
          <w:color w:val="000000" w:themeColor="text1"/>
        </w:rPr>
      </w:pPr>
    </w:p>
    <w:p w:rsidR="00FD031B" w:rsidRPr="004D79F8" w:rsidRDefault="00FD031B" w:rsidP="00FD031B">
      <w:pPr>
        <w:pBdr>
          <w:top w:val="nil"/>
          <w:left w:val="nil"/>
          <w:bottom w:val="nil"/>
          <w:right w:val="nil"/>
          <w:between w:val="nil"/>
        </w:pBdr>
        <w:rPr>
          <w:rFonts w:ascii="Palatino Linotype" w:eastAsia="Palatino Linotype" w:hAnsi="Palatino Linotype" w:cs="Palatino Linotype"/>
          <w:color w:val="000000" w:themeColor="text1"/>
        </w:rPr>
      </w:pPr>
    </w:p>
    <w:p w:rsidR="00E013A3" w:rsidRPr="004D79F8" w:rsidRDefault="00657552" w:rsidP="004D79F8">
      <w:pPr>
        <w:pBdr>
          <w:top w:val="nil"/>
          <w:left w:val="nil"/>
          <w:bottom w:val="nil"/>
          <w:right w:val="nil"/>
          <w:between w:val="nil"/>
        </w:pBdr>
        <w:tabs>
          <w:tab w:val="left" w:pos="567"/>
        </w:tabs>
        <w:spacing w:line="360" w:lineRule="auto"/>
        <w:jc w:val="center"/>
        <w:rPr>
          <w:rFonts w:ascii="Palatino Linotype" w:eastAsia="Palatino Linotype" w:hAnsi="Palatino Linotype" w:cs="Palatino Linotype"/>
          <w:color w:val="000000" w:themeColor="text1"/>
        </w:rPr>
      </w:pPr>
      <w:r w:rsidRPr="004D79F8">
        <w:rPr>
          <w:rFonts w:ascii="Palatino Linotype" w:eastAsia="Palatino Linotype" w:hAnsi="Palatino Linotype" w:cs="Palatino Linotype"/>
          <w:noProof/>
          <w:color w:val="000000" w:themeColor="text1"/>
          <w:lang w:val="es-MX"/>
        </w:rPr>
        <w:drawing>
          <wp:inline distT="0" distB="0" distL="0" distR="0">
            <wp:extent cx="5784045" cy="3042147"/>
            <wp:effectExtent l="0" t="0" r="0" b="0"/>
            <wp:docPr id="1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5"/>
                    <a:srcRect/>
                    <a:stretch>
                      <a:fillRect/>
                    </a:stretch>
                  </pic:blipFill>
                  <pic:spPr>
                    <a:xfrm>
                      <a:off x="0" y="0"/>
                      <a:ext cx="5784045" cy="3042147"/>
                    </a:xfrm>
                    <a:prstGeom prst="rect">
                      <a:avLst/>
                    </a:prstGeom>
                    <a:ln/>
                  </pic:spPr>
                </pic:pic>
              </a:graphicData>
            </a:graphic>
          </wp:inline>
        </w:drawing>
      </w:r>
    </w:p>
    <w:p w:rsidR="00E013A3" w:rsidRPr="004D79F8" w:rsidRDefault="00E013A3" w:rsidP="004D79F8">
      <w:pPr>
        <w:pBdr>
          <w:top w:val="nil"/>
          <w:left w:val="nil"/>
          <w:bottom w:val="nil"/>
          <w:right w:val="nil"/>
          <w:between w:val="nil"/>
        </w:pBdr>
        <w:tabs>
          <w:tab w:val="left" w:pos="567"/>
        </w:tabs>
        <w:spacing w:line="360" w:lineRule="auto"/>
        <w:jc w:val="center"/>
        <w:rPr>
          <w:rFonts w:ascii="Palatino Linotype" w:eastAsia="Palatino Linotype" w:hAnsi="Palatino Linotype" w:cs="Palatino Linotype"/>
          <w:color w:val="000000" w:themeColor="text1"/>
        </w:rPr>
      </w:pPr>
    </w:p>
    <w:p w:rsidR="00E013A3" w:rsidRPr="004D79F8" w:rsidRDefault="00657552" w:rsidP="004D79F8">
      <w:pPr>
        <w:pBdr>
          <w:top w:val="nil"/>
          <w:left w:val="nil"/>
          <w:bottom w:val="nil"/>
          <w:right w:val="nil"/>
          <w:between w:val="nil"/>
        </w:pBdr>
        <w:tabs>
          <w:tab w:val="left" w:pos="567"/>
        </w:tabs>
        <w:spacing w:line="360" w:lineRule="auto"/>
        <w:jc w:val="center"/>
        <w:rPr>
          <w:rFonts w:ascii="Palatino Linotype" w:eastAsia="Palatino Linotype" w:hAnsi="Palatino Linotype" w:cs="Palatino Linotype"/>
          <w:color w:val="000000" w:themeColor="text1"/>
        </w:rPr>
      </w:pPr>
      <w:r w:rsidRPr="004D79F8">
        <w:rPr>
          <w:rFonts w:ascii="Palatino Linotype" w:eastAsia="Palatino Linotype" w:hAnsi="Palatino Linotype" w:cs="Palatino Linotype"/>
          <w:noProof/>
          <w:color w:val="000000" w:themeColor="text1"/>
          <w:lang w:val="es-MX"/>
        </w:rPr>
        <w:lastRenderedPageBreak/>
        <w:drawing>
          <wp:inline distT="0" distB="0" distL="0" distR="0">
            <wp:extent cx="5769484" cy="3553816"/>
            <wp:effectExtent l="0" t="0" r="0" b="0"/>
            <wp:docPr id="1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6"/>
                    <a:srcRect/>
                    <a:stretch>
                      <a:fillRect/>
                    </a:stretch>
                  </pic:blipFill>
                  <pic:spPr>
                    <a:xfrm>
                      <a:off x="0" y="0"/>
                      <a:ext cx="5769484" cy="3553816"/>
                    </a:xfrm>
                    <a:prstGeom prst="rect">
                      <a:avLst/>
                    </a:prstGeom>
                    <a:ln/>
                  </pic:spPr>
                </pic:pic>
              </a:graphicData>
            </a:graphic>
          </wp:inline>
        </w:drawing>
      </w:r>
    </w:p>
    <w:p w:rsidR="00FD031B" w:rsidRPr="00FD031B" w:rsidRDefault="00FD031B" w:rsidP="00FD031B">
      <w:pPr>
        <w:pBdr>
          <w:top w:val="nil"/>
          <w:left w:val="nil"/>
          <w:bottom w:val="nil"/>
          <w:right w:val="nil"/>
          <w:between w:val="nil"/>
        </w:pBdr>
        <w:tabs>
          <w:tab w:val="left" w:pos="567"/>
        </w:tabs>
        <w:spacing w:line="360" w:lineRule="auto"/>
        <w:jc w:val="both"/>
        <w:rPr>
          <w:rFonts w:ascii="Palatino Linotype" w:eastAsia="Palatino Linotype" w:hAnsi="Palatino Linotype" w:cs="Palatino Linotype"/>
          <w:color w:val="000000" w:themeColor="text1"/>
        </w:rPr>
      </w:pPr>
    </w:p>
    <w:p w:rsidR="00E013A3" w:rsidRPr="004D79F8" w:rsidRDefault="00967B0C" w:rsidP="00FD031B">
      <w:pPr>
        <w:numPr>
          <w:ilvl w:val="0"/>
          <w:numId w:val="2"/>
        </w:numPr>
        <w:pBdr>
          <w:top w:val="nil"/>
          <w:left w:val="nil"/>
          <w:bottom w:val="nil"/>
          <w:right w:val="nil"/>
          <w:between w:val="nil"/>
        </w:pBdr>
        <w:tabs>
          <w:tab w:val="left" w:pos="567"/>
        </w:tabs>
        <w:spacing w:line="360" w:lineRule="auto"/>
        <w:ind w:left="0" w:firstLine="0"/>
        <w:jc w:val="both"/>
        <w:rPr>
          <w:rFonts w:ascii="Palatino Linotype" w:eastAsia="Palatino Linotype" w:hAnsi="Palatino Linotype" w:cs="Palatino Linotype"/>
          <w:color w:val="000000" w:themeColor="text1"/>
        </w:rPr>
      </w:pPr>
      <w:hyperlink r:id="rId17" w:history="1">
        <w:r w:rsidR="00FD031B" w:rsidRPr="00314131">
          <w:rPr>
            <w:rStyle w:val="Hipervnculo"/>
            <w:rFonts w:ascii="Palatino Linotype" w:eastAsia="Palatino Linotype" w:hAnsi="Palatino Linotype" w:cs="Palatino Linotype"/>
          </w:rPr>
          <w:t>https://oem.com.mx/elsoldetoluca/local/palacio-de-gobierno-se-ilumina-de-rojo-en-apoyo-al-deportivo-toluca-23493869</w:t>
        </w:r>
      </w:hyperlink>
      <w:r w:rsidR="00657552" w:rsidRPr="004D79F8">
        <w:rPr>
          <w:rFonts w:ascii="Palatino Linotype" w:eastAsia="Palatino Linotype" w:hAnsi="Palatino Linotype" w:cs="Palatino Linotype"/>
          <w:color w:val="000000" w:themeColor="text1"/>
        </w:rPr>
        <w:t xml:space="preserve"> </w:t>
      </w:r>
    </w:p>
    <w:p w:rsidR="00E013A3" w:rsidRPr="004D79F8" w:rsidRDefault="00E013A3" w:rsidP="004D79F8">
      <w:pPr>
        <w:pBdr>
          <w:top w:val="nil"/>
          <w:left w:val="nil"/>
          <w:bottom w:val="nil"/>
          <w:right w:val="nil"/>
          <w:between w:val="nil"/>
        </w:pBdr>
        <w:tabs>
          <w:tab w:val="left" w:pos="567"/>
        </w:tabs>
        <w:spacing w:line="360" w:lineRule="auto"/>
        <w:jc w:val="both"/>
        <w:rPr>
          <w:rFonts w:ascii="Palatino Linotype" w:eastAsia="Palatino Linotype" w:hAnsi="Palatino Linotype" w:cs="Palatino Linotype"/>
          <w:color w:val="000000" w:themeColor="text1"/>
        </w:rPr>
      </w:pPr>
    </w:p>
    <w:p w:rsidR="00E013A3" w:rsidRPr="004D79F8" w:rsidRDefault="00657552" w:rsidP="004D79F8">
      <w:pPr>
        <w:pBdr>
          <w:top w:val="nil"/>
          <w:left w:val="nil"/>
          <w:bottom w:val="nil"/>
          <w:right w:val="nil"/>
          <w:between w:val="nil"/>
        </w:pBdr>
        <w:tabs>
          <w:tab w:val="left" w:pos="567"/>
        </w:tabs>
        <w:spacing w:line="360" w:lineRule="auto"/>
        <w:jc w:val="center"/>
        <w:rPr>
          <w:rFonts w:ascii="Palatino Linotype" w:eastAsia="Palatino Linotype" w:hAnsi="Palatino Linotype" w:cs="Palatino Linotype"/>
          <w:color w:val="000000" w:themeColor="text1"/>
        </w:rPr>
      </w:pPr>
      <w:r w:rsidRPr="004D79F8">
        <w:rPr>
          <w:rFonts w:ascii="Palatino Linotype" w:eastAsia="Palatino Linotype" w:hAnsi="Palatino Linotype" w:cs="Palatino Linotype"/>
          <w:noProof/>
          <w:color w:val="000000" w:themeColor="text1"/>
          <w:lang w:val="es-MX"/>
        </w:rPr>
        <w:lastRenderedPageBreak/>
        <w:drawing>
          <wp:inline distT="0" distB="0" distL="0" distR="0">
            <wp:extent cx="5000753" cy="5564832"/>
            <wp:effectExtent l="0" t="0" r="0" b="0"/>
            <wp:docPr id="1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8"/>
                    <a:srcRect/>
                    <a:stretch>
                      <a:fillRect/>
                    </a:stretch>
                  </pic:blipFill>
                  <pic:spPr>
                    <a:xfrm>
                      <a:off x="0" y="0"/>
                      <a:ext cx="5000753" cy="5564832"/>
                    </a:xfrm>
                    <a:prstGeom prst="rect">
                      <a:avLst/>
                    </a:prstGeom>
                    <a:ln/>
                  </pic:spPr>
                </pic:pic>
              </a:graphicData>
            </a:graphic>
          </wp:inline>
        </w:drawing>
      </w:r>
    </w:p>
    <w:p w:rsidR="00E013A3" w:rsidRPr="004D79F8" w:rsidRDefault="00E013A3" w:rsidP="004D79F8">
      <w:pPr>
        <w:pBdr>
          <w:top w:val="nil"/>
          <w:left w:val="nil"/>
          <w:bottom w:val="nil"/>
          <w:right w:val="nil"/>
          <w:between w:val="nil"/>
        </w:pBdr>
        <w:rPr>
          <w:rFonts w:ascii="Palatino Linotype" w:eastAsia="Palatino Linotype" w:hAnsi="Palatino Linotype" w:cs="Palatino Linotype"/>
          <w:color w:val="000000" w:themeColor="text1"/>
        </w:rPr>
      </w:pPr>
    </w:p>
    <w:p w:rsidR="00E013A3" w:rsidRPr="004D79F8" w:rsidRDefault="00657552" w:rsidP="004D79F8">
      <w:pPr>
        <w:numPr>
          <w:ilvl w:val="0"/>
          <w:numId w:val="1"/>
        </w:numPr>
        <w:pBdr>
          <w:top w:val="nil"/>
          <w:left w:val="nil"/>
          <w:bottom w:val="nil"/>
          <w:right w:val="nil"/>
          <w:between w:val="nil"/>
        </w:pBdr>
        <w:tabs>
          <w:tab w:val="left" w:pos="426"/>
        </w:tabs>
        <w:spacing w:line="360" w:lineRule="auto"/>
        <w:ind w:left="0" w:firstLine="0"/>
        <w:jc w:val="both"/>
        <w:rPr>
          <w:rFonts w:ascii="Palatino Linotype" w:eastAsia="Palatino Linotype" w:hAnsi="Palatino Linotype" w:cs="Palatino Linotype"/>
          <w:color w:val="000000" w:themeColor="text1"/>
        </w:rPr>
      </w:pPr>
      <w:r w:rsidRPr="004D79F8">
        <w:rPr>
          <w:rFonts w:ascii="Palatino Linotype" w:eastAsia="Palatino Linotype" w:hAnsi="Palatino Linotype" w:cs="Palatino Linotype"/>
          <w:color w:val="000000" w:themeColor="text1"/>
        </w:rPr>
        <w:t xml:space="preserve">Como se observa, dentro las publicaciones se advierte que en efecto, se utilizaron luces de color rojo para iluminar diversos edificios públicos del Ayuntamiento de Toluca; al respecto conviene señalar que, si bien es cierto, las notas periodísticas o publicaciones plasmadas en la red de Internet constituyen el Derecho a la Libre Expresión de los </w:t>
      </w:r>
      <w:r w:rsidRPr="004D79F8">
        <w:rPr>
          <w:rFonts w:ascii="Palatino Linotype" w:eastAsia="Palatino Linotype" w:hAnsi="Palatino Linotype" w:cs="Palatino Linotype"/>
          <w:color w:val="000000" w:themeColor="text1"/>
        </w:rPr>
        <w:lastRenderedPageBreak/>
        <w:t xml:space="preserve">profesionales en la materia (artículo 7 de la Constitución Política de los Estados Unidos Mexicanos), en los que se plasman opiniones, señalamientos o comentarios respecto de diversos hechos que se suscitan en un lugar y tiempo determinados, también lo es que la imagen encontrada por la ponencia correspondiente a la nota periodística de mérito arrojan indicios sobre los hechos a que se refieren. Sirve de apoyo a lo anterior, la Jurisprudencia y Tesis Aisladas que enseguida se reproducen: </w:t>
      </w:r>
    </w:p>
    <w:p w:rsidR="00E013A3" w:rsidRPr="004D79F8" w:rsidRDefault="00657552" w:rsidP="004D79F8">
      <w:pPr>
        <w:spacing w:line="360" w:lineRule="auto"/>
        <w:jc w:val="both"/>
        <w:rPr>
          <w:rFonts w:ascii="Palatino Linotype" w:eastAsia="Palatino Linotype" w:hAnsi="Palatino Linotype" w:cs="Palatino Linotype"/>
          <w:i/>
          <w:iCs/>
          <w:color w:val="000000" w:themeColor="text1"/>
        </w:rPr>
      </w:pPr>
      <w:r w:rsidRPr="004D79F8">
        <w:rPr>
          <w:rFonts w:ascii="Palatino Linotype" w:eastAsia="Palatino Linotype" w:hAnsi="Palatino Linotype" w:cs="Palatino Linotype"/>
          <w:b/>
          <w:bCs/>
          <w:i/>
          <w:iCs/>
          <w:color w:val="000000" w:themeColor="text1"/>
        </w:rPr>
        <w:t>“NOTAS PERIODÍSTICAS. ELEMENTOS PARA DETERMINAR SU FUERZA INDICIARIA.</w:t>
      </w:r>
      <w:r w:rsidRPr="004D79F8">
        <w:rPr>
          <w:rFonts w:ascii="Palatino Linotype" w:eastAsia="Palatino Linotype" w:hAnsi="Palatino Linotype" w:cs="Palatino Linotype"/>
          <w:i/>
          <w:iCs/>
          <w:color w:val="000000" w:themeColor="text1"/>
        </w:rPr>
        <w:t xml:space="preserve"> Los medios probatorios que se hacen consistir en notas periodísticas, sólo pueden arrojar indicios sobre los hechos a que se refieren, pero para calificar si se trata de indicios simples o de indicios de mayor grado convictivo, el juzgador debe ponderar las circunstancias existentes en cada caso concreto. Así, si se aportaron varias notas, provenientes de distintos órganos de información, atribuidas a diferentes autores y coincidentes en lo sustancial, y si además no obra constancia de que el afectado con su contenido haya ofrecido algún mentís sobre lo que en las noticias se le atribuye, y en el juicio donde se presenten se concreta a manifestar que esos medios informativos carecen de valor probatorio, pero omite pronunciarse sobre la certeza o falsedad de los hechos consignados en ellos, al sopesar todas esas circunstancias con la aplicación de las reglas de la lógica, la sana crítica y las máximas de experiencia, en términos del artículo 16, apartado 1, de la Ley General del Sistema de Medios de Impugnación en Materia Electoral, o de la ley que sea aplicable, esto permite otorgar mayor calidad indiciaria a los citados medios de prueba, y por tanto, a que los elementos faltantes para alcanzar la fuerza probatoria plena sean menores que en los casos en que no medien tales circunstancias.” </w:t>
      </w:r>
    </w:p>
    <w:p w:rsidR="00E013A3" w:rsidRPr="004D79F8" w:rsidRDefault="00E013A3" w:rsidP="004D79F8">
      <w:pPr>
        <w:spacing w:line="360" w:lineRule="auto"/>
        <w:jc w:val="both"/>
        <w:rPr>
          <w:rFonts w:ascii="Palatino Linotype" w:eastAsia="Palatino Linotype" w:hAnsi="Palatino Linotype" w:cs="Palatino Linotype"/>
          <w:i/>
          <w:iCs/>
          <w:color w:val="000000" w:themeColor="text1"/>
        </w:rPr>
      </w:pPr>
    </w:p>
    <w:p w:rsidR="00E013A3" w:rsidRPr="004D79F8" w:rsidRDefault="00657552" w:rsidP="004D79F8">
      <w:pPr>
        <w:spacing w:line="360" w:lineRule="auto"/>
        <w:jc w:val="both"/>
        <w:rPr>
          <w:rFonts w:ascii="Palatino Linotype" w:eastAsia="Palatino Linotype" w:hAnsi="Palatino Linotype" w:cs="Palatino Linotype"/>
          <w:i/>
          <w:iCs/>
          <w:color w:val="000000" w:themeColor="text1"/>
        </w:rPr>
      </w:pPr>
      <w:r w:rsidRPr="004D79F8">
        <w:rPr>
          <w:rFonts w:ascii="Palatino Linotype" w:eastAsia="Palatino Linotype" w:hAnsi="Palatino Linotype" w:cs="Palatino Linotype"/>
          <w:b/>
          <w:bCs/>
          <w:i/>
          <w:iCs/>
          <w:color w:val="000000" w:themeColor="text1"/>
        </w:rPr>
        <w:lastRenderedPageBreak/>
        <w:t xml:space="preserve">INDICIO. CONCEPTO DE. </w:t>
      </w:r>
      <w:r w:rsidRPr="004D79F8">
        <w:rPr>
          <w:rFonts w:ascii="Palatino Linotype" w:eastAsia="Palatino Linotype" w:hAnsi="Palatino Linotype" w:cs="Palatino Linotype"/>
          <w:i/>
          <w:iCs/>
          <w:color w:val="000000" w:themeColor="text1"/>
        </w:rPr>
        <w:t xml:space="preserve">El "indicio" es una circunstancia cierta de la que se puede sacar, por inducción lógica, una conclusión acerca de la existencia (o inexistencia) de un hecho a probar; por tanto, la convicción indiciaria se basa en un silogismo en el que la premisa mayor (abstracta y problemática), se funda en la experiencia o en el sentido común, la premisa menor (concreta y cierta) se apoya o constituye la comprobación del hecho, y la conclusión, sacada de la referencia de la premisa menor a la premisa mayor, el indicio, por consiguiente, se diferencia de la presunción en que el dato genérico y probable agrega el dato específico y cierto, a lo abstracto une lo concreto; de lo que antecede ya se desprende sin dificultad que requisito primordial de la prueba indiciaria es la certeza de la circunstancia indiciante, o sea, que el indicio presupone necesariamente la demostración de circunstancias indispensables por las que se arguye indirecta pero lógicamente el hecho que hay que probar mediante un proceso deductivo, con la misma certeza que da la prueba directa. </w:t>
      </w:r>
    </w:p>
    <w:p w:rsidR="00E013A3" w:rsidRPr="004D79F8" w:rsidRDefault="00E013A3" w:rsidP="004D79F8">
      <w:pPr>
        <w:spacing w:line="360" w:lineRule="auto"/>
        <w:jc w:val="both"/>
        <w:rPr>
          <w:rFonts w:ascii="Palatino Linotype" w:eastAsia="Palatino Linotype" w:hAnsi="Palatino Linotype" w:cs="Palatino Linotype"/>
          <w:i/>
          <w:iCs/>
          <w:color w:val="000000" w:themeColor="text1"/>
        </w:rPr>
      </w:pPr>
    </w:p>
    <w:p w:rsidR="00E013A3" w:rsidRPr="004D79F8" w:rsidRDefault="00657552" w:rsidP="004D79F8">
      <w:pPr>
        <w:spacing w:line="360" w:lineRule="auto"/>
        <w:jc w:val="both"/>
        <w:rPr>
          <w:rFonts w:ascii="Palatino Linotype" w:eastAsia="Palatino Linotype" w:hAnsi="Palatino Linotype" w:cs="Palatino Linotype"/>
          <w:i/>
          <w:iCs/>
          <w:color w:val="000000" w:themeColor="text1"/>
        </w:rPr>
      </w:pPr>
      <w:r w:rsidRPr="004D79F8">
        <w:rPr>
          <w:rFonts w:ascii="Palatino Linotype" w:eastAsia="Palatino Linotype" w:hAnsi="Palatino Linotype" w:cs="Palatino Linotype"/>
          <w:i/>
          <w:iCs/>
          <w:color w:val="000000" w:themeColor="text1"/>
        </w:rPr>
        <w:t xml:space="preserve">SEGUNDO TRIBUNAL COLEGIADO DEL SEXTO CIRCUITO. </w:t>
      </w:r>
    </w:p>
    <w:p w:rsidR="00E013A3" w:rsidRPr="004D79F8" w:rsidRDefault="00657552" w:rsidP="004D79F8">
      <w:pPr>
        <w:spacing w:line="360" w:lineRule="auto"/>
        <w:jc w:val="both"/>
        <w:rPr>
          <w:rFonts w:ascii="Palatino Linotype" w:eastAsia="Palatino Linotype" w:hAnsi="Palatino Linotype" w:cs="Palatino Linotype"/>
          <w:i/>
          <w:iCs/>
          <w:color w:val="000000" w:themeColor="text1"/>
        </w:rPr>
      </w:pPr>
      <w:r w:rsidRPr="004D79F8">
        <w:rPr>
          <w:rFonts w:ascii="Palatino Linotype" w:eastAsia="Palatino Linotype" w:hAnsi="Palatino Linotype" w:cs="Palatino Linotype"/>
          <w:i/>
          <w:iCs/>
          <w:color w:val="000000" w:themeColor="text1"/>
        </w:rPr>
        <w:t>Amparo directo 317/87. Juan Antonio Ibarra Chaire y coags. 12 de julio de 1988. Unanimidad de votos. Ponente: José Galván Rojas. Secretario: Vicente Martínez Sánchez.</w:t>
      </w:r>
    </w:p>
    <w:p w:rsidR="00E013A3" w:rsidRPr="004D79F8" w:rsidRDefault="00E013A3" w:rsidP="004D79F8">
      <w:pPr>
        <w:spacing w:line="360" w:lineRule="auto"/>
        <w:jc w:val="both"/>
        <w:rPr>
          <w:rFonts w:ascii="Palatino Linotype" w:eastAsia="Palatino Linotype" w:hAnsi="Palatino Linotype" w:cs="Palatino Linotype"/>
          <w:i/>
          <w:iCs/>
          <w:color w:val="000000" w:themeColor="text1"/>
        </w:rPr>
      </w:pPr>
    </w:p>
    <w:p w:rsidR="00E013A3" w:rsidRPr="004D79F8" w:rsidRDefault="00657552" w:rsidP="004D79F8">
      <w:pPr>
        <w:spacing w:line="360" w:lineRule="auto"/>
        <w:jc w:val="both"/>
        <w:rPr>
          <w:rFonts w:ascii="Palatino Linotype" w:eastAsia="Palatino Linotype" w:hAnsi="Palatino Linotype" w:cs="Palatino Linotype"/>
          <w:i/>
          <w:iCs/>
          <w:color w:val="000000" w:themeColor="text1"/>
        </w:rPr>
      </w:pPr>
      <w:r w:rsidRPr="004D79F8">
        <w:rPr>
          <w:rFonts w:ascii="Palatino Linotype" w:eastAsia="Palatino Linotype" w:hAnsi="Palatino Linotype" w:cs="Palatino Linotype"/>
          <w:b/>
          <w:bCs/>
          <w:i/>
          <w:iCs/>
          <w:color w:val="000000" w:themeColor="text1"/>
        </w:rPr>
        <w:t xml:space="preserve">INDICIOS. REQUISITOS PARA QUE GENEREN PRESUNCIÓN DE CERTEZA. </w:t>
      </w:r>
      <w:r w:rsidRPr="004D79F8">
        <w:rPr>
          <w:rFonts w:ascii="Palatino Linotype" w:eastAsia="Palatino Linotype" w:hAnsi="Palatino Linotype" w:cs="Palatino Linotype"/>
          <w:i/>
          <w:iCs/>
          <w:color w:val="000000" w:themeColor="text1"/>
        </w:rPr>
        <w:t xml:space="preserve">Nada impide que para acreditar la veracidad de un hecho, el juzgador se valga de una presunción que se derive de varios indicios. En esta hipótesis deben cumplirse los principios de la lógica inferencial de probabilidad, a saber: la fiabilidad de los hechos o datos conocidos, esto es, que no exista duda alguna acerca de su veracidad; la pluralidad de indicios, que se refiere a la necesidad de que existan varios datos que permitan conocer o inferir la existencia de otro no percibido y que conduzcan siempre a una misma conclusión; la pertinencia, que significa que haya relación entre la pluralidad de los datos </w:t>
      </w:r>
      <w:r w:rsidRPr="004D79F8">
        <w:rPr>
          <w:rFonts w:ascii="Palatino Linotype" w:eastAsia="Palatino Linotype" w:hAnsi="Palatino Linotype" w:cs="Palatino Linotype"/>
          <w:i/>
          <w:iCs/>
          <w:color w:val="000000" w:themeColor="text1"/>
        </w:rPr>
        <w:lastRenderedPageBreak/>
        <w:t xml:space="preserve">conocidos; y la coherencia, o sea, que debe existir armonía o concordancia entre los datos mencionados; principios que a su vez encuentran respaldo en el artículo 402 de la ley adjetiva civil para el Distrito Federal que previene que los medios de prueba aportados y admitidos serán valorados en su conjunto por el juzgador, atendiendo a las reglas de la lógica y la experiencia, pues los principios enunciados forman parte tanto de la lógica de probabilidades, como de la experiencia misma, razón por la cual, cuando concurren esas exigencias, y se da un muy alto grado de probabilidad de que los hechos acaecieron en la forma narrada por una de las partes, son aptos para generar la presunción de certeza. </w:t>
      </w:r>
    </w:p>
    <w:p w:rsidR="00E013A3" w:rsidRPr="004D79F8" w:rsidRDefault="00E013A3" w:rsidP="004D79F8">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rsidR="00E013A3" w:rsidRPr="004D79F8" w:rsidRDefault="00657552" w:rsidP="004D79F8">
      <w:pPr>
        <w:numPr>
          <w:ilvl w:val="0"/>
          <w:numId w:val="1"/>
        </w:numPr>
        <w:pBdr>
          <w:top w:val="nil"/>
          <w:left w:val="nil"/>
          <w:bottom w:val="nil"/>
          <w:right w:val="nil"/>
          <w:between w:val="nil"/>
        </w:pBdr>
        <w:spacing w:line="360" w:lineRule="auto"/>
        <w:ind w:left="0" w:firstLine="0"/>
        <w:jc w:val="both"/>
        <w:rPr>
          <w:rFonts w:ascii="Palatino Linotype" w:hAnsi="Palatino Linotype"/>
          <w:color w:val="000000" w:themeColor="text1"/>
        </w:rPr>
      </w:pPr>
      <w:r w:rsidRPr="004D79F8">
        <w:rPr>
          <w:rFonts w:ascii="Palatino Linotype" w:eastAsia="Palatino Linotype" w:hAnsi="Palatino Linotype" w:cs="Palatino Linotype"/>
          <w:color w:val="000000" w:themeColor="text1"/>
        </w:rPr>
        <w:t xml:space="preserve">En ese tenor, si bien es cierto que las páginas de internet no son un medio oficial, también lo es que se trata de indicios que demuestran las tareas o labores que llegan a realizar en este caso los servidores públicos en ejercicio de sus facultades, competencias y/o funciones. </w:t>
      </w:r>
    </w:p>
    <w:p w:rsidR="00E013A3" w:rsidRPr="004D79F8" w:rsidRDefault="00E013A3" w:rsidP="004D79F8">
      <w:pPr>
        <w:pBdr>
          <w:top w:val="nil"/>
          <w:left w:val="nil"/>
          <w:bottom w:val="nil"/>
          <w:right w:val="nil"/>
          <w:between w:val="nil"/>
        </w:pBdr>
        <w:rPr>
          <w:rFonts w:ascii="Palatino Linotype" w:eastAsia="Century Gothic" w:hAnsi="Palatino Linotype" w:cs="Century Gothic"/>
          <w:color w:val="000000" w:themeColor="text1"/>
        </w:rPr>
      </w:pPr>
    </w:p>
    <w:p w:rsidR="00E013A3" w:rsidRPr="004D79F8" w:rsidRDefault="00657552" w:rsidP="004D79F8">
      <w:pPr>
        <w:numPr>
          <w:ilvl w:val="0"/>
          <w:numId w:val="1"/>
        </w:numPr>
        <w:pBdr>
          <w:top w:val="nil"/>
          <w:left w:val="nil"/>
          <w:bottom w:val="nil"/>
          <w:right w:val="nil"/>
          <w:between w:val="nil"/>
        </w:pBdr>
        <w:spacing w:line="360" w:lineRule="auto"/>
        <w:ind w:left="0" w:firstLine="0"/>
        <w:jc w:val="both"/>
        <w:rPr>
          <w:rFonts w:ascii="Palatino Linotype" w:hAnsi="Palatino Linotype"/>
          <w:color w:val="000000" w:themeColor="text1"/>
        </w:rPr>
      </w:pPr>
      <w:r w:rsidRPr="004D79F8">
        <w:rPr>
          <w:rFonts w:ascii="Palatino Linotype" w:eastAsia="Palatino Linotype" w:hAnsi="Palatino Linotype" w:cs="Palatino Linotype"/>
          <w:color w:val="000000" w:themeColor="text1"/>
        </w:rPr>
        <w:t xml:space="preserve">En tal virtud, al obrar indicios de la información en páginas de internet, como lo son las publicaciones del mismo Sujeto Obligado en sus páginas oficiales, como fue el caso, demuestran que cuenta con la información en alguna de sus áreas administrativas, este tipo de información es susceptible de considerarse como un hecho notorio el cual puede ser valorado, por formar parte del conocimiento público, lo cual se robustece con la siguiente tesis aislada emitida por los Tribunales Colegiados de Circuito y publicada en el Semanario Judicial de la Federación: </w:t>
      </w:r>
    </w:p>
    <w:p w:rsidR="00E013A3" w:rsidRPr="004D79F8" w:rsidRDefault="00E013A3" w:rsidP="004D79F8">
      <w:pPr>
        <w:pBdr>
          <w:top w:val="nil"/>
          <w:left w:val="nil"/>
          <w:bottom w:val="nil"/>
          <w:right w:val="nil"/>
          <w:between w:val="nil"/>
        </w:pBdr>
        <w:rPr>
          <w:rFonts w:ascii="Palatino Linotype" w:hAnsi="Palatino Linotype"/>
          <w:color w:val="000000" w:themeColor="text1"/>
        </w:rPr>
      </w:pPr>
    </w:p>
    <w:p w:rsidR="00E013A3" w:rsidRPr="004D79F8" w:rsidRDefault="00E013A3" w:rsidP="004D79F8">
      <w:pPr>
        <w:pBdr>
          <w:top w:val="nil"/>
          <w:left w:val="nil"/>
          <w:bottom w:val="nil"/>
          <w:right w:val="nil"/>
          <w:between w:val="nil"/>
        </w:pBdr>
        <w:spacing w:line="360" w:lineRule="auto"/>
        <w:jc w:val="both"/>
        <w:rPr>
          <w:rFonts w:ascii="Palatino Linotype" w:hAnsi="Palatino Linotype"/>
          <w:color w:val="000000" w:themeColor="text1"/>
        </w:rPr>
      </w:pPr>
    </w:p>
    <w:p w:rsidR="00E013A3" w:rsidRPr="004D79F8" w:rsidRDefault="00657552" w:rsidP="004D79F8">
      <w:pPr>
        <w:spacing w:line="360" w:lineRule="auto"/>
        <w:jc w:val="both"/>
        <w:rPr>
          <w:rFonts w:ascii="Palatino Linotype" w:eastAsia="Palatino Linotype" w:hAnsi="Palatino Linotype" w:cs="Palatino Linotype"/>
          <w:i/>
          <w:iCs/>
          <w:color w:val="000000" w:themeColor="text1"/>
        </w:rPr>
      </w:pPr>
      <w:r w:rsidRPr="004D79F8">
        <w:rPr>
          <w:rFonts w:ascii="Palatino Linotype" w:eastAsia="Palatino Linotype" w:hAnsi="Palatino Linotype" w:cs="Palatino Linotype"/>
          <w:b/>
          <w:bCs/>
          <w:i/>
          <w:iCs/>
          <w:color w:val="000000" w:themeColor="text1"/>
        </w:rPr>
        <w:lastRenderedPageBreak/>
        <w:t xml:space="preserve">“PÁGINAS WEB O ELECTRÓNICAS. SU CONTENIDO ES UN HECHO NOTORIO Y SUSCEPTIBLE DE SER VALORADO EN UNA DECISIÓN JUDICIAL. </w:t>
      </w:r>
      <w:r w:rsidRPr="004D79F8">
        <w:rPr>
          <w:rFonts w:ascii="Palatino Linotype" w:eastAsia="Palatino Linotype" w:hAnsi="Palatino Linotype" w:cs="Palatino Linotype"/>
          <w:i/>
          <w:iCs/>
          <w:color w:val="000000" w:themeColor="text1"/>
        </w:rPr>
        <w:t>Los datos publicados en documentos o páginas situados en redes informáticas constituyen un hecho notorio por formar parte del conocimiento público a través de tales medios al momento en que se dicta una resolución judicial, de conformidad con el artículo 88 del Código Federal de Procedimientos Civiles. El acceso al uso de Internet para buscar información sobre la existencia de personas morales, establecimientos mercantiles, domicilios y en general cualquier dato publicado en redes informáticas, forma parte de la cultura normal de sectores específicos de la sociedad dependiendo del tipo de información 1 2004949. I.3o.C.35 K (10a.). Tribunales Colegiados de Circuito. Décima Época. Semanario Judicial de la Federación y su Gaceta. Libro XXVI, Noviembre de 2013, Pág. 1373. Recurso de Revisión: 03023/INFOEM/IP/RR/2021 Sujeto Obligado: Ayuntamiento de Coacalco de Berriozábal Comisionado por returno: Luis Gustavo Parra Noriega Página 21 de 28 de que se trate. De ahí que, si bien no es posible afirmar que esa información se encuentra al alcance de todos los sectores de la sociedad, lo cierto es que sí es posible determinar si por el tipo de datos un hecho forma parte de la cultura normal de un sector de la sociedad y pueda ser considerado como notorio por el juzgador y, consecuentemente, valorado en una decisión judicial, por tratarse de un dato u opinión común indiscutible, no por el número de personas que conocen ese hecho, sino por la notoriedad, accesibilidad, aceptación e imparcialidad de este conocimiento. Por tanto, el contenido de una página de Internet que refleja hechos propios de una de las partes en cualquier juicio, puede ser tomado como prueba plena, a menos que haya una en contrario que no fue creada por orden del interesado, ya que se le reputará autor y podrá perjudicarle lo que ofrezca en sus términos.</w:t>
      </w:r>
    </w:p>
    <w:p w:rsidR="00E013A3" w:rsidRPr="004D79F8" w:rsidRDefault="00657552" w:rsidP="004D79F8">
      <w:pPr>
        <w:spacing w:line="360" w:lineRule="auto"/>
        <w:jc w:val="both"/>
        <w:rPr>
          <w:rFonts w:ascii="Palatino Linotype" w:eastAsia="Palatino Linotype" w:hAnsi="Palatino Linotype" w:cs="Palatino Linotype"/>
          <w:i/>
          <w:iCs/>
          <w:color w:val="000000" w:themeColor="text1"/>
        </w:rPr>
      </w:pPr>
      <w:r w:rsidRPr="004D79F8">
        <w:rPr>
          <w:rFonts w:ascii="Palatino Linotype" w:eastAsia="Palatino Linotype" w:hAnsi="Palatino Linotype" w:cs="Palatino Linotype"/>
          <w:i/>
          <w:iCs/>
          <w:color w:val="000000" w:themeColor="text1"/>
        </w:rPr>
        <w:t xml:space="preserve"> TERCER TRIBUNAL COLEGIADO EN MATERIA CIVIL DEL PRIMER CIRCUITO. </w:t>
      </w:r>
    </w:p>
    <w:p w:rsidR="00E013A3" w:rsidRPr="004D79F8" w:rsidRDefault="00657552" w:rsidP="004D79F8">
      <w:pPr>
        <w:spacing w:line="360" w:lineRule="auto"/>
        <w:jc w:val="both"/>
        <w:rPr>
          <w:rFonts w:ascii="Palatino Linotype" w:eastAsia="Palatino Linotype" w:hAnsi="Palatino Linotype" w:cs="Palatino Linotype"/>
          <w:i/>
          <w:iCs/>
          <w:color w:val="000000" w:themeColor="text1"/>
        </w:rPr>
      </w:pPr>
      <w:r w:rsidRPr="004D79F8">
        <w:rPr>
          <w:rFonts w:ascii="Palatino Linotype" w:eastAsia="Palatino Linotype" w:hAnsi="Palatino Linotype" w:cs="Palatino Linotype"/>
          <w:i/>
          <w:iCs/>
          <w:color w:val="000000" w:themeColor="text1"/>
        </w:rPr>
        <w:lastRenderedPageBreak/>
        <w:t xml:space="preserve">Amparo en revisión 365/2012. Mardygras, S.A. de C.V. 7 de diciembre de 2012. Unanimidad de votos. Ponente: Neófito López Ramos. Secretaria: Ana Lilia Osorno Arroyo.” </w:t>
      </w:r>
    </w:p>
    <w:p w:rsidR="00E013A3" w:rsidRPr="004D79F8" w:rsidRDefault="00657552" w:rsidP="004D79F8">
      <w:pPr>
        <w:spacing w:line="360" w:lineRule="auto"/>
        <w:jc w:val="both"/>
        <w:rPr>
          <w:rFonts w:ascii="Palatino Linotype" w:eastAsia="Palatino Linotype" w:hAnsi="Palatino Linotype" w:cs="Palatino Linotype"/>
          <w:i/>
          <w:iCs/>
          <w:color w:val="000000" w:themeColor="text1"/>
        </w:rPr>
      </w:pPr>
      <w:r w:rsidRPr="004D79F8">
        <w:rPr>
          <w:rFonts w:ascii="Palatino Linotype" w:eastAsia="Palatino Linotype" w:hAnsi="Palatino Linotype" w:cs="Palatino Linotype"/>
          <w:i/>
          <w:iCs/>
          <w:color w:val="000000" w:themeColor="text1"/>
        </w:rPr>
        <w:t xml:space="preserve">(Énfasis añadido) </w:t>
      </w:r>
    </w:p>
    <w:p w:rsidR="00E013A3" w:rsidRPr="004D79F8" w:rsidRDefault="00E013A3" w:rsidP="004D79F8">
      <w:pPr>
        <w:spacing w:line="360" w:lineRule="auto"/>
        <w:jc w:val="both"/>
        <w:rPr>
          <w:rFonts w:ascii="Palatino Linotype" w:eastAsia="Palatino Linotype" w:hAnsi="Palatino Linotype" w:cs="Palatino Linotype"/>
          <w:i/>
          <w:iCs/>
          <w:color w:val="000000" w:themeColor="text1"/>
        </w:rPr>
      </w:pPr>
    </w:p>
    <w:p w:rsidR="00E013A3" w:rsidRPr="004D79F8" w:rsidRDefault="00657552" w:rsidP="004D79F8">
      <w:pPr>
        <w:numPr>
          <w:ilvl w:val="0"/>
          <w:numId w:val="1"/>
        </w:numPr>
        <w:spacing w:line="360" w:lineRule="auto"/>
        <w:ind w:left="0" w:firstLine="0"/>
        <w:jc w:val="both"/>
        <w:rPr>
          <w:rFonts w:ascii="Palatino Linotype" w:hAnsi="Palatino Linotype"/>
          <w:color w:val="000000" w:themeColor="text1"/>
        </w:rPr>
      </w:pPr>
      <w:r w:rsidRPr="004D79F8">
        <w:rPr>
          <w:rFonts w:ascii="Palatino Linotype" w:eastAsia="Palatino Linotype" w:hAnsi="Palatino Linotype" w:cs="Palatino Linotype"/>
          <w:color w:val="000000" w:themeColor="text1"/>
        </w:rPr>
        <w:t>Es así que, aún y cuando la información proviene de una publicación en una página de noticias, muestra elementos que permiten presumir la existencia del hecho, razón por la que es dable ordenar la entrega de la información.</w:t>
      </w:r>
    </w:p>
    <w:p w:rsidR="00E013A3" w:rsidRPr="004D79F8" w:rsidRDefault="00E013A3" w:rsidP="004D79F8">
      <w:pPr>
        <w:spacing w:line="360" w:lineRule="auto"/>
        <w:jc w:val="both"/>
        <w:rPr>
          <w:rFonts w:ascii="Palatino Linotype" w:eastAsia="Palatino Linotype" w:hAnsi="Palatino Linotype" w:cs="Palatino Linotype"/>
          <w:color w:val="000000" w:themeColor="text1"/>
        </w:rPr>
      </w:pPr>
    </w:p>
    <w:p w:rsidR="00E013A3" w:rsidRPr="004D79F8" w:rsidRDefault="00657552" w:rsidP="004D79F8">
      <w:pPr>
        <w:numPr>
          <w:ilvl w:val="0"/>
          <w:numId w:val="1"/>
        </w:numPr>
        <w:pBdr>
          <w:top w:val="nil"/>
          <w:left w:val="nil"/>
          <w:bottom w:val="nil"/>
          <w:right w:val="nil"/>
          <w:between w:val="nil"/>
        </w:pBdr>
        <w:spacing w:line="360" w:lineRule="auto"/>
        <w:ind w:left="0" w:firstLine="0"/>
        <w:jc w:val="both"/>
        <w:rPr>
          <w:rFonts w:ascii="Palatino Linotype" w:hAnsi="Palatino Linotype"/>
          <w:color w:val="000000" w:themeColor="text1"/>
        </w:rPr>
      </w:pPr>
      <w:r w:rsidRPr="004D79F8">
        <w:rPr>
          <w:rFonts w:ascii="Palatino Linotype" w:eastAsia="Palatino Linotype" w:hAnsi="Palatino Linotype" w:cs="Palatino Linotype"/>
          <w:color w:val="000000" w:themeColor="text1"/>
        </w:rPr>
        <w:t>De lo anterior, se presume la existencia de documentación relacionada con lo requerido por el Recurrente, toda vez que el SUJETO OBLIGADO se encuentra constreñido a documentar todo acto de autoridad que éste realice derivado de sus funciones, atribuciones y competencias, por lo que debemos tomar en cuenta los artículos 4 y 12, de la Ley de Transparencia y Acceso a la Información Pública del Estado de México y Municipios, los cuales establecen lo siguiente:</w:t>
      </w:r>
    </w:p>
    <w:p w:rsidR="00E013A3" w:rsidRPr="004D79F8" w:rsidRDefault="00657552" w:rsidP="004D79F8">
      <w:pPr>
        <w:spacing w:line="360" w:lineRule="auto"/>
        <w:jc w:val="both"/>
        <w:rPr>
          <w:rFonts w:ascii="Palatino Linotype" w:eastAsia="Palatino Linotype" w:hAnsi="Palatino Linotype" w:cs="Palatino Linotype"/>
          <w:i/>
          <w:iCs/>
          <w:color w:val="000000" w:themeColor="text1"/>
        </w:rPr>
      </w:pPr>
      <w:r w:rsidRPr="004D79F8">
        <w:rPr>
          <w:rFonts w:ascii="Palatino Linotype" w:eastAsia="Palatino Linotype" w:hAnsi="Palatino Linotype" w:cs="Palatino Linotype"/>
          <w:b/>
          <w:bCs/>
          <w:i/>
          <w:iCs/>
          <w:color w:val="000000" w:themeColor="text1"/>
        </w:rPr>
        <w:t xml:space="preserve">Artículo 4. </w:t>
      </w:r>
      <w:r w:rsidRPr="004D79F8">
        <w:rPr>
          <w:rFonts w:ascii="Palatino Linotype" w:eastAsia="Palatino Linotype" w:hAnsi="Palatino Linotype" w:cs="Palatino Linotype"/>
          <w:i/>
          <w:iCs/>
          <w:color w:val="000000" w:themeColor="text1"/>
        </w:rPr>
        <w:t>El derecho humano de acceso a la información pública es la prerrogativa de las personas para buscar, difundir, investigar, recabar, recibir y solicitar información pública, sin necesidad de acreditar personalidad ni interés jurídico.</w:t>
      </w:r>
    </w:p>
    <w:p w:rsidR="00E013A3" w:rsidRPr="004D79F8" w:rsidRDefault="00E013A3" w:rsidP="004D79F8">
      <w:pPr>
        <w:spacing w:line="360" w:lineRule="auto"/>
        <w:jc w:val="both"/>
        <w:rPr>
          <w:rFonts w:ascii="Palatino Linotype" w:eastAsia="Palatino Linotype" w:hAnsi="Palatino Linotype" w:cs="Palatino Linotype"/>
          <w:i/>
          <w:iCs/>
          <w:color w:val="000000" w:themeColor="text1"/>
        </w:rPr>
      </w:pPr>
    </w:p>
    <w:p w:rsidR="00E013A3" w:rsidRPr="004D79F8" w:rsidRDefault="00657552" w:rsidP="004D79F8">
      <w:pPr>
        <w:spacing w:line="360" w:lineRule="auto"/>
        <w:jc w:val="both"/>
        <w:rPr>
          <w:rFonts w:ascii="Palatino Linotype" w:eastAsia="Palatino Linotype" w:hAnsi="Palatino Linotype" w:cs="Palatino Linotype"/>
          <w:i/>
          <w:iCs/>
          <w:color w:val="000000" w:themeColor="text1"/>
        </w:rPr>
      </w:pPr>
      <w:r w:rsidRPr="004D79F8">
        <w:rPr>
          <w:rFonts w:ascii="Palatino Linotype" w:eastAsia="Palatino Linotype" w:hAnsi="Palatino Linotype" w:cs="Palatino Linotype"/>
          <w:i/>
          <w:iCs/>
          <w:color w:val="000000" w:themeColor="text1"/>
        </w:rPr>
        <w:t xml:space="preserve">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w:t>
      </w:r>
      <w:r w:rsidRPr="004D79F8">
        <w:rPr>
          <w:rFonts w:ascii="Palatino Linotype" w:eastAsia="Palatino Linotype" w:hAnsi="Palatino Linotype" w:cs="Palatino Linotype"/>
          <w:i/>
          <w:iCs/>
          <w:color w:val="000000" w:themeColor="text1"/>
        </w:rPr>
        <w:lastRenderedPageBreak/>
        <w:t>reservada temporalmente por razones de interés público, en los términos de las causas legítimas y estrictamente necesarias previstas por esta Ley.</w:t>
      </w:r>
    </w:p>
    <w:p w:rsidR="00E013A3" w:rsidRPr="004D79F8" w:rsidRDefault="00E013A3" w:rsidP="004D79F8">
      <w:pPr>
        <w:spacing w:line="360" w:lineRule="auto"/>
        <w:jc w:val="both"/>
        <w:rPr>
          <w:rFonts w:ascii="Palatino Linotype" w:eastAsia="Palatino Linotype" w:hAnsi="Palatino Linotype" w:cs="Palatino Linotype"/>
          <w:i/>
          <w:iCs/>
          <w:color w:val="000000" w:themeColor="text1"/>
        </w:rPr>
      </w:pPr>
    </w:p>
    <w:p w:rsidR="00E013A3" w:rsidRPr="004D79F8" w:rsidRDefault="00657552" w:rsidP="004D79F8">
      <w:pPr>
        <w:spacing w:line="360" w:lineRule="auto"/>
        <w:jc w:val="both"/>
        <w:rPr>
          <w:rFonts w:ascii="Palatino Linotype" w:eastAsia="Palatino Linotype" w:hAnsi="Palatino Linotype" w:cs="Palatino Linotype"/>
          <w:i/>
          <w:iCs/>
          <w:color w:val="000000" w:themeColor="text1"/>
        </w:rPr>
      </w:pPr>
      <w:r w:rsidRPr="004D79F8">
        <w:rPr>
          <w:rFonts w:ascii="Palatino Linotype" w:eastAsia="Palatino Linotype" w:hAnsi="Palatino Linotype" w:cs="Palatino Linotype"/>
          <w:i/>
          <w:iCs/>
          <w:color w:val="000000" w:themeColor="text1"/>
        </w:rPr>
        <w:t>Los sujetos obligados deben poner en práctica, políticas y programas de acceso a la información que se apeguen a criterios de publicidad, veracidad, oportunidad, precisión y suficiencia en beneficio de los solicitantes.</w:t>
      </w:r>
    </w:p>
    <w:p w:rsidR="00E013A3" w:rsidRPr="004D79F8" w:rsidRDefault="00E013A3" w:rsidP="004D79F8">
      <w:pPr>
        <w:spacing w:line="360" w:lineRule="auto"/>
        <w:jc w:val="both"/>
        <w:rPr>
          <w:rFonts w:ascii="Palatino Linotype" w:eastAsia="Palatino Linotype" w:hAnsi="Palatino Linotype" w:cs="Palatino Linotype"/>
          <w:i/>
          <w:iCs/>
          <w:color w:val="000000" w:themeColor="text1"/>
        </w:rPr>
      </w:pPr>
    </w:p>
    <w:p w:rsidR="00E013A3" w:rsidRPr="004D79F8" w:rsidRDefault="00657552" w:rsidP="004D79F8">
      <w:pPr>
        <w:spacing w:line="360" w:lineRule="auto"/>
        <w:jc w:val="both"/>
        <w:rPr>
          <w:rFonts w:ascii="Palatino Linotype" w:eastAsia="Palatino Linotype" w:hAnsi="Palatino Linotype" w:cs="Palatino Linotype"/>
          <w:i/>
          <w:iCs/>
          <w:color w:val="000000" w:themeColor="text1"/>
        </w:rPr>
      </w:pPr>
      <w:r w:rsidRPr="004D79F8">
        <w:rPr>
          <w:rFonts w:ascii="Palatino Linotype" w:eastAsia="Palatino Linotype" w:hAnsi="Palatino Linotype" w:cs="Palatino Linotype"/>
          <w:b/>
          <w:bCs/>
          <w:i/>
          <w:iCs/>
          <w:color w:val="000000" w:themeColor="text1"/>
        </w:rPr>
        <w:t xml:space="preserve">Artículo 12. </w:t>
      </w:r>
      <w:r w:rsidRPr="004D79F8">
        <w:rPr>
          <w:rFonts w:ascii="Palatino Linotype" w:eastAsia="Palatino Linotype" w:hAnsi="Palatino Linotype" w:cs="Palatino Linotype"/>
          <w:i/>
          <w:iCs/>
          <w:color w:val="000000" w:themeColor="text1"/>
        </w:rPr>
        <w:t xml:space="preserve">Quienes generen, recopilen, administren, manejen, procesen, archiven o conserven información pública serán responsables de la misma en los términos de las disposiciones jurídicas aplicables. </w:t>
      </w:r>
    </w:p>
    <w:p w:rsidR="00E013A3" w:rsidRPr="004D79F8" w:rsidRDefault="00E013A3" w:rsidP="004D79F8">
      <w:pPr>
        <w:spacing w:line="360" w:lineRule="auto"/>
        <w:jc w:val="both"/>
        <w:rPr>
          <w:rFonts w:ascii="Palatino Linotype" w:eastAsia="Palatino Linotype" w:hAnsi="Palatino Linotype" w:cs="Palatino Linotype"/>
          <w:i/>
          <w:iCs/>
          <w:color w:val="000000" w:themeColor="text1"/>
        </w:rPr>
      </w:pPr>
    </w:p>
    <w:p w:rsidR="00E013A3" w:rsidRPr="004D79F8" w:rsidRDefault="00657552" w:rsidP="004D79F8">
      <w:pPr>
        <w:spacing w:line="360" w:lineRule="auto"/>
        <w:jc w:val="both"/>
        <w:rPr>
          <w:rFonts w:ascii="Palatino Linotype" w:eastAsia="Palatino Linotype" w:hAnsi="Palatino Linotype" w:cs="Palatino Linotype"/>
          <w:i/>
          <w:iCs/>
          <w:color w:val="000000" w:themeColor="text1"/>
        </w:rPr>
      </w:pPr>
      <w:r w:rsidRPr="004D79F8">
        <w:rPr>
          <w:rFonts w:ascii="Palatino Linotype" w:eastAsia="Palatino Linotype" w:hAnsi="Palatino Linotype" w:cs="Palatino Linotype"/>
          <w:i/>
          <w:iCs/>
          <w:color w:val="000000" w:themeColor="text1"/>
        </w:rPr>
        <w:t xml:space="preserve">Los sujetos obligados sólo proporcionarán la información pública que se les requiera y que obre en sus archivos y en el estado en que ésta se encuentre. </w:t>
      </w:r>
      <w:r w:rsidRPr="004D79F8">
        <w:rPr>
          <w:rFonts w:ascii="Palatino Linotype" w:eastAsia="Palatino Linotype" w:hAnsi="Palatino Linotype" w:cs="Palatino Linotype"/>
          <w:b/>
          <w:bCs/>
          <w:i/>
          <w:iCs/>
          <w:color w:val="000000" w:themeColor="text1"/>
        </w:rPr>
        <w:t>La obligación de proporcionar información no comprende el procesamiento de la misma, ni el presentarla conforme al interés del solicitante; no estarán obligados a generarla, resumirla, efectuar cálculos o practicar investigaciones.</w:t>
      </w:r>
    </w:p>
    <w:p w:rsidR="00E013A3" w:rsidRPr="004D79F8" w:rsidRDefault="00E013A3" w:rsidP="004D79F8">
      <w:pPr>
        <w:spacing w:line="360" w:lineRule="auto"/>
        <w:jc w:val="both"/>
        <w:rPr>
          <w:rFonts w:ascii="Palatino Linotype" w:eastAsia="Palatino Linotype" w:hAnsi="Palatino Linotype" w:cs="Palatino Linotype"/>
          <w:i/>
          <w:iCs/>
          <w:color w:val="000000" w:themeColor="text1"/>
        </w:rPr>
      </w:pPr>
    </w:p>
    <w:p w:rsidR="00E013A3" w:rsidRPr="004D79F8" w:rsidRDefault="00657552" w:rsidP="004D79F8">
      <w:pPr>
        <w:numPr>
          <w:ilvl w:val="0"/>
          <w:numId w:val="1"/>
        </w:numPr>
        <w:pBdr>
          <w:top w:val="nil"/>
          <w:left w:val="nil"/>
          <w:bottom w:val="nil"/>
          <w:right w:val="nil"/>
          <w:between w:val="nil"/>
        </w:pBdr>
        <w:tabs>
          <w:tab w:val="left" w:pos="851"/>
        </w:tabs>
        <w:spacing w:line="360" w:lineRule="auto"/>
        <w:ind w:left="0" w:firstLine="0"/>
        <w:jc w:val="both"/>
        <w:rPr>
          <w:rFonts w:ascii="Palatino Linotype" w:eastAsia="Palatino Linotype" w:hAnsi="Palatino Linotype" w:cs="Palatino Linotype"/>
          <w:color w:val="000000" w:themeColor="text1"/>
        </w:rPr>
      </w:pPr>
      <w:r w:rsidRPr="004D79F8">
        <w:rPr>
          <w:rFonts w:ascii="Palatino Linotype" w:eastAsia="Palatino Linotype" w:hAnsi="Palatino Linotype" w:cs="Palatino Linotype"/>
          <w:color w:val="000000" w:themeColor="text1"/>
        </w:rPr>
        <w:t>Es así que, por un lado se tiene la obligación de documentar todos los actos que se lleven a cabo en el ejercicio de sus funciones, atribuciones y competencias, mientras que por otro, se ven impuestos por la obligación de hacer pública toda aquella información que se encuentre en su posesión en estricto apego a los principios de eficacia</w:t>
      </w:r>
      <w:r w:rsidRPr="004D79F8">
        <w:rPr>
          <w:rFonts w:ascii="Palatino Linotype" w:eastAsia="Palatino Linotype" w:hAnsi="Palatino Linotype" w:cs="Palatino Linotype"/>
          <w:color w:val="000000" w:themeColor="text1"/>
          <w:vertAlign w:val="superscript"/>
        </w:rPr>
        <w:footnoteReference w:id="3"/>
      </w:r>
      <w:r w:rsidRPr="004D79F8">
        <w:rPr>
          <w:rFonts w:ascii="Palatino Linotype" w:eastAsia="Palatino Linotype" w:hAnsi="Palatino Linotype" w:cs="Palatino Linotype"/>
          <w:color w:val="000000" w:themeColor="text1"/>
        </w:rPr>
        <w:t xml:space="preserve"> y máxima </w:t>
      </w:r>
      <w:r w:rsidRPr="004D79F8">
        <w:rPr>
          <w:rFonts w:ascii="Palatino Linotype" w:eastAsia="Palatino Linotype" w:hAnsi="Palatino Linotype" w:cs="Palatino Linotype"/>
          <w:color w:val="000000" w:themeColor="text1"/>
        </w:rPr>
        <w:lastRenderedPageBreak/>
        <w:t>publicidad, sobre éste último se debe poner mayor énfasis, puesto que establece que toda la información en posesión de los Sujetos Obligados será pública, completa, oportuna y accesible, lo que permite que la ciudadanía tenga un amplio acceso sobre lo que es el actuar de las autoridades.</w:t>
      </w:r>
    </w:p>
    <w:p w:rsidR="00E013A3" w:rsidRPr="004D79F8" w:rsidRDefault="00E013A3" w:rsidP="004D79F8">
      <w:pPr>
        <w:pBdr>
          <w:top w:val="nil"/>
          <w:left w:val="nil"/>
          <w:bottom w:val="nil"/>
          <w:right w:val="nil"/>
          <w:between w:val="nil"/>
        </w:pBdr>
        <w:tabs>
          <w:tab w:val="left" w:pos="851"/>
        </w:tabs>
        <w:spacing w:line="360" w:lineRule="auto"/>
        <w:jc w:val="both"/>
        <w:rPr>
          <w:rFonts w:ascii="Palatino Linotype" w:eastAsia="Palatino Linotype" w:hAnsi="Palatino Linotype" w:cs="Palatino Linotype"/>
          <w:color w:val="000000" w:themeColor="text1"/>
        </w:rPr>
      </w:pPr>
    </w:p>
    <w:p w:rsidR="00E013A3" w:rsidRPr="004D79F8" w:rsidRDefault="00657552" w:rsidP="004D79F8">
      <w:pPr>
        <w:numPr>
          <w:ilvl w:val="0"/>
          <w:numId w:val="1"/>
        </w:numPr>
        <w:pBdr>
          <w:top w:val="nil"/>
          <w:left w:val="nil"/>
          <w:bottom w:val="nil"/>
          <w:right w:val="nil"/>
          <w:between w:val="nil"/>
        </w:pBdr>
        <w:tabs>
          <w:tab w:val="left" w:pos="851"/>
        </w:tabs>
        <w:spacing w:line="360" w:lineRule="auto"/>
        <w:ind w:left="0" w:firstLine="0"/>
        <w:jc w:val="both"/>
        <w:rPr>
          <w:rFonts w:ascii="Palatino Linotype" w:eastAsia="Palatino Linotype" w:hAnsi="Palatino Linotype" w:cs="Palatino Linotype"/>
          <w:color w:val="000000" w:themeColor="text1"/>
        </w:rPr>
      </w:pPr>
      <w:r w:rsidRPr="004D79F8">
        <w:rPr>
          <w:rFonts w:ascii="Palatino Linotype" w:eastAsia="Palatino Linotype" w:hAnsi="Palatino Linotype" w:cs="Palatino Linotype"/>
          <w:color w:val="000000" w:themeColor="text1"/>
        </w:rPr>
        <w:t>Robustece lo anterior la Tesis aislada identificada con la clave I.4º.A.40 A del Cuarto Tribunal colegiado en Materia Administrativa del Primer Circuito, publicada en el Seminario Judicial de la Federación y su Gaceta en el libro XVIII, Marzo 2013, Página 1899.</w:t>
      </w:r>
    </w:p>
    <w:p w:rsidR="00E013A3" w:rsidRPr="004D79F8" w:rsidRDefault="00657552" w:rsidP="004D79F8">
      <w:pPr>
        <w:pBdr>
          <w:top w:val="nil"/>
          <w:left w:val="nil"/>
          <w:bottom w:val="nil"/>
          <w:right w:val="nil"/>
          <w:between w:val="nil"/>
        </w:pBdr>
        <w:tabs>
          <w:tab w:val="left" w:pos="851"/>
        </w:tabs>
        <w:spacing w:line="360" w:lineRule="auto"/>
        <w:jc w:val="both"/>
        <w:rPr>
          <w:rFonts w:ascii="Palatino Linotype" w:eastAsia="Palatino Linotype" w:hAnsi="Palatino Linotype" w:cs="Palatino Linotype"/>
          <w:i/>
          <w:iCs/>
          <w:color w:val="000000" w:themeColor="text1"/>
        </w:rPr>
      </w:pPr>
      <w:r w:rsidRPr="004D79F8">
        <w:rPr>
          <w:rFonts w:ascii="Palatino Linotype" w:eastAsia="Palatino Linotype" w:hAnsi="Palatino Linotype" w:cs="Palatino Linotype"/>
          <w:b/>
          <w:bCs/>
          <w:i/>
          <w:iCs/>
          <w:color w:val="000000" w:themeColor="text1"/>
        </w:rPr>
        <w:t>ACCESO A LA INFORMACIÓN. IMPLICACIÓN DEL PRINCIPIO DE MÁXIMA PUBLICIDAD EN EL DERECHO FUNDAMENTAL RELATIVO.</w:t>
      </w:r>
      <w:r w:rsidRPr="004D79F8">
        <w:rPr>
          <w:rFonts w:ascii="Palatino Linotype" w:eastAsia="Palatino Linotype" w:hAnsi="Palatino Linotype" w:cs="Palatino Linotype"/>
          <w:i/>
          <w:iCs/>
          <w:color w:val="000000" w:themeColor="text1"/>
        </w:rPr>
        <w:t xml:space="preserve"> Del artículo 6o. de la Constitución Política de los Estados Unidos Mexicanos se advierte que el Estado Mexicano está constreñido a publicitar sus actos, pues se reconoce el derecho fundamental de los ciudadanos a acceder a la información que obra en poder de la autoridad, que como lo ha expuesto el Pleno de la Suprema Corte de Justicia de la Nación en la tesis P./J. 54/2008, publicada en el Semanario Judicial de la Federación y su Gaceta, Novena Época, Tomo XXVII, junio de 2008, página 743, de rubro: "ACCESO A LA INFORMACIÓN. SU NATURALEZA COMO GARANTÍAS INDIVIDUAL Y SOCIAL.", contiene una doble dimensión: individual y social. En su primer aspecto, cumple con la función de maximizar el campo de la autonomía personal, posibilitando el ejercicio de la libertad de expresión en un contexto de mayor diversidad de datos, voces y opiniones, mientras que en el segundo, brinda un derecho colectivo o social que tiende a revelar el empleo instrumental de la información no sólo como factor de autorrealización personal, sino como un mecanismo de control institucional, pues se trata de un derecho fundado en una de las características principales del gobierno republicano, que es la publicidad de los actos de gobierno y la transparencia en el actuar de </w:t>
      </w:r>
      <w:r w:rsidRPr="004D79F8">
        <w:rPr>
          <w:rFonts w:ascii="Palatino Linotype" w:eastAsia="Palatino Linotype" w:hAnsi="Palatino Linotype" w:cs="Palatino Linotype"/>
          <w:i/>
          <w:iCs/>
          <w:color w:val="000000" w:themeColor="text1"/>
        </w:rPr>
        <w:lastRenderedPageBreak/>
        <w:t xml:space="preserve">la administración, conducente y necesaria para la rendición de cuentas. Por ello, el principio de máxima publicidad incorporado en el texto constitucional, implica para cualquier autoridad, realizar un manejo de la información bajo la premisa inicial que toda ella es pública y sólo por excepción, en los casos expresamente previstos en la legislación secundaria y justificados bajo determinadas circunstancias, se podrá clasificar como confidencial o reservada, esto es, considerarla con una calidad diversa. </w:t>
      </w:r>
    </w:p>
    <w:p w:rsidR="00E013A3" w:rsidRPr="004D79F8" w:rsidRDefault="00E013A3" w:rsidP="004D79F8">
      <w:pPr>
        <w:pBdr>
          <w:top w:val="nil"/>
          <w:left w:val="nil"/>
          <w:bottom w:val="nil"/>
          <w:right w:val="nil"/>
          <w:between w:val="nil"/>
        </w:pBdr>
        <w:tabs>
          <w:tab w:val="left" w:pos="851"/>
        </w:tabs>
        <w:spacing w:line="360" w:lineRule="auto"/>
        <w:jc w:val="both"/>
        <w:rPr>
          <w:rFonts w:ascii="Palatino Linotype" w:eastAsia="Palatino Linotype" w:hAnsi="Palatino Linotype" w:cs="Palatino Linotype"/>
          <w:i/>
          <w:iCs/>
          <w:color w:val="000000" w:themeColor="text1"/>
        </w:rPr>
      </w:pPr>
    </w:p>
    <w:p w:rsidR="00E013A3" w:rsidRPr="004D79F8" w:rsidRDefault="00657552" w:rsidP="004D79F8">
      <w:pPr>
        <w:pBdr>
          <w:top w:val="nil"/>
          <w:left w:val="nil"/>
          <w:bottom w:val="nil"/>
          <w:right w:val="nil"/>
          <w:between w:val="nil"/>
        </w:pBdr>
        <w:tabs>
          <w:tab w:val="left" w:pos="851"/>
        </w:tabs>
        <w:spacing w:line="360" w:lineRule="auto"/>
        <w:jc w:val="both"/>
        <w:rPr>
          <w:rFonts w:ascii="Palatino Linotype" w:eastAsia="Palatino Linotype" w:hAnsi="Palatino Linotype" w:cs="Palatino Linotype"/>
          <w:i/>
          <w:iCs/>
          <w:color w:val="000000" w:themeColor="text1"/>
        </w:rPr>
      </w:pPr>
      <w:r w:rsidRPr="004D79F8">
        <w:rPr>
          <w:rFonts w:ascii="Palatino Linotype" w:eastAsia="Palatino Linotype" w:hAnsi="Palatino Linotype" w:cs="Palatino Linotype"/>
          <w:i/>
          <w:iCs/>
          <w:color w:val="000000" w:themeColor="text1"/>
        </w:rPr>
        <w:t xml:space="preserve">CUARTO TRIBUNAL COLEGIADO EN MATERIA ADMINISTRATIVA DEL PRIMER CIRCUITO. </w:t>
      </w:r>
    </w:p>
    <w:p w:rsidR="00E013A3" w:rsidRPr="004D79F8" w:rsidRDefault="00E013A3" w:rsidP="004D79F8">
      <w:pPr>
        <w:pBdr>
          <w:top w:val="nil"/>
          <w:left w:val="nil"/>
          <w:bottom w:val="nil"/>
          <w:right w:val="nil"/>
          <w:between w:val="nil"/>
        </w:pBdr>
        <w:tabs>
          <w:tab w:val="left" w:pos="851"/>
        </w:tabs>
        <w:spacing w:line="360" w:lineRule="auto"/>
        <w:jc w:val="both"/>
        <w:rPr>
          <w:rFonts w:ascii="Palatino Linotype" w:eastAsia="Palatino Linotype" w:hAnsi="Palatino Linotype" w:cs="Palatino Linotype"/>
          <w:i/>
          <w:iCs/>
          <w:color w:val="000000" w:themeColor="text1"/>
        </w:rPr>
      </w:pPr>
    </w:p>
    <w:p w:rsidR="00E013A3" w:rsidRPr="004D79F8" w:rsidRDefault="00657552" w:rsidP="004D79F8">
      <w:pPr>
        <w:pBdr>
          <w:top w:val="nil"/>
          <w:left w:val="nil"/>
          <w:bottom w:val="nil"/>
          <w:right w:val="nil"/>
          <w:between w:val="nil"/>
        </w:pBdr>
        <w:tabs>
          <w:tab w:val="left" w:pos="851"/>
        </w:tabs>
        <w:spacing w:line="360" w:lineRule="auto"/>
        <w:jc w:val="both"/>
        <w:rPr>
          <w:rFonts w:ascii="Palatino Linotype" w:eastAsia="Palatino Linotype" w:hAnsi="Palatino Linotype" w:cs="Palatino Linotype"/>
          <w:i/>
          <w:iCs/>
          <w:color w:val="000000" w:themeColor="text1"/>
        </w:rPr>
      </w:pPr>
      <w:r w:rsidRPr="004D79F8">
        <w:rPr>
          <w:rFonts w:ascii="Palatino Linotype" w:eastAsia="Palatino Linotype" w:hAnsi="Palatino Linotype" w:cs="Palatino Linotype"/>
          <w:i/>
          <w:iCs/>
          <w:color w:val="000000" w:themeColor="text1"/>
        </w:rPr>
        <w:t>Amparo en revisión 257/2012. Ruth Corona Muñoz. 6 de diciembre de 2012. Unanimidad de votos. Ponente: Jean Claude Tron Petit. Secretaria: Mayra Susana Martínez López.</w:t>
      </w:r>
    </w:p>
    <w:p w:rsidR="00E013A3" w:rsidRPr="004D79F8" w:rsidRDefault="00E013A3" w:rsidP="004D79F8">
      <w:pPr>
        <w:pBdr>
          <w:top w:val="nil"/>
          <w:left w:val="nil"/>
          <w:bottom w:val="nil"/>
          <w:right w:val="nil"/>
          <w:between w:val="nil"/>
        </w:pBdr>
        <w:spacing w:line="360" w:lineRule="auto"/>
        <w:rPr>
          <w:rFonts w:ascii="Palatino Linotype" w:eastAsia="Palatino Linotype" w:hAnsi="Palatino Linotype" w:cs="Palatino Linotype"/>
          <w:color w:val="000000" w:themeColor="text1"/>
        </w:rPr>
      </w:pPr>
    </w:p>
    <w:p w:rsidR="00E013A3" w:rsidRPr="004D79F8" w:rsidRDefault="00657552" w:rsidP="004D79F8">
      <w:pPr>
        <w:numPr>
          <w:ilvl w:val="0"/>
          <w:numId w:val="1"/>
        </w:numPr>
        <w:pBdr>
          <w:top w:val="nil"/>
          <w:left w:val="nil"/>
          <w:bottom w:val="nil"/>
          <w:right w:val="nil"/>
          <w:between w:val="nil"/>
        </w:pBdr>
        <w:tabs>
          <w:tab w:val="left" w:pos="851"/>
        </w:tabs>
        <w:spacing w:after="240" w:line="360" w:lineRule="auto"/>
        <w:ind w:left="0" w:firstLine="0"/>
        <w:jc w:val="both"/>
        <w:rPr>
          <w:rFonts w:ascii="Palatino Linotype" w:eastAsia="Palatino Linotype" w:hAnsi="Palatino Linotype" w:cs="Palatino Linotype"/>
          <w:color w:val="000000" w:themeColor="text1"/>
        </w:rPr>
      </w:pPr>
      <w:r w:rsidRPr="004D79F8">
        <w:rPr>
          <w:rFonts w:ascii="Palatino Linotype" w:eastAsia="Palatino Linotype" w:hAnsi="Palatino Linotype" w:cs="Palatino Linotype"/>
          <w:color w:val="000000" w:themeColor="text1"/>
        </w:rPr>
        <w:t>El derecho de acceso a la información encuentra su materia elemental en los documentos, y la Ley de Transparencia local  nos brinda el siguiente concepto, para darnos un mejor panorama:</w:t>
      </w:r>
    </w:p>
    <w:p w:rsidR="00E013A3" w:rsidRPr="004D79F8" w:rsidRDefault="00657552" w:rsidP="004D79F8">
      <w:pPr>
        <w:spacing w:line="360" w:lineRule="auto"/>
        <w:jc w:val="both"/>
        <w:rPr>
          <w:rFonts w:ascii="Palatino Linotype" w:eastAsia="Palatino Linotype" w:hAnsi="Palatino Linotype" w:cs="Palatino Linotype"/>
          <w:i/>
          <w:iCs/>
          <w:color w:val="000000" w:themeColor="text1"/>
        </w:rPr>
      </w:pPr>
      <w:r w:rsidRPr="004D79F8">
        <w:rPr>
          <w:rFonts w:ascii="Palatino Linotype" w:eastAsia="Palatino Linotype" w:hAnsi="Palatino Linotype" w:cs="Palatino Linotype"/>
          <w:b/>
          <w:bCs/>
          <w:i/>
          <w:iCs/>
          <w:color w:val="000000" w:themeColor="text1"/>
        </w:rPr>
        <w:t xml:space="preserve">XI. Documento: </w:t>
      </w:r>
      <w:r w:rsidRPr="004D79F8">
        <w:rPr>
          <w:rFonts w:ascii="Palatino Linotype" w:eastAsia="Palatino Linotype" w:hAnsi="Palatino Linotype" w:cs="Palatino Linotype"/>
          <w:i/>
          <w:iCs/>
          <w:color w:val="000000" w:themeColor="text1"/>
        </w:rPr>
        <w:t xml:space="preserve">Los expedientes, reportes, estudios, actas, resoluciones, oficios, correspondencia, acuerdos, directivas, directrices, circulares, contratos, convenios, instructivos, notas, memorandos, estadísticas o bien, </w:t>
      </w:r>
      <w:r w:rsidRPr="004D79F8">
        <w:rPr>
          <w:rFonts w:ascii="Palatino Linotype" w:eastAsia="Palatino Linotype" w:hAnsi="Palatino Linotype" w:cs="Palatino Linotype"/>
          <w:b/>
          <w:bCs/>
          <w:i/>
          <w:iCs/>
          <w:color w:val="000000" w:themeColor="text1"/>
        </w:rPr>
        <w:t>cualquier otro registro</w:t>
      </w:r>
      <w:r w:rsidRPr="004D79F8">
        <w:rPr>
          <w:rFonts w:ascii="Palatino Linotype" w:eastAsia="Palatino Linotype" w:hAnsi="Palatino Linotype" w:cs="Palatino Linotype"/>
          <w:i/>
          <w:iCs/>
          <w:color w:val="000000" w:themeColor="text1"/>
        </w:rPr>
        <w:t xml:space="preserve">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rsidR="00E013A3" w:rsidRPr="004D79F8" w:rsidRDefault="00E013A3" w:rsidP="004D79F8">
      <w:pPr>
        <w:pBdr>
          <w:top w:val="nil"/>
          <w:left w:val="nil"/>
          <w:bottom w:val="nil"/>
          <w:right w:val="nil"/>
          <w:between w:val="nil"/>
        </w:pBdr>
        <w:tabs>
          <w:tab w:val="left" w:pos="851"/>
        </w:tabs>
        <w:spacing w:line="360" w:lineRule="auto"/>
        <w:jc w:val="both"/>
        <w:rPr>
          <w:rFonts w:ascii="Palatino Linotype" w:eastAsia="Palatino Linotype" w:hAnsi="Palatino Linotype" w:cs="Palatino Linotype"/>
          <w:color w:val="000000" w:themeColor="text1"/>
        </w:rPr>
      </w:pPr>
    </w:p>
    <w:p w:rsidR="00E013A3" w:rsidRPr="004D79F8" w:rsidRDefault="00657552" w:rsidP="004D79F8">
      <w:pPr>
        <w:numPr>
          <w:ilvl w:val="0"/>
          <w:numId w:val="1"/>
        </w:numPr>
        <w:pBdr>
          <w:top w:val="nil"/>
          <w:left w:val="nil"/>
          <w:bottom w:val="nil"/>
          <w:right w:val="nil"/>
          <w:between w:val="nil"/>
        </w:pBdr>
        <w:tabs>
          <w:tab w:val="left" w:pos="851"/>
        </w:tabs>
        <w:spacing w:line="360" w:lineRule="auto"/>
        <w:ind w:left="0" w:firstLine="0"/>
        <w:jc w:val="both"/>
        <w:rPr>
          <w:rFonts w:ascii="Palatino Linotype" w:eastAsia="Palatino Linotype" w:hAnsi="Palatino Linotype" w:cs="Palatino Linotype"/>
          <w:color w:val="000000" w:themeColor="text1"/>
        </w:rPr>
      </w:pPr>
      <w:r w:rsidRPr="004D79F8">
        <w:rPr>
          <w:rFonts w:ascii="Palatino Linotype" w:eastAsia="Palatino Linotype" w:hAnsi="Palatino Linotype" w:cs="Palatino Linotype"/>
          <w:color w:val="000000" w:themeColor="text1"/>
        </w:rPr>
        <w:lastRenderedPageBreak/>
        <w:t xml:space="preserve">Es así que, todos los actos de autoridad que realicen los Sujetos Obligados deben estar documentados y, bajo el más alto estándar de transparencia deberán poner toda la información que se encuentre en su posesión, a disposición de los particulares que la soliciten, por ello, resulta procedente ordenar la entrega del soporte documental donde conste </w:t>
      </w:r>
      <w:r w:rsidRPr="004D79F8">
        <w:rPr>
          <w:rFonts w:ascii="Palatino Linotype" w:eastAsia="Palatino Linotype" w:hAnsi="Palatino Linotype" w:cs="Palatino Linotype"/>
          <w:b/>
          <w:bCs/>
          <w:color w:val="000000" w:themeColor="text1"/>
        </w:rPr>
        <w:t>el número y costo de los focos o luces que iluminaron los edificios públicos del Ayuntamiento de Toluca de color rojo y el acta de cabildo en donde se aprobó tal acción.</w:t>
      </w:r>
    </w:p>
    <w:p w:rsidR="00E013A3" w:rsidRPr="004D79F8" w:rsidRDefault="00E013A3" w:rsidP="004D79F8">
      <w:pPr>
        <w:pBdr>
          <w:top w:val="nil"/>
          <w:left w:val="nil"/>
          <w:bottom w:val="nil"/>
          <w:right w:val="nil"/>
          <w:between w:val="nil"/>
        </w:pBdr>
        <w:tabs>
          <w:tab w:val="left" w:pos="567"/>
        </w:tabs>
        <w:spacing w:line="360" w:lineRule="auto"/>
        <w:jc w:val="both"/>
        <w:rPr>
          <w:rFonts w:ascii="Palatino Linotype" w:eastAsia="Palatino Linotype" w:hAnsi="Palatino Linotype" w:cs="Palatino Linotype"/>
          <w:color w:val="000000" w:themeColor="text1"/>
        </w:rPr>
      </w:pPr>
    </w:p>
    <w:p w:rsidR="00E013A3" w:rsidRPr="004D79F8" w:rsidRDefault="00657552" w:rsidP="004D79F8">
      <w:pPr>
        <w:numPr>
          <w:ilvl w:val="0"/>
          <w:numId w:val="1"/>
        </w:numPr>
        <w:pBdr>
          <w:top w:val="nil"/>
          <w:left w:val="nil"/>
          <w:bottom w:val="nil"/>
          <w:right w:val="nil"/>
          <w:between w:val="nil"/>
        </w:pBdr>
        <w:tabs>
          <w:tab w:val="left" w:pos="567"/>
        </w:tabs>
        <w:spacing w:line="360" w:lineRule="auto"/>
        <w:ind w:left="0" w:firstLine="0"/>
        <w:jc w:val="both"/>
        <w:rPr>
          <w:rFonts w:ascii="Palatino Linotype" w:eastAsia="Palatino Linotype" w:hAnsi="Palatino Linotype" w:cs="Palatino Linotype"/>
          <w:color w:val="000000" w:themeColor="text1"/>
        </w:rPr>
      </w:pPr>
      <w:r w:rsidRPr="004D79F8">
        <w:rPr>
          <w:rFonts w:ascii="Palatino Linotype" w:eastAsia="Palatino Linotype" w:hAnsi="Palatino Linotype" w:cs="Palatino Linotype"/>
          <w:color w:val="000000" w:themeColor="text1"/>
        </w:rPr>
        <w:t xml:space="preserve">Por otro lado, respecto a las acciones de la Contraloría por acciones violatorias por el actuar de gobierno municipal, la Contralora Municipal señaló que a la fecha del presente, no tramita ni se ha tenido denuncia concerniente a los hechos referidos, es decir, que estamos en presencia de un hecho negativo. Lo anterior encuentra sustento con la Jurisprudencia 267,287 y el Criterio 10/2004 emitidos por el Máximo Juzgador del país,   </w:t>
      </w:r>
    </w:p>
    <w:p w:rsidR="00E013A3" w:rsidRPr="004D79F8" w:rsidRDefault="00657552" w:rsidP="004D79F8">
      <w:pPr>
        <w:pBdr>
          <w:top w:val="nil"/>
          <w:left w:val="nil"/>
          <w:bottom w:val="nil"/>
          <w:right w:val="nil"/>
          <w:between w:val="nil"/>
        </w:pBdr>
        <w:tabs>
          <w:tab w:val="left" w:pos="851"/>
        </w:tabs>
        <w:spacing w:line="360" w:lineRule="auto"/>
        <w:jc w:val="both"/>
        <w:rPr>
          <w:rFonts w:ascii="Palatino Linotype" w:eastAsia="Palatino Linotype" w:hAnsi="Palatino Linotype" w:cs="Palatino Linotype"/>
          <w:i/>
          <w:iCs/>
          <w:color w:val="000000" w:themeColor="text1"/>
        </w:rPr>
      </w:pPr>
      <w:r w:rsidRPr="004D79F8">
        <w:rPr>
          <w:rFonts w:ascii="Palatino Linotype" w:eastAsia="Palatino Linotype" w:hAnsi="Palatino Linotype" w:cs="Palatino Linotype"/>
          <w:i/>
          <w:iCs/>
          <w:color w:val="000000" w:themeColor="text1"/>
        </w:rPr>
        <w:t>“</w:t>
      </w:r>
      <w:r w:rsidRPr="004D79F8">
        <w:rPr>
          <w:rFonts w:ascii="Palatino Linotype" w:eastAsia="Palatino Linotype" w:hAnsi="Palatino Linotype" w:cs="Palatino Linotype"/>
          <w:b/>
          <w:bCs/>
          <w:i/>
          <w:iCs/>
          <w:color w:val="000000" w:themeColor="text1"/>
        </w:rPr>
        <w:t>HECHOS NEGATIVOS, NO SON SUSCEPTIBLES DE DEMOSTRACION.</w:t>
      </w:r>
      <w:r w:rsidRPr="004D79F8">
        <w:rPr>
          <w:rFonts w:ascii="Palatino Linotype" w:eastAsia="Palatino Linotype" w:hAnsi="Palatino Linotype" w:cs="Palatino Linotype"/>
          <w:i/>
          <w:iCs/>
          <w:color w:val="000000" w:themeColor="text1"/>
        </w:rPr>
        <w:t xml:space="preserve"> </w:t>
      </w:r>
      <w:r w:rsidRPr="004D79F8">
        <w:rPr>
          <w:rFonts w:ascii="Palatino Linotype" w:eastAsia="Palatino Linotype" w:hAnsi="Palatino Linotype" w:cs="Palatino Linotype"/>
          <w:b/>
          <w:bCs/>
          <w:i/>
          <w:iCs/>
          <w:color w:val="000000" w:themeColor="text1"/>
        </w:rPr>
        <w:t>Tratándose de un hecho negativo, el Juez no tiene por que invocar prueba alguna de la que se desprenda</w:t>
      </w:r>
      <w:r w:rsidRPr="004D79F8">
        <w:rPr>
          <w:rFonts w:ascii="Palatino Linotype" w:eastAsia="Palatino Linotype" w:hAnsi="Palatino Linotype" w:cs="Palatino Linotype"/>
          <w:i/>
          <w:iCs/>
          <w:color w:val="000000" w:themeColor="text1"/>
        </w:rPr>
        <w:t>, ya que es bien sabido que esta clase de hechos no son susceptibles de demostración.”</w:t>
      </w:r>
    </w:p>
    <w:p w:rsidR="00E013A3" w:rsidRPr="004D79F8" w:rsidRDefault="00E013A3" w:rsidP="004D79F8">
      <w:pPr>
        <w:pBdr>
          <w:top w:val="nil"/>
          <w:left w:val="nil"/>
          <w:bottom w:val="nil"/>
          <w:right w:val="nil"/>
          <w:between w:val="nil"/>
        </w:pBdr>
        <w:tabs>
          <w:tab w:val="left" w:pos="851"/>
        </w:tabs>
        <w:spacing w:line="360" w:lineRule="auto"/>
        <w:jc w:val="both"/>
        <w:rPr>
          <w:rFonts w:ascii="Palatino Linotype" w:eastAsia="Palatino Linotype" w:hAnsi="Palatino Linotype" w:cs="Palatino Linotype"/>
          <w:i/>
          <w:iCs/>
          <w:color w:val="000000" w:themeColor="text1"/>
        </w:rPr>
      </w:pPr>
    </w:p>
    <w:p w:rsidR="00E013A3" w:rsidRPr="004D79F8" w:rsidRDefault="00657552" w:rsidP="004D79F8">
      <w:pPr>
        <w:pBdr>
          <w:top w:val="nil"/>
          <w:left w:val="nil"/>
          <w:bottom w:val="nil"/>
          <w:right w:val="nil"/>
          <w:between w:val="nil"/>
        </w:pBdr>
        <w:tabs>
          <w:tab w:val="left" w:pos="851"/>
        </w:tabs>
        <w:spacing w:line="360" w:lineRule="auto"/>
        <w:jc w:val="both"/>
        <w:rPr>
          <w:rFonts w:ascii="Palatino Linotype" w:eastAsia="Palatino Linotype" w:hAnsi="Palatino Linotype" w:cs="Palatino Linotype"/>
          <w:i/>
          <w:iCs/>
          <w:color w:val="000000" w:themeColor="text1"/>
        </w:rPr>
      </w:pPr>
      <w:r w:rsidRPr="004D79F8">
        <w:rPr>
          <w:rFonts w:ascii="Palatino Linotype" w:eastAsia="Palatino Linotype" w:hAnsi="Palatino Linotype" w:cs="Palatino Linotype"/>
          <w:i/>
          <w:iCs/>
          <w:color w:val="000000" w:themeColor="text1"/>
        </w:rPr>
        <w:t>“</w:t>
      </w:r>
      <w:r w:rsidRPr="004D79F8">
        <w:rPr>
          <w:rFonts w:ascii="Palatino Linotype" w:eastAsia="Palatino Linotype" w:hAnsi="Palatino Linotype" w:cs="Palatino Linotype"/>
          <w:b/>
          <w:bCs/>
          <w:i/>
          <w:iCs/>
          <w:color w:val="000000" w:themeColor="text1"/>
        </w:rPr>
        <w:t>INEXISTENCIA DE LA INFORMACIÓN. EL COMITÉ DE ACCESO A LA INFORMACIÓN PUEDE DECLARARLA ANTE SU EVIDENCIA, SIN NECESIDAD DE DICTAR MEDIDAS PARA SU LOCALIZACIÓN.</w:t>
      </w:r>
      <w:r w:rsidRPr="004D79F8">
        <w:rPr>
          <w:rFonts w:ascii="Palatino Linotype" w:eastAsia="Palatino Linotype" w:hAnsi="Palatino Linotype" w:cs="Palatino Linotype"/>
          <w:i/>
          <w:iCs/>
          <w:color w:val="000000" w:themeColor="text1"/>
        </w:rPr>
        <w:t xml:space="preserve"> Los artículos 46 de la Ley Federal de Transparencia y Acceso a la Información Pública Gubernamental y 30, segundo párrafo, del Reglamento de la Suprema Corte de Justicia de la Nación y del Consejo de la Judicatura Federal para la aplicación de la Ley Federal  de Transparencia y Acceso a la Información Pública Gubernamental, disponen que cuando los documentos no se encuentren en los archivos de la </w:t>
      </w:r>
      <w:r w:rsidRPr="004D79F8">
        <w:rPr>
          <w:rFonts w:ascii="Palatino Linotype" w:eastAsia="Palatino Linotype" w:hAnsi="Palatino Linotype" w:cs="Palatino Linotype"/>
          <w:i/>
          <w:iCs/>
          <w:color w:val="000000" w:themeColor="text1"/>
        </w:rPr>
        <w:lastRenderedPageBreak/>
        <w:t>respectiva Unidad Administrativa, se deberá remitir al Comité la solicitud de acceso y el oficio donde se manifieste tal circunstancia, para que éste analice el caso y tome las medidas pertinentes para localizar en la Unidad Administrativa correspondiente el documento solicitado y, de no encontrarlo, expida una resolución que confirme la inexistencia del mismo. Ello no obsta para concluir que cua</w:t>
      </w:r>
      <w:r w:rsidRPr="004D79F8">
        <w:rPr>
          <w:rFonts w:ascii="Palatino Linotype" w:eastAsia="Palatino Linotype" w:hAnsi="Palatino Linotype" w:cs="Palatino Linotype"/>
          <w:b/>
          <w:bCs/>
          <w:i/>
          <w:iCs/>
          <w:color w:val="000000" w:themeColor="text1"/>
        </w:rPr>
        <w:t>ndo la referida Unidad señala, o</w:t>
      </w:r>
      <w:r w:rsidRPr="004D79F8">
        <w:rPr>
          <w:rFonts w:ascii="Palatino Linotype" w:eastAsia="Palatino Linotype" w:hAnsi="Palatino Linotype" w:cs="Palatino Linotype"/>
          <w:i/>
          <w:iCs/>
          <w:color w:val="000000" w:themeColor="text1"/>
        </w:rPr>
        <w:t xml:space="preserve"> el mencionado Comité </w:t>
      </w:r>
      <w:r w:rsidRPr="004D79F8">
        <w:rPr>
          <w:rFonts w:ascii="Palatino Linotype" w:eastAsia="Palatino Linotype" w:hAnsi="Palatino Linotype" w:cs="Palatino Linotype"/>
          <w:b/>
          <w:bCs/>
          <w:i/>
          <w:iCs/>
          <w:color w:val="000000" w:themeColor="text1"/>
        </w:rPr>
        <w:t>advierte que el documento solicitado no existe en virtud de que no tuvo lugar el acto cuya realización supuestamente se reflejó en aquél, resulta innecesario dictar alguna medida para localizar la información respectiva, al evidenciarse su inexistencia.</w:t>
      </w:r>
      <w:r w:rsidRPr="004D79F8">
        <w:rPr>
          <w:rFonts w:ascii="Palatino Linotype" w:eastAsia="Palatino Linotype" w:hAnsi="Palatino Linotype" w:cs="Palatino Linotype"/>
          <w:i/>
          <w:iCs/>
          <w:color w:val="000000" w:themeColor="text1"/>
        </w:rPr>
        <w:t>”</w:t>
      </w:r>
    </w:p>
    <w:p w:rsidR="00E013A3" w:rsidRPr="004D79F8" w:rsidRDefault="00657552" w:rsidP="004D79F8">
      <w:pPr>
        <w:pBdr>
          <w:top w:val="nil"/>
          <w:left w:val="nil"/>
          <w:bottom w:val="nil"/>
          <w:right w:val="nil"/>
          <w:between w:val="nil"/>
        </w:pBdr>
        <w:tabs>
          <w:tab w:val="left" w:pos="851"/>
        </w:tabs>
        <w:spacing w:line="360" w:lineRule="auto"/>
        <w:jc w:val="both"/>
        <w:rPr>
          <w:rFonts w:ascii="Palatino Linotype" w:eastAsia="Palatino Linotype" w:hAnsi="Palatino Linotype" w:cs="Palatino Linotype"/>
          <w:color w:val="000000" w:themeColor="text1"/>
        </w:rPr>
      </w:pPr>
      <w:r w:rsidRPr="004D79F8">
        <w:rPr>
          <w:rFonts w:ascii="Palatino Linotype" w:eastAsia="Palatino Linotype" w:hAnsi="Palatino Linotype" w:cs="Palatino Linotype"/>
          <w:color w:val="000000" w:themeColor="text1"/>
        </w:rPr>
        <w:t>(Énfasis añadido)</w:t>
      </w:r>
    </w:p>
    <w:p w:rsidR="00E013A3" w:rsidRPr="004D79F8" w:rsidRDefault="00E013A3" w:rsidP="004D79F8">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color w:val="000000" w:themeColor="text1"/>
        </w:rPr>
      </w:pPr>
    </w:p>
    <w:p w:rsidR="00E013A3" w:rsidRPr="004D79F8" w:rsidRDefault="00657552" w:rsidP="004D79F8">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4D79F8">
        <w:rPr>
          <w:rFonts w:ascii="Palatino Linotype" w:eastAsia="Palatino Linotype" w:hAnsi="Palatino Linotype" w:cs="Palatino Linotype"/>
          <w:color w:val="000000" w:themeColor="text1"/>
        </w:rPr>
        <w:t xml:space="preserve">En ese sentido, no es procedente ordenar un acuerdo de inexistencia, ya que como lo señaló el Sujeto Obligado, no se cuenta con la información requerida por el particular, y no se trata de información que haya existido y por alguna razón ya no exista, o bien, de información que de manera obligatoria deba generar el Sujeto Obligado, por ello, no es procedente ordenar su entrega. Así mismo, la </w:t>
      </w:r>
      <w:r w:rsidRPr="004D79F8">
        <w:rPr>
          <w:rFonts w:ascii="Palatino Linotype" w:eastAsia="Palatino Linotype" w:hAnsi="Palatino Linotype" w:cs="Palatino Linotype"/>
          <w:b/>
          <w:bCs/>
          <w:color w:val="000000" w:themeColor="text1"/>
        </w:rPr>
        <w:t>Ley de Transparencia y Acceso a la Información Pública del Estado de México y Municipios</w:t>
      </w:r>
      <w:r w:rsidRPr="004D79F8">
        <w:rPr>
          <w:rFonts w:ascii="Palatino Linotype" w:eastAsia="Palatino Linotype" w:hAnsi="Palatino Linotype" w:cs="Palatino Linotype"/>
          <w:color w:val="000000" w:themeColor="text1"/>
        </w:rPr>
        <w:t xml:space="preserve"> establece que la información pública generada, administrada o en posesión de los Sujetos Obligados en ejercicio de sus atribuciones, será accesible de manera permanente a cualquier persona, privilegiando el principio de máxima publicidad de la información, por lo que deberán apegarse en todo momento a los criterios de publicidad, veracidad, oportunidad entre otros, numeral en comento que a la letra señala;</w:t>
      </w:r>
    </w:p>
    <w:p w:rsidR="00E013A3" w:rsidRPr="004D79F8" w:rsidRDefault="00E013A3" w:rsidP="004D79F8">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rsidR="00E013A3" w:rsidRPr="004D79F8" w:rsidRDefault="00657552" w:rsidP="004D79F8">
      <w:pPr>
        <w:pBdr>
          <w:top w:val="nil"/>
          <w:left w:val="nil"/>
          <w:bottom w:val="nil"/>
          <w:right w:val="nil"/>
          <w:between w:val="nil"/>
        </w:pBdr>
        <w:spacing w:line="276" w:lineRule="auto"/>
        <w:jc w:val="both"/>
        <w:rPr>
          <w:rFonts w:ascii="Palatino Linotype" w:eastAsia="Palatino Linotype" w:hAnsi="Palatino Linotype" w:cs="Palatino Linotype"/>
          <w:i/>
          <w:iCs/>
          <w:color w:val="000000" w:themeColor="text1"/>
        </w:rPr>
      </w:pPr>
      <w:r w:rsidRPr="004D79F8">
        <w:rPr>
          <w:rFonts w:ascii="Palatino Linotype" w:eastAsia="Palatino Linotype" w:hAnsi="Palatino Linotype" w:cs="Palatino Linotype"/>
          <w:i/>
          <w:iCs/>
          <w:color w:val="000000" w:themeColor="text1"/>
        </w:rPr>
        <w:t xml:space="preserve">“Artículo 4.- </w:t>
      </w:r>
    </w:p>
    <w:p w:rsidR="00E013A3" w:rsidRPr="004D79F8" w:rsidRDefault="00657552" w:rsidP="004D79F8">
      <w:pPr>
        <w:pBdr>
          <w:top w:val="nil"/>
          <w:left w:val="nil"/>
          <w:bottom w:val="nil"/>
          <w:right w:val="nil"/>
          <w:between w:val="nil"/>
        </w:pBdr>
        <w:spacing w:line="276" w:lineRule="auto"/>
        <w:jc w:val="both"/>
        <w:rPr>
          <w:rFonts w:ascii="Palatino Linotype" w:eastAsia="Palatino Linotype" w:hAnsi="Palatino Linotype" w:cs="Palatino Linotype"/>
          <w:i/>
          <w:iCs/>
          <w:color w:val="000000" w:themeColor="text1"/>
        </w:rPr>
      </w:pPr>
      <w:r w:rsidRPr="004D79F8">
        <w:rPr>
          <w:rFonts w:ascii="Palatino Linotype" w:eastAsia="Palatino Linotype" w:hAnsi="Palatino Linotype" w:cs="Palatino Linotype"/>
          <w:i/>
          <w:iCs/>
          <w:color w:val="000000" w:themeColor="text1"/>
        </w:rPr>
        <w:t>…</w:t>
      </w:r>
    </w:p>
    <w:p w:rsidR="00E013A3" w:rsidRPr="004D79F8" w:rsidRDefault="00657552" w:rsidP="004D79F8">
      <w:pPr>
        <w:pBdr>
          <w:top w:val="nil"/>
          <w:left w:val="nil"/>
          <w:bottom w:val="nil"/>
          <w:right w:val="nil"/>
          <w:between w:val="nil"/>
        </w:pBdr>
        <w:spacing w:line="276" w:lineRule="auto"/>
        <w:jc w:val="both"/>
        <w:rPr>
          <w:rFonts w:ascii="Palatino Linotype" w:eastAsia="Palatino Linotype" w:hAnsi="Palatino Linotype" w:cs="Palatino Linotype"/>
          <w:b/>
          <w:bCs/>
          <w:i/>
          <w:iCs/>
          <w:color w:val="000000" w:themeColor="text1"/>
        </w:rPr>
      </w:pPr>
      <w:r w:rsidRPr="004D79F8">
        <w:rPr>
          <w:rFonts w:ascii="Palatino Linotype" w:eastAsia="Palatino Linotype" w:hAnsi="Palatino Linotype" w:cs="Palatino Linotype"/>
          <w:b/>
          <w:bCs/>
          <w:i/>
          <w:iCs/>
          <w:color w:val="000000" w:themeColor="text1"/>
        </w:rPr>
        <w:lastRenderedPageBreak/>
        <w:t>Los Sujetos Obligados deben poner en práctica, políticas y programas de acceso a la información que se apeguen a criterios de publicidad, veracidad, oportunidad, precisión y suficiencia en beneficio de los solicitantes.”</w:t>
      </w:r>
    </w:p>
    <w:p w:rsidR="00E013A3" w:rsidRPr="004D79F8" w:rsidRDefault="00E013A3" w:rsidP="004D79F8">
      <w:pPr>
        <w:pBdr>
          <w:top w:val="nil"/>
          <w:left w:val="nil"/>
          <w:bottom w:val="nil"/>
          <w:right w:val="nil"/>
          <w:between w:val="nil"/>
        </w:pBdr>
        <w:tabs>
          <w:tab w:val="left" w:pos="709"/>
        </w:tabs>
        <w:spacing w:line="360" w:lineRule="auto"/>
        <w:jc w:val="both"/>
        <w:rPr>
          <w:rFonts w:ascii="Palatino Linotype" w:eastAsia="Palatino Linotype" w:hAnsi="Palatino Linotype" w:cs="Palatino Linotype"/>
          <w:color w:val="000000" w:themeColor="text1"/>
        </w:rPr>
      </w:pPr>
    </w:p>
    <w:p w:rsidR="00E013A3" w:rsidRDefault="00657552" w:rsidP="004D79F8">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bookmarkStart w:id="8" w:name="_heading=h.4d34og8" w:colFirst="0" w:colLast="0"/>
      <w:bookmarkEnd w:id="8"/>
      <w:r w:rsidRPr="004D79F8">
        <w:rPr>
          <w:rFonts w:ascii="Palatino Linotype" w:eastAsia="Palatino Linotype" w:hAnsi="Palatino Linotype" w:cs="Palatino Linotype"/>
          <w:color w:val="000000" w:themeColor="text1"/>
        </w:rPr>
        <w:t xml:space="preserve">Numerales que compelen al </w:t>
      </w:r>
      <w:r w:rsidRPr="004D79F8">
        <w:rPr>
          <w:rFonts w:ascii="Palatino Linotype" w:eastAsia="Palatino Linotype" w:hAnsi="Palatino Linotype" w:cs="Palatino Linotype"/>
          <w:b/>
          <w:bCs/>
          <w:color w:val="000000" w:themeColor="text1"/>
        </w:rPr>
        <w:t>SUJETO OBLIGADO</w:t>
      </w:r>
      <w:r w:rsidRPr="004D79F8">
        <w:rPr>
          <w:rFonts w:ascii="Palatino Linotype" w:eastAsia="Palatino Linotype" w:hAnsi="Palatino Linotype" w:cs="Palatino Linotype"/>
          <w:color w:val="000000" w:themeColor="text1"/>
        </w:rPr>
        <w:t xml:space="preserve"> a apegarse en todo momento a los criterios ya expuestos, </w:t>
      </w:r>
      <w:r w:rsidR="004D79F8" w:rsidRPr="004D79F8">
        <w:rPr>
          <w:rFonts w:ascii="Palatino Linotype" w:eastAsia="Palatino Linotype" w:hAnsi="Palatino Linotype" w:cs="Palatino Linotype"/>
          <w:color w:val="000000" w:themeColor="text1"/>
        </w:rPr>
        <w:t>impidiendo</w:t>
      </w:r>
      <w:r w:rsidRPr="004D79F8">
        <w:rPr>
          <w:rFonts w:ascii="Palatino Linotype" w:eastAsia="Palatino Linotype" w:hAnsi="Palatino Linotype" w:cs="Palatino Linotype"/>
          <w:color w:val="000000" w:themeColor="text1"/>
        </w:rPr>
        <w:t xml:space="preserve"> a este Órgano Colegiado cuestionar la veracidad de la información. </w:t>
      </w:r>
    </w:p>
    <w:p w:rsidR="004D79F8" w:rsidRPr="004D79F8" w:rsidRDefault="004D79F8" w:rsidP="004D79F8">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rsidR="00E013A3" w:rsidRPr="004D79F8" w:rsidRDefault="00657552" w:rsidP="004D79F8">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4D79F8">
        <w:rPr>
          <w:rFonts w:ascii="Palatino Linotype" w:eastAsia="Palatino Linotype" w:hAnsi="Palatino Linotype" w:cs="Palatino Linotype"/>
          <w:color w:val="000000" w:themeColor="text1"/>
        </w:rPr>
        <w:t xml:space="preserve">Por lo tanto, en consecuencia y en mérito de lo expuesto en líneas anteriores, resultan fundadas las razones o motivos de inconformidad hechos valer por el </w:t>
      </w:r>
      <w:r w:rsidRPr="004D79F8">
        <w:rPr>
          <w:rFonts w:ascii="Palatino Linotype" w:eastAsia="Palatino Linotype" w:hAnsi="Palatino Linotype" w:cs="Palatino Linotype"/>
          <w:b/>
          <w:bCs/>
          <w:color w:val="000000" w:themeColor="text1"/>
        </w:rPr>
        <w:t>RECURRENTE</w:t>
      </w:r>
      <w:r w:rsidRPr="004D79F8">
        <w:rPr>
          <w:rFonts w:ascii="Palatino Linotype" w:eastAsia="Palatino Linotype" w:hAnsi="Palatino Linotype" w:cs="Palatino Linotype"/>
          <w:color w:val="000000" w:themeColor="text1"/>
        </w:rPr>
        <w:t xml:space="preserve"> dentro del recurso de revisión </w:t>
      </w:r>
      <w:r w:rsidRPr="004D79F8">
        <w:rPr>
          <w:rFonts w:ascii="Palatino Linotype" w:eastAsia="Palatino Linotype" w:hAnsi="Palatino Linotype" w:cs="Palatino Linotype"/>
          <w:b/>
          <w:bCs/>
          <w:color w:val="000000" w:themeColor="text1"/>
        </w:rPr>
        <w:t>07278/INFOEM/IP/RR/2025</w:t>
      </w:r>
      <w:r w:rsidRPr="004D79F8">
        <w:rPr>
          <w:rFonts w:ascii="Palatino Linotype" w:eastAsia="Palatino Linotype" w:hAnsi="Palatino Linotype" w:cs="Palatino Linotype"/>
          <w:color w:val="000000" w:themeColor="text1"/>
        </w:rPr>
        <w:t xml:space="preserve">; por ello, y con fundamento en la fracción III del numeral 186 de la Ley de Transparencia y Acceso a la Información Pública del Estado de México y Municipios, se </w:t>
      </w:r>
      <w:r w:rsidRPr="004D79F8">
        <w:rPr>
          <w:rFonts w:ascii="Palatino Linotype" w:eastAsia="Palatino Linotype" w:hAnsi="Palatino Linotype" w:cs="Palatino Linotype"/>
          <w:b/>
          <w:bCs/>
          <w:color w:val="000000" w:themeColor="text1"/>
        </w:rPr>
        <w:t>MODIFICA</w:t>
      </w:r>
      <w:r w:rsidRPr="004D79F8">
        <w:rPr>
          <w:rFonts w:ascii="Palatino Linotype" w:eastAsia="Palatino Linotype" w:hAnsi="Palatino Linotype" w:cs="Palatino Linotype"/>
          <w:color w:val="000000" w:themeColor="text1"/>
        </w:rPr>
        <w:t xml:space="preserve"> la respuesta a la solicitud de información número </w:t>
      </w:r>
      <w:r w:rsidRPr="004D79F8">
        <w:rPr>
          <w:rFonts w:ascii="Palatino Linotype" w:eastAsia="Palatino Linotype" w:hAnsi="Palatino Linotype" w:cs="Palatino Linotype"/>
          <w:b/>
          <w:bCs/>
          <w:color w:val="000000" w:themeColor="text1"/>
        </w:rPr>
        <w:t>03041/TOLUCA/IP/2025</w:t>
      </w:r>
      <w:r w:rsidRPr="004D79F8">
        <w:rPr>
          <w:rFonts w:ascii="Palatino Linotype" w:eastAsia="Palatino Linotype" w:hAnsi="Palatino Linotype" w:cs="Palatino Linotype"/>
          <w:color w:val="000000" w:themeColor="text1"/>
        </w:rPr>
        <w:t>.</w:t>
      </w:r>
    </w:p>
    <w:p w:rsidR="00E013A3" w:rsidRPr="004D79F8" w:rsidRDefault="00E013A3" w:rsidP="004D79F8">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b/>
          <w:bCs/>
          <w:color w:val="000000" w:themeColor="text1"/>
        </w:rPr>
      </w:pPr>
      <w:bookmarkStart w:id="9" w:name="_heading=h.4et347r846bh" w:colFirst="0" w:colLast="0"/>
      <w:bookmarkEnd w:id="9"/>
    </w:p>
    <w:p w:rsidR="00E013A3" w:rsidRPr="004D79F8" w:rsidRDefault="00657552" w:rsidP="004D79F8">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b/>
          <w:bCs/>
          <w:color w:val="000000" w:themeColor="text1"/>
        </w:rPr>
      </w:pPr>
      <w:bookmarkStart w:id="10" w:name="_heading=h.17dp8vu" w:colFirst="0" w:colLast="0"/>
      <w:bookmarkEnd w:id="10"/>
      <w:r w:rsidRPr="004D79F8">
        <w:rPr>
          <w:rFonts w:ascii="Palatino Linotype" w:eastAsia="Palatino Linotype" w:hAnsi="Palatino Linotype" w:cs="Palatino Linotype"/>
          <w:b/>
          <w:bCs/>
          <w:color w:val="000000" w:themeColor="text1"/>
        </w:rPr>
        <w:t>QUINTO. De la versión pública.</w:t>
      </w:r>
    </w:p>
    <w:p w:rsidR="00E013A3" w:rsidRPr="004D79F8" w:rsidRDefault="00657552" w:rsidP="004D79F8">
      <w:pPr>
        <w:numPr>
          <w:ilvl w:val="0"/>
          <w:numId w:val="1"/>
        </w:numPr>
        <w:pBdr>
          <w:top w:val="nil"/>
          <w:left w:val="nil"/>
          <w:bottom w:val="nil"/>
          <w:right w:val="nil"/>
          <w:between w:val="nil"/>
        </w:pBdr>
        <w:tabs>
          <w:tab w:val="left" w:pos="426"/>
        </w:tabs>
        <w:spacing w:line="360" w:lineRule="auto"/>
        <w:ind w:left="0" w:firstLine="0"/>
        <w:jc w:val="both"/>
        <w:rPr>
          <w:rFonts w:ascii="Palatino Linotype" w:eastAsia="Palatino Linotype" w:hAnsi="Palatino Linotype" w:cs="Palatino Linotype"/>
          <w:color w:val="000000" w:themeColor="text1"/>
        </w:rPr>
      </w:pPr>
      <w:r w:rsidRPr="004D79F8">
        <w:rPr>
          <w:rFonts w:ascii="Palatino Linotype" w:eastAsia="Palatino Linotype" w:hAnsi="Palatino Linotype" w:cs="Palatino Linotype"/>
          <w:color w:val="000000" w:themeColor="text1"/>
        </w:rPr>
        <w:t>Debe destacarse que, debido a la naturaleza de la información solicitada</w:t>
      </w:r>
      <w:r w:rsidRPr="004D79F8">
        <w:rPr>
          <w:rFonts w:ascii="Palatino Linotype" w:eastAsia="Palatino Linotype" w:hAnsi="Palatino Linotype" w:cs="Palatino Linotype"/>
          <w:b/>
          <w:bCs/>
          <w:color w:val="000000" w:themeColor="text1"/>
        </w:rPr>
        <w:t xml:space="preserve"> </w:t>
      </w:r>
      <w:r w:rsidRPr="004D79F8">
        <w:rPr>
          <w:rFonts w:ascii="Palatino Linotype" w:eastAsia="Palatino Linotype" w:hAnsi="Palatino Linotype" w:cs="Palatino Linotype"/>
          <w:color w:val="000000" w:themeColor="text1"/>
        </w:rPr>
        <w:t>eventualmente pudieran obrar datos personales susceptibles de protegerse, y toda vez que este Instituto de Transparencia, Acceso a la Información Pública y Protección de Datos Personales del Estado de México tiene el deber de velar por la protección de los datos personales aun tratándose de servidores públicos y en su caso generar la versión pública de los documentos por las consideraciones que se estimen pertinentes.</w:t>
      </w:r>
    </w:p>
    <w:p w:rsidR="00E013A3" w:rsidRPr="004D79F8" w:rsidRDefault="00E013A3" w:rsidP="004D79F8">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color w:val="000000" w:themeColor="text1"/>
        </w:rPr>
      </w:pPr>
    </w:p>
    <w:tbl>
      <w:tblPr>
        <w:tblStyle w:val="a0"/>
        <w:tblW w:w="9844" w:type="dxa"/>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00" w:firstRow="0" w:lastRow="0" w:firstColumn="0" w:lastColumn="0" w:noHBand="0" w:noVBand="1"/>
      </w:tblPr>
      <w:tblGrid>
        <w:gridCol w:w="2547"/>
        <w:gridCol w:w="7297"/>
      </w:tblGrid>
      <w:tr w:rsidR="004D79F8" w:rsidRPr="004D79F8" w:rsidTr="00FD031B">
        <w:trPr>
          <w:trHeight w:val="3993"/>
        </w:trPr>
        <w:tc>
          <w:tcPr>
            <w:tcW w:w="2547" w:type="dxa"/>
            <w:tcBorders>
              <w:top w:val="single" w:sz="4" w:space="0" w:color="666666"/>
              <w:left w:val="single" w:sz="4" w:space="0" w:color="666666"/>
              <w:right w:val="single" w:sz="4" w:space="0" w:color="666666"/>
            </w:tcBorders>
          </w:tcPr>
          <w:p w:rsidR="00E013A3" w:rsidRPr="004D79F8" w:rsidRDefault="00657552" w:rsidP="004D79F8">
            <w:pPr>
              <w:spacing w:line="276" w:lineRule="auto"/>
              <w:rPr>
                <w:rFonts w:ascii="Palatino Linotype" w:eastAsia="Palatino Linotype" w:hAnsi="Palatino Linotype" w:cs="Palatino Linotype"/>
                <w:color w:val="000000" w:themeColor="text1"/>
              </w:rPr>
            </w:pPr>
            <w:r w:rsidRPr="004D79F8">
              <w:rPr>
                <w:rFonts w:ascii="Palatino Linotype" w:eastAsia="Palatino Linotype" w:hAnsi="Palatino Linotype" w:cs="Palatino Linotype"/>
                <w:b/>
                <w:bCs/>
                <w:color w:val="000000" w:themeColor="text1"/>
              </w:rPr>
              <w:lastRenderedPageBreak/>
              <w:t>a) Requisitos previos.</w:t>
            </w:r>
          </w:p>
        </w:tc>
        <w:tc>
          <w:tcPr>
            <w:tcW w:w="7297" w:type="dxa"/>
            <w:tcBorders>
              <w:top w:val="single" w:sz="4" w:space="0" w:color="666666"/>
              <w:left w:val="single" w:sz="4" w:space="0" w:color="666666"/>
              <w:right w:val="single" w:sz="4" w:space="0" w:color="666666"/>
            </w:tcBorders>
          </w:tcPr>
          <w:p w:rsidR="00E013A3" w:rsidRPr="004D79F8" w:rsidRDefault="00657552" w:rsidP="004D79F8">
            <w:pPr>
              <w:spacing w:line="276" w:lineRule="auto"/>
              <w:jc w:val="both"/>
              <w:rPr>
                <w:rFonts w:ascii="Palatino Linotype" w:eastAsia="Palatino Linotype" w:hAnsi="Palatino Linotype" w:cs="Palatino Linotype"/>
                <w:color w:val="000000" w:themeColor="text1"/>
              </w:rPr>
            </w:pPr>
            <w:r w:rsidRPr="004D79F8">
              <w:rPr>
                <w:rFonts w:ascii="Palatino Linotype" w:eastAsia="Palatino Linotype" w:hAnsi="Palatino Linotype" w:cs="Palatino Linotype"/>
                <w:color w:val="000000" w:themeColor="text1"/>
              </w:rPr>
              <w:t xml:space="preserve">Los artículos 100 y 122 de la Ley Estatal y de la Ley General, respectivamente, señalan que si los </w:t>
            </w:r>
            <w:r w:rsidRPr="004D79F8">
              <w:rPr>
                <w:rFonts w:ascii="Palatino Linotype" w:eastAsia="Palatino Linotype" w:hAnsi="Palatino Linotype" w:cs="Palatino Linotype"/>
                <w:b/>
                <w:bCs/>
                <w:color w:val="000000" w:themeColor="text1"/>
              </w:rPr>
              <w:t>Sujetos Obligados</w:t>
            </w:r>
            <w:r w:rsidRPr="004D79F8">
              <w:rPr>
                <w:rFonts w:ascii="Palatino Linotype" w:eastAsia="Palatino Linotype" w:hAnsi="Palatino Linotype" w:cs="Palatino Linotype"/>
                <w:color w:val="000000" w:themeColor="text1"/>
              </w:rPr>
              <w:t xml:space="preserve"> determinan que la información actualiza alguno de los supuestos de clasificación, es deber de los titulares de las áreas proponer su clasificación y no del Comité de Transparencia. </w:t>
            </w:r>
          </w:p>
          <w:p w:rsidR="00E013A3" w:rsidRPr="004D79F8" w:rsidRDefault="00657552" w:rsidP="004D79F8">
            <w:pPr>
              <w:spacing w:line="276" w:lineRule="auto"/>
              <w:jc w:val="both"/>
              <w:rPr>
                <w:rFonts w:ascii="Palatino Linotype" w:eastAsia="Palatino Linotype" w:hAnsi="Palatino Linotype" w:cs="Palatino Linotype"/>
                <w:color w:val="000000" w:themeColor="text1"/>
              </w:rPr>
            </w:pPr>
            <w:r w:rsidRPr="004D79F8">
              <w:rPr>
                <w:rFonts w:ascii="Palatino Linotype" w:eastAsia="Palatino Linotype" w:hAnsi="Palatino Linotype" w:cs="Palatino Linotype"/>
                <w:color w:val="000000" w:themeColor="text1"/>
              </w:rPr>
              <w:t>Al hacerlo tienen que precisar de qué información se trata, señalando el supuesto de clasificación (confidencialidad o reserva).</w:t>
            </w:r>
          </w:p>
          <w:p w:rsidR="00E013A3" w:rsidRPr="004D79F8" w:rsidRDefault="00657552" w:rsidP="004D79F8">
            <w:pPr>
              <w:spacing w:line="276" w:lineRule="auto"/>
              <w:jc w:val="both"/>
              <w:rPr>
                <w:rFonts w:ascii="Palatino Linotype" w:eastAsia="Palatino Linotype" w:hAnsi="Palatino Linotype" w:cs="Palatino Linotype"/>
                <w:color w:val="000000" w:themeColor="text1"/>
              </w:rPr>
            </w:pPr>
            <w:r w:rsidRPr="004D79F8">
              <w:rPr>
                <w:rFonts w:ascii="Palatino Linotype" w:eastAsia="Palatino Linotype" w:hAnsi="Palatino Linotype" w:cs="Palatino Linotype"/>
                <w:color w:val="000000" w:themeColor="text1"/>
              </w:rPr>
              <w:t>Además, se debe señalar el procedimiento, de los tres que establecen los artículos 132 y 106 de la Ley Estatal y General, respectivamente.</w:t>
            </w:r>
          </w:p>
          <w:p w:rsidR="00E013A3" w:rsidRPr="004D79F8" w:rsidRDefault="00657552" w:rsidP="004D79F8">
            <w:pPr>
              <w:spacing w:line="276" w:lineRule="auto"/>
              <w:jc w:val="both"/>
              <w:rPr>
                <w:rFonts w:ascii="Palatino Linotype" w:eastAsia="Palatino Linotype" w:hAnsi="Palatino Linotype" w:cs="Palatino Linotype"/>
                <w:color w:val="000000" w:themeColor="text1"/>
              </w:rPr>
            </w:pPr>
            <w:r w:rsidRPr="004D79F8">
              <w:rPr>
                <w:rFonts w:ascii="Palatino Linotype" w:eastAsia="Palatino Linotype" w:hAnsi="Palatino Linotype" w:cs="Palatino Linotype"/>
                <w:color w:val="000000" w:themeColor="text1"/>
              </w:rPr>
              <w:t xml:space="preserve">El último de estos requisitos previos consiste en que no se pueden emitir acuerdos de carácter general ni particular, esto es, </w:t>
            </w:r>
            <w:r w:rsidRPr="004D79F8">
              <w:rPr>
                <w:rFonts w:ascii="Palatino Linotype" w:eastAsia="Palatino Linotype" w:hAnsi="Palatino Linotype" w:cs="Palatino Linotype"/>
                <w:b/>
                <w:bCs/>
                <w:color w:val="000000" w:themeColor="text1"/>
                <w:u w:val="single"/>
              </w:rPr>
              <w:t xml:space="preserve">no se puede hacer un acuerdo para clasificar de manera general todos los documentos de un expediente o área,  </w:t>
            </w:r>
            <w:r w:rsidRPr="004D79F8">
              <w:rPr>
                <w:rFonts w:ascii="Palatino Linotype" w:eastAsia="Palatino Linotype" w:hAnsi="Palatino Linotype" w:cs="Palatino Linotype"/>
                <w:color w:val="000000" w:themeColor="text1"/>
              </w:rPr>
              <w:t>sin individualizar su análisis y tampoco se puede hacer un acuerdo por cada dato que se vaya a clasificar dentro de un documento con diez datos, por ejemplo, susceptibles de ser clasificados.</w:t>
            </w:r>
          </w:p>
        </w:tc>
      </w:tr>
      <w:tr w:rsidR="004D79F8" w:rsidRPr="004D79F8" w:rsidTr="00FD031B">
        <w:trPr>
          <w:trHeight w:val="3711"/>
        </w:trPr>
        <w:tc>
          <w:tcPr>
            <w:tcW w:w="2547" w:type="dxa"/>
            <w:tcBorders>
              <w:top w:val="single" w:sz="4" w:space="0" w:color="666666"/>
              <w:left w:val="single" w:sz="4" w:space="0" w:color="666666"/>
              <w:bottom w:val="single" w:sz="4" w:space="0" w:color="666666"/>
              <w:right w:val="single" w:sz="4" w:space="0" w:color="666666"/>
            </w:tcBorders>
          </w:tcPr>
          <w:p w:rsidR="00E013A3" w:rsidRPr="004D79F8" w:rsidRDefault="00657552" w:rsidP="004D79F8">
            <w:pPr>
              <w:spacing w:line="276" w:lineRule="auto"/>
              <w:rPr>
                <w:rFonts w:ascii="Palatino Linotype" w:eastAsia="Palatino Linotype" w:hAnsi="Palatino Linotype" w:cs="Palatino Linotype"/>
                <w:color w:val="000000" w:themeColor="text1"/>
              </w:rPr>
            </w:pPr>
            <w:r w:rsidRPr="004D79F8">
              <w:rPr>
                <w:rFonts w:ascii="Palatino Linotype" w:eastAsia="Palatino Linotype" w:hAnsi="Palatino Linotype" w:cs="Palatino Linotype"/>
                <w:b/>
                <w:bCs/>
                <w:color w:val="000000" w:themeColor="text1"/>
              </w:rPr>
              <w:t>b) Supuestos de clasificación.</w:t>
            </w:r>
          </w:p>
        </w:tc>
        <w:tc>
          <w:tcPr>
            <w:tcW w:w="7297" w:type="dxa"/>
            <w:tcBorders>
              <w:top w:val="single" w:sz="4" w:space="0" w:color="666666"/>
              <w:left w:val="single" w:sz="4" w:space="0" w:color="666666"/>
              <w:bottom w:val="single" w:sz="4" w:space="0" w:color="666666"/>
              <w:right w:val="single" w:sz="4" w:space="0" w:color="666666"/>
            </w:tcBorders>
          </w:tcPr>
          <w:p w:rsidR="00E013A3" w:rsidRPr="004D79F8" w:rsidRDefault="00657552" w:rsidP="004D79F8">
            <w:pPr>
              <w:spacing w:line="276" w:lineRule="auto"/>
              <w:jc w:val="both"/>
              <w:rPr>
                <w:rFonts w:ascii="Palatino Linotype" w:eastAsia="Palatino Linotype" w:hAnsi="Palatino Linotype" w:cs="Palatino Linotype"/>
                <w:color w:val="000000" w:themeColor="text1"/>
              </w:rPr>
            </w:pPr>
            <w:r w:rsidRPr="004D79F8">
              <w:rPr>
                <w:rFonts w:ascii="Palatino Linotype" w:eastAsia="Palatino Linotype" w:hAnsi="Palatino Linotype" w:cs="Palatino Linotype"/>
                <w:color w:val="000000" w:themeColor="text1"/>
              </w:rPr>
              <w:t>Las disposiciones constitucionales y legales en la materia establecen los dos supuestos generales para clasificar la información: por reserva y por confidencialidad.</w:t>
            </w:r>
          </w:p>
          <w:p w:rsidR="00E013A3" w:rsidRPr="004D79F8" w:rsidRDefault="00657552" w:rsidP="004D79F8">
            <w:pPr>
              <w:spacing w:line="276" w:lineRule="auto"/>
              <w:jc w:val="both"/>
              <w:rPr>
                <w:rFonts w:ascii="Palatino Linotype" w:eastAsia="Palatino Linotype" w:hAnsi="Palatino Linotype" w:cs="Palatino Linotype"/>
                <w:color w:val="000000" w:themeColor="text1"/>
              </w:rPr>
            </w:pPr>
            <w:r w:rsidRPr="004D79F8">
              <w:rPr>
                <w:rFonts w:ascii="Palatino Linotype" w:eastAsia="Palatino Linotype" w:hAnsi="Palatino Linotype" w:cs="Palatino Linotype"/>
                <w:color w:val="000000" w:themeColor="text1"/>
              </w:rPr>
              <w:t>Los artículos 116 y 143 de la Ley Estatal y de la Ley General, respectivamente, señalan los supuestos para que la información pueda ser clasificada como confidencial. Mientras que los artículos 105 y 130 de la Ley Estatal y de la Ley General, respectivamente, señalan que la aplicación de estos supuestos debe realizarse de manera restrictiva y limitada, por lo que debe acreditarse que se cumple con esta condición y no se pueden ampliar las excepciones o supuestos de clasificación aduciendo analogía o mayoría de razón.</w:t>
            </w:r>
          </w:p>
          <w:p w:rsidR="00E013A3" w:rsidRPr="004D79F8" w:rsidRDefault="00657552" w:rsidP="004D79F8">
            <w:pPr>
              <w:spacing w:line="276" w:lineRule="auto"/>
              <w:jc w:val="both"/>
              <w:rPr>
                <w:rFonts w:ascii="Palatino Linotype" w:eastAsia="Palatino Linotype" w:hAnsi="Palatino Linotype" w:cs="Palatino Linotype"/>
                <w:color w:val="000000" w:themeColor="text1"/>
              </w:rPr>
            </w:pPr>
            <w:r w:rsidRPr="004D79F8">
              <w:rPr>
                <w:rFonts w:ascii="Palatino Linotype" w:eastAsia="Palatino Linotype" w:hAnsi="Palatino Linotype" w:cs="Palatino Linotype"/>
                <w:color w:val="000000" w:themeColor="text1"/>
              </w:rPr>
              <w:lastRenderedPageBreak/>
              <w:t xml:space="preserve">El </w:t>
            </w:r>
            <w:r w:rsidRPr="004D79F8">
              <w:rPr>
                <w:rFonts w:ascii="Palatino Linotype" w:eastAsia="Palatino Linotype" w:hAnsi="Palatino Linotype" w:cs="Palatino Linotype"/>
                <w:b/>
                <w:bCs/>
                <w:color w:val="000000" w:themeColor="text1"/>
              </w:rPr>
              <w:t>SUJETO OBLIGADO</w:t>
            </w:r>
            <w:r w:rsidRPr="004D79F8">
              <w:rPr>
                <w:rFonts w:ascii="Palatino Linotype" w:eastAsia="Palatino Linotype" w:hAnsi="Palatino Linotype" w:cs="Palatino Linotype"/>
                <w:color w:val="000000" w:themeColor="text1"/>
              </w:rPr>
              <w:t xml:space="preserve">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tc>
      </w:tr>
      <w:tr w:rsidR="004D79F8" w:rsidRPr="004D79F8" w:rsidTr="00FD031B">
        <w:trPr>
          <w:trHeight w:val="3711"/>
        </w:trPr>
        <w:tc>
          <w:tcPr>
            <w:tcW w:w="2547" w:type="dxa"/>
            <w:tcBorders>
              <w:top w:val="single" w:sz="4" w:space="0" w:color="666666"/>
              <w:left w:val="single" w:sz="4" w:space="0" w:color="666666"/>
              <w:bottom w:val="single" w:sz="4" w:space="0" w:color="666666"/>
              <w:right w:val="single" w:sz="4" w:space="0" w:color="666666"/>
            </w:tcBorders>
          </w:tcPr>
          <w:p w:rsidR="00E013A3" w:rsidRPr="004D79F8" w:rsidRDefault="00657552" w:rsidP="004D79F8">
            <w:pPr>
              <w:spacing w:line="276" w:lineRule="auto"/>
              <w:rPr>
                <w:rFonts w:ascii="Palatino Linotype" w:eastAsia="Palatino Linotype" w:hAnsi="Palatino Linotype" w:cs="Palatino Linotype"/>
                <w:color w:val="000000" w:themeColor="text1"/>
              </w:rPr>
            </w:pPr>
            <w:r w:rsidRPr="004D79F8">
              <w:rPr>
                <w:rFonts w:ascii="Palatino Linotype" w:eastAsia="Palatino Linotype" w:hAnsi="Palatino Linotype" w:cs="Palatino Linotype"/>
                <w:b/>
                <w:bCs/>
                <w:color w:val="000000" w:themeColor="text1"/>
              </w:rPr>
              <w:lastRenderedPageBreak/>
              <w:t>c) Formalidades para emitir el acuerdo de clasificación.</w:t>
            </w:r>
          </w:p>
        </w:tc>
        <w:tc>
          <w:tcPr>
            <w:tcW w:w="7297" w:type="dxa"/>
            <w:tcBorders>
              <w:top w:val="single" w:sz="4" w:space="0" w:color="666666"/>
              <w:left w:val="single" w:sz="4" w:space="0" w:color="666666"/>
              <w:bottom w:val="single" w:sz="4" w:space="0" w:color="666666"/>
              <w:right w:val="single" w:sz="4" w:space="0" w:color="666666"/>
            </w:tcBorders>
          </w:tcPr>
          <w:p w:rsidR="00E013A3" w:rsidRPr="004D79F8" w:rsidRDefault="00657552" w:rsidP="004D79F8">
            <w:pPr>
              <w:spacing w:line="276" w:lineRule="auto"/>
              <w:jc w:val="both"/>
              <w:rPr>
                <w:rFonts w:ascii="Palatino Linotype" w:eastAsia="Palatino Linotype" w:hAnsi="Palatino Linotype" w:cs="Palatino Linotype"/>
                <w:color w:val="000000" w:themeColor="text1"/>
              </w:rPr>
            </w:pPr>
            <w:r w:rsidRPr="004D79F8">
              <w:rPr>
                <w:rFonts w:ascii="Palatino Linotype" w:eastAsia="Palatino Linotype" w:hAnsi="Palatino Linotype" w:cs="Palatino Linotype"/>
                <w:color w:val="000000" w:themeColor="text1"/>
              </w:rPr>
              <w:t xml:space="preserve">El Comité de Transparencia, según lo dispuesto en los artículos cuenta con las facultades para aprobar, modificar o revocar la clasificación de la información que haya propuesto. </w:t>
            </w:r>
          </w:p>
          <w:p w:rsidR="00E013A3" w:rsidRPr="004D79F8" w:rsidRDefault="00657552" w:rsidP="004D79F8">
            <w:pPr>
              <w:spacing w:line="276" w:lineRule="auto"/>
              <w:jc w:val="both"/>
              <w:rPr>
                <w:rFonts w:ascii="Palatino Linotype" w:eastAsia="Palatino Linotype" w:hAnsi="Palatino Linotype" w:cs="Palatino Linotype"/>
                <w:color w:val="000000" w:themeColor="text1"/>
              </w:rPr>
            </w:pPr>
            <w:r w:rsidRPr="004D79F8">
              <w:rPr>
                <w:rFonts w:ascii="Palatino Linotype" w:eastAsia="Palatino Linotype" w:hAnsi="Palatino Linotype" w:cs="Palatino Linotype"/>
                <w:color w:val="000000" w:themeColor="text1"/>
              </w:rPr>
              <w:t xml:space="preserve">Es necesario que </w:t>
            </w:r>
            <w:r w:rsidRPr="004D79F8">
              <w:rPr>
                <w:rFonts w:ascii="Palatino Linotype" w:eastAsia="Palatino Linotype" w:hAnsi="Palatino Linotype" w:cs="Palatino Linotype"/>
                <w:b/>
                <w:bCs/>
                <w:color w:val="000000" w:themeColor="text1"/>
                <w:u w:val="single"/>
              </w:rPr>
              <w:t>el acto reúna con los requisitos elementales</w:t>
            </w:r>
            <w:r w:rsidRPr="004D79F8">
              <w:rPr>
                <w:rFonts w:ascii="Palatino Linotype" w:eastAsia="Palatino Linotype" w:hAnsi="Palatino Linotype" w:cs="Palatino Linotype"/>
                <w:color w:val="000000" w:themeColor="text1"/>
              </w:rPr>
              <w:t>, entre ellos, que la autoridad que va a emitir el acto de autoridad sea la legalmente facultada para ello.</w:t>
            </w:r>
          </w:p>
          <w:p w:rsidR="00E013A3" w:rsidRPr="004D79F8" w:rsidRDefault="00657552" w:rsidP="004D79F8">
            <w:pPr>
              <w:spacing w:line="276" w:lineRule="auto"/>
              <w:jc w:val="both"/>
              <w:rPr>
                <w:rFonts w:ascii="Palatino Linotype" w:eastAsia="Palatino Linotype" w:hAnsi="Palatino Linotype" w:cs="Palatino Linotype"/>
                <w:color w:val="000000" w:themeColor="text1"/>
              </w:rPr>
            </w:pPr>
            <w:r w:rsidRPr="004D79F8">
              <w:rPr>
                <w:rFonts w:ascii="Palatino Linotype" w:eastAsia="Palatino Linotype" w:hAnsi="Palatino Linotype" w:cs="Palatino Linotype"/>
                <w:color w:val="000000" w:themeColor="text1"/>
              </w:rPr>
              <w:t>La decisión de aprobar, modificar o revocar la clasificación deberá de asentarse en un documento que registre la determinación a la que se llegue después de un análisis minucioso a partir de lo propuesto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tc>
      </w:tr>
      <w:tr w:rsidR="004D79F8" w:rsidRPr="004D79F8" w:rsidTr="00FD031B">
        <w:trPr>
          <w:trHeight w:val="4854"/>
        </w:trPr>
        <w:tc>
          <w:tcPr>
            <w:tcW w:w="2547" w:type="dxa"/>
            <w:tcBorders>
              <w:top w:val="single" w:sz="4" w:space="0" w:color="666666"/>
              <w:left w:val="single" w:sz="4" w:space="0" w:color="666666"/>
              <w:bottom w:val="single" w:sz="4" w:space="0" w:color="666666"/>
              <w:right w:val="single" w:sz="4" w:space="0" w:color="666666"/>
            </w:tcBorders>
          </w:tcPr>
          <w:p w:rsidR="00E013A3" w:rsidRPr="004D79F8" w:rsidRDefault="00E013A3" w:rsidP="004D79F8">
            <w:pPr>
              <w:spacing w:line="276" w:lineRule="auto"/>
              <w:rPr>
                <w:rFonts w:ascii="Palatino Linotype" w:eastAsia="Palatino Linotype" w:hAnsi="Palatino Linotype" w:cs="Palatino Linotype"/>
                <w:color w:val="000000" w:themeColor="text1"/>
              </w:rPr>
            </w:pPr>
          </w:p>
          <w:p w:rsidR="00E013A3" w:rsidRPr="004D79F8" w:rsidRDefault="00657552" w:rsidP="004D79F8">
            <w:pPr>
              <w:spacing w:line="276" w:lineRule="auto"/>
              <w:jc w:val="both"/>
              <w:rPr>
                <w:rFonts w:ascii="Palatino Linotype" w:eastAsia="Palatino Linotype" w:hAnsi="Palatino Linotype" w:cs="Palatino Linotype"/>
                <w:color w:val="000000" w:themeColor="text1"/>
              </w:rPr>
            </w:pPr>
            <w:r w:rsidRPr="004D79F8">
              <w:rPr>
                <w:rFonts w:ascii="Palatino Linotype" w:eastAsia="Palatino Linotype" w:hAnsi="Palatino Linotype" w:cs="Palatino Linotype"/>
                <w:b/>
                <w:bCs/>
                <w:color w:val="000000" w:themeColor="text1"/>
              </w:rPr>
              <w:t xml:space="preserve">d) Requisitos de fondo del acuerdo de clasificación. </w:t>
            </w:r>
          </w:p>
        </w:tc>
        <w:tc>
          <w:tcPr>
            <w:tcW w:w="7297" w:type="dxa"/>
            <w:tcBorders>
              <w:top w:val="single" w:sz="4" w:space="0" w:color="666666"/>
              <w:left w:val="single" w:sz="4" w:space="0" w:color="666666"/>
              <w:bottom w:val="single" w:sz="4" w:space="0" w:color="666666"/>
              <w:right w:val="single" w:sz="4" w:space="0" w:color="666666"/>
            </w:tcBorders>
          </w:tcPr>
          <w:p w:rsidR="00E013A3" w:rsidRPr="004D79F8" w:rsidRDefault="00657552" w:rsidP="004D79F8">
            <w:pPr>
              <w:spacing w:line="276" w:lineRule="auto"/>
              <w:jc w:val="both"/>
              <w:rPr>
                <w:rFonts w:ascii="Palatino Linotype" w:eastAsia="Palatino Linotype" w:hAnsi="Palatino Linotype" w:cs="Palatino Linotype"/>
                <w:color w:val="000000" w:themeColor="text1"/>
              </w:rPr>
            </w:pPr>
            <w:r w:rsidRPr="004D79F8">
              <w:rPr>
                <w:rFonts w:ascii="Palatino Linotype" w:eastAsia="Palatino Linotype" w:hAnsi="Palatino Linotype" w:cs="Palatino Linotype"/>
                <w:color w:val="000000" w:themeColor="text1"/>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señala que la carga de la prueba, para justificar las restricciones, corresponde a los </w:t>
            </w:r>
            <w:r w:rsidRPr="004D79F8">
              <w:rPr>
                <w:rFonts w:ascii="Palatino Linotype" w:eastAsia="Palatino Linotype" w:hAnsi="Palatino Linotype" w:cs="Palatino Linotype"/>
                <w:b/>
                <w:bCs/>
                <w:color w:val="000000" w:themeColor="text1"/>
              </w:rPr>
              <w:t>Sujetos Obligados</w:t>
            </w:r>
            <w:r w:rsidRPr="004D79F8">
              <w:rPr>
                <w:rFonts w:ascii="Palatino Linotype" w:eastAsia="Palatino Linotype" w:hAnsi="Palatino Linotype" w:cs="Palatino Linotype"/>
                <w:color w:val="000000" w:themeColor="text1"/>
              </w:rPr>
              <w:t xml:space="preserve">, por lo que deberán fundar y motivar debidamente la clasificación. </w:t>
            </w:r>
          </w:p>
          <w:p w:rsidR="00E013A3" w:rsidRPr="004D79F8" w:rsidRDefault="00657552" w:rsidP="004D79F8">
            <w:pPr>
              <w:spacing w:line="276" w:lineRule="auto"/>
              <w:jc w:val="both"/>
              <w:rPr>
                <w:rFonts w:ascii="Palatino Linotype" w:eastAsia="Palatino Linotype" w:hAnsi="Palatino Linotype" w:cs="Palatino Linotype"/>
                <w:color w:val="000000" w:themeColor="text1"/>
              </w:rPr>
            </w:pPr>
            <w:r w:rsidRPr="004D79F8">
              <w:rPr>
                <w:rFonts w:ascii="Palatino Linotype" w:eastAsia="Palatino Linotype" w:hAnsi="Palatino Linotype" w:cs="Palatino Linotype"/>
                <w:color w:val="000000" w:themeColor="text1"/>
              </w:rPr>
              <w:t xml:space="preserve">De lo anterior, se desprende que para una correcta </w:t>
            </w:r>
            <w:r w:rsidRPr="004D79F8">
              <w:rPr>
                <w:rFonts w:ascii="Palatino Linotype" w:eastAsia="Palatino Linotype" w:hAnsi="Palatino Linotype" w:cs="Palatino Linotype"/>
                <w:b/>
                <w:bCs/>
                <w:color w:val="000000" w:themeColor="text1"/>
              </w:rPr>
              <w:t>clasificación total o parcial</w:t>
            </w:r>
            <w:r w:rsidRPr="004D79F8">
              <w:rPr>
                <w:rFonts w:ascii="Palatino Linotype" w:eastAsia="Palatino Linotype" w:hAnsi="Palatino Linotype" w:cs="Palatino Linotype"/>
                <w:color w:val="000000" w:themeColor="text1"/>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rsidR="00E013A3" w:rsidRPr="004D79F8" w:rsidRDefault="00657552" w:rsidP="004D79F8">
            <w:pPr>
              <w:spacing w:line="276" w:lineRule="auto"/>
              <w:jc w:val="both"/>
              <w:rPr>
                <w:rFonts w:ascii="Palatino Linotype" w:eastAsia="Palatino Linotype" w:hAnsi="Palatino Linotype" w:cs="Palatino Linotype"/>
                <w:color w:val="000000" w:themeColor="text1"/>
              </w:rPr>
            </w:pPr>
            <w:r w:rsidRPr="004D79F8">
              <w:rPr>
                <w:rFonts w:ascii="Palatino Linotype" w:eastAsia="Palatino Linotype" w:hAnsi="Palatino Linotype" w:cs="Palatino Linotype"/>
                <w:color w:val="000000" w:themeColor="text1"/>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 De este modo, la persona que se sienta afectada pueda impugnar la decisión, permitiéndole una real y auténtica defensa.</w:t>
            </w:r>
          </w:p>
          <w:p w:rsidR="00E013A3" w:rsidRPr="004D79F8" w:rsidRDefault="00657552" w:rsidP="004D79F8">
            <w:pPr>
              <w:spacing w:line="276" w:lineRule="auto"/>
              <w:jc w:val="both"/>
              <w:rPr>
                <w:rFonts w:ascii="Palatino Linotype" w:eastAsia="Palatino Linotype" w:hAnsi="Palatino Linotype" w:cs="Palatino Linotype"/>
                <w:color w:val="000000" w:themeColor="text1"/>
              </w:rPr>
            </w:pPr>
            <w:r w:rsidRPr="004D79F8">
              <w:rPr>
                <w:rFonts w:ascii="Palatino Linotype" w:eastAsia="Palatino Linotype" w:hAnsi="Palatino Linotype" w:cs="Palatino Linotype"/>
                <w:color w:val="000000" w:themeColor="text1"/>
              </w:rPr>
              <w:t>En ese mismo sentido, el numeral trigésimo tercero fracción V de los Lineamientos Generales, precisa que para motivar la clasificación se deben acreditar las circunstancias de tiempo, modo y lugar.</w:t>
            </w:r>
          </w:p>
          <w:p w:rsidR="00E013A3" w:rsidRPr="004D79F8" w:rsidRDefault="00657552" w:rsidP="004D79F8">
            <w:pPr>
              <w:spacing w:line="276" w:lineRule="auto"/>
              <w:jc w:val="both"/>
              <w:rPr>
                <w:rFonts w:ascii="Palatino Linotype" w:eastAsia="Palatino Linotype" w:hAnsi="Palatino Linotype" w:cs="Palatino Linotype"/>
                <w:color w:val="000000" w:themeColor="text1"/>
              </w:rPr>
            </w:pPr>
            <w:r w:rsidRPr="004D79F8">
              <w:rPr>
                <w:rFonts w:ascii="Palatino Linotype" w:eastAsia="Palatino Linotype" w:hAnsi="Palatino Linotype" w:cs="Palatino Linotype"/>
                <w:color w:val="000000" w:themeColor="text1"/>
              </w:rPr>
              <w:t xml:space="preserve">Ahora bien, </w:t>
            </w:r>
            <w:r w:rsidRPr="004D79F8">
              <w:rPr>
                <w:rFonts w:ascii="Palatino Linotype" w:eastAsia="Palatino Linotype" w:hAnsi="Palatino Linotype" w:cs="Palatino Linotype"/>
                <w:b/>
                <w:bCs/>
                <w:color w:val="000000" w:themeColor="text1"/>
                <w:u w:val="single"/>
              </w:rPr>
              <w:t>para cada caso además de fundar y motivar</w:t>
            </w:r>
            <w:r w:rsidRPr="004D79F8">
              <w:rPr>
                <w:rFonts w:ascii="Palatino Linotype" w:eastAsia="Palatino Linotype" w:hAnsi="Palatino Linotype" w:cs="Palatino Linotype"/>
                <w:color w:val="000000" w:themeColor="text1"/>
              </w:rPr>
              <w:t xml:space="preserve">, se debe identificar con claridad que datos contenidos en las documentales que son susceptibles de suprimirse, por ejemplo; Clave Única de Registro de Población (CURP), Registro Federal de Contribuyentes (R.F.C.), claves de seguros, préstamos o descuentos personales, </w:t>
            </w:r>
            <w:r w:rsidRPr="004D79F8">
              <w:rPr>
                <w:rFonts w:ascii="Palatino Linotype" w:eastAsia="Palatino Linotype" w:hAnsi="Palatino Linotype" w:cs="Palatino Linotype"/>
                <w:color w:val="000000" w:themeColor="text1"/>
              </w:rPr>
              <w:lastRenderedPageBreak/>
              <w:t>secretos bancario, fiduciario, industrial, comercial, fiscal, bursátil y postal, cuya titularidad corresponda a particulares, entre otros.</w:t>
            </w:r>
          </w:p>
        </w:tc>
      </w:tr>
      <w:tr w:rsidR="004D79F8" w:rsidRPr="004D79F8" w:rsidTr="00FD031B">
        <w:trPr>
          <w:trHeight w:val="3131"/>
        </w:trPr>
        <w:tc>
          <w:tcPr>
            <w:tcW w:w="2547" w:type="dxa"/>
            <w:tcBorders>
              <w:top w:val="single" w:sz="4" w:space="0" w:color="666666"/>
              <w:left w:val="single" w:sz="4" w:space="0" w:color="666666"/>
              <w:bottom w:val="single" w:sz="4" w:space="0" w:color="666666"/>
              <w:right w:val="single" w:sz="4" w:space="0" w:color="666666"/>
            </w:tcBorders>
          </w:tcPr>
          <w:p w:rsidR="00E013A3" w:rsidRPr="004D79F8" w:rsidRDefault="00657552" w:rsidP="004D79F8">
            <w:pPr>
              <w:spacing w:line="276" w:lineRule="auto"/>
              <w:jc w:val="both"/>
              <w:rPr>
                <w:rFonts w:ascii="Palatino Linotype" w:eastAsia="Palatino Linotype" w:hAnsi="Palatino Linotype" w:cs="Palatino Linotype"/>
                <w:color w:val="000000" w:themeColor="text1"/>
              </w:rPr>
            </w:pPr>
            <w:r w:rsidRPr="004D79F8">
              <w:rPr>
                <w:rFonts w:ascii="Palatino Linotype" w:eastAsia="Palatino Linotype" w:hAnsi="Palatino Linotype" w:cs="Palatino Linotype"/>
                <w:b/>
                <w:bCs/>
                <w:color w:val="000000" w:themeColor="text1"/>
              </w:rPr>
              <w:lastRenderedPageBreak/>
              <w:t xml:space="preserve">e) Condiciones especiales de la clasificación de la información como confidencial. </w:t>
            </w:r>
          </w:p>
          <w:p w:rsidR="00E013A3" w:rsidRPr="004D79F8" w:rsidRDefault="00E013A3" w:rsidP="004D79F8">
            <w:pPr>
              <w:spacing w:line="276" w:lineRule="auto"/>
              <w:rPr>
                <w:rFonts w:ascii="Palatino Linotype" w:eastAsia="Palatino Linotype" w:hAnsi="Palatino Linotype" w:cs="Palatino Linotype"/>
                <w:color w:val="000000" w:themeColor="text1"/>
              </w:rPr>
            </w:pPr>
          </w:p>
        </w:tc>
        <w:tc>
          <w:tcPr>
            <w:tcW w:w="7297" w:type="dxa"/>
            <w:tcBorders>
              <w:top w:val="single" w:sz="4" w:space="0" w:color="666666"/>
              <w:left w:val="single" w:sz="4" w:space="0" w:color="666666"/>
              <w:bottom w:val="single" w:sz="4" w:space="0" w:color="666666"/>
              <w:right w:val="single" w:sz="4" w:space="0" w:color="666666"/>
            </w:tcBorders>
          </w:tcPr>
          <w:p w:rsidR="00E013A3" w:rsidRPr="004D79F8" w:rsidRDefault="00657552" w:rsidP="004D79F8">
            <w:pPr>
              <w:spacing w:line="276" w:lineRule="auto"/>
              <w:jc w:val="both"/>
              <w:rPr>
                <w:rFonts w:ascii="Palatino Linotype" w:eastAsia="Palatino Linotype" w:hAnsi="Palatino Linotype" w:cs="Palatino Linotype"/>
                <w:color w:val="000000" w:themeColor="text1"/>
              </w:rPr>
            </w:pPr>
            <w:r w:rsidRPr="004D79F8">
              <w:rPr>
                <w:rFonts w:ascii="Palatino Linotype" w:eastAsia="Palatino Linotype" w:hAnsi="Palatino Linotype" w:cs="Palatino Linotype"/>
                <w:color w:val="000000" w:themeColor="text1"/>
              </w:rPr>
              <w:t xml:space="preserve">Los artículos 148 y 120 de la Ley Estatal y de la Ley General, respectivamente, establecen que aun tratándose de datos personales, se podrán proporcionar, incluso sin solicitar el consentimiento de su titular. </w:t>
            </w:r>
          </w:p>
          <w:p w:rsidR="00E013A3" w:rsidRPr="004D79F8" w:rsidRDefault="00657552" w:rsidP="004D79F8">
            <w:pPr>
              <w:spacing w:line="276" w:lineRule="auto"/>
              <w:jc w:val="both"/>
              <w:rPr>
                <w:rFonts w:ascii="Palatino Linotype" w:eastAsia="Palatino Linotype" w:hAnsi="Palatino Linotype" w:cs="Palatino Linotype"/>
                <w:color w:val="000000" w:themeColor="text1"/>
              </w:rPr>
            </w:pPr>
            <w:r w:rsidRPr="004D79F8">
              <w:rPr>
                <w:rFonts w:ascii="Palatino Linotype" w:eastAsia="Palatino Linotype" w:hAnsi="Palatino Linotype" w:cs="Palatino Linotype"/>
                <w:color w:val="000000" w:themeColor="text1"/>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rsidR="00E013A3" w:rsidRPr="004D79F8" w:rsidRDefault="00657552" w:rsidP="004D79F8">
            <w:pPr>
              <w:spacing w:line="276" w:lineRule="auto"/>
              <w:rPr>
                <w:rFonts w:ascii="Palatino Linotype" w:eastAsia="Palatino Linotype" w:hAnsi="Palatino Linotype" w:cs="Palatino Linotype"/>
                <w:color w:val="000000" w:themeColor="text1"/>
              </w:rPr>
            </w:pPr>
            <w:r w:rsidRPr="004D79F8">
              <w:rPr>
                <w:rFonts w:ascii="Palatino Linotype" w:eastAsia="Palatino Linotype" w:hAnsi="Palatino Linotype" w:cs="Palatino Linotype"/>
                <w:color w:val="000000" w:themeColor="text1"/>
              </w:rPr>
              <w:t>Pero si la información que se pretende clasificar como confidencial no se encuentra en los supuestos de los artículos señalados y es posible, se deberá consultar al titular de los datos si permite o no el acceso. De no ser posible, la realización de la consulta, procede, fundando y motivando, la clasificación.</w:t>
            </w:r>
          </w:p>
        </w:tc>
      </w:tr>
    </w:tbl>
    <w:p w:rsidR="00E013A3" w:rsidRPr="004D79F8" w:rsidRDefault="00E013A3" w:rsidP="004D79F8">
      <w:pPr>
        <w:spacing w:line="360" w:lineRule="auto"/>
        <w:jc w:val="both"/>
        <w:rPr>
          <w:rFonts w:ascii="Palatino Linotype" w:eastAsia="Palatino Linotype" w:hAnsi="Palatino Linotype" w:cs="Palatino Linotype"/>
          <w:color w:val="000000" w:themeColor="text1"/>
        </w:rPr>
      </w:pPr>
    </w:p>
    <w:p w:rsidR="00E013A3" w:rsidRPr="004D79F8" w:rsidRDefault="00657552" w:rsidP="004D79F8">
      <w:pPr>
        <w:numPr>
          <w:ilvl w:val="0"/>
          <w:numId w:val="1"/>
        </w:numPr>
        <w:spacing w:line="360" w:lineRule="auto"/>
        <w:ind w:left="0" w:firstLine="0"/>
        <w:jc w:val="both"/>
        <w:rPr>
          <w:rFonts w:ascii="Palatino Linotype" w:eastAsia="Palatino Linotype" w:hAnsi="Palatino Linotype" w:cs="Palatino Linotype"/>
          <w:color w:val="000000" w:themeColor="text1"/>
        </w:rPr>
      </w:pPr>
      <w:r w:rsidRPr="004D79F8">
        <w:rPr>
          <w:rFonts w:ascii="Palatino Linotype" w:eastAsia="Palatino Linotype" w:hAnsi="Palatino Linotype" w:cs="Palatino Linotype"/>
          <w:color w:val="000000" w:themeColor="text1"/>
        </w:rPr>
        <w:t xml:space="preserve">Por lo anteriormente expuesto y fundado, este </w:t>
      </w:r>
      <w:r w:rsidRPr="004D79F8">
        <w:rPr>
          <w:rFonts w:ascii="Palatino Linotype" w:eastAsia="Palatino Linotype" w:hAnsi="Palatino Linotype" w:cs="Palatino Linotype"/>
          <w:b/>
          <w:bCs/>
          <w:color w:val="000000" w:themeColor="text1"/>
        </w:rPr>
        <w:t>ÓRGANO GARANTE</w:t>
      </w:r>
      <w:r w:rsidRPr="004D79F8">
        <w:rPr>
          <w:rFonts w:ascii="Palatino Linotype" w:eastAsia="Palatino Linotype" w:hAnsi="Palatino Linotype" w:cs="Palatino Linotype"/>
          <w:color w:val="000000" w:themeColor="text1"/>
        </w:rPr>
        <w:t xml:space="preserve"> emite los siguientes:</w:t>
      </w:r>
      <w:r w:rsidR="00FD031B">
        <w:rPr>
          <w:rFonts w:ascii="Palatino Linotype" w:eastAsia="Palatino Linotype" w:hAnsi="Palatino Linotype" w:cs="Palatino Linotype"/>
          <w:color w:val="000000" w:themeColor="text1"/>
        </w:rPr>
        <w:t xml:space="preserve"> --------------------------------------------------------------------------------------------------------</w:t>
      </w:r>
    </w:p>
    <w:p w:rsidR="00E013A3" w:rsidRPr="004D79F8" w:rsidRDefault="00657552" w:rsidP="004D79F8">
      <w:pPr>
        <w:keepNext/>
        <w:keepLines/>
        <w:spacing w:before="240" w:line="360" w:lineRule="auto"/>
        <w:jc w:val="center"/>
        <w:rPr>
          <w:rFonts w:ascii="Palatino Linotype" w:eastAsia="Palatino Linotype" w:hAnsi="Palatino Linotype" w:cs="Palatino Linotype"/>
          <w:b/>
          <w:bCs/>
          <w:color w:val="000000" w:themeColor="text1"/>
        </w:rPr>
      </w:pPr>
      <w:r w:rsidRPr="004D79F8">
        <w:rPr>
          <w:rFonts w:ascii="Palatino Linotype" w:eastAsia="Palatino Linotype" w:hAnsi="Palatino Linotype" w:cs="Palatino Linotype"/>
          <w:b/>
          <w:bCs/>
          <w:color w:val="000000" w:themeColor="text1"/>
        </w:rPr>
        <w:lastRenderedPageBreak/>
        <w:t>R E S O L U T I V O S</w:t>
      </w:r>
    </w:p>
    <w:p w:rsidR="00E013A3" w:rsidRPr="004D79F8" w:rsidRDefault="00E013A3" w:rsidP="004D79F8">
      <w:pPr>
        <w:keepNext/>
        <w:keepLines/>
        <w:spacing w:before="240" w:line="360" w:lineRule="auto"/>
        <w:jc w:val="center"/>
        <w:rPr>
          <w:rFonts w:ascii="Palatino Linotype" w:eastAsia="Palatino Linotype" w:hAnsi="Palatino Linotype" w:cs="Palatino Linotype"/>
          <w:b/>
          <w:bCs/>
          <w:color w:val="000000" w:themeColor="text1"/>
        </w:rPr>
      </w:pPr>
    </w:p>
    <w:p w:rsidR="00E013A3" w:rsidRPr="004D79F8" w:rsidRDefault="00657552" w:rsidP="004D79F8">
      <w:pPr>
        <w:spacing w:line="360" w:lineRule="auto"/>
        <w:jc w:val="both"/>
        <w:rPr>
          <w:rFonts w:ascii="Palatino Linotype" w:eastAsia="Palatino Linotype" w:hAnsi="Palatino Linotype" w:cs="Palatino Linotype"/>
          <w:color w:val="000000" w:themeColor="text1"/>
        </w:rPr>
      </w:pPr>
      <w:r w:rsidRPr="004D79F8">
        <w:rPr>
          <w:rFonts w:ascii="Palatino Linotype" w:eastAsia="Palatino Linotype" w:hAnsi="Palatino Linotype" w:cs="Palatino Linotype"/>
          <w:b/>
          <w:bCs/>
          <w:color w:val="000000" w:themeColor="text1"/>
        </w:rPr>
        <w:t xml:space="preserve">PRIMERO. </w:t>
      </w:r>
      <w:r w:rsidRPr="004D79F8">
        <w:rPr>
          <w:rFonts w:ascii="Palatino Linotype" w:eastAsia="Palatino Linotype" w:hAnsi="Palatino Linotype" w:cs="Palatino Linotype"/>
          <w:color w:val="000000" w:themeColor="text1"/>
        </w:rPr>
        <w:t>Resultan fundadas las</w:t>
      </w:r>
      <w:r w:rsidRPr="004D79F8">
        <w:rPr>
          <w:rFonts w:ascii="Palatino Linotype" w:eastAsia="Palatino Linotype" w:hAnsi="Palatino Linotype" w:cs="Palatino Linotype"/>
          <w:b/>
          <w:bCs/>
          <w:color w:val="000000" w:themeColor="text1"/>
        </w:rPr>
        <w:t xml:space="preserve"> </w:t>
      </w:r>
      <w:r w:rsidRPr="004D79F8">
        <w:rPr>
          <w:rFonts w:ascii="Palatino Linotype" w:eastAsia="Palatino Linotype" w:hAnsi="Palatino Linotype" w:cs="Palatino Linotype"/>
          <w:color w:val="000000" w:themeColor="text1"/>
        </w:rPr>
        <w:t xml:space="preserve">razones o motivos de inconformidad hechos valer en el recurso de revisión </w:t>
      </w:r>
      <w:r w:rsidRPr="004D79F8">
        <w:rPr>
          <w:rFonts w:ascii="Palatino Linotype" w:eastAsia="Palatino Linotype" w:hAnsi="Palatino Linotype" w:cs="Palatino Linotype"/>
          <w:b/>
          <w:bCs/>
          <w:color w:val="000000" w:themeColor="text1"/>
        </w:rPr>
        <w:t xml:space="preserve">07278/INFOEM/IP/RR/2025 </w:t>
      </w:r>
      <w:r w:rsidRPr="004D79F8">
        <w:rPr>
          <w:rFonts w:ascii="Palatino Linotype" w:eastAsia="Palatino Linotype" w:hAnsi="Palatino Linotype" w:cs="Palatino Linotype"/>
          <w:color w:val="000000" w:themeColor="text1"/>
        </w:rPr>
        <w:t xml:space="preserve">en términos de los </w:t>
      </w:r>
      <w:r w:rsidRPr="004D79F8">
        <w:rPr>
          <w:rFonts w:ascii="Palatino Linotype" w:eastAsia="Palatino Linotype" w:hAnsi="Palatino Linotype" w:cs="Palatino Linotype"/>
          <w:b/>
          <w:bCs/>
          <w:color w:val="000000" w:themeColor="text1"/>
        </w:rPr>
        <w:t>Considerandos</w:t>
      </w:r>
      <w:r w:rsidRPr="004D79F8">
        <w:rPr>
          <w:rFonts w:ascii="Palatino Linotype" w:eastAsia="Palatino Linotype" w:hAnsi="Palatino Linotype" w:cs="Palatino Linotype"/>
          <w:color w:val="000000" w:themeColor="text1"/>
        </w:rPr>
        <w:t xml:space="preserve"> </w:t>
      </w:r>
      <w:r w:rsidRPr="004D79F8">
        <w:rPr>
          <w:rFonts w:ascii="Palatino Linotype" w:eastAsia="Palatino Linotype" w:hAnsi="Palatino Linotype" w:cs="Palatino Linotype"/>
          <w:b/>
          <w:bCs/>
          <w:color w:val="000000" w:themeColor="text1"/>
        </w:rPr>
        <w:t xml:space="preserve">CUARTO y QUINTO </w:t>
      </w:r>
      <w:r w:rsidRPr="004D79F8">
        <w:rPr>
          <w:rFonts w:ascii="Palatino Linotype" w:eastAsia="Palatino Linotype" w:hAnsi="Palatino Linotype" w:cs="Palatino Linotype"/>
          <w:color w:val="000000" w:themeColor="text1"/>
        </w:rPr>
        <w:t>de la presente resolución.</w:t>
      </w:r>
    </w:p>
    <w:p w:rsidR="00E013A3" w:rsidRPr="004D79F8" w:rsidRDefault="00E013A3" w:rsidP="004D79F8">
      <w:pPr>
        <w:spacing w:line="360" w:lineRule="auto"/>
        <w:jc w:val="both"/>
        <w:rPr>
          <w:rFonts w:ascii="Palatino Linotype" w:eastAsia="Palatino Linotype" w:hAnsi="Palatino Linotype" w:cs="Palatino Linotype"/>
          <w:color w:val="000000" w:themeColor="text1"/>
        </w:rPr>
      </w:pPr>
    </w:p>
    <w:p w:rsidR="00E013A3" w:rsidRPr="004D79F8" w:rsidRDefault="00657552" w:rsidP="004D79F8">
      <w:pPr>
        <w:spacing w:line="360" w:lineRule="auto"/>
        <w:jc w:val="both"/>
        <w:rPr>
          <w:rFonts w:ascii="Palatino Linotype" w:eastAsia="Palatino Linotype" w:hAnsi="Palatino Linotype" w:cs="Palatino Linotype"/>
          <w:b/>
          <w:bCs/>
          <w:color w:val="000000" w:themeColor="text1"/>
        </w:rPr>
      </w:pPr>
      <w:bookmarkStart w:id="11" w:name="_heading=h.26in1rg" w:colFirst="0" w:colLast="0"/>
      <w:bookmarkEnd w:id="11"/>
      <w:r w:rsidRPr="004D79F8">
        <w:rPr>
          <w:rFonts w:ascii="Palatino Linotype" w:eastAsia="Palatino Linotype" w:hAnsi="Palatino Linotype" w:cs="Palatino Linotype"/>
          <w:b/>
          <w:bCs/>
          <w:color w:val="000000" w:themeColor="text1"/>
        </w:rPr>
        <w:t>SEGUNDO.</w:t>
      </w:r>
      <w:r w:rsidRPr="004D79F8">
        <w:rPr>
          <w:rFonts w:ascii="Palatino Linotype" w:eastAsia="Palatino Linotype" w:hAnsi="Palatino Linotype" w:cs="Palatino Linotype"/>
          <w:color w:val="000000" w:themeColor="text1"/>
        </w:rPr>
        <w:t xml:space="preserve"> Se</w:t>
      </w:r>
      <w:r w:rsidRPr="004D79F8">
        <w:rPr>
          <w:rFonts w:ascii="Palatino Linotype" w:eastAsia="Palatino Linotype" w:hAnsi="Palatino Linotype" w:cs="Palatino Linotype"/>
          <w:b/>
          <w:bCs/>
          <w:color w:val="000000" w:themeColor="text1"/>
        </w:rPr>
        <w:t xml:space="preserve"> MODIFICA </w:t>
      </w:r>
      <w:r w:rsidRPr="004D79F8">
        <w:rPr>
          <w:rFonts w:ascii="Palatino Linotype" w:eastAsia="Palatino Linotype" w:hAnsi="Palatino Linotype" w:cs="Palatino Linotype"/>
          <w:color w:val="000000" w:themeColor="text1"/>
        </w:rPr>
        <w:t xml:space="preserve">la respuesta emitida por el </w:t>
      </w:r>
      <w:r w:rsidRPr="004D79F8">
        <w:rPr>
          <w:rFonts w:ascii="Palatino Linotype" w:eastAsia="Palatino Linotype" w:hAnsi="Palatino Linotype" w:cs="Palatino Linotype"/>
          <w:b/>
          <w:bCs/>
          <w:color w:val="000000" w:themeColor="text1"/>
        </w:rPr>
        <w:t xml:space="preserve">Ayuntamiento de Toluca </w:t>
      </w:r>
      <w:r w:rsidRPr="004D79F8">
        <w:rPr>
          <w:rFonts w:ascii="Palatino Linotype" w:eastAsia="Palatino Linotype" w:hAnsi="Palatino Linotype" w:cs="Palatino Linotype"/>
          <w:color w:val="000000" w:themeColor="text1"/>
        </w:rPr>
        <w:t xml:space="preserve">a la solicitud </w:t>
      </w:r>
      <w:r w:rsidRPr="004D79F8">
        <w:rPr>
          <w:rFonts w:ascii="Palatino Linotype" w:eastAsia="Palatino Linotype" w:hAnsi="Palatino Linotype" w:cs="Palatino Linotype"/>
          <w:b/>
          <w:bCs/>
          <w:color w:val="000000" w:themeColor="text1"/>
        </w:rPr>
        <w:t>03041/TOLUCA/IP/2025</w:t>
      </w:r>
      <w:r w:rsidRPr="004D79F8">
        <w:rPr>
          <w:rFonts w:ascii="Palatino Linotype" w:eastAsia="Palatino Linotype" w:hAnsi="Palatino Linotype" w:cs="Palatino Linotype"/>
          <w:color w:val="000000" w:themeColor="text1"/>
        </w:rPr>
        <w:t>, y se</w:t>
      </w:r>
      <w:r w:rsidRPr="004D79F8">
        <w:rPr>
          <w:rFonts w:ascii="Palatino Linotype" w:eastAsia="Palatino Linotype" w:hAnsi="Palatino Linotype" w:cs="Palatino Linotype"/>
          <w:b/>
          <w:bCs/>
          <w:color w:val="000000" w:themeColor="text1"/>
        </w:rPr>
        <w:t xml:space="preserve"> ORDENA </w:t>
      </w:r>
      <w:r w:rsidRPr="004D79F8">
        <w:rPr>
          <w:rFonts w:ascii="Palatino Linotype" w:eastAsia="Palatino Linotype" w:hAnsi="Palatino Linotype" w:cs="Palatino Linotype"/>
          <w:color w:val="000000" w:themeColor="text1"/>
        </w:rPr>
        <w:t>la entrega, de ser procedente en versión pública, la siguiente información:</w:t>
      </w:r>
      <w:r w:rsidRPr="004D79F8">
        <w:rPr>
          <w:rFonts w:ascii="Palatino Linotype" w:eastAsia="Palatino Linotype" w:hAnsi="Palatino Linotype" w:cs="Palatino Linotype"/>
          <w:b/>
          <w:bCs/>
          <w:color w:val="000000" w:themeColor="text1"/>
        </w:rPr>
        <w:t xml:space="preserve"> </w:t>
      </w:r>
    </w:p>
    <w:p w:rsidR="00E013A3" w:rsidRPr="004D79F8" w:rsidRDefault="00E013A3" w:rsidP="004D79F8">
      <w:pPr>
        <w:spacing w:line="360" w:lineRule="auto"/>
        <w:jc w:val="both"/>
        <w:rPr>
          <w:rFonts w:ascii="Palatino Linotype" w:eastAsia="Palatino Linotype" w:hAnsi="Palatino Linotype" w:cs="Palatino Linotype"/>
          <w:b/>
          <w:bCs/>
          <w:color w:val="000000" w:themeColor="text1"/>
        </w:rPr>
      </w:pPr>
    </w:p>
    <w:p w:rsidR="00E013A3" w:rsidRPr="004D79F8" w:rsidRDefault="00657552" w:rsidP="00FD031B">
      <w:pPr>
        <w:numPr>
          <w:ilvl w:val="0"/>
          <w:numId w:val="5"/>
        </w:numPr>
        <w:pBdr>
          <w:top w:val="nil"/>
          <w:left w:val="nil"/>
          <w:bottom w:val="nil"/>
          <w:right w:val="nil"/>
          <w:between w:val="nil"/>
        </w:pBdr>
        <w:spacing w:line="360" w:lineRule="auto"/>
        <w:ind w:left="0" w:firstLine="0"/>
        <w:jc w:val="both"/>
        <w:rPr>
          <w:rFonts w:ascii="Palatino Linotype" w:eastAsia="Palatino Linotype" w:hAnsi="Palatino Linotype" w:cs="Palatino Linotype"/>
          <w:b/>
          <w:bCs/>
          <w:color w:val="000000" w:themeColor="text1"/>
        </w:rPr>
      </w:pPr>
      <w:r w:rsidRPr="004D79F8">
        <w:rPr>
          <w:rFonts w:ascii="Palatino Linotype" w:eastAsia="Palatino Linotype" w:hAnsi="Palatino Linotype" w:cs="Palatino Linotype"/>
          <w:b/>
          <w:bCs/>
          <w:color w:val="000000" w:themeColor="text1"/>
        </w:rPr>
        <w:t xml:space="preserve">Soporte documental donde conste el número y costo de los focos o luces que iluminaron los edificios públicos del Ayuntamiento de Toluca de color rojo, así como el acta de cabildo en donde se aprobó tal acción, a la fecha de la solicitud. </w:t>
      </w:r>
    </w:p>
    <w:p w:rsidR="00E013A3" w:rsidRPr="004D79F8" w:rsidRDefault="00E013A3" w:rsidP="004D79F8">
      <w:pPr>
        <w:pBdr>
          <w:top w:val="nil"/>
          <w:left w:val="nil"/>
          <w:bottom w:val="nil"/>
          <w:right w:val="nil"/>
          <w:between w:val="nil"/>
        </w:pBdr>
        <w:spacing w:line="360" w:lineRule="auto"/>
        <w:jc w:val="both"/>
        <w:rPr>
          <w:rFonts w:ascii="Palatino Linotype" w:eastAsia="Palatino Linotype" w:hAnsi="Palatino Linotype" w:cs="Palatino Linotype"/>
          <w:b/>
          <w:bCs/>
          <w:color w:val="000000" w:themeColor="text1"/>
        </w:rPr>
      </w:pPr>
    </w:p>
    <w:p w:rsidR="00E013A3" w:rsidRPr="004D79F8" w:rsidRDefault="00657552" w:rsidP="004D79F8">
      <w:pPr>
        <w:tabs>
          <w:tab w:val="left" w:pos="993"/>
        </w:tabs>
        <w:spacing w:line="360" w:lineRule="auto"/>
        <w:jc w:val="both"/>
        <w:rPr>
          <w:rFonts w:ascii="Palatino Linotype" w:eastAsia="Palatino Linotype" w:hAnsi="Palatino Linotype" w:cs="Palatino Linotype"/>
          <w:color w:val="000000" w:themeColor="text1"/>
        </w:rPr>
      </w:pPr>
      <w:r w:rsidRPr="004D79F8">
        <w:rPr>
          <w:rFonts w:ascii="Palatino Linotype" w:eastAsia="Palatino Linotype" w:hAnsi="Palatino Linotype" w:cs="Palatino Linotype"/>
          <w:color w:val="000000" w:themeColor="text1"/>
        </w:rPr>
        <w:t xml:space="preserve">Para efectos de lo anterior, se deberá emitir el Acuerdo del Comité de Transparencia, en términos de los artículos 49, fracción VIII, y 132, fracción II, de la Ley de Transparencia y Acceso a la Información Pública del Estado de México y Municipios, en el que se funden y motiven las razones sobre los datos que se supriman o eliminen dentro del soporte documental respectivo objeto de las versiones públicas que se formulen, y se ponga a disposición del </w:t>
      </w:r>
      <w:r w:rsidRPr="004D79F8">
        <w:rPr>
          <w:rFonts w:ascii="Palatino Linotype" w:eastAsia="Palatino Linotype" w:hAnsi="Palatino Linotype" w:cs="Palatino Linotype"/>
          <w:b/>
          <w:bCs/>
          <w:color w:val="000000" w:themeColor="text1"/>
        </w:rPr>
        <w:t>RECURRENTE</w:t>
      </w:r>
      <w:r w:rsidRPr="004D79F8">
        <w:rPr>
          <w:rFonts w:ascii="Palatino Linotype" w:eastAsia="Palatino Linotype" w:hAnsi="Palatino Linotype" w:cs="Palatino Linotype"/>
          <w:color w:val="000000" w:themeColor="text1"/>
        </w:rPr>
        <w:t>.</w:t>
      </w:r>
    </w:p>
    <w:p w:rsidR="00E013A3" w:rsidRPr="004D79F8" w:rsidRDefault="00E013A3" w:rsidP="004D79F8">
      <w:pPr>
        <w:tabs>
          <w:tab w:val="left" w:pos="993"/>
        </w:tabs>
        <w:spacing w:line="360" w:lineRule="auto"/>
        <w:jc w:val="both"/>
        <w:rPr>
          <w:rFonts w:ascii="Palatino Linotype" w:eastAsia="Palatino Linotype" w:hAnsi="Palatino Linotype" w:cs="Palatino Linotype"/>
          <w:color w:val="000000" w:themeColor="text1"/>
        </w:rPr>
      </w:pPr>
    </w:p>
    <w:p w:rsidR="00E013A3" w:rsidRPr="004D79F8" w:rsidRDefault="00657552" w:rsidP="004D79F8">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r w:rsidRPr="004D79F8">
        <w:rPr>
          <w:rFonts w:ascii="Palatino Linotype" w:eastAsia="Palatino Linotype" w:hAnsi="Palatino Linotype" w:cs="Palatino Linotype"/>
          <w:color w:val="000000" w:themeColor="text1"/>
        </w:rPr>
        <w:t xml:space="preserve">Para el caso de que la información que se ordena entregar referente a el acta de cabildo, no obre en los archivos del Sujeto Obligado, bastará con que así se haga del conocimiento del </w:t>
      </w:r>
      <w:r w:rsidRPr="004D79F8">
        <w:rPr>
          <w:rFonts w:ascii="Palatino Linotype" w:eastAsia="Palatino Linotype" w:hAnsi="Palatino Linotype" w:cs="Palatino Linotype"/>
          <w:color w:val="000000" w:themeColor="text1"/>
        </w:rPr>
        <w:lastRenderedPageBreak/>
        <w:t xml:space="preserve">Particular en términos del artículo 19, párrafo segundo, de la Ley de Transparencia y Acceso a la Información Pública del Estado de México y Municipios, para tenerse por colmado dicho requerimiento. </w:t>
      </w:r>
    </w:p>
    <w:p w:rsidR="00E013A3" w:rsidRPr="004D79F8" w:rsidRDefault="00E013A3" w:rsidP="004D79F8">
      <w:pPr>
        <w:tabs>
          <w:tab w:val="left" w:pos="993"/>
        </w:tabs>
        <w:spacing w:line="360" w:lineRule="auto"/>
        <w:jc w:val="both"/>
        <w:rPr>
          <w:rFonts w:ascii="Palatino Linotype" w:eastAsia="Palatino Linotype" w:hAnsi="Palatino Linotype" w:cs="Palatino Linotype"/>
          <w:color w:val="000000" w:themeColor="text1"/>
        </w:rPr>
      </w:pPr>
    </w:p>
    <w:p w:rsidR="00E013A3" w:rsidRPr="004D79F8" w:rsidRDefault="00657552" w:rsidP="004D79F8">
      <w:pPr>
        <w:shd w:val="clear" w:color="auto" w:fill="FFFFFF"/>
        <w:spacing w:line="360" w:lineRule="auto"/>
        <w:jc w:val="both"/>
        <w:rPr>
          <w:rFonts w:ascii="Palatino Linotype" w:eastAsia="Palatino Linotype" w:hAnsi="Palatino Linotype" w:cs="Palatino Linotype"/>
          <w:color w:val="000000" w:themeColor="text1"/>
        </w:rPr>
      </w:pPr>
      <w:r w:rsidRPr="004D79F8">
        <w:rPr>
          <w:rFonts w:ascii="Palatino Linotype" w:eastAsia="Palatino Linotype" w:hAnsi="Palatino Linotype" w:cs="Palatino Linotype"/>
          <w:b/>
          <w:bCs/>
          <w:color w:val="000000" w:themeColor="text1"/>
        </w:rPr>
        <w:t xml:space="preserve">TERCERO. </w:t>
      </w:r>
      <w:r w:rsidRPr="004D79F8">
        <w:rPr>
          <w:rFonts w:ascii="Palatino Linotype" w:eastAsia="Palatino Linotype" w:hAnsi="Palatino Linotype" w:cs="Palatino Linotype"/>
          <w:color w:val="000000" w:themeColor="text1"/>
        </w:rPr>
        <w:t xml:space="preserve">Notifíquese vía SAIMEX la presente resolución al Titular de la Unidad de Transparencia del Sujeto Obligado, para que conforme al artículo 186 último párrafo, 189 segundo párrafo y 194 de la Ley de Transparencia y Acceso a la Información Pública del Estado de México y Municipios </w:t>
      </w:r>
      <w:r w:rsidRPr="004D79F8">
        <w:rPr>
          <w:rFonts w:ascii="Palatino Linotype" w:eastAsia="Palatino Linotype" w:hAnsi="Palatino Linotype" w:cs="Palatino Linotype"/>
          <w:b/>
          <w:bCs/>
          <w:color w:val="000000" w:themeColor="text1"/>
        </w:rPr>
        <w:t>dé cumplimiento a lo ordenado dentro del plazo de diez días hábiles,</w:t>
      </w:r>
      <w:r w:rsidRPr="004D79F8">
        <w:rPr>
          <w:rFonts w:ascii="Palatino Linotype" w:eastAsia="Palatino Linotype" w:hAnsi="Palatino Linotype" w:cs="Palatino Linotype"/>
          <w:color w:val="000000" w:themeColor="text1"/>
        </w:rPr>
        <w:t xml:space="preserve">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rsidR="00E013A3" w:rsidRPr="004D79F8" w:rsidRDefault="00E013A3" w:rsidP="004D79F8">
      <w:pPr>
        <w:shd w:val="clear" w:color="auto" w:fill="FFFFFF"/>
        <w:spacing w:line="360" w:lineRule="auto"/>
        <w:jc w:val="both"/>
        <w:rPr>
          <w:rFonts w:ascii="Palatino Linotype" w:eastAsia="Palatino Linotype" w:hAnsi="Palatino Linotype" w:cs="Palatino Linotype"/>
          <w:b/>
          <w:bCs/>
          <w:color w:val="000000" w:themeColor="text1"/>
        </w:rPr>
      </w:pPr>
    </w:p>
    <w:p w:rsidR="00E013A3" w:rsidRPr="004D79F8" w:rsidRDefault="00657552" w:rsidP="004D79F8">
      <w:pPr>
        <w:shd w:val="clear" w:color="auto" w:fill="FFFFFF"/>
        <w:spacing w:line="360" w:lineRule="auto"/>
        <w:jc w:val="both"/>
        <w:rPr>
          <w:rFonts w:ascii="Palatino Linotype" w:eastAsia="Palatino Linotype" w:hAnsi="Palatino Linotype" w:cs="Palatino Linotype"/>
          <w:color w:val="000000" w:themeColor="text1"/>
        </w:rPr>
      </w:pPr>
      <w:r w:rsidRPr="004D79F8">
        <w:rPr>
          <w:rFonts w:ascii="Palatino Linotype" w:eastAsia="Palatino Linotype" w:hAnsi="Palatino Linotype" w:cs="Palatino Linotype"/>
          <w:b/>
          <w:bCs/>
          <w:color w:val="000000" w:themeColor="text1"/>
        </w:rPr>
        <w:t>CUARTO.</w:t>
      </w:r>
      <w:r w:rsidRPr="004D79F8">
        <w:rPr>
          <w:rFonts w:ascii="Palatino Linotype" w:eastAsia="Palatino Linotype" w:hAnsi="Palatino Linotype" w:cs="Palatino Linotype"/>
          <w:color w:val="000000" w:themeColor="text1"/>
        </w:rPr>
        <w:t xml:space="preserve"> De conformidad con el artículo 198 de la Ley de Transparencia y Acceso a la Información Pública del Estado de México y Municipios, de considerarlo procedente, el </w:t>
      </w:r>
      <w:r w:rsidRPr="004D79F8">
        <w:rPr>
          <w:rFonts w:ascii="Palatino Linotype" w:eastAsia="Palatino Linotype" w:hAnsi="Palatino Linotype" w:cs="Palatino Linotype"/>
          <w:b/>
          <w:bCs/>
          <w:color w:val="000000" w:themeColor="text1"/>
        </w:rPr>
        <w:t>SUJETO OBLIGADO</w:t>
      </w:r>
      <w:r w:rsidRPr="004D79F8">
        <w:rPr>
          <w:rFonts w:ascii="Palatino Linotype" w:eastAsia="Palatino Linotype" w:hAnsi="Palatino Linotype" w:cs="Palatino Linotype"/>
          <w:color w:val="000000" w:themeColor="text1"/>
        </w:rPr>
        <w:t xml:space="preserve"> podrá, de manera fundada y motivada, solicitar una ampliación de plazo para el cumplimiento de la presente resolución.</w:t>
      </w:r>
    </w:p>
    <w:p w:rsidR="00E013A3" w:rsidRPr="004D79F8" w:rsidRDefault="00E013A3" w:rsidP="004D79F8">
      <w:pPr>
        <w:spacing w:line="360" w:lineRule="auto"/>
        <w:rPr>
          <w:rFonts w:ascii="Palatino Linotype" w:eastAsia="Palatino Linotype" w:hAnsi="Palatino Linotype" w:cs="Palatino Linotype"/>
          <w:color w:val="000000" w:themeColor="text1"/>
        </w:rPr>
      </w:pPr>
    </w:p>
    <w:p w:rsidR="00E013A3" w:rsidRPr="004D79F8" w:rsidRDefault="00657552" w:rsidP="004D79F8">
      <w:pPr>
        <w:shd w:val="clear" w:color="auto" w:fill="FFFFFF"/>
        <w:spacing w:line="360" w:lineRule="auto"/>
        <w:jc w:val="both"/>
        <w:rPr>
          <w:rFonts w:ascii="Palatino Linotype" w:eastAsia="Palatino Linotype" w:hAnsi="Palatino Linotype" w:cs="Palatino Linotype"/>
          <w:color w:val="000000" w:themeColor="text1"/>
        </w:rPr>
      </w:pPr>
      <w:r w:rsidRPr="004D79F8">
        <w:rPr>
          <w:rFonts w:ascii="Palatino Linotype" w:eastAsia="Palatino Linotype" w:hAnsi="Palatino Linotype" w:cs="Palatino Linotype"/>
          <w:b/>
          <w:bCs/>
          <w:color w:val="000000" w:themeColor="text1"/>
        </w:rPr>
        <w:t xml:space="preserve">QUINTO. Notifíquese </w:t>
      </w:r>
      <w:r w:rsidRPr="004D79F8">
        <w:rPr>
          <w:rFonts w:ascii="Palatino Linotype" w:eastAsia="Palatino Linotype" w:hAnsi="Palatino Linotype" w:cs="Palatino Linotype"/>
          <w:color w:val="000000" w:themeColor="text1"/>
        </w:rPr>
        <w:t xml:space="preserve">al </w:t>
      </w:r>
      <w:r w:rsidRPr="004D79F8">
        <w:rPr>
          <w:rFonts w:ascii="Palatino Linotype" w:eastAsia="Palatino Linotype" w:hAnsi="Palatino Linotype" w:cs="Palatino Linotype"/>
          <w:b/>
          <w:bCs/>
          <w:color w:val="000000" w:themeColor="text1"/>
        </w:rPr>
        <w:t>RECURRENTE</w:t>
      </w:r>
      <w:r w:rsidRPr="004D79F8">
        <w:rPr>
          <w:rFonts w:ascii="Palatino Linotype" w:eastAsia="Palatino Linotype" w:hAnsi="Palatino Linotype" w:cs="Palatino Linotype"/>
          <w:color w:val="000000" w:themeColor="text1"/>
        </w:rPr>
        <w:t xml:space="preserve"> la presente resolución vía Sistema de Acceso a la Información Mexiquense (SAIMEX).</w:t>
      </w:r>
    </w:p>
    <w:p w:rsidR="00E013A3" w:rsidRPr="004D79F8" w:rsidRDefault="00E013A3" w:rsidP="004D79F8">
      <w:pPr>
        <w:shd w:val="clear" w:color="auto" w:fill="FFFFFF"/>
        <w:spacing w:line="360" w:lineRule="auto"/>
        <w:jc w:val="both"/>
        <w:rPr>
          <w:rFonts w:ascii="Palatino Linotype" w:eastAsia="Palatino Linotype" w:hAnsi="Palatino Linotype" w:cs="Palatino Linotype"/>
          <w:color w:val="000000" w:themeColor="text1"/>
        </w:rPr>
      </w:pPr>
    </w:p>
    <w:p w:rsidR="00E013A3" w:rsidRPr="004D79F8" w:rsidRDefault="00657552" w:rsidP="004D79F8">
      <w:pPr>
        <w:spacing w:line="360" w:lineRule="auto"/>
        <w:jc w:val="both"/>
        <w:rPr>
          <w:rFonts w:ascii="Palatino Linotype" w:eastAsia="Palatino Linotype" w:hAnsi="Palatino Linotype" w:cs="Palatino Linotype"/>
          <w:color w:val="000000" w:themeColor="text1"/>
        </w:rPr>
      </w:pPr>
      <w:r w:rsidRPr="004D79F8">
        <w:rPr>
          <w:rFonts w:ascii="Palatino Linotype" w:eastAsia="Palatino Linotype" w:hAnsi="Palatino Linotype" w:cs="Palatino Linotype"/>
          <w:b/>
          <w:bCs/>
          <w:color w:val="000000" w:themeColor="text1"/>
        </w:rPr>
        <w:lastRenderedPageBreak/>
        <w:t>SEXTO.</w:t>
      </w:r>
      <w:r w:rsidRPr="004D79F8">
        <w:rPr>
          <w:rFonts w:ascii="Palatino Linotype" w:eastAsia="Palatino Linotype" w:hAnsi="Palatino Linotype" w:cs="Palatino Linotype"/>
          <w:color w:val="000000" w:themeColor="text1"/>
        </w:rPr>
        <w:t xml:space="preserve"> Se hace del conocimiento del </w:t>
      </w:r>
      <w:r w:rsidRPr="004D79F8">
        <w:rPr>
          <w:rFonts w:ascii="Palatino Linotype" w:eastAsia="Palatino Linotype" w:hAnsi="Palatino Linotype" w:cs="Palatino Linotype"/>
          <w:b/>
          <w:bCs/>
          <w:color w:val="000000" w:themeColor="text1"/>
        </w:rPr>
        <w:t>RECURRENTE</w:t>
      </w:r>
      <w:r w:rsidRPr="004D79F8">
        <w:rPr>
          <w:rFonts w:ascii="Palatino Linotype" w:eastAsia="Palatino Linotype" w:hAnsi="Palatino Linotype" w:cs="Palatino Linotype"/>
          <w:color w:val="000000" w:themeColor="text1"/>
        </w:rPr>
        <w:t xml:space="preserve"> que, de conformidad con lo establecido en el artículo 196 de la Ley de Transparencia y Acceso a la Información Pública del Estado de México y Municipios, en caso de que considere que la resolución le cause algún perjuicio podrá impugnar vía juicio de amparo en los términos de las leyes aplicables.</w:t>
      </w:r>
    </w:p>
    <w:p w:rsidR="00E013A3" w:rsidRPr="004D79F8" w:rsidRDefault="004D79F8" w:rsidP="004D79F8">
      <w:pPr>
        <w:spacing w:before="240" w:after="240" w:line="360" w:lineRule="auto"/>
        <w:jc w:val="both"/>
        <w:rPr>
          <w:rFonts w:ascii="Palatino Linotype" w:eastAsia="Palatino Linotype" w:hAnsi="Palatino Linotype" w:cs="Palatino Linotype"/>
          <w:color w:val="000000" w:themeColor="text1"/>
        </w:rPr>
      </w:pPr>
      <w:r w:rsidRPr="00575AE2">
        <w:rPr>
          <w:rFonts w:ascii="Palatino Linotype" w:eastAsia="Palatino Linotype" w:hAnsi="Palatino Linotype" w:cs="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Pr>
          <w:rFonts w:ascii="Palatino Linotype" w:eastAsia="Palatino Linotype" w:hAnsi="Palatino Linotype" w:cs="Palatino Linotype"/>
        </w:rPr>
        <w:t xml:space="preserve">CUADRAGÉSIMA SEGUNDA </w:t>
      </w:r>
      <w:r w:rsidRPr="00575AE2">
        <w:rPr>
          <w:rFonts w:ascii="Palatino Linotype" w:eastAsia="Palatino Linotype" w:hAnsi="Palatino Linotype" w:cs="Palatino Linotype"/>
        </w:rPr>
        <w:t>SESIÓN ORDINARIA, CELEBRADA EL</w:t>
      </w:r>
      <w:r>
        <w:rPr>
          <w:rFonts w:ascii="Palatino Linotype" w:eastAsia="Palatino Linotype" w:hAnsi="Palatino Linotype" w:cs="Palatino Linotype"/>
        </w:rPr>
        <w:t xml:space="preserve"> VEINTICINCO (25)</w:t>
      </w:r>
      <w:r w:rsidRPr="00575AE2">
        <w:rPr>
          <w:rFonts w:ascii="Palatino Linotype" w:eastAsia="Palatino Linotype" w:hAnsi="Palatino Linotype" w:cs="Palatino Linotype"/>
        </w:rPr>
        <w:t xml:space="preserve"> DE </w:t>
      </w:r>
      <w:r>
        <w:rPr>
          <w:rFonts w:ascii="Palatino Linotype" w:eastAsia="Palatino Linotype" w:hAnsi="Palatino Linotype" w:cs="Palatino Linotype"/>
        </w:rPr>
        <w:t xml:space="preserve">NOVIEMBRE </w:t>
      </w:r>
      <w:r w:rsidRPr="00575AE2">
        <w:rPr>
          <w:rFonts w:ascii="Palatino Linotype" w:eastAsia="Palatino Linotype" w:hAnsi="Palatino Linotype" w:cs="Palatino Linotype"/>
        </w:rPr>
        <w:t>DE DOS MIL VEINTICINCO, ANTE EL SECRETARIO TÉCNICO DEL PLENO ALEXIS TAPIA RAMÍREZ.</w:t>
      </w:r>
      <w:r w:rsidR="00657552" w:rsidRPr="004D79F8">
        <w:rPr>
          <w:rFonts w:ascii="Palatino Linotype" w:eastAsia="Palatino Linotype" w:hAnsi="Palatino Linotype" w:cs="Palatino Linotype"/>
          <w:color w:val="000000" w:themeColor="text1"/>
        </w:rPr>
        <w:t>.</w:t>
      </w:r>
    </w:p>
    <w:p w:rsidR="00E013A3" w:rsidRPr="004D79F8" w:rsidRDefault="00E013A3" w:rsidP="004D79F8">
      <w:pPr>
        <w:spacing w:line="360" w:lineRule="auto"/>
        <w:jc w:val="both"/>
        <w:rPr>
          <w:rFonts w:ascii="Palatino Linotype" w:eastAsia="Palatino Linotype" w:hAnsi="Palatino Linotype" w:cs="Palatino Linotype"/>
          <w:color w:val="000000" w:themeColor="text1"/>
        </w:rPr>
      </w:pPr>
      <w:bookmarkStart w:id="12" w:name="_heading=h.lnxbz9" w:colFirst="0" w:colLast="0"/>
      <w:bookmarkEnd w:id="12"/>
    </w:p>
    <w:p w:rsidR="00E013A3" w:rsidRPr="004D79F8" w:rsidRDefault="00E013A3" w:rsidP="004D79F8">
      <w:pPr>
        <w:spacing w:before="240" w:after="240" w:line="360" w:lineRule="auto"/>
        <w:jc w:val="both"/>
        <w:rPr>
          <w:rFonts w:ascii="Palatino Linotype" w:eastAsia="Palatino Linotype" w:hAnsi="Palatino Linotype" w:cs="Palatino Linotype"/>
          <w:color w:val="000000" w:themeColor="text1"/>
        </w:rPr>
      </w:pPr>
    </w:p>
    <w:p w:rsidR="00E013A3" w:rsidRPr="004D79F8" w:rsidRDefault="00E013A3" w:rsidP="004D79F8">
      <w:pPr>
        <w:rPr>
          <w:rFonts w:ascii="Palatino Linotype" w:eastAsia="Palatino Linotype" w:hAnsi="Palatino Linotype" w:cs="Palatino Linotype"/>
          <w:color w:val="000000" w:themeColor="text1"/>
        </w:rPr>
      </w:pPr>
    </w:p>
    <w:p w:rsidR="00E013A3" w:rsidRPr="004D79F8" w:rsidRDefault="00E013A3" w:rsidP="004D79F8">
      <w:pPr>
        <w:rPr>
          <w:rFonts w:ascii="Palatino Linotype" w:eastAsia="Palatino Linotype" w:hAnsi="Palatino Linotype" w:cs="Palatino Linotype"/>
          <w:color w:val="000000" w:themeColor="text1"/>
        </w:rPr>
      </w:pPr>
    </w:p>
    <w:p w:rsidR="00E013A3" w:rsidRPr="004D79F8" w:rsidRDefault="00E013A3" w:rsidP="004D79F8">
      <w:pPr>
        <w:rPr>
          <w:rFonts w:ascii="Palatino Linotype" w:eastAsia="Palatino Linotype" w:hAnsi="Palatino Linotype" w:cs="Palatino Linotype"/>
          <w:color w:val="000000" w:themeColor="text1"/>
        </w:rPr>
      </w:pPr>
    </w:p>
    <w:p w:rsidR="00E013A3" w:rsidRPr="004D79F8" w:rsidRDefault="00E013A3" w:rsidP="004D79F8">
      <w:pPr>
        <w:rPr>
          <w:rFonts w:ascii="Palatino Linotype" w:eastAsia="Palatino Linotype" w:hAnsi="Palatino Linotype" w:cs="Palatino Linotype"/>
          <w:color w:val="000000" w:themeColor="text1"/>
        </w:rPr>
      </w:pPr>
    </w:p>
    <w:p w:rsidR="00E013A3" w:rsidRPr="004D79F8" w:rsidRDefault="00E013A3" w:rsidP="004D79F8">
      <w:pPr>
        <w:rPr>
          <w:rFonts w:ascii="Palatino Linotype" w:eastAsia="Palatino Linotype" w:hAnsi="Palatino Linotype" w:cs="Palatino Linotype"/>
          <w:color w:val="000000" w:themeColor="text1"/>
        </w:rPr>
      </w:pPr>
    </w:p>
    <w:p w:rsidR="00E013A3" w:rsidRPr="004D79F8" w:rsidRDefault="00E013A3" w:rsidP="004D79F8">
      <w:pPr>
        <w:rPr>
          <w:rFonts w:ascii="Palatino Linotype" w:eastAsia="Palatino Linotype" w:hAnsi="Palatino Linotype" w:cs="Palatino Linotype"/>
          <w:color w:val="000000" w:themeColor="text1"/>
        </w:rPr>
      </w:pPr>
    </w:p>
    <w:p w:rsidR="00E013A3" w:rsidRPr="004D79F8" w:rsidRDefault="00E013A3" w:rsidP="004D79F8">
      <w:pPr>
        <w:rPr>
          <w:rFonts w:ascii="Palatino Linotype" w:eastAsia="Palatino Linotype" w:hAnsi="Palatino Linotype" w:cs="Palatino Linotype"/>
          <w:color w:val="000000" w:themeColor="text1"/>
        </w:rPr>
      </w:pPr>
    </w:p>
    <w:p w:rsidR="00E013A3" w:rsidRPr="004D79F8" w:rsidRDefault="00E013A3" w:rsidP="004D79F8">
      <w:pPr>
        <w:rPr>
          <w:rFonts w:ascii="Palatino Linotype" w:eastAsia="Palatino Linotype" w:hAnsi="Palatino Linotype" w:cs="Palatino Linotype"/>
          <w:color w:val="000000" w:themeColor="text1"/>
        </w:rPr>
      </w:pPr>
    </w:p>
    <w:p w:rsidR="00E013A3" w:rsidRPr="004D79F8" w:rsidRDefault="00E013A3" w:rsidP="004D79F8">
      <w:pPr>
        <w:rPr>
          <w:rFonts w:ascii="Palatino Linotype" w:eastAsia="Palatino Linotype" w:hAnsi="Palatino Linotype" w:cs="Palatino Linotype"/>
          <w:color w:val="000000" w:themeColor="text1"/>
        </w:rPr>
      </w:pPr>
    </w:p>
    <w:p w:rsidR="00E013A3" w:rsidRPr="004D79F8" w:rsidRDefault="00E013A3" w:rsidP="004D79F8">
      <w:pPr>
        <w:rPr>
          <w:rFonts w:ascii="Palatino Linotype" w:eastAsia="Palatino Linotype" w:hAnsi="Palatino Linotype" w:cs="Palatino Linotype"/>
          <w:color w:val="000000" w:themeColor="text1"/>
        </w:rPr>
      </w:pPr>
    </w:p>
    <w:p w:rsidR="00E013A3" w:rsidRPr="004D79F8" w:rsidRDefault="00E013A3" w:rsidP="004D79F8">
      <w:pPr>
        <w:rPr>
          <w:rFonts w:ascii="Palatino Linotype" w:eastAsia="Palatino Linotype" w:hAnsi="Palatino Linotype" w:cs="Palatino Linotype"/>
          <w:color w:val="000000" w:themeColor="text1"/>
        </w:rPr>
      </w:pPr>
    </w:p>
    <w:p w:rsidR="00E013A3" w:rsidRPr="004D79F8" w:rsidRDefault="00E013A3" w:rsidP="004D79F8">
      <w:pPr>
        <w:rPr>
          <w:rFonts w:ascii="Palatino Linotype" w:eastAsia="Palatino Linotype" w:hAnsi="Palatino Linotype" w:cs="Palatino Linotype"/>
          <w:color w:val="000000" w:themeColor="text1"/>
        </w:rPr>
      </w:pPr>
    </w:p>
    <w:p w:rsidR="00E013A3" w:rsidRPr="004D79F8" w:rsidRDefault="00E013A3" w:rsidP="004D79F8">
      <w:pPr>
        <w:rPr>
          <w:rFonts w:ascii="Palatino Linotype" w:eastAsia="Palatino Linotype" w:hAnsi="Palatino Linotype" w:cs="Palatino Linotype"/>
          <w:color w:val="000000" w:themeColor="text1"/>
        </w:rPr>
      </w:pPr>
    </w:p>
    <w:p w:rsidR="00E013A3" w:rsidRPr="004D79F8" w:rsidRDefault="00E013A3" w:rsidP="004D79F8">
      <w:pPr>
        <w:rPr>
          <w:rFonts w:ascii="Palatino Linotype" w:eastAsia="Palatino Linotype" w:hAnsi="Palatino Linotype" w:cs="Palatino Linotype"/>
          <w:color w:val="000000" w:themeColor="text1"/>
        </w:rPr>
      </w:pPr>
    </w:p>
    <w:p w:rsidR="00E013A3" w:rsidRPr="004D79F8" w:rsidRDefault="00E013A3" w:rsidP="004D79F8">
      <w:pPr>
        <w:rPr>
          <w:rFonts w:ascii="Palatino Linotype" w:eastAsia="Palatino Linotype" w:hAnsi="Palatino Linotype" w:cs="Palatino Linotype"/>
          <w:color w:val="000000" w:themeColor="text1"/>
        </w:rPr>
      </w:pPr>
    </w:p>
    <w:p w:rsidR="00E013A3" w:rsidRPr="004D79F8" w:rsidRDefault="00E013A3" w:rsidP="004D79F8">
      <w:pPr>
        <w:rPr>
          <w:rFonts w:ascii="Palatino Linotype" w:eastAsia="Palatino Linotype" w:hAnsi="Palatino Linotype" w:cs="Palatino Linotype"/>
          <w:color w:val="000000" w:themeColor="text1"/>
        </w:rPr>
      </w:pPr>
    </w:p>
    <w:p w:rsidR="00E013A3" w:rsidRPr="004D79F8" w:rsidRDefault="00E013A3" w:rsidP="004D79F8">
      <w:pPr>
        <w:rPr>
          <w:rFonts w:ascii="Palatino Linotype" w:eastAsia="Palatino Linotype" w:hAnsi="Palatino Linotype" w:cs="Palatino Linotype"/>
          <w:color w:val="000000" w:themeColor="text1"/>
        </w:rPr>
      </w:pPr>
    </w:p>
    <w:p w:rsidR="00E013A3" w:rsidRPr="004D79F8" w:rsidRDefault="00E013A3" w:rsidP="004D79F8">
      <w:pPr>
        <w:rPr>
          <w:rFonts w:ascii="Palatino Linotype" w:eastAsia="Palatino Linotype" w:hAnsi="Palatino Linotype" w:cs="Palatino Linotype"/>
          <w:color w:val="000000" w:themeColor="text1"/>
        </w:rPr>
      </w:pPr>
    </w:p>
    <w:p w:rsidR="00E013A3" w:rsidRPr="004D79F8" w:rsidRDefault="00E013A3" w:rsidP="004D79F8">
      <w:pPr>
        <w:rPr>
          <w:rFonts w:ascii="Palatino Linotype" w:eastAsia="Palatino Linotype" w:hAnsi="Palatino Linotype" w:cs="Palatino Linotype"/>
          <w:color w:val="000000" w:themeColor="text1"/>
        </w:rPr>
      </w:pPr>
    </w:p>
    <w:p w:rsidR="00E013A3" w:rsidRPr="004D79F8" w:rsidRDefault="00E013A3" w:rsidP="004D79F8">
      <w:pPr>
        <w:rPr>
          <w:rFonts w:ascii="Palatino Linotype" w:eastAsia="Palatino Linotype" w:hAnsi="Palatino Linotype" w:cs="Palatino Linotype"/>
          <w:color w:val="000000" w:themeColor="text1"/>
        </w:rPr>
      </w:pPr>
    </w:p>
    <w:p w:rsidR="00E013A3" w:rsidRPr="004D79F8" w:rsidRDefault="00E013A3" w:rsidP="004D79F8">
      <w:pPr>
        <w:rPr>
          <w:rFonts w:ascii="Palatino Linotype" w:eastAsia="Palatino Linotype" w:hAnsi="Palatino Linotype" w:cs="Palatino Linotype"/>
          <w:color w:val="000000" w:themeColor="text1"/>
        </w:rPr>
      </w:pPr>
    </w:p>
    <w:p w:rsidR="00E013A3" w:rsidRPr="004D79F8" w:rsidRDefault="00E013A3" w:rsidP="004D79F8">
      <w:pPr>
        <w:rPr>
          <w:rFonts w:ascii="Palatino Linotype" w:eastAsia="Palatino Linotype" w:hAnsi="Palatino Linotype" w:cs="Palatino Linotype"/>
          <w:color w:val="000000" w:themeColor="text1"/>
        </w:rPr>
      </w:pPr>
    </w:p>
    <w:p w:rsidR="00E013A3" w:rsidRPr="004D79F8" w:rsidRDefault="00E013A3" w:rsidP="004D79F8">
      <w:pPr>
        <w:rPr>
          <w:rFonts w:ascii="Palatino Linotype" w:eastAsia="Palatino Linotype" w:hAnsi="Palatino Linotype" w:cs="Palatino Linotype"/>
          <w:color w:val="000000" w:themeColor="text1"/>
        </w:rPr>
      </w:pPr>
    </w:p>
    <w:p w:rsidR="00E013A3" w:rsidRPr="004D79F8" w:rsidRDefault="00E013A3" w:rsidP="004D79F8">
      <w:pPr>
        <w:rPr>
          <w:rFonts w:ascii="Palatino Linotype" w:eastAsia="Palatino Linotype" w:hAnsi="Palatino Linotype" w:cs="Palatino Linotype"/>
          <w:color w:val="000000" w:themeColor="text1"/>
        </w:rPr>
      </w:pPr>
    </w:p>
    <w:p w:rsidR="00E013A3" w:rsidRPr="004D79F8" w:rsidRDefault="00E013A3" w:rsidP="004D79F8">
      <w:pPr>
        <w:rPr>
          <w:rFonts w:ascii="Palatino Linotype" w:eastAsia="Palatino Linotype" w:hAnsi="Palatino Linotype" w:cs="Palatino Linotype"/>
          <w:color w:val="000000" w:themeColor="text1"/>
        </w:rPr>
      </w:pPr>
    </w:p>
    <w:p w:rsidR="00E013A3" w:rsidRPr="004D79F8" w:rsidRDefault="00E013A3" w:rsidP="004D79F8">
      <w:pPr>
        <w:rPr>
          <w:rFonts w:ascii="Palatino Linotype" w:eastAsia="Palatino Linotype" w:hAnsi="Palatino Linotype" w:cs="Palatino Linotype"/>
          <w:color w:val="000000" w:themeColor="text1"/>
        </w:rPr>
      </w:pPr>
    </w:p>
    <w:p w:rsidR="00E013A3" w:rsidRPr="004D79F8" w:rsidRDefault="00E013A3" w:rsidP="004D79F8">
      <w:pPr>
        <w:rPr>
          <w:rFonts w:ascii="Palatino Linotype" w:eastAsia="Palatino Linotype" w:hAnsi="Palatino Linotype" w:cs="Palatino Linotype"/>
          <w:color w:val="000000" w:themeColor="text1"/>
        </w:rPr>
      </w:pPr>
    </w:p>
    <w:p w:rsidR="00E013A3" w:rsidRPr="004D79F8" w:rsidRDefault="00E013A3" w:rsidP="004D79F8">
      <w:pPr>
        <w:rPr>
          <w:rFonts w:ascii="Palatino Linotype" w:hAnsi="Palatino Linotype"/>
          <w:color w:val="000000" w:themeColor="text1"/>
        </w:rPr>
      </w:pPr>
    </w:p>
    <w:sectPr w:rsidR="00E013A3" w:rsidRPr="004D79F8" w:rsidSect="00FD031B">
      <w:headerReference w:type="default" r:id="rId19"/>
      <w:footerReference w:type="default" r:id="rId20"/>
      <w:headerReference w:type="first" r:id="rId21"/>
      <w:footerReference w:type="first" r:id="rId22"/>
      <w:pgSz w:w="12240" w:h="15840"/>
      <w:pgMar w:top="1417" w:right="1041" w:bottom="1417"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67B0C" w:rsidRDefault="00967B0C">
      <w:r>
        <w:separator/>
      </w:r>
    </w:p>
  </w:endnote>
  <w:endnote w:type="continuationSeparator" w:id="0">
    <w:p w:rsidR="00967B0C" w:rsidRDefault="00967B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charset w:val="00"/>
    <w:family w:val="auto"/>
    <w:pitch w:val="default"/>
    <w:embedRegular r:id="rId1" w:fontKey="{5077DB98-F5D0-455A-8462-18A081B65A1C}"/>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embedRegular r:id="rId2" w:fontKey="{08662F40-3046-4E21-BBE9-E054485F522D}"/>
    <w:embedBold r:id="rId3" w:fontKey="{2B9564E1-0E90-47EF-9E16-964F4E97ADA4}"/>
    <w:embedItalic r:id="rId4" w:fontKey="{82ABED4B-F065-4F4D-BB2F-180AABCE4EDA}"/>
    <w:embedBoldItalic r:id="rId5" w:fontKey="{F4929F34-853D-48E6-9834-A3E554D77C30}"/>
  </w:font>
  <w:font w:name="Calibri">
    <w:panose1 w:val="020F0502020204030204"/>
    <w:charset w:val="00"/>
    <w:family w:val="swiss"/>
    <w:pitch w:val="variable"/>
    <w:sig w:usb0="E4002EFF" w:usb1="C200247B" w:usb2="00000009" w:usb3="00000000" w:csb0="000001FF" w:csb1="00000000"/>
    <w:embedRegular r:id="rId6" w:fontKey="{3CD8C7F6-7E43-4DC0-B435-EE8A2AC58FAE}"/>
  </w:font>
  <w:font w:name="Calibri Light">
    <w:panose1 w:val="020F0302020204030204"/>
    <w:charset w:val="00"/>
    <w:family w:val="swiss"/>
    <w:pitch w:val="variable"/>
    <w:sig w:usb0="E4002EFF" w:usb1="C200247B" w:usb2="00000009" w:usb3="00000000" w:csb0="000001FF" w:csb1="00000000"/>
    <w:embedRegular r:id="rId7" w:fontKey="{4A300827-5393-4F6E-A065-14FE6FE00914}"/>
  </w:font>
  <w:font w:name="Georgia">
    <w:panose1 w:val="02040502050405020303"/>
    <w:charset w:val="00"/>
    <w:family w:val="roman"/>
    <w:pitch w:val="variable"/>
    <w:sig w:usb0="00000287" w:usb1="00000000" w:usb2="00000000" w:usb3="00000000" w:csb0="0000009F" w:csb1="00000000"/>
    <w:embedItalic r:id="rId8" w:fontKey="{46667306-FACD-4A13-B224-602382522A1C}"/>
  </w:font>
  <w:font w:name="Century Gothic">
    <w:panose1 w:val="020B0502020202020204"/>
    <w:charset w:val="00"/>
    <w:family w:val="swiss"/>
    <w:pitch w:val="variable"/>
    <w:sig w:usb0="00000287" w:usb1="00000000" w:usb2="00000000" w:usb3="00000000" w:csb0="0000009F" w:csb1="00000000"/>
    <w:embedRegular r:id="rId9" w:fontKey="{F97C60CA-1C20-4842-8F30-744EEBDFC846}"/>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13A3" w:rsidRDefault="00657552">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rPr>
    </w:pPr>
    <w:r>
      <w:rPr>
        <w:rFonts w:ascii="Palatino Linotype" w:eastAsia="Palatino Linotype" w:hAnsi="Palatino Linotype" w:cs="Palatino Linotype"/>
        <w:b/>
        <w:bCs/>
        <w:color w:val="000000"/>
      </w:rPr>
      <w:t xml:space="preserve">Página </w:t>
    </w:r>
    <w:r>
      <w:rPr>
        <w:rFonts w:ascii="Palatino Linotype" w:eastAsia="Palatino Linotype" w:hAnsi="Palatino Linotype" w:cs="Palatino Linotype"/>
        <w:b/>
        <w:bCs/>
        <w:color w:val="000000"/>
      </w:rPr>
      <w:fldChar w:fldCharType="begin"/>
    </w:r>
    <w:r>
      <w:rPr>
        <w:rFonts w:ascii="Palatino Linotype" w:eastAsia="Palatino Linotype" w:hAnsi="Palatino Linotype" w:cs="Palatino Linotype"/>
        <w:b/>
        <w:bCs/>
        <w:color w:val="000000"/>
      </w:rPr>
      <w:instrText>PAGE</w:instrText>
    </w:r>
    <w:r>
      <w:rPr>
        <w:rFonts w:ascii="Palatino Linotype" w:eastAsia="Palatino Linotype" w:hAnsi="Palatino Linotype" w:cs="Palatino Linotype"/>
        <w:b/>
        <w:bCs/>
        <w:color w:val="000000"/>
      </w:rPr>
      <w:fldChar w:fldCharType="separate"/>
    </w:r>
    <w:r w:rsidR="00491DF7">
      <w:rPr>
        <w:rFonts w:ascii="Palatino Linotype" w:eastAsia="Palatino Linotype" w:hAnsi="Palatino Linotype" w:cs="Palatino Linotype"/>
        <w:b/>
        <w:bCs/>
        <w:noProof/>
        <w:color w:val="000000"/>
      </w:rPr>
      <w:t>21</w:t>
    </w:r>
    <w:r>
      <w:rPr>
        <w:rFonts w:ascii="Palatino Linotype" w:eastAsia="Palatino Linotype" w:hAnsi="Palatino Linotype" w:cs="Palatino Linotype"/>
        <w:b/>
        <w:bCs/>
        <w:color w:val="000000"/>
      </w:rPr>
      <w:fldChar w:fldCharType="end"/>
    </w:r>
    <w:r>
      <w:rPr>
        <w:rFonts w:ascii="Palatino Linotype" w:eastAsia="Palatino Linotype" w:hAnsi="Palatino Linotype" w:cs="Palatino Linotype"/>
        <w:color w:val="000000"/>
      </w:rPr>
      <w:t xml:space="preserve"> de </w:t>
    </w:r>
    <w:r>
      <w:rPr>
        <w:rFonts w:ascii="Palatino Linotype" w:eastAsia="Palatino Linotype" w:hAnsi="Palatino Linotype" w:cs="Palatino Linotype"/>
        <w:b/>
        <w:bCs/>
        <w:color w:val="000000"/>
      </w:rPr>
      <w:fldChar w:fldCharType="begin"/>
    </w:r>
    <w:r>
      <w:rPr>
        <w:rFonts w:ascii="Palatino Linotype" w:eastAsia="Palatino Linotype" w:hAnsi="Palatino Linotype" w:cs="Palatino Linotype"/>
        <w:b/>
        <w:bCs/>
        <w:color w:val="000000"/>
      </w:rPr>
      <w:instrText>NUMPAGES</w:instrText>
    </w:r>
    <w:r>
      <w:rPr>
        <w:rFonts w:ascii="Palatino Linotype" w:eastAsia="Palatino Linotype" w:hAnsi="Palatino Linotype" w:cs="Palatino Linotype"/>
        <w:b/>
        <w:bCs/>
        <w:color w:val="000000"/>
      </w:rPr>
      <w:fldChar w:fldCharType="separate"/>
    </w:r>
    <w:r w:rsidR="00491DF7">
      <w:rPr>
        <w:rFonts w:ascii="Palatino Linotype" w:eastAsia="Palatino Linotype" w:hAnsi="Palatino Linotype" w:cs="Palatino Linotype"/>
        <w:b/>
        <w:bCs/>
        <w:noProof/>
        <w:color w:val="000000"/>
      </w:rPr>
      <w:t>39</w:t>
    </w:r>
    <w:r>
      <w:rPr>
        <w:rFonts w:ascii="Palatino Linotype" w:eastAsia="Palatino Linotype" w:hAnsi="Palatino Linotype" w:cs="Palatino Linotype"/>
        <w:b/>
        <w:bCs/>
        <w:color w:val="000000"/>
      </w:rPr>
      <w:fldChar w:fldCharType="end"/>
    </w:r>
  </w:p>
  <w:p w:rsidR="00E013A3" w:rsidRDefault="00E013A3">
    <w:pPr>
      <w:pBdr>
        <w:top w:val="nil"/>
        <w:left w:val="nil"/>
        <w:bottom w:val="nil"/>
        <w:right w:val="nil"/>
        <w:between w:val="nil"/>
      </w:pBdr>
      <w:tabs>
        <w:tab w:val="center" w:pos="4252"/>
        <w:tab w:val="right" w:pos="8504"/>
      </w:tabs>
      <w:rPr>
        <w:color w:val="000000"/>
      </w:rPr>
    </w:pPr>
  </w:p>
  <w:p w:rsidR="00E013A3" w:rsidRDefault="00E013A3">
    <w:pPr>
      <w:pBdr>
        <w:top w:val="nil"/>
        <w:left w:val="nil"/>
        <w:bottom w:val="nil"/>
        <w:right w:val="nil"/>
        <w:between w:val="nil"/>
      </w:pBdr>
      <w:tabs>
        <w:tab w:val="center" w:pos="4252"/>
        <w:tab w:val="right" w:pos="8504"/>
      </w:tabs>
      <w:ind w:firstLine="708"/>
      <w:jc w:val="center"/>
      <w:rPr>
        <w:rFonts w:ascii="Calibri" w:eastAsia="Calibri" w:hAnsi="Calibri" w:cs="Calibri"/>
        <w:color w:val="000000"/>
      </w:rPr>
    </w:pPr>
  </w:p>
  <w:p w:rsidR="00E013A3" w:rsidRDefault="00E013A3"/>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13A3" w:rsidRPr="00491DF7" w:rsidRDefault="00657552">
    <w:pPr>
      <w:pBdr>
        <w:top w:val="nil"/>
        <w:left w:val="nil"/>
        <w:bottom w:val="nil"/>
        <w:right w:val="nil"/>
        <w:between w:val="nil"/>
      </w:pBdr>
      <w:tabs>
        <w:tab w:val="center" w:pos="4252"/>
        <w:tab w:val="right" w:pos="8504"/>
      </w:tabs>
      <w:jc w:val="right"/>
      <w:rPr>
        <w:rFonts w:ascii="Palatino Linotype" w:eastAsia="Arial" w:hAnsi="Palatino Linotype" w:cs="Arial"/>
        <w:color w:val="000000"/>
        <w:szCs w:val="20"/>
      </w:rPr>
    </w:pPr>
    <w:r w:rsidRPr="00491DF7">
      <w:rPr>
        <w:rFonts w:ascii="Palatino Linotype" w:eastAsia="Arial" w:hAnsi="Palatino Linotype" w:cs="Arial"/>
        <w:b/>
        <w:bCs/>
        <w:color w:val="000000"/>
        <w:szCs w:val="20"/>
      </w:rPr>
      <w:t xml:space="preserve">Página </w:t>
    </w:r>
    <w:r w:rsidRPr="00491DF7">
      <w:rPr>
        <w:rFonts w:ascii="Palatino Linotype" w:eastAsia="Arial" w:hAnsi="Palatino Linotype" w:cs="Arial"/>
        <w:b/>
        <w:bCs/>
        <w:color w:val="000000"/>
        <w:szCs w:val="20"/>
      </w:rPr>
      <w:fldChar w:fldCharType="begin"/>
    </w:r>
    <w:r w:rsidRPr="00491DF7">
      <w:rPr>
        <w:rFonts w:ascii="Palatino Linotype" w:eastAsia="Arial" w:hAnsi="Palatino Linotype" w:cs="Arial"/>
        <w:b/>
        <w:bCs/>
        <w:color w:val="000000"/>
        <w:szCs w:val="20"/>
      </w:rPr>
      <w:instrText>PAGE</w:instrText>
    </w:r>
    <w:r w:rsidRPr="00491DF7">
      <w:rPr>
        <w:rFonts w:ascii="Palatino Linotype" w:eastAsia="Arial" w:hAnsi="Palatino Linotype" w:cs="Arial"/>
        <w:b/>
        <w:bCs/>
        <w:color w:val="000000"/>
        <w:szCs w:val="20"/>
      </w:rPr>
      <w:fldChar w:fldCharType="separate"/>
    </w:r>
    <w:r w:rsidR="00491DF7">
      <w:rPr>
        <w:rFonts w:ascii="Palatino Linotype" w:eastAsia="Arial" w:hAnsi="Palatino Linotype" w:cs="Arial"/>
        <w:b/>
        <w:bCs/>
        <w:noProof/>
        <w:color w:val="000000"/>
        <w:szCs w:val="20"/>
      </w:rPr>
      <w:t>1</w:t>
    </w:r>
    <w:r w:rsidRPr="00491DF7">
      <w:rPr>
        <w:rFonts w:ascii="Palatino Linotype" w:eastAsia="Arial" w:hAnsi="Palatino Linotype" w:cs="Arial"/>
        <w:b/>
        <w:bCs/>
        <w:color w:val="000000"/>
        <w:szCs w:val="20"/>
      </w:rPr>
      <w:fldChar w:fldCharType="end"/>
    </w:r>
    <w:r w:rsidRPr="00491DF7">
      <w:rPr>
        <w:rFonts w:ascii="Palatino Linotype" w:eastAsia="Arial" w:hAnsi="Palatino Linotype" w:cs="Arial"/>
        <w:color w:val="000000"/>
        <w:szCs w:val="20"/>
      </w:rPr>
      <w:t xml:space="preserve"> de </w:t>
    </w:r>
    <w:r w:rsidRPr="00491DF7">
      <w:rPr>
        <w:rFonts w:ascii="Palatino Linotype" w:eastAsia="Arial" w:hAnsi="Palatino Linotype" w:cs="Arial"/>
        <w:b/>
        <w:bCs/>
        <w:color w:val="000000"/>
        <w:szCs w:val="20"/>
      </w:rPr>
      <w:fldChar w:fldCharType="begin"/>
    </w:r>
    <w:r w:rsidRPr="00491DF7">
      <w:rPr>
        <w:rFonts w:ascii="Palatino Linotype" w:eastAsia="Arial" w:hAnsi="Palatino Linotype" w:cs="Arial"/>
        <w:b/>
        <w:bCs/>
        <w:color w:val="000000"/>
        <w:szCs w:val="20"/>
      </w:rPr>
      <w:instrText>NUMPAGES</w:instrText>
    </w:r>
    <w:r w:rsidRPr="00491DF7">
      <w:rPr>
        <w:rFonts w:ascii="Palatino Linotype" w:eastAsia="Arial" w:hAnsi="Palatino Linotype" w:cs="Arial"/>
        <w:b/>
        <w:bCs/>
        <w:color w:val="000000"/>
        <w:szCs w:val="20"/>
      </w:rPr>
      <w:fldChar w:fldCharType="separate"/>
    </w:r>
    <w:r w:rsidR="00491DF7">
      <w:rPr>
        <w:rFonts w:ascii="Palatino Linotype" w:eastAsia="Arial" w:hAnsi="Palatino Linotype" w:cs="Arial"/>
        <w:b/>
        <w:bCs/>
        <w:noProof/>
        <w:color w:val="000000"/>
        <w:szCs w:val="20"/>
      </w:rPr>
      <w:t>39</w:t>
    </w:r>
    <w:r w:rsidRPr="00491DF7">
      <w:rPr>
        <w:rFonts w:ascii="Palatino Linotype" w:eastAsia="Arial" w:hAnsi="Palatino Linotype" w:cs="Arial"/>
        <w:b/>
        <w:bCs/>
        <w:color w:val="000000"/>
        <w:szCs w:val="20"/>
      </w:rPr>
      <w:fldChar w:fldCharType="end"/>
    </w:r>
  </w:p>
  <w:p w:rsidR="00E013A3" w:rsidRDefault="00E013A3">
    <w:pPr>
      <w:pBdr>
        <w:top w:val="nil"/>
        <w:left w:val="nil"/>
        <w:bottom w:val="nil"/>
        <w:right w:val="nil"/>
        <w:between w:val="nil"/>
      </w:pBdr>
      <w:tabs>
        <w:tab w:val="center" w:pos="4252"/>
        <w:tab w:val="right" w:pos="8504"/>
      </w:tabs>
      <w:rPr>
        <w:rFonts w:ascii="Calibri" w:eastAsia="Calibri" w:hAnsi="Calibri" w:cs="Calibri"/>
        <w:color w:val="000000"/>
      </w:rPr>
    </w:pPr>
  </w:p>
  <w:p w:rsidR="00E013A3" w:rsidRDefault="00E013A3"/>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67B0C" w:rsidRDefault="00967B0C">
      <w:r>
        <w:separator/>
      </w:r>
    </w:p>
  </w:footnote>
  <w:footnote w:type="continuationSeparator" w:id="0">
    <w:p w:rsidR="00967B0C" w:rsidRDefault="00967B0C">
      <w:r>
        <w:continuationSeparator/>
      </w:r>
    </w:p>
  </w:footnote>
  <w:footnote w:id="1">
    <w:p w:rsidR="00E013A3" w:rsidRDefault="00657552">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Artículo 150. Ley de Transparencia y Acceso a la Información Pública del Estado de México y Municipios.</w:t>
      </w:r>
    </w:p>
    <w:p w:rsidR="00E013A3" w:rsidRDefault="00657552">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Artículo 151. Ibídem.</w:t>
      </w:r>
    </w:p>
  </w:footnote>
  <w:footnote w:id="2">
    <w:p w:rsidR="00E013A3" w:rsidRDefault="00657552">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Fracción IV. Artículo 53. Ibídem.</w:t>
      </w:r>
    </w:p>
  </w:footnote>
  <w:footnote w:id="3">
    <w:p w:rsidR="00E013A3" w:rsidRDefault="00657552">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Ley de Transparencia y Acceso a la Información Pública del Estado de México y Municipios. Artículo 9. …</w:t>
      </w:r>
    </w:p>
    <w:p w:rsidR="00E013A3" w:rsidRDefault="00657552">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II. Eficacia: Obligación del Instituto para tutelar, de manera efectiva, el derecho de acceso a la información;</w:t>
      </w:r>
    </w:p>
    <w:p w:rsidR="00E013A3" w:rsidRDefault="00657552">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a1"/>
      <w:tblW w:w="6447" w:type="dxa"/>
      <w:tblInd w:w="3686" w:type="dxa"/>
      <w:tblLayout w:type="fixed"/>
      <w:tblLook w:val="0400" w:firstRow="0" w:lastRow="0" w:firstColumn="0" w:lastColumn="0" w:noHBand="0" w:noVBand="1"/>
    </w:tblPr>
    <w:tblGrid>
      <w:gridCol w:w="2701"/>
      <w:gridCol w:w="3746"/>
    </w:tblGrid>
    <w:tr w:rsidR="00E013A3" w:rsidTr="00FD031B">
      <w:tc>
        <w:tcPr>
          <w:tcW w:w="2701" w:type="dxa"/>
          <w:vAlign w:val="center"/>
        </w:tcPr>
        <w:p w:rsidR="00E013A3" w:rsidRPr="004D79F8" w:rsidRDefault="00657552" w:rsidP="004D79F8">
          <w:pPr>
            <w:rPr>
              <w:rFonts w:ascii="Palatino Linotype" w:eastAsia="Palatino Linotype" w:hAnsi="Palatino Linotype" w:cs="Palatino Linotype"/>
              <w:b/>
              <w:bCs/>
              <w:color w:val="000000" w:themeColor="text1"/>
            </w:rPr>
          </w:pPr>
          <w:r w:rsidRPr="004D79F8">
            <w:rPr>
              <w:rFonts w:ascii="Palatino Linotype" w:eastAsia="Palatino Linotype" w:hAnsi="Palatino Linotype" w:cs="Palatino Linotype"/>
              <w:b/>
              <w:bCs/>
              <w:color w:val="000000" w:themeColor="text1"/>
            </w:rPr>
            <w:t>Recurso de Revisión:</w:t>
          </w:r>
        </w:p>
      </w:tc>
      <w:tc>
        <w:tcPr>
          <w:tcW w:w="3746" w:type="dxa"/>
          <w:vAlign w:val="center"/>
        </w:tcPr>
        <w:p w:rsidR="00E013A3" w:rsidRPr="004D79F8" w:rsidRDefault="00657552" w:rsidP="004D79F8">
          <w:pPr>
            <w:rPr>
              <w:rFonts w:ascii="Palatino Linotype" w:eastAsia="Palatino Linotype" w:hAnsi="Palatino Linotype" w:cs="Palatino Linotype"/>
              <w:color w:val="000000" w:themeColor="text1"/>
            </w:rPr>
          </w:pPr>
          <w:r w:rsidRPr="004D79F8">
            <w:rPr>
              <w:rFonts w:ascii="Palatino Linotype" w:eastAsia="Palatino Linotype" w:hAnsi="Palatino Linotype" w:cs="Palatino Linotype"/>
              <w:color w:val="000000" w:themeColor="text1"/>
            </w:rPr>
            <w:t xml:space="preserve">07278/INFOEM/IP/RR/2025 </w:t>
          </w:r>
        </w:p>
      </w:tc>
    </w:tr>
    <w:tr w:rsidR="00E013A3" w:rsidTr="00FD031B">
      <w:trPr>
        <w:trHeight w:val="228"/>
      </w:trPr>
      <w:tc>
        <w:tcPr>
          <w:tcW w:w="2701" w:type="dxa"/>
          <w:vAlign w:val="center"/>
        </w:tcPr>
        <w:p w:rsidR="00E013A3" w:rsidRPr="004D79F8" w:rsidRDefault="00657552" w:rsidP="004D79F8">
          <w:pPr>
            <w:rPr>
              <w:rFonts w:ascii="Palatino Linotype" w:eastAsia="Palatino Linotype" w:hAnsi="Palatino Linotype" w:cs="Palatino Linotype"/>
              <w:b/>
              <w:bCs/>
              <w:color w:val="000000" w:themeColor="text1"/>
            </w:rPr>
          </w:pPr>
          <w:r w:rsidRPr="004D79F8">
            <w:rPr>
              <w:rFonts w:ascii="Palatino Linotype" w:eastAsia="Palatino Linotype" w:hAnsi="Palatino Linotype" w:cs="Palatino Linotype"/>
              <w:b/>
              <w:bCs/>
              <w:color w:val="000000" w:themeColor="text1"/>
            </w:rPr>
            <w:t>Sujeto Obligado:</w:t>
          </w:r>
        </w:p>
      </w:tc>
      <w:tc>
        <w:tcPr>
          <w:tcW w:w="3746" w:type="dxa"/>
          <w:vAlign w:val="center"/>
        </w:tcPr>
        <w:p w:rsidR="00E013A3" w:rsidRPr="004D79F8" w:rsidRDefault="00657552" w:rsidP="004D79F8">
          <w:pPr>
            <w:jc w:val="both"/>
            <w:rPr>
              <w:rFonts w:ascii="Palatino Linotype" w:eastAsia="Palatino Linotype" w:hAnsi="Palatino Linotype" w:cs="Palatino Linotype"/>
              <w:color w:val="000000" w:themeColor="text1"/>
            </w:rPr>
          </w:pPr>
          <w:r w:rsidRPr="004D79F8">
            <w:rPr>
              <w:rFonts w:ascii="Palatino Linotype" w:eastAsia="Palatino Linotype" w:hAnsi="Palatino Linotype" w:cs="Palatino Linotype"/>
              <w:color w:val="000000" w:themeColor="text1"/>
            </w:rPr>
            <w:t>Ayuntamiento de Toluca</w:t>
          </w:r>
        </w:p>
      </w:tc>
    </w:tr>
    <w:tr w:rsidR="00E013A3" w:rsidTr="00FD031B">
      <w:tc>
        <w:tcPr>
          <w:tcW w:w="2701" w:type="dxa"/>
          <w:vAlign w:val="center"/>
        </w:tcPr>
        <w:p w:rsidR="00E013A3" w:rsidRPr="004D79F8" w:rsidRDefault="00657552" w:rsidP="004D79F8">
          <w:pPr>
            <w:rPr>
              <w:rFonts w:ascii="Palatino Linotype" w:eastAsia="Palatino Linotype" w:hAnsi="Palatino Linotype" w:cs="Palatino Linotype"/>
              <w:b/>
              <w:bCs/>
              <w:color w:val="000000" w:themeColor="text1"/>
            </w:rPr>
          </w:pPr>
          <w:r w:rsidRPr="004D79F8">
            <w:rPr>
              <w:rFonts w:ascii="Palatino Linotype" w:eastAsia="Palatino Linotype" w:hAnsi="Palatino Linotype" w:cs="Palatino Linotype"/>
              <w:b/>
              <w:bCs/>
              <w:color w:val="000000" w:themeColor="text1"/>
            </w:rPr>
            <w:t>Comisionada ponente:</w:t>
          </w:r>
        </w:p>
      </w:tc>
      <w:tc>
        <w:tcPr>
          <w:tcW w:w="3746" w:type="dxa"/>
          <w:vAlign w:val="center"/>
        </w:tcPr>
        <w:p w:rsidR="00E013A3" w:rsidRPr="004D79F8" w:rsidRDefault="00657552" w:rsidP="004D79F8">
          <w:pPr>
            <w:ind w:right="-533"/>
            <w:rPr>
              <w:rFonts w:ascii="Palatino Linotype" w:eastAsia="Palatino Linotype" w:hAnsi="Palatino Linotype" w:cs="Palatino Linotype"/>
              <w:color w:val="000000" w:themeColor="text1"/>
            </w:rPr>
          </w:pPr>
          <w:r w:rsidRPr="004D79F8">
            <w:rPr>
              <w:rFonts w:ascii="Palatino Linotype" w:eastAsia="Palatino Linotype" w:hAnsi="Palatino Linotype" w:cs="Palatino Linotype"/>
              <w:color w:val="000000" w:themeColor="text1"/>
            </w:rPr>
            <w:t xml:space="preserve">María del Rosario Mejía Ayala  </w:t>
          </w:r>
        </w:p>
      </w:tc>
    </w:tr>
  </w:tbl>
  <w:p w:rsidR="00E013A3" w:rsidRDefault="00FD031B">
    <w:pPr>
      <w:pBdr>
        <w:top w:val="nil"/>
        <w:left w:val="nil"/>
        <w:bottom w:val="nil"/>
        <w:right w:val="nil"/>
        <w:between w:val="nil"/>
      </w:pBdr>
      <w:tabs>
        <w:tab w:val="center" w:pos="4252"/>
        <w:tab w:val="right" w:pos="8504"/>
        <w:tab w:val="left" w:pos="2326"/>
      </w:tabs>
      <w:rPr>
        <w:rFonts w:ascii="Calibri" w:eastAsia="Calibri" w:hAnsi="Calibri" w:cs="Calibri"/>
        <w:color w:val="000000"/>
      </w:rPr>
    </w:pPr>
    <w:r>
      <w:rPr>
        <w:noProof/>
        <w:lang w:val="es-MX"/>
      </w:rPr>
      <w:drawing>
        <wp:anchor distT="0" distB="0" distL="0" distR="0" simplePos="0" relativeHeight="251658240" behindDoc="1" locked="0" layoutInCell="1" hidden="0" allowOverlap="1">
          <wp:simplePos x="0" y="0"/>
          <wp:positionH relativeFrom="page">
            <wp:align>right</wp:align>
          </wp:positionH>
          <wp:positionV relativeFrom="paragraph">
            <wp:posOffset>-1066333</wp:posOffset>
          </wp:positionV>
          <wp:extent cx="7635875" cy="9943465"/>
          <wp:effectExtent l="0" t="0" r="3175" b="635"/>
          <wp:wrapNone/>
          <wp:docPr id="11"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
                  <a:srcRect/>
                  <a:stretch>
                    <a:fillRect/>
                  </a:stretch>
                </pic:blipFill>
                <pic:spPr>
                  <a:xfrm>
                    <a:off x="0" y="0"/>
                    <a:ext cx="7635875" cy="9943465"/>
                  </a:xfrm>
                  <a:prstGeom prst="rect">
                    <a:avLst/>
                  </a:prstGeom>
                  <a:ln/>
                </pic:spPr>
              </pic:pic>
            </a:graphicData>
          </a:graphic>
        </wp:anchor>
      </w:drawing>
    </w:r>
    <w:r w:rsidR="00657552">
      <w:rPr>
        <w:rFonts w:ascii="Calibri" w:eastAsia="Calibri" w:hAnsi="Calibri" w:cs="Calibri"/>
        <w:color w:val="000000"/>
      </w:rPr>
      <w:tab/>
    </w:r>
  </w:p>
  <w:p w:rsidR="00E013A3" w:rsidRDefault="00E013A3">
    <w:pPr>
      <w:pBdr>
        <w:top w:val="nil"/>
        <w:left w:val="nil"/>
        <w:bottom w:val="nil"/>
        <w:right w:val="nil"/>
        <w:between w:val="nil"/>
      </w:pBdr>
      <w:tabs>
        <w:tab w:val="center" w:pos="4252"/>
        <w:tab w:val="right" w:pos="8504"/>
        <w:tab w:val="left" w:pos="2326"/>
      </w:tabs>
      <w:rPr>
        <w:rFonts w:ascii="Calibri" w:eastAsia="Calibri" w:hAnsi="Calibri" w:cs="Calibri"/>
        <w:color w:val="000000"/>
      </w:rPr>
    </w:pPr>
  </w:p>
  <w:p w:rsidR="00E013A3" w:rsidRDefault="00E013A3"/>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a2"/>
      <w:tblW w:w="6809" w:type="dxa"/>
      <w:tblInd w:w="3256" w:type="dxa"/>
      <w:tblLayout w:type="fixed"/>
      <w:tblLook w:val="0400" w:firstRow="0" w:lastRow="0" w:firstColumn="0" w:lastColumn="0" w:noHBand="0" w:noVBand="1"/>
    </w:tblPr>
    <w:tblGrid>
      <w:gridCol w:w="2698"/>
      <w:gridCol w:w="4111"/>
    </w:tblGrid>
    <w:tr w:rsidR="004D79F8" w:rsidRPr="004D79F8" w:rsidTr="004D79F8">
      <w:trPr>
        <w:trHeight w:val="266"/>
      </w:trPr>
      <w:tc>
        <w:tcPr>
          <w:tcW w:w="2698" w:type="dxa"/>
          <w:vAlign w:val="center"/>
        </w:tcPr>
        <w:p w:rsidR="00E013A3" w:rsidRPr="004D79F8" w:rsidRDefault="00657552" w:rsidP="004D79F8">
          <w:pPr>
            <w:ind w:right="-115"/>
            <w:rPr>
              <w:rFonts w:ascii="Palatino Linotype" w:eastAsia="Palatino Linotype" w:hAnsi="Palatino Linotype" w:cs="Palatino Linotype"/>
              <w:b/>
              <w:bCs/>
              <w:color w:val="000000" w:themeColor="text1"/>
            </w:rPr>
          </w:pPr>
          <w:r w:rsidRPr="004D79F8">
            <w:rPr>
              <w:rFonts w:ascii="Palatino Linotype" w:eastAsia="Palatino Linotype" w:hAnsi="Palatino Linotype" w:cs="Palatino Linotype"/>
              <w:b/>
              <w:bCs/>
              <w:color w:val="000000" w:themeColor="text1"/>
            </w:rPr>
            <w:t>Recurso de Revisión:</w:t>
          </w:r>
        </w:p>
      </w:tc>
      <w:tc>
        <w:tcPr>
          <w:tcW w:w="4111" w:type="dxa"/>
          <w:vAlign w:val="center"/>
        </w:tcPr>
        <w:p w:rsidR="00E013A3" w:rsidRPr="004D79F8" w:rsidRDefault="00657552" w:rsidP="004D79F8">
          <w:pPr>
            <w:ind w:right="-108"/>
            <w:rPr>
              <w:rFonts w:ascii="Palatino Linotype" w:eastAsia="Palatino Linotype" w:hAnsi="Palatino Linotype" w:cs="Palatino Linotype"/>
              <w:color w:val="000000" w:themeColor="text1"/>
            </w:rPr>
          </w:pPr>
          <w:r w:rsidRPr="004D79F8">
            <w:rPr>
              <w:rFonts w:ascii="Palatino Linotype" w:eastAsia="Palatino Linotype" w:hAnsi="Palatino Linotype" w:cs="Palatino Linotype"/>
              <w:color w:val="000000" w:themeColor="text1"/>
            </w:rPr>
            <w:t xml:space="preserve">07278/INFOEM/IP/RR/2025 </w:t>
          </w:r>
        </w:p>
      </w:tc>
    </w:tr>
    <w:tr w:rsidR="004D79F8" w:rsidRPr="004D79F8" w:rsidTr="004D79F8">
      <w:trPr>
        <w:trHeight w:val="533"/>
      </w:trPr>
      <w:tc>
        <w:tcPr>
          <w:tcW w:w="2698" w:type="dxa"/>
          <w:vAlign w:val="center"/>
        </w:tcPr>
        <w:p w:rsidR="00E013A3" w:rsidRPr="004D79F8" w:rsidRDefault="00657552" w:rsidP="004D79F8">
          <w:pPr>
            <w:ind w:right="-115"/>
            <w:rPr>
              <w:rFonts w:ascii="Palatino Linotype" w:eastAsia="Palatino Linotype" w:hAnsi="Palatino Linotype" w:cs="Palatino Linotype"/>
              <w:b/>
              <w:bCs/>
              <w:color w:val="000000" w:themeColor="text1"/>
            </w:rPr>
          </w:pPr>
          <w:r w:rsidRPr="004D79F8">
            <w:rPr>
              <w:rFonts w:ascii="Palatino Linotype" w:eastAsia="Palatino Linotype" w:hAnsi="Palatino Linotype" w:cs="Palatino Linotype"/>
              <w:b/>
              <w:bCs/>
              <w:color w:val="000000" w:themeColor="text1"/>
            </w:rPr>
            <w:t>Recurrente:</w:t>
          </w:r>
        </w:p>
      </w:tc>
      <w:tc>
        <w:tcPr>
          <w:tcW w:w="4111" w:type="dxa"/>
          <w:vAlign w:val="center"/>
        </w:tcPr>
        <w:p w:rsidR="00E013A3" w:rsidRPr="004D79F8" w:rsidRDefault="00E013A3" w:rsidP="004D79F8">
          <w:pPr>
            <w:ind w:right="-108"/>
            <w:rPr>
              <w:rFonts w:ascii="Palatino Linotype" w:eastAsia="Palatino Linotype" w:hAnsi="Palatino Linotype" w:cs="Palatino Linotype"/>
              <w:color w:val="000000" w:themeColor="text1"/>
            </w:rPr>
          </w:pPr>
        </w:p>
      </w:tc>
    </w:tr>
    <w:tr w:rsidR="004D79F8" w:rsidRPr="004D79F8" w:rsidTr="004D79F8">
      <w:trPr>
        <w:trHeight w:val="266"/>
      </w:trPr>
      <w:tc>
        <w:tcPr>
          <w:tcW w:w="2698" w:type="dxa"/>
          <w:vAlign w:val="center"/>
        </w:tcPr>
        <w:p w:rsidR="00E013A3" w:rsidRPr="004D79F8" w:rsidRDefault="00657552" w:rsidP="004D79F8">
          <w:pPr>
            <w:ind w:right="-115"/>
            <w:rPr>
              <w:rFonts w:ascii="Palatino Linotype" w:eastAsia="Palatino Linotype" w:hAnsi="Palatino Linotype" w:cs="Palatino Linotype"/>
              <w:b/>
              <w:bCs/>
              <w:color w:val="000000" w:themeColor="text1"/>
            </w:rPr>
          </w:pPr>
          <w:r w:rsidRPr="004D79F8">
            <w:rPr>
              <w:rFonts w:ascii="Palatino Linotype" w:eastAsia="Palatino Linotype" w:hAnsi="Palatino Linotype" w:cs="Palatino Linotype"/>
              <w:b/>
              <w:bCs/>
              <w:color w:val="000000" w:themeColor="text1"/>
            </w:rPr>
            <w:t>Sujeto Obligado:</w:t>
          </w:r>
        </w:p>
      </w:tc>
      <w:tc>
        <w:tcPr>
          <w:tcW w:w="4111" w:type="dxa"/>
          <w:vAlign w:val="center"/>
        </w:tcPr>
        <w:p w:rsidR="00E013A3" w:rsidRPr="004D79F8" w:rsidRDefault="00657552" w:rsidP="004D79F8">
          <w:pPr>
            <w:ind w:right="-108"/>
            <w:rPr>
              <w:rFonts w:ascii="Palatino Linotype" w:eastAsia="Palatino Linotype" w:hAnsi="Palatino Linotype" w:cs="Palatino Linotype"/>
              <w:color w:val="000000" w:themeColor="text1"/>
            </w:rPr>
          </w:pPr>
          <w:r w:rsidRPr="004D79F8">
            <w:rPr>
              <w:rFonts w:ascii="Palatino Linotype" w:eastAsia="Palatino Linotype" w:hAnsi="Palatino Linotype" w:cs="Palatino Linotype"/>
              <w:color w:val="000000" w:themeColor="text1"/>
            </w:rPr>
            <w:t>Ayuntamiento de Toluca</w:t>
          </w:r>
        </w:p>
      </w:tc>
    </w:tr>
    <w:tr w:rsidR="004D79F8" w:rsidRPr="004D79F8" w:rsidTr="004D79F8">
      <w:trPr>
        <w:trHeight w:val="266"/>
      </w:trPr>
      <w:tc>
        <w:tcPr>
          <w:tcW w:w="2698" w:type="dxa"/>
          <w:vAlign w:val="center"/>
        </w:tcPr>
        <w:p w:rsidR="00E013A3" w:rsidRPr="004D79F8" w:rsidRDefault="00657552" w:rsidP="004D79F8">
          <w:pPr>
            <w:ind w:right="-115"/>
            <w:rPr>
              <w:rFonts w:ascii="Palatino Linotype" w:eastAsia="Palatino Linotype" w:hAnsi="Palatino Linotype" w:cs="Palatino Linotype"/>
              <w:b/>
              <w:bCs/>
              <w:color w:val="000000" w:themeColor="text1"/>
            </w:rPr>
          </w:pPr>
          <w:r w:rsidRPr="004D79F8">
            <w:rPr>
              <w:rFonts w:ascii="Palatino Linotype" w:eastAsia="Palatino Linotype" w:hAnsi="Palatino Linotype" w:cs="Palatino Linotype"/>
              <w:b/>
              <w:bCs/>
              <w:color w:val="000000" w:themeColor="text1"/>
            </w:rPr>
            <w:t>Comisionada Ponente:</w:t>
          </w:r>
        </w:p>
      </w:tc>
      <w:tc>
        <w:tcPr>
          <w:tcW w:w="4111" w:type="dxa"/>
          <w:vAlign w:val="center"/>
        </w:tcPr>
        <w:p w:rsidR="00E013A3" w:rsidRPr="004D79F8" w:rsidRDefault="00657552" w:rsidP="004D79F8">
          <w:pPr>
            <w:ind w:right="-108"/>
            <w:rPr>
              <w:rFonts w:ascii="Palatino Linotype" w:eastAsia="Palatino Linotype" w:hAnsi="Palatino Linotype" w:cs="Palatino Linotype"/>
              <w:color w:val="000000" w:themeColor="text1"/>
            </w:rPr>
          </w:pPr>
          <w:r w:rsidRPr="004D79F8">
            <w:rPr>
              <w:rFonts w:ascii="Palatino Linotype" w:eastAsia="Palatino Linotype" w:hAnsi="Palatino Linotype" w:cs="Palatino Linotype"/>
              <w:color w:val="000000" w:themeColor="text1"/>
            </w:rPr>
            <w:t>María del Rosario Mejía Ayala</w:t>
          </w:r>
        </w:p>
      </w:tc>
    </w:tr>
  </w:tbl>
  <w:p w:rsidR="00E013A3" w:rsidRDefault="00FD031B" w:rsidP="00FD031B">
    <w:pPr>
      <w:pBdr>
        <w:top w:val="nil"/>
        <w:left w:val="nil"/>
        <w:bottom w:val="nil"/>
        <w:right w:val="nil"/>
        <w:between w:val="nil"/>
      </w:pBdr>
      <w:tabs>
        <w:tab w:val="center" w:pos="4252"/>
        <w:tab w:val="right" w:pos="8504"/>
      </w:tabs>
    </w:pPr>
    <w:r>
      <w:rPr>
        <w:noProof/>
        <w:lang w:val="es-MX"/>
      </w:rPr>
      <w:drawing>
        <wp:anchor distT="0" distB="0" distL="0" distR="0" simplePos="0" relativeHeight="251659264" behindDoc="1" locked="0" layoutInCell="1" hidden="0" allowOverlap="1">
          <wp:simplePos x="0" y="0"/>
          <wp:positionH relativeFrom="column">
            <wp:posOffset>-793595</wp:posOffset>
          </wp:positionH>
          <wp:positionV relativeFrom="paragraph">
            <wp:posOffset>-1402355</wp:posOffset>
          </wp:positionV>
          <wp:extent cx="7635875" cy="9943465"/>
          <wp:effectExtent l="0" t="0" r="0" b="0"/>
          <wp:wrapNone/>
          <wp:docPr id="17"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
                  <a:srcRect/>
                  <a:stretch>
                    <a:fillRect/>
                  </a:stretch>
                </pic:blipFill>
                <pic:spPr>
                  <a:xfrm>
                    <a:off x="0" y="0"/>
                    <a:ext cx="7635875" cy="9943465"/>
                  </a:xfrm>
                  <a:prstGeom prst="rect">
                    <a:avLst/>
                  </a:prstGeom>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386538"/>
    <w:multiLevelType w:val="multilevel"/>
    <w:tmpl w:val="D41CAF0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7160119"/>
    <w:multiLevelType w:val="multilevel"/>
    <w:tmpl w:val="92F8E1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A5A11B4"/>
    <w:multiLevelType w:val="multilevel"/>
    <w:tmpl w:val="C2B088D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4F11786F"/>
    <w:multiLevelType w:val="multilevel"/>
    <w:tmpl w:val="39AAA066"/>
    <w:lvl w:ilvl="0">
      <w:start w:val="1"/>
      <w:numFmt w:val="upperLetter"/>
      <w:lvlText w:val="%1."/>
      <w:lvlJc w:val="left"/>
      <w:pPr>
        <w:ind w:left="1211" w:hanging="360"/>
      </w:p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4" w15:restartNumberingAfterBreak="0">
    <w:nsid w:val="56E72746"/>
    <w:multiLevelType w:val="multilevel"/>
    <w:tmpl w:val="DC986828"/>
    <w:lvl w:ilvl="0">
      <w:numFmt w:val="bullet"/>
      <w:lvlText w:val="-"/>
      <w:lvlJc w:val="left"/>
      <w:pPr>
        <w:ind w:left="1211" w:hanging="360"/>
      </w:pPr>
      <w:rPr>
        <w:rFonts w:ascii="Palatino Linotype" w:eastAsia="Palatino Linotype" w:hAnsi="Palatino Linotype" w:cs="Palatino Linotype"/>
      </w:rPr>
    </w:lvl>
    <w:lvl w:ilvl="1">
      <w:start w:val="1"/>
      <w:numFmt w:val="bullet"/>
      <w:lvlText w:val="o"/>
      <w:lvlJc w:val="left"/>
      <w:pPr>
        <w:ind w:left="1931" w:hanging="360"/>
      </w:pPr>
      <w:rPr>
        <w:rFonts w:ascii="Courier New" w:eastAsia="Courier New" w:hAnsi="Courier New" w:cs="Courier New"/>
      </w:rPr>
    </w:lvl>
    <w:lvl w:ilvl="2">
      <w:start w:val="1"/>
      <w:numFmt w:val="bullet"/>
      <w:lvlText w:val="▪"/>
      <w:lvlJc w:val="left"/>
      <w:pPr>
        <w:ind w:left="2651" w:hanging="360"/>
      </w:pPr>
      <w:rPr>
        <w:rFonts w:ascii="Noto Sans Symbols" w:eastAsia="Noto Sans Symbols" w:hAnsi="Noto Sans Symbols" w:cs="Noto Sans Symbols"/>
      </w:rPr>
    </w:lvl>
    <w:lvl w:ilvl="3">
      <w:start w:val="1"/>
      <w:numFmt w:val="bullet"/>
      <w:lvlText w:val="●"/>
      <w:lvlJc w:val="left"/>
      <w:pPr>
        <w:ind w:left="3371" w:hanging="360"/>
      </w:pPr>
      <w:rPr>
        <w:rFonts w:ascii="Noto Sans Symbols" w:eastAsia="Noto Sans Symbols" w:hAnsi="Noto Sans Symbols" w:cs="Noto Sans Symbols"/>
      </w:rPr>
    </w:lvl>
    <w:lvl w:ilvl="4">
      <w:start w:val="1"/>
      <w:numFmt w:val="bullet"/>
      <w:lvlText w:val="o"/>
      <w:lvlJc w:val="left"/>
      <w:pPr>
        <w:ind w:left="4091" w:hanging="360"/>
      </w:pPr>
      <w:rPr>
        <w:rFonts w:ascii="Courier New" w:eastAsia="Courier New" w:hAnsi="Courier New" w:cs="Courier New"/>
      </w:rPr>
    </w:lvl>
    <w:lvl w:ilvl="5">
      <w:start w:val="1"/>
      <w:numFmt w:val="bullet"/>
      <w:lvlText w:val="▪"/>
      <w:lvlJc w:val="left"/>
      <w:pPr>
        <w:ind w:left="4811" w:hanging="360"/>
      </w:pPr>
      <w:rPr>
        <w:rFonts w:ascii="Noto Sans Symbols" w:eastAsia="Noto Sans Symbols" w:hAnsi="Noto Sans Symbols" w:cs="Noto Sans Symbols"/>
      </w:rPr>
    </w:lvl>
    <w:lvl w:ilvl="6">
      <w:start w:val="1"/>
      <w:numFmt w:val="bullet"/>
      <w:lvlText w:val="●"/>
      <w:lvlJc w:val="left"/>
      <w:pPr>
        <w:ind w:left="5531" w:hanging="360"/>
      </w:pPr>
      <w:rPr>
        <w:rFonts w:ascii="Noto Sans Symbols" w:eastAsia="Noto Sans Symbols" w:hAnsi="Noto Sans Symbols" w:cs="Noto Sans Symbols"/>
      </w:rPr>
    </w:lvl>
    <w:lvl w:ilvl="7">
      <w:start w:val="1"/>
      <w:numFmt w:val="bullet"/>
      <w:lvlText w:val="o"/>
      <w:lvlJc w:val="left"/>
      <w:pPr>
        <w:ind w:left="6251" w:hanging="360"/>
      </w:pPr>
      <w:rPr>
        <w:rFonts w:ascii="Courier New" w:eastAsia="Courier New" w:hAnsi="Courier New" w:cs="Courier New"/>
      </w:rPr>
    </w:lvl>
    <w:lvl w:ilvl="8">
      <w:start w:val="1"/>
      <w:numFmt w:val="bullet"/>
      <w:lvlText w:val="▪"/>
      <w:lvlJc w:val="left"/>
      <w:pPr>
        <w:ind w:left="6971" w:hanging="360"/>
      </w:pPr>
      <w:rPr>
        <w:rFonts w:ascii="Noto Sans Symbols" w:eastAsia="Noto Sans Symbols" w:hAnsi="Noto Sans Symbols" w:cs="Noto Sans Symbols"/>
      </w:rPr>
    </w:lvl>
  </w:abstractNum>
  <w:abstractNum w:abstractNumId="5" w15:restartNumberingAfterBreak="0">
    <w:nsid w:val="6CFC5358"/>
    <w:multiLevelType w:val="multilevel"/>
    <w:tmpl w:val="4ED471DE"/>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6" w15:restartNumberingAfterBreak="0">
    <w:nsid w:val="6DDB3487"/>
    <w:multiLevelType w:val="multilevel"/>
    <w:tmpl w:val="C55022C4"/>
    <w:lvl w:ilvl="0">
      <w:start w:val="1"/>
      <w:numFmt w:val="decimal"/>
      <w:lvlText w:val="%1."/>
      <w:lvlJc w:val="left"/>
      <w:pPr>
        <w:ind w:left="3479" w:hanging="360"/>
      </w:pPr>
      <w:rPr>
        <w:rFonts w:ascii="Palatino Linotype" w:eastAsia="Palatino Linotype" w:hAnsi="Palatino Linotype" w:cs="Palatino Linotype"/>
        <w:b/>
        <w:bCs/>
        <w:i w:val="0"/>
        <w:iCs w:val="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6"/>
  </w:num>
  <w:num w:numId="2">
    <w:abstractNumId w:val="0"/>
  </w:num>
  <w:num w:numId="3">
    <w:abstractNumId w:val="2"/>
  </w:num>
  <w:num w:numId="4">
    <w:abstractNumId w:val="1"/>
  </w:num>
  <w:num w:numId="5">
    <w:abstractNumId w:val="3"/>
  </w:num>
  <w:num w:numId="6">
    <w:abstractNumId w:val="5"/>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TrueTypeFonts/>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13A3"/>
    <w:rsid w:val="00491DF7"/>
    <w:rsid w:val="004D79F8"/>
    <w:rsid w:val="00657552"/>
    <w:rsid w:val="00967B0C"/>
    <w:rsid w:val="00D04B91"/>
    <w:rsid w:val="00E013A3"/>
    <w:rsid w:val="00FD031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78DD3B6-DA3B-4B7C-A2B5-028410179B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240"/>
      <w:outlineLvl w:val="0"/>
    </w:pPr>
    <w:rPr>
      <w:rFonts w:ascii="Calibri" w:eastAsia="Calibri" w:hAnsi="Calibri" w:cs="Calibri"/>
      <w:color w:val="2E75B5"/>
      <w:sz w:val="32"/>
      <w:szCs w:val="32"/>
    </w:rPr>
  </w:style>
  <w:style w:type="paragraph" w:styleId="Ttulo2">
    <w:name w:val="heading 2"/>
    <w:basedOn w:val="Normal"/>
    <w:next w:val="Normal"/>
    <w:pPr>
      <w:keepNext/>
      <w:keepLines/>
      <w:spacing w:before="360" w:after="80"/>
      <w:outlineLvl w:val="1"/>
    </w:pPr>
    <w:rPr>
      <w:b/>
      <w:bCs/>
      <w:sz w:val="36"/>
      <w:szCs w:val="36"/>
    </w:rPr>
  </w:style>
  <w:style w:type="paragraph" w:styleId="Ttulo3">
    <w:name w:val="heading 3"/>
    <w:basedOn w:val="Normal"/>
    <w:next w:val="Normal"/>
    <w:pPr>
      <w:keepNext/>
      <w:keepLines/>
      <w:spacing w:before="280" w:after="80"/>
      <w:outlineLvl w:val="2"/>
    </w:pPr>
    <w:rPr>
      <w:b/>
      <w:bCs/>
      <w:sz w:val="28"/>
      <w:szCs w:val="28"/>
    </w:rPr>
  </w:style>
  <w:style w:type="paragraph" w:styleId="Ttulo4">
    <w:name w:val="heading 4"/>
    <w:basedOn w:val="Normal"/>
    <w:next w:val="Normal"/>
    <w:pPr>
      <w:keepNext/>
      <w:keepLines/>
      <w:spacing w:before="240" w:after="40"/>
      <w:outlineLvl w:val="3"/>
    </w:pPr>
    <w:rPr>
      <w:b/>
      <w:bCs/>
    </w:rPr>
  </w:style>
  <w:style w:type="paragraph" w:styleId="Ttulo5">
    <w:name w:val="heading 5"/>
    <w:basedOn w:val="Normal"/>
    <w:next w:val="Normal"/>
    <w:pPr>
      <w:keepNext/>
      <w:keepLines/>
      <w:spacing w:before="220" w:after="40"/>
      <w:outlineLvl w:val="4"/>
    </w:pPr>
    <w:rPr>
      <w:b/>
      <w:bCs/>
      <w:sz w:val="22"/>
      <w:szCs w:val="22"/>
    </w:rPr>
  </w:style>
  <w:style w:type="paragraph" w:styleId="Ttulo6">
    <w:name w:val="heading 6"/>
    <w:basedOn w:val="Normal"/>
    <w:next w:val="Normal"/>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Puesto">
    <w:name w:val="Title"/>
    <w:basedOn w:val="Normal"/>
    <w:next w:val="Normal"/>
    <w:pPr>
      <w:keepNext/>
      <w:keepLines/>
      <w:spacing w:before="480" w:after="120"/>
    </w:pPr>
    <w:rPr>
      <w:b/>
      <w:bCs/>
      <w:sz w:val="72"/>
      <w:szCs w:val="72"/>
    </w:rPr>
  </w:style>
  <w:style w:type="character" w:customStyle="1" w:styleId="Ttulo1Car">
    <w:name w:val="Título 1 Car"/>
    <w:basedOn w:val="Fuentedeprrafopredeter"/>
    <w:uiPriority w:val="9"/>
    <w:rsid w:val="00212DD5"/>
    <w:rPr>
      <w:rFonts w:asciiTheme="majorHAnsi" w:eastAsiaTheme="majorEastAsia" w:hAnsiTheme="majorHAnsi" w:cstheme="majorBidi"/>
      <w:color w:val="2E74B5" w:themeColor="accent1" w:themeShade="BF"/>
      <w:sz w:val="32"/>
      <w:szCs w:val="32"/>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212DD5"/>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212DD5"/>
    <w:pPr>
      <w:ind w:left="708"/>
    </w:pPr>
    <w:rPr>
      <w:sz w:val="22"/>
      <w:szCs w:val="22"/>
      <w:lang w:eastAsia="en-U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12DD5"/>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12DD5"/>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212DD5"/>
    <w:rPr>
      <w:vertAlign w:val="superscript"/>
    </w:rPr>
  </w:style>
  <w:style w:type="character" w:customStyle="1" w:styleId="normaltextrun">
    <w:name w:val="normaltextrun"/>
    <w:basedOn w:val="Fuentedeprrafopredeter"/>
    <w:rsid w:val="00212DD5"/>
  </w:style>
  <w:style w:type="paragraph" w:styleId="Encabezado">
    <w:name w:val="header"/>
    <w:basedOn w:val="Normal"/>
    <w:link w:val="EncabezadoCar"/>
    <w:uiPriority w:val="99"/>
    <w:unhideWhenUsed/>
    <w:rsid w:val="00212DD5"/>
    <w:pPr>
      <w:tabs>
        <w:tab w:val="center" w:pos="4419"/>
        <w:tab w:val="right" w:pos="8838"/>
      </w:tabs>
    </w:pPr>
  </w:style>
  <w:style w:type="character" w:customStyle="1" w:styleId="EncabezadoCar">
    <w:name w:val="Encabezado Car"/>
    <w:basedOn w:val="Fuentedeprrafopredeter"/>
    <w:link w:val="Encabezado"/>
    <w:uiPriority w:val="99"/>
    <w:rsid w:val="00212DD5"/>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212DD5"/>
    <w:pPr>
      <w:tabs>
        <w:tab w:val="center" w:pos="4419"/>
        <w:tab w:val="right" w:pos="8838"/>
      </w:tabs>
    </w:pPr>
  </w:style>
  <w:style w:type="character" w:customStyle="1" w:styleId="PiedepginaCar">
    <w:name w:val="Pie de página Car"/>
    <w:basedOn w:val="Fuentedeprrafopredeter"/>
    <w:link w:val="Piedepgina"/>
    <w:uiPriority w:val="99"/>
    <w:rsid w:val="00212DD5"/>
    <w:rPr>
      <w:rFonts w:ascii="Times New Roman" w:eastAsia="Times New Roman" w:hAnsi="Times New Roman" w:cs="Times New Roman"/>
      <w:sz w:val="24"/>
      <w:szCs w:val="24"/>
      <w:lang w:val="es-ES" w:eastAsia="es-ES"/>
    </w:rPr>
  </w:style>
  <w:style w:type="character" w:styleId="Hipervnculo">
    <w:name w:val="Hyperlink"/>
    <w:basedOn w:val="Fuentedeprrafopredeter"/>
    <w:uiPriority w:val="99"/>
    <w:unhideWhenUsed/>
    <w:rsid w:val="000F64CE"/>
    <w:rPr>
      <w:color w:val="0563C1" w:themeColor="hyperlink"/>
      <w:u w:val="single"/>
    </w:rPr>
  </w:style>
  <w:style w:type="paragraph" w:styleId="Subttulo">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0" w:type="dxa"/>
        <w:left w:w="0" w:type="dxa"/>
        <w:bottom w:w="0" w:type="dxa"/>
        <w:right w:w="0" w:type="dxa"/>
      </w:tblCellMar>
    </w:tblPr>
  </w:style>
  <w:style w:type="table" w:customStyle="1" w:styleId="a0">
    <w:basedOn w:val="TableNormal"/>
    <w:tblPr>
      <w:tblStyleRowBandSize w:val="1"/>
      <w:tblStyleColBandSize w:val="1"/>
      <w:tblCellMar>
        <w:top w:w="0" w:type="dxa"/>
        <w:left w:w="115" w:type="dxa"/>
        <w:bottom w:w="0" w:type="dxa"/>
        <w:right w:w="115" w:type="dxa"/>
      </w:tblCellMar>
    </w:tblPr>
  </w:style>
  <w:style w:type="table" w:customStyle="1" w:styleId="a1">
    <w:basedOn w:val="TableNormal"/>
    <w:tblPr>
      <w:tblStyleRowBandSize w:val="1"/>
      <w:tblStyleColBandSize w:val="1"/>
      <w:tblCellMar>
        <w:top w:w="0" w:type="dxa"/>
        <w:left w:w="115" w:type="dxa"/>
        <w:bottom w:w="0" w:type="dxa"/>
        <w:right w:w="115" w:type="dxa"/>
      </w:tblCellMar>
    </w:tblPr>
  </w:style>
  <w:style w:type="table" w:customStyle="1" w:styleId="a2">
    <w:basedOn w:val="TableNormal"/>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yperlink" Target="https://saimex.org.mx/saimex/solicitud/downloadAttach/2469533.page" TargetMode="External"/><Relationship Id="rId13" Type="http://schemas.openxmlformats.org/officeDocument/2006/relationships/hyperlink" Target="https://saimex.org.mx/saimex/solicitud/downloadAttach/2490822.page" TargetMode="External"/><Relationship Id="rId18" Type="http://schemas.openxmlformats.org/officeDocument/2006/relationships/image" Target="media/image3.pn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s://saimex.org.mx/saimex/solicitud/downloadAttach/2490821.page" TargetMode="External"/><Relationship Id="rId17" Type="http://schemas.openxmlformats.org/officeDocument/2006/relationships/hyperlink" Target="https://oem.com.mx/elsoldetoluca/local/palacio-de-gobierno-se-ilumina-de-rojo-en-apoyo-al-deportivo-toluca-23493869" TargetMode="Externa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aimex.org.mx/saimex/solicitud/downloadAttach/2490820.page"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fontTable" Target="fontTable.xml"/><Relationship Id="rId10" Type="http://schemas.openxmlformats.org/officeDocument/2006/relationships/hyperlink" Target="https://saimex.org.mx/saimex/solicitud/downloadAttach/2478439.page"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saimex.org.mx/saimex/solicitud/downloadAttach/2473389.page" TargetMode="External"/><Relationship Id="rId14" Type="http://schemas.openxmlformats.org/officeDocument/2006/relationships/hyperlink" Target="https://www2.toluca.gob.mx/toluca-se-viste-de-rojo-para-apoyar-a-su-equipo-en-la-gran-final-de-futbol/" TargetMode="External"/><Relationship Id="rId22"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qxSxzJe6zB4jkzxohA7QVLhj/3w==">CgMxLjAyCGguZ2pkZ3hzMgloLjMwajB6bGwyCWguMWZvYjl0ZTIJaC4zem55c2g3MgloLjJldDkycDAyCGgudHlqY3d0MgloLjNkeTZ2a20yCWguNGQzNG9nODIOaC40ZXQzNDdyODQ2YmgyCWguMTdkcDh2dTIJaC4yNmluMXJnMghoLmxueGJ6OTgAciExR2FKcUQxeGs2MWhLMk9vamF2anlBVXgtY3pTcDJQaEg=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39</Pages>
  <Words>8865</Words>
  <Characters>48758</Characters>
  <Application>Microsoft Office Word</Application>
  <DocSecurity>0</DocSecurity>
  <Lines>406</Lines>
  <Paragraphs>115</Paragraphs>
  <ScaleCrop>false</ScaleCrop>
  <Company>HP Inc.</Company>
  <LinksUpToDate>false</LinksUpToDate>
  <CharactersWithSpaces>57508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INFOEM549</dc:creator>
  <cp:lastModifiedBy>Cuenta Microsoft</cp:lastModifiedBy>
  <cp:revision>4</cp:revision>
  <dcterms:created xsi:type="dcterms:W3CDTF">2025-11-19T23:55:00Z</dcterms:created>
  <dcterms:modified xsi:type="dcterms:W3CDTF">2025-12-05T00:25:00Z</dcterms:modified>
</cp:coreProperties>
</file>