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93820" w14:textId="77777777" w:rsidR="00791C1A" w:rsidRPr="006467F5" w:rsidRDefault="00791C1A" w:rsidP="00791C1A">
      <w:pPr>
        <w:tabs>
          <w:tab w:val="left" w:pos="3465"/>
        </w:tabs>
        <w:spacing w:line="360" w:lineRule="auto"/>
        <w:jc w:val="both"/>
        <w:rPr>
          <w:rFonts w:ascii="Palatino Linotype" w:hAnsi="Palatino Linotype"/>
          <w:b/>
          <w:sz w:val="24"/>
          <w:szCs w:val="24"/>
        </w:rPr>
      </w:pPr>
      <w:bookmarkStart w:id="0" w:name="_GoBack"/>
      <w:bookmarkEnd w:id="0"/>
      <w:r w:rsidRPr="006467F5">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E4577A" w:rsidRPr="006467F5">
        <w:rPr>
          <w:rFonts w:ascii="Palatino Linotype" w:hAnsi="Palatino Linotype"/>
          <w:sz w:val="24"/>
          <w:szCs w:val="24"/>
        </w:rPr>
        <w:t>quince de enero de dos mil veinticinco.</w:t>
      </w:r>
    </w:p>
    <w:p w14:paraId="447B0256" w14:textId="3B16E888" w:rsidR="00791C1A" w:rsidRPr="006467F5" w:rsidRDefault="00791C1A" w:rsidP="00791C1A">
      <w:pPr>
        <w:spacing w:line="360" w:lineRule="auto"/>
        <w:jc w:val="both"/>
        <w:rPr>
          <w:rFonts w:ascii="Palatino Linotype" w:hAnsi="Palatino Linotype"/>
          <w:sz w:val="24"/>
          <w:szCs w:val="24"/>
        </w:rPr>
      </w:pPr>
      <w:r w:rsidRPr="006467F5">
        <w:rPr>
          <w:rFonts w:ascii="Palatino Linotype" w:hAnsi="Palatino Linotype"/>
          <w:b/>
          <w:sz w:val="24"/>
          <w:szCs w:val="24"/>
        </w:rPr>
        <w:t>VISTO</w:t>
      </w:r>
      <w:r w:rsidRPr="006467F5">
        <w:rPr>
          <w:rFonts w:ascii="Palatino Linotype" w:hAnsi="Palatino Linotype"/>
          <w:sz w:val="24"/>
          <w:szCs w:val="24"/>
        </w:rPr>
        <w:t xml:space="preserve"> el expediente electrónico formado con motivo del recurso de revisión </w:t>
      </w:r>
      <w:r w:rsidR="001E2EE2" w:rsidRPr="006467F5">
        <w:rPr>
          <w:rFonts w:ascii="Palatino Linotype" w:hAnsi="Palatino Linotype"/>
          <w:b/>
          <w:bCs/>
          <w:sz w:val="24"/>
          <w:szCs w:val="24"/>
        </w:rPr>
        <w:t xml:space="preserve"> </w:t>
      </w:r>
      <w:r w:rsidR="00E4577A" w:rsidRPr="006467F5">
        <w:rPr>
          <w:rFonts w:ascii="Palatino Linotype" w:hAnsi="Palatino Linotype"/>
          <w:b/>
          <w:bCs/>
          <w:sz w:val="24"/>
          <w:szCs w:val="24"/>
        </w:rPr>
        <w:t>01598/INFOEM/IP/RR/2024</w:t>
      </w:r>
      <w:r w:rsidRPr="006467F5">
        <w:rPr>
          <w:rFonts w:ascii="Palatino Linotype" w:hAnsi="Palatino Linotype"/>
          <w:sz w:val="24"/>
          <w:szCs w:val="24"/>
        </w:rPr>
        <w:t>,</w:t>
      </w:r>
      <w:r w:rsidRPr="006467F5">
        <w:rPr>
          <w:rFonts w:ascii="Palatino Linotype" w:hAnsi="Palatino Linotype" w:cs="Arial"/>
          <w:b/>
          <w:bCs/>
          <w:sz w:val="24"/>
          <w:szCs w:val="24"/>
        </w:rPr>
        <w:t xml:space="preserve"> </w:t>
      </w:r>
      <w:r w:rsidRPr="006467F5">
        <w:rPr>
          <w:rFonts w:ascii="Palatino Linotype" w:hAnsi="Palatino Linotype"/>
          <w:sz w:val="24"/>
          <w:szCs w:val="24"/>
        </w:rPr>
        <w:t xml:space="preserve">promovido </w:t>
      </w:r>
      <w:r w:rsidR="00537B98" w:rsidRPr="006467F5">
        <w:rPr>
          <w:rFonts w:ascii="Palatino Linotype" w:hAnsi="Palatino Linotype"/>
          <w:sz w:val="24"/>
          <w:szCs w:val="24"/>
        </w:rPr>
        <w:t xml:space="preserve">por </w:t>
      </w:r>
      <w:r w:rsidR="006467F5" w:rsidRPr="006467F5">
        <w:rPr>
          <w:rFonts w:ascii="Palatino Linotype" w:hAnsi="Palatino Linotype"/>
          <w:b/>
          <w:bCs/>
          <w:sz w:val="24"/>
          <w:szCs w:val="24"/>
        </w:rPr>
        <w:t>XXXXXXXXXX</w:t>
      </w:r>
      <w:r w:rsidR="00537B98" w:rsidRPr="006467F5">
        <w:rPr>
          <w:rFonts w:ascii="Palatino Linotype" w:hAnsi="Palatino Linotype"/>
          <w:b/>
          <w:sz w:val="24"/>
          <w:szCs w:val="24"/>
        </w:rPr>
        <w:t>,</w:t>
      </w:r>
      <w:r w:rsidRPr="006467F5">
        <w:rPr>
          <w:rFonts w:ascii="Palatino Linotype" w:hAnsi="Palatino Linotype"/>
          <w:sz w:val="24"/>
          <w:szCs w:val="24"/>
        </w:rPr>
        <w:t xml:space="preserve"> a quien en lo sucesivo se le identificará como </w:t>
      </w:r>
      <w:r w:rsidRPr="006467F5">
        <w:rPr>
          <w:rFonts w:ascii="Palatino Linotype" w:hAnsi="Palatino Linotype"/>
          <w:b/>
          <w:sz w:val="24"/>
          <w:szCs w:val="24"/>
        </w:rPr>
        <w:t>EL RECURRENTE</w:t>
      </w:r>
      <w:r w:rsidRPr="006467F5">
        <w:rPr>
          <w:rFonts w:ascii="Palatino Linotype" w:hAnsi="Palatino Linotype" w:cs="Arial"/>
          <w:sz w:val="24"/>
          <w:szCs w:val="24"/>
        </w:rPr>
        <w:t xml:space="preserve">, en contra de la respuesta del </w:t>
      </w:r>
      <w:r w:rsidR="00537B98" w:rsidRPr="006467F5">
        <w:rPr>
          <w:rFonts w:ascii="Palatino Linotype" w:hAnsi="Palatino Linotype" w:cs="Arial"/>
          <w:b/>
          <w:bCs/>
          <w:sz w:val="24"/>
          <w:szCs w:val="24"/>
        </w:rPr>
        <w:t>Ayuntamiento de</w:t>
      </w:r>
      <w:r w:rsidR="00E4577A" w:rsidRPr="006467F5">
        <w:rPr>
          <w:rFonts w:ascii="Palatino Linotype" w:hAnsi="Palatino Linotype" w:cs="Arial"/>
          <w:b/>
          <w:bCs/>
          <w:sz w:val="24"/>
          <w:szCs w:val="24"/>
        </w:rPr>
        <w:t xml:space="preserve"> Tlalnepantla de Baz</w:t>
      </w:r>
      <w:r w:rsidRPr="006467F5">
        <w:rPr>
          <w:rFonts w:ascii="Palatino Linotype" w:hAnsi="Palatino Linotype" w:cs="Arial"/>
          <w:b/>
          <w:sz w:val="24"/>
          <w:szCs w:val="24"/>
        </w:rPr>
        <w:t>,</w:t>
      </w:r>
      <w:r w:rsidRPr="006467F5">
        <w:rPr>
          <w:rFonts w:ascii="Palatino Linotype" w:hAnsi="Palatino Linotype"/>
          <w:b/>
          <w:sz w:val="24"/>
          <w:szCs w:val="24"/>
        </w:rPr>
        <w:t xml:space="preserve"> </w:t>
      </w:r>
      <w:r w:rsidRPr="006467F5">
        <w:rPr>
          <w:rFonts w:ascii="Palatino Linotype" w:hAnsi="Palatino Linotype"/>
          <w:sz w:val="24"/>
          <w:szCs w:val="24"/>
        </w:rPr>
        <w:t>en lo sucesivo el</w:t>
      </w:r>
      <w:r w:rsidRPr="006467F5">
        <w:rPr>
          <w:rFonts w:ascii="Palatino Linotype" w:hAnsi="Palatino Linotype"/>
          <w:b/>
          <w:sz w:val="24"/>
          <w:szCs w:val="24"/>
        </w:rPr>
        <w:t xml:space="preserve"> SUJETO OBLIGADO</w:t>
      </w:r>
      <w:r w:rsidRPr="006467F5">
        <w:rPr>
          <w:rFonts w:ascii="Palatino Linotype" w:hAnsi="Palatino Linotype"/>
          <w:sz w:val="24"/>
          <w:szCs w:val="24"/>
        </w:rPr>
        <w:t>, se procede a dictar la presente resolución, con base en los siguientes:</w:t>
      </w:r>
    </w:p>
    <w:p w14:paraId="3E15677F" w14:textId="77777777" w:rsidR="00791C1A" w:rsidRPr="006467F5" w:rsidRDefault="00791C1A" w:rsidP="00791C1A">
      <w:pPr>
        <w:spacing w:line="360" w:lineRule="auto"/>
        <w:jc w:val="both"/>
        <w:rPr>
          <w:rFonts w:ascii="Palatino Linotype" w:hAnsi="Palatino Linotype"/>
          <w:b/>
          <w:sz w:val="24"/>
          <w:szCs w:val="24"/>
        </w:rPr>
      </w:pPr>
    </w:p>
    <w:p w14:paraId="56304D33" w14:textId="77777777" w:rsidR="00791C1A" w:rsidRPr="006467F5" w:rsidRDefault="00791C1A" w:rsidP="00791C1A">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6467F5">
        <w:rPr>
          <w:rFonts w:ascii="Palatino Linotype" w:hAnsi="Palatino Linotype"/>
          <w:b/>
          <w:color w:val="000000" w:themeColor="text1"/>
          <w:sz w:val="24"/>
          <w:szCs w:val="24"/>
        </w:rPr>
        <w:t>ANTECEDENTES</w:t>
      </w:r>
      <w:bookmarkEnd w:id="1"/>
      <w:bookmarkEnd w:id="2"/>
      <w:bookmarkEnd w:id="3"/>
    </w:p>
    <w:p w14:paraId="160E841B" w14:textId="77777777" w:rsidR="00791C1A" w:rsidRPr="006467F5" w:rsidRDefault="009A3CA9" w:rsidP="009A3CA9">
      <w:pPr>
        <w:pStyle w:val="Ttulo1"/>
        <w:spacing w:before="0" w:line="360" w:lineRule="auto"/>
        <w:jc w:val="center"/>
        <w:rPr>
          <w:rFonts w:ascii="Palatino Linotype" w:hAnsi="Palatino Linotype"/>
          <w:b/>
          <w:color w:val="auto"/>
          <w:sz w:val="24"/>
          <w:szCs w:val="24"/>
        </w:rPr>
      </w:pPr>
      <w:r w:rsidRPr="006467F5">
        <w:rPr>
          <w:rFonts w:ascii="Palatino Linotype" w:hAnsi="Palatino Linotype"/>
          <w:b/>
          <w:color w:val="auto"/>
          <w:sz w:val="24"/>
          <w:szCs w:val="24"/>
        </w:rPr>
        <w:t>SOLICITUD</w:t>
      </w:r>
    </w:p>
    <w:p w14:paraId="45EECCD6" w14:textId="77777777" w:rsidR="00791C1A" w:rsidRPr="006467F5"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6467F5">
        <w:rPr>
          <w:rFonts w:ascii="Palatino Linotype" w:eastAsia="Calibri" w:hAnsi="Palatino Linotype" w:cs="Arial"/>
          <w:lang w:val="es-ES"/>
        </w:rPr>
        <w:t>El</w:t>
      </w:r>
      <w:r w:rsidR="008D7B1F" w:rsidRPr="006467F5">
        <w:rPr>
          <w:rFonts w:ascii="Palatino Linotype" w:eastAsia="Calibri" w:hAnsi="Palatino Linotype" w:cs="Arial"/>
          <w:b/>
          <w:lang w:val="es-ES"/>
        </w:rPr>
        <w:t xml:space="preserve"> </w:t>
      </w:r>
      <w:r w:rsidR="00E4577A" w:rsidRPr="006467F5">
        <w:rPr>
          <w:rFonts w:ascii="Palatino Linotype" w:eastAsia="Calibri" w:hAnsi="Palatino Linotype" w:cs="Arial"/>
          <w:b/>
          <w:lang w:val="es-ES"/>
        </w:rPr>
        <w:t>cuatro de marzo</w:t>
      </w:r>
      <w:r w:rsidR="00537B98" w:rsidRPr="006467F5">
        <w:rPr>
          <w:rFonts w:ascii="Palatino Linotype" w:eastAsia="Calibri" w:hAnsi="Palatino Linotype" w:cs="Arial"/>
          <w:b/>
          <w:lang w:val="es-ES"/>
        </w:rPr>
        <w:t xml:space="preserve"> de dos mil veinticuatro</w:t>
      </w:r>
      <w:r w:rsidRPr="006467F5">
        <w:rPr>
          <w:rFonts w:ascii="Palatino Linotype" w:hAnsi="Palatino Linotype"/>
          <w:b/>
        </w:rPr>
        <w:t xml:space="preserve">, </w:t>
      </w:r>
      <w:r w:rsidRPr="006467F5">
        <w:rPr>
          <w:rFonts w:ascii="Palatino Linotype" w:eastAsia="Calibri" w:hAnsi="Palatino Linotype" w:cs="Arial"/>
          <w:lang w:val="es-ES"/>
        </w:rPr>
        <w:t xml:space="preserve">se presentó ante el </w:t>
      </w:r>
      <w:r w:rsidRPr="006467F5">
        <w:rPr>
          <w:rFonts w:ascii="Palatino Linotype" w:eastAsia="Calibri" w:hAnsi="Palatino Linotype" w:cs="Arial"/>
          <w:b/>
          <w:lang w:val="es-ES"/>
        </w:rPr>
        <w:t>SUJETO OBLIGADO</w:t>
      </w:r>
      <w:r w:rsidRPr="006467F5">
        <w:rPr>
          <w:rFonts w:ascii="Palatino Linotype" w:eastAsia="Calibri" w:hAnsi="Palatino Linotype" w:cs="Arial"/>
        </w:rPr>
        <w:t xml:space="preserve"> </w:t>
      </w:r>
      <w:r w:rsidR="005E02A4" w:rsidRPr="006467F5">
        <w:rPr>
          <w:rFonts w:ascii="Palatino Linotype" w:eastAsia="Calibri" w:hAnsi="Palatino Linotype" w:cs="Arial"/>
          <w:lang w:val="es-MX"/>
        </w:rPr>
        <w:t>a través</w:t>
      </w:r>
      <w:r w:rsidR="00537B98" w:rsidRPr="006467F5">
        <w:rPr>
          <w:rFonts w:ascii="Palatino Linotype" w:eastAsia="Calibri" w:hAnsi="Palatino Linotype" w:cs="Arial"/>
          <w:lang w:val="es-MX"/>
        </w:rPr>
        <w:t xml:space="preserve"> del SAIMEX</w:t>
      </w:r>
      <w:r w:rsidRPr="006467F5">
        <w:rPr>
          <w:rFonts w:ascii="Palatino Linotype" w:eastAsia="Calibri" w:hAnsi="Palatino Linotype" w:cs="Arial"/>
          <w:lang w:val="es-ES"/>
        </w:rPr>
        <w:t>, la solicitud de información pública registrada con el número</w:t>
      </w:r>
      <w:r w:rsidRPr="006467F5">
        <w:rPr>
          <w:rFonts w:ascii="Palatino Linotype" w:hAnsi="Palatino Linotype"/>
          <w:b/>
          <w:bCs/>
          <w:color w:val="000000" w:themeColor="text1"/>
        </w:rPr>
        <w:t xml:space="preserve"> </w:t>
      </w:r>
      <w:r w:rsidR="00E4577A" w:rsidRPr="006467F5">
        <w:rPr>
          <w:rFonts w:ascii="Palatino Linotype" w:hAnsi="Palatino Linotype"/>
          <w:b/>
          <w:bCs/>
          <w:color w:val="000000" w:themeColor="text1"/>
          <w:lang w:val="es-MX"/>
        </w:rPr>
        <w:t>00212/TLALNEPA/IP/2024</w:t>
      </w:r>
      <w:r w:rsidRPr="006467F5">
        <w:rPr>
          <w:rFonts w:ascii="Palatino Linotype" w:hAnsi="Palatino Linotype"/>
          <w:b/>
          <w:bCs/>
          <w:color w:val="000000" w:themeColor="text1"/>
        </w:rPr>
        <w:t xml:space="preserve">; </w:t>
      </w:r>
      <w:r w:rsidRPr="006467F5">
        <w:rPr>
          <w:rFonts w:ascii="Palatino Linotype" w:eastAsia="Calibri" w:hAnsi="Palatino Linotype" w:cs="Arial"/>
          <w:lang w:val="es-ES"/>
        </w:rPr>
        <w:t>mediante la cual se solicitó la siguiente información:</w:t>
      </w:r>
    </w:p>
    <w:p w14:paraId="7534FD17" w14:textId="77777777" w:rsidR="008D7B1F" w:rsidRPr="006467F5" w:rsidRDefault="008D7B1F" w:rsidP="008D7B1F">
      <w:pPr>
        <w:pStyle w:val="Prrafodelista"/>
        <w:spacing w:line="360" w:lineRule="auto"/>
        <w:ind w:left="0"/>
        <w:jc w:val="both"/>
        <w:rPr>
          <w:rFonts w:ascii="Palatino Linotype" w:eastAsia="Calibri" w:hAnsi="Palatino Linotype" w:cs="Arial"/>
          <w:lang w:val="es-ES"/>
        </w:rPr>
      </w:pPr>
    </w:p>
    <w:p w14:paraId="0CDE42E9" w14:textId="77777777" w:rsidR="00791C1A" w:rsidRPr="006467F5" w:rsidRDefault="00791C1A" w:rsidP="00537B98">
      <w:pPr>
        <w:pStyle w:val="Prrafodelista"/>
        <w:spacing w:line="360" w:lineRule="auto"/>
        <w:ind w:left="426" w:right="476"/>
        <w:jc w:val="both"/>
        <w:rPr>
          <w:rFonts w:ascii="Palatino Linotype" w:hAnsi="Palatino Linotype"/>
          <w:i/>
          <w:sz w:val="20"/>
          <w:lang w:val="es-MX"/>
        </w:rPr>
      </w:pPr>
      <w:r w:rsidRPr="006467F5">
        <w:rPr>
          <w:rFonts w:ascii="Palatino Linotype" w:hAnsi="Palatino Linotype"/>
          <w:i/>
          <w:sz w:val="20"/>
        </w:rPr>
        <w:t>“</w:t>
      </w:r>
      <w:r w:rsidR="00E4577A" w:rsidRPr="006467F5">
        <w:rPr>
          <w:rFonts w:ascii="Palatino Linotype" w:hAnsi="Palatino Linotype"/>
          <w:i/>
          <w:sz w:val="20"/>
          <w:lang w:val="es-MX"/>
        </w:rPr>
        <w:t xml:space="preserve">de los temas del 2022 Construcción de pavimentación con concreto hidráulico de calle constitución de calle Francisco I. Madero a calle Cuauhtémoc, del km 0+000.00 al km 0+380.00, Pueblo San Lucas Tepetlacalco, en el municipio de Tlalnepantla de Baz, Estado de México. Construcción de pavimentación con concreto hidráulico de calle José María Morelos y Pavón de calle Felipe Ángeles a calle Emiliano Zapata, del km +0.000.00 al km 0+138.65. Pueblo de San Lucas </w:t>
      </w:r>
      <w:proofErr w:type="spellStart"/>
      <w:r w:rsidR="00E4577A" w:rsidRPr="006467F5">
        <w:rPr>
          <w:rFonts w:ascii="Palatino Linotype" w:hAnsi="Palatino Linotype"/>
          <w:i/>
          <w:sz w:val="20"/>
          <w:lang w:val="es-MX"/>
        </w:rPr>
        <w:t>Patoni</w:t>
      </w:r>
      <w:proofErr w:type="spellEnd"/>
      <w:r w:rsidR="00E4577A" w:rsidRPr="006467F5">
        <w:rPr>
          <w:rFonts w:ascii="Palatino Linotype" w:hAnsi="Palatino Linotype"/>
          <w:i/>
          <w:sz w:val="20"/>
          <w:lang w:val="es-MX"/>
        </w:rPr>
        <w:t xml:space="preserve">, en el municipio de Tlalnepantla de Baz, Estado de México. Construcción de pavimentación con concreto hidráulico de calle Malinche de calle Toltecas al final de la calle del km 0+000.00 al km 0+125.00, y calle Tonatiuh de calle Malinche a Av. Acueducto Tenayuca del km 0+000. al km 0+066.00, Col. El </w:t>
      </w:r>
      <w:r w:rsidR="00E4577A" w:rsidRPr="006467F5">
        <w:rPr>
          <w:rFonts w:ascii="Palatino Linotype" w:hAnsi="Palatino Linotype"/>
          <w:i/>
          <w:sz w:val="20"/>
          <w:lang w:val="es-MX"/>
        </w:rPr>
        <w:lastRenderedPageBreak/>
        <w:t>Arenal, en el municipio de Tlalnepantla de Baz, Estado de México. Rehabilitación de pavimentación con concreto asfáltico de la calle convento de Tepotzotlán entre Av. Santa Mónica y boulevard Manuel Ávila Camacho, del km 0+000.00 al km 0+203.10, Fracc. Las Margaritas primera sección, en el municipio de Tlalnepantla de Baz, Estado de México. Rehabilitación de pavimentación con concreto asfáltico de la incorporación convento de Tepotzotlán a calle Viveros de Atizapán, del km 0+000.00 al km 0+174.10, Fracc. Las Margaritas primera sección, en el municipio de Tlalnepantla de Baz, Estado de México. Construcción de pavimentación con concreto hidráulico en calle San Isidro entre Av. San Isidro al límite de calle, del 0+000.00 al 0+238.00, Col. San Isidro Ixhuatepec, en el municipio de Tlalnepantla de Baz, Estado de México. Construcción de pavimentación con concreto hidráulico de CDA. San Isidro entre Av. San Isidro al límite de calle, del 0+000.00 al 0+061.00, Col. San Isidro Ixhuatepec, en el municipio de Tlalnepantla de Baz, Estado de México. Construcción de pavimentación con concreto hidráulico de la calle Convento de Tepotzotlán entre Av. Convento de Santa Mónica y Convento de San Diego, del km 0+000.00 al km 0+238.00, Fracc. Jardines de Santa Mónica, en el municipio de Tlalnepantla de Baz, Estado de México. solicito las documentales que acrediten que, con la ejecución de la obra en comento, se proyectara o confirmara la generación de bienes y/o servicios en los sectores de agua, comunicaciones y transportes, electricidad y turismo, contraviniendo lo establecido en los Lineamientos para la utilización del Fondo Estatal de Fortalecimiento Municipal</w:t>
      </w:r>
      <w:r w:rsidR="00537B98" w:rsidRPr="006467F5">
        <w:rPr>
          <w:rFonts w:ascii="Palatino Linotype" w:hAnsi="Palatino Linotype"/>
          <w:i/>
          <w:sz w:val="20"/>
          <w:lang w:val="es-MX"/>
        </w:rPr>
        <w:t xml:space="preserve">” </w:t>
      </w:r>
      <w:r w:rsidR="00FA172A" w:rsidRPr="006467F5">
        <w:rPr>
          <w:rFonts w:ascii="Palatino Linotype" w:hAnsi="Palatino Linotype"/>
          <w:i/>
          <w:sz w:val="20"/>
        </w:rPr>
        <w:t>(Sic)</w:t>
      </w:r>
    </w:p>
    <w:p w14:paraId="45B99952" w14:textId="77777777" w:rsidR="00791C1A" w:rsidRPr="006467F5" w:rsidRDefault="00791C1A" w:rsidP="00791C1A">
      <w:pPr>
        <w:pStyle w:val="Prrafodelista"/>
        <w:spacing w:line="360" w:lineRule="auto"/>
        <w:ind w:left="851" w:right="34"/>
        <w:jc w:val="both"/>
        <w:rPr>
          <w:rFonts w:ascii="Palatino Linotype" w:hAnsi="Palatino Linotype"/>
        </w:rPr>
      </w:pPr>
    </w:p>
    <w:p w14:paraId="7C3BACDC" w14:textId="77777777" w:rsidR="00791C1A" w:rsidRPr="006467F5" w:rsidRDefault="00791C1A" w:rsidP="00791C1A">
      <w:pPr>
        <w:pStyle w:val="Prrafodelista"/>
        <w:numPr>
          <w:ilvl w:val="0"/>
          <w:numId w:val="2"/>
        </w:numPr>
        <w:spacing w:line="360" w:lineRule="auto"/>
        <w:ind w:left="851" w:right="474"/>
        <w:jc w:val="both"/>
        <w:rPr>
          <w:rFonts w:ascii="Palatino Linotype" w:hAnsi="Palatino Linotype"/>
        </w:rPr>
      </w:pPr>
      <w:r w:rsidRPr="006467F5">
        <w:rPr>
          <w:rFonts w:ascii="Palatino Linotype" w:eastAsia="Times New Roman" w:hAnsi="Palatino Linotype" w:cs="Arial"/>
          <w:lang w:val="es-ES"/>
        </w:rPr>
        <w:t>Se eligió como modalidad de entrega de la información</w:t>
      </w:r>
      <w:r w:rsidRPr="006467F5">
        <w:rPr>
          <w:rFonts w:ascii="Palatino Linotype" w:hAnsi="Palatino Linotype"/>
        </w:rPr>
        <w:t xml:space="preserve">: A través del </w:t>
      </w:r>
      <w:r w:rsidRPr="006467F5">
        <w:rPr>
          <w:rFonts w:ascii="Palatino Linotype" w:hAnsi="Palatino Linotype"/>
          <w:b/>
        </w:rPr>
        <w:t>SAIMEX.</w:t>
      </w:r>
    </w:p>
    <w:p w14:paraId="18637E78" w14:textId="77777777" w:rsidR="009A3CA9" w:rsidRPr="006467F5" w:rsidRDefault="009A3CA9" w:rsidP="009A3CA9">
      <w:pPr>
        <w:pStyle w:val="Prrafodelista"/>
        <w:spacing w:line="360" w:lineRule="auto"/>
        <w:ind w:left="851" w:right="474"/>
        <w:jc w:val="both"/>
        <w:rPr>
          <w:rFonts w:ascii="Palatino Linotype" w:hAnsi="Palatino Linotype"/>
        </w:rPr>
      </w:pPr>
    </w:p>
    <w:p w14:paraId="3BF76F86" w14:textId="77777777" w:rsidR="00537B98" w:rsidRPr="006467F5" w:rsidRDefault="00537B98" w:rsidP="00537B98">
      <w:pPr>
        <w:pStyle w:val="Ttulo1"/>
        <w:spacing w:before="0" w:line="360" w:lineRule="auto"/>
        <w:jc w:val="center"/>
        <w:rPr>
          <w:rFonts w:ascii="Palatino Linotype" w:eastAsia="Calibri" w:hAnsi="Palatino Linotype" w:cs="Arial"/>
          <w:b/>
          <w:color w:val="auto"/>
          <w:sz w:val="28"/>
          <w:lang w:val="es-ES"/>
        </w:rPr>
      </w:pPr>
      <w:r w:rsidRPr="006467F5">
        <w:rPr>
          <w:rFonts w:ascii="Palatino Linotype" w:eastAsia="Calibri" w:hAnsi="Palatino Linotype" w:cs="Arial"/>
          <w:b/>
          <w:color w:val="auto"/>
          <w:sz w:val="28"/>
          <w:lang w:val="es-ES"/>
        </w:rPr>
        <w:t>RESPUESTA</w:t>
      </w:r>
    </w:p>
    <w:p w14:paraId="1E7E4EC9" w14:textId="77777777" w:rsidR="00537B98" w:rsidRPr="006467F5" w:rsidRDefault="00537B98" w:rsidP="00537B98">
      <w:pPr>
        <w:rPr>
          <w:rFonts w:ascii="Palatino Linotype" w:hAnsi="Palatino Linotype"/>
          <w:lang w:val="es-ES" w:eastAsia="es-ES"/>
        </w:rPr>
      </w:pPr>
    </w:p>
    <w:p w14:paraId="6EA12618" w14:textId="77777777" w:rsidR="00D60DD7" w:rsidRPr="006467F5" w:rsidRDefault="00FA172A" w:rsidP="00537B98">
      <w:pPr>
        <w:pStyle w:val="Prrafodelista"/>
        <w:numPr>
          <w:ilvl w:val="0"/>
          <w:numId w:val="1"/>
        </w:numPr>
        <w:spacing w:line="360" w:lineRule="auto"/>
        <w:ind w:left="0" w:firstLine="0"/>
        <w:jc w:val="both"/>
        <w:rPr>
          <w:rFonts w:ascii="Palatino Linotype" w:hAnsi="Palatino Linotype" w:cs="Arial"/>
          <w:color w:val="000000" w:themeColor="text1"/>
        </w:rPr>
      </w:pPr>
      <w:r w:rsidRPr="006467F5">
        <w:rPr>
          <w:rFonts w:ascii="Palatino Linotype" w:eastAsia="Times New Roman" w:hAnsi="Palatino Linotype" w:cs="Arial"/>
          <w:color w:val="000000" w:themeColor="text1"/>
          <w:lang w:val="es-ES"/>
        </w:rPr>
        <w:t>E</w:t>
      </w:r>
      <w:r w:rsidR="00206E43" w:rsidRPr="006467F5">
        <w:rPr>
          <w:rFonts w:ascii="Palatino Linotype" w:eastAsia="Times New Roman" w:hAnsi="Palatino Linotype" w:cs="Arial"/>
          <w:color w:val="000000" w:themeColor="text1"/>
          <w:lang w:val="es-ES"/>
        </w:rPr>
        <w:t>l</w:t>
      </w:r>
      <w:r w:rsidR="00791C1A" w:rsidRPr="006467F5">
        <w:rPr>
          <w:rFonts w:ascii="Palatino Linotype" w:eastAsia="Times New Roman" w:hAnsi="Palatino Linotype" w:cs="Arial"/>
          <w:color w:val="000000" w:themeColor="text1"/>
          <w:lang w:val="es-ES"/>
        </w:rPr>
        <w:t xml:space="preserve"> </w:t>
      </w:r>
      <w:r w:rsidR="00E4577A" w:rsidRPr="006467F5">
        <w:rPr>
          <w:rFonts w:ascii="Palatino Linotype" w:eastAsia="Times New Roman" w:hAnsi="Palatino Linotype" w:cs="Arial"/>
          <w:b/>
          <w:color w:val="000000" w:themeColor="text1"/>
          <w:lang w:val="es-ES"/>
        </w:rPr>
        <w:t xml:space="preserve">veintidós de marzo </w:t>
      </w:r>
      <w:r w:rsidR="00537B98" w:rsidRPr="006467F5">
        <w:rPr>
          <w:rFonts w:ascii="Palatino Linotype" w:eastAsia="Times New Roman" w:hAnsi="Palatino Linotype" w:cs="Arial"/>
          <w:b/>
          <w:color w:val="000000" w:themeColor="text1"/>
          <w:lang w:val="es-ES"/>
        </w:rPr>
        <w:t>de dos mil veinticuatro</w:t>
      </w:r>
      <w:r w:rsidR="00206E43" w:rsidRPr="006467F5">
        <w:rPr>
          <w:rFonts w:ascii="Palatino Linotype" w:eastAsia="Times New Roman" w:hAnsi="Palatino Linotype" w:cs="Arial"/>
          <w:b/>
          <w:color w:val="000000" w:themeColor="text1"/>
          <w:lang w:val="es-ES"/>
        </w:rPr>
        <w:t>,</w:t>
      </w:r>
      <w:r w:rsidR="00791C1A" w:rsidRPr="006467F5">
        <w:rPr>
          <w:rFonts w:ascii="Palatino Linotype" w:eastAsia="Times New Roman" w:hAnsi="Palatino Linotype" w:cs="Arial"/>
          <w:color w:val="000000" w:themeColor="text1"/>
          <w:lang w:val="es-ES"/>
        </w:rPr>
        <w:t xml:space="preserve"> el </w:t>
      </w:r>
      <w:r w:rsidR="00791C1A" w:rsidRPr="006467F5">
        <w:rPr>
          <w:rFonts w:ascii="Palatino Linotype" w:eastAsia="Times New Roman" w:hAnsi="Palatino Linotype" w:cs="Arial"/>
          <w:b/>
          <w:color w:val="000000" w:themeColor="text1"/>
          <w:lang w:val="es-ES"/>
        </w:rPr>
        <w:t>SUJETO OBLIGADO</w:t>
      </w:r>
      <w:r w:rsidR="00206E43" w:rsidRPr="006467F5">
        <w:rPr>
          <w:rFonts w:ascii="Palatino Linotype" w:eastAsia="Times New Roman" w:hAnsi="Palatino Linotype" w:cs="Arial"/>
          <w:b/>
          <w:color w:val="000000" w:themeColor="text1"/>
          <w:lang w:val="es-ES"/>
        </w:rPr>
        <w:t xml:space="preserve">, </w:t>
      </w:r>
      <w:r w:rsidR="00D60DD7" w:rsidRPr="006467F5">
        <w:rPr>
          <w:rFonts w:ascii="Palatino Linotype" w:hAnsi="Palatino Linotype" w:cs="Arial"/>
          <w:color w:val="000000" w:themeColor="text1"/>
        </w:rPr>
        <w:t xml:space="preserve">dio respuesta a través </w:t>
      </w:r>
      <w:r w:rsidR="00537B98" w:rsidRPr="006467F5">
        <w:rPr>
          <w:rFonts w:ascii="Palatino Linotype" w:hAnsi="Palatino Linotype" w:cs="Arial"/>
          <w:color w:val="000000" w:themeColor="text1"/>
        </w:rPr>
        <w:t>del siguiente archivo:</w:t>
      </w:r>
    </w:p>
    <w:p w14:paraId="373F65F3" w14:textId="77777777" w:rsidR="00D60DD7" w:rsidRPr="006467F5" w:rsidRDefault="00D60DD7" w:rsidP="00D60DD7">
      <w:pPr>
        <w:pStyle w:val="Prrafodelista"/>
        <w:spacing w:line="360" w:lineRule="auto"/>
        <w:ind w:left="0"/>
        <w:jc w:val="both"/>
        <w:rPr>
          <w:rFonts w:ascii="Palatino Linotype" w:hAnsi="Palatino Linotype" w:cs="Arial"/>
          <w:i/>
          <w:color w:val="000000" w:themeColor="text1"/>
        </w:rPr>
      </w:pPr>
    </w:p>
    <w:p w14:paraId="1636DF3D" w14:textId="77777777" w:rsidR="00E4577A" w:rsidRPr="006467F5" w:rsidRDefault="00E4577A" w:rsidP="00E4577A">
      <w:pPr>
        <w:pStyle w:val="Prrafodelista"/>
        <w:numPr>
          <w:ilvl w:val="0"/>
          <w:numId w:val="2"/>
        </w:numPr>
        <w:spacing w:line="360" w:lineRule="auto"/>
        <w:jc w:val="both"/>
        <w:rPr>
          <w:rFonts w:ascii="Palatino Linotype" w:hAnsi="Palatino Linotype"/>
          <w:b/>
          <w:i/>
        </w:rPr>
      </w:pPr>
      <w:r w:rsidRPr="006467F5">
        <w:rPr>
          <w:rFonts w:ascii="Palatino Linotype" w:hAnsi="Palatino Linotype"/>
          <w:b/>
          <w:i/>
        </w:rPr>
        <w:lastRenderedPageBreak/>
        <w:t>RESPUESTA SAIMEX 00212.zip</w:t>
      </w:r>
    </w:p>
    <w:p w14:paraId="521EF755" w14:textId="77777777" w:rsidR="00E4577A" w:rsidRPr="006467F5" w:rsidRDefault="00E4577A" w:rsidP="00E4577A">
      <w:pPr>
        <w:spacing w:line="360" w:lineRule="auto"/>
        <w:jc w:val="both"/>
        <w:rPr>
          <w:rFonts w:ascii="Palatino Linotype" w:hAnsi="Palatino Linotype"/>
          <w:b/>
          <w:i/>
          <w:sz w:val="24"/>
        </w:rPr>
      </w:pPr>
      <w:r w:rsidRPr="006467F5">
        <w:rPr>
          <w:rFonts w:ascii="Palatino Linotype" w:hAnsi="Palatino Linotype"/>
          <w:b/>
          <w:i/>
          <w:sz w:val="24"/>
        </w:rPr>
        <w:t>-</w:t>
      </w:r>
      <w:r w:rsidRPr="006467F5">
        <w:rPr>
          <w:sz w:val="24"/>
        </w:rPr>
        <w:t xml:space="preserve"> </w:t>
      </w:r>
      <w:r w:rsidRPr="006467F5">
        <w:rPr>
          <w:rFonts w:ascii="Palatino Linotype" w:hAnsi="Palatino Linotype"/>
          <w:b/>
          <w:i/>
          <w:sz w:val="24"/>
        </w:rPr>
        <w:t>ACUERDO AC</w:t>
      </w:r>
      <w:r w:rsidRPr="006467F5">
        <w:rPr>
          <w:sz w:val="24"/>
        </w:rPr>
        <w:t xml:space="preserve"> </w:t>
      </w:r>
      <w:r w:rsidRPr="006467F5">
        <w:rPr>
          <w:rFonts w:ascii="Palatino Linotype" w:hAnsi="Palatino Linotype"/>
          <w:b/>
          <w:i/>
          <w:sz w:val="24"/>
        </w:rPr>
        <w:t>inicio auditoria AIF-083_OSFEM.pdf</w:t>
      </w:r>
    </w:p>
    <w:p w14:paraId="09035F5C" w14:textId="77777777" w:rsidR="00E4577A" w:rsidRPr="006467F5" w:rsidRDefault="00E4577A" w:rsidP="00E4577A">
      <w:pPr>
        <w:spacing w:line="360" w:lineRule="auto"/>
        <w:jc w:val="both"/>
        <w:rPr>
          <w:rFonts w:ascii="Palatino Linotype" w:hAnsi="Palatino Linotype"/>
          <w:sz w:val="24"/>
        </w:rPr>
      </w:pPr>
      <w:r w:rsidRPr="006467F5">
        <w:rPr>
          <w:rFonts w:ascii="Palatino Linotype" w:hAnsi="Palatino Linotype"/>
          <w:sz w:val="24"/>
        </w:rPr>
        <w:t xml:space="preserve">Acuerdo de acumulación y confirmación de reserva de la información </w:t>
      </w:r>
      <w:r w:rsidR="00C83E33" w:rsidRPr="006467F5">
        <w:rPr>
          <w:rFonts w:ascii="Palatino Linotype" w:hAnsi="Palatino Linotype"/>
          <w:sz w:val="24"/>
        </w:rPr>
        <w:t>por un periodo de dos años la información de diversas solicitudes de información, entre las que se encuentra la que nos ocupa.</w:t>
      </w:r>
    </w:p>
    <w:p w14:paraId="616DF9FA" w14:textId="77777777" w:rsidR="00C83E33" w:rsidRPr="006467F5" w:rsidRDefault="00E4577A" w:rsidP="00E4577A">
      <w:pPr>
        <w:spacing w:line="360" w:lineRule="auto"/>
        <w:jc w:val="both"/>
        <w:rPr>
          <w:rFonts w:ascii="Palatino Linotype" w:hAnsi="Palatino Linotype"/>
          <w:b/>
          <w:i/>
          <w:sz w:val="24"/>
        </w:rPr>
      </w:pPr>
      <w:r w:rsidRPr="006467F5">
        <w:rPr>
          <w:rFonts w:ascii="Palatino Linotype" w:hAnsi="Palatino Linotype"/>
          <w:b/>
          <w:i/>
          <w:sz w:val="24"/>
        </w:rPr>
        <w:t>-</w:t>
      </w:r>
      <w:r w:rsidRPr="006467F5">
        <w:rPr>
          <w:sz w:val="24"/>
        </w:rPr>
        <w:t xml:space="preserve"> </w:t>
      </w:r>
      <w:r w:rsidRPr="006467F5">
        <w:rPr>
          <w:rFonts w:ascii="Palatino Linotype" w:hAnsi="Palatino Linotype"/>
          <w:b/>
          <w:i/>
          <w:sz w:val="24"/>
        </w:rPr>
        <w:t>inicio auditoria AIF-083_OSFEM.pdf</w:t>
      </w:r>
    </w:p>
    <w:p w14:paraId="531BD671" w14:textId="77777777" w:rsidR="00C83E33" w:rsidRPr="006467F5" w:rsidRDefault="00C83E33" w:rsidP="00E4577A">
      <w:pPr>
        <w:spacing w:line="360" w:lineRule="auto"/>
        <w:jc w:val="both"/>
        <w:rPr>
          <w:rFonts w:ascii="Palatino Linotype" w:hAnsi="Palatino Linotype"/>
          <w:sz w:val="24"/>
        </w:rPr>
      </w:pPr>
      <w:r w:rsidRPr="006467F5">
        <w:rPr>
          <w:rFonts w:ascii="Palatino Linotype" w:hAnsi="Palatino Linotype"/>
          <w:sz w:val="24"/>
        </w:rPr>
        <w:t xml:space="preserve">Oficio de veintidós de febrero de dos mil veinticuatro, </w:t>
      </w:r>
      <w:r w:rsidR="000938F9" w:rsidRPr="006467F5">
        <w:rPr>
          <w:rFonts w:ascii="Palatino Linotype" w:hAnsi="Palatino Linotype"/>
          <w:sz w:val="24"/>
        </w:rPr>
        <w:t>firmado</w:t>
      </w:r>
      <w:r w:rsidRPr="006467F5">
        <w:rPr>
          <w:rFonts w:ascii="Palatino Linotype" w:hAnsi="Palatino Linotype"/>
          <w:sz w:val="24"/>
        </w:rPr>
        <w:t xml:space="preserve"> </w:t>
      </w:r>
      <w:r w:rsidR="000938F9" w:rsidRPr="006467F5">
        <w:rPr>
          <w:rFonts w:ascii="Palatino Linotype" w:hAnsi="Palatino Linotype"/>
          <w:sz w:val="24"/>
        </w:rPr>
        <w:t xml:space="preserve">por el Auditor Especial de Cumplimiento Financiero e Inversión Física, en donde se solicita se remita a la Oficialía de Partes de ese Órgano Técnico documentación para la práctica de Auditoria de Inversión Física con numero AIF-083 </w:t>
      </w:r>
    </w:p>
    <w:p w14:paraId="6DFE9918" w14:textId="77777777" w:rsidR="000938F9" w:rsidRPr="006467F5" w:rsidRDefault="00E4577A" w:rsidP="00E4577A">
      <w:pPr>
        <w:spacing w:line="360" w:lineRule="auto"/>
        <w:jc w:val="both"/>
        <w:rPr>
          <w:rFonts w:ascii="Palatino Linotype" w:hAnsi="Palatino Linotype"/>
          <w:b/>
          <w:i/>
          <w:sz w:val="24"/>
        </w:rPr>
      </w:pPr>
      <w:r w:rsidRPr="006467F5">
        <w:rPr>
          <w:rFonts w:ascii="Palatino Linotype" w:hAnsi="Palatino Linotype"/>
          <w:b/>
          <w:i/>
          <w:sz w:val="24"/>
        </w:rPr>
        <w:t>-</w:t>
      </w:r>
      <w:r w:rsidRPr="006467F5">
        <w:rPr>
          <w:sz w:val="24"/>
        </w:rPr>
        <w:t xml:space="preserve"> </w:t>
      </w:r>
      <w:r w:rsidRPr="006467F5">
        <w:rPr>
          <w:rFonts w:ascii="Palatino Linotype" w:hAnsi="Palatino Linotype"/>
          <w:b/>
          <w:i/>
          <w:sz w:val="24"/>
        </w:rPr>
        <w:t>TLA_DOP_0807</w:t>
      </w:r>
      <w:r w:rsidRPr="006467F5">
        <w:rPr>
          <w:sz w:val="24"/>
        </w:rPr>
        <w:t xml:space="preserve"> </w:t>
      </w:r>
      <w:r w:rsidRPr="006467F5">
        <w:rPr>
          <w:rFonts w:ascii="Palatino Linotype" w:hAnsi="Palatino Linotype"/>
          <w:b/>
          <w:i/>
          <w:sz w:val="24"/>
        </w:rPr>
        <w:t>TM_805_2024 SAIMEX ACUMULADO.pdf</w:t>
      </w:r>
    </w:p>
    <w:p w14:paraId="5B442B13" w14:textId="77777777" w:rsidR="000938F9" w:rsidRPr="006467F5" w:rsidRDefault="000938F9" w:rsidP="00E4577A">
      <w:pPr>
        <w:spacing w:line="360" w:lineRule="auto"/>
        <w:jc w:val="both"/>
        <w:rPr>
          <w:rFonts w:ascii="Palatino Linotype" w:hAnsi="Palatino Linotype"/>
          <w:i/>
          <w:sz w:val="24"/>
        </w:rPr>
      </w:pPr>
      <w:r w:rsidRPr="006467F5">
        <w:rPr>
          <w:rFonts w:ascii="Palatino Linotype" w:hAnsi="Palatino Linotype"/>
          <w:sz w:val="24"/>
        </w:rPr>
        <w:t xml:space="preserve">Oficio de siete de marzo de dos mil </w:t>
      </w:r>
      <w:r w:rsidR="00720A10" w:rsidRPr="006467F5">
        <w:rPr>
          <w:rFonts w:ascii="Palatino Linotype" w:hAnsi="Palatino Linotype"/>
          <w:sz w:val="24"/>
        </w:rPr>
        <w:t>veinti</w:t>
      </w:r>
      <w:r w:rsidRPr="006467F5">
        <w:rPr>
          <w:rFonts w:ascii="Palatino Linotype" w:hAnsi="Palatino Linotype"/>
          <w:sz w:val="24"/>
        </w:rPr>
        <w:t xml:space="preserve">cuatro, firmado por el Director de Obras Públicas, Servidor </w:t>
      </w:r>
      <w:proofErr w:type="spellStart"/>
      <w:r w:rsidRPr="006467F5">
        <w:rPr>
          <w:rFonts w:ascii="Palatino Linotype" w:hAnsi="Palatino Linotype"/>
          <w:sz w:val="24"/>
        </w:rPr>
        <w:t>Publico</w:t>
      </w:r>
      <w:proofErr w:type="spellEnd"/>
      <w:r w:rsidRPr="006467F5">
        <w:rPr>
          <w:rFonts w:ascii="Palatino Linotype" w:hAnsi="Palatino Linotype"/>
          <w:sz w:val="24"/>
        </w:rPr>
        <w:t xml:space="preserve"> Habilitado y Enlace Jurídico, en el que la Dirección de Obras Publicas informo que “</w:t>
      </w:r>
      <w:r w:rsidRPr="006467F5">
        <w:rPr>
          <w:rFonts w:ascii="Palatino Linotype" w:hAnsi="Palatino Linotype"/>
          <w:i/>
          <w:sz w:val="24"/>
        </w:rPr>
        <w:t xml:space="preserve">en el ámbito de sus atribuciones, se tiene que cada una de las obras públicas inmersas en reiterado SAIMEX se encuentran en etapa de fiscalización correspondientes a la AUDITORIA NO AIF-083, AUDITORIA DE INVERSON FISICA, PRACTICADA AL MUNCIPIO DE TLALNEPANTLA DE BAZ, ESTADO DE MEXICO, por el periodo comprendido primero del enero de dos mil veintidós al treinta y un de diciembre de dos mil veintidós, ORDENADA MEDIANTE OFICIO OSFEM/AECFIF/067/2023 DE FECHA 22 DE FEBRERO DE 2023 (se anexa copia de oficio), es por ello que dicha información se encuentra en los supuestos de información reservada. </w:t>
      </w:r>
    </w:p>
    <w:p w14:paraId="61354D65" w14:textId="77777777" w:rsidR="00E4577A" w:rsidRPr="006467F5" w:rsidRDefault="00E4577A" w:rsidP="00E4577A">
      <w:pPr>
        <w:spacing w:line="360" w:lineRule="auto"/>
        <w:jc w:val="both"/>
        <w:rPr>
          <w:rFonts w:ascii="Palatino Linotype" w:hAnsi="Palatino Linotype"/>
          <w:b/>
          <w:i/>
          <w:sz w:val="24"/>
        </w:rPr>
      </w:pPr>
      <w:r w:rsidRPr="006467F5">
        <w:rPr>
          <w:rFonts w:ascii="Palatino Linotype" w:hAnsi="Palatino Linotype"/>
          <w:b/>
          <w:i/>
          <w:sz w:val="24"/>
        </w:rPr>
        <w:lastRenderedPageBreak/>
        <w:t>-</w:t>
      </w:r>
      <w:r w:rsidRPr="006467F5">
        <w:rPr>
          <w:sz w:val="24"/>
        </w:rPr>
        <w:t xml:space="preserve"> </w:t>
      </w:r>
      <w:r w:rsidRPr="006467F5">
        <w:rPr>
          <w:rFonts w:ascii="Palatino Linotype" w:hAnsi="Palatino Linotype"/>
          <w:b/>
          <w:i/>
          <w:sz w:val="24"/>
        </w:rPr>
        <w:t>TM_805_2024 SAIMEX ACUMULADO.pdf</w:t>
      </w:r>
    </w:p>
    <w:p w14:paraId="54E6FF32" w14:textId="77777777" w:rsidR="002E6482" w:rsidRPr="006467F5" w:rsidRDefault="002E6482" w:rsidP="00393AF1">
      <w:pPr>
        <w:spacing w:line="360" w:lineRule="auto"/>
        <w:jc w:val="both"/>
        <w:rPr>
          <w:rFonts w:ascii="Palatino Linotype" w:eastAsiaTheme="minorEastAsia" w:hAnsi="Palatino Linotype"/>
          <w:sz w:val="24"/>
          <w:szCs w:val="24"/>
          <w:lang w:val="es-ES_tradnl" w:eastAsia="es-ES"/>
        </w:rPr>
      </w:pPr>
      <w:r w:rsidRPr="006467F5">
        <w:rPr>
          <w:rFonts w:ascii="Palatino Linotype" w:eastAsiaTheme="minorEastAsia" w:hAnsi="Palatino Linotype"/>
          <w:sz w:val="24"/>
          <w:szCs w:val="24"/>
          <w:lang w:val="es-ES_tradnl" w:eastAsia="es-ES"/>
        </w:rPr>
        <w:t>Oficio de once de marzo de dos mil veinticuatro, firmado por el Tesorero Municipal, en el que solicita la acumulación de diversas solicitudes de información, entre ellas la que nos ocupa y la confirmación del acuerdo por el que se determinó “RESERVA TOTAL DE LA INFORMACIÓN”, del ejercicio fiscal 2022.</w:t>
      </w:r>
    </w:p>
    <w:p w14:paraId="3CD90365" w14:textId="77777777" w:rsidR="002E6482" w:rsidRPr="006467F5" w:rsidRDefault="002E6482" w:rsidP="00393AF1">
      <w:pPr>
        <w:spacing w:line="360" w:lineRule="auto"/>
        <w:jc w:val="both"/>
        <w:rPr>
          <w:rFonts w:ascii="Palatino Linotype" w:eastAsiaTheme="minorEastAsia" w:hAnsi="Palatino Linotype"/>
          <w:sz w:val="24"/>
          <w:szCs w:val="24"/>
          <w:lang w:val="es-ES_tradnl" w:eastAsia="es-ES"/>
        </w:rPr>
      </w:pPr>
    </w:p>
    <w:p w14:paraId="6C64188C" w14:textId="77777777" w:rsidR="00393AF1" w:rsidRPr="006467F5" w:rsidRDefault="009A3CA9" w:rsidP="009A3CA9">
      <w:pPr>
        <w:pStyle w:val="Ttulo1"/>
        <w:spacing w:before="0" w:line="360" w:lineRule="auto"/>
        <w:jc w:val="center"/>
        <w:rPr>
          <w:rFonts w:ascii="Palatino Linotype" w:hAnsi="Palatino Linotype" w:cs="Arial"/>
          <w:b/>
          <w:color w:val="000000" w:themeColor="text1"/>
          <w:sz w:val="28"/>
        </w:rPr>
      </w:pPr>
      <w:r w:rsidRPr="006467F5">
        <w:rPr>
          <w:rFonts w:ascii="Palatino Linotype" w:hAnsi="Palatino Linotype" w:cs="Arial"/>
          <w:b/>
          <w:color w:val="000000" w:themeColor="text1"/>
          <w:sz w:val="28"/>
        </w:rPr>
        <w:t>INCONFORMIDAD</w:t>
      </w:r>
    </w:p>
    <w:p w14:paraId="570EB16A" w14:textId="77777777" w:rsidR="00791C1A" w:rsidRPr="006467F5"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6467F5">
        <w:rPr>
          <w:rFonts w:ascii="Palatino Linotype" w:eastAsia="Times New Roman" w:hAnsi="Palatino Linotype" w:cs="Arial"/>
          <w:color w:val="000000" w:themeColor="text1"/>
          <w:lang w:val="es-ES"/>
        </w:rPr>
        <w:t>Inconforme con lo</w:t>
      </w:r>
      <w:r w:rsidR="00791C1A" w:rsidRPr="006467F5">
        <w:rPr>
          <w:rFonts w:ascii="Palatino Linotype" w:eastAsia="Times New Roman" w:hAnsi="Palatino Linotype" w:cs="Arial"/>
          <w:color w:val="000000" w:themeColor="text1"/>
          <w:lang w:val="es-ES"/>
        </w:rPr>
        <w:t xml:space="preserve"> anterior, </w:t>
      </w:r>
      <w:r w:rsidR="00A42712" w:rsidRPr="006467F5">
        <w:rPr>
          <w:rFonts w:ascii="Palatino Linotype" w:eastAsia="Times New Roman" w:hAnsi="Palatino Linotype" w:cs="Arial"/>
          <w:color w:val="000000" w:themeColor="text1"/>
          <w:lang w:val="es-ES"/>
        </w:rPr>
        <w:t xml:space="preserve">el </w:t>
      </w:r>
      <w:r w:rsidR="002E6482" w:rsidRPr="006467F5">
        <w:rPr>
          <w:rFonts w:ascii="Palatino Linotype" w:eastAsia="Times New Roman" w:hAnsi="Palatino Linotype" w:cs="Arial"/>
          <w:b/>
          <w:color w:val="000000" w:themeColor="text1"/>
          <w:lang w:val="es-ES"/>
        </w:rPr>
        <w:t>primero de abril</w:t>
      </w:r>
      <w:r w:rsidR="00537B98" w:rsidRPr="006467F5">
        <w:rPr>
          <w:rFonts w:ascii="Palatino Linotype" w:eastAsia="Times New Roman" w:hAnsi="Palatino Linotype" w:cs="Arial"/>
          <w:b/>
          <w:color w:val="000000" w:themeColor="text1"/>
          <w:lang w:val="es-ES"/>
        </w:rPr>
        <w:t xml:space="preserve"> de dos mil veinticuatro</w:t>
      </w:r>
      <w:r w:rsidR="00791C1A" w:rsidRPr="006467F5">
        <w:rPr>
          <w:rFonts w:ascii="Palatino Linotype" w:eastAsia="Times New Roman" w:hAnsi="Palatino Linotype" w:cs="Arial"/>
          <w:color w:val="000000" w:themeColor="text1"/>
          <w:lang w:val="es-ES"/>
        </w:rPr>
        <w:t xml:space="preserve">, el hoy </w:t>
      </w:r>
      <w:r w:rsidR="00791C1A" w:rsidRPr="006467F5">
        <w:rPr>
          <w:rFonts w:ascii="Palatino Linotype" w:eastAsia="Times New Roman" w:hAnsi="Palatino Linotype" w:cs="Arial"/>
          <w:b/>
          <w:color w:val="000000" w:themeColor="text1"/>
          <w:lang w:val="es-ES"/>
        </w:rPr>
        <w:t xml:space="preserve">RECURRENTE, </w:t>
      </w:r>
      <w:r w:rsidR="00A109D2" w:rsidRPr="006467F5">
        <w:rPr>
          <w:rFonts w:ascii="Palatino Linotype" w:eastAsia="Times New Roman" w:hAnsi="Palatino Linotype" w:cs="Arial"/>
          <w:color w:val="000000" w:themeColor="text1"/>
          <w:lang w:val="es-ES"/>
        </w:rPr>
        <w:t>interpuso</w:t>
      </w:r>
      <w:r w:rsidR="00791C1A" w:rsidRPr="006467F5">
        <w:rPr>
          <w:rFonts w:ascii="Palatino Linotype" w:eastAsia="Times New Roman" w:hAnsi="Palatino Linotype" w:cs="Arial"/>
          <w:color w:val="000000" w:themeColor="text1"/>
          <w:lang w:val="es-ES"/>
        </w:rPr>
        <w:t xml:space="preserve"> recurso de revisión en contra de la respuesta emitida por el </w:t>
      </w:r>
      <w:r w:rsidR="00791C1A" w:rsidRPr="006467F5">
        <w:rPr>
          <w:rFonts w:ascii="Palatino Linotype" w:eastAsia="Times New Roman" w:hAnsi="Palatino Linotype" w:cs="Arial"/>
          <w:b/>
          <w:color w:val="000000" w:themeColor="text1"/>
          <w:lang w:val="es-ES"/>
        </w:rPr>
        <w:t>SUJETO OBLIGADO</w:t>
      </w:r>
      <w:r w:rsidR="00791C1A" w:rsidRPr="006467F5">
        <w:rPr>
          <w:rFonts w:ascii="Palatino Linotype" w:eastAsia="Times New Roman" w:hAnsi="Palatino Linotype" w:cs="Arial"/>
          <w:color w:val="000000" w:themeColor="text1"/>
          <w:lang w:val="es-ES"/>
        </w:rPr>
        <w:t>, manifestando las siguientes razones o motivos de inconformidad:</w:t>
      </w:r>
    </w:p>
    <w:p w14:paraId="69B90167" w14:textId="77777777" w:rsidR="00791C1A" w:rsidRPr="006467F5"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14:paraId="7977BAB6" w14:textId="77777777" w:rsidR="00791C1A" w:rsidRPr="006467F5" w:rsidRDefault="00791C1A" w:rsidP="00791C1A">
      <w:pPr>
        <w:pStyle w:val="Prrafodelista"/>
        <w:numPr>
          <w:ilvl w:val="0"/>
          <w:numId w:val="2"/>
        </w:numPr>
        <w:spacing w:line="360" w:lineRule="auto"/>
        <w:ind w:left="993"/>
        <w:jc w:val="both"/>
        <w:rPr>
          <w:rStyle w:val="Ttulo2Car"/>
          <w:rFonts w:ascii="Palatino Linotype" w:hAnsi="Palatino Linotype"/>
          <w:i/>
          <w:color w:val="000000" w:themeColor="text1"/>
          <w:sz w:val="24"/>
          <w:szCs w:val="24"/>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6467F5">
        <w:rPr>
          <w:rStyle w:val="Ttulo2Car"/>
          <w:rFonts w:ascii="Palatino Linotype" w:hAnsi="Palatino Linotype"/>
          <w:b/>
          <w:color w:val="auto"/>
          <w:sz w:val="24"/>
          <w:szCs w:val="24"/>
        </w:rPr>
        <w:t>Acto impugnado</w:t>
      </w:r>
      <w:bookmarkEnd w:id="4"/>
      <w:r w:rsidRPr="006467F5">
        <w:rPr>
          <w:rStyle w:val="Ttulo2Car"/>
          <w:rFonts w:ascii="Palatino Linotype" w:hAnsi="Palatino Linotype"/>
          <w:b/>
          <w:color w:val="000000" w:themeColor="text1"/>
          <w:sz w:val="24"/>
          <w:szCs w:val="24"/>
        </w:rPr>
        <w:t xml:space="preserve">: </w:t>
      </w:r>
      <w:r w:rsidRPr="006467F5">
        <w:rPr>
          <w:rStyle w:val="Ttulo2Car"/>
          <w:rFonts w:ascii="Palatino Linotype" w:hAnsi="Palatino Linotype"/>
          <w:i/>
          <w:color w:val="000000" w:themeColor="text1"/>
          <w:sz w:val="24"/>
          <w:szCs w:val="24"/>
        </w:rPr>
        <w:t>“</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537B98" w:rsidRPr="006467F5">
        <w:rPr>
          <w:rFonts w:ascii="Palatino Linotype" w:eastAsiaTheme="majorEastAsia" w:hAnsi="Palatino Linotype" w:cstheme="majorBidi"/>
          <w:i/>
          <w:color w:val="000000" w:themeColor="text1"/>
          <w:lang w:val="es-MX"/>
        </w:rPr>
        <w:t>respuesta</w:t>
      </w:r>
      <w:r w:rsidR="00393AF1" w:rsidRPr="006467F5">
        <w:rPr>
          <w:rFonts w:ascii="Palatino Linotype" w:eastAsiaTheme="majorEastAsia" w:hAnsi="Palatino Linotype" w:cstheme="majorBidi"/>
          <w:i/>
          <w:color w:val="000000" w:themeColor="text1"/>
          <w:lang w:val="es-MX"/>
        </w:rPr>
        <w:t>”</w:t>
      </w:r>
    </w:p>
    <w:p w14:paraId="0142C059" w14:textId="77777777" w:rsidR="00791C1A" w:rsidRPr="006467F5" w:rsidRDefault="00791C1A" w:rsidP="00791C1A">
      <w:pPr>
        <w:pStyle w:val="Prrafodelista"/>
        <w:spacing w:line="360" w:lineRule="auto"/>
        <w:ind w:left="1134"/>
        <w:jc w:val="both"/>
        <w:rPr>
          <w:rStyle w:val="Ttulo2Car"/>
          <w:rFonts w:ascii="Palatino Linotype" w:hAnsi="Palatino Linotype"/>
          <w:i/>
          <w:color w:val="000000" w:themeColor="text1"/>
          <w:sz w:val="24"/>
          <w:szCs w:val="24"/>
        </w:rPr>
      </w:pPr>
    </w:p>
    <w:p w14:paraId="78D9BCEB" w14:textId="77777777" w:rsidR="009A3CA9" w:rsidRPr="006467F5" w:rsidRDefault="00791C1A" w:rsidP="00537B98">
      <w:pPr>
        <w:pStyle w:val="Prrafodelista"/>
        <w:numPr>
          <w:ilvl w:val="0"/>
          <w:numId w:val="2"/>
        </w:numPr>
        <w:spacing w:line="360" w:lineRule="auto"/>
        <w:ind w:left="993"/>
        <w:jc w:val="both"/>
        <w:rPr>
          <w:rFonts w:ascii="Palatino Linotype" w:hAnsi="Palatino Linotype"/>
          <w:i/>
          <w:color w:val="000000" w:themeColor="text1"/>
        </w:rPr>
      </w:pPr>
      <w:bookmarkStart w:id="128" w:name="_Toc53584977"/>
      <w:bookmarkStart w:id="129" w:name="_Toc60925404"/>
      <w:bookmarkStart w:id="130" w:name="_Toc81364834"/>
      <w:bookmarkStart w:id="131" w:name="_Toc81390611"/>
      <w:bookmarkStart w:id="132" w:name="_Toc82611034"/>
      <w:bookmarkStart w:id="133" w:name="_Toc83128577"/>
      <w:r w:rsidRPr="006467F5">
        <w:rPr>
          <w:rStyle w:val="Ttulo2Car"/>
          <w:rFonts w:ascii="Palatino Linotype" w:hAnsi="Palatino Linotype"/>
          <w:b/>
          <w:color w:val="000000" w:themeColor="text1"/>
          <w:sz w:val="24"/>
          <w:szCs w:val="24"/>
        </w:rPr>
        <w:t>Razones o Motivos de inconformidad:</w:t>
      </w:r>
      <w:bookmarkEnd w:id="69"/>
      <w:bookmarkEnd w:id="128"/>
      <w:bookmarkEnd w:id="129"/>
      <w:bookmarkEnd w:id="130"/>
      <w:bookmarkEnd w:id="131"/>
      <w:bookmarkEnd w:id="132"/>
      <w:bookmarkEnd w:id="133"/>
      <w:r w:rsidRPr="006467F5">
        <w:rPr>
          <w:rFonts w:ascii="Palatino Linotype" w:hAnsi="Palatino Linotype"/>
          <w:b/>
          <w:color w:val="000000" w:themeColor="text1"/>
        </w:rPr>
        <w:t xml:space="preserve"> </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537B98" w:rsidRPr="006467F5">
        <w:rPr>
          <w:rFonts w:ascii="Palatino Linotype" w:hAnsi="Palatino Linotype"/>
          <w:b/>
          <w:color w:val="000000" w:themeColor="text1"/>
        </w:rPr>
        <w:t>“</w:t>
      </w:r>
      <w:r w:rsidR="002E6482" w:rsidRPr="006467F5">
        <w:rPr>
          <w:rFonts w:ascii="Palatino Linotype" w:eastAsiaTheme="majorEastAsia" w:hAnsi="Palatino Linotype" w:cstheme="majorBidi"/>
          <w:i/>
          <w:color w:val="000000" w:themeColor="text1"/>
          <w:lang w:val="es-MX"/>
        </w:rPr>
        <w:t>No remiten lo solicitado, mandan acuerdos mal hechos, solicitó les ordenen lo que solicite ya qué transparentan los recursos públicos y la rendición de cuentas</w:t>
      </w:r>
      <w:r w:rsidR="00537B98" w:rsidRPr="006467F5">
        <w:rPr>
          <w:rFonts w:ascii="Palatino Linotype" w:hAnsi="Palatino Linotype"/>
          <w:color w:val="000000" w:themeColor="text1"/>
        </w:rPr>
        <w:t>”</w:t>
      </w:r>
    </w:p>
    <w:p w14:paraId="5431721E" w14:textId="77777777" w:rsidR="000C635A" w:rsidRPr="006467F5" w:rsidRDefault="000C635A" w:rsidP="000C635A">
      <w:pPr>
        <w:pStyle w:val="Prrafodelista"/>
        <w:rPr>
          <w:rFonts w:ascii="Palatino Linotype" w:hAnsi="Palatino Linotype"/>
          <w:i/>
          <w:color w:val="000000" w:themeColor="text1"/>
        </w:rPr>
      </w:pPr>
    </w:p>
    <w:p w14:paraId="07F3B9C0" w14:textId="77777777" w:rsidR="000C635A" w:rsidRPr="006467F5" w:rsidRDefault="000C635A" w:rsidP="000C635A">
      <w:pPr>
        <w:spacing w:line="360" w:lineRule="auto"/>
        <w:jc w:val="both"/>
        <w:rPr>
          <w:rFonts w:ascii="Palatino Linotype" w:hAnsi="Palatino Linotype"/>
          <w:color w:val="000000" w:themeColor="text1"/>
          <w:sz w:val="24"/>
          <w:szCs w:val="24"/>
        </w:rPr>
      </w:pPr>
      <w:r w:rsidRPr="006467F5">
        <w:rPr>
          <w:rFonts w:ascii="Palatino Linotype" w:hAnsi="Palatino Linotype"/>
          <w:color w:val="000000" w:themeColor="text1"/>
          <w:sz w:val="24"/>
          <w:szCs w:val="24"/>
        </w:rPr>
        <w:t xml:space="preserve">Al recurso adjunto el archivo </w:t>
      </w:r>
      <w:hyperlink r:id="rId8" w:tgtFrame="_blank" w:history="1">
        <w:proofErr w:type="spellStart"/>
        <w:r w:rsidRPr="006467F5">
          <w:rPr>
            <w:rStyle w:val="Ttulo2Car"/>
            <w:rFonts w:ascii="Palatino Linotype" w:hAnsi="Palatino Linotype"/>
            <w:b/>
            <w:i/>
            <w:color w:val="000000" w:themeColor="text1"/>
            <w:sz w:val="24"/>
            <w:szCs w:val="24"/>
          </w:rPr>
          <w:t>osfem</w:t>
        </w:r>
        <w:proofErr w:type="spellEnd"/>
        <w:r w:rsidRPr="006467F5">
          <w:rPr>
            <w:rStyle w:val="Ttulo2Car"/>
            <w:rFonts w:ascii="Palatino Linotype" w:hAnsi="Palatino Linotype"/>
            <w:b/>
            <w:i/>
            <w:color w:val="000000" w:themeColor="text1"/>
            <w:sz w:val="24"/>
            <w:szCs w:val="24"/>
          </w:rPr>
          <w:t xml:space="preserve"> tlane.pdf</w:t>
        </w:r>
      </w:hyperlink>
      <w:r w:rsidRPr="006467F5">
        <w:rPr>
          <w:rStyle w:val="Ttulo2Car"/>
          <w:rFonts w:ascii="Palatino Linotype" w:hAnsi="Palatino Linotype"/>
          <w:b/>
          <w:i/>
          <w:color w:val="000000" w:themeColor="text1"/>
          <w:sz w:val="24"/>
          <w:szCs w:val="24"/>
        </w:rPr>
        <w:t xml:space="preserve">, </w:t>
      </w:r>
      <w:r w:rsidRPr="006467F5">
        <w:rPr>
          <w:rStyle w:val="Ttulo2Car"/>
          <w:rFonts w:ascii="Palatino Linotype" w:hAnsi="Palatino Linotype"/>
          <w:color w:val="000000" w:themeColor="text1"/>
          <w:sz w:val="24"/>
          <w:szCs w:val="24"/>
        </w:rPr>
        <w:t>del que se desprende un archivo en formato PDF, de cuyo contenido se desprenden los montos observados respecto a la muestra fiscalizada del ejercicio fiscal 2022.</w:t>
      </w:r>
    </w:p>
    <w:p w14:paraId="2C29ADDA" w14:textId="77777777" w:rsidR="000C635A" w:rsidRPr="006467F5" w:rsidRDefault="000C635A" w:rsidP="000C635A">
      <w:pPr>
        <w:spacing w:line="360" w:lineRule="auto"/>
        <w:jc w:val="both"/>
        <w:rPr>
          <w:rFonts w:ascii="Palatino Linotype" w:hAnsi="Palatino Linotype"/>
          <w:color w:val="000000" w:themeColor="text1"/>
        </w:rPr>
      </w:pPr>
    </w:p>
    <w:p w14:paraId="55FF5963" w14:textId="77777777" w:rsidR="002E6482" w:rsidRPr="006467F5" w:rsidRDefault="002E6482" w:rsidP="002E6482">
      <w:pPr>
        <w:pStyle w:val="Prrafodelista"/>
        <w:rPr>
          <w:rFonts w:ascii="Palatino Linotype" w:hAnsi="Palatino Linotype"/>
          <w:i/>
          <w:color w:val="000000" w:themeColor="text1"/>
        </w:rPr>
      </w:pPr>
    </w:p>
    <w:p w14:paraId="401518F6" w14:textId="77777777" w:rsidR="002E6482" w:rsidRPr="006467F5" w:rsidRDefault="002E6482" w:rsidP="002E6482">
      <w:pPr>
        <w:pStyle w:val="Prrafodelista"/>
        <w:spacing w:line="360" w:lineRule="auto"/>
        <w:ind w:left="993"/>
        <w:jc w:val="both"/>
        <w:rPr>
          <w:rFonts w:ascii="Palatino Linotype" w:hAnsi="Palatino Linotype"/>
          <w:i/>
          <w:color w:val="000000" w:themeColor="text1"/>
        </w:rPr>
      </w:pPr>
    </w:p>
    <w:p w14:paraId="046B61B9" w14:textId="77777777" w:rsidR="009A3CA9" w:rsidRPr="006467F5" w:rsidRDefault="009A3CA9" w:rsidP="009A3CA9">
      <w:pPr>
        <w:pStyle w:val="Ttulo1"/>
        <w:spacing w:before="0" w:line="360" w:lineRule="auto"/>
        <w:jc w:val="center"/>
        <w:rPr>
          <w:rFonts w:ascii="Palatino Linotype" w:hAnsi="Palatino Linotype"/>
          <w:b/>
          <w:color w:val="000000" w:themeColor="text1"/>
          <w:sz w:val="28"/>
        </w:rPr>
      </w:pPr>
      <w:r w:rsidRPr="006467F5">
        <w:rPr>
          <w:rFonts w:ascii="Palatino Linotype" w:hAnsi="Palatino Linotype"/>
          <w:b/>
          <w:color w:val="000000" w:themeColor="text1"/>
          <w:sz w:val="28"/>
        </w:rPr>
        <w:t>MANIFESTACIONES</w:t>
      </w:r>
    </w:p>
    <w:p w14:paraId="2690AD35"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i/>
        </w:rPr>
      </w:pPr>
      <w:r w:rsidRPr="006467F5">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6467F5">
        <w:rPr>
          <w:rFonts w:ascii="Palatino Linotype" w:eastAsia="Calibri" w:hAnsi="Palatino Linotype" w:cs="Arial"/>
          <w:lang w:val="es-ES"/>
        </w:rPr>
        <w:t xml:space="preserve"> notificado el</w:t>
      </w:r>
      <w:r w:rsidR="00393AF1" w:rsidRPr="006467F5">
        <w:rPr>
          <w:rFonts w:ascii="Palatino Linotype" w:eastAsia="Calibri" w:hAnsi="Palatino Linotype" w:cs="Arial"/>
          <w:b/>
          <w:lang w:val="es-ES"/>
        </w:rPr>
        <w:t xml:space="preserve"> </w:t>
      </w:r>
      <w:r w:rsidR="002E6482" w:rsidRPr="006467F5">
        <w:rPr>
          <w:rFonts w:ascii="Palatino Linotype" w:eastAsia="Calibri" w:hAnsi="Palatino Linotype" w:cs="Arial"/>
          <w:b/>
          <w:lang w:val="es-ES"/>
        </w:rPr>
        <w:t>primero de abril</w:t>
      </w:r>
      <w:r w:rsidR="00537B98" w:rsidRPr="006467F5">
        <w:rPr>
          <w:rFonts w:ascii="Palatino Linotype" w:eastAsia="Calibri" w:hAnsi="Palatino Linotype" w:cs="Arial"/>
          <w:b/>
          <w:lang w:val="es-ES"/>
        </w:rPr>
        <w:t xml:space="preserve"> de dos mil veinticuatro</w:t>
      </w:r>
      <w:r w:rsidRPr="006467F5">
        <w:rPr>
          <w:rFonts w:ascii="Palatino Linotype" w:eastAsia="Calibri" w:hAnsi="Palatino Linotype" w:cs="Arial"/>
          <w:lang w:val="es-ES"/>
        </w:rPr>
        <w:t xml:space="preserve">, puso a disposición de las partes el expediente electrónico </w:t>
      </w:r>
      <w:r w:rsidRPr="006467F5">
        <w:rPr>
          <w:rFonts w:ascii="Palatino Linotype" w:eastAsia="Calibri" w:hAnsi="Palatino Linotype" w:cs="Arial"/>
        </w:rPr>
        <w:t xml:space="preserve">vía </w:t>
      </w:r>
      <w:r w:rsidRPr="006467F5">
        <w:rPr>
          <w:rFonts w:ascii="Palatino Linotype" w:eastAsia="Calibri" w:hAnsi="Palatino Linotype" w:cs="Arial"/>
          <w:b/>
          <w:lang w:val="es-ES"/>
        </w:rPr>
        <w:t xml:space="preserve">SAIMEX </w:t>
      </w:r>
      <w:r w:rsidRPr="006467F5">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6467F5">
        <w:rPr>
          <w:rFonts w:ascii="Palatino Linotype" w:eastAsia="Calibri" w:hAnsi="Palatino Linotype" w:cs="Arial"/>
          <w:b/>
          <w:lang w:val="es-ES"/>
        </w:rPr>
        <w:t>SUJETO OBLIGADO</w:t>
      </w:r>
      <w:r w:rsidRPr="006467F5">
        <w:rPr>
          <w:rFonts w:ascii="Palatino Linotype" w:eastAsia="Calibri" w:hAnsi="Palatino Linotype" w:cs="Arial"/>
          <w:lang w:val="es-ES"/>
        </w:rPr>
        <w:t xml:space="preserve"> presentará el Informe Justificado procedente.</w:t>
      </w:r>
    </w:p>
    <w:p w14:paraId="17518A2C" w14:textId="77777777" w:rsidR="00791C1A" w:rsidRPr="006467F5" w:rsidRDefault="00791C1A" w:rsidP="00791C1A">
      <w:pPr>
        <w:pStyle w:val="Prrafodelista"/>
        <w:spacing w:line="360" w:lineRule="auto"/>
        <w:ind w:left="0"/>
        <w:jc w:val="both"/>
        <w:rPr>
          <w:rFonts w:ascii="Palatino Linotype" w:hAnsi="Palatino Linotype"/>
        </w:rPr>
      </w:pPr>
    </w:p>
    <w:p w14:paraId="2E2E6B24" w14:textId="77777777" w:rsidR="00F65CAE" w:rsidRPr="006467F5" w:rsidRDefault="00D04217" w:rsidP="002E6482">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color w:val="000000"/>
        </w:rPr>
        <w:t xml:space="preserve">El </w:t>
      </w:r>
      <w:r w:rsidRPr="006467F5">
        <w:rPr>
          <w:rFonts w:ascii="Palatino Linotype" w:hAnsi="Palatino Linotype"/>
          <w:b/>
          <w:color w:val="000000"/>
        </w:rPr>
        <w:t xml:space="preserve">SUJETO OBLIGADO, </w:t>
      </w:r>
      <w:r w:rsidRPr="006467F5">
        <w:rPr>
          <w:rFonts w:ascii="Palatino Linotype" w:hAnsi="Palatino Linotype"/>
          <w:color w:val="000000"/>
        </w:rPr>
        <w:t>rindió informe ju</w:t>
      </w:r>
      <w:r w:rsidR="002E6482" w:rsidRPr="006467F5">
        <w:rPr>
          <w:rFonts w:ascii="Palatino Linotype" w:hAnsi="Palatino Linotype"/>
          <w:color w:val="000000"/>
        </w:rPr>
        <w:t>stificado por medio del archivos siguientes:</w:t>
      </w:r>
    </w:p>
    <w:p w14:paraId="45D0FD8C" w14:textId="77777777" w:rsidR="002E6482" w:rsidRPr="006467F5" w:rsidRDefault="002E6482" w:rsidP="002E6482">
      <w:pPr>
        <w:pStyle w:val="Prrafodelista"/>
        <w:spacing w:line="360" w:lineRule="auto"/>
        <w:ind w:left="0"/>
        <w:jc w:val="both"/>
        <w:rPr>
          <w:rFonts w:ascii="Palatino Linotype" w:hAnsi="Palatino Linotype"/>
        </w:rPr>
      </w:pPr>
    </w:p>
    <w:p w14:paraId="7D9BC9E9" w14:textId="77777777" w:rsidR="002E6482" w:rsidRPr="006467F5" w:rsidRDefault="00BC6B83" w:rsidP="002E6482">
      <w:pPr>
        <w:pStyle w:val="Prrafodelista"/>
        <w:numPr>
          <w:ilvl w:val="0"/>
          <w:numId w:val="26"/>
        </w:numPr>
        <w:spacing w:line="360" w:lineRule="auto"/>
        <w:jc w:val="both"/>
        <w:rPr>
          <w:rFonts w:ascii="Palatino Linotype" w:hAnsi="Palatino Linotype"/>
          <w:b/>
          <w:i/>
        </w:rPr>
      </w:pPr>
      <w:hyperlink r:id="rId9" w:history="1">
        <w:r w:rsidR="002E6482" w:rsidRPr="006467F5">
          <w:rPr>
            <w:rStyle w:val="Hipervnculo"/>
            <w:rFonts w:ascii="Palatino Linotype" w:hAnsi="Palatino Linotype"/>
            <w:b/>
            <w:bCs/>
            <w:i/>
            <w:color w:val="auto"/>
            <w:u w:val="none"/>
            <w:lang w:val="es-MX"/>
          </w:rPr>
          <w:t>MANIFESTACIONES.zip</w:t>
        </w:r>
      </w:hyperlink>
    </w:p>
    <w:p w14:paraId="5C9DD89E" w14:textId="77777777" w:rsidR="002E6482" w:rsidRPr="006467F5" w:rsidRDefault="002E6482" w:rsidP="002E6482">
      <w:pPr>
        <w:spacing w:line="360" w:lineRule="auto"/>
        <w:jc w:val="both"/>
        <w:rPr>
          <w:rFonts w:ascii="Palatino Linotype" w:hAnsi="Palatino Linotype"/>
          <w:b/>
          <w:i/>
        </w:rPr>
      </w:pPr>
      <w:r w:rsidRPr="006467F5">
        <w:rPr>
          <w:rFonts w:ascii="Palatino Linotype" w:hAnsi="Palatino Linotype"/>
          <w:b/>
          <w:i/>
        </w:rPr>
        <w:t>-RESP DE OBRAS PÚBLICAS.pdf:</w:t>
      </w:r>
    </w:p>
    <w:p w14:paraId="2E8C11AC" w14:textId="77777777" w:rsidR="002E6482" w:rsidRPr="006467F5" w:rsidRDefault="002E6482" w:rsidP="002E6482">
      <w:pPr>
        <w:spacing w:line="360" w:lineRule="auto"/>
        <w:jc w:val="both"/>
        <w:rPr>
          <w:rFonts w:ascii="Palatino Linotype" w:hAnsi="Palatino Linotype"/>
        </w:rPr>
      </w:pPr>
      <w:r w:rsidRPr="006467F5">
        <w:rPr>
          <w:rFonts w:ascii="Palatino Linotype" w:hAnsi="Palatino Linotype"/>
        </w:rPr>
        <w:t>Oficio de dos de abril de dos mil veinticuatro, firmado por el Director de Obras Públicas, Servidor Público Habilitado y por el Enlace Jurídico, por el que ratifica su respuesta primigenia.</w:t>
      </w:r>
    </w:p>
    <w:p w14:paraId="4E8EB904" w14:textId="77777777" w:rsidR="002E6482" w:rsidRPr="006467F5" w:rsidRDefault="00BC6B83" w:rsidP="002E6482">
      <w:pPr>
        <w:pStyle w:val="Prrafodelista"/>
        <w:numPr>
          <w:ilvl w:val="0"/>
          <w:numId w:val="26"/>
        </w:numPr>
        <w:spacing w:line="360" w:lineRule="auto"/>
        <w:jc w:val="both"/>
        <w:rPr>
          <w:rStyle w:val="Hipervnculo"/>
          <w:rFonts w:ascii="Palatino Linotype" w:hAnsi="Palatino Linotype"/>
          <w:b/>
          <w:bCs/>
          <w:i/>
          <w:color w:val="auto"/>
          <w:u w:val="none"/>
          <w:lang w:val="es-MX"/>
        </w:rPr>
      </w:pPr>
      <w:hyperlink r:id="rId10" w:history="1">
        <w:r w:rsidR="002E6482" w:rsidRPr="006467F5">
          <w:rPr>
            <w:rStyle w:val="Hipervnculo"/>
            <w:rFonts w:ascii="Palatino Linotype" w:hAnsi="Palatino Linotype"/>
            <w:b/>
            <w:bCs/>
            <w:i/>
            <w:color w:val="auto"/>
            <w:u w:val="none"/>
            <w:lang w:val="es-MX"/>
          </w:rPr>
          <w:t>COMPLEMENTO DE INFORMACION.zip</w:t>
        </w:r>
      </w:hyperlink>
    </w:p>
    <w:p w14:paraId="545CBDDF" w14:textId="77777777" w:rsidR="002E6482" w:rsidRPr="006467F5" w:rsidRDefault="00720A10" w:rsidP="00720A10">
      <w:pPr>
        <w:rPr>
          <w:rStyle w:val="Hipervnculo"/>
          <w:rFonts w:ascii="Palatino Linotype" w:hAnsi="Palatino Linotype"/>
          <w:b/>
          <w:bCs/>
          <w:i/>
          <w:color w:val="auto"/>
          <w:u w:val="none"/>
        </w:rPr>
      </w:pPr>
      <w:r w:rsidRPr="006467F5">
        <w:rPr>
          <w:rStyle w:val="Hipervnculo"/>
          <w:rFonts w:ascii="Palatino Linotype" w:hAnsi="Palatino Linotype"/>
          <w:b/>
          <w:bCs/>
          <w:i/>
          <w:color w:val="auto"/>
          <w:u w:val="none"/>
        </w:rPr>
        <w:t>-</w:t>
      </w:r>
      <w:r w:rsidRPr="006467F5">
        <w:t xml:space="preserve"> </w:t>
      </w:r>
      <w:r w:rsidRPr="006467F5">
        <w:rPr>
          <w:rStyle w:val="Hipervnculo"/>
          <w:rFonts w:ascii="Palatino Linotype" w:hAnsi="Palatino Linotype"/>
          <w:b/>
          <w:bCs/>
          <w:i/>
          <w:color w:val="auto"/>
          <w:u w:val="none"/>
        </w:rPr>
        <w:t xml:space="preserve">03 acuerdo 11 TM </w:t>
      </w:r>
      <w:proofErr w:type="spellStart"/>
      <w:r w:rsidRPr="006467F5">
        <w:rPr>
          <w:rStyle w:val="Hipervnculo"/>
          <w:rFonts w:ascii="Palatino Linotype" w:hAnsi="Palatino Linotype"/>
          <w:b/>
          <w:bCs/>
          <w:i/>
          <w:color w:val="auto"/>
          <w:u w:val="none"/>
        </w:rPr>
        <w:t>acum</w:t>
      </w:r>
      <w:proofErr w:type="spellEnd"/>
      <w:r w:rsidRPr="006467F5">
        <w:rPr>
          <w:rStyle w:val="Hipervnculo"/>
          <w:rFonts w:ascii="Palatino Linotype" w:hAnsi="Palatino Linotype"/>
          <w:b/>
          <w:bCs/>
          <w:i/>
          <w:color w:val="auto"/>
          <w:u w:val="none"/>
        </w:rPr>
        <w:t xml:space="preserve"> y reserva.pdf</w:t>
      </w:r>
    </w:p>
    <w:p w14:paraId="04ECF1AD" w14:textId="77777777" w:rsidR="00720A10" w:rsidRPr="006467F5" w:rsidRDefault="00720A10" w:rsidP="00720A10">
      <w:pPr>
        <w:spacing w:line="360" w:lineRule="auto"/>
        <w:jc w:val="both"/>
        <w:rPr>
          <w:rFonts w:ascii="Palatino Linotype" w:hAnsi="Palatino Linotype"/>
          <w:sz w:val="24"/>
        </w:rPr>
      </w:pPr>
      <w:r w:rsidRPr="006467F5">
        <w:rPr>
          <w:rFonts w:ascii="Palatino Linotype" w:hAnsi="Palatino Linotype"/>
          <w:sz w:val="24"/>
        </w:rPr>
        <w:t>Acuerdo de acumulación y confirmación de reserva de la información por un periodo de dos años la información de diversas solicitudes de información, entre las que se encuentra la que nos ocupa.</w:t>
      </w:r>
    </w:p>
    <w:p w14:paraId="11002F46" w14:textId="77777777" w:rsidR="00720A10" w:rsidRPr="006467F5" w:rsidRDefault="00720A10" w:rsidP="00720A10">
      <w:pPr>
        <w:rPr>
          <w:rStyle w:val="Hipervnculo"/>
          <w:rFonts w:ascii="Palatino Linotype" w:hAnsi="Palatino Linotype"/>
          <w:b/>
          <w:bCs/>
          <w:i/>
          <w:color w:val="auto"/>
          <w:u w:val="none"/>
        </w:rPr>
      </w:pPr>
    </w:p>
    <w:p w14:paraId="4F225776" w14:textId="77777777" w:rsidR="00720A10" w:rsidRPr="006467F5" w:rsidRDefault="00720A10" w:rsidP="00720A10">
      <w:pPr>
        <w:rPr>
          <w:rStyle w:val="Hipervnculo"/>
          <w:rFonts w:ascii="Palatino Linotype" w:hAnsi="Palatino Linotype"/>
          <w:b/>
          <w:bCs/>
          <w:i/>
          <w:color w:val="auto"/>
          <w:u w:val="none"/>
        </w:rPr>
      </w:pPr>
      <w:r w:rsidRPr="006467F5">
        <w:rPr>
          <w:rStyle w:val="Hipervnculo"/>
          <w:rFonts w:ascii="Palatino Linotype" w:hAnsi="Palatino Linotype"/>
          <w:b/>
          <w:bCs/>
          <w:i/>
          <w:color w:val="auto"/>
          <w:u w:val="none"/>
        </w:rPr>
        <w:lastRenderedPageBreak/>
        <w:t>-</w:t>
      </w:r>
      <w:r w:rsidRPr="006467F5">
        <w:t xml:space="preserve"> </w:t>
      </w:r>
      <w:r w:rsidRPr="006467F5">
        <w:rPr>
          <w:rStyle w:val="Hipervnculo"/>
          <w:rFonts w:ascii="Palatino Linotype" w:hAnsi="Palatino Linotype"/>
          <w:b/>
          <w:bCs/>
          <w:i/>
          <w:color w:val="auto"/>
          <w:u w:val="none"/>
        </w:rPr>
        <w:t>06_CT_03-ORD_2024.pdf</w:t>
      </w:r>
    </w:p>
    <w:p w14:paraId="73822B32" w14:textId="77777777" w:rsidR="00720A10" w:rsidRPr="006467F5" w:rsidRDefault="00720A10" w:rsidP="00720A10">
      <w:pPr>
        <w:spacing w:line="360" w:lineRule="auto"/>
        <w:jc w:val="both"/>
        <w:rPr>
          <w:rFonts w:ascii="Palatino Linotype" w:hAnsi="Palatino Linotype"/>
          <w:sz w:val="24"/>
        </w:rPr>
      </w:pPr>
      <w:r w:rsidRPr="006467F5">
        <w:rPr>
          <w:rFonts w:ascii="Palatino Linotype" w:hAnsi="Palatino Linotype"/>
          <w:sz w:val="24"/>
        </w:rPr>
        <w:t>Acuerdo de acumulación y confirmación de reserva de la información por un periodo de dos años la información de diversas solicitudes de información, entre las que se encuentra la que nos ocupa.</w:t>
      </w:r>
    </w:p>
    <w:p w14:paraId="63C01B7E" w14:textId="77777777" w:rsidR="00720A10" w:rsidRPr="006467F5" w:rsidRDefault="00720A10" w:rsidP="00720A10">
      <w:pPr>
        <w:rPr>
          <w:rStyle w:val="Hipervnculo"/>
          <w:rFonts w:ascii="Palatino Linotype" w:hAnsi="Palatino Linotype"/>
          <w:b/>
          <w:bCs/>
          <w:i/>
          <w:color w:val="auto"/>
          <w:u w:val="none"/>
        </w:rPr>
      </w:pPr>
    </w:p>
    <w:p w14:paraId="5BEB9434" w14:textId="77777777" w:rsidR="00720A10" w:rsidRPr="006467F5" w:rsidRDefault="00720A10" w:rsidP="00720A10">
      <w:pPr>
        <w:rPr>
          <w:rStyle w:val="Hipervnculo"/>
          <w:rFonts w:ascii="Palatino Linotype" w:hAnsi="Palatino Linotype"/>
          <w:b/>
          <w:bCs/>
          <w:i/>
          <w:color w:val="auto"/>
          <w:u w:val="none"/>
        </w:rPr>
      </w:pPr>
      <w:r w:rsidRPr="006467F5">
        <w:rPr>
          <w:rStyle w:val="Hipervnculo"/>
          <w:rFonts w:ascii="Palatino Linotype" w:hAnsi="Palatino Linotype"/>
          <w:b/>
          <w:bCs/>
          <w:i/>
          <w:color w:val="auto"/>
          <w:u w:val="none"/>
        </w:rPr>
        <w:t>-</w:t>
      </w:r>
      <w:r w:rsidRPr="006467F5">
        <w:t xml:space="preserve"> </w:t>
      </w:r>
      <w:r w:rsidRPr="006467F5">
        <w:rPr>
          <w:rStyle w:val="Hipervnculo"/>
          <w:rFonts w:ascii="Palatino Linotype" w:hAnsi="Palatino Linotype"/>
          <w:b/>
          <w:bCs/>
          <w:i/>
          <w:color w:val="auto"/>
          <w:u w:val="none"/>
        </w:rPr>
        <w:t>inicio auditoria AIF-083_OSFEM.pdf</w:t>
      </w:r>
    </w:p>
    <w:p w14:paraId="77A16A26" w14:textId="77777777" w:rsidR="00720A10" w:rsidRPr="006467F5" w:rsidRDefault="00720A10" w:rsidP="00720A10">
      <w:pPr>
        <w:spacing w:line="360" w:lineRule="auto"/>
        <w:jc w:val="both"/>
        <w:rPr>
          <w:rFonts w:ascii="Palatino Linotype" w:hAnsi="Palatino Linotype"/>
          <w:sz w:val="24"/>
        </w:rPr>
      </w:pPr>
      <w:r w:rsidRPr="006467F5">
        <w:rPr>
          <w:rFonts w:ascii="Palatino Linotype" w:hAnsi="Palatino Linotype"/>
          <w:sz w:val="24"/>
        </w:rPr>
        <w:t xml:space="preserve">Oficio de veintidós de febrero de dos mil veinticuatro, firmado por el Auditor Especial de Cumplimiento Financiero e Inversión Física, en donde se solicita se remita a la Oficialía de Partes de ese Órgano Técnico documentación para la práctica de Auditoria de Inversión Física con numero AIF-083 </w:t>
      </w:r>
    </w:p>
    <w:p w14:paraId="06723D27" w14:textId="77777777" w:rsidR="00720A10" w:rsidRPr="006467F5" w:rsidRDefault="00720A10" w:rsidP="00720A10">
      <w:pPr>
        <w:rPr>
          <w:rStyle w:val="Hipervnculo"/>
          <w:rFonts w:ascii="Palatino Linotype" w:hAnsi="Palatino Linotype"/>
          <w:b/>
          <w:bCs/>
          <w:i/>
          <w:color w:val="auto"/>
          <w:u w:val="none"/>
        </w:rPr>
      </w:pPr>
    </w:p>
    <w:p w14:paraId="67A0B2B2" w14:textId="77777777" w:rsidR="00720A10" w:rsidRPr="006467F5" w:rsidRDefault="00720A10" w:rsidP="00720A10">
      <w:pPr>
        <w:rPr>
          <w:rStyle w:val="Hipervnculo"/>
          <w:rFonts w:ascii="Palatino Linotype" w:hAnsi="Palatino Linotype"/>
          <w:b/>
          <w:bCs/>
          <w:i/>
          <w:color w:val="auto"/>
          <w:u w:val="none"/>
        </w:rPr>
      </w:pPr>
      <w:r w:rsidRPr="006467F5">
        <w:rPr>
          <w:rStyle w:val="Hipervnculo"/>
          <w:rFonts w:ascii="Palatino Linotype" w:hAnsi="Palatino Linotype"/>
          <w:b/>
          <w:bCs/>
          <w:i/>
          <w:color w:val="auto"/>
          <w:u w:val="none"/>
        </w:rPr>
        <w:t>-</w:t>
      </w:r>
      <w:r w:rsidRPr="006467F5">
        <w:t xml:space="preserve"> </w:t>
      </w:r>
      <w:r w:rsidRPr="006467F5">
        <w:rPr>
          <w:rStyle w:val="Hipervnculo"/>
          <w:rFonts w:ascii="Palatino Linotype" w:hAnsi="Palatino Linotype"/>
          <w:b/>
          <w:bCs/>
          <w:i/>
          <w:color w:val="auto"/>
          <w:u w:val="none"/>
        </w:rPr>
        <w:t>RESP DE TESORERIA.pdf</w:t>
      </w:r>
    </w:p>
    <w:p w14:paraId="1AF432FA" w14:textId="77777777" w:rsidR="00720A10" w:rsidRPr="006467F5" w:rsidRDefault="00720A10" w:rsidP="00720A10">
      <w:pPr>
        <w:spacing w:line="360" w:lineRule="auto"/>
        <w:jc w:val="both"/>
        <w:rPr>
          <w:rFonts w:ascii="Palatino Linotype" w:hAnsi="Palatino Linotype"/>
          <w:i/>
          <w:sz w:val="24"/>
        </w:rPr>
      </w:pPr>
      <w:r w:rsidRPr="006467F5">
        <w:rPr>
          <w:rFonts w:ascii="Palatino Linotype" w:hAnsi="Palatino Linotype"/>
          <w:sz w:val="24"/>
        </w:rPr>
        <w:t>Oficio de primero de abril de dos mil veinticuatro, firmado por el Director de Obras Públicas, Servidor Público Habilitado y Enlace Jurídico, en el que la Dirección de Obras Publicas informo que “</w:t>
      </w:r>
      <w:r w:rsidRPr="006467F5">
        <w:rPr>
          <w:rFonts w:ascii="Palatino Linotype" w:hAnsi="Palatino Linotype"/>
          <w:i/>
          <w:sz w:val="24"/>
        </w:rPr>
        <w:t xml:space="preserve">en el ámbito de sus atribuciones, se tiene que cada una de las obras públicas inmersas en reiterado SAIMEX se encuentran en etapa de fiscalización correspondientes a la AUDITORIA NO AIF-083, AUDITORIA DE INVERSON FISICA, PRACTICADA AL MUNCIPIO DE TLALNEPANTLA DE BAZ, ESTADO DE MEXICO, por el periodo comprendido primero del enero de dos mil veintidós al treinta y un de diciembre de dos mil veintidós, ORDENADA MEDIANTE OFICIO OSFEM/AECFIF/067/2023 DE FECHA 22 DE FEBRERO DE 2023 (se anexa copia de oficio), es por ello que dicha información se encuentra en los supuestos de información reservada. </w:t>
      </w:r>
    </w:p>
    <w:p w14:paraId="25547245" w14:textId="77777777" w:rsidR="00562185" w:rsidRPr="006467F5" w:rsidRDefault="00BC6B83" w:rsidP="00562185">
      <w:pPr>
        <w:pStyle w:val="Prrafodelista"/>
        <w:numPr>
          <w:ilvl w:val="0"/>
          <w:numId w:val="26"/>
        </w:numPr>
        <w:spacing w:line="360" w:lineRule="auto"/>
        <w:jc w:val="both"/>
        <w:rPr>
          <w:rStyle w:val="Hipervnculo"/>
          <w:b/>
          <w:bCs/>
          <w:color w:val="auto"/>
          <w:u w:val="none"/>
          <w:lang w:val="es-MX"/>
        </w:rPr>
      </w:pPr>
      <w:hyperlink r:id="rId11" w:history="1">
        <w:r w:rsidR="00562185" w:rsidRPr="006467F5">
          <w:rPr>
            <w:rStyle w:val="Hipervnculo"/>
            <w:rFonts w:ascii="Palatino Linotype" w:hAnsi="Palatino Linotype"/>
            <w:b/>
            <w:bCs/>
            <w:i/>
            <w:color w:val="auto"/>
            <w:u w:val="none"/>
            <w:lang w:val="es-MX"/>
          </w:rPr>
          <w:t>INFORMACION FALTANTE.zip</w:t>
        </w:r>
      </w:hyperlink>
    </w:p>
    <w:p w14:paraId="33B0858D" w14:textId="77777777" w:rsidR="00562185" w:rsidRPr="006467F5" w:rsidRDefault="00562185" w:rsidP="00562185">
      <w:pPr>
        <w:spacing w:line="360" w:lineRule="auto"/>
        <w:jc w:val="both"/>
        <w:rPr>
          <w:rStyle w:val="Hipervnculo"/>
          <w:rFonts w:ascii="Palatino Linotype" w:hAnsi="Palatino Linotype"/>
          <w:bCs/>
          <w:color w:val="auto"/>
          <w:sz w:val="24"/>
          <w:szCs w:val="24"/>
          <w:u w:val="none"/>
        </w:rPr>
      </w:pPr>
      <w:r w:rsidRPr="006467F5">
        <w:rPr>
          <w:rStyle w:val="Hipervnculo"/>
          <w:rFonts w:ascii="Palatino Linotype" w:hAnsi="Palatino Linotype"/>
          <w:bCs/>
          <w:color w:val="auto"/>
          <w:sz w:val="24"/>
          <w:szCs w:val="24"/>
          <w:u w:val="none"/>
        </w:rPr>
        <w:t>Del que se desprende la carpeta denominada “</w:t>
      </w:r>
      <w:r w:rsidRPr="006467F5">
        <w:rPr>
          <w:rStyle w:val="Hipervnculo"/>
          <w:rFonts w:ascii="Palatino Linotype" w:hAnsi="Palatino Linotype"/>
          <w:bCs/>
          <w:i/>
          <w:color w:val="auto"/>
          <w:sz w:val="24"/>
          <w:szCs w:val="24"/>
          <w:u w:val="none"/>
        </w:rPr>
        <w:t xml:space="preserve">INFORMACION FALTANTE”, </w:t>
      </w:r>
      <w:r w:rsidRPr="006467F5">
        <w:rPr>
          <w:rStyle w:val="Hipervnculo"/>
          <w:rFonts w:ascii="Palatino Linotype" w:hAnsi="Palatino Linotype"/>
          <w:bCs/>
          <w:color w:val="auto"/>
          <w:sz w:val="24"/>
          <w:szCs w:val="24"/>
          <w:u w:val="none"/>
        </w:rPr>
        <w:t>de cuyo contenido se observan los siguientes archivos:</w:t>
      </w:r>
    </w:p>
    <w:p w14:paraId="16004CD0" w14:textId="77777777" w:rsidR="00562185" w:rsidRPr="006467F5" w:rsidRDefault="00562185" w:rsidP="00562185">
      <w:pPr>
        <w:spacing w:line="360" w:lineRule="auto"/>
        <w:jc w:val="both"/>
        <w:rPr>
          <w:rStyle w:val="Hipervnculo"/>
          <w:rFonts w:ascii="Palatino Linotype" w:hAnsi="Palatino Linotype"/>
          <w:bCs/>
          <w:i/>
          <w:color w:val="auto"/>
          <w:sz w:val="24"/>
          <w:szCs w:val="24"/>
          <w:u w:val="none"/>
        </w:rPr>
      </w:pPr>
      <w:r w:rsidRPr="006467F5">
        <w:rPr>
          <w:rStyle w:val="Hipervnculo"/>
          <w:rFonts w:ascii="Palatino Linotype" w:hAnsi="Palatino Linotype"/>
          <w:bCs/>
          <w:i/>
          <w:color w:val="auto"/>
          <w:sz w:val="24"/>
          <w:szCs w:val="24"/>
          <w:u w:val="none"/>
        </w:rPr>
        <w:t>-SAIMEX_00212_RR_01598_DICTAMENES DE RENTABILIDAD DE OBRAS</w:t>
      </w:r>
    </w:p>
    <w:p w14:paraId="248F9231" w14:textId="77777777" w:rsidR="00562185" w:rsidRPr="006467F5" w:rsidRDefault="00562185" w:rsidP="00562185">
      <w:pPr>
        <w:spacing w:line="360" w:lineRule="auto"/>
        <w:jc w:val="both"/>
        <w:rPr>
          <w:rStyle w:val="Hipervnculo"/>
          <w:rFonts w:ascii="Palatino Linotype" w:hAnsi="Palatino Linotype"/>
          <w:bCs/>
          <w:color w:val="auto"/>
          <w:sz w:val="24"/>
          <w:szCs w:val="24"/>
          <w:u w:val="none"/>
        </w:rPr>
      </w:pPr>
      <w:r w:rsidRPr="006467F5">
        <w:rPr>
          <w:rStyle w:val="Hipervnculo"/>
          <w:rFonts w:ascii="Palatino Linotype" w:hAnsi="Palatino Linotype"/>
          <w:bCs/>
          <w:color w:val="auto"/>
          <w:sz w:val="24"/>
          <w:szCs w:val="24"/>
          <w:u w:val="none"/>
        </w:rPr>
        <w:t xml:space="preserve">Del que se desprende el </w:t>
      </w:r>
      <w:r w:rsidRPr="006467F5">
        <w:rPr>
          <w:rStyle w:val="Hipervnculo"/>
          <w:rFonts w:ascii="Palatino Linotype" w:hAnsi="Palatino Linotype"/>
          <w:bCs/>
          <w:i/>
          <w:color w:val="auto"/>
          <w:sz w:val="24"/>
          <w:szCs w:val="24"/>
          <w:u w:val="none"/>
        </w:rPr>
        <w:t xml:space="preserve">DIC_RENTABILIDAD Y ANEXO.pdf, </w:t>
      </w:r>
      <w:r w:rsidRPr="006467F5">
        <w:rPr>
          <w:rStyle w:val="Hipervnculo"/>
          <w:rFonts w:ascii="Palatino Linotype" w:hAnsi="Palatino Linotype"/>
          <w:bCs/>
          <w:color w:val="auto"/>
          <w:sz w:val="24"/>
          <w:szCs w:val="24"/>
          <w:u w:val="none"/>
        </w:rPr>
        <w:t>que contiene los dictámenes de factibilidad de rentabilidad social de las obras solicitadas, así como el anexo del expediente técnico con la Recomendación de Orientación Social de cada uno de ellos.</w:t>
      </w:r>
    </w:p>
    <w:p w14:paraId="32E83858" w14:textId="77777777" w:rsidR="00E521B1" w:rsidRPr="006467F5" w:rsidRDefault="00562185" w:rsidP="00562185">
      <w:pPr>
        <w:spacing w:line="360" w:lineRule="auto"/>
        <w:jc w:val="both"/>
        <w:rPr>
          <w:rStyle w:val="Hipervnculo"/>
          <w:rFonts w:ascii="Palatino Linotype" w:hAnsi="Palatino Linotype"/>
          <w:bCs/>
          <w:i/>
          <w:color w:val="auto"/>
          <w:sz w:val="24"/>
          <w:szCs w:val="24"/>
          <w:u w:val="none"/>
        </w:rPr>
      </w:pPr>
      <w:r w:rsidRPr="006467F5">
        <w:rPr>
          <w:rStyle w:val="Hipervnculo"/>
          <w:rFonts w:ascii="Palatino Linotype" w:hAnsi="Palatino Linotype"/>
          <w:bCs/>
          <w:i/>
          <w:color w:val="auto"/>
          <w:sz w:val="24"/>
          <w:szCs w:val="24"/>
          <w:u w:val="none"/>
        </w:rPr>
        <w:t>-RESP OBRAS PUBLICAS 4312.pdf</w:t>
      </w:r>
    </w:p>
    <w:p w14:paraId="11C659F2" w14:textId="77777777" w:rsidR="00325611" w:rsidRPr="006467F5" w:rsidRDefault="00562185" w:rsidP="00562185">
      <w:pPr>
        <w:spacing w:line="360" w:lineRule="auto"/>
        <w:jc w:val="both"/>
        <w:rPr>
          <w:rStyle w:val="Hipervnculo"/>
          <w:rFonts w:ascii="Palatino Linotype" w:hAnsi="Palatino Linotype"/>
          <w:bCs/>
          <w:i/>
          <w:color w:val="auto"/>
          <w:sz w:val="24"/>
          <w:szCs w:val="24"/>
          <w:u w:val="none"/>
        </w:rPr>
      </w:pPr>
      <w:r w:rsidRPr="006467F5">
        <w:rPr>
          <w:rStyle w:val="Hipervnculo"/>
          <w:rFonts w:ascii="Palatino Linotype" w:hAnsi="Palatino Linotype"/>
          <w:bCs/>
          <w:color w:val="auto"/>
          <w:sz w:val="24"/>
          <w:szCs w:val="24"/>
          <w:u w:val="none"/>
        </w:rPr>
        <w:t>Oficio de 17 de diciembre de dos mil veinticuatro, firmado por el Director de Obras Públicas, en el que informa que “</w:t>
      </w:r>
      <w:r w:rsidRPr="006467F5">
        <w:rPr>
          <w:rStyle w:val="Hipervnculo"/>
          <w:rFonts w:ascii="Palatino Linotype" w:hAnsi="Palatino Linotype"/>
          <w:bCs/>
          <w:i/>
          <w:color w:val="auto"/>
          <w:sz w:val="24"/>
          <w:szCs w:val="24"/>
          <w:u w:val="none"/>
        </w:rPr>
        <w:t>SE REMITE EN ARCHIVO PDF LOS DICTÁMENES DE RENTABILIDAD CON SU ANEXO 1, DE CADA UNA DE LAS OBRAS PUBLICAS REQURIDAD EN EL SAIMEX 0212/TLALNEPA/IP/2024.</w:t>
      </w:r>
    </w:p>
    <w:p w14:paraId="01754174" w14:textId="77777777" w:rsidR="00325611" w:rsidRPr="006467F5" w:rsidRDefault="00325611" w:rsidP="00562185">
      <w:pPr>
        <w:spacing w:line="360" w:lineRule="auto"/>
        <w:jc w:val="both"/>
        <w:rPr>
          <w:rFonts w:ascii="Palatino Linotype" w:hAnsi="Palatino Linotype"/>
          <w:bCs/>
          <w:i/>
          <w:sz w:val="24"/>
          <w:szCs w:val="24"/>
        </w:rPr>
      </w:pPr>
    </w:p>
    <w:p w14:paraId="0A5CBCE3" w14:textId="77777777" w:rsidR="00DA666E" w:rsidRPr="006467F5" w:rsidRDefault="00433919" w:rsidP="00393AF1">
      <w:pPr>
        <w:pStyle w:val="Prrafodelista"/>
        <w:numPr>
          <w:ilvl w:val="0"/>
          <w:numId w:val="1"/>
        </w:numPr>
        <w:spacing w:line="360" w:lineRule="auto"/>
        <w:ind w:left="0" w:firstLine="0"/>
        <w:jc w:val="both"/>
        <w:rPr>
          <w:rFonts w:ascii="Palatino Linotype" w:hAnsi="Palatino Linotype"/>
        </w:rPr>
      </w:pPr>
      <w:r w:rsidRPr="006467F5">
        <w:rPr>
          <w:rFonts w:ascii="Palatino Linotype" w:eastAsia="Calibri" w:hAnsi="Palatino Linotype" w:cs="Arial"/>
          <w:lang w:val="es-ES"/>
        </w:rPr>
        <w:t>E</w:t>
      </w:r>
      <w:r w:rsidR="00490324" w:rsidRPr="006467F5">
        <w:rPr>
          <w:rFonts w:ascii="Palatino Linotype" w:eastAsia="Calibri" w:hAnsi="Palatino Linotype" w:cs="Arial"/>
          <w:lang w:val="es-ES"/>
        </w:rPr>
        <w:t xml:space="preserve">l </w:t>
      </w:r>
      <w:r w:rsidRPr="006467F5">
        <w:rPr>
          <w:rFonts w:ascii="Palatino Linotype" w:hAnsi="Palatino Linotype"/>
          <w:b/>
          <w:color w:val="000000"/>
        </w:rPr>
        <w:t>PARTICULAR</w:t>
      </w:r>
      <w:r w:rsidR="00DA666E" w:rsidRPr="006467F5">
        <w:rPr>
          <w:rFonts w:ascii="Palatino Linotype" w:hAnsi="Palatino Linotype"/>
          <w:b/>
          <w:color w:val="000000"/>
        </w:rPr>
        <w:t xml:space="preserve"> </w:t>
      </w:r>
      <w:r w:rsidR="00490324" w:rsidRPr="006467F5">
        <w:rPr>
          <w:rFonts w:ascii="Palatino Linotype" w:hAnsi="Palatino Linotype"/>
          <w:color w:val="000000"/>
        </w:rPr>
        <w:t>fue omiso</w:t>
      </w:r>
      <w:r w:rsidR="00DA666E" w:rsidRPr="006467F5">
        <w:rPr>
          <w:rFonts w:ascii="Palatino Linotype" w:hAnsi="Palatino Linotype"/>
          <w:color w:val="000000"/>
        </w:rPr>
        <w:t xml:space="preserve"> en realizar manifestación alg</w:t>
      </w:r>
      <w:r w:rsidR="009A3CA9" w:rsidRPr="006467F5">
        <w:rPr>
          <w:rFonts w:ascii="Palatino Linotype" w:hAnsi="Palatino Linotype"/>
          <w:color w:val="000000"/>
        </w:rPr>
        <w:t>una que a su derecho conviniera.</w:t>
      </w:r>
    </w:p>
    <w:p w14:paraId="22C6F75B" w14:textId="77777777" w:rsidR="00791C1A" w:rsidRPr="006467F5" w:rsidRDefault="00791C1A" w:rsidP="00A42712">
      <w:pPr>
        <w:spacing w:line="360" w:lineRule="auto"/>
        <w:rPr>
          <w:rFonts w:ascii="Palatino Linotype" w:hAnsi="Palatino Linotype"/>
        </w:rPr>
      </w:pPr>
    </w:p>
    <w:p w14:paraId="460C2773"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b/>
          <w:color w:val="000000" w:themeColor="text1"/>
        </w:rPr>
      </w:pPr>
      <w:r w:rsidRPr="006467F5">
        <w:rPr>
          <w:rFonts w:ascii="Palatino Linotype" w:hAnsi="Palatino Linotype"/>
        </w:rPr>
        <w:t>E</w:t>
      </w:r>
      <w:r w:rsidR="00490324" w:rsidRPr="006467F5">
        <w:rPr>
          <w:rFonts w:ascii="Palatino Linotype" w:hAnsi="Palatino Linotype"/>
        </w:rPr>
        <w:t xml:space="preserve">l </w:t>
      </w:r>
      <w:r w:rsidR="00720A10" w:rsidRPr="006467F5">
        <w:rPr>
          <w:rFonts w:ascii="Palatino Linotype" w:hAnsi="Palatino Linotype"/>
          <w:b/>
        </w:rPr>
        <w:t>once</w:t>
      </w:r>
      <w:r w:rsidR="005121E8" w:rsidRPr="006467F5">
        <w:rPr>
          <w:rFonts w:ascii="Palatino Linotype" w:hAnsi="Palatino Linotype"/>
          <w:b/>
        </w:rPr>
        <w:t xml:space="preserve"> de junio</w:t>
      </w:r>
      <w:r w:rsidR="00490324" w:rsidRPr="006467F5">
        <w:rPr>
          <w:rFonts w:ascii="Palatino Linotype" w:hAnsi="Palatino Linotype"/>
          <w:b/>
        </w:rPr>
        <w:t xml:space="preserve"> de dos mil veinticuatro,</w:t>
      </w:r>
      <w:r w:rsidRPr="006467F5">
        <w:rPr>
          <w:rFonts w:ascii="Palatino Linotype" w:hAnsi="Palatino Linotype"/>
        </w:rPr>
        <w:t xml:space="preserve"> se amplió el término para resolver; al respecto es menester realizar las siguientes precisiones.</w:t>
      </w:r>
    </w:p>
    <w:p w14:paraId="5B52509D" w14:textId="77777777" w:rsidR="00791C1A" w:rsidRPr="006467F5" w:rsidRDefault="00791C1A" w:rsidP="00791C1A">
      <w:pPr>
        <w:spacing w:line="360" w:lineRule="auto"/>
        <w:rPr>
          <w:rFonts w:ascii="Palatino Linotype" w:hAnsi="Palatino Linotype"/>
          <w:sz w:val="24"/>
          <w:szCs w:val="24"/>
        </w:rPr>
      </w:pPr>
    </w:p>
    <w:p w14:paraId="7FEB737E" w14:textId="77777777" w:rsidR="00791C1A" w:rsidRPr="006467F5" w:rsidRDefault="00791C1A" w:rsidP="00791C1A">
      <w:pPr>
        <w:pStyle w:val="Prrafodelista"/>
        <w:numPr>
          <w:ilvl w:val="0"/>
          <w:numId w:val="4"/>
        </w:numPr>
        <w:spacing w:line="360" w:lineRule="auto"/>
        <w:jc w:val="both"/>
        <w:rPr>
          <w:rFonts w:ascii="Palatino Linotype" w:hAnsi="Palatino Linotype"/>
          <w:b/>
          <w:color w:val="000000" w:themeColor="text1"/>
        </w:rPr>
      </w:pPr>
      <w:r w:rsidRPr="006467F5">
        <w:rPr>
          <w:rFonts w:ascii="Palatino Linotype" w:hAnsi="Palatino Linotype"/>
          <w:b/>
          <w:color w:val="000000" w:themeColor="text1"/>
        </w:rPr>
        <w:lastRenderedPageBreak/>
        <w:t>De previo y especial pronunciamiento. Argumentos a considerar en las resoluciones a los recursos de revisión para justificar los fallos emitidos fuera del plazo legal de 45 días.</w:t>
      </w:r>
    </w:p>
    <w:p w14:paraId="06BAAE86" w14:textId="77777777" w:rsidR="00791C1A" w:rsidRPr="006467F5" w:rsidRDefault="00791C1A" w:rsidP="00791C1A">
      <w:pPr>
        <w:pStyle w:val="Prrafodelista"/>
        <w:spacing w:line="360" w:lineRule="auto"/>
        <w:ind w:left="0"/>
        <w:jc w:val="both"/>
        <w:rPr>
          <w:rFonts w:ascii="Palatino Linotype" w:hAnsi="Palatino Linotype"/>
        </w:rPr>
      </w:pPr>
    </w:p>
    <w:p w14:paraId="42C606FF"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t xml:space="preserve">Este organismo garante no pasa por alto justificar, que la dilación en la resolución del </w:t>
      </w:r>
      <w:r w:rsidRPr="006467F5">
        <w:rPr>
          <w:rFonts w:ascii="Palatino Linotype" w:hAnsi="Palatino Linotype"/>
          <w:color w:val="000000"/>
        </w:rPr>
        <w:t>presente</w:t>
      </w:r>
      <w:r w:rsidRPr="006467F5">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20746F1" w14:textId="77777777" w:rsidR="00791C1A" w:rsidRPr="006467F5" w:rsidRDefault="00791C1A" w:rsidP="00791C1A">
      <w:pPr>
        <w:pStyle w:val="Prrafodelista"/>
        <w:spacing w:line="360" w:lineRule="auto"/>
        <w:ind w:left="0"/>
        <w:jc w:val="both"/>
        <w:rPr>
          <w:rFonts w:ascii="Palatino Linotype" w:hAnsi="Palatino Linotype"/>
        </w:rPr>
      </w:pPr>
    </w:p>
    <w:p w14:paraId="2C397161"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2BF6A4F" w14:textId="77777777" w:rsidR="00791C1A" w:rsidRPr="006467F5" w:rsidRDefault="00791C1A" w:rsidP="00791C1A">
      <w:pPr>
        <w:pStyle w:val="Prrafodelista"/>
        <w:spacing w:line="360" w:lineRule="auto"/>
        <w:rPr>
          <w:rFonts w:ascii="Palatino Linotype" w:hAnsi="Palatino Linotype"/>
        </w:rPr>
      </w:pPr>
    </w:p>
    <w:p w14:paraId="745E2AE5"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BA076FF" w14:textId="77777777" w:rsidR="00791C1A" w:rsidRPr="006467F5" w:rsidRDefault="00791C1A" w:rsidP="00791C1A">
      <w:pPr>
        <w:pStyle w:val="Prrafodelista"/>
        <w:spacing w:line="360" w:lineRule="auto"/>
        <w:rPr>
          <w:rFonts w:ascii="Palatino Linotype" w:hAnsi="Palatino Linotype"/>
        </w:rPr>
      </w:pPr>
    </w:p>
    <w:p w14:paraId="3601EC61"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2D6139E" w14:textId="77777777" w:rsidR="00791C1A" w:rsidRPr="006467F5" w:rsidRDefault="00791C1A" w:rsidP="00791C1A">
      <w:pPr>
        <w:pStyle w:val="Prrafodelista"/>
        <w:spacing w:line="360" w:lineRule="auto"/>
        <w:rPr>
          <w:rFonts w:ascii="Palatino Linotype" w:hAnsi="Palatino Linotype"/>
        </w:rPr>
      </w:pPr>
    </w:p>
    <w:p w14:paraId="69BB47B9"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0BB6E4F" w14:textId="77777777" w:rsidR="00791C1A" w:rsidRPr="006467F5" w:rsidRDefault="00791C1A" w:rsidP="00791C1A">
      <w:pPr>
        <w:spacing w:line="360" w:lineRule="auto"/>
        <w:jc w:val="both"/>
        <w:rPr>
          <w:rFonts w:ascii="Palatino Linotype" w:hAnsi="Palatino Linotype"/>
          <w:sz w:val="24"/>
          <w:szCs w:val="24"/>
        </w:rPr>
      </w:pPr>
    </w:p>
    <w:p w14:paraId="41839EF9" w14:textId="77777777" w:rsidR="00791C1A" w:rsidRPr="006467F5" w:rsidRDefault="00791C1A" w:rsidP="00791C1A">
      <w:pPr>
        <w:pStyle w:val="Prrafodelista"/>
        <w:numPr>
          <w:ilvl w:val="0"/>
          <w:numId w:val="3"/>
        </w:numPr>
        <w:spacing w:line="360" w:lineRule="auto"/>
        <w:jc w:val="both"/>
        <w:rPr>
          <w:rFonts w:ascii="Palatino Linotype" w:hAnsi="Palatino Linotype"/>
        </w:rPr>
      </w:pPr>
      <w:r w:rsidRPr="006467F5">
        <w:rPr>
          <w:rFonts w:ascii="Palatino Linotype" w:hAnsi="Palatino Linotype"/>
        </w:rPr>
        <w:t xml:space="preserve">Complejidad del Asunto: La complejidad de la prueba, la pluralidad de sujetos procesales, el tiempo transcurrido, las características y contexto del recurso. </w:t>
      </w:r>
    </w:p>
    <w:p w14:paraId="71767ADD" w14:textId="77777777" w:rsidR="00791C1A" w:rsidRPr="006467F5" w:rsidRDefault="00791C1A" w:rsidP="00791C1A">
      <w:pPr>
        <w:pStyle w:val="Prrafodelista"/>
        <w:numPr>
          <w:ilvl w:val="0"/>
          <w:numId w:val="3"/>
        </w:numPr>
        <w:spacing w:line="360" w:lineRule="auto"/>
        <w:jc w:val="both"/>
        <w:rPr>
          <w:rFonts w:ascii="Palatino Linotype" w:hAnsi="Palatino Linotype"/>
        </w:rPr>
      </w:pPr>
      <w:r w:rsidRPr="006467F5">
        <w:rPr>
          <w:rFonts w:ascii="Palatino Linotype" w:hAnsi="Palatino Linotype"/>
        </w:rPr>
        <w:t>Actividad Procesal del interesado. Acciones u omisiones del interesado.</w:t>
      </w:r>
    </w:p>
    <w:p w14:paraId="69546A44" w14:textId="77777777" w:rsidR="00791C1A" w:rsidRPr="006467F5" w:rsidRDefault="00791C1A" w:rsidP="00791C1A">
      <w:pPr>
        <w:pStyle w:val="Prrafodelista"/>
        <w:numPr>
          <w:ilvl w:val="0"/>
          <w:numId w:val="3"/>
        </w:numPr>
        <w:spacing w:line="360" w:lineRule="auto"/>
        <w:jc w:val="both"/>
        <w:rPr>
          <w:rFonts w:ascii="Palatino Linotype" w:hAnsi="Palatino Linotype"/>
        </w:rPr>
      </w:pPr>
      <w:r w:rsidRPr="006467F5">
        <w:rPr>
          <w:rFonts w:ascii="Palatino Linotype" w:hAnsi="Palatino Linotype"/>
        </w:rPr>
        <w:t>Conducta de la Autoridad: Las Acciones u omisiones realizadas en el procedimiento. Así como si la autoridad actuó con la debida diligencia.</w:t>
      </w:r>
    </w:p>
    <w:p w14:paraId="667DA7D0" w14:textId="77777777" w:rsidR="00791C1A" w:rsidRPr="006467F5" w:rsidRDefault="00791C1A" w:rsidP="00791C1A">
      <w:pPr>
        <w:spacing w:line="360" w:lineRule="auto"/>
        <w:ind w:left="851" w:hanging="284"/>
        <w:jc w:val="both"/>
        <w:rPr>
          <w:rFonts w:ascii="Palatino Linotype" w:hAnsi="Palatino Linotype"/>
          <w:sz w:val="24"/>
          <w:szCs w:val="24"/>
        </w:rPr>
      </w:pPr>
      <w:r w:rsidRPr="006467F5">
        <w:rPr>
          <w:rFonts w:ascii="Palatino Linotype" w:hAnsi="Palatino Linotype"/>
          <w:sz w:val="24"/>
          <w:szCs w:val="24"/>
        </w:rPr>
        <w:t>d) La afectación generada en la situación jurídica de la persona involucrada en el proceso: Violación a sus derechos humanos.</w:t>
      </w:r>
    </w:p>
    <w:p w14:paraId="7D9BD317" w14:textId="77777777" w:rsidR="00791C1A" w:rsidRPr="006467F5" w:rsidRDefault="00791C1A" w:rsidP="00791C1A">
      <w:pPr>
        <w:spacing w:line="360" w:lineRule="auto"/>
        <w:ind w:left="851" w:hanging="284"/>
        <w:jc w:val="both"/>
        <w:rPr>
          <w:rFonts w:ascii="Palatino Linotype" w:hAnsi="Palatino Linotype"/>
          <w:sz w:val="24"/>
          <w:szCs w:val="24"/>
        </w:rPr>
      </w:pPr>
    </w:p>
    <w:p w14:paraId="5DFE1536"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6467F5">
        <w:rPr>
          <w:rFonts w:ascii="Palatino Linotype" w:hAnsi="Palatino Linotype"/>
        </w:rPr>
        <w:lastRenderedPageBreak/>
        <w:t>relación con la actuación del funcionario, como ha acontecido en el caso que nos ocupa.</w:t>
      </w:r>
    </w:p>
    <w:p w14:paraId="77809C32" w14:textId="77777777" w:rsidR="00791C1A" w:rsidRPr="006467F5" w:rsidRDefault="00791C1A" w:rsidP="00791C1A">
      <w:pPr>
        <w:pStyle w:val="Prrafodelista"/>
        <w:spacing w:line="360" w:lineRule="auto"/>
        <w:ind w:left="0"/>
        <w:jc w:val="both"/>
        <w:rPr>
          <w:rFonts w:ascii="Palatino Linotype" w:hAnsi="Palatino Linotype"/>
        </w:rPr>
      </w:pPr>
    </w:p>
    <w:p w14:paraId="1BF5135E"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b/>
        </w:rPr>
      </w:pPr>
      <w:r w:rsidRPr="006467F5">
        <w:rPr>
          <w:rFonts w:ascii="Palatino Linotype" w:hAnsi="Palatino Linotype"/>
        </w:rPr>
        <w:t xml:space="preserve">Argumento que encuentra sustento en la jurisprudencia P./J. 32/92 emitida por el Pleno de la Suprema Corte de Justicia de la Nación de rubro </w:t>
      </w:r>
      <w:r w:rsidRPr="006467F5">
        <w:rPr>
          <w:rFonts w:ascii="Palatino Linotype" w:hAnsi="Palatino Linotype"/>
          <w:i/>
        </w:rPr>
        <w:t xml:space="preserve">“TÉRMINOS PROCESALES. PARA DETERMINAR SI UN FUNCIONARIO JUDICIAL ACTUÓ </w:t>
      </w:r>
      <w:r w:rsidRPr="006467F5">
        <w:rPr>
          <w:rFonts w:ascii="Palatino Linotype" w:hAnsi="Palatino Linotype"/>
        </w:rPr>
        <w:t>INDEBIDAMENTE</w:t>
      </w:r>
      <w:r w:rsidRPr="006467F5">
        <w:rPr>
          <w:rFonts w:ascii="Palatino Linotype" w:hAnsi="Palatino Linotype"/>
          <w:i/>
        </w:rPr>
        <w:t xml:space="preserve"> POR NO RESPETARLOS SE DEBE ATENDER AL PRESUPUESTO QUE CONSIDERÓ EL LEGISLADOR AL FIJARLOS Y LAS CARACTERÍSTICAS DEL CASO.”</w:t>
      </w:r>
      <w:r w:rsidRPr="006467F5">
        <w:rPr>
          <w:rFonts w:ascii="Palatino Linotype" w:hAnsi="Palatino Linotype"/>
        </w:rPr>
        <w:t>, visible en la Gaceta del Seminario Judicial de la Federación con el registro digital 205635.</w:t>
      </w:r>
    </w:p>
    <w:p w14:paraId="23F4B186" w14:textId="77777777" w:rsidR="00791C1A" w:rsidRPr="006467F5" w:rsidRDefault="00791C1A" w:rsidP="00791C1A">
      <w:pPr>
        <w:spacing w:line="360" w:lineRule="auto"/>
        <w:jc w:val="both"/>
        <w:rPr>
          <w:rFonts w:ascii="Palatino Linotype" w:hAnsi="Palatino Linotype"/>
          <w:sz w:val="24"/>
          <w:szCs w:val="24"/>
        </w:rPr>
      </w:pPr>
    </w:p>
    <w:p w14:paraId="7D4B3A3E"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A065130" w14:textId="77777777" w:rsidR="00791C1A" w:rsidRPr="006467F5" w:rsidRDefault="00791C1A" w:rsidP="00791C1A">
      <w:pPr>
        <w:pStyle w:val="Prrafodelista"/>
        <w:spacing w:line="360" w:lineRule="auto"/>
        <w:rPr>
          <w:rFonts w:ascii="Palatino Linotype" w:hAnsi="Palatino Linotype"/>
        </w:rPr>
      </w:pPr>
    </w:p>
    <w:p w14:paraId="6F65713B"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21B5D9A0" w14:textId="77777777" w:rsidR="00791C1A" w:rsidRPr="006467F5" w:rsidRDefault="00791C1A" w:rsidP="00791C1A">
      <w:pPr>
        <w:spacing w:line="360" w:lineRule="auto"/>
        <w:jc w:val="both"/>
        <w:rPr>
          <w:rFonts w:ascii="Palatino Linotype" w:hAnsi="Palatino Linotype"/>
          <w:sz w:val="24"/>
          <w:szCs w:val="24"/>
        </w:rPr>
      </w:pPr>
    </w:p>
    <w:p w14:paraId="586A85E5"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99F99EE" w14:textId="77777777" w:rsidR="00791C1A" w:rsidRPr="006467F5" w:rsidRDefault="00791C1A" w:rsidP="00791C1A">
      <w:pPr>
        <w:spacing w:line="360" w:lineRule="auto"/>
        <w:jc w:val="both"/>
        <w:rPr>
          <w:rFonts w:ascii="Palatino Linotype" w:hAnsi="Palatino Linotype"/>
          <w:sz w:val="24"/>
          <w:szCs w:val="24"/>
        </w:rPr>
      </w:pPr>
    </w:p>
    <w:p w14:paraId="4AE0FCFA" w14:textId="77777777" w:rsidR="00791C1A" w:rsidRPr="006467F5" w:rsidRDefault="00791C1A" w:rsidP="00791C1A">
      <w:pPr>
        <w:spacing w:line="360" w:lineRule="auto"/>
        <w:ind w:left="425" w:right="476"/>
        <w:jc w:val="both"/>
        <w:rPr>
          <w:rFonts w:ascii="Palatino Linotype" w:hAnsi="Palatino Linotype"/>
          <w:sz w:val="24"/>
          <w:szCs w:val="24"/>
        </w:rPr>
      </w:pPr>
      <w:r w:rsidRPr="006467F5">
        <w:rPr>
          <w:rFonts w:ascii="Palatino Linotype" w:hAnsi="Palatino Linotype"/>
          <w:sz w:val="24"/>
          <w:szCs w:val="24"/>
        </w:rPr>
        <w:t xml:space="preserve"> </w:t>
      </w:r>
      <w:r w:rsidRPr="006467F5">
        <w:rPr>
          <w:rFonts w:ascii="Palatino Linotype" w:hAnsi="Palatino Linotype"/>
          <w:i/>
          <w:sz w:val="24"/>
          <w:szCs w:val="24"/>
        </w:rPr>
        <w:t>“PLAZO RAZONABLE PARA RESOLVER. DIMENSIÓN Y EFECTOS DE ESTE CONCEPTO CUANDO SE ADUCE EXCESIVA CARGA DE TRABAJO.”</w:t>
      </w:r>
      <w:r w:rsidRPr="006467F5">
        <w:rPr>
          <w:rFonts w:ascii="Palatino Linotype" w:hAnsi="Palatino Linotype"/>
          <w:sz w:val="24"/>
          <w:szCs w:val="24"/>
        </w:rPr>
        <w:t xml:space="preserve"> consultable en el Seminario Judicial de la Federación y su gaceta, con el registro digital 2002351.</w:t>
      </w:r>
    </w:p>
    <w:p w14:paraId="3455E188" w14:textId="77777777" w:rsidR="00791C1A" w:rsidRPr="006467F5" w:rsidRDefault="00791C1A" w:rsidP="00791C1A">
      <w:pPr>
        <w:spacing w:line="360" w:lineRule="auto"/>
        <w:ind w:left="425" w:right="476"/>
        <w:jc w:val="both"/>
        <w:rPr>
          <w:rFonts w:ascii="Palatino Linotype" w:hAnsi="Palatino Linotype"/>
          <w:b/>
          <w:sz w:val="24"/>
          <w:szCs w:val="24"/>
        </w:rPr>
      </w:pPr>
    </w:p>
    <w:p w14:paraId="5DB9E8A9" w14:textId="77777777" w:rsidR="00791C1A" w:rsidRPr="006467F5" w:rsidRDefault="00791C1A" w:rsidP="00791C1A">
      <w:pPr>
        <w:spacing w:line="360" w:lineRule="auto"/>
        <w:ind w:left="425" w:right="476"/>
        <w:jc w:val="both"/>
        <w:rPr>
          <w:rFonts w:ascii="Palatino Linotype" w:hAnsi="Palatino Linotype"/>
          <w:sz w:val="24"/>
          <w:szCs w:val="24"/>
        </w:rPr>
      </w:pPr>
      <w:r w:rsidRPr="006467F5">
        <w:rPr>
          <w:rFonts w:ascii="Palatino Linotype" w:hAnsi="Palatino Linotype"/>
          <w:i/>
          <w:sz w:val="24"/>
          <w:szCs w:val="24"/>
        </w:rPr>
        <w:t>“PLAZO RAZONABLE PARA RESOLVER. CONCEPTO Y ELEMENTOS QUE LO INTEGRAN A LA LUZ DEL DERECHO INTERNACIONAL DE LOS DERECHOS HUMANOS.”</w:t>
      </w:r>
      <w:r w:rsidRPr="006467F5">
        <w:rPr>
          <w:rFonts w:ascii="Palatino Linotype" w:hAnsi="Palatino Linotype"/>
          <w:sz w:val="24"/>
          <w:szCs w:val="24"/>
        </w:rPr>
        <w:t>, visible en el Seminario Judicial de la Federación y su gaceta, con el registro digital 2002350.”</w:t>
      </w:r>
    </w:p>
    <w:p w14:paraId="401F7575" w14:textId="77777777" w:rsidR="00791C1A" w:rsidRPr="006467F5" w:rsidRDefault="00791C1A" w:rsidP="00791C1A">
      <w:pPr>
        <w:pStyle w:val="Prrafodelista"/>
        <w:spacing w:line="360" w:lineRule="auto"/>
        <w:rPr>
          <w:rFonts w:ascii="Palatino Linotype" w:hAnsi="Palatino Linotype"/>
        </w:rPr>
      </w:pPr>
    </w:p>
    <w:p w14:paraId="11E9F015" w14:textId="77777777" w:rsidR="00791C1A" w:rsidRPr="006467F5"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6467F5">
        <w:rPr>
          <w:rFonts w:ascii="Palatino Linotype" w:hAnsi="Palatino Linotype"/>
        </w:rPr>
        <w:t>Finalmente</w:t>
      </w:r>
      <w:r w:rsidR="00791C1A" w:rsidRPr="006467F5">
        <w:rPr>
          <w:rFonts w:ascii="Palatino Linotype" w:hAnsi="Palatino Linotype"/>
        </w:rPr>
        <w:t xml:space="preserve">, mediante </w:t>
      </w:r>
      <w:r w:rsidR="00791C1A" w:rsidRPr="006467F5">
        <w:rPr>
          <w:rFonts w:ascii="Palatino Linotype" w:hAnsi="Palatino Linotype"/>
          <w:color w:val="000000"/>
        </w:rPr>
        <w:t>acuerdo</w:t>
      </w:r>
      <w:r w:rsidR="00791C1A" w:rsidRPr="006467F5">
        <w:rPr>
          <w:rFonts w:ascii="Palatino Linotype" w:hAnsi="Palatino Linotype"/>
        </w:rPr>
        <w:t xml:space="preserve"> de </w:t>
      </w:r>
      <w:r w:rsidR="000C635A" w:rsidRPr="006467F5">
        <w:rPr>
          <w:rFonts w:ascii="Palatino Linotype" w:hAnsi="Palatino Linotype"/>
          <w:b/>
        </w:rPr>
        <w:t>quince de enero</w:t>
      </w:r>
      <w:r w:rsidR="00433919" w:rsidRPr="006467F5">
        <w:rPr>
          <w:rFonts w:ascii="Palatino Linotype" w:hAnsi="Palatino Linotype"/>
          <w:b/>
        </w:rPr>
        <w:t xml:space="preserve"> </w:t>
      </w:r>
      <w:r w:rsidR="000C635A" w:rsidRPr="006467F5">
        <w:rPr>
          <w:rFonts w:ascii="Palatino Linotype" w:hAnsi="Palatino Linotype"/>
          <w:b/>
        </w:rPr>
        <w:t>de dos mil veinticinco</w:t>
      </w:r>
      <w:r w:rsidR="00224377" w:rsidRPr="006467F5">
        <w:rPr>
          <w:rFonts w:ascii="Palatino Linotype" w:hAnsi="Palatino Linotype"/>
          <w:b/>
        </w:rPr>
        <w:t xml:space="preserve">, </w:t>
      </w:r>
      <w:r w:rsidR="00791C1A" w:rsidRPr="006467F5">
        <w:rPr>
          <w:rFonts w:ascii="Palatino Linotype" w:hAnsi="Palatino Linotype"/>
        </w:rPr>
        <w:t xml:space="preserve">se  decretó el cierre de instrucción, </w:t>
      </w:r>
      <w:r w:rsidR="00791C1A" w:rsidRPr="006467F5">
        <w:rPr>
          <w:rFonts w:ascii="Palatino Linotype" w:hAnsi="Palatino Linotype" w:cs="Arial"/>
        </w:rPr>
        <w:t>por lo que no ha</w:t>
      </w:r>
      <w:bookmarkStart w:id="134" w:name="_Toc491791302"/>
      <w:bookmarkStart w:id="135" w:name="_Toc83128578"/>
      <w:r w:rsidR="00791C1A" w:rsidRPr="006467F5">
        <w:rPr>
          <w:rFonts w:ascii="Palatino Linotype" w:hAnsi="Palatino Linotype" w:cs="Arial"/>
        </w:rPr>
        <w:t>biendo más que hacer constar, y------------------</w:t>
      </w:r>
      <w:r w:rsidR="00C37399" w:rsidRPr="006467F5">
        <w:rPr>
          <w:rFonts w:ascii="Palatino Linotype" w:hAnsi="Palatino Linotype" w:cs="Arial"/>
        </w:rPr>
        <w:t>------------------------------------------------------------------------</w:t>
      </w:r>
    </w:p>
    <w:p w14:paraId="56AC22A7" w14:textId="77777777" w:rsidR="00791C1A" w:rsidRPr="006467F5" w:rsidRDefault="00791C1A" w:rsidP="00791C1A">
      <w:pPr>
        <w:pStyle w:val="Prrafodelista"/>
        <w:spacing w:line="360" w:lineRule="auto"/>
        <w:ind w:left="0"/>
        <w:rPr>
          <w:rFonts w:ascii="Palatino Linotype" w:hAnsi="Palatino Linotype"/>
          <w:b/>
          <w:color w:val="000000" w:themeColor="text1"/>
        </w:rPr>
      </w:pPr>
    </w:p>
    <w:p w14:paraId="24BA5662" w14:textId="77777777" w:rsidR="00791C1A" w:rsidRPr="006467F5" w:rsidRDefault="00791C1A" w:rsidP="00791C1A">
      <w:pPr>
        <w:pStyle w:val="Prrafodelista"/>
        <w:spacing w:line="360" w:lineRule="auto"/>
        <w:ind w:left="0"/>
        <w:jc w:val="center"/>
        <w:rPr>
          <w:rFonts w:ascii="Palatino Linotype" w:hAnsi="Palatino Linotype"/>
          <w:b/>
          <w:color w:val="000000" w:themeColor="text1"/>
        </w:rPr>
      </w:pPr>
      <w:r w:rsidRPr="006467F5">
        <w:rPr>
          <w:rFonts w:ascii="Palatino Linotype" w:hAnsi="Palatino Linotype"/>
          <w:b/>
          <w:color w:val="000000" w:themeColor="text1"/>
        </w:rPr>
        <w:t>CONSIDERANDO</w:t>
      </w:r>
      <w:bookmarkEnd w:id="134"/>
      <w:bookmarkEnd w:id="135"/>
    </w:p>
    <w:p w14:paraId="1B90AECB" w14:textId="77777777" w:rsidR="00791C1A" w:rsidRPr="006467F5" w:rsidRDefault="00791C1A" w:rsidP="00791C1A">
      <w:pPr>
        <w:pStyle w:val="Prrafodelista"/>
        <w:spacing w:line="360" w:lineRule="auto"/>
        <w:ind w:left="0"/>
        <w:jc w:val="center"/>
        <w:rPr>
          <w:rFonts w:ascii="Palatino Linotype" w:hAnsi="Palatino Linotype"/>
          <w:b/>
          <w:color w:val="000000" w:themeColor="text1"/>
        </w:rPr>
      </w:pPr>
    </w:p>
    <w:p w14:paraId="188E5646" w14:textId="77777777" w:rsidR="00791C1A" w:rsidRPr="006467F5" w:rsidRDefault="00791C1A" w:rsidP="00433919">
      <w:pPr>
        <w:pStyle w:val="Ttulo2"/>
        <w:spacing w:before="0" w:line="360" w:lineRule="auto"/>
        <w:rPr>
          <w:rFonts w:ascii="Palatino Linotype" w:hAnsi="Palatino Linotype"/>
          <w:b/>
          <w:color w:val="auto"/>
          <w:sz w:val="24"/>
          <w:szCs w:val="24"/>
        </w:rPr>
      </w:pPr>
      <w:bookmarkStart w:id="136" w:name="_Toc491791303"/>
      <w:bookmarkStart w:id="137" w:name="_Toc83128579"/>
      <w:r w:rsidRPr="006467F5">
        <w:rPr>
          <w:rFonts w:ascii="Palatino Linotype" w:hAnsi="Palatino Linotype"/>
          <w:b/>
          <w:color w:val="auto"/>
          <w:sz w:val="24"/>
          <w:szCs w:val="24"/>
        </w:rPr>
        <w:t>PRIMERO. De la competencia</w:t>
      </w:r>
      <w:bookmarkEnd w:id="136"/>
      <w:bookmarkEnd w:id="137"/>
    </w:p>
    <w:p w14:paraId="27907B92"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CE15618" w14:textId="77777777" w:rsidR="00791C1A" w:rsidRPr="006467F5" w:rsidRDefault="00791C1A" w:rsidP="00791C1A">
      <w:pPr>
        <w:pStyle w:val="Prrafodelista"/>
        <w:spacing w:line="360" w:lineRule="auto"/>
        <w:ind w:left="0"/>
        <w:jc w:val="both"/>
        <w:rPr>
          <w:rFonts w:ascii="Palatino Linotype" w:hAnsi="Palatino Linotype"/>
        </w:rPr>
      </w:pPr>
    </w:p>
    <w:p w14:paraId="1BB0D08E" w14:textId="77777777" w:rsidR="00791C1A" w:rsidRPr="006467F5" w:rsidRDefault="00791C1A" w:rsidP="00791C1A">
      <w:pPr>
        <w:pStyle w:val="Ttulo2"/>
        <w:spacing w:before="0" w:line="360" w:lineRule="auto"/>
        <w:rPr>
          <w:rFonts w:ascii="Palatino Linotype" w:hAnsi="Palatino Linotype"/>
          <w:b/>
          <w:color w:val="auto"/>
          <w:sz w:val="24"/>
          <w:szCs w:val="24"/>
        </w:rPr>
      </w:pPr>
      <w:bookmarkStart w:id="138" w:name="_Toc491791304"/>
      <w:bookmarkStart w:id="139" w:name="_Toc83128580"/>
      <w:r w:rsidRPr="006467F5">
        <w:rPr>
          <w:rFonts w:ascii="Palatino Linotype" w:hAnsi="Palatino Linotype"/>
          <w:b/>
          <w:color w:val="auto"/>
          <w:sz w:val="24"/>
          <w:szCs w:val="24"/>
        </w:rPr>
        <w:t>SEGUNDO. De la oportunidad y procedencia.</w:t>
      </w:r>
      <w:bookmarkEnd w:id="138"/>
      <w:bookmarkEnd w:id="139"/>
    </w:p>
    <w:p w14:paraId="693D988C" w14:textId="77777777" w:rsidR="00791C1A" w:rsidRPr="006467F5" w:rsidRDefault="00791C1A" w:rsidP="00791C1A">
      <w:pPr>
        <w:spacing w:line="360" w:lineRule="auto"/>
        <w:rPr>
          <w:rFonts w:ascii="Palatino Linotype" w:hAnsi="Palatino Linotype"/>
          <w:sz w:val="24"/>
          <w:szCs w:val="24"/>
        </w:rPr>
      </w:pPr>
    </w:p>
    <w:p w14:paraId="7B121F34" w14:textId="77777777" w:rsidR="00791C1A" w:rsidRPr="006467F5" w:rsidRDefault="00791C1A" w:rsidP="00791C1A">
      <w:pPr>
        <w:pStyle w:val="Prrafodelista"/>
        <w:numPr>
          <w:ilvl w:val="0"/>
          <w:numId w:val="1"/>
        </w:numPr>
        <w:spacing w:line="360" w:lineRule="auto"/>
        <w:ind w:left="0" w:firstLine="0"/>
        <w:jc w:val="both"/>
        <w:rPr>
          <w:rFonts w:ascii="Palatino Linotype" w:hAnsi="Palatino Linotype"/>
        </w:rPr>
      </w:pPr>
      <w:r w:rsidRPr="006467F5">
        <w:rPr>
          <w:rFonts w:ascii="Palatino Linotype" w:eastAsia="Calibri" w:hAnsi="Palatino Linotype" w:cs="Arial"/>
        </w:rPr>
        <w:t xml:space="preserve">El medio de impugnación fue presentado a través del </w:t>
      </w:r>
      <w:r w:rsidRPr="006467F5">
        <w:rPr>
          <w:rFonts w:ascii="Palatino Linotype" w:eastAsia="Calibri" w:hAnsi="Palatino Linotype" w:cs="Arial"/>
          <w:b/>
        </w:rPr>
        <w:t>SAIMEX,</w:t>
      </w:r>
      <w:r w:rsidRPr="006467F5">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6467F5">
        <w:rPr>
          <w:rFonts w:ascii="Palatino Linotype" w:eastAsia="Calibri" w:hAnsi="Palatino Linotype" w:cs="Arial"/>
          <w:b/>
        </w:rPr>
        <w:t>SUJETO OBLIGADO</w:t>
      </w:r>
      <w:r w:rsidRPr="006467F5">
        <w:rPr>
          <w:rFonts w:ascii="Palatino Linotype" w:eastAsia="Calibri" w:hAnsi="Palatino Linotype" w:cs="Arial"/>
        </w:rPr>
        <w:t xml:space="preserve"> entregó su respuesta el </w:t>
      </w:r>
      <w:r w:rsidR="000C635A" w:rsidRPr="006467F5">
        <w:rPr>
          <w:rFonts w:ascii="Palatino Linotype" w:eastAsia="Calibri" w:hAnsi="Palatino Linotype" w:cs="Arial"/>
          <w:b/>
        </w:rPr>
        <w:t>veintidós de marzo</w:t>
      </w:r>
      <w:r w:rsidR="005121E8" w:rsidRPr="006467F5">
        <w:rPr>
          <w:rFonts w:ascii="Palatino Linotype" w:eastAsia="Calibri" w:hAnsi="Palatino Linotype" w:cs="Arial"/>
          <w:b/>
        </w:rPr>
        <w:t xml:space="preserve"> de dos mil veinticuatro</w:t>
      </w:r>
      <w:r w:rsidRPr="006467F5">
        <w:rPr>
          <w:rFonts w:ascii="Palatino Linotype" w:eastAsia="Calibri" w:hAnsi="Palatino Linotype" w:cs="Arial"/>
        </w:rPr>
        <w:t xml:space="preserve">, </w:t>
      </w:r>
      <w:r w:rsidRPr="006467F5">
        <w:rPr>
          <w:rFonts w:ascii="Palatino Linotype" w:hAnsi="Palatino Linotype" w:cs="Arial"/>
        </w:rPr>
        <w:t>de tal forma que el plazo para interponer el recurso d</w:t>
      </w:r>
      <w:r w:rsidR="00C37399" w:rsidRPr="006467F5">
        <w:rPr>
          <w:rFonts w:ascii="Palatino Linotype" w:hAnsi="Palatino Linotype" w:cs="Arial"/>
        </w:rPr>
        <w:t>e revisión transcurrió del</w:t>
      </w:r>
      <w:r w:rsidR="00433919" w:rsidRPr="006467F5">
        <w:rPr>
          <w:rFonts w:ascii="Palatino Linotype" w:hAnsi="Palatino Linotype" w:cs="Arial"/>
          <w:b/>
        </w:rPr>
        <w:t xml:space="preserve"> </w:t>
      </w:r>
      <w:r w:rsidR="000C635A" w:rsidRPr="006467F5">
        <w:rPr>
          <w:rFonts w:ascii="Palatino Linotype" w:hAnsi="Palatino Linotype" w:cs="Arial"/>
          <w:b/>
        </w:rPr>
        <w:t xml:space="preserve">primero al diecinueve de abril </w:t>
      </w:r>
      <w:r w:rsidR="005121E8" w:rsidRPr="006467F5">
        <w:rPr>
          <w:rFonts w:ascii="Palatino Linotype" w:hAnsi="Palatino Linotype" w:cs="Arial"/>
          <w:b/>
        </w:rPr>
        <w:t>de dos mil veinticuatro</w:t>
      </w:r>
      <w:r w:rsidRPr="006467F5">
        <w:rPr>
          <w:rFonts w:ascii="Palatino Linotype" w:hAnsi="Palatino Linotype" w:cs="Arial"/>
        </w:rPr>
        <w:t xml:space="preserve">; en consecuencia, el ahora </w:t>
      </w:r>
      <w:r w:rsidRPr="006467F5">
        <w:rPr>
          <w:rFonts w:ascii="Palatino Linotype" w:hAnsi="Palatino Linotype" w:cs="Arial"/>
          <w:b/>
        </w:rPr>
        <w:t>RECURRENTE</w:t>
      </w:r>
      <w:r w:rsidRPr="006467F5">
        <w:rPr>
          <w:rFonts w:ascii="Palatino Linotype" w:hAnsi="Palatino Linotype" w:cs="Arial"/>
        </w:rPr>
        <w:t xml:space="preserve"> </w:t>
      </w:r>
      <w:r w:rsidR="00C37399" w:rsidRPr="006467F5">
        <w:rPr>
          <w:rFonts w:ascii="Palatino Linotype" w:hAnsi="Palatino Linotype" w:cs="Arial"/>
        </w:rPr>
        <w:t>presentó su inconformidad el</w:t>
      </w:r>
      <w:r w:rsidRPr="006467F5">
        <w:rPr>
          <w:rFonts w:ascii="Palatino Linotype" w:hAnsi="Palatino Linotype" w:cs="Arial"/>
        </w:rPr>
        <w:t xml:space="preserve"> </w:t>
      </w:r>
      <w:r w:rsidR="000C635A" w:rsidRPr="006467F5">
        <w:rPr>
          <w:rFonts w:ascii="Palatino Linotype" w:hAnsi="Palatino Linotype" w:cs="Arial"/>
          <w:b/>
        </w:rPr>
        <w:t>primero de abril</w:t>
      </w:r>
      <w:r w:rsidR="005121E8" w:rsidRPr="006467F5">
        <w:rPr>
          <w:rFonts w:ascii="Palatino Linotype" w:hAnsi="Palatino Linotype" w:cs="Arial"/>
          <w:b/>
        </w:rPr>
        <w:t xml:space="preserve"> de dos mil </w:t>
      </w:r>
      <w:r w:rsidR="005121E8" w:rsidRPr="006467F5">
        <w:rPr>
          <w:rFonts w:ascii="Palatino Linotype" w:hAnsi="Palatino Linotype" w:cs="Arial"/>
          <w:b/>
        </w:rPr>
        <w:lastRenderedPageBreak/>
        <w:t>veinticuatro</w:t>
      </w:r>
      <w:r w:rsidRPr="006467F5">
        <w:rPr>
          <w:rFonts w:ascii="Palatino Linotype" w:hAnsi="Palatino Linotype" w:cs="Arial"/>
        </w:rPr>
        <w:t xml:space="preserve">; </w:t>
      </w:r>
      <w:r w:rsidR="00433919" w:rsidRPr="006467F5">
        <w:rPr>
          <w:rFonts w:ascii="Palatino Linotype" w:hAnsi="Palatino Linotype" w:cs="Arial"/>
        </w:rPr>
        <w:t xml:space="preserve">es decir, el mismo día en que se dio respuesta </w:t>
      </w:r>
      <w:r w:rsidRPr="006467F5">
        <w:rPr>
          <w:rFonts w:ascii="Palatino Linotype" w:hAnsi="Palatino Linotype" w:cs="Arial"/>
        </w:rPr>
        <w:t>por lo que se estima que la inconformidad se presentó dentro del lapso legalmente establecido para tal efecto.</w:t>
      </w:r>
    </w:p>
    <w:p w14:paraId="014400C3" w14:textId="77777777" w:rsidR="005121E8" w:rsidRPr="006467F5" w:rsidRDefault="005121E8" w:rsidP="005121E8">
      <w:pPr>
        <w:pStyle w:val="Prrafodelista"/>
        <w:spacing w:line="360" w:lineRule="auto"/>
        <w:ind w:left="0"/>
        <w:jc w:val="both"/>
        <w:rPr>
          <w:rFonts w:ascii="Palatino Linotype" w:hAnsi="Palatino Linotype"/>
        </w:rPr>
      </w:pPr>
    </w:p>
    <w:p w14:paraId="28DDD77D" w14:textId="77777777" w:rsidR="00791C1A" w:rsidRPr="006467F5"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6467F5">
        <w:rPr>
          <w:rFonts w:ascii="Palatino Linotype" w:hAnsi="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1A0950D" w14:textId="77777777" w:rsidR="00325611" w:rsidRPr="006467F5" w:rsidRDefault="00325611" w:rsidP="00325611">
      <w:pPr>
        <w:spacing w:before="240" w:after="240" w:line="360" w:lineRule="auto"/>
        <w:ind w:right="48"/>
        <w:contextualSpacing/>
        <w:jc w:val="both"/>
        <w:rPr>
          <w:rFonts w:ascii="Palatino Linotype" w:hAnsi="Palatino Linotype"/>
          <w:sz w:val="24"/>
          <w:szCs w:val="24"/>
        </w:rPr>
      </w:pPr>
    </w:p>
    <w:p w14:paraId="6882F35E" w14:textId="77777777" w:rsidR="00325611" w:rsidRPr="006467F5" w:rsidRDefault="00325611" w:rsidP="00325611">
      <w:pPr>
        <w:keepNext/>
        <w:keepLines/>
        <w:spacing w:line="360" w:lineRule="auto"/>
        <w:ind w:right="-646"/>
        <w:rPr>
          <w:rFonts w:ascii="Palatino Linotype" w:eastAsia="Palatino Linotype" w:hAnsi="Palatino Linotype" w:cs="Palatino Linotype"/>
          <w:b/>
          <w:sz w:val="24"/>
          <w:szCs w:val="24"/>
        </w:rPr>
      </w:pPr>
      <w:r w:rsidRPr="006467F5">
        <w:rPr>
          <w:rFonts w:ascii="Palatino Linotype" w:eastAsia="Palatino Linotype" w:hAnsi="Palatino Linotype" w:cs="Palatino Linotype"/>
          <w:b/>
          <w:sz w:val="24"/>
          <w:szCs w:val="24"/>
        </w:rPr>
        <w:t>TERCERO. De las causales de sobreseimiento</w:t>
      </w:r>
    </w:p>
    <w:p w14:paraId="02BF4501" w14:textId="77777777" w:rsidR="00325611" w:rsidRPr="006467F5" w:rsidRDefault="00325611" w:rsidP="00325611">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Por lo que hace a las causas de sobreseimiento contenidas en la fracción III del artículo 192 de la </w:t>
      </w:r>
      <w:r w:rsidRPr="006467F5">
        <w:rPr>
          <w:rFonts w:ascii="Palatino Linotype" w:eastAsia="Palatino Linotype" w:hAnsi="Palatino Linotype" w:cs="Palatino Linotype"/>
          <w:b/>
          <w:sz w:val="24"/>
          <w:szCs w:val="24"/>
        </w:rPr>
        <w:t>Ley de Transparencia y Acceso a la Información Pública del Estado de México y Municipios</w:t>
      </w:r>
      <w:r w:rsidRPr="006467F5">
        <w:rPr>
          <w:rFonts w:ascii="Palatino Linotype" w:eastAsia="Palatino Linotype" w:hAnsi="Palatino Linotype" w:cs="Palatino Linotype"/>
          <w:sz w:val="24"/>
          <w:szCs w:val="24"/>
        </w:rPr>
        <w:t xml:space="preserve">, es oportuno señalar que estos requisitos privilegian la existencia de elementos de fondo, tales como el desistimiento o fallecimiento del </w:t>
      </w:r>
      <w:r w:rsidRPr="006467F5">
        <w:rPr>
          <w:rFonts w:ascii="Palatino Linotype" w:eastAsia="Palatino Linotype" w:hAnsi="Palatino Linotype" w:cs="Palatino Linotype"/>
          <w:b/>
          <w:sz w:val="24"/>
          <w:szCs w:val="24"/>
        </w:rPr>
        <w:t>RECURRENTE</w:t>
      </w:r>
      <w:r w:rsidRPr="006467F5">
        <w:rPr>
          <w:rFonts w:ascii="Palatino Linotype" w:eastAsia="Palatino Linotype" w:hAnsi="Palatino Linotype" w:cs="Palatino Linotype"/>
          <w:sz w:val="24"/>
          <w:szCs w:val="24"/>
        </w:rPr>
        <w:t xml:space="preserve"> o que el </w:t>
      </w:r>
      <w:r w:rsidRPr="006467F5">
        <w:rPr>
          <w:rFonts w:ascii="Palatino Linotype" w:eastAsia="Palatino Linotype" w:hAnsi="Palatino Linotype" w:cs="Palatino Linotype"/>
          <w:b/>
          <w:sz w:val="24"/>
          <w:szCs w:val="24"/>
        </w:rPr>
        <w:t>SUJETO OBLIGADO</w:t>
      </w:r>
      <w:r w:rsidRPr="006467F5">
        <w:rPr>
          <w:rFonts w:ascii="Palatino Linotype" w:eastAsia="Palatino Linotype" w:hAnsi="Palatino Linotype" w:cs="Palatino Linotype"/>
          <w:sz w:val="24"/>
          <w:szCs w:val="24"/>
        </w:rPr>
        <w:t xml:space="preserve"> </w:t>
      </w:r>
      <w:r w:rsidRPr="006467F5">
        <w:rPr>
          <w:rFonts w:ascii="Palatino Linotype" w:eastAsia="Palatino Linotype" w:hAnsi="Palatino Linotype" w:cs="Palatino Linotype"/>
          <w:b/>
          <w:sz w:val="24"/>
          <w:szCs w:val="24"/>
          <w:u w:val="single"/>
        </w:rPr>
        <w:t>modifique o revoque el acto</w:t>
      </w:r>
      <w:r w:rsidRPr="006467F5">
        <w:rPr>
          <w:rFonts w:ascii="Palatino Linotype" w:eastAsia="Palatino Linotype" w:hAnsi="Palatino Linotype" w:cs="Palatino Linotype"/>
          <w:sz w:val="24"/>
          <w:szCs w:val="24"/>
        </w:rPr>
        <w:t>; de ahí que la actualización de alguno de éstos trae como consecuencia que el medio de impugnación se concluya sin que se analice el objeto de estudio planteado, es decir se sobresea.</w:t>
      </w:r>
    </w:p>
    <w:p w14:paraId="7EC6E165" w14:textId="77777777" w:rsidR="00325611" w:rsidRPr="006467F5" w:rsidRDefault="00325611" w:rsidP="00325611">
      <w:pPr>
        <w:spacing w:before="240" w:after="240" w:line="360" w:lineRule="auto"/>
        <w:ind w:right="48"/>
        <w:contextualSpacing/>
        <w:jc w:val="both"/>
        <w:rPr>
          <w:rFonts w:ascii="Palatino Linotype" w:eastAsia="Palatino Linotype" w:hAnsi="Palatino Linotype" w:cs="Palatino Linotype"/>
          <w:sz w:val="24"/>
          <w:szCs w:val="24"/>
        </w:rPr>
      </w:pPr>
    </w:p>
    <w:p w14:paraId="2EC1DC13" w14:textId="77777777" w:rsidR="00325611" w:rsidRPr="006467F5" w:rsidRDefault="00325611" w:rsidP="00325611">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Para los efectos de esta resolución, es oportuno precisar los alcances jurídicos de la fracción III de la disposición legal transcrita. Así, procede el sobreseimiento del recurso de revisión cuando el </w:t>
      </w:r>
      <w:r w:rsidRPr="006467F5">
        <w:rPr>
          <w:rFonts w:ascii="Palatino Linotype" w:eastAsia="Palatino Linotype" w:hAnsi="Palatino Linotype" w:cs="Palatino Linotype"/>
          <w:b/>
          <w:sz w:val="24"/>
          <w:szCs w:val="24"/>
        </w:rPr>
        <w:t>SUJETO OBLIGADO</w:t>
      </w:r>
      <w:r w:rsidRPr="006467F5">
        <w:rPr>
          <w:rFonts w:ascii="Palatino Linotype" w:eastAsia="Palatino Linotype" w:hAnsi="Palatino Linotype" w:cs="Palatino Linotype"/>
          <w:sz w:val="24"/>
          <w:szCs w:val="24"/>
        </w:rPr>
        <w:t>:</w:t>
      </w:r>
    </w:p>
    <w:p w14:paraId="5E24A389" w14:textId="77777777" w:rsidR="00325611" w:rsidRPr="006467F5" w:rsidRDefault="00325611" w:rsidP="00325611">
      <w:pPr>
        <w:spacing w:before="240" w:after="240" w:line="360" w:lineRule="auto"/>
        <w:ind w:right="48"/>
        <w:contextualSpacing/>
        <w:jc w:val="both"/>
        <w:rPr>
          <w:rFonts w:ascii="Palatino Linotype" w:eastAsia="Palatino Linotype" w:hAnsi="Palatino Linotype" w:cs="Palatino Linotype"/>
          <w:sz w:val="24"/>
          <w:szCs w:val="24"/>
        </w:rPr>
      </w:pPr>
    </w:p>
    <w:p w14:paraId="3EA2A86B" w14:textId="77777777" w:rsidR="00325611" w:rsidRPr="006467F5" w:rsidRDefault="00325611" w:rsidP="00325611">
      <w:pPr>
        <w:numPr>
          <w:ilvl w:val="0"/>
          <w:numId w:val="36"/>
        </w:numPr>
        <w:spacing w:after="0" w:line="360" w:lineRule="auto"/>
        <w:ind w:left="567" w:right="616" w:firstLine="0"/>
        <w:jc w:val="both"/>
        <w:rPr>
          <w:rFonts w:ascii="Palatino Linotype" w:eastAsia="Palatino Linotype" w:hAnsi="Palatino Linotype" w:cs="Palatino Linotype"/>
        </w:rPr>
      </w:pPr>
      <w:r w:rsidRPr="006467F5">
        <w:rPr>
          <w:rFonts w:ascii="Palatino Linotype" w:eastAsia="Palatino Linotype" w:hAnsi="Palatino Linotype" w:cs="Palatino Linotype"/>
          <w:b/>
        </w:rPr>
        <w:lastRenderedPageBreak/>
        <w:t>Modifique el acto impugnado:</w:t>
      </w:r>
      <w:r w:rsidRPr="006467F5">
        <w:rPr>
          <w:rFonts w:ascii="Palatino Linotype" w:eastAsia="Palatino Linotype" w:hAnsi="Palatino Linotype" w:cs="Palatino Linotype"/>
        </w:rPr>
        <w:t xml:space="preserve"> Se actualiza cuando el </w:t>
      </w:r>
      <w:r w:rsidRPr="006467F5">
        <w:rPr>
          <w:rFonts w:ascii="Palatino Linotype" w:eastAsia="Palatino Linotype" w:hAnsi="Palatino Linotype" w:cs="Palatino Linotype"/>
          <w:b/>
        </w:rPr>
        <w:t>SUJETO OBLIGADO</w:t>
      </w:r>
      <w:r w:rsidRPr="006467F5">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14:paraId="0123EF0F" w14:textId="77777777" w:rsidR="00325611" w:rsidRPr="006467F5" w:rsidRDefault="00325611" w:rsidP="00325611">
      <w:pPr>
        <w:numPr>
          <w:ilvl w:val="0"/>
          <w:numId w:val="36"/>
        </w:numPr>
        <w:spacing w:after="0" w:line="360" w:lineRule="auto"/>
        <w:ind w:left="567" w:right="616" w:firstLine="0"/>
        <w:jc w:val="both"/>
        <w:rPr>
          <w:rFonts w:ascii="Palatino Linotype" w:eastAsia="Palatino Linotype" w:hAnsi="Palatino Linotype" w:cs="Palatino Linotype"/>
        </w:rPr>
      </w:pPr>
      <w:r w:rsidRPr="006467F5">
        <w:rPr>
          <w:rFonts w:ascii="Palatino Linotype" w:eastAsia="Palatino Linotype" w:hAnsi="Palatino Linotype" w:cs="Palatino Linotype"/>
          <w:b/>
        </w:rPr>
        <w:t>Revoque el acto impugnado:</w:t>
      </w:r>
      <w:r w:rsidRPr="006467F5">
        <w:rPr>
          <w:rFonts w:ascii="Palatino Linotype" w:eastAsia="Palatino Linotype" w:hAnsi="Palatino Linotype" w:cs="Palatino Linotype"/>
        </w:rPr>
        <w:t xml:space="preserve"> En este supuesto, el </w:t>
      </w:r>
      <w:r w:rsidRPr="006467F5">
        <w:rPr>
          <w:rFonts w:ascii="Palatino Linotype" w:eastAsia="Palatino Linotype" w:hAnsi="Palatino Linotype" w:cs="Palatino Linotype"/>
          <w:b/>
        </w:rPr>
        <w:t>SUJETO OBLIGADO</w:t>
      </w:r>
      <w:r w:rsidRPr="006467F5">
        <w:rPr>
          <w:rFonts w:ascii="Palatino Linotype" w:eastAsia="Palatino Linotype" w:hAnsi="Palatino Linotype" w:cs="Palatino Linotype"/>
        </w:rPr>
        <w:t xml:space="preserve"> deja sin efectos la primera respuesta y en su lugar emite otra que satisfaga lo solicitado por el particular en un primer momento.</w:t>
      </w:r>
    </w:p>
    <w:p w14:paraId="5A96D249" w14:textId="77777777" w:rsidR="00325611" w:rsidRPr="006467F5" w:rsidRDefault="00325611" w:rsidP="00325611">
      <w:pPr>
        <w:spacing w:after="0" w:line="360" w:lineRule="auto"/>
        <w:ind w:right="-646"/>
        <w:jc w:val="both"/>
        <w:rPr>
          <w:rFonts w:ascii="Palatino Linotype" w:eastAsia="Palatino Linotype" w:hAnsi="Palatino Linotype" w:cs="Palatino Linotype"/>
          <w:sz w:val="24"/>
          <w:szCs w:val="24"/>
        </w:rPr>
      </w:pPr>
    </w:p>
    <w:p w14:paraId="670E316E" w14:textId="77777777" w:rsidR="00207A56" w:rsidRPr="006467F5" w:rsidRDefault="00325611" w:rsidP="002A54F7">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 en el caso concreto, el </w:t>
      </w:r>
      <w:r w:rsidRPr="006467F5">
        <w:rPr>
          <w:rFonts w:ascii="Palatino Linotype" w:eastAsia="Palatino Linotype" w:hAnsi="Palatino Linotype" w:cs="Palatino Linotype"/>
          <w:b/>
          <w:sz w:val="24"/>
          <w:szCs w:val="24"/>
        </w:rPr>
        <w:t xml:space="preserve">SUJETO OBLIGADO, </w:t>
      </w:r>
      <w:r w:rsidRPr="006467F5">
        <w:rPr>
          <w:rFonts w:ascii="Palatino Linotype" w:eastAsia="Palatino Linotype" w:hAnsi="Palatino Linotype" w:cs="Palatino Linotype"/>
          <w:sz w:val="24"/>
          <w:szCs w:val="24"/>
        </w:rPr>
        <w:t>en la etapa de manifestaciones, mediante el Informe Justificado, precisamente en el archiv</w:t>
      </w:r>
      <w:r w:rsidRPr="006467F5">
        <w:rPr>
          <w:rFonts w:ascii="Palatino Linotype" w:eastAsia="Palatino Linotype" w:hAnsi="Palatino Linotype" w:cs="Palatino Linotype"/>
          <w:b/>
          <w:i/>
          <w:sz w:val="24"/>
          <w:szCs w:val="24"/>
        </w:rPr>
        <w:t xml:space="preserve">o </w:t>
      </w:r>
      <w:hyperlink r:id="rId12" w:history="1">
        <w:r w:rsidRPr="006467F5">
          <w:rPr>
            <w:rStyle w:val="Hipervnculo"/>
            <w:rFonts w:ascii="Palatino Linotype" w:eastAsia="Palatino Linotype" w:hAnsi="Palatino Linotype" w:cs="Palatino Linotype"/>
            <w:b/>
            <w:bCs/>
            <w:i/>
            <w:color w:val="auto"/>
            <w:sz w:val="24"/>
            <w:szCs w:val="24"/>
            <w:u w:val="none"/>
          </w:rPr>
          <w:t>INFORMACION FALTANTE.zip</w:t>
        </w:r>
      </w:hyperlink>
      <w:r w:rsidRPr="006467F5">
        <w:rPr>
          <w:rFonts w:ascii="Palatino Linotype" w:eastAsia="Palatino Linotype" w:hAnsi="Palatino Linotype" w:cs="Palatino Linotype"/>
          <w:b/>
          <w:i/>
          <w:sz w:val="24"/>
          <w:szCs w:val="24"/>
        </w:rPr>
        <w:t xml:space="preserve">, </w:t>
      </w:r>
      <w:r w:rsidRPr="006467F5">
        <w:rPr>
          <w:rFonts w:ascii="Palatino Linotype" w:eastAsia="Palatino Linotype" w:hAnsi="Palatino Linotype" w:cs="Palatino Linotype"/>
          <w:sz w:val="24"/>
          <w:szCs w:val="24"/>
        </w:rPr>
        <w:t>hizo entrega de la información solicitada, misma que se observa que fue remitida por el servidor púb</w:t>
      </w:r>
      <w:r w:rsidR="007A3B52" w:rsidRPr="006467F5">
        <w:rPr>
          <w:rFonts w:ascii="Palatino Linotype" w:eastAsia="Palatino Linotype" w:hAnsi="Palatino Linotype" w:cs="Palatino Linotype"/>
          <w:sz w:val="24"/>
          <w:szCs w:val="24"/>
        </w:rPr>
        <w:t xml:space="preserve">lico habilitado </w:t>
      </w:r>
      <w:r w:rsidR="00207A56" w:rsidRPr="006467F5">
        <w:rPr>
          <w:rFonts w:ascii="Palatino Linotype" w:eastAsia="Palatino Linotype" w:hAnsi="Palatino Linotype" w:cs="Palatino Linotype"/>
          <w:sz w:val="24"/>
          <w:szCs w:val="24"/>
        </w:rPr>
        <w:t xml:space="preserve">por el </w:t>
      </w:r>
      <w:r w:rsidR="007B7853" w:rsidRPr="006467F5">
        <w:rPr>
          <w:rFonts w:ascii="Palatino Linotype" w:eastAsia="Palatino Linotype" w:hAnsi="Palatino Linotype" w:cs="Palatino Linotype"/>
          <w:sz w:val="24"/>
          <w:szCs w:val="24"/>
        </w:rPr>
        <w:t>para tal efecto.</w:t>
      </w:r>
    </w:p>
    <w:p w14:paraId="268B3862" w14:textId="77777777" w:rsidR="007B7853" w:rsidRPr="006467F5" w:rsidRDefault="007B7853" w:rsidP="007B7853">
      <w:pPr>
        <w:spacing w:before="240" w:after="240" w:line="360" w:lineRule="auto"/>
        <w:ind w:right="48"/>
        <w:contextualSpacing/>
        <w:jc w:val="both"/>
        <w:rPr>
          <w:rFonts w:ascii="Palatino Linotype" w:eastAsia="Palatino Linotype" w:hAnsi="Palatino Linotype" w:cs="Palatino Linotype"/>
          <w:sz w:val="24"/>
          <w:szCs w:val="24"/>
        </w:rPr>
      </w:pPr>
    </w:p>
    <w:p w14:paraId="45FEBEE6" w14:textId="77777777" w:rsidR="00F85177" w:rsidRPr="006467F5" w:rsidRDefault="007B7853" w:rsidP="00F85177">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Ahora bien, previo al estudio, se refiere que el </w:t>
      </w:r>
      <w:r w:rsidRPr="006467F5">
        <w:rPr>
          <w:rFonts w:ascii="Palatino Linotype" w:eastAsia="Palatino Linotype" w:hAnsi="Palatino Linotype" w:cs="Palatino Linotype"/>
          <w:b/>
          <w:sz w:val="24"/>
          <w:szCs w:val="24"/>
        </w:rPr>
        <w:t>SUJETO OBLIGADO</w:t>
      </w:r>
      <w:r w:rsidR="00207A56" w:rsidRPr="006467F5">
        <w:rPr>
          <w:rFonts w:ascii="Palatino Linotype" w:eastAsia="Palatino Linotype" w:hAnsi="Palatino Linotype" w:cs="Palatino Linotype"/>
          <w:sz w:val="24"/>
          <w:szCs w:val="24"/>
        </w:rPr>
        <w:t xml:space="preserve"> hizo entrega del Dictamen de Rentabilidad y del anexo 1 del Expediente Técnico, por lo que al r</w:t>
      </w:r>
      <w:r w:rsidR="00F85177" w:rsidRPr="006467F5">
        <w:rPr>
          <w:rFonts w:ascii="Palatino Linotype" w:eastAsia="Palatino Linotype" w:hAnsi="Palatino Linotype" w:cs="Palatino Linotype"/>
          <w:sz w:val="24"/>
          <w:szCs w:val="24"/>
        </w:rPr>
        <w:t>especto se precisa que para la contratación, asignación, disposición y aplicación de los recursos del Fondo Estatal de Fortalecimiento Municipal (</w:t>
      </w:r>
      <w:proofErr w:type="spellStart"/>
      <w:r w:rsidR="00F85177" w:rsidRPr="006467F5">
        <w:rPr>
          <w:rFonts w:ascii="Palatino Linotype" w:eastAsia="Palatino Linotype" w:hAnsi="Palatino Linotype" w:cs="Palatino Linotype"/>
          <w:sz w:val="24"/>
          <w:szCs w:val="24"/>
        </w:rPr>
        <w:t>Fefom</w:t>
      </w:r>
      <w:proofErr w:type="spellEnd"/>
      <w:r w:rsidR="00F85177" w:rsidRPr="006467F5">
        <w:rPr>
          <w:rFonts w:ascii="Palatino Linotype" w:eastAsia="Palatino Linotype" w:hAnsi="Palatino Linotype" w:cs="Palatino Linotype"/>
          <w:sz w:val="24"/>
          <w:szCs w:val="24"/>
        </w:rPr>
        <w:t xml:space="preserve">), se debe atender a los Lineamientos para la utilización del </w:t>
      </w:r>
      <w:proofErr w:type="spellStart"/>
      <w:r w:rsidR="00F85177" w:rsidRPr="006467F5">
        <w:rPr>
          <w:rFonts w:ascii="Palatino Linotype" w:eastAsia="Palatino Linotype" w:hAnsi="Palatino Linotype" w:cs="Palatino Linotype"/>
          <w:sz w:val="24"/>
          <w:szCs w:val="24"/>
        </w:rPr>
        <w:t>Fefom</w:t>
      </w:r>
      <w:proofErr w:type="spellEnd"/>
      <w:r w:rsidR="00F85177" w:rsidRPr="006467F5">
        <w:rPr>
          <w:rFonts w:ascii="Palatino Linotype" w:eastAsia="Palatino Linotype" w:hAnsi="Palatino Linotype" w:cs="Palatino Linotype"/>
          <w:sz w:val="24"/>
          <w:szCs w:val="24"/>
        </w:rPr>
        <w:t xml:space="preserve"> y sus criterios de aplicación, que refieren lo siguiente:</w:t>
      </w:r>
    </w:p>
    <w:p w14:paraId="58EE5957" w14:textId="77777777" w:rsidR="00F85177" w:rsidRPr="006467F5" w:rsidRDefault="00F85177" w:rsidP="00F85177">
      <w:pPr>
        <w:spacing w:before="240" w:after="240" w:line="360" w:lineRule="auto"/>
        <w:ind w:right="48"/>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lastRenderedPageBreak/>
        <w:t xml:space="preserve">Los municipios podrán disponer de los recursos asignados del </w:t>
      </w:r>
      <w:proofErr w:type="spellStart"/>
      <w:r w:rsidRPr="006467F5">
        <w:rPr>
          <w:rFonts w:ascii="Palatino Linotype" w:eastAsia="Palatino Linotype" w:hAnsi="Palatino Linotype" w:cs="Palatino Linotype"/>
          <w:sz w:val="24"/>
          <w:szCs w:val="24"/>
        </w:rPr>
        <w:t>Fefom</w:t>
      </w:r>
      <w:proofErr w:type="spellEnd"/>
      <w:r w:rsidRPr="006467F5">
        <w:rPr>
          <w:rFonts w:ascii="Palatino Linotype" w:eastAsia="Palatino Linotype" w:hAnsi="Palatino Linotype" w:cs="Palatino Linotype"/>
          <w:sz w:val="24"/>
          <w:szCs w:val="24"/>
        </w:rPr>
        <w:t xml:space="preserve"> siempre que cumplan con lo siguiente:</w:t>
      </w:r>
    </w:p>
    <w:p w14:paraId="4AE64C00" w14:textId="77777777" w:rsidR="00F85177" w:rsidRPr="006467F5" w:rsidRDefault="00F85177" w:rsidP="00F85177">
      <w:pPr>
        <w:spacing w:before="240" w:after="240" w:line="360" w:lineRule="auto"/>
        <w:ind w:right="48"/>
        <w:contextualSpacing/>
        <w:jc w:val="both"/>
        <w:rPr>
          <w:rFonts w:ascii="Palatino Linotype" w:eastAsia="Palatino Linotype" w:hAnsi="Palatino Linotype" w:cs="Palatino Linotype"/>
          <w:sz w:val="24"/>
          <w:szCs w:val="24"/>
        </w:rPr>
      </w:pPr>
    </w:p>
    <w:p w14:paraId="7FFE7D54" w14:textId="77777777" w:rsidR="00F85177" w:rsidRPr="006467F5" w:rsidRDefault="00F85177" w:rsidP="00F85177">
      <w:pPr>
        <w:spacing w:before="240" w:after="240" w:line="276" w:lineRule="auto"/>
        <w:ind w:left="426" w:right="616" w:hanging="142"/>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a) Solicitar a la Subsecretaría los recursos del </w:t>
      </w:r>
      <w:proofErr w:type="spellStart"/>
      <w:r w:rsidRPr="006467F5">
        <w:rPr>
          <w:rFonts w:ascii="Palatino Linotype" w:eastAsia="Palatino Linotype" w:hAnsi="Palatino Linotype" w:cs="Palatino Linotype"/>
          <w:sz w:val="24"/>
          <w:szCs w:val="24"/>
        </w:rPr>
        <w:t>Fefom</w:t>
      </w:r>
      <w:proofErr w:type="spellEnd"/>
      <w:r w:rsidRPr="006467F5">
        <w:rPr>
          <w:rFonts w:ascii="Palatino Linotype" w:eastAsia="Palatino Linotype" w:hAnsi="Palatino Linotype" w:cs="Palatino Linotype"/>
          <w:sz w:val="24"/>
          <w:szCs w:val="24"/>
        </w:rPr>
        <w:t xml:space="preserve"> en hoja membretada y debidamente firmada por el servidor público facultado para tal efecto, respetando lo establecido en los numerales 3, 4, 5 y 6 de los Lineamientos;</w:t>
      </w:r>
    </w:p>
    <w:p w14:paraId="611AFDD8" w14:textId="77777777" w:rsidR="00F85177" w:rsidRPr="006467F5" w:rsidRDefault="00F85177" w:rsidP="00F85177">
      <w:pPr>
        <w:spacing w:before="240" w:after="240" w:line="276" w:lineRule="auto"/>
        <w:ind w:left="426" w:right="616" w:hanging="142"/>
        <w:contextualSpacing/>
        <w:jc w:val="both"/>
        <w:rPr>
          <w:rFonts w:ascii="Palatino Linotype" w:eastAsia="Palatino Linotype" w:hAnsi="Palatino Linotype" w:cs="Palatino Linotype"/>
          <w:sz w:val="24"/>
          <w:szCs w:val="24"/>
        </w:rPr>
      </w:pPr>
    </w:p>
    <w:p w14:paraId="63892AE6" w14:textId="77777777" w:rsidR="00F85177" w:rsidRPr="006467F5" w:rsidRDefault="00F85177" w:rsidP="00F85177">
      <w:pPr>
        <w:spacing w:before="240" w:after="240" w:line="276" w:lineRule="auto"/>
        <w:ind w:left="426" w:right="616" w:hanging="142"/>
        <w:contextualSpacing/>
        <w:jc w:val="both"/>
        <w:rPr>
          <w:rFonts w:ascii="Palatino Linotype" w:eastAsia="Palatino Linotype" w:hAnsi="Palatino Linotype" w:cs="Palatino Linotype"/>
          <w:sz w:val="24"/>
          <w:szCs w:val="24"/>
          <w:u w:val="single"/>
        </w:rPr>
      </w:pPr>
      <w:r w:rsidRPr="006467F5">
        <w:rPr>
          <w:rFonts w:ascii="Palatino Linotype" w:eastAsia="Palatino Linotype" w:hAnsi="Palatino Linotype" w:cs="Palatino Linotype"/>
          <w:sz w:val="24"/>
          <w:szCs w:val="24"/>
        </w:rPr>
        <w:t xml:space="preserve">b) </w:t>
      </w:r>
      <w:r w:rsidRPr="006467F5">
        <w:rPr>
          <w:rFonts w:ascii="Palatino Linotype" w:eastAsia="Palatino Linotype" w:hAnsi="Palatino Linotype" w:cs="Palatino Linotype"/>
          <w:sz w:val="24"/>
          <w:szCs w:val="24"/>
          <w:u w:val="single"/>
        </w:rPr>
        <w:t xml:space="preserve">Presentar el dictamen de rentabilidad social del estudio socio-económico de los proyectos de inversión a financiar con recursos del </w:t>
      </w:r>
      <w:proofErr w:type="spellStart"/>
      <w:r w:rsidRPr="006467F5">
        <w:rPr>
          <w:rFonts w:ascii="Palatino Linotype" w:eastAsia="Palatino Linotype" w:hAnsi="Palatino Linotype" w:cs="Palatino Linotype"/>
          <w:sz w:val="24"/>
          <w:szCs w:val="24"/>
          <w:u w:val="single"/>
        </w:rPr>
        <w:t>Fefom</w:t>
      </w:r>
      <w:proofErr w:type="spellEnd"/>
      <w:r w:rsidRPr="006467F5">
        <w:rPr>
          <w:rFonts w:ascii="Palatino Linotype" w:eastAsia="Palatino Linotype" w:hAnsi="Palatino Linotype" w:cs="Palatino Linotype"/>
          <w:sz w:val="24"/>
          <w:szCs w:val="24"/>
          <w:u w:val="single"/>
        </w:rPr>
        <w:t>; y</w:t>
      </w:r>
    </w:p>
    <w:p w14:paraId="203F94D2" w14:textId="77777777" w:rsidR="00F85177" w:rsidRPr="006467F5" w:rsidRDefault="00F85177" w:rsidP="00F85177">
      <w:pPr>
        <w:spacing w:before="240" w:after="240" w:line="276" w:lineRule="auto"/>
        <w:ind w:left="426" w:right="616" w:hanging="142"/>
        <w:contextualSpacing/>
        <w:jc w:val="both"/>
        <w:rPr>
          <w:rFonts w:ascii="Palatino Linotype" w:eastAsia="Palatino Linotype" w:hAnsi="Palatino Linotype" w:cs="Palatino Linotype"/>
          <w:sz w:val="24"/>
          <w:szCs w:val="24"/>
        </w:rPr>
      </w:pPr>
    </w:p>
    <w:p w14:paraId="423CF8E8" w14:textId="77777777" w:rsidR="00F85177" w:rsidRPr="006467F5" w:rsidRDefault="00F85177" w:rsidP="00F85177">
      <w:pPr>
        <w:spacing w:before="240" w:after="240" w:line="276" w:lineRule="auto"/>
        <w:ind w:left="426" w:right="616" w:hanging="142"/>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c) Firmar el convenio marco de ejecución y sus anexos con la Subsecretaría.</w:t>
      </w:r>
    </w:p>
    <w:p w14:paraId="3825B419" w14:textId="77777777" w:rsidR="00F85177" w:rsidRPr="006467F5" w:rsidRDefault="00F85177" w:rsidP="00F85177">
      <w:pPr>
        <w:spacing w:before="240" w:after="240" w:line="360" w:lineRule="auto"/>
        <w:ind w:right="48"/>
        <w:contextualSpacing/>
        <w:jc w:val="both"/>
        <w:rPr>
          <w:rFonts w:ascii="Palatino Linotype" w:eastAsia="Palatino Linotype" w:hAnsi="Palatino Linotype" w:cs="Palatino Linotype"/>
          <w:sz w:val="24"/>
          <w:szCs w:val="24"/>
        </w:rPr>
      </w:pPr>
    </w:p>
    <w:p w14:paraId="197AF86E" w14:textId="77777777" w:rsidR="00207A56" w:rsidRPr="006467F5" w:rsidRDefault="00207A56" w:rsidP="00207A56">
      <w:pPr>
        <w:pStyle w:val="Prrafodelista"/>
        <w:numPr>
          <w:ilvl w:val="0"/>
          <w:numId w:val="4"/>
        </w:numPr>
        <w:spacing w:before="240" w:after="240" w:line="360" w:lineRule="auto"/>
        <w:ind w:right="48"/>
        <w:jc w:val="both"/>
        <w:rPr>
          <w:rFonts w:ascii="Palatino Linotype" w:eastAsia="Palatino Linotype" w:hAnsi="Palatino Linotype" w:cs="Palatino Linotype"/>
          <w:b/>
        </w:rPr>
      </w:pPr>
      <w:r w:rsidRPr="006467F5">
        <w:rPr>
          <w:rFonts w:ascii="Palatino Linotype" w:eastAsia="Palatino Linotype" w:hAnsi="Palatino Linotype" w:cs="Palatino Linotype"/>
          <w:b/>
        </w:rPr>
        <w:t>Dictamen de rentabilidad:</w:t>
      </w:r>
    </w:p>
    <w:p w14:paraId="1D99432B" w14:textId="77777777" w:rsidR="00207A56" w:rsidRPr="006467F5" w:rsidRDefault="00207A56" w:rsidP="00207A56">
      <w:pPr>
        <w:shd w:val="clear" w:color="auto" w:fill="FFFFFF"/>
        <w:spacing w:line="240" w:lineRule="auto"/>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El dictamen de rentabilidad social es un documento que describe la evaluación de los beneficios y costos de un proyecto desde el punto de vista social. Este documento se utiliza para determinar si un proyecto es socialmente rentable. </w:t>
      </w:r>
    </w:p>
    <w:p w14:paraId="1BB28CBC" w14:textId="77777777" w:rsidR="00207A56" w:rsidRPr="006467F5" w:rsidRDefault="00207A56" w:rsidP="00207A56">
      <w:pPr>
        <w:shd w:val="clear" w:color="auto" w:fill="FFFFFF"/>
        <w:spacing w:line="240" w:lineRule="auto"/>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La rentabilidad social es una cifra que mide el valor que aporta un proyecto a la sociedad en relación con las inversiones realizadas. Un proyecto es socialmente rentable cuando los beneficios que aporta a la sociedad son mayores que las pérdidas. </w:t>
      </w:r>
    </w:p>
    <w:p w14:paraId="2BCDC00C" w14:textId="77777777" w:rsidR="00207A56" w:rsidRPr="006467F5" w:rsidRDefault="00207A56" w:rsidP="00207A56">
      <w:pPr>
        <w:shd w:val="clear" w:color="auto" w:fill="FFFFFF"/>
        <w:spacing w:after="150" w:line="240" w:lineRule="auto"/>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Para determinar la rentabilidad social de un proyecto se realiza una evaluación social, que consiste en: </w:t>
      </w:r>
    </w:p>
    <w:p w14:paraId="0F4D453C" w14:textId="77777777" w:rsidR="00207A56" w:rsidRPr="006467F5" w:rsidRDefault="00207A56" w:rsidP="00207A56">
      <w:pPr>
        <w:numPr>
          <w:ilvl w:val="0"/>
          <w:numId w:val="37"/>
        </w:numPr>
        <w:shd w:val="clear" w:color="auto" w:fill="FFFFFF"/>
        <w:spacing w:after="120" w:line="240" w:lineRule="auto"/>
        <w:ind w:left="709"/>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Identificar los beneficios y costos del proyecto</w:t>
      </w:r>
    </w:p>
    <w:p w14:paraId="2265BD1B" w14:textId="77777777" w:rsidR="00207A56" w:rsidRPr="006467F5" w:rsidRDefault="00207A56" w:rsidP="00207A56">
      <w:pPr>
        <w:numPr>
          <w:ilvl w:val="0"/>
          <w:numId w:val="37"/>
        </w:numPr>
        <w:shd w:val="clear" w:color="auto" w:fill="FFFFFF"/>
        <w:spacing w:after="120" w:line="240" w:lineRule="auto"/>
        <w:ind w:left="709"/>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Medir los beneficios y costos del proyecto</w:t>
      </w:r>
    </w:p>
    <w:p w14:paraId="34147207" w14:textId="77777777" w:rsidR="00207A56" w:rsidRPr="006467F5" w:rsidRDefault="00207A56" w:rsidP="00207A56">
      <w:pPr>
        <w:numPr>
          <w:ilvl w:val="0"/>
          <w:numId w:val="37"/>
        </w:numPr>
        <w:shd w:val="clear" w:color="auto" w:fill="FFFFFF"/>
        <w:spacing w:after="0" w:line="240" w:lineRule="auto"/>
        <w:ind w:left="709"/>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Valorar los beneficios y costos del proyecto</w:t>
      </w:r>
    </w:p>
    <w:p w14:paraId="0F673962" w14:textId="77777777" w:rsidR="007A3B52" w:rsidRPr="006467F5" w:rsidRDefault="00207A56" w:rsidP="00114D23">
      <w:pPr>
        <w:shd w:val="clear" w:color="auto" w:fill="FFFFFF"/>
        <w:spacing w:line="240" w:lineRule="auto"/>
        <w:ind w:left="709"/>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La evaluación social se realiza considerando el bienestar social de todo el país, no solo el del promotor del proyecto</w:t>
      </w:r>
    </w:p>
    <w:p w14:paraId="061118FB" w14:textId="77777777" w:rsidR="00F85177" w:rsidRPr="006467F5" w:rsidRDefault="00F85177" w:rsidP="00F85177">
      <w:pPr>
        <w:spacing w:before="240" w:after="240" w:line="360" w:lineRule="auto"/>
        <w:ind w:right="48"/>
        <w:contextualSpacing/>
        <w:jc w:val="both"/>
        <w:rPr>
          <w:rFonts w:ascii="Palatino Linotype" w:eastAsia="Palatino Linotype" w:hAnsi="Palatino Linotype" w:cs="Palatino Linotype"/>
          <w:sz w:val="24"/>
          <w:szCs w:val="24"/>
        </w:rPr>
      </w:pPr>
    </w:p>
    <w:p w14:paraId="58F80762" w14:textId="77777777" w:rsidR="005854F4" w:rsidRPr="006467F5" w:rsidRDefault="005854F4" w:rsidP="005854F4">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u w:val="single"/>
        </w:rPr>
      </w:pPr>
      <w:r w:rsidRPr="006467F5">
        <w:rPr>
          <w:rFonts w:ascii="Palatino Linotype" w:eastAsia="Palatino Linotype" w:hAnsi="Palatino Linotype" w:cs="Palatino Linotype"/>
          <w:sz w:val="24"/>
          <w:szCs w:val="24"/>
        </w:rPr>
        <w:lastRenderedPageBreak/>
        <w:t xml:space="preserve">Luego entonces, se advierte que el documento que colma lo solicitado es el </w:t>
      </w:r>
      <w:r w:rsidRPr="006467F5">
        <w:rPr>
          <w:rFonts w:ascii="Palatino Linotype" w:eastAsia="Palatino Linotype" w:hAnsi="Palatino Linotype" w:cs="Palatino Linotype"/>
          <w:sz w:val="24"/>
          <w:szCs w:val="24"/>
          <w:u w:val="single"/>
        </w:rPr>
        <w:t xml:space="preserve">dictamen de rentabilidad social del estudio socio-económico, </w:t>
      </w:r>
      <w:r w:rsidRPr="006467F5">
        <w:rPr>
          <w:rFonts w:ascii="Palatino Linotype" w:eastAsia="Palatino Linotype" w:hAnsi="Palatino Linotype" w:cs="Palatino Linotype"/>
          <w:sz w:val="24"/>
          <w:szCs w:val="24"/>
        </w:rPr>
        <w:t xml:space="preserve">por lo que se realizara el análisis correspondiente a fin de poder determinar si con la información proporcionada se colma en su totalidad la solicitud de información </w:t>
      </w:r>
      <w:r w:rsidRPr="006467F5">
        <w:rPr>
          <w:rFonts w:ascii="Palatino Linotype" w:eastAsia="Palatino Linotype" w:hAnsi="Palatino Linotype" w:cs="Palatino Linotype"/>
          <w:b/>
          <w:bCs/>
          <w:sz w:val="24"/>
          <w:szCs w:val="24"/>
        </w:rPr>
        <w:t>00212/TLALNEPA/IP/2024</w:t>
      </w:r>
    </w:p>
    <w:p w14:paraId="3E402F44" w14:textId="77777777" w:rsidR="005854F4" w:rsidRPr="006467F5" w:rsidRDefault="005854F4" w:rsidP="005854F4">
      <w:pPr>
        <w:spacing w:before="240" w:after="240" w:line="360" w:lineRule="auto"/>
        <w:ind w:right="48"/>
        <w:contextualSpacing/>
        <w:jc w:val="both"/>
        <w:rPr>
          <w:rFonts w:ascii="Palatino Linotype" w:eastAsia="Palatino Linotype" w:hAnsi="Palatino Linotype" w:cs="Palatino Linotype"/>
          <w:sz w:val="24"/>
          <w:szCs w:val="24"/>
        </w:rPr>
      </w:pPr>
    </w:p>
    <w:p w14:paraId="3F62166D" w14:textId="77777777" w:rsidR="007A3B52" w:rsidRPr="006467F5" w:rsidRDefault="00114D23" w:rsidP="007A3B52">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Precisado lo anterior, se observa que se</w:t>
      </w:r>
      <w:r w:rsidR="00F85177" w:rsidRPr="006467F5">
        <w:rPr>
          <w:rFonts w:ascii="Palatino Linotype" w:eastAsia="Palatino Linotype" w:hAnsi="Palatino Linotype" w:cs="Palatino Linotype"/>
          <w:sz w:val="24"/>
          <w:szCs w:val="24"/>
        </w:rPr>
        <w:t xml:space="preserve"> solicitó lo siguiente: </w:t>
      </w:r>
      <w:r w:rsidR="007A3B52" w:rsidRPr="006467F5">
        <w:rPr>
          <w:rFonts w:ascii="Palatino Linotype" w:eastAsia="Palatino Linotype" w:hAnsi="Palatino Linotype" w:cs="Palatino Linotype"/>
          <w:i/>
          <w:sz w:val="24"/>
          <w:szCs w:val="24"/>
        </w:rPr>
        <w:t>“</w:t>
      </w:r>
      <w:r w:rsidR="00F85177" w:rsidRPr="006467F5">
        <w:rPr>
          <w:rFonts w:ascii="Palatino Linotype" w:eastAsia="Palatino Linotype" w:hAnsi="Palatino Linotype" w:cs="Palatino Linotype"/>
          <w:i/>
          <w:sz w:val="24"/>
          <w:szCs w:val="24"/>
        </w:rPr>
        <w:t xml:space="preserve">… </w:t>
      </w:r>
      <w:r w:rsidR="007A3B52" w:rsidRPr="006467F5">
        <w:rPr>
          <w:rFonts w:ascii="Palatino Linotype" w:eastAsia="Palatino Linotype" w:hAnsi="Palatino Linotype" w:cs="Palatino Linotype"/>
          <w:i/>
          <w:sz w:val="24"/>
          <w:szCs w:val="24"/>
        </w:rPr>
        <w:t xml:space="preserve">las documentales que acrediten que, con la ejecución de la obra en comento, se proyectara o confirmara la generación de bienes y/o servicios en los sectores de agua, comunicaciones y transportes, electricidad y turismo, contraviniendo lo establecido en los Lineamientos para la utilización del Fondo Estatal de Fortalecimiento Municipal.”, </w:t>
      </w:r>
      <w:r w:rsidR="007A3B52" w:rsidRPr="006467F5">
        <w:rPr>
          <w:rFonts w:ascii="Palatino Linotype" w:eastAsia="Palatino Linotype" w:hAnsi="Palatino Linotype" w:cs="Palatino Linotype"/>
          <w:sz w:val="24"/>
          <w:szCs w:val="24"/>
        </w:rPr>
        <w:t>La información solicitada es la relativa al año 2022.</w:t>
      </w:r>
    </w:p>
    <w:p w14:paraId="31031B75" w14:textId="77777777" w:rsidR="00114D23" w:rsidRPr="006467F5" w:rsidRDefault="00114D23" w:rsidP="00114D23">
      <w:pPr>
        <w:spacing w:before="240" w:after="240" w:line="360" w:lineRule="auto"/>
        <w:ind w:right="48"/>
        <w:contextualSpacing/>
        <w:jc w:val="both"/>
        <w:rPr>
          <w:rFonts w:ascii="Palatino Linotype" w:eastAsia="Palatino Linotype" w:hAnsi="Palatino Linotype" w:cs="Palatino Linotype"/>
          <w:sz w:val="24"/>
          <w:szCs w:val="24"/>
        </w:rPr>
      </w:pPr>
    </w:p>
    <w:p w14:paraId="5F411265" w14:textId="254317B8" w:rsidR="00114D23" w:rsidRPr="006467F5" w:rsidRDefault="00114D23" w:rsidP="007A3B52">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El </w:t>
      </w:r>
      <w:r w:rsidRPr="006467F5">
        <w:rPr>
          <w:rFonts w:ascii="Palatino Linotype" w:eastAsia="Palatino Linotype" w:hAnsi="Palatino Linotype" w:cs="Palatino Linotype"/>
          <w:b/>
          <w:sz w:val="24"/>
          <w:szCs w:val="24"/>
        </w:rPr>
        <w:t xml:space="preserve">SUJETO OBLIGADO, </w:t>
      </w:r>
      <w:r w:rsidRPr="006467F5">
        <w:rPr>
          <w:rFonts w:ascii="Palatino Linotype" w:eastAsia="Palatino Linotype" w:hAnsi="Palatino Linotype" w:cs="Palatino Linotype"/>
          <w:sz w:val="24"/>
          <w:szCs w:val="24"/>
        </w:rPr>
        <w:t>en un primer momento, es decir, en respuesta primigenia, inform</w:t>
      </w:r>
      <w:r w:rsidR="008049AF" w:rsidRPr="006467F5">
        <w:rPr>
          <w:rFonts w:ascii="Palatino Linotype" w:eastAsia="Palatino Linotype" w:hAnsi="Palatino Linotype" w:cs="Palatino Linotype"/>
          <w:sz w:val="24"/>
          <w:szCs w:val="24"/>
        </w:rPr>
        <w:t>ó</w:t>
      </w:r>
      <w:r w:rsidRPr="006467F5">
        <w:rPr>
          <w:rFonts w:ascii="Palatino Linotype" w:eastAsia="Palatino Linotype" w:hAnsi="Palatino Linotype" w:cs="Palatino Linotype"/>
          <w:sz w:val="24"/>
          <w:szCs w:val="24"/>
        </w:rPr>
        <w:t xml:space="preserve"> que la información se encontraba clasificada por un periodo de dos años, posteriormente vía Informe Justificado, </w:t>
      </w:r>
      <w:r w:rsidR="00F85177" w:rsidRPr="006467F5">
        <w:rPr>
          <w:rFonts w:ascii="Palatino Linotype" w:eastAsia="Palatino Linotype" w:hAnsi="Palatino Linotype" w:cs="Palatino Linotype"/>
          <w:sz w:val="24"/>
          <w:szCs w:val="24"/>
        </w:rPr>
        <w:t>remitió</w:t>
      </w:r>
      <w:r w:rsidRPr="006467F5">
        <w:rPr>
          <w:rFonts w:ascii="Palatino Linotype" w:eastAsia="Palatino Linotype" w:hAnsi="Palatino Linotype" w:cs="Palatino Linotype"/>
          <w:sz w:val="24"/>
          <w:szCs w:val="24"/>
        </w:rPr>
        <w:t xml:space="preserve"> lo siguiente:</w:t>
      </w:r>
    </w:p>
    <w:p w14:paraId="5E6BA40D" w14:textId="77777777" w:rsidR="007A3B52" w:rsidRPr="006467F5" w:rsidRDefault="007A3B52" w:rsidP="007A3B52">
      <w:pPr>
        <w:spacing w:before="240" w:after="240" w:line="360" w:lineRule="auto"/>
        <w:ind w:right="48"/>
        <w:contextualSpacing/>
        <w:jc w:val="both"/>
        <w:rPr>
          <w:rFonts w:ascii="Palatino Linotype" w:eastAsia="Palatino Linotype" w:hAnsi="Palatino Linotype" w:cs="Palatino Linotype"/>
          <w:sz w:val="24"/>
          <w:szCs w:val="24"/>
        </w:rPr>
      </w:pPr>
    </w:p>
    <w:tbl>
      <w:tblPr>
        <w:tblStyle w:val="Tablaconcuadrcula"/>
        <w:tblW w:w="0" w:type="auto"/>
        <w:jc w:val="center"/>
        <w:tblLook w:val="04A0" w:firstRow="1" w:lastRow="0" w:firstColumn="1" w:lastColumn="0" w:noHBand="0" w:noVBand="1"/>
      </w:tblPr>
      <w:tblGrid>
        <w:gridCol w:w="2942"/>
        <w:gridCol w:w="2943"/>
        <w:gridCol w:w="2943"/>
      </w:tblGrid>
      <w:tr w:rsidR="007A3B52" w:rsidRPr="006467F5" w14:paraId="23865A0D" w14:textId="77777777" w:rsidTr="00C664F1">
        <w:trPr>
          <w:jc w:val="center"/>
        </w:trPr>
        <w:tc>
          <w:tcPr>
            <w:tcW w:w="2942" w:type="dxa"/>
            <w:vAlign w:val="center"/>
          </w:tcPr>
          <w:p w14:paraId="62816E1F" w14:textId="77777777" w:rsidR="007A3B52" w:rsidRPr="006467F5" w:rsidRDefault="007A3B52" w:rsidP="007A3B52">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t>Solicitud</w:t>
            </w:r>
          </w:p>
        </w:tc>
        <w:tc>
          <w:tcPr>
            <w:tcW w:w="2943" w:type="dxa"/>
            <w:vAlign w:val="center"/>
          </w:tcPr>
          <w:p w14:paraId="1A6A8E94" w14:textId="77777777" w:rsidR="007A3B52" w:rsidRPr="006467F5" w:rsidRDefault="007A3B52" w:rsidP="007A3B52">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t>Informe Justificado</w:t>
            </w:r>
          </w:p>
        </w:tc>
        <w:tc>
          <w:tcPr>
            <w:tcW w:w="2943" w:type="dxa"/>
            <w:vAlign w:val="center"/>
          </w:tcPr>
          <w:p w14:paraId="04EC8C26" w14:textId="77777777" w:rsidR="007A3B52" w:rsidRPr="006467F5" w:rsidRDefault="007A3B52" w:rsidP="007A3B52">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t>¿colma?</w:t>
            </w:r>
          </w:p>
          <w:p w14:paraId="01C9531E" w14:textId="77777777" w:rsidR="007A3B52" w:rsidRPr="006467F5" w:rsidRDefault="007A3B52" w:rsidP="007A3B52">
            <w:pPr>
              <w:spacing w:before="240" w:after="240" w:line="276" w:lineRule="auto"/>
              <w:ind w:right="48"/>
              <w:contextualSpacing/>
              <w:jc w:val="center"/>
              <w:rPr>
                <w:rFonts w:ascii="Palatino Linotype" w:eastAsia="Palatino Linotype" w:hAnsi="Palatino Linotype" w:cs="Palatino Linotype"/>
                <w:b/>
              </w:rPr>
            </w:pPr>
          </w:p>
        </w:tc>
      </w:tr>
      <w:tr w:rsidR="007A3B52" w:rsidRPr="006467F5" w14:paraId="10721588" w14:textId="77777777" w:rsidTr="00C664F1">
        <w:trPr>
          <w:jc w:val="center"/>
        </w:trPr>
        <w:tc>
          <w:tcPr>
            <w:tcW w:w="2942" w:type="dxa"/>
            <w:vAlign w:val="center"/>
          </w:tcPr>
          <w:p w14:paraId="74396862"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 xml:space="preserve">Construcción de pavimentación con concreto hidráulico de calle constitución de calle Francisco I. Madero a calle Cuauhtémoc, del km 0+000.00 al km 0+380.00, Pueblo San Lucas </w:t>
            </w:r>
            <w:r w:rsidRPr="006467F5">
              <w:rPr>
                <w:rFonts w:ascii="Palatino Linotype" w:eastAsia="Palatino Linotype" w:hAnsi="Palatino Linotype" w:cs="Palatino Linotype"/>
              </w:rPr>
              <w:lastRenderedPageBreak/>
              <w:t xml:space="preserve">Tepetlacalco, en el municipio de Tlalnepantla de Baz, Estado de México. </w:t>
            </w:r>
          </w:p>
          <w:p w14:paraId="59666944"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p>
          <w:p w14:paraId="48E144AC"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p>
        </w:tc>
        <w:tc>
          <w:tcPr>
            <w:tcW w:w="2943" w:type="dxa"/>
            <w:vAlign w:val="center"/>
          </w:tcPr>
          <w:p w14:paraId="051454B4" w14:textId="77777777" w:rsidR="007A3B52" w:rsidRPr="006467F5" w:rsidRDefault="00114D23" w:rsidP="007A3B52">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lastRenderedPageBreak/>
              <w:t xml:space="preserve">Dictamen de Rentabilidad Social 2022,104.5.04.3-D, de la “Construcción de pavimentación con concreto hidráulico de calle constitución de calle Francisco I. Madero a calle </w:t>
            </w:r>
            <w:r w:rsidRPr="006467F5">
              <w:rPr>
                <w:rFonts w:ascii="Palatino Linotype" w:eastAsia="Palatino Linotype" w:hAnsi="Palatino Linotype" w:cs="Palatino Linotype"/>
              </w:rPr>
              <w:lastRenderedPageBreak/>
              <w:t>Cuauhtémoc, del km 0+000.00 al km 0+380.00”</w:t>
            </w:r>
          </w:p>
          <w:p w14:paraId="7802252D" w14:textId="77777777" w:rsidR="00114D23" w:rsidRPr="006467F5" w:rsidRDefault="00114D23" w:rsidP="007A3B52">
            <w:pPr>
              <w:spacing w:before="240" w:after="240" w:line="276" w:lineRule="auto"/>
              <w:ind w:right="48"/>
              <w:contextualSpacing/>
              <w:jc w:val="both"/>
              <w:rPr>
                <w:rFonts w:ascii="Palatino Linotype" w:eastAsia="Palatino Linotype" w:hAnsi="Palatino Linotype" w:cs="Palatino Linotype"/>
              </w:rPr>
            </w:pPr>
          </w:p>
          <w:p w14:paraId="05591A80" w14:textId="77777777" w:rsidR="00114D23" w:rsidRPr="006467F5" w:rsidRDefault="00114D23" w:rsidP="007A3B52">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Expediente Técnico,</w:t>
            </w:r>
            <w:r w:rsidR="00F85177" w:rsidRPr="006467F5">
              <w:rPr>
                <w:rFonts w:ascii="Palatino Linotype" w:eastAsia="Palatino Linotype" w:hAnsi="Palatino Linotype" w:cs="Palatino Linotype"/>
              </w:rPr>
              <w:t xml:space="preserve"> Anexo 1, del que se observa que la información contenida, corresponde </w:t>
            </w:r>
            <w:r w:rsidR="005854F4" w:rsidRPr="006467F5">
              <w:rPr>
                <w:rFonts w:ascii="Palatino Linotype" w:eastAsia="Palatino Linotype" w:hAnsi="Palatino Linotype" w:cs="Palatino Linotype"/>
              </w:rPr>
              <w:t>a la información solicitada de</w:t>
            </w:r>
            <w:r w:rsidR="00F85177" w:rsidRPr="006467F5">
              <w:rPr>
                <w:rFonts w:ascii="Palatino Linotype" w:eastAsia="Palatino Linotype" w:hAnsi="Palatino Linotype" w:cs="Palatino Linotype"/>
              </w:rPr>
              <w:t xml:space="preserve"> la obra </w:t>
            </w:r>
            <w:r w:rsidR="005854F4" w:rsidRPr="006467F5">
              <w:rPr>
                <w:rFonts w:ascii="Palatino Linotype" w:eastAsia="Palatino Linotype" w:hAnsi="Palatino Linotype" w:cs="Palatino Linotype"/>
              </w:rPr>
              <w:t xml:space="preserve">y periodo requerido. </w:t>
            </w:r>
          </w:p>
        </w:tc>
        <w:tc>
          <w:tcPr>
            <w:tcW w:w="2943" w:type="dxa"/>
            <w:vAlign w:val="center"/>
          </w:tcPr>
          <w:p w14:paraId="465A4A63" w14:textId="77777777" w:rsidR="007A3B52" w:rsidRPr="006467F5" w:rsidRDefault="007A3B52" w:rsidP="00E677BC">
            <w:pPr>
              <w:spacing w:before="240" w:after="240" w:line="276" w:lineRule="auto"/>
              <w:ind w:right="48"/>
              <w:contextualSpacing/>
              <w:jc w:val="center"/>
              <w:rPr>
                <w:rFonts w:ascii="Palatino Linotype" w:eastAsia="Palatino Linotype" w:hAnsi="Palatino Linotype" w:cs="Palatino Linotype"/>
                <w:b/>
              </w:rPr>
            </w:pPr>
          </w:p>
          <w:p w14:paraId="10E4800D" w14:textId="77777777" w:rsidR="005854F4" w:rsidRPr="006467F5" w:rsidRDefault="005854F4" w:rsidP="00E677BC">
            <w:pPr>
              <w:spacing w:before="240" w:after="240" w:line="276" w:lineRule="auto"/>
              <w:ind w:right="48"/>
              <w:contextualSpacing/>
              <w:jc w:val="center"/>
              <w:rPr>
                <w:rFonts w:ascii="Palatino Linotype" w:eastAsia="Palatino Linotype" w:hAnsi="Palatino Linotype" w:cs="Palatino Linotype"/>
                <w:b/>
              </w:rPr>
            </w:pPr>
          </w:p>
          <w:p w14:paraId="29111C29" w14:textId="77777777" w:rsidR="005854F4" w:rsidRPr="006467F5" w:rsidRDefault="005854F4" w:rsidP="00E677BC">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t>SI</w:t>
            </w:r>
          </w:p>
        </w:tc>
      </w:tr>
      <w:tr w:rsidR="007A3B52" w:rsidRPr="006467F5" w14:paraId="6E2C6975" w14:textId="77777777" w:rsidTr="00C664F1">
        <w:trPr>
          <w:jc w:val="center"/>
        </w:trPr>
        <w:tc>
          <w:tcPr>
            <w:tcW w:w="2942" w:type="dxa"/>
            <w:vAlign w:val="center"/>
          </w:tcPr>
          <w:p w14:paraId="03B0C492"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 xml:space="preserve">Construcción de pavimentación con concreto hidráulico de calle José María Morelos y Pavón de calle Felipe Ángeles a calle Emiliano Zapata, del km +0.000.00 al km 0+138.65. Pueblo de San Lucas </w:t>
            </w:r>
            <w:proofErr w:type="spellStart"/>
            <w:r w:rsidRPr="006467F5">
              <w:rPr>
                <w:rFonts w:ascii="Palatino Linotype" w:eastAsia="Palatino Linotype" w:hAnsi="Palatino Linotype" w:cs="Palatino Linotype"/>
              </w:rPr>
              <w:t>Patoni</w:t>
            </w:r>
            <w:proofErr w:type="spellEnd"/>
            <w:r w:rsidRPr="006467F5">
              <w:rPr>
                <w:rFonts w:ascii="Palatino Linotype" w:eastAsia="Palatino Linotype" w:hAnsi="Palatino Linotype" w:cs="Palatino Linotype"/>
              </w:rPr>
              <w:t>, en el municipio de Tlalnepantla de Baz, Estado de México.</w:t>
            </w:r>
          </w:p>
          <w:p w14:paraId="2F71D76D" w14:textId="77777777" w:rsidR="007A3B52" w:rsidRPr="006467F5" w:rsidRDefault="007A3B52" w:rsidP="007A3B52">
            <w:pPr>
              <w:spacing w:before="240" w:after="240" w:line="276" w:lineRule="auto"/>
              <w:ind w:right="48"/>
              <w:contextualSpacing/>
              <w:jc w:val="center"/>
              <w:rPr>
                <w:rFonts w:ascii="Palatino Linotype" w:eastAsia="Palatino Linotype" w:hAnsi="Palatino Linotype" w:cs="Palatino Linotype"/>
              </w:rPr>
            </w:pPr>
          </w:p>
        </w:tc>
        <w:tc>
          <w:tcPr>
            <w:tcW w:w="2943" w:type="dxa"/>
            <w:vAlign w:val="center"/>
          </w:tcPr>
          <w:p w14:paraId="3D6247E4" w14:textId="77777777" w:rsidR="005854F4" w:rsidRPr="006467F5" w:rsidRDefault="005854F4" w:rsidP="005854F4">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Dictamen de Rentabilidad Social 2022,104.5.01.3-D, de la “Construcción de pavimentación con concreto hidráulico de calle José María Morelos y Pavón de calle Felipe Ángeles a calle Emiliano Zapata, del km +0.000.00 al km 0+138.65.”</w:t>
            </w:r>
          </w:p>
          <w:p w14:paraId="7E6CC0C1" w14:textId="77777777" w:rsidR="005854F4" w:rsidRPr="006467F5" w:rsidRDefault="005854F4" w:rsidP="005854F4">
            <w:pPr>
              <w:spacing w:before="240" w:after="240" w:line="276" w:lineRule="auto"/>
              <w:ind w:right="48"/>
              <w:contextualSpacing/>
              <w:jc w:val="both"/>
              <w:rPr>
                <w:rFonts w:ascii="Palatino Linotype" w:eastAsia="Palatino Linotype" w:hAnsi="Palatino Linotype" w:cs="Palatino Linotype"/>
              </w:rPr>
            </w:pPr>
          </w:p>
          <w:p w14:paraId="2D2B9E88" w14:textId="77777777" w:rsidR="007A3B52" w:rsidRPr="006467F5" w:rsidRDefault="005854F4" w:rsidP="005854F4">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Expediente Técnico, Anexo 1, del que se observa que la información contenida, corresponde a la información solicitada de la obra y periodo requerido.</w:t>
            </w:r>
          </w:p>
        </w:tc>
        <w:tc>
          <w:tcPr>
            <w:tcW w:w="2943" w:type="dxa"/>
            <w:vAlign w:val="center"/>
          </w:tcPr>
          <w:p w14:paraId="7D6D88F7" w14:textId="77777777" w:rsidR="007A3B52" w:rsidRPr="006467F5" w:rsidRDefault="00E677BC" w:rsidP="00E677BC">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t>SI</w:t>
            </w:r>
          </w:p>
        </w:tc>
      </w:tr>
      <w:tr w:rsidR="007A3B52" w:rsidRPr="006467F5" w14:paraId="68EE41C3" w14:textId="77777777" w:rsidTr="00C664F1">
        <w:trPr>
          <w:jc w:val="center"/>
        </w:trPr>
        <w:tc>
          <w:tcPr>
            <w:tcW w:w="2942" w:type="dxa"/>
            <w:vAlign w:val="center"/>
          </w:tcPr>
          <w:p w14:paraId="38D6A5EA"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 xml:space="preserve">Construcción de pavimentación con concreto hidráulico de calle Malinche de calle Toltecas al final de la calle del km 0+000.00 al km 0+125.00, y calle Tonatiuh de calle Malinche a Av. Acueducto </w:t>
            </w:r>
            <w:r w:rsidRPr="006467F5">
              <w:rPr>
                <w:rFonts w:ascii="Palatino Linotype" w:eastAsia="Palatino Linotype" w:hAnsi="Palatino Linotype" w:cs="Palatino Linotype"/>
              </w:rPr>
              <w:lastRenderedPageBreak/>
              <w:t xml:space="preserve">Tenayuca del km 0+000. al km 0+066.00, Col. El Arenal, en el municipio de Tlalnepantla de Baz, Estado de México. </w:t>
            </w:r>
          </w:p>
          <w:p w14:paraId="1DA7D7F4"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p>
        </w:tc>
        <w:tc>
          <w:tcPr>
            <w:tcW w:w="2943" w:type="dxa"/>
            <w:vAlign w:val="center"/>
          </w:tcPr>
          <w:p w14:paraId="4B146C3A" w14:textId="77777777" w:rsidR="005854F4" w:rsidRPr="006467F5" w:rsidRDefault="005854F4" w:rsidP="005854F4">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lastRenderedPageBreak/>
              <w:t xml:space="preserve">Dictamen de Rentabilidad Social 2022,104.5.03.3-D, de la “Construcción de pavimentación con concreto hidráulico de calle Malinche de calle Toltecas al final de la calle del km 0+000.00 al km 0+125.00, y </w:t>
            </w:r>
            <w:r w:rsidRPr="006467F5">
              <w:rPr>
                <w:rFonts w:ascii="Palatino Linotype" w:eastAsia="Palatino Linotype" w:hAnsi="Palatino Linotype" w:cs="Palatino Linotype"/>
              </w:rPr>
              <w:lastRenderedPageBreak/>
              <w:t>calle Tonatiuh de calle Malinche a Av. Acueducto Tenayuca del km 0+000. al km 0+066.00.”</w:t>
            </w:r>
          </w:p>
          <w:p w14:paraId="6988DCF0" w14:textId="77777777" w:rsidR="005854F4" w:rsidRPr="006467F5" w:rsidRDefault="005854F4" w:rsidP="005854F4">
            <w:pPr>
              <w:spacing w:before="240" w:after="240" w:line="276" w:lineRule="auto"/>
              <w:ind w:right="48"/>
              <w:contextualSpacing/>
              <w:jc w:val="both"/>
              <w:rPr>
                <w:rFonts w:ascii="Palatino Linotype" w:eastAsia="Palatino Linotype" w:hAnsi="Palatino Linotype" w:cs="Palatino Linotype"/>
              </w:rPr>
            </w:pPr>
          </w:p>
          <w:p w14:paraId="4290C44B" w14:textId="77777777" w:rsidR="007A3B52" w:rsidRPr="006467F5" w:rsidRDefault="005854F4" w:rsidP="005854F4">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Expediente Técnico, Anexo 1, del que se observa que la información contenida, corresponde a la información solicitada de la obra y periodo requerido.</w:t>
            </w:r>
          </w:p>
        </w:tc>
        <w:tc>
          <w:tcPr>
            <w:tcW w:w="2943" w:type="dxa"/>
            <w:vAlign w:val="center"/>
          </w:tcPr>
          <w:p w14:paraId="46C75AAC" w14:textId="77777777" w:rsidR="007A3B52" w:rsidRPr="006467F5" w:rsidRDefault="00E677BC" w:rsidP="00E677BC">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lastRenderedPageBreak/>
              <w:t>SI</w:t>
            </w:r>
          </w:p>
        </w:tc>
      </w:tr>
      <w:tr w:rsidR="007A3B52" w:rsidRPr="006467F5" w14:paraId="056916FE" w14:textId="77777777" w:rsidTr="00C664F1">
        <w:trPr>
          <w:jc w:val="center"/>
        </w:trPr>
        <w:tc>
          <w:tcPr>
            <w:tcW w:w="2942" w:type="dxa"/>
            <w:vAlign w:val="center"/>
          </w:tcPr>
          <w:p w14:paraId="175DC868"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 xml:space="preserve">Rehabilitación de pavimentación con concreto asfáltico de la calle convento de Tepotzotlán entre Av. Santa Mónica y boulevard Manuel Ávila Camacho, del km 0+000.00 al km 0+203.10, Fracc. Las Margaritas primera sección, en el municipio de Tlalnepantla de Baz, Estado de México. </w:t>
            </w:r>
          </w:p>
          <w:p w14:paraId="03DE0D36"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p>
        </w:tc>
        <w:tc>
          <w:tcPr>
            <w:tcW w:w="2943" w:type="dxa"/>
            <w:vAlign w:val="center"/>
          </w:tcPr>
          <w:p w14:paraId="78AD7268" w14:textId="77777777" w:rsidR="005854F4" w:rsidRPr="006467F5" w:rsidRDefault="005854F4" w:rsidP="005854F4">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Dictamen de Rentabilidad Social 2022,104.5.07.</w:t>
            </w:r>
            <w:r w:rsidR="00E677BC" w:rsidRPr="006467F5">
              <w:rPr>
                <w:rFonts w:ascii="Palatino Linotype" w:eastAsia="Palatino Linotype" w:hAnsi="Palatino Linotype" w:cs="Palatino Linotype"/>
              </w:rPr>
              <w:t>2</w:t>
            </w:r>
            <w:r w:rsidRPr="006467F5">
              <w:rPr>
                <w:rFonts w:ascii="Palatino Linotype" w:eastAsia="Palatino Linotype" w:hAnsi="Palatino Linotype" w:cs="Palatino Linotype"/>
              </w:rPr>
              <w:t>-D, de la “Rehabilitación de pavimentación con concreto asfáltico de la calle convento de Tepotzotlán entre Av. Santa Mónica y boulevard Manuel Ávila Camacho, del km 0+000.00 al km 0+203.10.”</w:t>
            </w:r>
          </w:p>
          <w:p w14:paraId="310AFCEA" w14:textId="77777777" w:rsidR="005854F4" w:rsidRPr="006467F5" w:rsidRDefault="005854F4" w:rsidP="005854F4">
            <w:pPr>
              <w:spacing w:before="240" w:after="240" w:line="276" w:lineRule="auto"/>
              <w:ind w:right="48"/>
              <w:contextualSpacing/>
              <w:jc w:val="both"/>
              <w:rPr>
                <w:rFonts w:ascii="Palatino Linotype" w:eastAsia="Palatino Linotype" w:hAnsi="Palatino Linotype" w:cs="Palatino Linotype"/>
              </w:rPr>
            </w:pPr>
          </w:p>
          <w:p w14:paraId="0D955DAD" w14:textId="77777777" w:rsidR="007A3B52" w:rsidRPr="006467F5" w:rsidRDefault="005854F4" w:rsidP="005854F4">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Expediente Técnico, Anexo 1, del que se observa que la información contenida, corresponde a la información solicitada de la obra y periodo requerido.</w:t>
            </w:r>
          </w:p>
        </w:tc>
        <w:tc>
          <w:tcPr>
            <w:tcW w:w="2943" w:type="dxa"/>
            <w:vAlign w:val="center"/>
          </w:tcPr>
          <w:p w14:paraId="36375FF5" w14:textId="77777777" w:rsidR="007A3B52" w:rsidRPr="006467F5" w:rsidRDefault="00E677BC" w:rsidP="00E677BC">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t>SI</w:t>
            </w:r>
          </w:p>
        </w:tc>
      </w:tr>
      <w:tr w:rsidR="007A3B52" w:rsidRPr="006467F5" w14:paraId="0D40D4E6" w14:textId="77777777" w:rsidTr="00C664F1">
        <w:trPr>
          <w:jc w:val="center"/>
        </w:trPr>
        <w:tc>
          <w:tcPr>
            <w:tcW w:w="2942" w:type="dxa"/>
            <w:vAlign w:val="center"/>
          </w:tcPr>
          <w:p w14:paraId="2BA3D1B6"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 xml:space="preserve">Rehabilitación de pavimentación con concreto asfáltico de la incorporación convento de Tepotzotlán a calle Viveros de Atizapán, del km </w:t>
            </w:r>
            <w:r w:rsidRPr="006467F5">
              <w:rPr>
                <w:rFonts w:ascii="Palatino Linotype" w:eastAsia="Palatino Linotype" w:hAnsi="Palatino Linotype" w:cs="Palatino Linotype"/>
              </w:rPr>
              <w:lastRenderedPageBreak/>
              <w:t>0+000.00 al km 0+174.10, Fracc. Las Margaritas primera sección, en el municipio de Tlalnepantla de Baz, Estado de México.</w:t>
            </w:r>
          </w:p>
          <w:p w14:paraId="46B0F8E0" w14:textId="77777777" w:rsidR="007A3B52" w:rsidRPr="006467F5" w:rsidRDefault="007A3B52" w:rsidP="007A3B52">
            <w:pPr>
              <w:spacing w:before="240" w:after="240" w:line="276" w:lineRule="auto"/>
              <w:ind w:right="48"/>
              <w:contextualSpacing/>
              <w:jc w:val="both"/>
              <w:rPr>
                <w:rFonts w:ascii="Palatino Linotype" w:eastAsia="Palatino Linotype" w:hAnsi="Palatino Linotype" w:cs="Palatino Linotype"/>
              </w:rPr>
            </w:pPr>
          </w:p>
        </w:tc>
        <w:tc>
          <w:tcPr>
            <w:tcW w:w="2943" w:type="dxa"/>
            <w:vAlign w:val="center"/>
          </w:tcPr>
          <w:p w14:paraId="0E488757" w14:textId="77777777" w:rsidR="005854F4" w:rsidRPr="006467F5" w:rsidRDefault="005854F4" w:rsidP="005854F4">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lastRenderedPageBreak/>
              <w:t>Dictamen de Rentabilidad Social 2022,104.5.09</w:t>
            </w:r>
            <w:r w:rsidR="00E677BC" w:rsidRPr="006467F5">
              <w:rPr>
                <w:rFonts w:ascii="Palatino Linotype" w:eastAsia="Palatino Linotype" w:hAnsi="Palatino Linotype" w:cs="Palatino Linotype"/>
              </w:rPr>
              <w:t>.2</w:t>
            </w:r>
            <w:r w:rsidRPr="006467F5">
              <w:rPr>
                <w:rFonts w:ascii="Palatino Linotype" w:eastAsia="Palatino Linotype" w:hAnsi="Palatino Linotype" w:cs="Palatino Linotype"/>
              </w:rPr>
              <w:t>-D, de la “</w:t>
            </w:r>
            <w:r w:rsidR="00E677BC" w:rsidRPr="006467F5">
              <w:rPr>
                <w:rFonts w:ascii="Palatino Linotype" w:eastAsia="Palatino Linotype" w:hAnsi="Palatino Linotype" w:cs="Palatino Linotype"/>
              </w:rPr>
              <w:t xml:space="preserve">Rehabilitación de pavimentación con concreto asfáltico de la incorporación convento de </w:t>
            </w:r>
            <w:r w:rsidR="00E677BC" w:rsidRPr="006467F5">
              <w:rPr>
                <w:rFonts w:ascii="Palatino Linotype" w:eastAsia="Palatino Linotype" w:hAnsi="Palatino Linotype" w:cs="Palatino Linotype"/>
              </w:rPr>
              <w:lastRenderedPageBreak/>
              <w:t>Tepotzotlán a calle Viveros de Atizapán, del km 0+000.00 al km 0+174.10</w:t>
            </w:r>
            <w:r w:rsidRPr="006467F5">
              <w:rPr>
                <w:rFonts w:ascii="Palatino Linotype" w:eastAsia="Palatino Linotype" w:hAnsi="Palatino Linotype" w:cs="Palatino Linotype"/>
              </w:rPr>
              <w:t>”</w:t>
            </w:r>
          </w:p>
          <w:p w14:paraId="0F7CBF8B" w14:textId="77777777" w:rsidR="005854F4" w:rsidRPr="006467F5" w:rsidRDefault="005854F4" w:rsidP="005854F4">
            <w:pPr>
              <w:spacing w:before="240" w:after="240" w:line="276" w:lineRule="auto"/>
              <w:ind w:right="48"/>
              <w:contextualSpacing/>
              <w:jc w:val="both"/>
              <w:rPr>
                <w:rFonts w:ascii="Palatino Linotype" w:eastAsia="Palatino Linotype" w:hAnsi="Palatino Linotype" w:cs="Palatino Linotype"/>
              </w:rPr>
            </w:pPr>
          </w:p>
          <w:p w14:paraId="3FCCEE0B" w14:textId="77777777" w:rsidR="007A3B52" w:rsidRPr="006467F5" w:rsidRDefault="005854F4" w:rsidP="005854F4">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Expediente Técnico, Anexo 1, del que se observa que la información contenida, corresponde a la información solicitada de la obra y periodo requerido.</w:t>
            </w:r>
          </w:p>
        </w:tc>
        <w:tc>
          <w:tcPr>
            <w:tcW w:w="2943" w:type="dxa"/>
            <w:vAlign w:val="center"/>
          </w:tcPr>
          <w:p w14:paraId="33D4FED4" w14:textId="77777777" w:rsidR="007A3B52" w:rsidRPr="006467F5" w:rsidRDefault="00E677BC" w:rsidP="00E677BC">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lastRenderedPageBreak/>
              <w:t>SI</w:t>
            </w:r>
          </w:p>
        </w:tc>
      </w:tr>
      <w:tr w:rsidR="007A3B52" w:rsidRPr="006467F5" w14:paraId="74EA61D7" w14:textId="77777777" w:rsidTr="00C664F1">
        <w:trPr>
          <w:jc w:val="center"/>
        </w:trPr>
        <w:tc>
          <w:tcPr>
            <w:tcW w:w="2942" w:type="dxa"/>
            <w:vAlign w:val="center"/>
          </w:tcPr>
          <w:p w14:paraId="0B3432C8" w14:textId="77777777" w:rsidR="007A3B52" w:rsidRPr="006467F5" w:rsidRDefault="007A3B52" w:rsidP="00E677BC">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 xml:space="preserve">Construcción de pavimentación con concreto hidráulico en calle San Isidro entre Av. San Isidro al límite de calle, del 0+000.00 al 0+238.00, Col. San Isidro Ixhuatepec, en el municipio de Tlalnepantla de Baz, Estado de México. </w:t>
            </w:r>
          </w:p>
          <w:p w14:paraId="6C8CD11C" w14:textId="77777777" w:rsidR="007A3B52" w:rsidRPr="006467F5" w:rsidRDefault="007A3B52" w:rsidP="00E677BC">
            <w:pPr>
              <w:spacing w:before="240" w:after="240" w:line="276" w:lineRule="auto"/>
              <w:ind w:right="48"/>
              <w:contextualSpacing/>
              <w:jc w:val="both"/>
              <w:rPr>
                <w:rFonts w:ascii="Palatino Linotype" w:eastAsia="Palatino Linotype" w:hAnsi="Palatino Linotype" w:cs="Palatino Linotype"/>
              </w:rPr>
            </w:pPr>
          </w:p>
        </w:tc>
        <w:tc>
          <w:tcPr>
            <w:tcW w:w="2943" w:type="dxa"/>
            <w:vAlign w:val="center"/>
          </w:tcPr>
          <w:p w14:paraId="713F10B0" w14:textId="77777777" w:rsidR="00E677BC" w:rsidRPr="006467F5" w:rsidRDefault="00E677BC" w:rsidP="00E677BC">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Dictamen de Rentabilidad Social 2022,104.5.05.2-D, de la “Construcción de pavimentación con concreto hidráulico en calle San Isidro entre Av. San Isidro al límite de calle, del 0+000.00 al 0+238.00”</w:t>
            </w:r>
          </w:p>
          <w:p w14:paraId="1B7010F9" w14:textId="77777777" w:rsidR="00E677BC" w:rsidRPr="006467F5" w:rsidRDefault="00E677BC" w:rsidP="00E677BC">
            <w:pPr>
              <w:spacing w:before="240" w:after="240" w:line="276" w:lineRule="auto"/>
              <w:ind w:right="48"/>
              <w:contextualSpacing/>
              <w:jc w:val="both"/>
              <w:rPr>
                <w:rFonts w:ascii="Palatino Linotype" w:eastAsia="Palatino Linotype" w:hAnsi="Palatino Linotype" w:cs="Palatino Linotype"/>
              </w:rPr>
            </w:pPr>
          </w:p>
          <w:p w14:paraId="3547DCA0" w14:textId="77777777" w:rsidR="007A3B52" w:rsidRPr="006467F5" w:rsidRDefault="00E677BC" w:rsidP="00E677BC">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Expediente Técnico, Anexo 1, del que se observa que la información contenida, corresponde a la información solicitada de la obra y periodo requerido.</w:t>
            </w:r>
          </w:p>
        </w:tc>
        <w:tc>
          <w:tcPr>
            <w:tcW w:w="2943" w:type="dxa"/>
            <w:vAlign w:val="center"/>
          </w:tcPr>
          <w:p w14:paraId="20E7BA7F" w14:textId="77777777" w:rsidR="007A3B52" w:rsidRPr="006467F5" w:rsidRDefault="00E677BC" w:rsidP="00E677BC">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t>SI</w:t>
            </w:r>
          </w:p>
        </w:tc>
      </w:tr>
      <w:tr w:rsidR="007A3B52" w:rsidRPr="006467F5" w14:paraId="4B6AC96A" w14:textId="77777777" w:rsidTr="00C664F1">
        <w:trPr>
          <w:jc w:val="center"/>
        </w:trPr>
        <w:tc>
          <w:tcPr>
            <w:tcW w:w="2942" w:type="dxa"/>
            <w:vAlign w:val="center"/>
          </w:tcPr>
          <w:p w14:paraId="5EB86ECA" w14:textId="77777777" w:rsidR="007A3B52" w:rsidRPr="006467F5" w:rsidRDefault="007A3B52" w:rsidP="00E677BC">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 xml:space="preserve">Construcción de pavimentación con concreto hidráulico de CDA. San Isidro entre Av. San Isidro al límite de calle, del 0+000.00 al 0+061.00, Col. San Isidro Ixhuatepec, en el municipio de </w:t>
            </w:r>
            <w:r w:rsidRPr="006467F5">
              <w:rPr>
                <w:rFonts w:ascii="Palatino Linotype" w:eastAsia="Palatino Linotype" w:hAnsi="Palatino Linotype" w:cs="Palatino Linotype"/>
              </w:rPr>
              <w:lastRenderedPageBreak/>
              <w:t>Tlalnepantla de Baz, Estado de México.</w:t>
            </w:r>
          </w:p>
          <w:p w14:paraId="647F149F" w14:textId="77777777" w:rsidR="007A3B52" w:rsidRPr="006467F5" w:rsidRDefault="007A3B52" w:rsidP="00E677BC">
            <w:pPr>
              <w:spacing w:before="240" w:after="240" w:line="276" w:lineRule="auto"/>
              <w:ind w:right="48"/>
              <w:contextualSpacing/>
              <w:jc w:val="both"/>
              <w:rPr>
                <w:rFonts w:ascii="Palatino Linotype" w:eastAsia="Palatino Linotype" w:hAnsi="Palatino Linotype" w:cs="Palatino Linotype"/>
              </w:rPr>
            </w:pPr>
          </w:p>
        </w:tc>
        <w:tc>
          <w:tcPr>
            <w:tcW w:w="2943" w:type="dxa"/>
            <w:vAlign w:val="center"/>
          </w:tcPr>
          <w:p w14:paraId="7A46FE69" w14:textId="77777777" w:rsidR="00E677BC" w:rsidRPr="006467F5" w:rsidRDefault="00E677BC" w:rsidP="00E677BC">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lastRenderedPageBreak/>
              <w:t>Dictamen de Rentabilidad Social 2022,104.4.06.2-D, de la “Construcción de pavimentación con concreto hidráulico de CDA. San Isidro entre Av. San Isidro al límite de calle, del 0+000.00 al 0+061.00,”</w:t>
            </w:r>
          </w:p>
          <w:p w14:paraId="109AFC81" w14:textId="77777777" w:rsidR="00E677BC" w:rsidRPr="006467F5" w:rsidRDefault="00E677BC" w:rsidP="00E677BC">
            <w:pPr>
              <w:spacing w:before="240" w:after="240" w:line="276" w:lineRule="auto"/>
              <w:ind w:right="48"/>
              <w:contextualSpacing/>
              <w:jc w:val="both"/>
              <w:rPr>
                <w:rFonts w:ascii="Palatino Linotype" w:eastAsia="Palatino Linotype" w:hAnsi="Palatino Linotype" w:cs="Palatino Linotype"/>
              </w:rPr>
            </w:pPr>
          </w:p>
          <w:p w14:paraId="24D5AC2B" w14:textId="77777777" w:rsidR="007A3B52" w:rsidRPr="006467F5" w:rsidRDefault="00E677BC" w:rsidP="00E677BC">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lastRenderedPageBreak/>
              <w:t>Expediente Técnico, Anexo 1, del que se observa que la información contenida, corresponde a la información solicitada de la obra y periodo requerido.</w:t>
            </w:r>
          </w:p>
        </w:tc>
        <w:tc>
          <w:tcPr>
            <w:tcW w:w="2943" w:type="dxa"/>
            <w:vAlign w:val="center"/>
          </w:tcPr>
          <w:p w14:paraId="343AB627" w14:textId="77777777" w:rsidR="007A3B52" w:rsidRPr="006467F5" w:rsidRDefault="00E677BC" w:rsidP="00E677BC">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lastRenderedPageBreak/>
              <w:t>SI</w:t>
            </w:r>
          </w:p>
        </w:tc>
      </w:tr>
      <w:tr w:rsidR="007A3B52" w:rsidRPr="006467F5" w14:paraId="2C2AEADA" w14:textId="77777777" w:rsidTr="00C664F1">
        <w:trPr>
          <w:jc w:val="center"/>
        </w:trPr>
        <w:tc>
          <w:tcPr>
            <w:tcW w:w="2942" w:type="dxa"/>
            <w:vAlign w:val="center"/>
          </w:tcPr>
          <w:p w14:paraId="5ABDB9C7" w14:textId="77777777" w:rsidR="007A3B52" w:rsidRPr="006467F5" w:rsidRDefault="007A3B52" w:rsidP="00E677BC">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Construcción de pavimentación con concreto hidráulico de la calle Convento de Tepotzotlán entre Av. Convento de Santa Mónica y Convento de San Diego, del km 0+000.00 al km 0+238.00, Fracc. Jardines de Santa Mónica, en el municipio de Tlalnepantla de Baz, Estado de México.</w:t>
            </w:r>
          </w:p>
        </w:tc>
        <w:tc>
          <w:tcPr>
            <w:tcW w:w="2943" w:type="dxa"/>
            <w:vAlign w:val="center"/>
          </w:tcPr>
          <w:p w14:paraId="3B8CF211" w14:textId="77777777" w:rsidR="00E677BC" w:rsidRPr="006467F5" w:rsidRDefault="00E677BC" w:rsidP="00E677BC">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Dictamen de Rentabilidad Social 2022,104.5.0</w:t>
            </w:r>
            <w:r w:rsidR="00C664F1" w:rsidRPr="006467F5">
              <w:rPr>
                <w:rFonts w:ascii="Palatino Linotype" w:eastAsia="Palatino Linotype" w:hAnsi="Palatino Linotype" w:cs="Palatino Linotype"/>
              </w:rPr>
              <w:t>8</w:t>
            </w:r>
            <w:r w:rsidRPr="006467F5">
              <w:rPr>
                <w:rFonts w:ascii="Palatino Linotype" w:eastAsia="Palatino Linotype" w:hAnsi="Palatino Linotype" w:cs="Palatino Linotype"/>
              </w:rPr>
              <w:t>.</w:t>
            </w:r>
            <w:r w:rsidR="00C664F1" w:rsidRPr="006467F5">
              <w:rPr>
                <w:rFonts w:ascii="Palatino Linotype" w:eastAsia="Palatino Linotype" w:hAnsi="Palatino Linotype" w:cs="Palatino Linotype"/>
              </w:rPr>
              <w:t>2</w:t>
            </w:r>
            <w:r w:rsidRPr="006467F5">
              <w:rPr>
                <w:rFonts w:ascii="Palatino Linotype" w:eastAsia="Palatino Linotype" w:hAnsi="Palatino Linotype" w:cs="Palatino Linotype"/>
              </w:rPr>
              <w:t>-D, de la “</w:t>
            </w:r>
            <w:r w:rsidR="00C664F1" w:rsidRPr="006467F5">
              <w:rPr>
                <w:rFonts w:ascii="Palatino Linotype" w:eastAsia="Palatino Linotype" w:hAnsi="Palatino Linotype" w:cs="Palatino Linotype"/>
              </w:rPr>
              <w:t>Construcción de pavimentación con concreto hidráulico de la calle Convento de Tepotzotlán entre Av. Convento de Santa Mónica y Convento de San Diego, del km 0+000.00 al km 0+238.00,</w:t>
            </w:r>
            <w:r w:rsidRPr="006467F5">
              <w:rPr>
                <w:rFonts w:ascii="Palatino Linotype" w:eastAsia="Palatino Linotype" w:hAnsi="Palatino Linotype" w:cs="Palatino Linotype"/>
              </w:rPr>
              <w:t>,”</w:t>
            </w:r>
          </w:p>
          <w:p w14:paraId="292F49CC" w14:textId="77777777" w:rsidR="00E677BC" w:rsidRPr="006467F5" w:rsidRDefault="00E677BC" w:rsidP="00E677BC">
            <w:pPr>
              <w:spacing w:before="240" w:after="240" w:line="276" w:lineRule="auto"/>
              <w:ind w:right="48"/>
              <w:contextualSpacing/>
              <w:jc w:val="both"/>
              <w:rPr>
                <w:rFonts w:ascii="Palatino Linotype" w:eastAsia="Palatino Linotype" w:hAnsi="Palatino Linotype" w:cs="Palatino Linotype"/>
              </w:rPr>
            </w:pPr>
          </w:p>
          <w:p w14:paraId="162EE5DD" w14:textId="77777777" w:rsidR="007A3B52" w:rsidRPr="006467F5" w:rsidRDefault="00E677BC" w:rsidP="00E677BC">
            <w:pPr>
              <w:spacing w:before="240" w:after="240" w:line="276" w:lineRule="auto"/>
              <w:ind w:right="48"/>
              <w:contextualSpacing/>
              <w:jc w:val="both"/>
              <w:rPr>
                <w:rFonts w:ascii="Palatino Linotype" w:eastAsia="Palatino Linotype" w:hAnsi="Palatino Linotype" w:cs="Palatino Linotype"/>
              </w:rPr>
            </w:pPr>
            <w:r w:rsidRPr="006467F5">
              <w:rPr>
                <w:rFonts w:ascii="Palatino Linotype" w:eastAsia="Palatino Linotype" w:hAnsi="Palatino Linotype" w:cs="Palatino Linotype"/>
              </w:rPr>
              <w:t>Expediente Técnico, Anexo 1, del que se observa que la información contenida, corresponde a la información solicitada de la obra y periodo requerido.</w:t>
            </w:r>
          </w:p>
        </w:tc>
        <w:tc>
          <w:tcPr>
            <w:tcW w:w="2943" w:type="dxa"/>
            <w:vAlign w:val="center"/>
          </w:tcPr>
          <w:p w14:paraId="2034FF17" w14:textId="77777777" w:rsidR="007A3B52" w:rsidRPr="006467F5" w:rsidRDefault="00E677BC" w:rsidP="00E677BC">
            <w:pPr>
              <w:spacing w:before="240" w:after="240" w:line="276" w:lineRule="auto"/>
              <w:ind w:right="48"/>
              <w:contextualSpacing/>
              <w:jc w:val="center"/>
              <w:rPr>
                <w:rFonts w:ascii="Palatino Linotype" w:eastAsia="Palatino Linotype" w:hAnsi="Palatino Linotype" w:cs="Palatino Linotype"/>
                <w:b/>
              </w:rPr>
            </w:pPr>
            <w:r w:rsidRPr="006467F5">
              <w:rPr>
                <w:rFonts w:ascii="Palatino Linotype" w:eastAsia="Palatino Linotype" w:hAnsi="Palatino Linotype" w:cs="Palatino Linotype"/>
                <w:b/>
              </w:rPr>
              <w:t>SI</w:t>
            </w:r>
          </w:p>
        </w:tc>
      </w:tr>
    </w:tbl>
    <w:p w14:paraId="05806A57" w14:textId="77777777" w:rsidR="007A3B52" w:rsidRPr="006467F5" w:rsidRDefault="007A3B52" w:rsidP="007A3B52">
      <w:pPr>
        <w:spacing w:before="240" w:after="240" w:line="360" w:lineRule="auto"/>
        <w:ind w:right="48"/>
        <w:contextualSpacing/>
        <w:jc w:val="both"/>
        <w:rPr>
          <w:rFonts w:ascii="Palatino Linotype" w:eastAsia="Palatino Linotype" w:hAnsi="Palatino Linotype" w:cs="Palatino Linotype"/>
          <w:sz w:val="24"/>
          <w:szCs w:val="24"/>
        </w:rPr>
      </w:pPr>
    </w:p>
    <w:p w14:paraId="2A7C477A" w14:textId="77777777" w:rsidR="00325611" w:rsidRPr="006467F5" w:rsidRDefault="00C664F1" w:rsidP="00C664F1">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 De lo anterior se colige que se enviaron los dictámenes de rentabilidad del año 2022 de las obras que fueron requeridas, e</w:t>
      </w:r>
      <w:r w:rsidR="00325611" w:rsidRPr="006467F5">
        <w:rPr>
          <w:rFonts w:ascii="Palatino Linotype" w:eastAsia="Palatino Linotype" w:hAnsi="Palatino Linotype" w:cs="Palatino Linotype"/>
          <w:sz w:val="24"/>
          <w:szCs w:val="24"/>
        </w:rPr>
        <w:t>n consecuencia,</w:t>
      </w:r>
      <w:r w:rsidRPr="006467F5">
        <w:rPr>
          <w:rFonts w:ascii="Palatino Linotype" w:eastAsia="Palatino Linotype" w:hAnsi="Palatino Linotype" w:cs="Palatino Linotype"/>
          <w:sz w:val="24"/>
          <w:szCs w:val="24"/>
        </w:rPr>
        <w:t xml:space="preserve"> se</w:t>
      </w:r>
      <w:r w:rsidR="00325611" w:rsidRPr="006467F5">
        <w:rPr>
          <w:rFonts w:ascii="Palatino Linotype" w:eastAsia="Palatino Linotype" w:hAnsi="Palatino Linotype" w:cs="Palatino Linotype"/>
          <w:sz w:val="24"/>
          <w:szCs w:val="24"/>
        </w:rPr>
        <w:t xml:space="preserve"> tiene por colmada en su totalidad la solicitud de información </w:t>
      </w:r>
      <w:r w:rsidR="00325611" w:rsidRPr="006467F5">
        <w:rPr>
          <w:rFonts w:ascii="Palatino Linotype" w:eastAsia="Palatino Linotype" w:hAnsi="Palatino Linotype" w:cs="Palatino Linotype"/>
          <w:b/>
          <w:sz w:val="24"/>
          <w:szCs w:val="24"/>
        </w:rPr>
        <w:t>00212/TLALNEPA/IP/2024</w:t>
      </w:r>
      <w:r w:rsidRPr="006467F5">
        <w:rPr>
          <w:rFonts w:ascii="Palatino Linotype" w:eastAsia="Palatino Linotype" w:hAnsi="Palatino Linotype" w:cs="Palatino Linotype"/>
          <w:b/>
          <w:sz w:val="24"/>
          <w:szCs w:val="24"/>
        </w:rPr>
        <w:t xml:space="preserve">, </w:t>
      </w:r>
      <w:r w:rsidRPr="006467F5">
        <w:rPr>
          <w:rFonts w:ascii="Palatino Linotype" w:eastAsia="Palatino Linotype" w:hAnsi="Palatino Linotype" w:cs="Palatino Linotype"/>
          <w:sz w:val="24"/>
          <w:szCs w:val="24"/>
        </w:rPr>
        <w:t xml:space="preserve">pues –se reitera- </w:t>
      </w:r>
      <w:r w:rsidR="00325611" w:rsidRPr="006467F5">
        <w:rPr>
          <w:rFonts w:ascii="Palatino Linotype" w:eastAsia="Palatino Linotype" w:hAnsi="Palatino Linotype" w:cs="Palatino Linotype"/>
          <w:sz w:val="24"/>
          <w:szCs w:val="24"/>
        </w:rPr>
        <w:t xml:space="preserve">el </w:t>
      </w:r>
      <w:r w:rsidR="00325611" w:rsidRPr="006467F5">
        <w:rPr>
          <w:rFonts w:ascii="Palatino Linotype" w:eastAsia="Palatino Linotype" w:hAnsi="Palatino Linotype" w:cs="Palatino Linotype"/>
          <w:b/>
          <w:sz w:val="24"/>
          <w:szCs w:val="24"/>
        </w:rPr>
        <w:t xml:space="preserve">SUJETO OBLIGADO </w:t>
      </w:r>
      <w:r w:rsidRPr="006467F5">
        <w:rPr>
          <w:rFonts w:ascii="Palatino Linotype" w:eastAsia="Palatino Linotype" w:hAnsi="Palatino Linotype" w:cs="Palatino Linotype"/>
          <w:sz w:val="24"/>
          <w:szCs w:val="24"/>
        </w:rPr>
        <w:t>al momento de rendir el</w:t>
      </w:r>
      <w:r w:rsidR="00325611" w:rsidRPr="006467F5">
        <w:rPr>
          <w:rFonts w:ascii="Palatino Linotype" w:eastAsia="Palatino Linotype" w:hAnsi="Palatino Linotype" w:cs="Palatino Linotype"/>
          <w:sz w:val="24"/>
          <w:szCs w:val="24"/>
        </w:rPr>
        <w:t xml:space="preserve"> informe justificado </w:t>
      </w:r>
      <w:r w:rsidRPr="006467F5">
        <w:rPr>
          <w:rFonts w:ascii="Palatino Linotype" w:eastAsia="Palatino Linotype" w:hAnsi="Palatino Linotype" w:cs="Palatino Linotype"/>
          <w:sz w:val="24"/>
          <w:szCs w:val="24"/>
        </w:rPr>
        <w:t xml:space="preserve">correspondiente </w:t>
      </w:r>
      <w:r w:rsidR="00325611" w:rsidRPr="006467F5">
        <w:rPr>
          <w:rFonts w:ascii="Palatino Linotype" w:eastAsia="Palatino Linotype" w:hAnsi="Palatino Linotype" w:cs="Palatino Linotype"/>
          <w:sz w:val="24"/>
          <w:szCs w:val="24"/>
        </w:rPr>
        <w:t xml:space="preserve">modificó la respuesta inicial, ya que en un primer momento refirió que la información se encontraba clasificada por un periodo de dos años y </w:t>
      </w:r>
      <w:r w:rsidR="00325611" w:rsidRPr="006467F5">
        <w:rPr>
          <w:rFonts w:ascii="Palatino Linotype" w:eastAsia="Palatino Linotype" w:hAnsi="Palatino Linotype" w:cs="Palatino Linotype"/>
          <w:sz w:val="24"/>
          <w:szCs w:val="24"/>
        </w:rPr>
        <w:lastRenderedPageBreak/>
        <w:t>posteriormente, vía informe justificado, hizo entre</w:t>
      </w:r>
      <w:r w:rsidRPr="006467F5">
        <w:rPr>
          <w:rFonts w:ascii="Palatino Linotype" w:eastAsia="Palatino Linotype" w:hAnsi="Palatino Linotype" w:cs="Palatino Linotype"/>
          <w:sz w:val="24"/>
          <w:szCs w:val="24"/>
        </w:rPr>
        <w:t xml:space="preserve">ga de la información solicitada, como quedó plasmado en </w:t>
      </w:r>
      <w:r w:rsidR="007B7853" w:rsidRPr="006467F5">
        <w:rPr>
          <w:rFonts w:ascii="Palatino Linotype" w:eastAsia="Palatino Linotype" w:hAnsi="Palatino Linotype" w:cs="Palatino Linotype"/>
          <w:sz w:val="24"/>
          <w:szCs w:val="24"/>
        </w:rPr>
        <w:t>líneas</w:t>
      </w:r>
      <w:r w:rsidRPr="006467F5">
        <w:rPr>
          <w:rFonts w:ascii="Palatino Linotype" w:eastAsia="Palatino Linotype" w:hAnsi="Palatino Linotype" w:cs="Palatino Linotype"/>
          <w:sz w:val="24"/>
          <w:szCs w:val="24"/>
        </w:rPr>
        <w:t xml:space="preserve"> anteriores.</w:t>
      </w:r>
    </w:p>
    <w:p w14:paraId="7CCECBD0" w14:textId="77777777" w:rsidR="00325611" w:rsidRPr="006467F5" w:rsidRDefault="00325611" w:rsidP="00325611">
      <w:pPr>
        <w:spacing w:after="0" w:line="360" w:lineRule="auto"/>
        <w:ind w:right="-646"/>
        <w:jc w:val="both"/>
        <w:rPr>
          <w:rFonts w:ascii="Palatino Linotype" w:eastAsia="Palatino Linotype" w:hAnsi="Palatino Linotype" w:cs="Palatino Linotype"/>
          <w:color w:val="000000"/>
          <w:sz w:val="24"/>
          <w:szCs w:val="24"/>
        </w:rPr>
      </w:pPr>
    </w:p>
    <w:p w14:paraId="246DE91E" w14:textId="77777777" w:rsidR="00325611" w:rsidRPr="006467F5" w:rsidRDefault="00325611" w:rsidP="00325611">
      <w:pPr>
        <w:numPr>
          <w:ilvl w:val="0"/>
          <w:numId w:val="1"/>
        </w:numPr>
        <w:spacing w:before="240" w:after="240" w:line="360" w:lineRule="auto"/>
        <w:ind w:left="0" w:right="48" w:firstLine="0"/>
        <w:contextualSpacing/>
        <w:jc w:val="both"/>
        <w:rPr>
          <w:rFonts w:ascii="Palatino Linotype" w:eastAsia="Palatino Linotype" w:hAnsi="Palatino Linotype" w:cs="Palatino Linotype"/>
          <w:color w:val="000000"/>
          <w:sz w:val="24"/>
          <w:szCs w:val="24"/>
        </w:rPr>
      </w:pPr>
      <w:r w:rsidRPr="006467F5">
        <w:rPr>
          <w:rFonts w:ascii="Palatino Linotype" w:eastAsia="Palatino Linotype" w:hAnsi="Palatino Linotype" w:cs="Palatino Linotype"/>
          <w:sz w:val="24"/>
          <w:szCs w:val="24"/>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6467F5">
        <w:rPr>
          <w:rFonts w:ascii="Palatino Linotype" w:eastAsia="Palatino Linotype" w:hAnsi="Palatino Linotype" w:cs="Palatino Linotype"/>
          <w:color w:val="000000"/>
          <w:sz w:val="24"/>
          <w:szCs w:val="24"/>
        </w:rPr>
        <w:t>máxime que al momento que ponen a disposición ésta, la misma tiene el carácter oficial y se presume veraz, tan es así que la misma queda registrada en el Sistema de Acceso a la Información Mexiquense (SAIMEX).</w:t>
      </w:r>
    </w:p>
    <w:p w14:paraId="2794F5CC" w14:textId="77777777" w:rsidR="00325611" w:rsidRPr="006467F5" w:rsidRDefault="00325611" w:rsidP="00325611">
      <w:pPr>
        <w:spacing w:before="240" w:after="240" w:line="360" w:lineRule="auto"/>
        <w:ind w:right="48"/>
        <w:contextualSpacing/>
        <w:jc w:val="both"/>
        <w:rPr>
          <w:rFonts w:ascii="Palatino Linotype" w:eastAsia="Palatino Linotype" w:hAnsi="Palatino Linotype" w:cs="Palatino Linotype"/>
          <w:color w:val="000000"/>
          <w:sz w:val="24"/>
          <w:szCs w:val="24"/>
        </w:rPr>
      </w:pPr>
    </w:p>
    <w:p w14:paraId="18A65B0B" w14:textId="77777777" w:rsidR="00325611" w:rsidRPr="006467F5" w:rsidRDefault="00325611" w:rsidP="00325611">
      <w:pPr>
        <w:numPr>
          <w:ilvl w:val="0"/>
          <w:numId w:val="1"/>
        </w:numPr>
        <w:spacing w:before="240" w:after="240" w:line="360" w:lineRule="auto"/>
        <w:ind w:left="0" w:right="48" w:firstLine="0"/>
        <w:contextualSpacing/>
        <w:jc w:val="both"/>
        <w:rPr>
          <w:rFonts w:ascii="Palatino Linotype" w:eastAsia="Palatino Linotype" w:hAnsi="Palatino Linotype" w:cs="Palatino Linotype"/>
          <w:color w:val="000000"/>
          <w:sz w:val="24"/>
          <w:szCs w:val="24"/>
        </w:rPr>
      </w:pPr>
      <w:r w:rsidRPr="006467F5">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40FF76DC" w14:textId="77777777" w:rsidR="00325611" w:rsidRPr="006467F5" w:rsidRDefault="00325611" w:rsidP="00325611">
      <w:pPr>
        <w:pBdr>
          <w:top w:val="nil"/>
          <w:left w:val="nil"/>
          <w:bottom w:val="nil"/>
          <w:right w:val="nil"/>
          <w:between w:val="nil"/>
        </w:pBdr>
        <w:spacing w:before="240" w:after="360" w:line="360" w:lineRule="auto"/>
        <w:ind w:left="851" w:right="758"/>
        <w:jc w:val="both"/>
        <w:rPr>
          <w:rFonts w:ascii="Palatino Linotype" w:eastAsia="Palatino Linotype" w:hAnsi="Palatino Linotype" w:cs="Palatino Linotype"/>
          <w:i/>
          <w:color w:val="000000"/>
        </w:rPr>
      </w:pPr>
      <w:r w:rsidRPr="006467F5">
        <w:rPr>
          <w:rFonts w:ascii="Palatino Linotype" w:eastAsia="Palatino Linotype" w:hAnsi="Palatino Linotype" w:cs="Palatino Linotype"/>
          <w:i/>
          <w:color w:val="000000"/>
        </w:rPr>
        <w:t xml:space="preserve">El Instituto Federal de Acceso a la Información y Protección de Datos </w:t>
      </w:r>
      <w:r w:rsidRPr="006467F5">
        <w:rPr>
          <w:rFonts w:ascii="Palatino Linotype" w:eastAsia="Palatino Linotype" w:hAnsi="Palatino Linotype" w:cs="Palatino Linotype"/>
          <w:b/>
          <w:i/>
          <w:color w:val="000000"/>
        </w:rPr>
        <w:t>no cuenta con facultades para pronunciarse respecto de la veracidad de los documentos proporcionados por los sujetos obligados.</w:t>
      </w:r>
      <w:r w:rsidRPr="006467F5">
        <w:rPr>
          <w:rFonts w:ascii="Palatino Linotype" w:eastAsia="Palatino Linotype" w:hAnsi="Palatino Linotype" w:cs="Palatino Linotype"/>
          <w:i/>
          <w:color w:val="00000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w:t>
      </w:r>
      <w:r w:rsidRPr="006467F5">
        <w:rPr>
          <w:rFonts w:ascii="Palatino Linotype" w:eastAsia="Palatino Linotype" w:hAnsi="Palatino Linotype" w:cs="Palatino Linotype"/>
          <w:i/>
          <w:color w:val="000000"/>
        </w:rPr>
        <w:lastRenderedPageBreak/>
        <w:t>prevé una causal que permita al Instituto Federal de Acceso a la Información y Protección de Datos conocer, vía recurso revisión, al respecto.</w:t>
      </w:r>
    </w:p>
    <w:p w14:paraId="237FA2CD" w14:textId="77777777" w:rsidR="00325611" w:rsidRPr="006467F5" w:rsidRDefault="00325611" w:rsidP="00325611">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Así mismo, la </w:t>
      </w:r>
      <w:r w:rsidRPr="006467F5">
        <w:rPr>
          <w:rFonts w:ascii="Palatino Linotype" w:eastAsia="Palatino Linotype" w:hAnsi="Palatino Linotype" w:cs="Palatino Linotype"/>
          <w:b/>
          <w:sz w:val="24"/>
          <w:szCs w:val="24"/>
        </w:rPr>
        <w:t>Ley de Transparencia y Acceso a la Información Pública del Estado de México y Municipios</w:t>
      </w:r>
      <w:r w:rsidRPr="006467F5">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729553E2" w14:textId="77777777" w:rsidR="00325611" w:rsidRPr="006467F5" w:rsidRDefault="00325611" w:rsidP="00325611">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14:paraId="65BFF4E5" w14:textId="77777777" w:rsidR="00325611" w:rsidRPr="006467F5" w:rsidRDefault="00325611" w:rsidP="00325611">
      <w:pPr>
        <w:pBdr>
          <w:top w:val="nil"/>
          <w:left w:val="nil"/>
          <w:bottom w:val="nil"/>
          <w:right w:val="nil"/>
          <w:between w:val="nil"/>
        </w:pBdr>
        <w:spacing w:after="0" w:line="360" w:lineRule="auto"/>
        <w:ind w:left="644" w:right="616"/>
        <w:jc w:val="both"/>
        <w:rPr>
          <w:rFonts w:ascii="Palatino Linotype" w:eastAsia="Palatino Linotype" w:hAnsi="Palatino Linotype" w:cs="Palatino Linotype"/>
          <w:b/>
          <w:i/>
          <w:color w:val="000000"/>
        </w:rPr>
      </w:pPr>
      <w:r w:rsidRPr="006467F5">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6467F5">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14:paraId="1022CF55" w14:textId="77777777" w:rsidR="00325611" w:rsidRPr="006467F5" w:rsidRDefault="00325611" w:rsidP="00325611">
      <w:pPr>
        <w:spacing w:line="360" w:lineRule="auto"/>
        <w:ind w:right="-646"/>
        <w:jc w:val="both"/>
        <w:rPr>
          <w:rFonts w:ascii="Palatino Linotype" w:eastAsia="Palatino Linotype" w:hAnsi="Palatino Linotype" w:cs="Palatino Linotype"/>
          <w:b/>
          <w:i/>
          <w:sz w:val="24"/>
          <w:szCs w:val="24"/>
        </w:rPr>
      </w:pPr>
    </w:p>
    <w:p w14:paraId="2278B710" w14:textId="77777777" w:rsidR="00325611" w:rsidRPr="006467F5" w:rsidRDefault="00325611" w:rsidP="00325611">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Numerales que compelen al </w:t>
      </w:r>
      <w:r w:rsidRPr="006467F5">
        <w:rPr>
          <w:rFonts w:ascii="Palatino Linotype" w:eastAsia="Palatino Linotype" w:hAnsi="Palatino Linotype" w:cs="Palatino Linotype"/>
          <w:b/>
          <w:sz w:val="24"/>
          <w:szCs w:val="24"/>
        </w:rPr>
        <w:t>SUJETO OBLIGADO</w:t>
      </w:r>
      <w:r w:rsidRPr="006467F5">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w:t>
      </w:r>
      <w:r w:rsidRPr="006467F5">
        <w:rPr>
          <w:rFonts w:ascii="Palatino Linotype" w:eastAsia="Palatino Linotype" w:hAnsi="Palatino Linotype" w:cs="Palatino Linotype"/>
          <w:sz w:val="24"/>
          <w:szCs w:val="24"/>
        </w:rPr>
        <w:lastRenderedPageBreak/>
        <w:t xml:space="preserve">requerida, se tiene por colmado el derecho de acceso a la información pública del particular. </w:t>
      </w:r>
    </w:p>
    <w:p w14:paraId="0C13A9B9" w14:textId="77777777" w:rsidR="00325611" w:rsidRPr="006467F5" w:rsidRDefault="00325611" w:rsidP="00325611">
      <w:pPr>
        <w:spacing w:after="0" w:line="360" w:lineRule="auto"/>
        <w:ind w:left="360" w:right="-646"/>
        <w:jc w:val="both"/>
        <w:rPr>
          <w:rFonts w:ascii="Palatino Linotype" w:eastAsia="Palatino Linotype" w:hAnsi="Palatino Linotype" w:cs="Palatino Linotype"/>
          <w:sz w:val="24"/>
          <w:szCs w:val="24"/>
        </w:rPr>
      </w:pPr>
    </w:p>
    <w:p w14:paraId="6962C791" w14:textId="77777777" w:rsidR="00325611" w:rsidRPr="006467F5" w:rsidRDefault="00325611" w:rsidP="00B6591D">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Es por lo expuesto con antelación que, este Pleno advierte que el </w:t>
      </w:r>
      <w:r w:rsidRPr="006467F5">
        <w:rPr>
          <w:rFonts w:ascii="Palatino Linotype" w:eastAsia="Palatino Linotype" w:hAnsi="Palatino Linotype" w:cs="Palatino Linotype"/>
          <w:b/>
          <w:sz w:val="24"/>
          <w:szCs w:val="24"/>
        </w:rPr>
        <w:t>SUJETO OBLIGADO</w:t>
      </w:r>
      <w:r w:rsidRPr="006467F5">
        <w:rPr>
          <w:rFonts w:ascii="Palatino Linotype" w:eastAsia="Palatino Linotype" w:hAnsi="Palatino Linotype" w:cs="Palatino Linotype"/>
          <w:sz w:val="24"/>
          <w:szCs w:val="24"/>
        </w:rPr>
        <w:t xml:space="preserve"> con la información enviada a través del informe de justificación, </w:t>
      </w:r>
      <w:r w:rsidRPr="006467F5">
        <w:rPr>
          <w:rFonts w:ascii="Palatino Linotype" w:eastAsia="Palatino Linotype" w:hAnsi="Palatino Linotype" w:cs="Palatino Linotype"/>
          <w:b/>
          <w:sz w:val="24"/>
          <w:szCs w:val="24"/>
        </w:rPr>
        <w:t>modifica</w:t>
      </w:r>
      <w:r w:rsidRPr="006467F5">
        <w:rPr>
          <w:rFonts w:ascii="Palatino Linotype" w:eastAsia="Palatino Linotype" w:hAnsi="Palatino Linotype" w:cs="Palatino Linotype"/>
          <w:sz w:val="24"/>
          <w:szCs w:val="24"/>
        </w:rPr>
        <w:t xml:space="preserve"> el acto que le dio origen al recurso de revisión, 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14:paraId="0D8EE9B5" w14:textId="77777777" w:rsidR="00325611" w:rsidRPr="006467F5" w:rsidRDefault="00325611" w:rsidP="00325611">
      <w:pPr>
        <w:spacing w:after="0" w:line="360" w:lineRule="auto"/>
        <w:ind w:left="360" w:right="-646"/>
        <w:jc w:val="both"/>
        <w:rPr>
          <w:rFonts w:ascii="Palatino Linotype" w:eastAsia="Palatino Linotype" w:hAnsi="Palatino Linotype" w:cs="Palatino Linotype"/>
          <w:sz w:val="24"/>
          <w:szCs w:val="24"/>
        </w:rPr>
      </w:pPr>
    </w:p>
    <w:p w14:paraId="3EA88B09" w14:textId="77777777" w:rsidR="00325611" w:rsidRPr="006467F5" w:rsidRDefault="00325611" w:rsidP="00B6591D">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Dicho lo anterior este Órgano Resolutor arriba a la conclusión que, con la información proporcionada al momento de rendir el Informe Justificado correspondiente, se colma en su totalidad la solicitud</w:t>
      </w:r>
      <w:r w:rsidRPr="006467F5">
        <w:rPr>
          <w:rFonts w:ascii="Palatino Linotype" w:eastAsia="Palatino Linotype" w:hAnsi="Palatino Linotype" w:cs="Palatino Linotype"/>
          <w:b/>
          <w:sz w:val="24"/>
          <w:szCs w:val="24"/>
        </w:rPr>
        <w:t>  </w:t>
      </w:r>
      <w:r w:rsidR="00B6591D" w:rsidRPr="006467F5">
        <w:rPr>
          <w:rFonts w:ascii="Palatino Linotype" w:eastAsia="Palatino Linotype" w:hAnsi="Palatino Linotype" w:cs="Palatino Linotype"/>
          <w:b/>
          <w:sz w:val="24"/>
          <w:szCs w:val="24"/>
        </w:rPr>
        <w:t>00212/TLALNEPA/IP/2024.</w:t>
      </w:r>
    </w:p>
    <w:p w14:paraId="62EAC0A5" w14:textId="77777777" w:rsidR="00325611" w:rsidRPr="006467F5" w:rsidRDefault="00325611" w:rsidP="00325611">
      <w:pPr>
        <w:spacing w:after="0" w:line="360" w:lineRule="auto"/>
        <w:ind w:left="360" w:right="-646"/>
        <w:jc w:val="both"/>
        <w:rPr>
          <w:rFonts w:ascii="Palatino Linotype" w:eastAsia="Palatino Linotype" w:hAnsi="Palatino Linotype" w:cs="Palatino Linotype"/>
          <w:sz w:val="24"/>
          <w:szCs w:val="24"/>
        </w:rPr>
      </w:pPr>
    </w:p>
    <w:p w14:paraId="62ED54C1" w14:textId="77777777" w:rsidR="00325611" w:rsidRPr="006467F5" w:rsidRDefault="00325611" w:rsidP="00B6591D">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Es así que la ley prevé que cuando el </w:t>
      </w:r>
      <w:r w:rsidRPr="006467F5">
        <w:rPr>
          <w:rFonts w:ascii="Palatino Linotype" w:eastAsia="Palatino Linotype" w:hAnsi="Palatino Linotype" w:cs="Palatino Linotype"/>
          <w:b/>
          <w:sz w:val="24"/>
          <w:szCs w:val="24"/>
        </w:rPr>
        <w:t xml:space="preserve">SUJETO OBLIGADO, </w:t>
      </w:r>
      <w:r w:rsidRPr="006467F5">
        <w:rPr>
          <w:rFonts w:ascii="Palatino Linotype" w:eastAsia="Palatino Linotype" w:hAnsi="Palatino Linotype" w:cs="Palatino Linotype"/>
          <w:sz w:val="24"/>
          <w:szCs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6467F5">
        <w:rPr>
          <w:rFonts w:ascii="Palatino Linotype" w:eastAsia="Palatino Linotype" w:hAnsi="Palatino Linotype" w:cs="Palatino Linotype"/>
          <w:i/>
          <w:sz w:val="24"/>
          <w:szCs w:val="24"/>
        </w:rPr>
        <w:t>Litis</w:t>
      </w:r>
      <w:r w:rsidRPr="006467F5">
        <w:rPr>
          <w:rFonts w:ascii="Palatino Linotype" w:eastAsia="Palatino Linotype" w:hAnsi="Palatino Linotype" w:cs="Palatino Linotype"/>
          <w:sz w:val="24"/>
          <w:szCs w:val="24"/>
        </w:rPr>
        <w:t xml:space="preserve"> planteada, debido a que la afectación en su esfera de derechos fue restituida por la propia autoridad que emitió el acto motivo de impugnación.</w:t>
      </w:r>
    </w:p>
    <w:p w14:paraId="45D94FA6" w14:textId="77777777" w:rsidR="00325611" w:rsidRPr="006467F5" w:rsidRDefault="00325611" w:rsidP="00325611">
      <w:pPr>
        <w:spacing w:after="0" w:line="360" w:lineRule="auto"/>
        <w:ind w:left="360" w:right="-646"/>
        <w:jc w:val="both"/>
        <w:rPr>
          <w:rFonts w:ascii="Palatino Linotype" w:eastAsia="Palatino Linotype" w:hAnsi="Palatino Linotype" w:cs="Palatino Linotype"/>
          <w:sz w:val="24"/>
          <w:szCs w:val="24"/>
        </w:rPr>
      </w:pPr>
    </w:p>
    <w:p w14:paraId="3CD15D7C" w14:textId="77777777" w:rsidR="00325611" w:rsidRPr="006467F5" w:rsidRDefault="00325611" w:rsidP="00B6591D">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lastRenderedPageBreak/>
        <w:t>Sirve de sustento a lo anterior la siguiente jurisprudencia por contradicción, cuyo rubro, texto y datos de identificación son los siguientes:</w:t>
      </w:r>
    </w:p>
    <w:p w14:paraId="46FC3124" w14:textId="77777777" w:rsidR="00B6591D" w:rsidRPr="006467F5" w:rsidRDefault="00B6591D" w:rsidP="00B6591D">
      <w:pPr>
        <w:spacing w:before="240" w:after="240" w:line="360" w:lineRule="auto"/>
        <w:ind w:right="48"/>
        <w:contextualSpacing/>
        <w:jc w:val="both"/>
        <w:rPr>
          <w:rFonts w:ascii="Palatino Linotype" w:eastAsia="Palatino Linotype" w:hAnsi="Palatino Linotype" w:cs="Palatino Linotype"/>
          <w:sz w:val="24"/>
          <w:szCs w:val="24"/>
        </w:rPr>
      </w:pPr>
    </w:p>
    <w:p w14:paraId="53F61CC6" w14:textId="77777777" w:rsidR="00325611" w:rsidRPr="006467F5" w:rsidRDefault="00325611" w:rsidP="00B6591D">
      <w:pPr>
        <w:spacing w:after="0" w:line="360" w:lineRule="auto"/>
        <w:ind w:left="567" w:right="616"/>
        <w:jc w:val="both"/>
        <w:rPr>
          <w:rFonts w:ascii="Palatino Linotype" w:eastAsia="Palatino Linotype" w:hAnsi="Palatino Linotype" w:cs="Palatino Linotype"/>
          <w:i/>
        </w:rPr>
      </w:pPr>
      <w:r w:rsidRPr="006467F5">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6467F5">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23BACAF2" w14:textId="77777777" w:rsidR="00325611" w:rsidRPr="006467F5" w:rsidRDefault="00325611" w:rsidP="00325611">
      <w:pPr>
        <w:spacing w:after="0" w:line="360" w:lineRule="auto"/>
        <w:ind w:left="708" w:right="-646"/>
        <w:jc w:val="both"/>
        <w:rPr>
          <w:rFonts w:ascii="Palatino Linotype" w:eastAsia="Palatino Linotype" w:hAnsi="Palatino Linotype" w:cs="Palatino Linotype"/>
          <w:i/>
          <w:sz w:val="24"/>
          <w:szCs w:val="24"/>
        </w:rPr>
      </w:pPr>
    </w:p>
    <w:p w14:paraId="500878C9" w14:textId="77777777" w:rsidR="00325611" w:rsidRPr="006467F5" w:rsidRDefault="00325611" w:rsidP="00B6591D">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lastRenderedPageBreak/>
        <w:t>La anterior jurisprudencia resulta aplicable al presente asunto, en dos aspectos:</w:t>
      </w:r>
    </w:p>
    <w:p w14:paraId="700E8CCF" w14:textId="77777777" w:rsidR="00B6591D" w:rsidRPr="006467F5" w:rsidRDefault="00B6591D" w:rsidP="00B6591D">
      <w:pPr>
        <w:spacing w:before="240" w:after="240" w:line="360" w:lineRule="auto"/>
        <w:ind w:right="48"/>
        <w:contextualSpacing/>
        <w:jc w:val="both"/>
        <w:rPr>
          <w:rFonts w:ascii="Palatino Linotype" w:eastAsia="Palatino Linotype" w:hAnsi="Palatino Linotype" w:cs="Palatino Linotype"/>
          <w:sz w:val="24"/>
          <w:szCs w:val="24"/>
        </w:rPr>
      </w:pPr>
    </w:p>
    <w:p w14:paraId="793CE093" w14:textId="77777777" w:rsidR="00325611" w:rsidRPr="006467F5" w:rsidRDefault="00325611" w:rsidP="00B6591D">
      <w:pPr>
        <w:numPr>
          <w:ilvl w:val="0"/>
          <w:numId w:val="35"/>
        </w:numPr>
        <w:spacing w:after="0" w:line="360" w:lineRule="auto"/>
        <w:ind w:left="709" w:right="333" w:hanging="283"/>
        <w:jc w:val="both"/>
        <w:rPr>
          <w:rFonts w:ascii="Palatino Linotype" w:eastAsia="Palatino Linotype" w:hAnsi="Palatino Linotype" w:cs="Palatino Linotype"/>
        </w:rPr>
      </w:pPr>
      <w:r w:rsidRPr="006467F5">
        <w:rPr>
          <w:rFonts w:ascii="Palatino Linotype" w:eastAsia="Palatino Linotype" w:hAnsi="Palatino Linotype" w:cs="Palatino Linotype"/>
          <w:b/>
        </w:rPr>
        <w:t>La cesación de los efectos perniciosos del acto de autoridad:</w:t>
      </w:r>
      <w:r w:rsidRPr="006467F5">
        <w:rPr>
          <w:rFonts w:ascii="Palatino Linotype" w:eastAsia="Palatino Linotype" w:hAnsi="Palatino Linotype" w:cs="Palatino Linotype"/>
        </w:rPr>
        <w:t xml:space="preserve"> Al respecto, la Ley de Transparencia contempla la figura jurídica del sobreseimiento cuando el </w:t>
      </w:r>
      <w:r w:rsidRPr="006467F5">
        <w:rPr>
          <w:rFonts w:ascii="Palatino Linotype" w:eastAsia="Palatino Linotype" w:hAnsi="Palatino Linotype" w:cs="Palatino Linotype"/>
          <w:b/>
        </w:rPr>
        <w:t>SUJETO OBLIGADO</w:t>
      </w:r>
      <w:r w:rsidRPr="006467F5">
        <w:rPr>
          <w:rFonts w:ascii="Palatino Linotype" w:eastAsia="Palatino Linotype" w:hAnsi="Palatino Linotype" w:cs="Palatino Linotype"/>
        </w:rPr>
        <w:t xml:space="preserve"> de </w:t>
      </w:r>
      <w:r w:rsidRPr="006467F5">
        <w:rPr>
          <w:rFonts w:ascii="Palatino Linotype" w:eastAsia="Palatino Linotype" w:hAnsi="Palatino Linotype" w:cs="Palatino Linotype"/>
          <w:i/>
        </w:rPr>
        <w:t>motu proprio</w:t>
      </w:r>
      <w:r w:rsidRPr="006467F5">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14:paraId="2F805F84" w14:textId="77777777" w:rsidR="00325611" w:rsidRPr="006467F5" w:rsidRDefault="00325611" w:rsidP="00B6591D">
      <w:pPr>
        <w:spacing w:after="0" w:line="360" w:lineRule="auto"/>
        <w:ind w:left="709" w:right="333" w:hanging="283"/>
        <w:jc w:val="both"/>
        <w:rPr>
          <w:rFonts w:ascii="Palatino Linotype" w:eastAsia="Palatino Linotype" w:hAnsi="Palatino Linotype" w:cs="Palatino Linotype"/>
        </w:rPr>
      </w:pPr>
    </w:p>
    <w:p w14:paraId="6ADD0505" w14:textId="77777777" w:rsidR="00325611" w:rsidRPr="006467F5" w:rsidRDefault="00325611" w:rsidP="00B6591D">
      <w:pPr>
        <w:numPr>
          <w:ilvl w:val="0"/>
          <w:numId w:val="35"/>
        </w:numPr>
        <w:spacing w:after="0" w:line="360" w:lineRule="auto"/>
        <w:ind w:left="709" w:right="333" w:hanging="283"/>
        <w:jc w:val="both"/>
        <w:rPr>
          <w:rFonts w:ascii="Palatino Linotype" w:eastAsia="Palatino Linotype" w:hAnsi="Palatino Linotype" w:cs="Palatino Linotype"/>
        </w:rPr>
      </w:pPr>
      <w:r w:rsidRPr="006467F5">
        <w:rPr>
          <w:rFonts w:ascii="Palatino Linotype" w:eastAsia="Palatino Linotype" w:hAnsi="Palatino Linotype" w:cs="Palatino Linotype"/>
          <w:b/>
        </w:rPr>
        <w:t>El momento procesal para modificar el acto impugnado:</w:t>
      </w:r>
      <w:r w:rsidRPr="006467F5">
        <w:rPr>
          <w:rFonts w:ascii="Palatino Linotype" w:eastAsia="Palatino Linotype" w:hAnsi="Palatino Linotype" w:cs="Palatino Linotype"/>
        </w:rPr>
        <w:t xml:space="preserve"> Para que se actualice el sobreseimiento de un recurso de revisión, el </w:t>
      </w:r>
      <w:r w:rsidRPr="006467F5">
        <w:rPr>
          <w:rFonts w:ascii="Palatino Linotype" w:eastAsia="Palatino Linotype" w:hAnsi="Palatino Linotype" w:cs="Palatino Linotype"/>
          <w:b/>
        </w:rPr>
        <w:t>SUJETO OBLIGADO</w:t>
      </w:r>
      <w:r w:rsidRPr="006467F5">
        <w:rPr>
          <w:rFonts w:ascii="Palatino Linotype" w:eastAsia="Palatino Linotype" w:hAnsi="Palatino Linotype" w:cs="Palatino Linotype"/>
        </w:rPr>
        <w:t xml:space="preserve"> puede entregar o completar la información al momento de rendir su informe de justificación o </w:t>
      </w:r>
      <w:r w:rsidRPr="006467F5">
        <w:rPr>
          <w:rFonts w:ascii="Palatino Linotype" w:eastAsia="Palatino Linotype" w:hAnsi="Palatino Linotype" w:cs="Palatino Linotype"/>
          <w:b/>
          <w:u w:val="single"/>
        </w:rPr>
        <w:t>posteriormente</w:t>
      </w:r>
      <w:r w:rsidRPr="006467F5">
        <w:rPr>
          <w:rFonts w:ascii="Palatino Linotype" w:eastAsia="Palatino Linotype" w:hAnsi="Palatino Linotype" w:cs="Palatino Linotype"/>
        </w:rPr>
        <w:t xml:space="preserve"> a éste, siempre y cuando el Pleno del Instituto no haya dictado resolución definitiva.</w:t>
      </w:r>
    </w:p>
    <w:p w14:paraId="3C168841" w14:textId="77777777" w:rsidR="00325611" w:rsidRPr="006467F5" w:rsidRDefault="00325611" w:rsidP="00325611">
      <w:pPr>
        <w:spacing w:after="0" w:line="360" w:lineRule="auto"/>
        <w:ind w:right="-646"/>
        <w:jc w:val="both"/>
        <w:rPr>
          <w:rFonts w:ascii="Palatino Linotype" w:eastAsia="Palatino Linotype" w:hAnsi="Palatino Linotype" w:cs="Palatino Linotype"/>
          <w:sz w:val="24"/>
          <w:szCs w:val="24"/>
        </w:rPr>
      </w:pPr>
    </w:p>
    <w:p w14:paraId="4775EDC5" w14:textId="77777777" w:rsidR="00325611" w:rsidRPr="006467F5" w:rsidRDefault="00325611" w:rsidP="00B6591D">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Eduardo Pallares, en su artículo </w:t>
      </w:r>
      <w:r w:rsidRPr="006467F5">
        <w:rPr>
          <w:rFonts w:ascii="Palatino Linotype" w:eastAsia="Palatino Linotype" w:hAnsi="Palatino Linotype" w:cs="Palatino Linotype"/>
          <w:i/>
          <w:sz w:val="24"/>
          <w:szCs w:val="24"/>
        </w:rPr>
        <w:t>“La caducidad y el sobreseimiento en el amparo”</w:t>
      </w:r>
      <w:r w:rsidRPr="006467F5">
        <w:rPr>
          <w:rFonts w:ascii="Palatino Linotype" w:eastAsia="Palatino Linotype" w:hAnsi="Palatino Linotype" w:cs="Palatino Linotype"/>
          <w:sz w:val="24"/>
          <w:szCs w:val="24"/>
        </w:rPr>
        <w:t xml:space="preserve">, cita la definición de Aguilera Paz, aduciendo que se </w:t>
      </w:r>
      <w:r w:rsidRPr="006467F5">
        <w:rPr>
          <w:rFonts w:ascii="Palatino Linotype" w:eastAsia="Palatino Linotype" w:hAnsi="Palatino Linotype" w:cs="Palatino Linotype"/>
          <w:i/>
          <w:sz w:val="24"/>
          <w:szCs w:val="24"/>
        </w:rPr>
        <w:t>“...entiende por sobreseimiento en el tecnicismo forense, el hecho de cesar en el procedimiento o curso de la causa, por no existir méritos bastantes para entrar en un juicio o para entablar la contienda judicial que debe ser objeto del mismo...”</w:t>
      </w:r>
      <w:r w:rsidRPr="006467F5">
        <w:rPr>
          <w:rFonts w:ascii="Palatino Linotype" w:eastAsia="Palatino Linotype" w:hAnsi="Palatino Linotype" w:cs="Palatino Linotype"/>
          <w:sz w:val="24"/>
          <w:szCs w:val="24"/>
        </w:rPr>
        <w:t>. Asimismo señala que existe el sobreseimiento provisional y el definitivo</w:t>
      </w:r>
      <w:r w:rsidRPr="006467F5">
        <w:rPr>
          <w:rFonts w:ascii="Palatino Linotype" w:eastAsia="Palatino Linotype" w:hAnsi="Palatino Linotype" w:cs="Palatino Linotype"/>
          <w:i/>
          <w:sz w:val="24"/>
          <w:szCs w:val="24"/>
        </w:rPr>
        <w:t>: “...el definitivo es una verdadera sentencia que pone fin al juicio, y que una vez dictada, produce cosa juzgada, mientras que el provisorio tiene por efectos suspender la prosecución de la causa...”</w:t>
      </w:r>
    </w:p>
    <w:p w14:paraId="122F7556" w14:textId="77777777" w:rsidR="00325611" w:rsidRPr="006467F5" w:rsidRDefault="00325611" w:rsidP="00325611">
      <w:pPr>
        <w:spacing w:after="0" w:line="360" w:lineRule="auto"/>
        <w:ind w:left="360" w:right="-646"/>
        <w:jc w:val="both"/>
        <w:rPr>
          <w:rFonts w:ascii="Palatino Linotype" w:eastAsia="Palatino Linotype" w:hAnsi="Palatino Linotype" w:cs="Palatino Linotype"/>
          <w:sz w:val="24"/>
          <w:szCs w:val="24"/>
        </w:rPr>
      </w:pPr>
    </w:p>
    <w:p w14:paraId="41B524C1" w14:textId="77777777" w:rsidR="00325611" w:rsidRPr="006467F5" w:rsidRDefault="00325611" w:rsidP="00B6591D">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lastRenderedPageBreak/>
        <w:t xml:space="preserve">Asimismo, para que se actualice el sobreseimiento de un recurso de revisión, el </w:t>
      </w:r>
      <w:r w:rsidRPr="006467F5">
        <w:rPr>
          <w:rFonts w:ascii="Palatino Linotype" w:eastAsia="Palatino Linotype" w:hAnsi="Palatino Linotype" w:cs="Palatino Linotype"/>
          <w:b/>
          <w:sz w:val="24"/>
          <w:szCs w:val="24"/>
        </w:rPr>
        <w:t>SUJETO OBLIGADO</w:t>
      </w:r>
      <w:r w:rsidRPr="006467F5">
        <w:rPr>
          <w:rFonts w:ascii="Palatino Linotype" w:eastAsia="Palatino Linotype" w:hAnsi="Palatino Linotype" w:cs="Palatino Linotype"/>
          <w:sz w:val="24"/>
          <w:szCs w:val="24"/>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14:paraId="5D4FE903" w14:textId="77777777" w:rsidR="00325611" w:rsidRPr="006467F5" w:rsidRDefault="00325611" w:rsidP="00325611">
      <w:pPr>
        <w:spacing w:after="0" w:line="360" w:lineRule="auto"/>
        <w:ind w:left="360" w:right="-646"/>
        <w:jc w:val="both"/>
        <w:rPr>
          <w:rFonts w:ascii="Palatino Linotype" w:eastAsia="Palatino Linotype" w:hAnsi="Palatino Linotype" w:cs="Palatino Linotype"/>
          <w:sz w:val="24"/>
          <w:szCs w:val="24"/>
        </w:rPr>
      </w:pPr>
    </w:p>
    <w:p w14:paraId="5DAAFD51" w14:textId="77777777" w:rsidR="00B6591D" w:rsidRPr="006467F5" w:rsidRDefault="00325611" w:rsidP="00B6591D">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sz w:val="24"/>
          <w:szCs w:val="24"/>
        </w:rPr>
        <w:t xml:space="preserve">Bajo ese tenor, se colige que con la nueva información remitida por el </w:t>
      </w:r>
      <w:r w:rsidRPr="006467F5">
        <w:rPr>
          <w:rFonts w:ascii="Palatino Linotype" w:eastAsia="Palatino Linotype" w:hAnsi="Palatino Linotype" w:cs="Palatino Linotype"/>
          <w:b/>
          <w:sz w:val="24"/>
          <w:szCs w:val="24"/>
        </w:rPr>
        <w:t xml:space="preserve">SUJETO OBLIGADO, </w:t>
      </w:r>
      <w:r w:rsidRPr="006467F5">
        <w:rPr>
          <w:rFonts w:ascii="Palatino Linotype" w:eastAsia="Palatino Linotype" w:hAnsi="Palatino Linotype" w:cs="Palatino Linotype"/>
          <w:sz w:val="24"/>
          <w:szCs w:val="24"/>
        </w:rPr>
        <w:t>se colma la solicitud de información</w:t>
      </w:r>
      <w:r w:rsidRPr="006467F5">
        <w:rPr>
          <w:rFonts w:ascii="Palatino Linotype" w:eastAsia="Palatino Linotype" w:hAnsi="Palatino Linotype" w:cs="Palatino Linotype"/>
          <w:b/>
          <w:sz w:val="24"/>
          <w:szCs w:val="24"/>
        </w:rPr>
        <w:t> </w:t>
      </w:r>
      <w:r w:rsidR="00B6591D" w:rsidRPr="006467F5">
        <w:rPr>
          <w:rFonts w:ascii="Palatino Linotype" w:eastAsia="Palatino Linotype" w:hAnsi="Palatino Linotype" w:cs="Palatino Linotype"/>
          <w:b/>
          <w:sz w:val="24"/>
          <w:szCs w:val="24"/>
        </w:rPr>
        <w:t>00212/TLALNEPA/IP/2024</w:t>
      </w:r>
      <w:r w:rsidRPr="006467F5">
        <w:rPr>
          <w:rFonts w:ascii="Palatino Linotype" w:eastAsia="Palatino Linotype" w:hAnsi="Palatino Linotype" w:cs="Palatino Linotype"/>
          <w:b/>
          <w:sz w:val="24"/>
          <w:szCs w:val="24"/>
        </w:rPr>
        <w:t xml:space="preserve">, </w:t>
      </w:r>
      <w:r w:rsidRPr="006467F5">
        <w:rPr>
          <w:rFonts w:ascii="Palatino Linotype" w:eastAsia="Palatino Linotype" w:hAnsi="Palatino Linotype" w:cs="Palatino Linotype"/>
          <w:sz w:val="24"/>
          <w:szCs w:val="24"/>
        </w:rPr>
        <w:t xml:space="preserve">y consecuentemente, los motivos de inconformidad hechos valer por </w:t>
      </w:r>
      <w:r w:rsidRPr="006467F5">
        <w:rPr>
          <w:rFonts w:ascii="Palatino Linotype" w:eastAsia="Palatino Linotype" w:hAnsi="Palatino Linotype" w:cs="Palatino Linotype"/>
          <w:b/>
          <w:sz w:val="24"/>
          <w:szCs w:val="24"/>
        </w:rPr>
        <w:t>EL RECURRENTE,</w:t>
      </w:r>
      <w:r w:rsidRPr="006467F5">
        <w:rPr>
          <w:rFonts w:ascii="Palatino Linotype" w:eastAsia="Palatino Linotype" w:hAnsi="Palatino Linotype" w:cs="Palatino Linotype"/>
          <w:sz w:val="24"/>
          <w:szCs w:val="24"/>
        </w:rPr>
        <w:t xml:space="preserve"> devienen inatendibles por actualizarse la figura del sobreseimiento, al cumplimentarse su derecho de acceso a la información y al quedarse sin materia el presente recurso, por lo que, en términos del artículo 186 fracción I este Pleno determina el </w:t>
      </w:r>
      <w:r w:rsidRPr="006467F5">
        <w:rPr>
          <w:rFonts w:ascii="Palatino Linotype" w:eastAsia="Palatino Linotype" w:hAnsi="Palatino Linotype" w:cs="Palatino Linotype"/>
          <w:b/>
          <w:sz w:val="24"/>
          <w:szCs w:val="24"/>
        </w:rPr>
        <w:t xml:space="preserve">SOBRESEIMIENTO </w:t>
      </w:r>
      <w:r w:rsidRPr="006467F5">
        <w:rPr>
          <w:rFonts w:ascii="Palatino Linotype" w:eastAsia="Palatino Linotype" w:hAnsi="Palatino Linotype" w:cs="Palatino Linotype"/>
          <w:sz w:val="24"/>
          <w:szCs w:val="24"/>
        </w:rPr>
        <w:t>del presente recurso de revisión, toda vez que la afectación al derecho de acceso a la información pública establecido constitucionalmente a favor del particular, ha sido resarcida.</w:t>
      </w:r>
    </w:p>
    <w:p w14:paraId="03C4F57B" w14:textId="77777777" w:rsidR="00B6591D" w:rsidRPr="006467F5" w:rsidRDefault="00B6591D" w:rsidP="00B6591D">
      <w:pPr>
        <w:spacing w:before="240" w:after="240" w:line="360" w:lineRule="auto"/>
        <w:ind w:right="48"/>
        <w:contextualSpacing/>
        <w:jc w:val="both"/>
        <w:rPr>
          <w:rFonts w:ascii="Palatino Linotype" w:eastAsia="Palatino Linotype" w:hAnsi="Palatino Linotype" w:cs="Palatino Linotype"/>
          <w:sz w:val="24"/>
          <w:szCs w:val="24"/>
        </w:rPr>
      </w:pPr>
    </w:p>
    <w:p w14:paraId="360A161F" w14:textId="77777777" w:rsidR="00325611" w:rsidRPr="006467F5" w:rsidRDefault="00325611" w:rsidP="00B6591D">
      <w:pPr>
        <w:numPr>
          <w:ilvl w:val="0"/>
          <w:numId w:val="1"/>
        </w:numPr>
        <w:spacing w:before="240" w:after="240" w:line="360" w:lineRule="auto"/>
        <w:ind w:left="0" w:right="48" w:firstLine="0"/>
        <w:contextualSpacing/>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color w:val="000000"/>
          <w:sz w:val="24"/>
          <w:szCs w:val="24"/>
        </w:rPr>
        <w:t xml:space="preserve">Por lo anteriormente expuesto y fundado, este </w:t>
      </w:r>
      <w:r w:rsidRPr="006467F5">
        <w:rPr>
          <w:rFonts w:ascii="Palatino Linotype" w:eastAsia="Palatino Linotype" w:hAnsi="Palatino Linotype" w:cs="Palatino Linotype"/>
          <w:b/>
          <w:color w:val="000000"/>
          <w:sz w:val="24"/>
          <w:szCs w:val="24"/>
        </w:rPr>
        <w:t>ÓRGANO GARANTE</w:t>
      </w:r>
      <w:r w:rsidRPr="006467F5">
        <w:rPr>
          <w:rFonts w:ascii="Palatino Linotype" w:eastAsia="Palatino Linotype" w:hAnsi="Palatino Linotype" w:cs="Palatino Linotype"/>
          <w:color w:val="000000"/>
          <w:sz w:val="24"/>
          <w:szCs w:val="24"/>
        </w:rPr>
        <w:t xml:space="preserve"> emite los siguientes:</w:t>
      </w:r>
    </w:p>
    <w:p w14:paraId="3BFF8412" w14:textId="77777777" w:rsidR="00325611" w:rsidRPr="006467F5" w:rsidRDefault="00325611" w:rsidP="00325611">
      <w:pPr>
        <w:spacing w:after="0" w:line="360" w:lineRule="auto"/>
        <w:ind w:right="-646"/>
        <w:jc w:val="both"/>
        <w:rPr>
          <w:rFonts w:ascii="Palatino Linotype" w:eastAsia="Palatino Linotype" w:hAnsi="Palatino Linotype" w:cs="Palatino Linotype"/>
          <w:sz w:val="24"/>
          <w:szCs w:val="24"/>
        </w:rPr>
      </w:pPr>
    </w:p>
    <w:p w14:paraId="547A7417" w14:textId="77777777" w:rsidR="00325611" w:rsidRPr="006467F5" w:rsidRDefault="00325611" w:rsidP="00B6591D">
      <w:pPr>
        <w:keepNext/>
        <w:keepLines/>
        <w:spacing w:line="360" w:lineRule="auto"/>
        <w:ind w:right="49"/>
        <w:jc w:val="center"/>
        <w:rPr>
          <w:rFonts w:ascii="Palatino Linotype" w:eastAsia="Palatino Linotype" w:hAnsi="Palatino Linotype" w:cs="Palatino Linotype"/>
          <w:b/>
          <w:sz w:val="24"/>
          <w:szCs w:val="24"/>
        </w:rPr>
      </w:pPr>
      <w:bookmarkStart w:id="140" w:name="_heading=h.lnxbz9" w:colFirst="0" w:colLast="0"/>
      <w:bookmarkEnd w:id="140"/>
      <w:r w:rsidRPr="006467F5">
        <w:rPr>
          <w:rFonts w:ascii="Palatino Linotype" w:eastAsia="Palatino Linotype" w:hAnsi="Palatino Linotype" w:cs="Palatino Linotype"/>
          <w:b/>
          <w:sz w:val="24"/>
          <w:szCs w:val="24"/>
        </w:rPr>
        <w:t>R E S O L U T I V O S</w:t>
      </w:r>
    </w:p>
    <w:p w14:paraId="78C4701E" w14:textId="77777777" w:rsidR="00325611" w:rsidRPr="006467F5" w:rsidRDefault="00325611" w:rsidP="00B6591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467F5">
        <w:rPr>
          <w:rFonts w:ascii="Palatino Linotype" w:eastAsia="Palatino Linotype" w:hAnsi="Palatino Linotype" w:cs="Palatino Linotype"/>
          <w:b/>
          <w:color w:val="000000"/>
          <w:sz w:val="24"/>
          <w:szCs w:val="24"/>
        </w:rPr>
        <w:t xml:space="preserve">PRIMERO. </w:t>
      </w:r>
      <w:r w:rsidRPr="006467F5">
        <w:rPr>
          <w:rFonts w:ascii="Palatino Linotype" w:eastAsia="Palatino Linotype" w:hAnsi="Palatino Linotype" w:cs="Palatino Linotype"/>
          <w:color w:val="000000"/>
          <w:sz w:val="24"/>
          <w:szCs w:val="24"/>
        </w:rPr>
        <w:t xml:space="preserve">Se </w:t>
      </w:r>
      <w:r w:rsidRPr="006467F5">
        <w:rPr>
          <w:rFonts w:ascii="Palatino Linotype" w:eastAsia="Palatino Linotype" w:hAnsi="Palatino Linotype" w:cs="Palatino Linotype"/>
          <w:b/>
          <w:color w:val="000000"/>
          <w:sz w:val="24"/>
          <w:szCs w:val="24"/>
        </w:rPr>
        <w:t>SOBRESEE</w:t>
      </w:r>
      <w:r w:rsidRPr="006467F5">
        <w:rPr>
          <w:rFonts w:ascii="Palatino Linotype" w:eastAsia="Palatino Linotype" w:hAnsi="Palatino Linotype" w:cs="Palatino Linotype"/>
          <w:color w:val="000000"/>
          <w:sz w:val="24"/>
          <w:szCs w:val="24"/>
        </w:rPr>
        <w:t xml:space="preserve"> el Recurso de Revisión número </w:t>
      </w:r>
      <w:r w:rsidR="00B6591D" w:rsidRPr="006467F5">
        <w:rPr>
          <w:rFonts w:ascii="Palatino Linotype" w:eastAsia="Palatino Linotype" w:hAnsi="Palatino Linotype" w:cs="Palatino Linotype"/>
          <w:b/>
          <w:color w:val="000000"/>
          <w:sz w:val="24"/>
          <w:szCs w:val="24"/>
        </w:rPr>
        <w:t> 01598</w:t>
      </w:r>
      <w:r w:rsidRPr="006467F5">
        <w:rPr>
          <w:rFonts w:ascii="Palatino Linotype" w:eastAsia="Palatino Linotype" w:hAnsi="Palatino Linotype" w:cs="Palatino Linotype"/>
          <w:b/>
          <w:color w:val="000000"/>
          <w:sz w:val="24"/>
          <w:szCs w:val="24"/>
        </w:rPr>
        <w:t>/INFOEM/IP/RR/2024</w:t>
      </w:r>
      <w:r w:rsidRPr="006467F5">
        <w:rPr>
          <w:rFonts w:ascii="Palatino Linotype" w:eastAsia="Palatino Linotype" w:hAnsi="Palatino Linotype" w:cs="Palatino Linotype"/>
          <w:color w:val="000000"/>
          <w:sz w:val="24"/>
          <w:szCs w:val="24"/>
        </w:rPr>
        <w:t xml:space="preserve">, conforme al artículo 192 fracción III, porque </w:t>
      </w:r>
      <w:r w:rsidRPr="006467F5">
        <w:rPr>
          <w:rFonts w:ascii="Palatino Linotype" w:eastAsia="Palatino Linotype" w:hAnsi="Palatino Linotype" w:cs="Palatino Linotype"/>
          <w:color w:val="000000"/>
          <w:sz w:val="24"/>
          <w:szCs w:val="24"/>
        </w:rPr>
        <w:lastRenderedPageBreak/>
        <w:t xml:space="preserve">al modificar la respuesta el </w:t>
      </w:r>
      <w:r w:rsidRPr="006467F5">
        <w:rPr>
          <w:rFonts w:ascii="Palatino Linotype" w:eastAsia="Palatino Linotype" w:hAnsi="Palatino Linotype" w:cs="Palatino Linotype"/>
          <w:b/>
          <w:color w:val="000000"/>
          <w:sz w:val="24"/>
          <w:szCs w:val="24"/>
        </w:rPr>
        <w:t>SUJETO OBLIGADO</w:t>
      </w:r>
      <w:r w:rsidRPr="006467F5">
        <w:rPr>
          <w:rFonts w:ascii="Palatino Linotype" w:eastAsia="Palatino Linotype" w:hAnsi="Palatino Linotype" w:cs="Palatino Linotype"/>
          <w:color w:val="000000"/>
          <w:sz w:val="24"/>
          <w:szCs w:val="24"/>
        </w:rPr>
        <w:t xml:space="preserve">, el recurso de revisión quedó sin materia en términos del  Considerando </w:t>
      </w:r>
      <w:r w:rsidRPr="006467F5">
        <w:rPr>
          <w:rFonts w:ascii="Palatino Linotype" w:eastAsia="Palatino Linotype" w:hAnsi="Palatino Linotype" w:cs="Palatino Linotype"/>
          <w:b/>
          <w:color w:val="000000"/>
          <w:sz w:val="24"/>
          <w:szCs w:val="24"/>
        </w:rPr>
        <w:t>TERCERO</w:t>
      </w:r>
      <w:r w:rsidRPr="006467F5">
        <w:rPr>
          <w:rFonts w:ascii="Palatino Linotype" w:eastAsia="Palatino Linotype" w:hAnsi="Palatino Linotype" w:cs="Palatino Linotype"/>
          <w:color w:val="000000"/>
          <w:sz w:val="24"/>
          <w:szCs w:val="24"/>
        </w:rPr>
        <w:t xml:space="preserve"> de la presente resolución.</w:t>
      </w:r>
    </w:p>
    <w:p w14:paraId="230E1FF8" w14:textId="77777777" w:rsidR="00325611" w:rsidRPr="006467F5" w:rsidRDefault="00325611" w:rsidP="00B6591D">
      <w:pPr>
        <w:spacing w:line="360" w:lineRule="auto"/>
        <w:ind w:right="49"/>
        <w:jc w:val="both"/>
        <w:rPr>
          <w:rFonts w:ascii="Palatino Linotype" w:eastAsia="Palatino Linotype" w:hAnsi="Palatino Linotype" w:cs="Palatino Linotype"/>
          <w:b/>
          <w:sz w:val="24"/>
          <w:szCs w:val="24"/>
        </w:rPr>
      </w:pPr>
    </w:p>
    <w:p w14:paraId="6FED2450" w14:textId="77777777" w:rsidR="00325611" w:rsidRPr="006467F5" w:rsidRDefault="00325611" w:rsidP="00B6591D">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sz w:val="24"/>
          <w:szCs w:val="24"/>
        </w:rPr>
      </w:pPr>
      <w:bookmarkStart w:id="141" w:name="_heading=h.35nkun2" w:colFirst="0" w:colLast="0"/>
      <w:bookmarkEnd w:id="141"/>
      <w:r w:rsidRPr="006467F5">
        <w:rPr>
          <w:rFonts w:ascii="Palatino Linotype" w:eastAsia="Palatino Linotype" w:hAnsi="Palatino Linotype" w:cs="Palatino Linotype"/>
          <w:b/>
          <w:color w:val="000000"/>
          <w:sz w:val="24"/>
          <w:szCs w:val="24"/>
        </w:rPr>
        <w:t xml:space="preserve">SEGUNDO. Notifíquese </w:t>
      </w:r>
      <w:r w:rsidRPr="006467F5">
        <w:rPr>
          <w:rFonts w:ascii="Palatino Linotype" w:eastAsia="Palatino Linotype" w:hAnsi="Palatino Linotype" w:cs="Palatino Linotype"/>
          <w:color w:val="000000"/>
          <w:sz w:val="24"/>
          <w:szCs w:val="24"/>
        </w:rPr>
        <w:t xml:space="preserve">a través del Sistema de Acceso a la Información Mexiquense </w:t>
      </w:r>
      <w:r w:rsidRPr="006467F5">
        <w:rPr>
          <w:rFonts w:ascii="Palatino Linotype" w:eastAsia="Palatino Linotype" w:hAnsi="Palatino Linotype" w:cs="Palatino Linotype"/>
          <w:b/>
          <w:color w:val="000000"/>
          <w:sz w:val="24"/>
          <w:szCs w:val="24"/>
        </w:rPr>
        <w:t xml:space="preserve">(SAIMEX) </w:t>
      </w:r>
      <w:r w:rsidRPr="006467F5">
        <w:rPr>
          <w:rFonts w:ascii="Palatino Linotype" w:eastAsia="Palatino Linotype" w:hAnsi="Palatino Linotype" w:cs="Palatino Linotype"/>
          <w:color w:val="000000"/>
          <w:sz w:val="24"/>
          <w:szCs w:val="24"/>
        </w:rPr>
        <w:t>la presente resolución al Titular de la Unidad de Transparencia del</w:t>
      </w:r>
      <w:r w:rsidRPr="006467F5">
        <w:rPr>
          <w:rFonts w:ascii="Palatino Linotype" w:eastAsia="Palatino Linotype" w:hAnsi="Palatino Linotype" w:cs="Palatino Linotype"/>
          <w:b/>
          <w:color w:val="000000"/>
          <w:sz w:val="24"/>
          <w:szCs w:val="24"/>
        </w:rPr>
        <w:t xml:space="preserve"> SUJETO OBLIGADO. </w:t>
      </w:r>
    </w:p>
    <w:p w14:paraId="77970C3E" w14:textId="77777777" w:rsidR="00325611" w:rsidRPr="006467F5" w:rsidRDefault="00325611" w:rsidP="00B6591D">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sz w:val="24"/>
          <w:szCs w:val="24"/>
        </w:rPr>
      </w:pPr>
    </w:p>
    <w:p w14:paraId="78BD9809" w14:textId="77777777" w:rsidR="00325611" w:rsidRPr="006467F5" w:rsidRDefault="00325611" w:rsidP="00B6591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467F5">
        <w:rPr>
          <w:rFonts w:ascii="Palatino Linotype" w:eastAsia="Palatino Linotype" w:hAnsi="Palatino Linotype" w:cs="Palatino Linotype"/>
          <w:b/>
          <w:color w:val="000000"/>
          <w:sz w:val="24"/>
          <w:szCs w:val="24"/>
        </w:rPr>
        <w:t xml:space="preserve">TERCERO. Notifíquese </w:t>
      </w:r>
      <w:r w:rsidRPr="006467F5">
        <w:rPr>
          <w:rFonts w:ascii="Palatino Linotype" w:eastAsia="Palatino Linotype" w:hAnsi="Palatino Linotype" w:cs="Palatino Linotype"/>
          <w:color w:val="000000"/>
          <w:sz w:val="24"/>
          <w:szCs w:val="24"/>
        </w:rPr>
        <w:t xml:space="preserve">al </w:t>
      </w:r>
      <w:r w:rsidRPr="006467F5">
        <w:rPr>
          <w:rFonts w:ascii="Palatino Linotype" w:eastAsia="Palatino Linotype" w:hAnsi="Palatino Linotype" w:cs="Palatino Linotype"/>
          <w:b/>
          <w:color w:val="000000"/>
          <w:sz w:val="24"/>
          <w:szCs w:val="24"/>
        </w:rPr>
        <w:t xml:space="preserve">RECURRENTE </w:t>
      </w:r>
      <w:r w:rsidRPr="006467F5">
        <w:rPr>
          <w:rFonts w:ascii="Palatino Linotype" w:eastAsia="Palatino Linotype" w:hAnsi="Palatino Linotype" w:cs="Palatino Linotype"/>
          <w:color w:val="000000"/>
          <w:sz w:val="24"/>
          <w:szCs w:val="24"/>
        </w:rPr>
        <w:t>la presente resolución, vía SAIMEX.</w:t>
      </w:r>
    </w:p>
    <w:p w14:paraId="1C7E98AB" w14:textId="77777777" w:rsidR="00325611" w:rsidRPr="006467F5" w:rsidRDefault="00325611" w:rsidP="00B6591D">
      <w:pPr>
        <w:tabs>
          <w:tab w:val="left" w:pos="8080"/>
        </w:tabs>
        <w:spacing w:after="0" w:line="360" w:lineRule="auto"/>
        <w:ind w:right="49"/>
        <w:jc w:val="both"/>
        <w:rPr>
          <w:rFonts w:ascii="Palatino Linotype" w:eastAsia="Palatino Linotype" w:hAnsi="Palatino Linotype" w:cs="Palatino Linotype"/>
          <w:b/>
          <w:sz w:val="24"/>
          <w:szCs w:val="24"/>
        </w:rPr>
      </w:pPr>
    </w:p>
    <w:p w14:paraId="3FB3944A" w14:textId="77777777" w:rsidR="00325611" w:rsidRPr="006467F5" w:rsidRDefault="00325611" w:rsidP="00B6591D">
      <w:pPr>
        <w:shd w:val="clear" w:color="auto" w:fill="FFFFFF"/>
        <w:spacing w:line="360" w:lineRule="auto"/>
        <w:ind w:right="49"/>
        <w:jc w:val="both"/>
        <w:rPr>
          <w:rFonts w:ascii="Palatino Linotype" w:eastAsia="Palatino Linotype" w:hAnsi="Palatino Linotype" w:cs="Palatino Linotype"/>
          <w:sz w:val="24"/>
          <w:szCs w:val="24"/>
        </w:rPr>
      </w:pPr>
      <w:r w:rsidRPr="006467F5">
        <w:rPr>
          <w:rFonts w:ascii="Palatino Linotype" w:eastAsia="Palatino Linotype" w:hAnsi="Palatino Linotype" w:cs="Palatino Linotype"/>
          <w:b/>
          <w:sz w:val="24"/>
          <w:szCs w:val="24"/>
        </w:rPr>
        <w:t>CUARTO.</w:t>
      </w:r>
      <w:r w:rsidRPr="006467F5">
        <w:rPr>
          <w:rFonts w:ascii="Palatino Linotype" w:eastAsia="Palatino Linotype" w:hAnsi="Palatino Linotype" w:cs="Palatino Linotype"/>
          <w:sz w:val="24"/>
          <w:szCs w:val="24"/>
        </w:rPr>
        <w:t xml:space="preserve"> Se hace del conocimiento del </w:t>
      </w:r>
      <w:r w:rsidRPr="006467F5">
        <w:rPr>
          <w:rFonts w:ascii="Palatino Linotype" w:eastAsia="Palatino Linotype" w:hAnsi="Palatino Linotype" w:cs="Palatino Linotype"/>
          <w:b/>
          <w:sz w:val="24"/>
          <w:szCs w:val="24"/>
        </w:rPr>
        <w:t xml:space="preserve">RECURRENTE </w:t>
      </w:r>
      <w:r w:rsidRPr="006467F5">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557B32F" w14:textId="77777777" w:rsidR="003D1893" w:rsidRPr="003C7186" w:rsidRDefault="003D1893" w:rsidP="003D1893">
      <w:pPr>
        <w:spacing w:line="360" w:lineRule="auto"/>
        <w:ind w:left="-142" w:right="-234" w:firstLine="1"/>
        <w:jc w:val="both"/>
        <w:rPr>
          <w:rFonts w:ascii="Palatino Linotype" w:hAnsi="Palatino Linotype"/>
        </w:rPr>
      </w:pPr>
      <w:r w:rsidRPr="006467F5">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r w:rsidRPr="003C7186">
        <w:rPr>
          <w:rFonts w:ascii="Palatino Linotype" w:hAnsi="Palatino Linotype"/>
        </w:rPr>
        <w:t xml:space="preserve"> </w:t>
      </w:r>
    </w:p>
    <w:p w14:paraId="5C6746F1" w14:textId="77777777" w:rsidR="00791C1A" w:rsidRPr="006E3D2B" w:rsidRDefault="00791C1A" w:rsidP="00791C1A">
      <w:pPr>
        <w:spacing w:line="360" w:lineRule="auto"/>
        <w:jc w:val="both"/>
        <w:rPr>
          <w:rFonts w:ascii="Palatino Linotype" w:hAnsi="Palatino Linotype"/>
          <w:sz w:val="24"/>
          <w:szCs w:val="24"/>
        </w:rPr>
      </w:pPr>
    </w:p>
    <w:p w14:paraId="011964F2" w14:textId="77777777" w:rsidR="00791C1A" w:rsidRPr="006E3D2B" w:rsidRDefault="00791C1A" w:rsidP="00791C1A">
      <w:pPr>
        <w:spacing w:line="360" w:lineRule="auto"/>
        <w:jc w:val="both"/>
        <w:rPr>
          <w:rFonts w:ascii="Palatino Linotype" w:hAnsi="Palatino Linotype"/>
          <w:sz w:val="24"/>
          <w:szCs w:val="24"/>
        </w:rPr>
      </w:pPr>
    </w:p>
    <w:p w14:paraId="46423FC7" w14:textId="77777777" w:rsidR="00791C1A" w:rsidRPr="006E3D2B" w:rsidRDefault="00791C1A" w:rsidP="00791C1A">
      <w:pPr>
        <w:spacing w:line="360" w:lineRule="auto"/>
        <w:rPr>
          <w:rFonts w:ascii="Palatino Linotype" w:hAnsi="Palatino Linotype"/>
          <w:sz w:val="24"/>
          <w:szCs w:val="24"/>
        </w:rPr>
      </w:pPr>
    </w:p>
    <w:p w14:paraId="7695810B" w14:textId="77777777" w:rsidR="00791C1A" w:rsidRPr="006E3D2B" w:rsidRDefault="00791C1A" w:rsidP="00791C1A">
      <w:pPr>
        <w:spacing w:line="360" w:lineRule="auto"/>
        <w:rPr>
          <w:rFonts w:ascii="Palatino Linotype" w:hAnsi="Palatino Linotype"/>
          <w:sz w:val="24"/>
          <w:szCs w:val="24"/>
        </w:rPr>
      </w:pPr>
    </w:p>
    <w:p w14:paraId="608480CD" w14:textId="77777777" w:rsidR="00791C1A" w:rsidRPr="006E3D2B" w:rsidRDefault="00791C1A" w:rsidP="00791C1A">
      <w:pPr>
        <w:spacing w:line="360" w:lineRule="auto"/>
        <w:rPr>
          <w:rFonts w:ascii="Palatino Linotype" w:hAnsi="Palatino Linotype"/>
          <w:sz w:val="24"/>
          <w:szCs w:val="24"/>
        </w:rPr>
      </w:pPr>
    </w:p>
    <w:p w14:paraId="564E1169" w14:textId="77777777" w:rsidR="00791C1A" w:rsidRPr="006E3D2B" w:rsidRDefault="00791C1A" w:rsidP="00791C1A">
      <w:pPr>
        <w:spacing w:line="360" w:lineRule="auto"/>
        <w:rPr>
          <w:rFonts w:ascii="Palatino Linotype" w:hAnsi="Palatino Linotype"/>
          <w:sz w:val="24"/>
          <w:szCs w:val="24"/>
        </w:rPr>
      </w:pPr>
    </w:p>
    <w:p w14:paraId="0BFEDA4A" w14:textId="77777777" w:rsidR="00791C1A" w:rsidRPr="006E3D2B" w:rsidRDefault="00791C1A" w:rsidP="00791C1A">
      <w:pPr>
        <w:spacing w:line="360" w:lineRule="auto"/>
        <w:rPr>
          <w:rFonts w:ascii="Palatino Linotype" w:hAnsi="Palatino Linotype"/>
          <w:sz w:val="24"/>
          <w:szCs w:val="24"/>
        </w:rPr>
      </w:pPr>
    </w:p>
    <w:p w14:paraId="4B0906FF" w14:textId="77777777" w:rsidR="00791C1A" w:rsidRPr="006E3D2B" w:rsidRDefault="00791C1A" w:rsidP="00791C1A">
      <w:pPr>
        <w:spacing w:line="360" w:lineRule="auto"/>
        <w:rPr>
          <w:rFonts w:ascii="Palatino Linotype" w:hAnsi="Palatino Linotype"/>
          <w:sz w:val="24"/>
          <w:szCs w:val="24"/>
        </w:rPr>
      </w:pPr>
    </w:p>
    <w:p w14:paraId="345E54BB" w14:textId="77777777" w:rsidR="00791C1A" w:rsidRPr="006E3D2B" w:rsidRDefault="00791C1A" w:rsidP="00791C1A">
      <w:pPr>
        <w:spacing w:line="360" w:lineRule="auto"/>
        <w:rPr>
          <w:rFonts w:ascii="Palatino Linotype" w:hAnsi="Palatino Linotype"/>
          <w:sz w:val="24"/>
          <w:szCs w:val="24"/>
        </w:rPr>
      </w:pPr>
    </w:p>
    <w:p w14:paraId="21E55996" w14:textId="77777777" w:rsidR="00791C1A" w:rsidRPr="006E3D2B" w:rsidRDefault="00791C1A" w:rsidP="00791C1A">
      <w:pPr>
        <w:tabs>
          <w:tab w:val="left" w:pos="3374"/>
        </w:tabs>
        <w:spacing w:line="360" w:lineRule="auto"/>
        <w:rPr>
          <w:rFonts w:ascii="Palatino Linotype" w:hAnsi="Palatino Linotype"/>
          <w:sz w:val="24"/>
          <w:szCs w:val="24"/>
        </w:rPr>
      </w:pPr>
      <w:r w:rsidRPr="006E3D2B">
        <w:rPr>
          <w:rFonts w:ascii="Palatino Linotype" w:hAnsi="Palatino Linotype"/>
          <w:sz w:val="24"/>
          <w:szCs w:val="24"/>
        </w:rPr>
        <w:tab/>
      </w:r>
    </w:p>
    <w:p w14:paraId="76AA8630" w14:textId="77777777" w:rsidR="00791C1A" w:rsidRPr="006E3D2B" w:rsidRDefault="00791C1A" w:rsidP="00791C1A">
      <w:pPr>
        <w:tabs>
          <w:tab w:val="left" w:pos="3374"/>
        </w:tabs>
        <w:spacing w:line="360" w:lineRule="auto"/>
        <w:rPr>
          <w:rFonts w:ascii="Palatino Linotype" w:hAnsi="Palatino Linotype"/>
          <w:sz w:val="24"/>
          <w:szCs w:val="24"/>
        </w:rPr>
      </w:pPr>
    </w:p>
    <w:p w14:paraId="06EAD035" w14:textId="77777777" w:rsidR="00791C1A" w:rsidRPr="006E3D2B" w:rsidRDefault="00791C1A" w:rsidP="00791C1A">
      <w:pPr>
        <w:tabs>
          <w:tab w:val="left" w:pos="3374"/>
        </w:tabs>
        <w:spacing w:line="360" w:lineRule="auto"/>
        <w:rPr>
          <w:rFonts w:ascii="Palatino Linotype" w:hAnsi="Palatino Linotype"/>
          <w:sz w:val="24"/>
          <w:szCs w:val="24"/>
        </w:rPr>
      </w:pPr>
    </w:p>
    <w:p w14:paraId="794242F6" w14:textId="77777777" w:rsidR="00791C1A" w:rsidRPr="006E3D2B" w:rsidRDefault="00791C1A" w:rsidP="00791C1A">
      <w:pPr>
        <w:tabs>
          <w:tab w:val="left" w:pos="3374"/>
        </w:tabs>
        <w:spacing w:line="360" w:lineRule="auto"/>
        <w:rPr>
          <w:rFonts w:ascii="Palatino Linotype" w:hAnsi="Palatino Linotype"/>
          <w:sz w:val="24"/>
          <w:szCs w:val="24"/>
        </w:rPr>
      </w:pPr>
    </w:p>
    <w:p w14:paraId="7E0FE308" w14:textId="77777777" w:rsidR="00791C1A" w:rsidRPr="006E3D2B" w:rsidRDefault="00791C1A" w:rsidP="00791C1A">
      <w:pPr>
        <w:tabs>
          <w:tab w:val="left" w:pos="3374"/>
        </w:tabs>
        <w:spacing w:line="360" w:lineRule="auto"/>
        <w:rPr>
          <w:rFonts w:ascii="Palatino Linotype" w:hAnsi="Palatino Linotype"/>
          <w:sz w:val="24"/>
          <w:szCs w:val="24"/>
        </w:rPr>
      </w:pPr>
    </w:p>
    <w:p w14:paraId="428599ED" w14:textId="77777777" w:rsidR="00791C1A" w:rsidRPr="006E3D2B" w:rsidRDefault="00791C1A" w:rsidP="00791C1A">
      <w:pPr>
        <w:tabs>
          <w:tab w:val="left" w:pos="3374"/>
        </w:tabs>
        <w:spacing w:line="360" w:lineRule="auto"/>
        <w:rPr>
          <w:rFonts w:ascii="Palatino Linotype" w:hAnsi="Palatino Linotype"/>
          <w:sz w:val="24"/>
          <w:szCs w:val="24"/>
        </w:rPr>
      </w:pPr>
    </w:p>
    <w:p w14:paraId="1A6EE1DB" w14:textId="77777777" w:rsidR="00791C1A" w:rsidRPr="006E3D2B" w:rsidRDefault="00791C1A" w:rsidP="00791C1A">
      <w:pPr>
        <w:tabs>
          <w:tab w:val="left" w:pos="3374"/>
        </w:tabs>
        <w:spacing w:line="360" w:lineRule="auto"/>
        <w:rPr>
          <w:rFonts w:ascii="Palatino Linotype" w:hAnsi="Palatino Linotype"/>
          <w:sz w:val="24"/>
          <w:szCs w:val="24"/>
        </w:rPr>
      </w:pPr>
    </w:p>
    <w:p w14:paraId="2ADB5059" w14:textId="77777777" w:rsidR="00791C1A" w:rsidRPr="006E3D2B" w:rsidRDefault="00791C1A" w:rsidP="00791C1A">
      <w:pPr>
        <w:tabs>
          <w:tab w:val="left" w:pos="3374"/>
        </w:tabs>
        <w:spacing w:line="360" w:lineRule="auto"/>
        <w:rPr>
          <w:rFonts w:ascii="Palatino Linotype" w:hAnsi="Palatino Linotype"/>
          <w:sz w:val="24"/>
          <w:szCs w:val="24"/>
        </w:rPr>
      </w:pPr>
    </w:p>
    <w:p w14:paraId="3AA62C3E" w14:textId="77777777" w:rsidR="00791C1A" w:rsidRPr="006E3D2B" w:rsidRDefault="00791C1A" w:rsidP="00791C1A">
      <w:pPr>
        <w:tabs>
          <w:tab w:val="left" w:pos="3374"/>
        </w:tabs>
        <w:spacing w:line="360" w:lineRule="auto"/>
        <w:rPr>
          <w:rFonts w:ascii="Palatino Linotype" w:hAnsi="Palatino Linotype"/>
          <w:sz w:val="24"/>
          <w:szCs w:val="24"/>
        </w:rPr>
      </w:pPr>
    </w:p>
    <w:p w14:paraId="13FC0C0F" w14:textId="77777777" w:rsidR="00791C1A" w:rsidRPr="006E3D2B" w:rsidRDefault="00791C1A" w:rsidP="00791C1A">
      <w:pPr>
        <w:tabs>
          <w:tab w:val="left" w:pos="3374"/>
        </w:tabs>
        <w:spacing w:line="360" w:lineRule="auto"/>
        <w:rPr>
          <w:rFonts w:ascii="Palatino Linotype" w:hAnsi="Palatino Linotype"/>
          <w:sz w:val="24"/>
          <w:szCs w:val="24"/>
        </w:rPr>
      </w:pPr>
    </w:p>
    <w:p w14:paraId="47676481" w14:textId="77777777" w:rsidR="00135F97" w:rsidRPr="006E3D2B" w:rsidRDefault="00135F97">
      <w:pPr>
        <w:rPr>
          <w:rFonts w:ascii="Palatino Linotype" w:hAnsi="Palatino Linotype"/>
          <w:sz w:val="24"/>
          <w:szCs w:val="24"/>
        </w:rPr>
      </w:pPr>
    </w:p>
    <w:sectPr w:rsidR="00135F97" w:rsidRPr="006E3D2B" w:rsidSect="00C47343">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6AD07" w14:textId="77777777" w:rsidR="00BC6B83" w:rsidRDefault="00BC6B83" w:rsidP="00791C1A">
      <w:pPr>
        <w:spacing w:after="0" w:line="240" w:lineRule="auto"/>
      </w:pPr>
      <w:r>
        <w:separator/>
      </w:r>
    </w:p>
  </w:endnote>
  <w:endnote w:type="continuationSeparator" w:id="0">
    <w:p w14:paraId="14752CD0" w14:textId="77777777" w:rsidR="00BC6B83" w:rsidRDefault="00BC6B83"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433E8E7" w14:textId="77777777" w:rsidR="00114D23" w:rsidRPr="002D6DD8" w:rsidRDefault="00114D23"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67F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467F5">
              <w:rPr>
                <w:rFonts w:ascii="Palatino Linotype" w:hAnsi="Palatino Linotype"/>
                <w:bCs/>
                <w:noProof/>
                <w:sz w:val="20"/>
              </w:rPr>
              <w:t>28</w:t>
            </w:r>
            <w:r>
              <w:rPr>
                <w:rFonts w:ascii="Palatino Linotype" w:hAnsi="Palatino Linotype"/>
                <w:bCs/>
                <w:noProof/>
                <w:sz w:val="20"/>
              </w:rPr>
              <w:fldChar w:fldCharType="end"/>
            </w:r>
          </w:p>
        </w:sdtContent>
      </w:sdt>
    </w:sdtContent>
  </w:sdt>
  <w:p w14:paraId="767AB783" w14:textId="77777777" w:rsidR="00114D23" w:rsidRDefault="00114D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3EC0" w14:textId="77777777" w:rsidR="00114D23" w:rsidRPr="000B69FA" w:rsidRDefault="00114D23"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67F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467F5">
      <w:rPr>
        <w:rFonts w:ascii="Palatino Linotype" w:hAnsi="Palatino Linotype"/>
        <w:bCs/>
        <w:noProof/>
        <w:sz w:val="20"/>
      </w:rPr>
      <w:t>28</w:t>
    </w:r>
    <w:r>
      <w:rPr>
        <w:rFonts w:ascii="Palatino Linotype" w:hAnsi="Palatino Linotype"/>
        <w:bCs/>
        <w:noProof/>
        <w:sz w:val="20"/>
      </w:rPr>
      <w:fldChar w:fldCharType="end"/>
    </w:r>
  </w:p>
  <w:p w14:paraId="6F791254" w14:textId="77777777" w:rsidR="00114D23" w:rsidRDefault="00114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DCC86" w14:textId="77777777" w:rsidR="00BC6B83" w:rsidRDefault="00BC6B83" w:rsidP="00791C1A">
      <w:pPr>
        <w:spacing w:after="0" w:line="240" w:lineRule="auto"/>
      </w:pPr>
      <w:r>
        <w:separator/>
      </w:r>
    </w:p>
  </w:footnote>
  <w:footnote w:type="continuationSeparator" w:id="0">
    <w:p w14:paraId="33D7548A" w14:textId="77777777" w:rsidR="00BC6B83" w:rsidRDefault="00BC6B83" w:rsidP="00791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516C" w14:textId="77777777" w:rsidR="00114D23" w:rsidRDefault="00BC6B83">
    <w:pPr>
      <w:pStyle w:val="Encabezado"/>
    </w:pPr>
    <w:r>
      <w:rPr>
        <w:noProof/>
        <w:lang w:eastAsia="es-MX"/>
      </w:rPr>
      <w:pict w14:anchorId="68C44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114D23" w14:paraId="2F024B43" w14:textId="77777777" w:rsidTr="00C47343">
      <w:trPr>
        <w:trHeight w:val="227"/>
      </w:trPr>
      <w:tc>
        <w:tcPr>
          <w:tcW w:w="2976" w:type="dxa"/>
          <w:vAlign w:val="center"/>
          <w:hideMark/>
        </w:tcPr>
        <w:p w14:paraId="305A970F" w14:textId="77777777" w:rsidR="00114D23" w:rsidRPr="00674A46" w:rsidRDefault="00114D23"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14:paraId="1E61F50A" w14:textId="77777777" w:rsidR="00114D23" w:rsidRPr="00485ED8" w:rsidRDefault="00114D23" w:rsidP="00FA172A">
          <w:pPr>
            <w:pStyle w:val="Encabezado"/>
            <w:rPr>
              <w:rFonts w:ascii="Palatino Linotype" w:hAnsi="Palatino Linotype"/>
              <w:b/>
              <w:sz w:val="22"/>
              <w:szCs w:val="22"/>
            </w:rPr>
          </w:pPr>
          <w:r w:rsidRPr="001E2EE2">
            <w:rPr>
              <w:rFonts w:ascii="Palatino Linotype" w:hAnsi="Palatino Linotype" w:cs="Arial"/>
              <w:b/>
              <w:bCs/>
              <w:sz w:val="22"/>
              <w:szCs w:val="22"/>
              <w:lang w:val="es-MX" w:eastAsia="es-MX"/>
            </w:rPr>
            <w:t> </w:t>
          </w:r>
          <w:r>
            <w:rPr>
              <w:rFonts w:ascii="Palatino Linotype" w:hAnsi="Palatino Linotype" w:cs="Arial"/>
              <w:b/>
              <w:bCs/>
              <w:sz w:val="22"/>
              <w:szCs w:val="22"/>
              <w:lang w:val="es-MX" w:eastAsia="es-MX"/>
            </w:rPr>
            <w:t>0159</w:t>
          </w:r>
          <w:r w:rsidRPr="00537B98">
            <w:rPr>
              <w:rFonts w:ascii="Palatino Linotype" w:hAnsi="Palatino Linotype" w:cs="Arial"/>
              <w:b/>
              <w:bCs/>
              <w:sz w:val="22"/>
              <w:szCs w:val="22"/>
              <w:lang w:val="es-MX" w:eastAsia="es-MX"/>
            </w:rPr>
            <w:t>8/INFOEM/IP/RR/2024</w:t>
          </w:r>
        </w:p>
      </w:tc>
    </w:tr>
    <w:tr w:rsidR="00114D23" w14:paraId="381EEECD" w14:textId="77777777" w:rsidTr="00C47343">
      <w:trPr>
        <w:trHeight w:val="242"/>
      </w:trPr>
      <w:tc>
        <w:tcPr>
          <w:tcW w:w="2976" w:type="dxa"/>
          <w:vAlign w:val="center"/>
          <w:hideMark/>
        </w:tcPr>
        <w:p w14:paraId="060E1FE3" w14:textId="77777777" w:rsidR="00114D23" w:rsidRPr="00674A46" w:rsidRDefault="00114D23"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14:paraId="66E9F312" w14:textId="77777777" w:rsidR="00114D23" w:rsidRPr="00485ED8" w:rsidRDefault="00114D23" w:rsidP="00FA172A">
          <w:pPr>
            <w:pStyle w:val="Encabezado"/>
            <w:jc w:val="both"/>
            <w:rPr>
              <w:rFonts w:ascii="Palatino Linotype" w:hAnsi="Palatino Linotype"/>
              <w:b/>
              <w:sz w:val="22"/>
              <w:szCs w:val="22"/>
            </w:rPr>
          </w:pPr>
          <w:r w:rsidRPr="00E4577A">
            <w:rPr>
              <w:rFonts w:ascii="Palatino Linotype" w:hAnsi="Palatino Linotype"/>
              <w:b/>
              <w:bCs/>
              <w:color w:val="000000"/>
              <w:sz w:val="22"/>
              <w:szCs w:val="22"/>
              <w:lang w:val="es-MX"/>
            </w:rPr>
            <w:t>Ayuntamiento de Tlalnepantla de Baz</w:t>
          </w:r>
        </w:p>
      </w:tc>
    </w:tr>
    <w:tr w:rsidR="00114D23" w14:paraId="7FF8CEB4" w14:textId="77777777" w:rsidTr="00C47343">
      <w:trPr>
        <w:trHeight w:val="342"/>
      </w:trPr>
      <w:tc>
        <w:tcPr>
          <w:tcW w:w="2976" w:type="dxa"/>
          <w:vAlign w:val="center"/>
          <w:hideMark/>
        </w:tcPr>
        <w:p w14:paraId="15BC1294" w14:textId="77777777" w:rsidR="00114D23" w:rsidRPr="00674A46" w:rsidRDefault="00114D23"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14:paraId="6B218504" w14:textId="77777777" w:rsidR="00114D23" w:rsidRPr="00485ED8" w:rsidRDefault="00114D23"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071ED118" w14:textId="77777777" w:rsidR="00114D23" w:rsidRPr="00AE046A" w:rsidRDefault="00BC6B83" w:rsidP="00C47343">
    <w:pPr>
      <w:pStyle w:val="Encabezado"/>
      <w:tabs>
        <w:tab w:val="clear" w:pos="4419"/>
        <w:tab w:val="clear" w:pos="8838"/>
        <w:tab w:val="left" w:pos="6005"/>
      </w:tabs>
      <w:rPr>
        <w:sz w:val="14"/>
      </w:rPr>
    </w:pPr>
    <w:r>
      <w:rPr>
        <w:noProof/>
        <w:sz w:val="14"/>
        <w:lang w:eastAsia="es-MX"/>
      </w:rPr>
      <w:pict w14:anchorId="4D89F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114D23" w14:paraId="6DD55FA3" w14:textId="77777777" w:rsidTr="00C47343">
      <w:trPr>
        <w:trHeight w:val="227"/>
      </w:trPr>
      <w:tc>
        <w:tcPr>
          <w:tcW w:w="2977" w:type="dxa"/>
          <w:vAlign w:val="center"/>
          <w:hideMark/>
        </w:tcPr>
        <w:p w14:paraId="7543D638" w14:textId="77777777" w:rsidR="00114D23" w:rsidRPr="00674A46" w:rsidRDefault="00114D23"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14:paraId="467E1416" w14:textId="77777777" w:rsidR="00114D23" w:rsidRPr="00485ED8" w:rsidRDefault="00114D23" w:rsidP="00FA172A">
          <w:pPr>
            <w:pStyle w:val="Encabezado"/>
            <w:spacing w:line="276" w:lineRule="auto"/>
            <w:rPr>
              <w:rFonts w:ascii="Palatino Linotype" w:hAnsi="Palatino Linotype"/>
              <w:b/>
              <w:sz w:val="22"/>
              <w:szCs w:val="22"/>
            </w:rPr>
          </w:pPr>
          <w:r w:rsidRPr="001E2EE2">
            <w:rPr>
              <w:rFonts w:ascii="Palatino Linotype" w:hAnsi="Palatino Linotype" w:cs="Arial"/>
              <w:b/>
              <w:bCs/>
              <w:sz w:val="22"/>
              <w:szCs w:val="22"/>
              <w:lang w:val="es-MX" w:eastAsia="es-MX"/>
            </w:rPr>
            <w:t> </w:t>
          </w:r>
          <w:r>
            <w:rPr>
              <w:rFonts w:ascii="Palatino Linotype" w:hAnsi="Palatino Linotype" w:cs="Arial"/>
              <w:b/>
              <w:bCs/>
              <w:sz w:val="22"/>
              <w:szCs w:val="22"/>
              <w:lang w:val="es-MX" w:eastAsia="es-MX"/>
            </w:rPr>
            <w:t>01598</w:t>
          </w:r>
          <w:r w:rsidRPr="00537B98">
            <w:rPr>
              <w:rFonts w:ascii="Palatino Linotype" w:hAnsi="Palatino Linotype" w:cs="Arial"/>
              <w:b/>
              <w:bCs/>
              <w:sz w:val="22"/>
              <w:szCs w:val="22"/>
              <w:lang w:val="es-MX" w:eastAsia="es-MX"/>
            </w:rPr>
            <w:t>/INFOEM/IP/RR/2024</w:t>
          </w:r>
        </w:p>
      </w:tc>
    </w:tr>
    <w:tr w:rsidR="00114D23" w14:paraId="2C10D8ED" w14:textId="77777777" w:rsidTr="00C47343">
      <w:trPr>
        <w:trHeight w:val="242"/>
      </w:trPr>
      <w:tc>
        <w:tcPr>
          <w:tcW w:w="2977" w:type="dxa"/>
          <w:vAlign w:val="center"/>
          <w:hideMark/>
        </w:tcPr>
        <w:p w14:paraId="2DC2F3A4" w14:textId="77777777" w:rsidR="00114D23" w:rsidRPr="00674A46" w:rsidRDefault="00114D23"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14:paraId="2B09A522" w14:textId="26E27594" w:rsidR="00114D23" w:rsidRPr="00B75F20" w:rsidRDefault="006467F5" w:rsidP="00537B98">
          <w:pPr>
            <w:pStyle w:val="Encabezado"/>
            <w:tabs>
              <w:tab w:val="left" w:pos="521"/>
            </w:tabs>
            <w:spacing w:line="276" w:lineRule="auto"/>
            <w:rPr>
              <w:rFonts w:ascii="Palatino Linotype" w:hAnsi="Palatino Linotype"/>
              <w:b/>
              <w:sz w:val="22"/>
              <w:szCs w:val="22"/>
            </w:rPr>
          </w:pPr>
          <w:r>
            <w:rPr>
              <w:rFonts w:ascii="Palatino Linotype" w:hAnsi="Palatino Linotype"/>
              <w:b/>
              <w:bCs/>
              <w:sz w:val="22"/>
              <w:szCs w:val="22"/>
              <w:lang w:val="es-MX"/>
            </w:rPr>
            <w:t>XXXXXXXXX</w:t>
          </w:r>
        </w:p>
      </w:tc>
    </w:tr>
    <w:tr w:rsidR="00114D23" w14:paraId="2D8C07C8" w14:textId="77777777" w:rsidTr="00C47343">
      <w:trPr>
        <w:trHeight w:val="342"/>
      </w:trPr>
      <w:tc>
        <w:tcPr>
          <w:tcW w:w="2977" w:type="dxa"/>
          <w:vAlign w:val="center"/>
        </w:tcPr>
        <w:p w14:paraId="1D5ED231" w14:textId="77777777" w:rsidR="00114D23" w:rsidRPr="00674A46" w:rsidRDefault="00114D23"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14:paraId="59B27053" w14:textId="77777777" w:rsidR="00114D23" w:rsidRPr="00674A46" w:rsidRDefault="00114D23" w:rsidP="00FA172A">
          <w:pPr>
            <w:pStyle w:val="Encabezado"/>
            <w:spacing w:line="276" w:lineRule="auto"/>
            <w:jc w:val="both"/>
            <w:rPr>
              <w:rFonts w:ascii="Palatino Linotype" w:hAnsi="Palatino Linotype"/>
              <w:b/>
              <w:sz w:val="22"/>
              <w:szCs w:val="22"/>
            </w:rPr>
          </w:pPr>
          <w:r w:rsidRPr="00E4577A">
            <w:rPr>
              <w:rFonts w:ascii="Palatino Linotype" w:hAnsi="Palatino Linotype"/>
              <w:b/>
              <w:bCs/>
              <w:color w:val="000000"/>
              <w:sz w:val="22"/>
              <w:szCs w:val="22"/>
              <w:lang w:val="es-MX"/>
            </w:rPr>
            <w:t>Ayuntamiento de Tlalnepantla de Baz</w:t>
          </w:r>
        </w:p>
      </w:tc>
    </w:tr>
    <w:tr w:rsidR="00114D23" w14:paraId="686B32F1" w14:textId="77777777" w:rsidTr="00C47343">
      <w:trPr>
        <w:trHeight w:val="342"/>
      </w:trPr>
      <w:tc>
        <w:tcPr>
          <w:tcW w:w="2977" w:type="dxa"/>
          <w:vAlign w:val="center"/>
        </w:tcPr>
        <w:p w14:paraId="70133F26" w14:textId="77777777" w:rsidR="00114D23" w:rsidRPr="00674A46" w:rsidRDefault="00114D23"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14:paraId="2D6A7730" w14:textId="77777777" w:rsidR="00114D23" w:rsidRPr="00674A46" w:rsidRDefault="00114D23"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38E44D4" w14:textId="77777777" w:rsidR="00114D23" w:rsidRPr="00C222C0" w:rsidRDefault="00BC6B83">
    <w:pPr>
      <w:pStyle w:val="Encabezado"/>
      <w:rPr>
        <w:sz w:val="16"/>
      </w:rPr>
    </w:pPr>
    <w:r>
      <w:rPr>
        <w:noProof/>
        <w:sz w:val="16"/>
        <w:lang w:eastAsia="es-MX"/>
      </w:rPr>
      <w:pict w14:anchorId="4063C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D5B09"/>
    <w:multiLevelType w:val="multilevel"/>
    <w:tmpl w:val="60BEC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A64EC"/>
    <w:multiLevelType w:val="multilevel"/>
    <w:tmpl w:val="0080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A6C75"/>
    <w:multiLevelType w:val="hybridMultilevel"/>
    <w:tmpl w:val="BFC2E948"/>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440631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0A7D9C"/>
    <w:multiLevelType w:val="multilevel"/>
    <w:tmpl w:val="2C54FC7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1BF82721"/>
    <w:multiLevelType w:val="multilevel"/>
    <w:tmpl w:val="A118929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23FE1153"/>
    <w:multiLevelType w:val="multilevel"/>
    <w:tmpl w:val="9D460D4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8" w15:restartNumberingAfterBreak="0">
    <w:nsid w:val="25D63966"/>
    <w:multiLevelType w:val="multilevel"/>
    <w:tmpl w:val="9F364E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4F76FC"/>
    <w:multiLevelType w:val="multilevel"/>
    <w:tmpl w:val="D86E86E0"/>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0" w15:restartNumberingAfterBreak="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4"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C3163B"/>
    <w:multiLevelType w:val="multilevel"/>
    <w:tmpl w:val="FB6AC6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9A3C11"/>
    <w:multiLevelType w:val="hybridMultilevel"/>
    <w:tmpl w:val="C706B29A"/>
    <w:lvl w:ilvl="0" w:tplc="567C523A">
      <w:start w:val="12"/>
      <w:numFmt w:val="decimal"/>
      <w:lvlText w:val="%1."/>
      <w:lvlJc w:val="left"/>
      <w:pPr>
        <w:ind w:left="3054" w:hanging="360"/>
      </w:pPr>
      <w:rPr>
        <w:rFonts w:hint="default"/>
        <w:b w:val="0"/>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7" w15:restartNumberingAfterBreak="0">
    <w:nsid w:val="527B764F"/>
    <w:multiLevelType w:val="multilevel"/>
    <w:tmpl w:val="0134A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A61BDA"/>
    <w:multiLevelType w:val="multilevel"/>
    <w:tmpl w:val="862EF8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F1B34"/>
    <w:multiLevelType w:val="hybridMultilevel"/>
    <w:tmpl w:val="233E74E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1" w15:restartNumberingAfterBreak="0">
    <w:nsid w:val="59927477"/>
    <w:multiLevelType w:val="multilevel"/>
    <w:tmpl w:val="8B801E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28" w15:restartNumberingAfterBreak="0">
    <w:nsid w:val="6B3E7580"/>
    <w:multiLevelType w:val="hybridMultilevel"/>
    <w:tmpl w:val="30988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30" w15:restartNumberingAfterBreak="0">
    <w:nsid w:val="721E457D"/>
    <w:multiLevelType w:val="multilevel"/>
    <w:tmpl w:val="04C661B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1D51C5"/>
    <w:multiLevelType w:val="hybridMultilevel"/>
    <w:tmpl w:val="6C882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701362"/>
    <w:multiLevelType w:val="hybridMultilevel"/>
    <w:tmpl w:val="B360FC2A"/>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D05162"/>
    <w:multiLevelType w:val="multilevel"/>
    <w:tmpl w:val="DBC23A0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AF3DB4"/>
    <w:multiLevelType w:val="hybridMultilevel"/>
    <w:tmpl w:val="FEB06282"/>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5" w15:restartNumberingAfterBreak="0">
    <w:nsid w:val="7C1D2FC1"/>
    <w:multiLevelType w:val="multilevel"/>
    <w:tmpl w:val="7046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2"/>
  </w:num>
  <w:num w:numId="2">
    <w:abstractNumId w:val="34"/>
  </w:num>
  <w:num w:numId="3">
    <w:abstractNumId w:val="36"/>
  </w:num>
  <w:num w:numId="4">
    <w:abstractNumId w:val="20"/>
  </w:num>
  <w:num w:numId="5">
    <w:abstractNumId w:val="25"/>
  </w:num>
  <w:num w:numId="6">
    <w:abstractNumId w:val="13"/>
  </w:num>
  <w:num w:numId="7">
    <w:abstractNumId w:val="14"/>
  </w:num>
  <w:num w:numId="8">
    <w:abstractNumId w:val="23"/>
  </w:num>
  <w:num w:numId="9">
    <w:abstractNumId w:val="18"/>
  </w:num>
  <w:num w:numId="10">
    <w:abstractNumId w:val="16"/>
  </w:num>
  <w:num w:numId="11">
    <w:abstractNumId w:val="27"/>
  </w:num>
  <w:num w:numId="12">
    <w:abstractNumId w:val="29"/>
  </w:num>
  <w:num w:numId="13">
    <w:abstractNumId w:val="2"/>
  </w:num>
  <w:num w:numId="14">
    <w:abstractNumId w:val="22"/>
  </w:num>
  <w:num w:numId="15">
    <w:abstractNumId w:val="26"/>
  </w:num>
  <w:num w:numId="16">
    <w:abstractNumId w:val="10"/>
  </w:num>
  <w:num w:numId="17">
    <w:abstractNumId w:val="0"/>
  </w:num>
  <w:num w:numId="18">
    <w:abstractNumId w:val="24"/>
  </w:num>
  <w:num w:numId="19">
    <w:abstractNumId w:val="11"/>
  </w:num>
  <w:num w:numId="20">
    <w:abstractNumId w:val="5"/>
  </w:num>
  <w:num w:numId="21">
    <w:abstractNumId w:val="30"/>
  </w:num>
  <w:num w:numId="22">
    <w:abstractNumId w:val="31"/>
  </w:num>
  <w:num w:numId="23">
    <w:abstractNumId w:val="15"/>
  </w:num>
  <w:num w:numId="24">
    <w:abstractNumId w:val="32"/>
  </w:num>
  <w:num w:numId="25">
    <w:abstractNumId w:val="4"/>
  </w:num>
  <w:num w:numId="26">
    <w:abstractNumId w:val="28"/>
  </w:num>
  <w:num w:numId="27">
    <w:abstractNumId w:val="3"/>
  </w:num>
  <w:num w:numId="28">
    <w:abstractNumId w:val="33"/>
  </w:num>
  <w:num w:numId="29">
    <w:abstractNumId w:val="7"/>
  </w:num>
  <w:num w:numId="30">
    <w:abstractNumId w:val="21"/>
  </w:num>
  <w:num w:numId="31">
    <w:abstractNumId w:val="17"/>
  </w:num>
  <w:num w:numId="32">
    <w:abstractNumId w:val="19"/>
  </w:num>
  <w:num w:numId="33">
    <w:abstractNumId w:val="1"/>
  </w:num>
  <w:num w:numId="34">
    <w:abstractNumId w:val="8"/>
  </w:num>
  <w:num w:numId="35">
    <w:abstractNumId w:val="6"/>
  </w:num>
  <w:num w:numId="36">
    <w:abstractNumId w:val="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225FC"/>
    <w:rsid w:val="000433E1"/>
    <w:rsid w:val="000624F6"/>
    <w:rsid w:val="00067E6B"/>
    <w:rsid w:val="000740A3"/>
    <w:rsid w:val="00086A27"/>
    <w:rsid w:val="000938F9"/>
    <w:rsid w:val="000A3175"/>
    <w:rsid w:val="000A66BA"/>
    <w:rsid w:val="000C635A"/>
    <w:rsid w:val="000E6B31"/>
    <w:rsid w:val="00100874"/>
    <w:rsid w:val="00114D23"/>
    <w:rsid w:val="00135F97"/>
    <w:rsid w:val="00181086"/>
    <w:rsid w:val="001A36F9"/>
    <w:rsid w:val="001B7EC2"/>
    <w:rsid w:val="001E2EE2"/>
    <w:rsid w:val="00206E43"/>
    <w:rsid w:val="00207A56"/>
    <w:rsid w:val="00216AF9"/>
    <w:rsid w:val="00224377"/>
    <w:rsid w:val="00266C5F"/>
    <w:rsid w:val="00280033"/>
    <w:rsid w:val="002906CC"/>
    <w:rsid w:val="002A1170"/>
    <w:rsid w:val="002A7A5F"/>
    <w:rsid w:val="002E6482"/>
    <w:rsid w:val="00314CCE"/>
    <w:rsid w:val="00323B06"/>
    <w:rsid w:val="00325611"/>
    <w:rsid w:val="003321DC"/>
    <w:rsid w:val="00345BC0"/>
    <w:rsid w:val="003564F0"/>
    <w:rsid w:val="00360861"/>
    <w:rsid w:val="003622A8"/>
    <w:rsid w:val="00393AF1"/>
    <w:rsid w:val="003B1FAE"/>
    <w:rsid w:val="003B2FCC"/>
    <w:rsid w:val="003D1893"/>
    <w:rsid w:val="003D5EFE"/>
    <w:rsid w:val="00406EC3"/>
    <w:rsid w:val="00410AD6"/>
    <w:rsid w:val="00433919"/>
    <w:rsid w:val="00446DFD"/>
    <w:rsid w:val="004571B5"/>
    <w:rsid w:val="0046294D"/>
    <w:rsid w:val="00490324"/>
    <w:rsid w:val="004A794B"/>
    <w:rsid w:val="004B691D"/>
    <w:rsid w:val="004D279A"/>
    <w:rsid w:val="004D3D59"/>
    <w:rsid w:val="004F4E74"/>
    <w:rsid w:val="004F58B4"/>
    <w:rsid w:val="005121E8"/>
    <w:rsid w:val="005158C0"/>
    <w:rsid w:val="00522F48"/>
    <w:rsid w:val="005258F2"/>
    <w:rsid w:val="005349B1"/>
    <w:rsid w:val="00537B98"/>
    <w:rsid w:val="00562185"/>
    <w:rsid w:val="00583C8F"/>
    <w:rsid w:val="005854F4"/>
    <w:rsid w:val="005A3C34"/>
    <w:rsid w:val="005C6500"/>
    <w:rsid w:val="005C7901"/>
    <w:rsid w:val="005E02A4"/>
    <w:rsid w:val="0061520A"/>
    <w:rsid w:val="006467F5"/>
    <w:rsid w:val="00653DC8"/>
    <w:rsid w:val="00681552"/>
    <w:rsid w:val="00685D08"/>
    <w:rsid w:val="006960A3"/>
    <w:rsid w:val="006D16A1"/>
    <w:rsid w:val="006E3D2B"/>
    <w:rsid w:val="006E40C7"/>
    <w:rsid w:val="00720A10"/>
    <w:rsid w:val="00783A93"/>
    <w:rsid w:val="00791C1A"/>
    <w:rsid w:val="007A3B52"/>
    <w:rsid w:val="007A79B1"/>
    <w:rsid w:val="007B4203"/>
    <w:rsid w:val="007B7853"/>
    <w:rsid w:val="007C1F51"/>
    <w:rsid w:val="007E78EC"/>
    <w:rsid w:val="007F4B9A"/>
    <w:rsid w:val="008049AF"/>
    <w:rsid w:val="008135C9"/>
    <w:rsid w:val="00866830"/>
    <w:rsid w:val="008A035F"/>
    <w:rsid w:val="008A3B93"/>
    <w:rsid w:val="008B0C27"/>
    <w:rsid w:val="008B1A53"/>
    <w:rsid w:val="008B3BDB"/>
    <w:rsid w:val="008C0532"/>
    <w:rsid w:val="008D08FA"/>
    <w:rsid w:val="008D7B1F"/>
    <w:rsid w:val="008E7CAA"/>
    <w:rsid w:val="008F6FB7"/>
    <w:rsid w:val="0090066B"/>
    <w:rsid w:val="009561FD"/>
    <w:rsid w:val="009A1EB7"/>
    <w:rsid w:val="009A3716"/>
    <w:rsid w:val="009A3CA9"/>
    <w:rsid w:val="009D5265"/>
    <w:rsid w:val="00A109D2"/>
    <w:rsid w:val="00A15550"/>
    <w:rsid w:val="00A17277"/>
    <w:rsid w:val="00A37121"/>
    <w:rsid w:val="00A42712"/>
    <w:rsid w:val="00A56A78"/>
    <w:rsid w:val="00A7264E"/>
    <w:rsid w:val="00AA7A68"/>
    <w:rsid w:val="00AD20BE"/>
    <w:rsid w:val="00AD5D06"/>
    <w:rsid w:val="00AE48EF"/>
    <w:rsid w:val="00B25FEC"/>
    <w:rsid w:val="00B6591D"/>
    <w:rsid w:val="00B935A9"/>
    <w:rsid w:val="00B974E9"/>
    <w:rsid w:val="00BC6B83"/>
    <w:rsid w:val="00C37399"/>
    <w:rsid w:val="00C47343"/>
    <w:rsid w:val="00C664F1"/>
    <w:rsid w:val="00C83E33"/>
    <w:rsid w:val="00CB3863"/>
    <w:rsid w:val="00CC5DE6"/>
    <w:rsid w:val="00D04217"/>
    <w:rsid w:val="00D16F89"/>
    <w:rsid w:val="00D215E7"/>
    <w:rsid w:val="00D24100"/>
    <w:rsid w:val="00D37989"/>
    <w:rsid w:val="00D46869"/>
    <w:rsid w:val="00D54E49"/>
    <w:rsid w:val="00D60DD7"/>
    <w:rsid w:val="00DA666E"/>
    <w:rsid w:val="00DB4288"/>
    <w:rsid w:val="00DF1252"/>
    <w:rsid w:val="00E10449"/>
    <w:rsid w:val="00E4577A"/>
    <w:rsid w:val="00E50FB9"/>
    <w:rsid w:val="00E521B1"/>
    <w:rsid w:val="00E56E2A"/>
    <w:rsid w:val="00E677BC"/>
    <w:rsid w:val="00EA42D4"/>
    <w:rsid w:val="00EB2CFF"/>
    <w:rsid w:val="00EC0A5F"/>
    <w:rsid w:val="00F155DB"/>
    <w:rsid w:val="00F2415F"/>
    <w:rsid w:val="00F6572A"/>
    <w:rsid w:val="00F65CAE"/>
    <w:rsid w:val="00F774D5"/>
    <w:rsid w:val="00F85177"/>
    <w:rsid w:val="00F91E35"/>
    <w:rsid w:val="00FA1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A38576"/>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Fuentedeprrafopredeter"/>
    <w:rsid w:val="0020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250310844">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729228415">
      <w:bodyDiv w:val="1"/>
      <w:marLeft w:val="0"/>
      <w:marRight w:val="0"/>
      <w:marTop w:val="0"/>
      <w:marBottom w:val="0"/>
      <w:divBdr>
        <w:top w:val="none" w:sz="0" w:space="0" w:color="auto"/>
        <w:left w:val="none" w:sz="0" w:space="0" w:color="auto"/>
        <w:bottom w:val="none" w:sz="0" w:space="0" w:color="auto"/>
        <w:right w:val="none" w:sz="0" w:space="0" w:color="auto"/>
      </w:divBdr>
    </w:div>
    <w:div w:id="752239796">
      <w:bodyDiv w:val="1"/>
      <w:marLeft w:val="0"/>
      <w:marRight w:val="0"/>
      <w:marTop w:val="0"/>
      <w:marBottom w:val="0"/>
      <w:divBdr>
        <w:top w:val="none" w:sz="0" w:space="0" w:color="auto"/>
        <w:left w:val="none" w:sz="0" w:space="0" w:color="auto"/>
        <w:bottom w:val="none" w:sz="0" w:space="0" w:color="auto"/>
        <w:right w:val="none" w:sz="0" w:space="0" w:color="auto"/>
      </w:divBdr>
      <w:divsChild>
        <w:div w:id="1877892321">
          <w:marLeft w:val="0"/>
          <w:marRight w:val="0"/>
          <w:marTop w:val="0"/>
          <w:marBottom w:val="0"/>
          <w:divBdr>
            <w:top w:val="none" w:sz="0" w:space="0" w:color="auto"/>
            <w:left w:val="none" w:sz="0" w:space="0" w:color="auto"/>
            <w:bottom w:val="none" w:sz="0" w:space="0" w:color="auto"/>
            <w:right w:val="none" w:sz="0" w:space="0" w:color="auto"/>
          </w:divBdr>
          <w:divsChild>
            <w:div w:id="1806384435">
              <w:marLeft w:val="0"/>
              <w:marRight w:val="0"/>
              <w:marTop w:val="0"/>
              <w:marBottom w:val="0"/>
              <w:divBdr>
                <w:top w:val="none" w:sz="0" w:space="0" w:color="auto"/>
                <w:left w:val="none" w:sz="0" w:space="0" w:color="auto"/>
                <w:bottom w:val="none" w:sz="0" w:space="0" w:color="auto"/>
                <w:right w:val="none" w:sz="0" w:space="0" w:color="auto"/>
              </w:divBdr>
              <w:divsChild>
                <w:div w:id="965508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7029162">
          <w:marLeft w:val="0"/>
          <w:marRight w:val="0"/>
          <w:marTop w:val="0"/>
          <w:marBottom w:val="0"/>
          <w:divBdr>
            <w:top w:val="none" w:sz="0" w:space="0" w:color="auto"/>
            <w:left w:val="none" w:sz="0" w:space="0" w:color="auto"/>
            <w:bottom w:val="none" w:sz="0" w:space="0" w:color="auto"/>
            <w:right w:val="none" w:sz="0" w:space="0" w:color="auto"/>
          </w:divBdr>
          <w:divsChild>
            <w:div w:id="2099515887">
              <w:marLeft w:val="0"/>
              <w:marRight w:val="0"/>
              <w:marTop w:val="0"/>
              <w:marBottom w:val="0"/>
              <w:divBdr>
                <w:top w:val="none" w:sz="0" w:space="0" w:color="auto"/>
                <w:left w:val="none" w:sz="0" w:space="0" w:color="auto"/>
                <w:bottom w:val="none" w:sz="0" w:space="0" w:color="auto"/>
                <w:right w:val="none" w:sz="0" w:space="0" w:color="auto"/>
              </w:divBdr>
              <w:divsChild>
                <w:div w:id="119092176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16853740">
          <w:marLeft w:val="0"/>
          <w:marRight w:val="0"/>
          <w:marTop w:val="0"/>
          <w:marBottom w:val="0"/>
          <w:divBdr>
            <w:top w:val="none" w:sz="0" w:space="0" w:color="auto"/>
            <w:left w:val="none" w:sz="0" w:space="0" w:color="auto"/>
            <w:bottom w:val="none" w:sz="0" w:space="0" w:color="auto"/>
            <w:right w:val="none" w:sz="0" w:space="0" w:color="auto"/>
          </w:divBdr>
          <w:divsChild>
            <w:div w:id="807669118">
              <w:marLeft w:val="0"/>
              <w:marRight w:val="0"/>
              <w:marTop w:val="0"/>
              <w:marBottom w:val="0"/>
              <w:divBdr>
                <w:top w:val="none" w:sz="0" w:space="0" w:color="auto"/>
                <w:left w:val="none" w:sz="0" w:space="0" w:color="auto"/>
                <w:bottom w:val="none" w:sz="0" w:space="0" w:color="auto"/>
                <w:right w:val="none" w:sz="0" w:space="0" w:color="auto"/>
              </w:divBdr>
              <w:divsChild>
                <w:div w:id="6526866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92433033">
          <w:marLeft w:val="0"/>
          <w:marRight w:val="0"/>
          <w:marTop w:val="0"/>
          <w:marBottom w:val="0"/>
          <w:divBdr>
            <w:top w:val="none" w:sz="0" w:space="0" w:color="auto"/>
            <w:left w:val="none" w:sz="0" w:space="0" w:color="auto"/>
            <w:bottom w:val="none" w:sz="0" w:space="0" w:color="auto"/>
            <w:right w:val="none" w:sz="0" w:space="0" w:color="auto"/>
          </w:divBdr>
          <w:divsChild>
            <w:div w:id="1447193105">
              <w:marLeft w:val="0"/>
              <w:marRight w:val="0"/>
              <w:marTop w:val="0"/>
              <w:marBottom w:val="0"/>
              <w:divBdr>
                <w:top w:val="none" w:sz="0" w:space="0" w:color="auto"/>
                <w:left w:val="none" w:sz="0" w:space="0" w:color="auto"/>
                <w:bottom w:val="none" w:sz="0" w:space="0" w:color="auto"/>
                <w:right w:val="none" w:sz="0" w:space="0" w:color="auto"/>
              </w:divBdr>
            </w:div>
          </w:divsChild>
        </w:div>
        <w:div w:id="347415999">
          <w:marLeft w:val="0"/>
          <w:marRight w:val="0"/>
          <w:marTop w:val="0"/>
          <w:marBottom w:val="0"/>
          <w:divBdr>
            <w:top w:val="none" w:sz="0" w:space="0" w:color="auto"/>
            <w:left w:val="none" w:sz="0" w:space="0" w:color="auto"/>
            <w:bottom w:val="none" w:sz="0" w:space="0" w:color="auto"/>
            <w:right w:val="none" w:sz="0" w:space="0" w:color="auto"/>
          </w:divBdr>
          <w:divsChild>
            <w:div w:id="2062827185">
              <w:marLeft w:val="0"/>
              <w:marRight w:val="0"/>
              <w:marTop w:val="0"/>
              <w:marBottom w:val="0"/>
              <w:divBdr>
                <w:top w:val="none" w:sz="0" w:space="0" w:color="auto"/>
                <w:left w:val="none" w:sz="0" w:space="0" w:color="auto"/>
                <w:bottom w:val="none" w:sz="0" w:space="0" w:color="auto"/>
                <w:right w:val="none" w:sz="0" w:space="0" w:color="auto"/>
              </w:divBdr>
              <w:divsChild>
                <w:div w:id="212291669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677918867">
      <w:bodyDiv w:val="1"/>
      <w:marLeft w:val="0"/>
      <w:marRight w:val="0"/>
      <w:marTop w:val="0"/>
      <w:marBottom w:val="0"/>
      <w:divBdr>
        <w:top w:val="none" w:sz="0" w:space="0" w:color="auto"/>
        <w:left w:val="none" w:sz="0" w:space="0" w:color="auto"/>
        <w:bottom w:val="none" w:sz="0" w:space="0" w:color="auto"/>
        <w:right w:val="none" w:sz="0" w:space="0" w:color="auto"/>
      </w:divBdr>
    </w:div>
    <w:div w:id="1709798655">
      <w:bodyDiv w:val="1"/>
      <w:marLeft w:val="0"/>
      <w:marRight w:val="0"/>
      <w:marTop w:val="0"/>
      <w:marBottom w:val="0"/>
      <w:divBdr>
        <w:top w:val="none" w:sz="0" w:space="0" w:color="auto"/>
        <w:left w:val="none" w:sz="0" w:space="0" w:color="auto"/>
        <w:bottom w:val="none" w:sz="0" w:space="0" w:color="auto"/>
        <w:right w:val="none" w:sz="0" w:space="0" w:color="auto"/>
      </w:divBdr>
    </w:div>
    <w:div w:id="1714650996">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 w:id="1880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53008.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314785.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314785.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065545.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064015.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DB9C-B252-414E-AE9C-03D680E1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5848</Words>
  <Characters>32167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6</cp:revision>
  <dcterms:created xsi:type="dcterms:W3CDTF">2025-01-14T18:56:00Z</dcterms:created>
  <dcterms:modified xsi:type="dcterms:W3CDTF">2025-01-24T17:32:00Z</dcterms:modified>
</cp:coreProperties>
</file>