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6F850B"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bookmarkStart w:id="0" w:name="_heading=h.gjdgxs" w:colFirst="0" w:colLast="0"/>
      <w:bookmarkEnd w:id="0"/>
      <w:r w:rsidRPr="00082FB0">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de fecha </w:t>
      </w:r>
      <w:r w:rsidRPr="00082FB0">
        <w:rPr>
          <w:rFonts w:ascii="Palatino Linotype" w:eastAsia="Palatino Linotype" w:hAnsi="Palatino Linotype" w:cs="Palatino Linotype"/>
        </w:rPr>
        <w:t>veintiséis (26)</w:t>
      </w:r>
      <w:r w:rsidRPr="00082FB0">
        <w:rPr>
          <w:rFonts w:ascii="Palatino Linotype" w:eastAsia="Palatino Linotype" w:hAnsi="Palatino Linotype" w:cs="Palatino Linotype"/>
          <w:color w:val="000000"/>
        </w:rPr>
        <w:t xml:space="preserve"> de </w:t>
      </w:r>
      <w:r w:rsidRPr="00082FB0">
        <w:rPr>
          <w:rFonts w:ascii="Palatino Linotype" w:eastAsia="Palatino Linotype" w:hAnsi="Palatino Linotype" w:cs="Palatino Linotype"/>
        </w:rPr>
        <w:t xml:space="preserve">febrero de </w:t>
      </w:r>
      <w:r w:rsidRPr="00082FB0">
        <w:rPr>
          <w:rFonts w:ascii="Palatino Linotype" w:eastAsia="Palatino Linotype" w:hAnsi="Palatino Linotype" w:cs="Palatino Linotype"/>
          <w:color w:val="000000"/>
        </w:rPr>
        <w:t>dos mil veinticinco.</w:t>
      </w:r>
    </w:p>
    <w:p w14:paraId="344FDA94" w14:textId="77777777" w:rsidR="007678B0" w:rsidRPr="00082FB0" w:rsidRDefault="007678B0">
      <w:pPr>
        <w:pBdr>
          <w:top w:val="nil"/>
          <w:left w:val="nil"/>
          <w:bottom w:val="nil"/>
          <w:right w:val="nil"/>
          <w:between w:val="nil"/>
        </w:pBdr>
        <w:spacing w:line="360" w:lineRule="auto"/>
        <w:ind w:right="-989"/>
        <w:jc w:val="both"/>
        <w:rPr>
          <w:rFonts w:ascii="Palatino Linotype" w:eastAsia="Palatino Linotype" w:hAnsi="Palatino Linotype" w:cs="Palatino Linotype"/>
          <w:b/>
          <w:color w:val="000000"/>
        </w:rPr>
      </w:pPr>
    </w:p>
    <w:p w14:paraId="76812299" w14:textId="0C0D68E3"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bookmarkStart w:id="1" w:name="_heading=h.30j0zll" w:colFirst="0" w:colLast="0"/>
      <w:bookmarkEnd w:id="1"/>
      <w:r w:rsidRPr="00082FB0">
        <w:rPr>
          <w:rFonts w:ascii="Palatino Linotype" w:eastAsia="Palatino Linotype" w:hAnsi="Palatino Linotype" w:cs="Palatino Linotype"/>
          <w:b/>
          <w:color w:val="000000"/>
        </w:rPr>
        <w:t>VISTOS</w:t>
      </w:r>
      <w:r w:rsidRPr="00082FB0">
        <w:rPr>
          <w:rFonts w:ascii="Palatino Linotype" w:eastAsia="Palatino Linotype" w:hAnsi="Palatino Linotype" w:cs="Palatino Linotype"/>
          <w:color w:val="000000"/>
        </w:rPr>
        <w:t xml:space="preserve"> los expedientes electrónicos formados con motivo de los Recursos de Revisión </w:t>
      </w:r>
      <w:r w:rsidRPr="00082FB0">
        <w:rPr>
          <w:rFonts w:ascii="Palatino Linotype" w:eastAsia="Palatino Linotype" w:hAnsi="Palatino Linotype" w:cs="Palatino Linotype"/>
          <w:b/>
          <w:color w:val="000000"/>
        </w:rPr>
        <w:t xml:space="preserve">03498/INFOEM/IP/RR/2024, 03638/INFOEM/IP/RR/2024 y 00033/INFOEM/IP/RR/2025 </w:t>
      </w:r>
      <w:r w:rsidRPr="00082FB0">
        <w:rPr>
          <w:rFonts w:ascii="Palatino Linotype" w:eastAsia="Palatino Linotype" w:hAnsi="Palatino Linotype" w:cs="Palatino Linotype"/>
          <w:color w:val="000000"/>
        </w:rPr>
        <w:t>acumulados, promovidos por  </w:t>
      </w:r>
      <w:r w:rsidR="00807710">
        <w:rPr>
          <w:rFonts w:ascii="Palatino Linotype" w:eastAsia="Palatino Linotype" w:hAnsi="Palatino Linotype" w:cs="Palatino Linotype"/>
          <w:b/>
          <w:color w:val="000000"/>
        </w:rPr>
        <w:t>XXXX</w:t>
      </w:r>
      <w:r w:rsidRPr="00082FB0">
        <w:rPr>
          <w:rFonts w:ascii="Palatino Linotype" w:eastAsia="Palatino Linotype" w:hAnsi="Palatino Linotype" w:cs="Palatino Linotype"/>
          <w:color w:val="000000"/>
        </w:rPr>
        <w:t xml:space="preserve">, a través del Sistema de Acceso a la Información Mexiquense </w:t>
      </w:r>
      <w:r w:rsidRPr="00082FB0">
        <w:rPr>
          <w:rFonts w:ascii="Palatino Linotype" w:eastAsia="Palatino Linotype" w:hAnsi="Palatino Linotype" w:cs="Palatino Linotype"/>
          <w:b/>
          <w:color w:val="000000"/>
        </w:rPr>
        <w:t>(SAIMEX)</w:t>
      </w:r>
      <w:r w:rsidRPr="00082FB0">
        <w:rPr>
          <w:rFonts w:ascii="Palatino Linotype" w:eastAsia="Palatino Linotype" w:hAnsi="Palatino Linotype" w:cs="Palatino Linotype"/>
          <w:color w:val="000000"/>
        </w:rPr>
        <w:t xml:space="preserve">, a quien </w:t>
      </w:r>
      <w:bookmarkStart w:id="2" w:name="_GoBack"/>
      <w:r w:rsidRPr="00082FB0">
        <w:rPr>
          <w:rFonts w:ascii="Palatino Linotype" w:eastAsia="Palatino Linotype" w:hAnsi="Palatino Linotype" w:cs="Palatino Linotype"/>
          <w:color w:val="000000"/>
        </w:rPr>
        <w:t>e</w:t>
      </w:r>
      <w:bookmarkEnd w:id="2"/>
      <w:r w:rsidRPr="00082FB0">
        <w:rPr>
          <w:rFonts w:ascii="Palatino Linotype" w:eastAsia="Palatino Linotype" w:hAnsi="Palatino Linotype" w:cs="Palatino Linotype"/>
          <w:color w:val="000000"/>
        </w:rPr>
        <w:t xml:space="preserve">n lo sucesivo se le identificará como </w:t>
      </w:r>
      <w:r w:rsidRPr="00082FB0">
        <w:rPr>
          <w:rFonts w:ascii="Palatino Linotype" w:eastAsia="Palatino Linotype" w:hAnsi="Palatino Linotype" w:cs="Palatino Linotype"/>
          <w:b/>
          <w:color w:val="000000"/>
        </w:rPr>
        <w:t>EL RECURRENTE</w:t>
      </w:r>
      <w:r w:rsidRPr="00082FB0">
        <w:rPr>
          <w:rFonts w:ascii="Palatino Linotype" w:eastAsia="Palatino Linotype" w:hAnsi="Palatino Linotype" w:cs="Palatino Linotype"/>
          <w:color w:val="000000"/>
        </w:rPr>
        <w:t>, en contra de las respuestas de</w:t>
      </w:r>
      <w:r w:rsidRPr="00082FB0">
        <w:rPr>
          <w:rFonts w:ascii="Palatino Linotype" w:eastAsia="Palatino Linotype" w:hAnsi="Palatino Linotype" w:cs="Palatino Linotype"/>
        </w:rPr>
        <w:t>l</w:t>
      </w:r>
      <w:r w:rsidRPr="00082FB0">
        <w:rPr>
          <w:rFonts w:ascii="Palatino Linotype" w:eastAsia="Palatino Linotype" w:hAnsi="Palatino Linotype" w:cs="Palatino Linotype"/>
          <w:color w:val="000000"/>
        </w:rPr>
        <w:t xml:space="preserve"> </w:t>
      </w:r>
      <w:r w:rsidRPr="00082FB0">
        <w:rPr>
          <w:rFonts w:ascii="Palatino Linotype" w:eastAsia="Palatino Linotype" w:hAnsi="Palatino Linotype" w:cs="Palatino Linotype"/>
          <w:b/>
          <w:color w:val="000000"/>
        </w:rPr>
        <w:t>Ayuntamiento de Tlalnepantla de Baz</w:t>
      </w:r>
      <w:r w:rsidRPr="00082FB0">
        <w:rPr>
          <w:rFonts w:ascii="Palatino Linotype" w:eastAsia="Palatino Linotype" w:hAnsi="Palatino Linotype" w:cs="Palatino Linotype"/>
          <w:color w:val="000000"/>
        </w:rPr>
        <w:t xml:space="preserve">, en lo sucesivo </w:t>
      </w:r>
      <w:r w:rsidRPr="00082FB0">
        <w:rPr>
          <w:rFonts w:ascii="Palatino Linotype" w:eastAsia="Palatino Linotype" w:hAnsi="Palatino Linotype" w:cs="Palatino Linotype"/>
          <w:b/>
          <w:color w:val="000000"/>
        </w:rPr>
        <w:t>EL SUJETO OBLIGADO</w:t>
      </w:r>
      <w:r w:rsidRPr="00082FB0">
        <w:rPr>
          <w:rFonts w:ascii="Palatino Linotype" w:eastAsia="Palatino Linotype" w:hAnsi="Palatino Linotype" w:cs="Palatino Linotype"/>
          <w:color w:val="000000"/>
        </w:rPr>
        <w:t>, se procede a dictar la presente Resolución, con base en los siguientes:</w:t>
      </w:r>
    </w:p>
    <w:p w14:paraId="531948AF" w14:textId="77777777" w:rsidR="007678B0" w:rsidRPr="00082FB0" w:rsidRDefault="007678B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p>
    <w:p w14:paraId="0C063A38" w14:textId="77777777" w:rsidR="007678B0" w:rsidRPr="00082FB0" w:rsidRDefault="00E315F0">
      <w:pPr>
        <w:pBdr>
          <w:top w:val="nil"/>
          <w:left w:val="nil"/>
          <w:bottom w:val="nil"/>
          <w:right w:val="nil"/>
          <w:between w:val="nil"/>
        </w:pBdr>
        <w:spacing w:line="360" w:lineRule="auto"/>
        <w:ind w:right="-989"/>
        <w:jc w:val="center"/>
        <w:rPr>
          <w:rFonts w:ascii="Palatino Linotype" w:eastAsia="Palatino Linotype" w:hAnsi="Palatino Linotype" w:cs="Palatino Linotype"/>
          <w:b/>
          <w:color w:val="000000"/>
        </w:rPr>
      </w:pPr>
      <w:r w:rsidRPr="00082FB0">
        <w:rPr>
          <w:rFonts w:ascii="Palatino Linotype" w:eastAsia="Palatino Linotype" w:hAnsi="Palatino Linotype" w:cs="Palatino Linotype"/>
          <w:b/>
          <w:color w:val="000000"/>
        </w:rPr>
        <w:t>A N T E C E D E N T E S</w:t>
      </w:r>
    </w:p>
    <w:p w14:paraId="65F4253F" w14:textId="77777777" w:rsidR="007678B0" w:rsidRPr="00082FB0" w:rsidRDefault="007678B0">
      <w:pPr>
        <w:spacing w:line="360" w:lineRule="auto"/>
        <w:ind w:right="-989"/>
        <w:rPr>
          <w:rFonts w:ascii="Palatino Linotype" w:eastAsia="Palatino Linotype" w:hAnsi="Palatino Linotype" w:cs="Palatino Linotype"/>
        </w:rPr>
      </w:pPr>
    </w:p>
    <w:p w14:paraId="6245D6D9"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Los días </w:t>
      </w:r>
      <w:r w:rsidRPr="00082FB0">
        <w:rPr>
          <w:rFonts w:ascii="Palatino Linotype" w:eastAsia="Palatino Linotype" w:hAnsi="Palatino Linotype" w:cs="Palatino Linotype"/>
          <w:b/>
          <w:color w:val="000000"/>
        </w:rPr>
        <w:t xml:space="preserve">veintitrés de abril, cuatro de mayo y veintinueve de noviembre de dos mil veinticuatro, </w:t>
      </w:r>
      <w:r w:rsidRPr="00082FB0">
        <w:rPr>
          <w:rFonts w:ascii="Palatino Linotype" w:eastAsia="Palatino Linotype" w:hAnsi="Palatino Linotype" w:cs="Palatino Linotype"/>
          <w:color w:val="000000"/>
        </w:rPr>
        <w:t xml:space="preserve">se presentó ante el </w:t>
      </w:r>
      <w:r w:rsidRPr="00082FB0">
        <w:rPr>
          <w:rFonts w:ascii="Palatino Linotype" w:eastAsia="Palatino Linotype" w:hAnsi="Palatino Linotype" w:cs="Palatino Linotype"/>
          <w:b/>
          <w:color w:val="000000"/>
        </w:rPr>
        <w:t>SUJETO OBLIGADO</w:t>
      </w:r>
      <w:r w:rsidRPr="00082FB0">
        <w:rPr>
          <w:rFonts w:ascii="Palatino Linotype" w:eastAsia="Palatino Linotype" w:hAnsi="Palatino Linotype" w:cs="Palatino Linotype"/>
          <w:color w:val="000000"/>
        </w:rPr>
        <w:t xml:space="preserve"> vía </w:t>
      </w:r>
      <w:r w:rsidRPr="00082FB0">
        <w:rPr>
          <w:rFonts w:ascii="Palatino Linotype" w:eastAsia="Palatino Linotype" w:hAnsi="Palatino Linotype" w:cs="Palatino Linotype"/>
          <w:b/>
          <w:color w:val="000000"/>
        </w:rPr>
        <w:t>SAIMEX</w:t>
      </w:r>
      <w:r w:rsidRPr="00082FB0">
        <w:rPr>
          <w:rFonts w:ascii="Palatino Linotype" w:eastAsia="Palatino Linotype" w:hAnsi="Palatino Linotype" w:cs="Palatino Linotype"/>
          <w:color w:val="000000"/>
        </w:rPr>
        <w:t>, las solicitudes de información pública registradas con los números</w:t>
      </w:r>
      <w:r w:rsidRPr="00082FB0">
        <w:rPr>
          <w:rFonts w:ascii="Palatino Linotype" w:eastAsia="Palatino Linotype" w:hAnsi="Palatino Linotype" w:cs="Palatino Linotype"/>
          <w:b/>
          <w:color w:val="000000"/>
        </w:rPr>
        <w:t xml:space="preserve"> 00503/TLALNEPA/IP/2024, 00608/TLALNEPA/IP/2024 y 01146/TLALNEPA/IP/2024; </w:t>
      </w:r>
      <w:r w:rsidRPr="00082FB0">
        <w:rPr>
          <w:rFonts w:ascii="Palatino Linotype" w:eastAsia="Palatino Linotype" w:hAnsi="Palatino Linotype" w:cs="Palatino Linotype"/>
        </w:rPr>
        <w:t xml:space="preserve">en la que </w:t>
      </w:r>
      <w:r w:rsidRPr="00082FB0">
        <w:rPr>
          <w:rFonts w:ascii="Palatino Linotype" w:eastAsia="Palatino Linotype" w:hAnsi="Palatino Linotype" w:cs="Palatino Linotype"/>
          <w:color w:val="000000"/>
        </w:rPr>
        <w:t>se solicitó la siguiente información:</w:t>
      </w:r>
    </w:p>
    <w:p w14:paraId="2C50316D" w14:textId="77777777" w:rsidR="007678B0" w:rsidRPr="00082FB0" w:rsidRDefault="007678B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p>
    <w:p w14:paraId="1B850056" w14:textId="77777777" w:rsidR="007678B0" w:rsidRPr="00082FB0" w:rsidRDefault="00E315F0">
      <w:pPr>
        <w:pBdr>
          <w:top w:val="nil"/>
          <w:left w:val="nil"/>
          <w:bottom w:val="nil"/>
          <w:right w:val="nil"/>
          <w:between w:val="nil"/>
        </w:pBdr>
        <w:spacing w:line="360" w:lineRule="auto"/>
        <w:ind w:left="426" w:right="-989"/>
        <w:jc w:val="both"/>
        <w:rPr>
          <w:rFonts w:ascii="Palatino Linotype" w:eastAsia="Palatino Linotype" w:hAnsi="Palatino Linotype" w:cs="Palatino Linotype"/>
          <w:b/>
          <w:color w:val="000000"/>
        </w:rPr>
      </w:pPr>
      <w:r w:rsidRPr="00082FB0">
        <w:rPr>
          <w:rFonts w:ascii="Palatino Linotype" w:eastAsia="Palatino Linotype" w:hAnsi="Palatino Linotype" w:cs="Palatino Linotype"/>
          <w:b/>
          <w:color w:val="000000"/>
        </w:rPr>
        <w:t>Número de Folio de la Solicitud: 00503/TLALNEPA/IP/2024</w:t>
      </w:r>
    </w:p>
    <w:p w14:paraId="586A9FA2" w14:textId="77777777" w:rsidR="007678B0" w:rsidRPr="00082FB0" w:rsidRDefault="00E315F0">
      <w:pPr>
        <w:pBdr>
          <w:top w:val="nil"/>
          <w:left w:val="nil"/>
          <w:bottom w:val="nil"/>
          <w:right w:val="nil"/>
          <w:between w:val="nil"/>
        </w:pBdr>
        <w:spacing w:line="360" w:lineRule="auto"/>
        <w:ind w:left="426" w:right="-989"/>
        <w:jc w:val="both"/>
        <w:rPr>
          <w:rFonts w:ascii="Palatino Linotype" w:eastAsia="Palatino Linotype" w:hAnsi="Palatino Linotype" w:cs="Palatino Linotype"/>
          <w:i/>
          <w:color w:val="000000"/>
        </w:rPr>
      </w:pPr>
      <w:r w:rsidRPr="00082FB0">
        <w:rPr>
          <w:rFonts w:ascii="Palatino Linotype" w:eastAsia="Palatino Linotype" w:hAnsi="Palatino Linotype" w:cs="Palatino Linotype"/>
          <w:i/>
          <w:color w:val="000000"/>
        </w:rPr>
        <w:t xml:space="preserve">“DE CONFORMIDAD CON los artículos 4 quinto párrafo, 6 segundo párrafo, apartado A de la Constitución Política de Los Estados Unidos Mexicanos, 4 que en su segundo párrafo establece </w:t>
      </w:r>
      <w:r w:rsidRPr="00082FB0">
        <w:rPr>
          <w:rFonts w:ascii="Palatino Linotype" w:eastAsia="Palatino Linotype" w:hAnsi="Palatino Linotype" w:cs="Palatino Linotype"/>
          <w:i/>
          <w:color w:val="000000"/>
        </w:rPr>
        <w:lastRenderedPageBreak/>
        <w:t xml:space="preserve">“Toda la información generada, obtenida, adquirida, transformada, administrada o en posesión de los sujetos obligados es pública y accesible de manera permanente a cualquier persona,…”, 12 y el TITULO QUINTO, 92 fracción XXXII, entre otras de la Ley de Transparencia y Acceso a la Información Pública del Estado de México y Municipios y los LINEAMIENTOS GENERALES EN MATERIA DE CLASIFICACIÓN Y DESCLASIFICACIÓN DE LA INFORMACIÓN, ASÍ COMO PARA LA ELABORACIÓN DE VERSIONES PÚBLICAS; Capítulos IX del ANEXO DEL ACUERDO CONAIP/SNT/ACUERDO/EXT18/03/2016-03, a las CLAUSULAS SEPTIMA y OCTAVA de la Resolución de la autorización condicionada en materia de impacto ambiental, en favor del H. Ayuntamiento de Tlalnepantla, para realizar el “Proyecto de Rehabilitación del Sitio de Disposición Final de Residuos Sólidos de Tlalnepantla a Centro Integral de Residuos” emitido por el Director General de Ordenamiento e Impacto Ambiental, dependencia adscrita a la Secretaria del Medio Ambiente del Gobierno del Estado de México, de fecha 12 de marzo de 2020 según oficio 22100007L/DGOIA/RESOL/225/2020, a la sentencia dictada en fecha 14 de febrero de 2024 en el RECURSO DE REVISIÓN: 2037/2023 Y 2038/2023 ACUMULADOS por la primera sección de la sala superior del Tribunal de Justicia Administrativa del Estado de México que ha causado ejecutoria y a que el ACUERDO DE RESERVA DE INFORMACION 0002/CT/O7-ORD/2022 tomado en la séptima sesión ordinaria del comité de transparencia del municipio de Tlalnepantla sin fecha resulta inoperante y exagerado por decir lo menos al haber establecido 3 años de reserva de la información pública que contiene, por lo que SOLICITO SE ME ENVIE VIA SAIMEX LA INFORMACION PUBLICA SIGUIENTE; 1.- EL SEGUNDO INFORME SEMESTRAL DEL AÑO 2021 DE CUMPLIMIENTO DE LAS CONDICIONANTES DE LA AUTORIZACION CONDICIONADA EN MATERIA DE IMPACTO AMBIENTAL, ARRIBA MENCIONADA, </w:t>
      </w:r>
      <w:r w:rsidRPr="00082FB0">
        <w:rPr>
          <w:rFonts w:ascii="Palatino Linotype" w:eastAsia="Palatino Linotype" w:hAnsi="Palatino Linotype" w:cs="Palatino Linotype"/>
          <w:i/>
          <w:color w:val="000000"/>
        </w:rPr>
        <w:lastRenderedPageBreak/>
        <w:t xml:space="preserve">ENVIADO POR EL AYUNTAMIENTO DE TLALNEPANTLA, ESTADO DE MEXICO A LA DIRECCION GENERAL DE ORDENAMIENTO E IMPACTO AMBIENTAL. 2.- EL INFORME ANUAL CORRESPONDIENTE AL AÑO 2021 DE CUMPLIMIENTO DE LAS CONDICIONANTES DE LA AUTORIZACION CONDICIONADA EN MATERIA DE IMPACTO AMBIENTAL EN COMENTO. 3.- EL PRIMER INFORME SEMESTRAL DEL AÑO 2022 DE CUMPLIMIENTO DE LAS CONDICIONANTES DE LA AUTORIZACION CONDICIONADA EN MATERIA DE IMPACTO AMBIENTAL, ARIIBA MENCIONADA, ENVIADO POR EL AYUNTAMIENTO DE TLALNEPANTLA, ESTADO DE MEXICO A LA DIRECCION GENERAL DE ORDENAMIENTO E IMPACTO AMBIENTAL. 4.- EL SEGUNDO INFORME SEMESTRAL DEL AÑO 2022 DE CUMPLIMIENTO DE LAS CONDICIONANTES DE LA AUTORIZACION CONDICIONADA EN MATERIA DE IMPACTO AMBIENTAL, ARIIBA MENCIONADA, ENVIADO POR EL AYUNTAMIENTO DE TLALNEPANTLA, ESTADO DE MEXICO A LA DIRECCION GENERAL DE ORDENAMIENTO E IMPACTO AMBIENTAL. 5.- EL INFORME ANUAL CORRESPONDIENTE AL AÑO 2022 DE CUMPLIMIENTO DE LAS CONDICIONANTES DE LA AUTORIZACION CONDICIONADA EN MATERIA DE IMPACTO AMBIENTAL EN COMENTO. 6.- EL PRIMER INFORME SEMESTRAL DEL AÑO 2023 DE CUMPLIMIENTO DE LAS CONDICIONANTES DE LA AUTORIZACION CONDICIONADA EN MATERIA DE IMPACTO AMBIENTAL, ARIIBA MENCIONADA, ENVIADO POR EL AYUNTAMIENTO DE TLALNEPANTLA, ESTADO DE MEXICO A LA DIRECCION GENERAL DE ORDENAMIENTO E IMPACTO AMBIENTAL. 7.- EL SEGUNDO INFORME SEMESTRAL DEL AÑO 2023 DE CUMPLIMIENTO DE LAS CONDICIONANTES DE LA AUTORIZACION CONDICIONADA EN MATERIA DE </w:t>
      </w:r>
      <w:r w:rsidRPr="00082FB0">
        <w:rPr>
          <w:rFonts w:ascii="Palatino Linotype" w:eastAsia="Palatino Linotype" w:hAnsi="Palatino Linotype" w:cs="Palatino Linotype"/>
          <w:i/>
          <w:color w:val="000000"/>
        </w:rPr>
        <w:lastRenderedPageBreak/>
        <w:t>IMPACTO AMBIENTAL, ARIIBA MENCIONADA, ENVIADO POR EL AYUNTAMIENTO DE TLALNEPANTLA, ESTADO DE MEXICO A LA DIRECCION GENERAL DE ORDENAMIENTO E IMPACTO AMBIENTAL. 8.- EL INFORME ANUAL CORRESPONDIENTE AL AÑO 2023 DE CUMPLIMIENTO DE LAS CONDICIONANTES DE LA AUTORIZACION CONDICIONADA EN MATERIA DE IMPACTO AMBIENTAL EN COMENTO.”</w:t>
      </w:r>
    </w:p>
    <w:p w14:paraId="0D7AF321" w14:textId="77777777" w:rsidR="007678B0" w:rsidRPr="00082FB0" w:rsidRDefault="007678B0">
      <w:pPr>
        <w:pBdr>
          <w:top w:val="nil"/>
          <w:left w:val="nil"/>
          <w:bottom w:val="nil"/>
          <w:right w:val="nil"/>
          <w:between w:val="nil"/>
        </w:pBdr>
        <w:spacing w:line="360" w:lineRule="auto"/>
        <w:ind w:left="426" w:right="-989"/>
        <w:jc w:val="both"/>
        <w:rPr>
          <w:rFonts w:ascii="Palatino Linotype" w:eastAsia="Palatino Linotype" w:hAnsi="Palatino Linotype" w:cs="Palatino Linotype"/>
          <w:color w:val="000000"/>
        </w:rPr>
      </w:pPr>
    </w:p>
    <w:p w14:paraId="40CDF455" w14:textId="77777777" w:rsidR="007678B0" w:rsidRPr="00082FB0" w:rsidRDefault="00E315F0">
      <w:pPr>
        <w:pBdr>
          <w:top w:val="nil"/>
          <w:left w:val="nil"/>
          <w:bottom w:val="nil"/>
          <w:right w:val="nil"/>
          <w:between w:val="nil"/>
        </w:pBdr>
        <w:spacing w:line="360" w:lineRule="auto"/>
        <w:ind w:left="426" w:right="-989"/>
        <w:jc w:val="both"/>
        <w:rPr>
          <w:rFonts w:ascii="Palatino Linotype" w:eastAsia="Palatino Linotype" w:hAnsi="Palatino Linotype" w:cs="Palatino Linotype"/>
          <w:b/>
          <w:color w:val="000000"/>
        </w:rPr>
      </w:pPr>
      <w:r w:rsidRPr="00082FB0">
        <w:rPr>
          <w:rFonts w:ascii="Palatino Linotype" w:eastAsia="Palatino Linotype" w:hAnsi="Palatino Linotype" w:cs="Palatino Linotype"/>
          <w:b/>
          <w:color w:val="000000"/>
        </w:rPr>
        <w:t>Número de Folio de la Solicitud: 00608/TLALNEPA/IP/2024</w:t>
      </w:r>
      <w:r w:rsidRPr="00082FB0">
        <w:rPr>
          <w:rFonts w:ascii="Palatino Linotype" w:eastAsia="Palatino Linotype" w:hAnsi="Palatino Linotype" w:cs="Palatino Linotype"/>
          <w:b/>
          <w:color w:val="000000"/>
        </w:rPr>
        <w:tab/>
      </w:r>
    </w:p>
    <w:p w14:paraId="38233553" w14:textId="77777777" w:rsidR="007678B0" w:rsidRPr="00082FB0" w:rsidRDefault="00E315F0">
      <w:pPr>
        <w:pBdr>
          <w:top w:val="nil"/>
          <w:left w:val="nil"/>
          <w:bottom w:val="nil"/>
          <w:right w:val="nil"/>
          <w:between w:val="nil"/>
        </w:pBdr>
        <w:spacing w:line="360" w:lineRule="auto"/>
        <w:ind w:left="426" w:right="-989"/>
        <w:jc w:val="both"/>
        <w:rPr>
          <w:rFonts w:ascii="Palatino Linotype" w:eastAsia="Palatino Linotype" w:hAnsi="Palatino Linotype" w:cs="Palatino Linotype"/>
          <w:i/>
          <w:color w:val="000000"/>
        </w:rPr>
      </w:pPr>
      <w:r w:rsidRPr="00082FB0">
        <w:rPr>
          <w:rFonts w:ascii="Palatino Linotype" w:eastAsia="Palatino Linotype" w:hAnsi="Palatino Linotype" w:cs="Palatino Linotype"/>
          <w:i/>
          <w:color w:val="000000"/>
        </w:rPr>
        <w:t xml:space="preserve">“DE CONFORMIDAD CON los artículos; 6 segundo párrafo, apartado A de la Constitución Política de Los Estados Unidos Mexicanos, 11, 12 y 13 de la Ley General de Transparencia y Acceso a la Información Pública, 4 que en su segundo párrafo establece “Toda la información generada, obtenida, adquirida, transformada, administrada o en posesión de los sujetos obligados es pública y accesible de manera permanente a cualquier persona,…”, 12 y el TITULO QUINTO, 92 fracción XXXII, entre otras de la Ley de Transparencia y Acceso a la Información Pública del Estado de México y Municipios y a los LINEAMIENTOS GENERALES EN MATERIA DE CLASIFICACIÓN Y DESCLASIFICACIÓN DE LA INFORMACIÓN, ASÍ COMO PARA LA ELABORACIÓN DE VERSIONES PÚBLICAS; Capítulos IX del ANEXO DEL ACUERDO CONAIP/SNT/ACUERDO/EXT18/03/2016-03, por lo que SOLICITO SE ME ENVIE VIA SAIMEX LA INFORMACION PUBLICA SIGUIENTE; 1.- Se me envié el contrato o los contratos y de existir sus anexos, celebrados con Accendo Banco, S.A. Institución de Banca Múltiple y el municipio de Tlalnepantla de Baz, Estado de México para el Número de cuenta: 001035140111 y Número de cuenta CLABE: 102180010351401111. 2.- Se me envié el contrato o los contratos y de existir sus anexos, celebrados con Accendo Banco, S.A. Institución de Banca </w:t>
      </w:r>
      <w:r w:rsidRPr="00082FB0">
        <w:rPr>
          <w:rFonts w:ascii="Palatino Linotype" w:eastAsia="Palatino Linotype" w:hAnsi="Palatino Linotype" w:cs="Palatino Linotype"/>
          <w:i/>
          <w:color w:val="000000"/>
        </w:rPr>
        <w:lastRenderedPageBreak/>
        <w:t>Múltiple y el municipio de Tlalnepantla de Baz, Estado de México para el Número de cuenta: 001035140154 y Número de cuenta CLABE: 102180010351401548. 3.- Se me envié el contrato o los contratos y de existir sus anexos, celebrados con Accendo Banco, S.A. Institución de Banca Múltiple y el municipio de Tlalnepantla de Baz, Estado de México para el Número de cuenta: 001035140120 y Número de cuenta CLABE: 102180010351401205. 4.- Se me envié el contrato o los contratos y de existir sus anexos, celebrados con Accendo Banco, S.A. Institución de Banca Múltiple y el municipio de Tlalnepantla de Baz, Estado de México para el Número de cuenta: 001035140138 y Número de cuenta CLABE: 102180010351401386. 5.- Se me envié el contrato o los contratos y de existir sus anexos, celebrados con Accendo Banco, S.A. Institución de Banca Múltiple y el municipio de Tlalnepantla de Baz, Estado de México para el Número de cuenta: 001035140146b y Número de cuenta CLABE: 102180010351401467. 6.- Se me envié el contrato o los contratos y de existir sus anexos, celebrados con Accendo Banco, S.A. Institución de Banca Múltiple y el municipio de Tlalnepantla de Baz, Estado de México para el Número de cuenta: 001035140014 y Número de cuenta CLABE: 102180010351400141. 7.- Se me envié el contrato o los contratos y de existir sus anexos, celebrados con Accendo Banco, S.A. Institución de Banca Múltiple y el municipio de Tlalnepantla de Baz, Estado de México para el Número de cuenta: 001035140103 y Número de cuenta CLABE: 102180010351401030.”</w:t>
      </w:r>
    </w:p>
    <w:p w14:paraId="39C17FD4" w14:textId="77777777" w:rsidR="007678B0" w:rsidRPr="00082FB0" w:rsidRDefault="007678B0">
      <w:pPr>
        <w:pBdr>
          <w:top w:val="nil"/>
          <w:left w:val="nil"/>
          <w:bottom w:val="nil"/>
          <w:right w:val="nil"/>
          <w:between w:val="nil"/>
        </w:pBdr>
        <w:spacing w:line="360" w:lineRule="auto"/>
        <w:ind w:left="426" w:right="-989"/>
        <w:jc w:val="both"/>
        <w:rPr>
          <w:rFonts w:ascii="Palatino Linotype" w:eastAsia="Palatino Linotype" w:hAnsi="Palatino Linotype" w:cs="Palatino Linotype"/>
          <w:color w:val="000000"/>
        </w:rPr>
      </w:pPr>
    </w:p>
    <w:p w14:paraId="4F51B737" w14:textId="77777777" w:rsidR="007678B0" w:rsidRPr="00082FB0" w:rsidRDefault="00E315F0">
      <w:pPr>
        <w:pBdr>
          <w:top w:val="nil"/>
          <w:left w:val="nil"/>
          <w:bottom w:val="nil"/>
          <w:right w:val="nil"/>
          <w:between w:val="nil"/>
        </w:pBdr>
        <w:spacing w:line="360" w:lineRule="auto"/>
        <w:ind w:left="426" w:right="-989"/>
        <w:jc w:val="both"/>
        <w:rPr>
          <w:rFonts w:ascii="Palatino Linotype" w:eastAsia="Palatino Linotype" w:hAnsi="Palatino Linotype" w:cs="Palatino Linotype"/>
          <w:b/>
          <w:color w:val="000000"/>
        </w:rPr>
      </w:pPr>
      <w:r w:rsidRPr="00082FB0">
        <w:rPr>
          <w:rFonts w:ascii="Palatino Linotype" w:eastAsia="Palatino Linotype" w:hAnsi="Palatino Linotype" w:cs="Palatino Linotype"/>
          <w:b/>
          <w:color w:val="000000"/>
        </w:rPr>
        <w:t>Número de Folio de la Solicitud: 01146/TLALNEPA/IP/2024</w:t>
      </w:r>
    </w:p>
    <w:p w14:paraId="0CEE9299" w14:textId="77777777" w:rsidR="007678B0" w:rsidRPr="00082FB0" w:rsidRDefault="00E315F0">
      <w:pPr>
        <w:pBdr>
          <w:top w:val="nil"/>
          <w:left w:val="nil"/>
          <w:bottom w:val="nil"/>
          <w:right w:val="nil"/>
          <w:between w:val="nil"/>
        </w:pBdr>
        <w:spacing w:line="360" w:lineRule="auto"/>
        <w:ind w:left="426" w:right="-989"/>
        <w:jc w:val="both"/>
        <w:rPr>
          <w:rFonts w:ascii="Palatino Linotype" w:eastAsia="Palatino Linotype" w:hAnsi="Palatino Linotype" w:cs="Palatino Linotype"/>
          <w:i/>
          <w:color w:val="000000"/>
        </w:rPr>
      </w:pPr>
      <w:r w:rsidRPr="00082FB0">
        <w:rPr>
          <w:rFonts w:ascii="Palatino Linotype" w:eastAsia="Palatino Linotype" w:hAnsi="Palatino Linotype" w:cs="Palatino Linotype"/>
          <w:i/>
          <w:color w:val="000000"/>
        </w:rPr>
        <w:t xml:space="preserve">“De conformidad con los artículos; 1 y 6 segundo párrafo y su apartado A de la Constitución Política de Los Estados Unidos Mexicanos, 4, 6 y 7 de la Ley General de Transparencia y Acceso a la Información Pública, 4, 7 y 8 de la Ley de Transparencia y Acceso a la Información Pública del Estado de México y Municipios, a los LINEAMIENTOS GENERALES EN MATERIA DE </w:t>
      </w:r>
      <w:r w:rsidRPr="00082FB0">
        <w:rPr>
          <w:rFonts w:ascii="Palatino Linotype" w:eastAsia="Palatino Linotype" w:hAnsi="Palatino Linotype" w:cs="Palatino Linotype"/>
          <w:i/>
          <w:color w:val="000000"/>
        </w:rPr>
        <w:lastRenderedPageBreak/>
        <w:t>CLASIFICACIÓN Y DESCLASIFICACIÓN DE LA INFORMACIÓN, ASÍ COMO PARA LA ELABORACIÓN DE VERSIONES PÚBLICAS; Capítulo IX del ANEXO DEL ACUERDO CONAIP/SNT/ACUERDO/EXT18/03/2016-03, a lo que establece el “acuerdo con el principio de máxima publicidad, la apertura es la regla, y el secreto es la excepción” (Corte IDH, Caso Claude Reyes y otros vs. Chile, al CONVENIO de fecha 23 de noviembre de 2023, celebrado entre el presidente del Comisariado Ejidal del poblado de San Juan Ixhuatepec, los ciudadanos Arturo Rivas González y Alberto Cano Moran ambos ex comisariados ejidales de dicho poblado, el licenciado Rodolfo Manzo Hernández jurídico de la Delegación del Registro Agrario Nacional en el estado de México y el licenciado Jhonatan Yvy Sánchez Segura subdirector de la subdirección de tenencia de la tierra y asuntos metropolitanos con nivel de puesto 31 K dependiente de la Dirección de Desarrollo Urbano del municipio de Tlalnepantla, México, en donde este funcionario se comprometió a nombre del ayuntamiento de Tlalnepantla a dar seguimiento conjuntamente con el ejido de San Juan Ixhuatepec a gestionar ante el Instituto de la Función Registral del estado de México y/o ante la autoridad correspondiente la exención del pago de 484 títulos de propiedad Compromiso 1), por lo que solicito la siguiente información pública que debe de tener en sus archivos el ayuntamiento de Tlalnepantla, México y que me deberá ser enviada vía SAIMEX; 1. Una COPIA CERTIFICADA a mi costa, del CONVENIO CELEBRADO de fecha 23 de noviembre de 2023, entre el presidente del Comisariado Ejidal del poblado de San Juan Ixhuatepec, los ciudadanos Arturo Rivas González y Alberto Cano Moran ambos ex comisariados ejidales de dicho poblado, el licenciado Rodolfo Manzo Hernández jurídico de la Delegación del Registro Agrario Nacional en el estado de México y el licenciado Jhonatan Yvy Sánchez Segura TITULAR de la subdirección de tenencia de la tierra y asuntos metropolitanos de esta municipalidad de Tlalnepantla, México.”</w:t>
      </w:r>
    </w:p>
    <w:p w14:paraId="377AB45A" w14:textId="77777777" w:rsidR="007678B0" w:rsidRPr="00082FB0" w:rsidRDefault="007678B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p>
    <w:p w14:paraId="7965A015" w14:textId="77777777" w:rsidR="007678B0" w:rsidRPr="00082FB0" w:rsidRDefault="00E315F0">
      <w:pPr>
        <w:numPr>
          <w:ilvl w:val="0"/>
          <w:numId w:val="5"/>
        </w:numPr>
        <w:pBdr>
          <w:top w:val="nil"/>
          <w:left w:val="nil"/>
          <w:bottom w:val="nil"/>
          <w:right w:val="nil"/>
          <w:between w:val="nil"/>
        </w:pBdr>
        <w:spacing w:line="360" w:lineRule="auto"/>
        <w:ind w:left="1134" w:right="-989"/>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b/>
          <w:color w:val="000000"/>
        </w:rPr>
        <w:t>Modalidad de entrega</w:t>
      </w:r>
      <w:r w:rsidRPr="00082FB0">
        <w:rPr>
          <w:rFonts w:ascii="Palatino Linotype" w:eastAsia="Palatino Linotype" w:hAnsi="Palatino Linotype" w:cs="Palatino Linotype"/>
          <w:color w:val="000000"/>
        </w:rPr>
        <w:t>: Vía SAIMEX</w:t>
      </w:r>
    </w:p>
    <w:p w14:paraId="4ABB3918" w14:textId="77777777" w:rsidR="007678B0" w:rsidRPr="00082FB0" w:rsidRDefault="007678B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p>
    <w:p w14:paraId="0B8A241D" w14:textId="77777777" w:rsidR="00E315F0" w:rsidRPr="00082FB0" w:rsidRDefault="00E315F0" w:rsidP="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En fecha </w:t>
      </w:r>
      <w:r w:rsidRPr="00082FB0">
        <w:rPr>
          <w:rFonts w:ascii="Palatino Linotype" w:eastAsia="Palatino Linotype" w:hAnsi="Palatino Linotype" w:cs="Palatino Linotype"/>
          <w:b/>
          <w:color w:val="000000"/>
        </w:rPr>
        <w:t>dieciséis de mayo de dos mil veinticuatro</w:t>
      </w:r>
      <w:r w:rsidRPr="00082FB0">
        <w:rPr>
          <w:rFonts w:ascii="Palatino Linotype" w:eastAsia="Palatino Linotype" w:hAnsi="Palatino Linotype" w:cs="Palatino Linotype"/>
          <w:color w:val="000000"/>
        </w:rPr>
        <w:t xml:space="preserve">, se emitió respuesta a la solicitud de información 00503/TLALNEPA/IP/2024, a la que se remitió el archivo denominado </w:t>
      </w:r>
      <w:r w:rsidRPr="00082FB0">
        <w:rPr>
          <w:rFonts w:ascii="Palatino Linotype" w:eastAsia="Palatino Linotype" w:hAnsi="Palatino Linotype" w:cs="Palatino Linotype"/>
          <w:i/>
          <w:color w:val="000000"/>
        </w:rPr>
        <w:t>RESPUESTA SAIMEX 00503.zip</w:t>
      </w:r>
      <w:r w:rsidRPr="00082FB0">
        <w:rPr>
          <w:rFonts w:ascii="Palatino Linotype" w:eastAsia="Palatino Linotype" w:hAnsi="Palatino Linotype" w:cs="Palatino Linotype"/>
          <w:color w:val="000000"/>
        </w:rPr>
        <w:t xml:space="preserve">, archivo que corresponde a un archivo comprimido; que a su vez contiene cuatro archivos en formato PDF que corresponden a las respuestas de los servidores públicos habilitados de las áreas de Dirección Jurídica, quien propone la clasificación de la información, acompañado para tal efecto del Acta del Comité de Transparencia </w:t>
      </w:r>
      <w:r w:rsidRPr="00082FB0">
        <w:rPr>
          <w:rFonts w:ascii="Palatino Linotype" w:eastAsia="Palatino Linotype" w:hAnsi="Palatino Linotype" w:cs="Palatino Linotype"/>
          <w:i/>
          <w:color w:val="000000"/>
        </w:rPr>
        <w:t>08/CT/18-ORD/2024</w:t>
      </w:r>
      <w:r w:rsidRPr="00082FB0">
        <w:rPr>
          <w:rFonts w:ascii="Palatino Linotype" w:eastAsia="Palatino Linotype" w:hAnsi="Palatino Linotype" w:cs="Palatino Linotype"/>
          <w:color w:val="000000"/>
        </w:rPr>
        <w:t xml:space="preserve"> que la confirma. Así como dos oficios suscritos por el Director de Servicios Públicos y de Sustentabilidad Ambiental quienes declinan su competencia para conocer de la solicitud de información por no contar con facultades y atribuciones al respecto.</w:t>
      </w:r>
    </w:p>
    <w:p w14:paraId="4D983092" w14:textId="77777777" w:rsidR="00E315F0" w:rsidRPr="00082FB0" w:rsidRDefault="00E315F0" w:rsidP="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p>
    <w:p w14:paraId="628C282E" w14:textId="77777777" w:rsidR="00E315F0" w:rsidRPr="00082FB0" w:rsidRDefault="00E315F0" w:rsidP="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Seguidamente el día </w:t>
      </w:r>
      <w:r w:rsidRPr="00082FB0">
        <w:rPr>
          <w:rFonts w:ascii="Palatino Linotype" w:eastAsia="Palatino Linotype" w:hAnsi="Palatino Linotype" w:cs="Palatino Linotype"/>
          <w:b/>
          <w:color w:val="000000"/>
        </w:rPr>
        <w:t>veinticuatro del mismo mes y año</w:t>
      </w:r>
      <w:r w:rsidRPr="00082FB0">
        <w:rPr>
          <w:rFonts w:ascii="Palatino Linotype" w:eastAsia="Palatino Linotype" w:hAnsi="Palatino Linotype" w:cs="Palatino Linotype"/>
          <w:color w:val="000000"/>
        </w:rPr>
        <w:t xml:space="preserve">, se emitió respuesta a la solicitud de información </w:t>
      </w:r>
      <w:r w:rsidRPr="00082FB0">
        <w:rPr>
          <w:rFonts w:ascii="Palatino Linotype" w:eastAsia="Palatino Linotype" w:hAnsi="Palatino Linotype" w:cs="Palatino Linotype"/>
          <w:i/>
          <w:color w:val="000000"/>
        </w:rPr>
        <w:t>00608/TLALNEPA/IP/2024</w:t>
      </w:r>
      <w:r w:rsidRPr="00082FB0">
        <w:rPr>
          <w:rFonts w:ascii="Palatino Linotype" w:eastAsia="Palatino Linotype" w:hAnsi="Palatino Linotype" w:cs="Palatino Linotype"/>
          <w:color w:val="000000"/>
        </w:rPr>
        <w:t xml:space="preserve">, a través del archivo </w:t>
      </w:r>
      <w:r w:rsidRPr="00082FB0">
        <w:rPr>
          <w:rFonts w:ascii="Palatino Linotype" w:eastAsia="Palatino Linotype" w:hAnsi="Palatino Linotype" w:cs="Palatino Linotype"/>
          <w:i/>
          <w:color w:val="000000"/>
        </w:rPr>
        <w:t>RESPUESTA SAIMEX 00608.zip</w:t>
      </w:r>
      <w:r w:rsidRPr="00082FB0">
        <w:rPr>
          <w:rFonts w:ascii="Palatino Linotype" w:eastAsia="Palatino Linotype" w:hAnsi="Palatino Linotype" w:cs="Palatino Linotype"/>
          <w:color w:val="000000"/>
        </w:rPr>
        <w:t xml:space="preserve">, que a su vez contienen los Acuerdos de Reserva de la Información </w:t>
      </w:r>
      <w:r w:rsidRPr="00082FB0">
        <w:rPr>
          <w:rFonts w:ascii="Palatino Linotype" w:eastAsia="Palatino Linotype" w:hAnsi="Palatino Linotype" w:cs="Palatino Linotype"/>
          <w:i/>
          <w:color w:val="000000"/>
        </w:rPr>
        <w:t>02/CT/11-ORD-2024</w:t>
      </w:r>
      <w:r w:rsidRPr="00082FB0">
        <w:rPr>
          <w:rFonts w:ascii="Palatino Linotype" w:eastAsia="Palatino Linotype" w:hAnsi="Palatino Linotype" w:cs="Palatino Linotype"/>
          <w:color w:val="000000"/>
        </w:rPr>
        <w:t xml:space="preserve"> y </w:t>
      </w:r>
      <w:r w:rsidRPr="00082FB0">
        <w:rPr>
          <w:rFonts w:ascii="Palatino Linotype" w:eastAsia="Palatino Linotype" w:hAnsi="Palatino Linotype" w:cs="Palatino Linotype"/>
          <w:i/>
          <w:color w:val="000000"/>
        </w:rPr>
        <w:t>06/CT/11-ORD-2024</w:t>
      </w:r>
      <w:r w:rsidRPr="00082FB0">
        <w:rPr>
          <w:rFonts w:ascii="Palatino Linotype" w:eastAsia="Palatino Linotype" w:hAnsi="Palatino Linotype" w:cs="Palatino Linotype"/>
          <w:color w:val="000000"/>
        </w:rPr>
        <w:t xml:space="preserve"> en el que se confirma la reserva de la información propuesta por el servidor público habilitado y, un Oficio suscrito por el Tesorero Municipal quien somete a consideración del Comité de Transparencia, la reserva de la información solicitada.</w:t>
      </w:r>
    </w:p>
    <w:p w14:paraId="35EE5011" w14:textId="77777777" w:rsidR="00B74B62" w:rsidRPr="00082FB0" w:rsidRDefault="00E315F0" w:rsidP="00B74B62">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Por otro lado, en fecha </w:t>
      </w:r>
      <w:r w:rsidRPr="00082FB0">
        <w:rPr>
          <w:rFonts w:ascii="Palatino Linotype" w:eastAsia="Palatino Linotype" w:hAnsi="Palatino Linotype" w:cs="Palatino Linotype"/>
          <w:b/>
          <w:color w:val="000000"/>
        </w:rPr>
        <w:t>doce de diciembre de dos mil veinticuatro</w:t>
      </w:r>
      <w:r w:rsidR="00885EC5" w:rsidRPr="00082FB0">
        <w:rPr>
          <w:rFonts w:ascii="Palatino Linotype" w:eastAsia="Palatino Linotype" w:hAnsi="Palatino Linotype" w:cs="Palatino Linotype"/>
          <w:color w:val="000000"/>
        </w:rPr>
        <w:t>, se emitió respuesta a la solicitud de información 01146/TLALNEPA/IP/2024</w:t>
      </w:r>
      <w:r w:rsidR="00B74B62" w:rsidRPr="00082FB0">
        <w:rPr>
          <w:rFonts w:ascii="Palatino Linotype" w:eastAsia="Palatino Linotype" w:hAnsi="Palatino Linotype" w:cs="Palatino Linotype"/>
          <w:color w:val="000000"/>
        </w:rPr>
        <w:t xml:space="preserve">, a través del archivo denominado </w:t>
      </w:r>
      <w:r w:rsidR="00B74B62" w:rsidRPr="00082FB0">
        <w:rPr>
          <w:rFonts w:ascii="Palatino Linotype" w:eastAsia="Palatino Linotype" w:hAnsi="Palatino Linotype" w:cs="Palatino Linotype"/>
          <w:i/>
          <w:color w:val="000000"/>
        </w:rPr>
        <w:lastRenderedPageBreak/>
        <w:t>RESP DESARROLLO URBANO 3350.pdf</w:t>
      </w:r>
      <w:r w:rsidR="00B74B62" w:rsidRPr="00082FB0">
        <w:rPr>
          <w:rFonts w:ascii="Palatino Linotype" w:eastAsia="Palatino Linotype" w:hAnsi="Palatino Linotype" w:cs="Palatino Linotype"/>
          <w:color w:val="000000"/>
        </w:rPr>
        <w:t>, cuyo contenido corresponde a dos oficios; el primero signado por el Director de Desarrollo Social Urbano, quien expone que luego de una búsqueda exhaustiva y razonable, no obra lo solicitado en sus archivos y, un oficio signado por el Subdirector de Tenencia de la Tierra y Asuntos Metropolitanos, quien refiere que deberá solicitarse el Acuerdo solicitado al Tribunal Agrario Distrito 10, por obrar en sus archivos.</w:t>
      </w:r>
    </w:p>
    <w:p w14:paraId="12827079" w14:textId="77777777" w:rsidR="00E315F0" w:rsidRPr="00082FB0" w:rsidRDefault="00E315F0" w:rsidP="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p>
    <w:p w14:paraId="312192B2"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Los días </w:t>
      </w:r>
      <w:r w:rsidRPr="00082FB0">
        <w:rPr>
          <w:rFonts w:ascii="Palatino Linotype" w:eastAsia="Palatino Linotype" w:hAnsi="Palatino Linotype" w:cs="Palatino Linotype"/>
          <w:b/>
          <w:color w:val="000000"/>
        </w:rPr>
        <w:t>cinco y catorce de junio y, veintiséis de diciembre de dos mil veinticuatro</w:t>
      </w:r>
      <w:r w:rsidRPr="00082FB0">
        <w:rPr>
          <w:rFonts w:ascii="Palatino Linotype" w:eastAsia="Palatino Linotype" w:hAnsi="Palatino Linotype" w:cs="Palatino Linotype"/>
          <w:color w:val="000000"/>
        </w:rPr>
        <w:t>, el solicitante interpuso recurso de revisión en las solicitudes de información</w:t>
      </w:r>
      <w:r w:rsidRPr="00082FB0">
        <w:rPr>
          <w:rFonts w:ascii="Palatino Linotype" w:eastAsia="Palatino Linotype" w:hAnsi="Palatino Linotype" w:cs="Palatino Linotype"/>
          <w:b/>
          <w:color w:val="000000"/>
        </w:rPr>
        <w:t xml:space="preserve"> </w:t>
      </w:r>
      <w:r w:rsidRPr="00082FB0">
        <w:rPr>
          <w:rFonts w:ascii="Palatino Linotype" w:eastAsia="Palatino Linotype" w:hAnsi="Palatino Linotype" w:cs="Palatino Linotype"/>
          <w:color w:val="000000"/>
        </w:rPr>
        <w:t>objeto de la presente acumulación, señalando en todos los recursos de revisión, las siguientes razones o motivos de inconformidad:</w:t>
      </w:r>
    </w:p>
    <w:p w14:paraId="70058E1A" w14:textId="77777777" w:rsidR="007678B0" w:rsidRPr="00082FB0" w:rsidRDefault="00E315F0">
      <w:pPr>
        <w:pBdr>
          <w:top w:val="nil"/>
          <w:left w:val="nil"/>
          <w:bottom w:val="nil"/>
          <w:right w:val="nil"/>
          <w:between w:val="nil"/>
        </w:pBdr>
        <w:spacing w:line="360" w:lineRule="auto"/>
        <w:ind w:left="426" w:right="-280"/>
        <w:jc w:val="both"/>
        <w:rPr>
          <w:rFonts w:ascii="Palatino Linotype" w:eastAsia="Palatino Linotype" w:hAnsi="Palatino Linotype" w:cs="Palatino Linotype"/>
          <w:b/>
          <w:color w:val="000000"/>
          <w:sz w:val="22"/>
          <w:szCs w:val="22"/>
        </w:rPr>
      </w:pPr>
      <w:r w:rsidRPr="00082FB0">
        <w:rPr>
          <w:rFonts w:ascii="Palatino Linotype" w:eastAsia="Palatino Linotype" w:hAnsi="Palatino Linotype" w:cs="Palatino Linotype"/>
          <w:b/>
          <w:color w:val="000000"/>
          <w:sz w:val="22"/>
          <w:szCs w:val="22"/>
        </w:rPr>
        <w:t>Folio del recurso de revisión: 03498/INFOEM/IP/RR/2024</w:t>
      </w:r>
    </w:p>
    <w:p w14:paraId="20297AAD" w14:textId="77777777" w:rsidR="007678B0" w:rsidRPr="00082FB0" w:rsidRDefault="00E315F0">
      <w:pPr>
        <w:pBdr>
          <w:top w:val="nil"/>
          <w:left w:val="nil"/>
          <w:bottom w:val="nil"/>
          <w:right w:val="nil"/>
          <w:between w:val="nil"/>
        </w:pBdr>
        <w:spacing w:line="360" w:lineRule="auto"/>
        <w:ind w:left="426" w:right="-280"/>
        <w:jc w:val="both"/>
        <w:rPr>
          <w:rFonts w:ascii="Palatino Linotype" w:eastAsia="Palatino Linotype" w:hAnsi="Palatino Linotype" w:cs="Palatino Linotype"/>
          <w:b/>
          <w:color w:val="000000"/>
          <w:sz w:val="22"/>
          <w:szCs w:val="22"/>
        </w:rPr>
      </w:pPr>
      <w:r w:rsidRPr="00082FB0">
        <w:rPr>
          <w:rFonts w:ascii="Palatino Linotype" w:eastAsia="Palatino Linotype" w:hAnsi="Palatino Linotype" w:cs="Palatino Linotype"/>
          <w:b/>
          <w:color w:val="000000"/>
          <w:sz w:val="22"/>
          <w:szCs w:val="22"/>
        </w:rPr>
        <w:t>ACTO IMPUGNADO</w:t>
      </w:r>
      <w:r w:rsidRPr="00082FB0">
        <w:rPr>
          <w:rFonts w:ascii="Palatino Linotype" w:eastAsia="Palatino Linotype" w:hAnsi="Palatino Linotype" w:cs="Palatino Linotype"/>
          <w:b/>
          <w:color w:val="000000"/>
          <w:sz w:val="22"/>
          <w:szCs w:val="22"/>
        </w:rPr>
        <w:tab/>
      </w:r>
    </w:p>
    <w:p w14:paraId="725402CE" w14:textId="77777777" w:rsidR="007678B0" w:rsidRPr="00082FB0" w:rsidRDefault="00E315F0">
      <w:pPr>
        <w:pBdr>
          <w:top w:val="nil"/>
          <w:left w:val="nil"/>
          <w:bottom w:val="nil"/>
          <w:right w:val="nil"/>
          <w:between w:val="nil"/>
        </w:pBdr>
        <w:spacing w:line="360" w:lineRule="auto"/>
        <w:ind w:left="426"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“Se clasifica como reservada la información publica solicitada amparándose en el articulo 113 fracción XI de la Ley General de Transparencia y Acceso a la Información Publica que a la letra dice ; "Como información reservada podrá clasificarse aquella cuya publicación: XI. Vulnere la conducción de los Expedientes judiciales o de los procedimientos administrativos seguidos en forma de juicio, en tanto no hayan causado estado;”</w:t>
      </w:r>
    </w:p>
    <w:p w14:paraId="1BFC8F60" w14:textId="77777777" w:rsidR="007678B0" w:rsidRPr="00082FB0" w:rsidRDefault="007678B0">
      <w:pPr>
        <w:pBdr>
          <w:top w:val="nil"/>
          <w:left w:val="nil"/>
          <w:bottom w:val="nil"/>
          <w:right w:val="nil"/>
          <w:between w:val="nil"/>
        </w:pBdr>
        <w:spacing w:line="360" w:lineRule="auto"/>
        <w:ind w:left="426" w:right="-280"/>
        <w:jc w:val="both"/>
        <w:rPr>
          <w:rFonts w:ascii="Palatino Linotype" w:eastAsia="Palatino Linotype" w:hAnsi="Palatino Linotype" w:cs="Palatino Linotype"/>
          <w:color w:val="000000"/>
          <w:sz w:val="22"/>
          <w:szCs w:val="22"/>
        </w:rPr>
      </w:pPr>
    </w:p>
    <w:p w14:paraId="43151723" w14:textId="77777777" w:rsidR="007678B0" w:rsidRPr="00082FB0" w:rsidRDefault="00E315F0">
      <w:pPr>
        <w:pBdr>
          <w:top w:val="nil"/>
          <w:left w:val="nil"/>
          <w:bottom w:val="nil"/>
          <w:right w:val="nil"/>
          <w:between w:val="nil"/>
        </w:pBdr>
        <w:spacing w:line="360" w:lineRule="auto"/>
        <w:ind w:left="426" w:right="-280"/>
        <w:jc w:val="both"/>
        <w:rPr>
          <w:rFonts w:ascii="Palatino Linotype" w:eastAsia="Palatino Linotype" w:hAnsi="Palatino Linotype" w:cs="Palatino Linotype"/>
          <w:b/>
          <w:color w:val="000000"/>
          <w:sz w:val="22"/>
          <w:szCs w:val="22"/>
        </w:rPr>
      </w:pPr>
      <w:r w:rsidRPr="00082FB0">
        <w:rPr>
          <w:rFonts w:ascii="Palatino Linotype" w:eastAsia="Palatino Linotype" w:hAnsi="Palatino Linotype" w:cs="Palatino Linotype"/>
          <w:b/>
          <w:color w:val="000000"/>
          <w:sz w:val="22"/>
          <w:szCs w:val="22"/>
        </w:rPr>
        <w:t>RAZONES O MOTIVOS DE LA INCONFORMIDAD</w:t>
      </w:r>
      <w:r w:rsidRPr="00082FB0">
        <w:rPr>
          <w:rFonts w:ascii="Palatino Linotype" w:eastAsia="Palatino Linotype" w:hAnsi="Palatino Linotype" w:cs="Palatino Linotype"/>
          <w:b/>
          <w:color w:val="000000"/>
          <w:sz w:val="22"/>
          <w:szCs w:val="22"/>
        </w:rPr>
        <w:tab/>
      </w:r>
    </w:p>
    <w:p w14:paraId="1B257B93" w14:textId="77777777" w:rsidR="007678B0" w:rsidRPr="00082FB0" w:rsidRDefault="00E315F0">
      <w:pPr>
        <w:pBdr>
          <w:top w:val="nil"/>
          <w:left w:val="nil"/>
          <w:bottom w:val="nil"/>
          <w:right w:val="nil"/>
          <w:between w:val="nil"/>
        </w:pBdr>
        <w:spacing w:line="360" w:lineRule="auto"/>
        <w:ind w:left="426"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 xml:space="preserve">“Amparándose en el articulo 113 fracción XI de la Ley General de Transparencia y Acceso a la Información Publica que a la letra dice ; "Como información reservada podrá clasificarse aquella cuya publicación: XI. Vulnere la conducción de los Expedientes judiciales o de los procedimientos administrativos seguidos en forma de juicio, en tanto no hayan causado estado; el sujeto obligado </w:t>
      </w:r>
      <w:r w:rsidRPr="00082FB0">
        <w:rPr>
          <w:rFonts w:ascii="Palatino Linotype" w:eastAsia="Palatino Linotype" w:hAnsi="Palatino Linotype" w:cs="Palatino Linotype"/>
          <w:i/>
          <w:color w:val="000000"/>
          <w:sz w:val="22"/>
          <w:szCs w:val="22"/>
        </w:rPr>
        <w:lastRenderedPageBreak/>
        <w:t>clasifica ilegalmente la información publica solicitada. Información publica que de conformidad con el articulo 112 fracciones I y II de la Ley Federal de Transparencia y Acceso a la Información Publica no debería de ser clasificada como reservada, porque actualmente se esta violando el derecho humano a un medio ambiente sano y el Estado debe garantizar el respeto a este derecho. El daño y deterioro ambiental generará responsabilidad para quien lo provoque en términos de lo dispuesto por la ley. Que se ha venido causando daños al medio ambiente en la operación de este relleno sanitario que debe ser convertido a centro integral de residuos, según sellos de clausura números ; 10045/2021, 10046/2021, 10047/2021, 10048,/2021, 10049/2021 y 10050/2021 emitidos por la Procuraduría de Protección al Medio Ambiente del Estado de México en el año 2021. También se encuentra una carpeta de investigación NIC FRM/FRM/02/MPl/184/00066/21/10 por delitos graves de corrupción. Es de señalarse la grave omisión del director de sustentabilidad ambiental del ayuntamiento municipal de Tlalnepantla al no asumir las responsabilidades que se le señalan en el articulo 385 del Reglamento Interno de la Administración Pública Municipal de Tlalnepantla de Baz, Estado de México.”</w:t>
      </w:r>
    </w:p>
    <w:p w14:paraId="0802726C" w14:textId="77777777" w:rsidR="007678B0" w:rsidRPr="00082FB0" w:rsidRDefault="007678B0">
      <w:pPr>
        <w:pBdr>
          <w:top w:val="nil"/>
          <w:left w:val="nil"/>
          <w:bottom w:val="nil"/>
          <w:right w:val="nil"/>
          <w:between w:val="nil"/>
        </w:pBdr>
        <w:spacing w:line="360" w:lineRule="auto"/>
        <w:ind w:left="284" w:right="-280"/>
        <w:jc w:val="both"/>
        <w:rPr>
          <w:rFonts w:ascii="Palatino Linotype" w:eastAsia="Palatino Linotype" w:hAnsi="Palatino Linotype" w:cs="Palatino Linotype"/>
          <w:b/>
          <w:color w:val="000000"/>
          <w:sz w:val="22"/>
          <w:szCs w:val="22"/>
        </w:rPr>
      </w:pPr>
    </w:p>
    <w:p w14:paraId="60EC5FAA" w14:textId="77777777" w:rsidR="007678B0" w:rsidRPr="00082FB0" w:rsidRDefault="00E315F0">
      <w:pPr>
        <w:pBdr>
          <w:top w:val="nil"/>
          <w:left w:val="nil"/>
          <w:bottom w:val="nil"/>
          <w:right w:val="nil"/>
          <w:between w:val="nil"/>
        </w:pBdr>
        <w:spacing w:line="360" w:lineRule="auto"/>
        <w:ind w:left="284" w:right="-280"/>
        <w:jc w:val="both"/>
        <w:rPr>
          <w:rFonts w:ascii="Palatino Linotype" w:eastAsia="Palatino Linotype" w:hAnsi="Palatino Linotype" w:cs="Palatino Linotype"/>
          <w:b/>
          <w:color w:val="000000"/>
          <w:sz w:val="22"/>
          <w:szCs w:val="22"/>
        </w:rPr>
      </w:pPr>
      <w:r w:rsidRPr="00082FB0">
        <w:rPr>
          <w:rFonts w:ascii="Palatino Linotype" w:eastAsia="Palatino Linotype" w:hAnsi="Palatino Linotype" w:cs="Palatino Linotype"/>
          <w:b/>
          <w:color w:val="000000"/>
          <w:sz w:val="22"/>
          <w:szCs w:val="22"/>
        </w:rPr>
        <w:t>Folio del recurso de revisión: 03638/INFOEM/IP/RR/202</w:t>
      </w:r>
    </w:p>
    <w:p w14:paraId="671EF311" w14:textId="77777777" w:rsidR="007678B0" w:rsidRPr="00082FB0" w:rsidRDefault="00E315F0">
      <w:pPr>
        <w:pBdr>
          <w:top w:val="nil"/>
          <w:left w:val="nil"/>
          <w:bottom w:val="nil"/>
          <w:right w:val="nil"/>
          <w:between w:val="nil"/>
        </w:pBdr>
        <w:spacing w:line="360" w:lineRule="auto"/>
        <w:ind w:left="284" w:right="-280"/>
        <w:jc w:val="both"/>
        <w:rPr>
          <w:rFonts w:ascii="Palatino Linotype" w:eastAsia="Palatino Linotype" w:hAnsi="Palatino Linotype" w:cs="Palatino Linotype"/>
          <w:b/>
          <w:color w:val="000000"/>
          <w:sz w:val="22"/>
          <w:szCs w:val="22"/>
        </w:rPr>
      </w:pPr>
      <w:r w:rsidRPr="00082FB0">
        <w:rPr>
          <w:rFonts w:ascii="Palatino Linotype" w:eastAsia="Palatino Linotype" w:hAnsi="Palatino Linotype" w:cs="Palatino Linotype"/>
          <w:b/>
          <w:color w:val="000000"/>
          <w:sz w:val="22"/>
          <w:szCs w:val="22"/>
        </w:rPr>
        <w:t>ACTO IMPUGNADO</w:t>
      </w:r>
      <w:r w:rsidRPr="00082FB0">
        <w:rPr>
          <w:rFonts w:ascii="Palatino Linotype" w:eastAsia="Palatino Linotype" w:hAnsi="Palatino Linotype" w:cs="Palatino Linotype"/>
          <w:b/>
          <w:color w:val="000000"/>
          <w:sz w:val="22"/>
          <w:szCs w:val="22"/>
        </w:rPr>
        <w:tab/>
      </w:r>
    </w:p>
    <w:p w14:paraId="295FCC1D" w14:textId="77777777" w:rsidR="007678B0" w:rsidRPr="00082FB0" w:rsidRDefault="00E315F0">
      <w:pPr>
        <w:pBdr>
          <w:top w:val="nil"/>
          <w:left w:val="nil"/>
          <w:bottom w:val="nil"/>
          <w:right w:val="nil"/>
          <w:between w:val="nil"/>
        </w:pBdr>
        <w:spacing w:line="360" w:lineRule="auto"/>
        <w:ind w:left="284"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La clasificación de la información publica solicitada</w:t>
      </w:r>
    </w:p>
    <w:p w14:paraId="5B262E74" w14:textId="77777777" w:rsidR="007678B0" w:rsidRPr="00082FB0" w:rsidRDefault="007678B0">
      <w:pPr>
        <w:pBdr>
          <w:top w:val="nil"/>
          <w:left w:val="nil"/>
          <w:bottom w:val="nil"/>
          <w:right w:val="nil"/>
          <w:between w:val="nil"/>
        </w:pBdr>
        <w:spacing w:line="360" w:lineRule="auto"/>
        <w:ind w:left="284" w:right="-280"/>
        <w:jc w:val="both"/>
        <w:rPr>
          <w:rFonts w:ascii="Palatino Linotype" w:eastAsia="Palatino Linotype" w:hAnsi="Palatino Linotype" w:cs="Palatino Linotype"/>
          <w:b/>
          <w:color w:val="000000"/>
          <w:sz w:val="22"/>
          <w:szCs w:val="22"/>
        </w:rPr>
      </w:pPr>
    </w:p>
    <w:p w14:paraId="62D101A3" w14:textId="77777777" w:rsidR="007678B0" w:rsidRPr="00082FB0" w:rsidRDefault="00E315F0">
      <w:pPr>
        <w:pBdr>
          <w:top w:val="nil"/>
          <w:left w:val="nil"/>
          <w:bottom w:val="nil"/>
          <w:right w:val="nil"/>
          <w:between w:val="nil"/>
        </w:pBdr>
        <w:spacing w:line="360" w:lineRule="auto"/>
        <w:ind w:left="284" w:right="-280"/>
        <w:jc w:val="both"/>
        <w:rPr>
          <w:rFonts w:ascii="Palatino Linotype" w:eastAsia="Palatino Linotype" w:hAnsi="Palatino Linotype" w:cs="Palatino Linotype"/>
          <w:b/>
          <w:color w:val="000000"/>
          <w:sz w:val="22"/>
          <w:szCs w:val="22"/>
        </w:rPr>
      </w:pPr>
      <w:r w:rsidRPr="00082FB0">
        <w:rPr>
          <w:rFonts w:ascii="Palatino Linotype" w:eastAsia="Palatino Linotype" w:hAnsi="Palatino Linotype" w:cs="Palatino Linotype"/>
          <w:b/>
          <w:color w:val="000000"/>
          <w:sz w:val="22"/>
          <w:szCs w:val="22"/>
        </w:rPr>
        <w:t>RAZONES O MOTIVOS DE LA INCONFORMIDAD</w:t>
      </w:r>
      <w:r w:rsidRPr="00082FB0">
        <w:rPr>
          <w:rFonts w:ascii="Palatino Linotype" w:eastAsia="Palatino Linotype" w:hAnsi="Palatino Linotype" w:cs="Palatino Linotype"/>
          <w:b/>
          <w:color w:val="000000"/>
          <w:sz w:val="22"/>
          <w:szCs w:val="22"/>
        </w:rPr>
        <w:tab/>
      </w:r>
    </w:p>
    <w:p w14:paraId="0738C0D5" w14:textId="77777777" w:rsidR="007678B0" w:rsidRPr="00082FB0" w:rsidRDefault="00E315F0">
      <w:pPr>
        <w:pBdr>
          <w:top w:val="nil"/>
          <w:left w:val="nil"/>
          <w:bottom w:val="nil"/>
          <w:right w:val="nil"/>
          <w:between w:val="nil"/>
        </w:pBdr>
        <w:spacing w:line="360" w:lineRule="auto"/>
        <w:ind w:left="284"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“El sujeto obligado clasifica inadecuadamente la información publica solicitada violentando los artículos 6, 16 y 17 de la Constitución Política de los Estados Unidos Mexicanos. También incumple el sujeto obligado el articulo 108 de la Ley General de Transparencia y Acceso a la Información Publica en su párrafo que a la letra dice; "análisis caso por caso, mediante la aplicación de la prueba de daño.", también incumple los artículos; 109, 113, 114 y 115 fracción II de la Ley en comento.”</w:t>
      </w:r>
    </w:p>
    <w:p w14:paraId="274A4D19" w14:textId="77777777" w:rsidR="007678B0" w:rsidRPr="00082FB0" w:rsidRDefault="007678B0">
      <w:pPr>
        <w:pBdr>
          <w:top w:val="nil"/>
          <w:left w:val="nil"/>
          <w:bottom w:val="nil"/>
          <w:right w:val="nil"/>
          <w:between w:val="nil"/>
        </w:pBdr>
        <w:spacing w:line="360" w:lineRule="auto"/>
        <w:ind w:left="284" w:right="-280"/>
        <w:jc w:val="both"/>
        <w:rPr>
          <w:rFonts w:ascii="Palatino Linotype" w:eastAsia="Palatino Linotype" w:hAnsi="Palatino Linotype" w:cs="Palatino Linotype"/>
          <w:i/>
          <w:color w:val="000000"/>
          <w:sz w:val="22"/>
          <w:szCs w:val="22"/>
        </w:rPr>
      </w:pPr>
    </w:p>
    <w:p w14:paraId="687C87E1" w14:textId="77777777" w:rsidR="007678B0" w:rsidRPr="00082FB0" w:rsidRDefault="00E315F0">
      <w:pPr>
        <w:pBdr>
          <w:top w:val="nil"/>
          <w:left w:val="nil"/>
          <w:bottom w:val="nil"/>
          <w:right w:val="nil"/>
          <w:between w:val="nil"/>
        </w:pBdr>
        <w:spacing w:line="360" w:lineRule="auto"/>
        <w:ind w:left="284" w:right="-280"/>
        <w:jc w:val="both"/>
        <w:rPr>
          <w:rFonts w:ascii="Palatino Linotype" w:eastAsia="Palatino Linotype" w:hAnsi="Palatino Linotype" w:cs="Palatino Linotype"/>
          <w:b/>
          <w:color w:val="000000"/>
          <w:sz w:val="22"/>
          <w:szCs w:val="22"/>
        </w:rPr>
      </w:pPr>
      <w:r w:rsidRPr="00082FB0">
        <w:rPr>
          <w:rFonts w:ascii="Palatino Linotype" w:eastAsia="Palatino Linotype" w:hAnsi="Palatino Linotype" w:cs="Palatino Linotype"/>
          <w:b/>
          <w:color w:val="000000"/>
          <w:sz w:val="22"/>
          <w:szCs w:val="22"/>
        </w:rPr>
        <w:t>Folio del recurso de revisión:</w:t>
      </w:r>
      <w:r w:rsidRPr="00082FB0">
        <w:rPr>
          <w:rFonts w:ascii="Palatino Linotype" w:eastAsia="Palatino Linotype" w:hAnsi="Palatino Linotype" w:cs="Palatino Linotype"/>
          <w:b/>
          <w:color w:val="000000"/>
          <w:sz w:val="22"/>
          <w:szCs w:val="22"/>
        </w:rPr>
        <w:tab/>
        <w:t>00033/INFOEM/IP/RR/2025</w:t>
      </w:r>
    </w:p>
    <w:p w14:paraId="0C75ADBD" w14:textId="77777777" w:rsidR="007678B0" w:rsidRPr="00082FB0" w:rsidRDefault="00E315F0">
      <w:pPr>
        <w:pBdr>
          <w:top w:val="nil"/>
          <w:left w:val="nil"/>
          <w:bottom w:val="nil"/>
          <w:right w:val="nil"/>
          <w:between w:val="nil"/>
        </w:pBdr>
        <w:spacing w:line="360" w:lineRule="auto"/>
        <w:ind w:left="284" w:right="-280"/>
        <w:jc w:val="both"/>
        <w:rPr>
          <w:rFonts w:ascii="Palatino Linotype" w:eastAsia="Palatino Linotype" w:hAnsi="Palatino Linotype" w:cs="Palatino Linotype"/>
          <w:b/>
          <w:color w:val="000000"/>
          <w:sz w:val="22"/>
          <w:szCs w:val="22"/>
        </w:rPr>
      </w:pPr>
      <w:r w:rsidRPr="00082FB0">
        <w:rPr>
          <w:rFonts w:ascii="Palatino Linotype" w:eastAsia="Palatino Linotype" w:hAnsi="Palatino Linotype" w:cs="Palatino Linotype"/>
          <w:b/>
          <w:color w:val="000000"/>
          <w:sz w:val="22"/>
          <w:szCs w:val="22"/>
        </w:rPr>
        <w:t>ACTO IMPUGNADO</w:t>
      </w:r>
      <w:r w:rsidRPr="00082FB0">
        <w:rPr>
          <w:rFonts w:ascii="Palatino Linotype" w:eastAsia="Palatino Linotype" w:hAnsi="Palatino Linotype" w:cs="Palatino Linotype"/>
          <w:b/>
          <w:color w:val="000000"/>
          <w:sz w:val="22"/>
          <w:szCs w:val="22"/>
        </w:rPr>
        <w:tab/>
      </w:r>
    </w:p>
    <w:p w14:paraId="1996EDD3" w14:textId="77777777" w:rsidR="007678B0" w:rsidRPr="00082FB0" w:rsidRDefault="00E315F0">
      <w:pPr>
        <w:pBdr>
          <w:top w:val="nil"/>
          <w:left w:val="nil"/>
          <w:bottom w:val="nil"/>
          <w:right w:val="nil"/>
          <w:between w:val="nil"/>
        </w:pBdr>
        <w:spacing w:line="360" w:lineRule="auto"/>
        <w:ind w:left="284"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“Se me niega la información publica solicitada, declarando la inexistencia del documento solicitado”</w:t>
      </w:r>
    </w:p>
    <w:p w14:paraId="4E2E7A0A" w14:textId="77777777" w:rsidR="007678B0" w:rsidRPr="00082FB0" w:rsidRDefault="007678B0">
      <w:pPr>
        <w:pBdr>
          <w:top w:val="nil"/>
          <w:left w:val="nil"/>
          <w:bottom w:val="nil"/>
          <w:right w:val="nil"/>
          <w:between w:val="nil"/>
        </w:pBdr>
        <w:spacing w:line="360" w:lineRule="auto"/>
        <w:ind w:left="284" w:right="-280"/>
        <w:jc w:val="both"/>
        <w:rPr>
          <w:rFonts w:ascii="Palatino Linotype" w:eastAsia="Palatino Linotype" w:hAnsi="Palatino Linotype" w:cs="Palatino Linotype"/>
          <w:color w:val="000000"/>
          <w:sz w:val="22"/>
          <w:szCs w:val="22"/>
        </w:rPr>
      </w:pPr>
    </w:p>
    <w:p w14:paraId="680CA8EC" w14:textId="77777777" w:rsidR="007678B0" w:rsidRPr="00082FB0" w:rsidRDefault="00E315F0">
      <w:pPr>
        <w:pBdr>
          <w:top w:val="nil"/>
          <w:left w:val="nil"/>
          <w:bottom w:val="nil"/>
          <w:right w:val="nil"/>
          <w:between w:val="nil"/>
        </w:pBdr>
        <w:spacing w:line="360" w:lineRule="auto"/>
        <w:ind w:left="284" w:right="-280"/>
        <w:jc w:val="both"/>
        <w:rPr>
          <w:rFonts w:ascii="Palatino Linotype" w:eastAsia="Palatino Linotype" w:hAnsi="Palatino Linotype" w:cs="Palatino Linotype"/>
          <w:b/>
          <w:color w:val="000000"/>
          <w:sz w:val="22"/>
          <w:szCs w:val="22"/>
        </w:rPr>
      </w:pPr>
      <w:r w:rsidRPr="00082FB0">
        <w:rPr>
          <w:rFonts w:ascii="Palatino Linotype" w:eastAsia="Palatino Linotype" w:hAnsi="Palatino Linotype" w:cs="Palatino Linotype"/>
          <w:b/>
          <w:color w:val="000000"/>
          <w:sz w:val="22"/>
          <w:szCs w:val="22"/>
        </w:rPr>
        <w:t>RAZONES O MOTIVOS DE LA INCONFORMIDAD</w:t>
      </w:r>
      <w:r w:rsidRPr="00082FB0">
        <w:rPr>
          <w:rFonts w:ascii="Palatino Linotype" w:eastAsia="Palatino Linotype" w:hAnsi="Palatino Linotype" w:cs="Palatino Linotype"/>
          <w:b/>
          <w:color w:val="000000"/>
          <w:sz w:val="22"/>
          <w:szCs w:val="22"/>
        </w:rPr>
        <w:tab/>
      </w:r>
    </w:p>
    <w:p w14:paraId="48B95707" w14:textId="77777777" w:rsidR="007678B0" w:rsidRPr="00082FB0" w:rsidRDefault="00E315F0">
      <w:pPr>
        <w:pBdr>
          <w:top w:val="nil"/>
          <w:left w:val="nil"/>
          <w:bottom w:val="nil"/>
          <w:right w:val="nil"/>
          <w:between w:val="nil"/>
        </w:pBdr>
        <w:spacing w:line="360" w:lineRule="auto"/>
        <w:ind w:left="284"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 xml:space="preserve">“Mediante el oficio No. DDU/3350/2024 de fecha 10 de diciembre de 2024, el C. Director de Desarrollo Urbano omite lo señalado en los articulo; 10 fracciones I, XII, XV y XXII además del 311 fracción IV del REGLAMENTO INTERNO DE LA ADMINISTRACIÓN PÚBLICA MUNICIPAL DE TLALNEPANTLA DE BAZ, ESTADO DE MÉXICO, publicado en la Gaceta oficial del Ayuntamiento de Tlalnepantla, México, número 10 de fecha 22 de febrero de 2022, que a la letra dice; “Suscribir acuerdos, convenios y contratos con dependencias y entidades, así como con particulares, en el ámbito de sus atribuciones y competencias;” El subdirector de Tenencia de la Tierra y Asuntos Metropolitanos mediante el oficio DDU/STTyAM/141/2024 de fecha 6 de diciembre de 2024, reconoce “que se firmo un documento, que contiene una serie de acciones a realizar,…” agregando que dicho documento no obra en los archivos de la subdirección de Tenencia de la Tierra y Asuntos Metropolitanos. El documento que menciona el subdirector es un CONVENIO, el cual se adjunta a este recurso de revisión, que al haber firmado rebaso sus facultades y obligaciones establecidas en el artículo 321 del Reglamento en comento, además de haber ejercido la función pública de los integrantes del Ayuntamiento de Tlalnepantla al darle vigencia actual al “Programa Seguridad del Patrimonio Familiar” acordado en el punto 4 del orden del día de la décima cuarta sesión ordinaria del Ayuntamiento de Tlalnepantla, México celebrada el 23 de mayo de 2019 y que de conformidad con el respectivo CONVENIO DE CONCERTACION firmado por las autoridades municipales de ese entonces con el comisariado ejidal del ejido de San Juan Ixhuatepec, </w:t>
      </w:r>
      <w:r w:rsidRPr="00082FB0">
        <w:rPr>
          <w:rFonts w:ascii="Palatino Linotype" w:eastAsia="Palatino Linotype" w:hAnsi="Palatino Linotype" w:cs="Palatino Linotype"/>
          <w:i/>
          <w:color w:val="000000"/>
          <w:sz w:val="22"/>
          <w:szCs w:val="22"/>
        </w:rPr>
        <w:lastRenderedPageBreak/>
        <w:t>tenía una vigencia hasta el 31 de diciembre del año 2020. Se adjuntan documentos que avalan lo manifestado en este recurso de revisión.”</w:t>
      </w:r>
    </w:p>
    <w:p w14:paraId="094C7399" w14:textId="77777777" w:rsidR="007678B0" w:rsidRPr="00082FB0" w:rsidRDefault="007678B0">
      <w:pPr>
        <w:pBdr>
          <w:top w:val="nil"/>
          <w:left w:val="nil"/>
          <w:bottom w:val="nil"/>
          <w:right w:val="nil"/>
          <w:between w:val="nil"/>
        </w:pBdr>
        <w:spacing w:line="360" w:lineRule="auto"/>
        <w:ind w:left="284" w:right="-989"/>
        <w:jc w:val="both"/>
        <w:rPr>
          <w:rFonts w:ascii="Palatino Linotype" w:eastAsia="Palatino Linotype" w:hAnsi="Palatino Linotype" w:cs="Palatino Linotype"/>
          <w:i/>
          <w:color w:val="000000"/>
        </w:rPr>
      </w:pPr>
    </w:p>
    <w:p w14:paraId="54FB7612"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La Comisionada Ponente con fundamento en lo dispuesto por el artículo 185 fracción II de la ley de la materia, a través de los </w:t>
      </w:r>
      <w:r w:rsidRPr="00082FB0">
        <w:rPr>
          <w:rFonts w:ascii="Palatino Linotype" w:eastAsia="Palatino Linotype" w:hAnsi="Palatino Linotype" w:cs="Palatino Linotype"/>
          <w:b/>
          <w:color w:val="000000"/>
        </w:rPr>
        <w:t xml:space="preserve">acuerdos de admisión </w:t>
      </w:r>
      <w:r w:rsidRPr="00082FB0">
        <w:rPr>
          <w:rFonts w:ascii="Palatino Linotype" w:eastAsia="Palatino Linotype" w:hAnsi="Palatino Linotype" w:cs="Palatino Linotype"/>
          <w:color w:val="000000"/>
        </w:rPr>
        <w:t>de fechas</w:t>
      </w:r>
      <w:r w:rsidRPr="00082FB0">
        <w:rPr>
          <w:rFonts w:ascii="Palatino Linotype" w:eastAsia="Palatino Linotype" w:hAnsi="Palatino Linotype" w:cs="Palatino Linotype"/>
          <w:b/>
          <w:color w:val="000000"/>
        </w:rPr>
        <w:t xml:space="preserve"> siete y dieciocho de junio de dos mil veinticuatro y, treinta y uno de enero de dos mil veinticinco</w:t>
      </w:r>
      <w:r w:rsidRPr="00082FB0">
        <w:rPr>
          <w:rFonts w:ascii="Palatino Linotype" w:eastAsia="Palatino Linotype" w:hAnsi="Palatino Linotype" w:cs="Palatino Linotype"/>
          <w:color w:val="000000"/>
        </w:rPr>
        <w:t xml:space="preserve">, pusieron a disposición de las partes los expedientes electrónicos vía SAIMEX a efecto de que en un plazo máximo de siete días manifestaran lo que a su derecho conviniera, </w:t>
      </w:r>
      <w:r w:rsidRPr="00082FB0">
        <w:rPr>
          <w:rFonts w:ascii="Palatino Linotype" w:eastAsia="Palatino Linotype" w:hAnsi="Palatino Linotype" w:cs="Palatino Linotype"/>
        </w:rPr>
        <w:t>ofreciera</w:t>
      </w:r>
      <w:r w:rsidRPr="00082FB0">
        <w:rPr>
          <w:rFonts w:ascii="Palatino Linotype" w:eastAsia="Palatino Linotype" w:hAnsi="Palatino Linotype" w:cs="Palatino Linotype"/>
          <w:color w:val="000000"/>
        </w:rPr>
        <w:t xml:space="preserve"> pruebas y alegatos según corresponda al caso concreto, de esta forma para que el </w:t>
      </w:r>
      <w:r w:rsidRPr="00082FB0">
        <w:rPr>
          <w:rFonts w:ascii="Palatino Linotype" w:eastAsia="Palatino Linotype" w:hAnsi="Palatino Linotype" w:cs="Palatino Linotype"/>
          <w:b/>
          <w:color w:val="000000"/>
        </w:rPr>
        <w:t xml:space="preserve">SUJETO OBLIGADO </w:t>
      </w:r>
      <w:r w:rsidRPr="00082FB0">
        <w:rPr>
          <w:rFonts w:ascii="Palatino Linotype" w:eastAsia="Palatino Linotype" w:hAnsi="Palatino Linotype" w:cs="Palatino Linotype"/>
        </w:rPr>
        <w:t>presentará</w:t>
      </w:r>
      <w:r w:rsidRPr="00082FB0">
        <w:rPr>
          <w:rFonts w:ascii="Palatino Linotype" w:eastAsia="Palatino Linotype" w:hAnsi="Palatino Linotype" w:cs="Palatino Linotype"/>
          <w:color w:val="000000"/>
        </w:rPr>
        <w:t xml:space="preserve"> el Informe Justificado procedente.</w:t>
      </w:r>
    </w:p>
    <w:p w14:paraId="4DED60F0" w14:textId="77777777" w:rsidR="007678B0" w:rsidRPr="00082FB0" w:rsidRDefault="007678B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p>
    <w:p w14:paraId="26ACAD35"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Posteriormente en fecha</w:t>
      </w:r>
      <w:r w:rsidRPr="00082FB0">
        <w:rPr>
          <w:rFonts w:ascii="Palatino Linotype" w:eastAsia="Palatino Linotype" w:hAnsi="Palatino Linotype" w:cs="Palatino Linotype"/>
          <w:b/>
          <w:color w:val="000000"/>
        </w:rPr>
        <w:t xml:space="preserve"> diecinueve de febrero</w:t>
      </w:r>
      <w:r w:rsidRPr="00082FB0">
        <w:rPr>
          <w:rFonts w:ascii="Palatino Linotype" w:eastAsia="Palatino Linotype" w:hAnsi="Palatino Linotype" w:cs="Palatino Linotype"/>
          <w:color w:val="000000"/>
        </w:rPr>
        <w:t xml:space="preserve"> </w:t>
      </w:r>
      <w:r w:rsidRPr="00082FB0">
        <w:rPr>
          <w:rFonts w:ascii="Palatino Linotype" w:eastAsia="Palatino Linotype" w:hAnsi="Palatino Linotype" w:cs="Palatino Linotype"/>
          <w:b/>
          <w:color w:val="000000"/>
        </w:rPr>
        <w:t>de dos mil veinticinco</w:t>
      </w:r>
      <w:r w:rsidRPr="00082FB0">
        <w:rPr>
          <w:rFonts w:ascii="Palatino Linotype" w:eastAsia="Palatino Linotype" w:hAnsi="Palatino Linotype" w:cs="Palatino Linotype"/>
          <w:color w:val="000000"/>
        </w:rPr>
        <w:t>; se ordenó la acumulación de los recursos de revisión de mérito, a efecto de que se</w:t>
      </w:r>
      <w:r w:rsidRPr="00082FB0">
        <w:rPr>
          <w:rFonts w:ascii="Palatino Linotype" w:eastAsia="Palatino Linotype" w:hAnsi="Palatino Linotype" w:cs="Palatino Linotype"/>
          <w:b/>
          <w:color w:val="000000"/>
        </w:rPr>
        <w:t xml:space="preserve"> </w:t>
      </w:r>
      <w:r w:rsidRPr="00082FB0">
        <w:rPr>
          <w:rFonts w:ascii="Palatino Linotype" w:eastAsia="Palatino Linotype" w:hAnsi="Palatino Linotype" w:cs="Palatino Linotype"/>
          <w:color w:val="000000"/>
        </w:rPr>
        <w:t>formulará y presentará el proyecto de resolución correspondiente de manera unificada,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082FB0">
        <w:rPr>
          <w:rFonts w:ascii="Palatino Linotype" w:eastAsia="Palatino Linotype" w:hAnsi="Palatino Linotype" w:cs="Palatino Linotype"/>
          <w:i/>
          <w:color w:val="000000"/>
          <w:vertAlign w:val="superscript"/>
        </w:rPr>
        <w:footnoteReference w:id="1"/>
      </w:r>
      <w:r w:rsidRPr="00082FB0">
        <w:rPr>
          <w:rFonts w:ascii="Palatino Linotype" w:eastAsia="Palatino Linotype" w:hAnsi="Palatino Linotype" w:cs="Palatino Linotype"/>
          <w:color w:val="000000"/>
        </w:rPr>
        <w:t>, que señala:</w:t>
      </w:r>
    </w:p>
    <w:p w14:paraId="497D91CF" w14:textId="77777777" w:rsidR="007678B0" w:rsidRPr="00082FB0" w:rsidRDefault="00E315F0">
      <w:pPr>
        <w:pBdr>
          <w:top w:val="nil"/>
          <w:left w:val="nil"/>
          <w:bottom w:val="nil"/>
          <w:right w:val="nil"/>
          <w:between w:val="nil"/>
        </w:pBdr>
        <w:tabs>
          <w:tab w:val="left" w:pos="426"/>
        </w:tabs>
        <w:spacing w:line="360" w:lineRule="auto"/>
        <w:ind w:left="1134"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b/>
          <w:i/>
          <w:color w:val="000000"/>
          <w:sz w:val="22"/>
          <w:szCs w:val="22"/>
        </w:rPr>
        <w:t>“ONCE.</w:t>
      </w:r>
      <w:r w:rsidRPr="00082FB0">
        <w:rPr>
          <w:rFonts w:ascii="Palatino Linotype" w:eastAsia="Palatino Linotype" w:hAnsi="Palatino Linotype" w:cs="Palatino Linotype"/>
          <w:i/>
          <w:color w:val="000000"/>
          <w:sz w:val="22"/>
          <w:szCs w:val="22"/>
        </w:rPr>
        <w:t xml:space="preserve"> El Instituto, para mejor resolver y evitar la emisión de resoluciones contradictorias, podrá acordar la acumulación de los expedientes de recursos de revisión, de oficio o a petición de parte cuando:</w:t>
      </w:r>
    </w:p>
    <w:p w14:paraId="714F9DF2" w14:textId="77777777" w:rsidR="007678B0" w:rsidRPr="00082FB0" w:rsidRDefault="00E315F0">
      <w:pPr>
        <w:pBdr>
          <w:top w:val="nil"/>
          <w:left w:val="nil"/>
          <w:bottom w:val="nil"/>
          <w:right w:val="nil"/>
          <w:between w:val="nil"/>
        </w:pBdr>
        <w:tabs>
          <w:tab w:val="left" w:pos="426"/>
        </w:tabs>
        <w:spacing w:line="360" w:lineRule="auto"/>
        <w:ind w:left="1134"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w:t>
      </w:r>
      <w:r w:rsidRPr="00082FB0">
        <w:rPr>
          <w:rFonts w:ascii="Palatino Linotype" w:eastAsia="Palatino Linotype" w:hAnsi="Palatino Linotype" w:cs="Palatino Linotype"/>
          <w:i/>
          <w:color w:val="000000"/>
          <w:sz w:val="22"/>
          <w:szCs w:val="22"/>
        </w:rPr>
        <w:tab/>
      </w:r>
    </w:p>
    <w:p w14:paraId="166B2E66" w14:textId="77777777" w:rsidR="007678B0" w:rsidRPr="00082FB0" w:rsidRDefault="00E315F0">
      <w:pPr>
        <w:pBdr>
          <w:top w:val="nil"/>
          <w:left w:val="nil"/>
          <w:bottom w:val="nil"/>
          <w:right w:val="nil"/>
          <w:between w:val="nil"/>
        </w:pBdr>
        <w:tabs>
          <w:tab w:val="left" w:pos="426"/>
        </w:tabs>
        <w:spacing w:line="360" w:lineRule="auto"/>
        <w:ind w:left="1134"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lastRenderedPageBreak/>
        <w:t>b) Las partes o los actos impugnados sean iguales</w:t>
      </w:r>
    </w:p>
    <w:p w14:paraId="28DFBEAC" w14:textId="77777777" w:rsidR="007678B0" w:rsidRPr="00082FB0" w:rsidRDefault="00E315F0">
      <w:pPr>
        <w:pBdr>
          <w:top w:val="nil"/>
          <w:left w:val="nil"/>
          <w:bottom w:val="nil"/>
          <w:right w:val="nil"/>
          <w:between w:val="nil"/>
        </w:pBdr>
        <w:tabs>
          <w:tab w:val="left" w:pos="426"/>
        </w:tabs>
        <w:spacing w:line="360" w:lineRule="auto"/>
        <w:ind w:left="1134"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c) Cuando se trate del mismo solicitante, el mismo SUJETO OBLIGADO, aunque se trate de solicitudes diversas;</w:t>
      </w:r>
    </w:p>
    <w:p w14:paraId="2AA28821" w14:textId="77777777" w:rsidR="007678B0" w:rsidRPr="00082FB0" w:rsidRDefault="00E315F0">
      <w:pPr>
        <w:pBdr>
          <w:top w:val="nil"/>
          <w:left w:val="nil"/>
          <w:bottom w:val="nil"/>
          <w:right w:val="nil"/>
          <w:between w:val="nil"/>
        </w:pBdr>
        <w:tabs>
          <w:tab w:val="left" w:pos="426"/>
        </w:tabs>
        <w:spacing w:line="360" w:lineRule="auto"/>
        <w:ind w:left="1134"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w:t>
      </w:r>
    </w:p>
    <w:p w14:paraId="384D23F1" w14:textId="77777777" w:rsidR="007678B0" w:rsidRPr="00082FB0" w:rsidRDefault="007678B0">
      <w:pPr>
        <w:pBdr>
          <w:top w:val="nil"/>
          <w:left w:val="nil"/>
          <w:bottom w:val="nil"/>
          <w:right w:val="nil"/>
          <w:between w:val="nil"/>
        </w:pBdr>
        <w:tabs>
          <w:tab w:val="left" w:pos="426"/>
        </w:tabs>
        <w:spacing w:line="360" w:lineRule="auto"/>
        <w:ind w:left="567" w:right="-989"/>
        <w:jc w:val="both"/>
        <w:rPr>
          <w:rFonts w:ascii="Palatino Linotype" w:eastAsia="Palatino Linotype" w:hAnsi="Palatino Linotype" w:cs="Palatino Linotype"/>
          <w:color w:val="000000"/>
        </w:rPr>
      </w:pPr>
    </w:p>
    <w:p w14:paraId="0268B91C"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Es así que,</w:t>
      </w:r>
      <w:r w:rsidRPr="00082FB0">
        <w:rPr>
          <w:rFonts w:ascii="Palatino Linotype" w:eastAsia="Palatino Linotype" w:hAnsi="Palatino Linotype" w:cs="Palatino Linotype"/>
          <w:i/>
          <w:color w:val="000000"/>
        </w:rPr>
        <w:t xml:space="preserve"> </w:t>
      </w:r>
      <w:r w:rsidRPr="00082FB0">
        <w:rPr>
          <w:rFonts w:ascii="Palatino Linotype" w:eastAsia="Palatino Linotype" w:hAnsi="Palatino Linotype" w:cs="Palatino Linotype"/>
          <w:color w:val="000000"/>
        </w:rPr>
        <w:t xml:space="preserve">resulta conveniente su trámite de forma unificada para mejor resolver y evitar la emisión de resoluciones contradictorias, por ello resultó procedente que este Órgano Garante </w:t>
      </w:r>
      <w:r w:rsidRPr="00082FB0">
        <w:rPr>
          <w:rFonts w:ascii="Palatino Linotype" w:eastAsia="Palatino Linotype" w:hAnsi="Palatino Linotype" w:cs="Palatino Linotype"/>
        </w:rPr>
        <w:t>realizará</w:t>
      </w:r>
      <w:r w:rsidRPr="00082FB0">
        <w:rPr>
          <w:rFonts w:ascii="Palatino Linotype" w:eastAsia="Palatino Linotype" w:hAnsi="Palatino Linotype" w:cs="Palatino Linotype"/>
          <w:color w:val="000000"/>
        </w:rPr>
        <w:t xml:space="preserve">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6921183" w14:textId="77777777" w:rsidR="007678B0" w:rsidRPr="00082FB0" w:rsidRDefault="00E315F0">
      <w:pPr>
        <w:pBdr>
          <w:top w:val="nil"/>
          <w:left w:val="nil"/>
          <w:bottom w:val="nil"/>
          <w:right w:val="nil"/>
          <w:between w:val="nil"/>
        </w:pBdr>
        <w:tabs>
          <w:tab w:val="left" w:pos="7889"/>
        </w:tabs>
        <w:spacing w:line="360" w:lineRule="auto"/>
        <w:ind w:left="567" w:right="-280"/>
        <w:jc w:val="both"/>
        <w:rPr>
          <w:rFonts w:ascii="Palatino Linotype" w:eastAsia="Palatino Linotype" w:hAnsi="Palatino Linotype" w:cs="Palatino Linotype"/>
          <w:b/>
          <w:i/>
          <w:color w:val="000000"/>
          <w:sz w:val="22"/>
          <w:szCs w:val="22"/>
        </w:rPr>
      </w:pPr>
      <w:r w:rsidRPr="00082FB0">
        <w:rPr>
          <w:rFonts w:ascii="Palatino Linotype" w:eastAsia="Palatino Linotype" w:hAnsi="Palatino Linotype" w:cs="Palatino Linotype"/>
          <w:b/>
          <w:i/>
          <w:color w:val="000000"/>
          <w:sz w:val="22"/>
          <w:szCs w:val="22"/>
        </w:rPr>
        <w:t>Código de Procedimientos Administrativos del Estado de México.</w:t>
      </w:r>
    </w:p>
    <w:p w14:paraId="2CB673C2" w14:textId="77777777" w:rsidR="007678B0" w:rsidRPr="00082FB0" w:rsidRDefault="00E315F0">
      <w:pPr>
        <w:pBdr>
          <w:top w:val="nil"/>
          <w:left w:val="nil"/>
          <w:bottom w:val="nil"/>
          <w:right w:val="nil"/>
          <w:between w:val="nil"/>
        </w:pBdr>
        <w:tabs>
          <w:tab w:val="left" w:pos="7889"/>
        </w:tabs>
        <w:spacing w:line="360" w:lineRule="auto"/>
        <w:ind w:left="567"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b/>
          <w:i/>
          <w:color w:val="000000"/>
          <w:sz w:val="22"/>
          <w:szCs w:val="22"/>
        </w:rPr>
        <w:t>“Artículo 18.-</w:t>
      </w:r>
      <w:r w:rsidRPr="00082FB0">
        <w:rPr>
          <w:rFonts w:ascii="Palatino Linotype" w:eastAsia="Palatino Linotype" w:hAnsi="Palatino Linotype" w:cs="Palatino Linotype"/>
          <w:i/>
          <w:color w:val="000000"/>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E83A78A" w14:textId="77777777" w:rsidR="007678B0" w:rsidRPr="00082FB0" w:rsidRDefault="007678B0">
      <w:pPr>
        <w:pBdr>
          <w:top w:val="nil"/>
          <w:left w:val="nil"/>
          <w:bottom w:val="nil"/>
          <w:right w:val="nil"/>
          <w:between w:val="nil"/>
        </w:pBdr>
        <w:tabs>
          <w:tab w:val="left" w:pos="7889"/>
        </w:tabs>
        <w:spacing w:line="360" w:lineRule="auto"/>
        <w:ind w:left="567" w:right="-280"/>
        <w:jc w:val="both"/>
        <w:rPr>
          <w:rFonts w:ascii="Palatino Linotype" w:eastAsia="Palatino Linotype" w:hAnsi="Palatino Linotype" w:cs="Palatino Linotype"/>
          <w:i/>
          <w:color w:val="000000"/>
          <w:sz w:val="22"/>
          <w:szCs w:val="22"/>
        </w:rPr>
      </w:pPr>
    </w:p>
    <w:p w14:paraId="4BBF546D" w14:textId="77777777" w:rsidR="007678B0" w:rsidRPr="00082FB0" w:rsidRDefault="00E315F0">
      <w:pPr>
        <w:pBdr>
          <w:top w:val="nil"/>
          <w:left w:val="nil"/>
          <w:bottom w:val="nil"/>
          <w:right w:val="nil"/>
          <w:between w:val="nil"/>
        </w:pBdr>
        <w:tabs>
          <w:tab w:val="left" w:pos="7889"/>
        </w:tabs>
        <w:spacing w:line="360" w:lineRule="auto"/>
        <w:ind w:left="567" w:right="-280"/>
        <w:jc w:val="both"/>
        <w:rPr>
          <w:rFonts w:ascii="Palatino Linotype" w:eastAsia="Palatino Linotype" w:hAnsi="Palatino Linotype" w:cs="Palatino Linotype"/>
          <w:b/>
          <w:i/>
          <w:color w:val="000000"/>
          <w:sz w:val="22"/>
          <w:szCs w:val="22"/>
        </w:rPr>
      </w:pPr>
      <w:r w:rsidRPr="00082FB0">
        <w:rPr>
          <w:rFonts w:ascii="Palatino Linotype" w:eastAsia="Palatino Linotype" w:hAnsi="Palatino Linotype" w:cs="Palatino Linotype"/>
          <w:b/>
          <w:i/>
          <w:color w:val="000000"/>
          <w:sz w:val="22"/>
          <w:szCs w:val="22"/>
        </w:rPr>
        <w:t>Ley de Transparencia y Acceso a la Información Pública del Estado de México y Municipios</w:t>
      </w:r>
    </w:p>
    <w:p w14:paraId="0616C26D" w14:textId="77777777" w:rsidR="007678B0" w:rsidRPr="00082FB0" w:rsidRDefault="00E315F0">
      <w:pPr>
        <w:pBdr>
          <w:top w:val="nil"/>
          <w:left w:val="nil"/>
          <w:bottom w:val="nil"/>
          <w:right w:val="nil"/>
          <w:between w:val="nil"/>
        </w:pBdr>
        <w:tabs>
          <w:tab w:val="left" w:pos="7889"/>
        </w:tabs>
        <w:spacing w:line="360" w:lineRule="auto"/>
        <w:ind w:left="567"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b/>
          <w:i/>
          <w:color w:val="000000"/>
          <w:sz w:val="22"/>
          <w:szCs w:val="22"/>
        </w:rPr>
        <w:t>“Artículo 195.</w:t>
      </w:r>
      <w:r w:rsidRPr="00082FB0">
        <w:rPr>
          <w:rFonts w:ascii="Palatino Linotype" w:eastAsia="Palatino Linotype" w:hAnsi="Palatino Linotype" w:cs="Palatino Linotype"/>
          <w:i/>
          <w:color w:val="000000"/>
          <w:sz w:val="22"/>
          <w:szCs w:val="22"/>
        </w:rPr>
        <w:t xml:space="preserve"> En la tramitación del recurso de revisión se aplicarán supletoriamente las disposiciones contenidas en el Código de Procedimientos Administrativos del Estado de México.”</w:t>
      </w:r>
    </w:p>
    <w:p w14:paraId="322D877F" w14:textId="77777777" w:rsidR="007678B0" w:rsidRPr="00082FB0" w:rsidRDefault="00E315F0">
      <w:pPr>
        <w:pBdr>
          <w:top w:val="nil"/>
          <w:left w:val="nil"/>
          <w:bottom w:val="nil"/>
          <w:right w:val="nil"/>
          <w:between w:val="nil"/>
        </w:pBdr>
        <w:tabs>
          <w:tab w:val="left" w:pos="7889"/>
        </w:tabs>
        <w:spacing w:line="360" w:lineRule="auto"/>
        <w:ind w:left="567" w:right="-280"/>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(Énfasis añadido)</w:t>
      </w:r>
    </w:p>
    <w:p w14:paraId="17B3D9F2" w14:textId="77777777" w:rsidR="007678B0" w:rsidRPr="00082FB0" w:rsidRDefault="007678B0">
      <w:pPr>
        <w:pBdr>
          <w:top w:val="nil"/>
          <w:left w:val="nil"/>
          <w:bottom w:val="nil"/>
          <w:right w:val="nil"/>
          <w:between w:val="nil"/>
        </w:pBdr>
        <w:spacing w:line="360" w:lineRule="auto"/>
        <w:ind w:left="360" w:right="-989" w:firstLine="360"/>
        <w:rPr>
          <w:rFonts w:ascii="Palatino Linotype" w:eastAsia="Palatino Linotype" w:hAnsi="Palatino Linotype" w:cs="Palatino Linotype"/>
          <w:i/>
          <w:color w:val="000000"/>
        </w:rPr>
      </w:pPr>
    </w:p>
    <w:p w14:paraId="69BCE557"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b/>
          <w:color w:val="000000"/>
        </w:rPr>
      </w:pPr>
      <w:r w:rsidRPr="00082FB0">
        <w:rPr>
          <w:rFonts w:ascii="Palatino Linotype" w:eastAsia="Palatino Linotype" w:hAnsi="Palatino Linotype" w:cs="Palatino Linotype"/>
          <w:color w:val="000000"/>
        </w:rPr>
        <w:t xml:space="preserve">De lo anterior, el </w:t>
      </w:r>
      <w:r w:rsidRPr="00082FB0">
        <w:rPr>
          <w:rFonts w:ascii="Palatino Linotype" w:eastAsia="Palatino Linotype" w:hAnsi="Palatino Linotype" w:cs="Palatino Linotype"/>
          <w:b/>
          <w:color w:val="000000"/>
        </w:rPr>
        <w:t xml:space="preserve">SUJETO OBLIGADO </w:t>
      </w:r>
      <w:r w:rsidRPr="00082FB0">
        <w:rPr>
          <w:rFonts w:ascii="Palatino Linotype" w:eastAsia="Palatino Linotype" w:hAnsi="Palatino Linotype" w:cs="Palatino Linotype"/>
          <w:color w:val="000000"/>
        </w:rPr>
        <w:t>rindió informe justificado a los Recurso de Revisión de mérito en el mismo sentido mediante los siguientes archivos:</w:t>
      </w:r>
    </w:p>
    <w:p w14:paraId="0EB71EF0" w14:textId="77777777" w:rsidR="007678B0" w:rsidRPr="00082FB0" w:rsidRDefault="00E315F0">
      <w:pPr>
        <w:pBdr>
          <w:top w:val="nil"/>
          <w:left w:val="nil"/>
          <w:bottom w:val="nil"/>
          <w:right w:val="nil"/>
          <w:between w:val="nil"/>
        </w:pBdr>
        <w:spacing w:line="360" w:lineRule="auto"/>
        <w:ind w:left="426" w:right="-280"/>
        <w:jc w:val="both"/>
        <w:rPr>
          <w:rFonts w:ascii="Palatino Linotype" w:eastAsia="Palatino Linotype" w:hAnsi="Palatino Linotype" w:cs="Palatino Linotype"/>
          <w:b/>
          <w:color w:val="000000"/>
          <w:sz w:val="22"/>
          <w:szCs w:val="22"/>
        </w:rPr>
      </w:pPr>
      <w:r w:rsidRPr="00082FB0">
        <w:rPr>
          <w:rFonts w:ascii="Palatino Linotype" w:eastAsia="Palatino Linotype" w:hAnsi="Palatino Linotype" w:cs="Palatino Linotype"/>
          <w:b/>
          <w:color w:val="000000"/>
          <w:sz w:val="22"/>
          <w:szCs w:val="22"/>
        </w:rPr>
        <w:t>Folio Solicitud: 00503/TLALNEPA/IP/2024</w:t>
      </w:r>
    </w:p>
    <w:p w14:paraId="222A98FC" w14:textId="77777777" w:rsidR="007678B0" w:rsidRPr="00082FB0" w:rsidRDefault="00E315F0">
      <w:pPr>
        <w:pBdr>
          <w:top w:val="nil"/>
          <w:left w:val="nil"/>
          <w:bottom w:val="nil"/>
          <w:right w:val="nil"/>
          <w:between w:val="nil"/>
        </w:pBdr>
        <w:spacing w:line="360" w:lineRule="auto"/>
        <w:ind w:left="426" w:right="-280"/>
        <w:jc w:val="both"/>
        <w:rPr>
          <w:rFonts w:ascii="Palatino Linotype" w:eastAsia="Palatino Linotype" w:hAnsi="Palatino Linotype" w:cs="Palatino Linotype"/>
          <w:b/>
          <w:color w:val="000000"/>
          <w:sz w:val="22"/>
          <w:szCs w:val="22"/>
        </w:rPr>
      </w:pPr>
      <w:r w:rsidRPr="00082FB0">
        <w:rPr>
          <w:rFonts w:ascii="Palatino Linotype" w:eastAsia="Palatino Linotype" w:hAnsi="Palatino Linotype" w:cs="Palatino Linotype"/>
          <w:b/>
          <w:color w:val="000000"/>
          <w:sz w:val="22"/>
          <w:szCs w:val="22"/>
        </w:rPr>
        <w:t>Folio Recurso de Revisión: 03498/INFOEM/IP/RR/2024</w:t>
      </w:r>
    </w:p>
    <w:p w14:paraId="573BAD13" w14:textId="77777777" w:rsidR="007678B0" w:rsidRPr="00082FB0" w:rsidRDefault="00E315F0">
      <w:pPr>
        <w:pBdr>
          <w:top w:val="nil"/>
          <w:left w:val="nil"/>
          <w:bottom w:val="nil"/>
          <w:right w:val="nil"/>
          <w:between w:val="nil"/>
        </w:pBdr>
        <w:spacing w:line="360" w:lineRule="auto"/>
        <w:ind w:left="426" w:right="-280"/>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b/>
          <w:color w:val="000000"/>
          <w:sz w:val="22"/>
          <w:szCs w:val="22"/>
        </w:rPr>
        <w:t xml:space="preserve">MANIFESTACIONES.zip, </w:t>
      </w:r>
      <w:r w:rsidRPr="00082FB0">
        <w:rPr>
          <w:rFonts w:ascii="Palatino Linotype" w:eastAsia="Palatino Linotype" w:hAnsi="Palatino Linotype" w:cs="Palatino Linotype"/>
          <w:color w:val="000000"/>
          <w:sz w:val="22"/>
          <w:szCs w:val="22"/>
        </w:rPr>
        <w:t>archivo comprimido que contiene a su vez cuatro archivos que corresponden al Acuerdo de Reserva de Información 0002/CT/O7-ORD/2022, mediante el cual se somete a clasificación los informes requeridos en la solicitud de referencia por estar sub judice; oficio signado por el Director Jurídico en el que propone la clasificación de la información requerida; oficio signado por el Director de Servicios Públicos en el grosso modo señala no contar con atribuciones para atender la solicitud de información; oficio signado por el Director de Sustentabilidad Ambiental mediante el cual informa confirma la reserva de la información de acuerdo a lo informado por la Dirección Jurídica.</w:t>
      </w:r>
    </w:p>
    <w:p w14:paraId="276B8E37" w14:textId="77777777" w:rsidR="007678B0" w:rsidRPr="00082FB0" w:rsidRDefault="007678B0">
      <w:pPr>
        <w:pBdr>
          <w:top w:val="nil"/>
          <w:left w:val="nil"/>
          <w:bottom w:val="nil"/>
          <w:right w:val="nil"/>
          <w:between w:val="nil"/>
        </w:pBdr>
        <w:spacing w:line="360" w:lineRule="auto"/>
        <w:ind w:left="426" w:right="-280"/>
        <w:jc w:val="both"/>
        <w:rPr>
          <w:rFonts w:ascii="Palatino Linotype" w:eastAsia="Palatino Linotype" w:hAnsi="Palatino Linotype" w:cs="Palatino Linotype"/>
          <w:color w:val="000000"/>
          <w:sz w:val="22"/>
          <w:szCs w:val="22"/>
        </w:rPr>
      </w:pPr>
    </w:p>
    <w:p w14:paraId="643BA56D" w14:textId="77777777" w:rsidR="007678B0" w:rsidRPr="00082FB0" w:rsidRDefault="00E315F0">
      <w:pPr>
        <w:pBdr>
          <w:top w:val="nil"/>
          <w:left w:val="nil"/>
          <w:bottom w:val="nil"/>
          <w:right w:val="nil"/>
          <w:between w:val="nil"/>
        </w:pBdr>
        <w:spacing w:line="360" w:lineRule="auto"/>
        <w:ind w:left="426" w:right="-280"/>
        <w:jc w:val="both"/>
        <w:rPr>
          <w:rFonts w:ascii="Palatino Linotype" w:eastAsia="Palatino Linotype" w:hAnsi="Palatino Linotype" w:cs="Palatino Linotype"/>
          <w:b/>
          <w:color w:val="000000"/>
          <w:sz w:val="22"/>
          <w:szCs w:val="22"/>
        </w:rPr>
      </w:pPr>
      <w:r w:rsidRPr="00082FB0">
        <w:rPr>
          <w:rFonts w:ascii="Palatino Linotype" w:eastAsia="Palatino Linotype" w:hAnsi="Palatino Linotype" w:cs="Palatino Linotype"/>
          <w:b/>
          <w:color w:val="000000"/>
          <w:sz w:val="22"/>
          <w:szCs w:val="22"/>
        </w:rPr>
        <w:t>Folio Solicitud: 00608/TLALNEPA/IP/2024</w:t>
      </w:r>
    </w:p>
    <w:p w14:paraId="5F463172" w14:textId="77777777" w:rsidR="007678B0" w:rsidRPr="00082FB0" w:rsidRDefault="00E315F0">
      <w:pPr>
        <w:pBdr>
          <w:top w:val="nil"/>
          <w:left w:val="nil"/>
          <w:bottom w:val="nil"/>
          <w:right w:val="nil"/>
          <w:between w:val="nil"/>
        </w:pBdr>
        <w:spacing w:line="360" w:lineRule="auto"/>
        <w:ind w:left="426" w:right="-280"/>
        <w:jc w:val="both"/>
        <w:rPr>
          <w:rFonts w:ascii="Palatino Linotype" w:eastAsia="Palatino Linotype" w:hAnsi="Palatino Linotype" w:cs="Palatino Linotype"/>
          <w:b/>
          <w:color w:val="000000"/>
          <w:sz w:val="22"/>
          <w:szCs w:val="22"/>
        </w:rPr>
      </w:pPr>
      <w:r w:rsidRPr="00082FB0">
        <w:rPr>
          <w:rFonts w:ascii="Palatino Linotype" w:eastAsia="Palatino Linotype" w:hAnsi="Palatino Linotype" w:cs="Palatino Linotype"/>
          <w:b/>
          <w:color w:val="000000"/>
          <w:sz w:val="22"/>
          <w:szCs w:val="22"/>
        </w:rPr>
        <w:t>Folio Recurso de Revisión: 03638/INFOEM/IP/RR/2024</w:t>
      </w:r>
    </w:p>
    <w:p w14:paraId="22E3BD01" w14:textId="77777777" w:rsidR="007678B0" w:rsidRPr="00082FB0" w:rsidRDefault="00E315F0">
      <w:pPr>
        <w:pBdr>
          <w:top w:val="nil"/>
          <w:left w:val="nil"/>
          <w:bottom w:val="nil"/>
          <w:right w:val="nil"/>
          <w:between w:val="nil"/>
        </w:pBdr>
        <w:spacing w:line="360" w:lineRule="auto"/>
        <w:ind w:left="426"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b/>
          <w:color w:val="000000"/>
          <w:sz w:val="22"/>
          <w:szCs w:val="22"/>
        </w:rPr>
        <w:t>MANIFESTACIONES.zip,</w:t>
      </w:r>
      <w:r w:rsidRPr="00082FB0">
        <w:rPr>
          <w:rFonts w:ascii="Palatino Linotype" w:eastAsia="Palatino Linotype" w:hAnsi="Palatino Linotype" w:cs="Palatino Linotype"/>
          <w:color w:val="000000"/>
          <w:sz w:val="22"/>
          <w:szCs w:val="22"/>
        </w:rPr>
        <w:t xml:space="preserve"> oficio comprimido que a su vez contiene cinco archivos que corresponden al Acuerdo de Reserva de Información 0002/CT/O7-ORD/2022, mediante el cual se somete a clasificación los informes requeridos en la solicitud de referencia por estar sub judice (repetido dos veces); oficio signado por el Director Jurídico en el que propone la clasificación de la información requerida; oficio signado por el Director de Servicios Públicos en el grosso modo señala no contar con atribuciones para atender la solicitud de información; oficio signado por el Director de Tesorero Municipal en el que propone la </w:t>
      </w:r>
      <w:r w:rsidRPr="00082FB0">
        <w:rPr>
          <w:rFonts w:ascii="Palatino Linotype" w:eastAsia="Palatino Linotype" w:hAnsi="Palatino Linotype" w:cs="Palatino Linotype"/>
          <w:i/>
          <w:color w:val="000000"/>
          <w:sz w:val="22"/>
          <w:szCs w:val="22"/>
        </w:rPr>
        <w:t>reserva total.</w:t>
      </w:r>
    </w:p>
    <w:p w14:paraId="15D699FF" w14:textId="77777777" w:rsidR="007678B0" w:rsidRPr="00082FB0" w:rsidRDefault="007678B0">
      <w:pPr>
        <w:pBdr>
          <w:top w:val="nil"/>
          <w:left w:val="nil"/>
          <w:bottom w:val="nil"/>
          <w:right w:val="nil"/>
          <w:between w:val="nil"/>
        </w:pBdr>
        <w:spacing w:line="360" w:lineRule="auto"/>
        <w:ind w:left="426" w:right="-280"/>
        <w:jc w:val="both"/>
        <w:rPr>
          <w:rFonts w:ascii="Palatino Linotype" w:eastAsia="Palatino Linotype" w:hAnsi="Palatino Linotype" w:cs="Palatino Linotype"/>
          <w:color w:val="000000"/>
          <w:sz w:val="22"/>
          <w:szCs w:val="22"/>
        </w:rPr>
      </w:pPr>
    </w:p>
    <w:p w14:paraId="64DE7BD0" w14:textId="77777777" w:rsidR="007678B0" w:rsidRPr="00082FB0" w:rsidRDefault="00E315F0">
      <w:pPr>
        <w:pBdr>
          <w:top w:val="nil"/>
          <w:left w:val="nil"/>
          <w:bottom w:val="nil"/>
          <w:right w:val="nil"/>
          <w:between w:val="nil"/>
        </w:pBdr>
        <w:spacing w:line="360" w:lineRule="auto"/>
        <w:ind w:left="426" w:right="-280"/>
        <w:jc w:val="both"/>
        <w:rPr>
          <w:rFonts w:ascii="Palatino Linotype" w:eastAsia="Palatino Linotype" w:hAnsi="Palatino Linotype" w:cs="Palatino Linotype"/>
          <w:b/>
          <w:color w:val="000000"/>
          <w:sz w:val="22"/>
          <w:szCs w:val="22"/>
        </w:rPr>
      </w:pPr>
      <w:r w:rsidRPr="00082FB0">
        <w:rPr>
          <w:rFonts w:ascii="Palatino Linotype" w:eastAsia="Palatino Linotype" w:hAnsi="Palatino Linotype" w:cs="Palatino Linotype"/>
          <w:b/>
          <w:color w:val="000000"/>
          <w:sz w:val="22"/>
          <w:szCs w:val="22"/>
        </w:rPr>
        <w:t>Folio Solicitud: 01146/TLALNEPA/IP/2024</w:t>
      </w:r>
    </w:p>
    <w:p w14:paraId="4640D2E6" w14:textId="77777777" w:rsidR="007678B0" w:rsidRPr="00082FB0" w:rsidRDefault="00E315F0">
      <w:pPr>
        <w:pBdr>
          <w:top w:val="nil"/>
          <w:left w:val="nil"/>
          <w:bottom w:val="nil"/>
          <w:right w:val="nil"/>
          <w:between w:val="nil"/>
        </w:pBdr>
        <w:spacing w:line="360" w:lineRule="auto"/>
        <w:ind w:left="426" w:right="-280"/>
        <w:jc w:val="both"/>
        <w:rPr>
          <w:rFonts w:ascii="Palatino Linotype" w:eastAsia="Palatino Linotype" w:hAnsi="Palatino Linotype" w:cs="Palatino Linotype"/>
          <w:b/>
          <w:color w:val="000000"/>
          <w:sz w:val="22"/>
          <w:szCs w:val="22"/>
        </w:rPr>
      </w:pPr>
      <w:r w:rsidRPr="00082FB0">
        <w:rPr>
          <w:rFonts w:ascii="Palatino Linotype" w:eastAsia="Palatino Linotype" w:hAnsi="Palatino Linotype" w:cs="Palatino Linotype"/>
          <w:b/>
          <w:color w:val="000000"/>
          <w:sz w:val="22"/>
          <w:szCs w:val="22"/>
        </w:rPr>
        <w:t>Folio Recurso de Revisión: 00033/INFOEM/IP/RR/2025</w:t>
      </w:r>
    </w:p>
    <w:p w14:paraId="3FE79074" w14:textId="77777777" w:rsidR="007678B0" w:rsidRPr="00082FB0" w:rsidRDefault="00E315F0">
      <w:pPr>
        <w:pBdr>
          <w:top w:val="nil"/>
          <w:left w:val="nil"/>
          <w:bottom w:val="nil"/>
          <w:right w:val="nil"/>
          <w:between w:val="nil"/>
        </w:pBdr>
        <w:spacing w:line="360" w:lineRule="auto"/>
        <w:ind w:left="426" w:right="-280"/>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b/>
          <w:color w:val="000000"/>
          <w:sz w:val="22"/>
          <w:szCs w:val="22"/>
        </w:rPr>
        <w:t>Manifestaciones RR33.pdf</w:t>
      </w:r>
      <w:r w:rsidRPr="00082FB0">
        <w:rPr>
          <w:rFonts w:ascii="Palatino Linotype" w:eastAsia="Palatino Linotype" w:hAnsi="Palatino Linotype" w:cs="Palatino Linotype"/>
          <w:color w:val="000000"/>
          <w:sz w:val="22"/>
          <w:szCs w:val="22"/>
        </w:rPr>
        <w:t>, que contiene un oficio signado por la Coordinadora de Tenencia de la Tierra y Control del Crecimiento Urbano, en el que confirma su respuesta inicial la cual versaba en la no localización de lo solicitado previa búsqueda exhaustiva y razonable; oficio signado por el Director de Transformación Urbana en el que expone que no existe en su área ningún Convenio con el nombre y concepto referido en la solicitud de información.</w:t>
      </w:r>
    </w:p>
    <w:p w14:paraId="319D963F" w14:textId="77777777" w:rsidR="007678B0" w:rsidRPr="00082FB0" w:rsidRDefault="007678B0">
      <w:pPr>
        <w:pBdr>
          <w:top w:val="nil"/>
          <w:left w:val="nil"/>
          <w:bottom w:val="nil"/>
          <w:right w:val="nil"/>
          <w:between w:val="nil"/>
        </w:pBdr>
        <w:spacing w:line="360" w:lineRule="auto"/>
        <w:ind w:right="-989"/>
        <w:jc w:val="both"/>
        <w:rPr>
          <w:rFonts w:ascii="Palatino Linotype" w:eastAsia="Palatino Linotype" w:hAnsi="Palatino Linotype" w:cs="Palatino Linotype"/>
          <w:b/>
          <w:i/>
          <w:color w:val="000000"/>
        </w:rPr>
      </w:pPr>
    </w:p>
    <w:p w14:paraId="0599BC24"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b/>
          <w:color w:val="000000"/>
        </w:rPr>
      </w:pPr>
      <w:r w:rsidRPr="00082FB0">
        <w:rPr>
          <w:rFonts w:ascii="Palatino Linotype" w:eastAsia="Palatino Linotype" w:hAnsi="Palatino Linotype" w:cs="Palatino Linotype"/>
          <w:color w:val="000000"/>
        </w:rPr>
        <w:t xml:space="preserve">Por su parte, el particular realizó manifestaciones al Recurso de Revisión </w:t>
      </w:r>
      <w:r w:rsidRPr="00082FB0">
        <w:rPr>
          <w:rFonts w:ascii="Palatino Linotype" w:eastAsia="Palatino Linotype" w:hAnsi="Palatino Linotype" w:cs="Palatino Linotype"/>
          <w:b/>
          <w:color w:val="000000"/>
        </w:rPr>
        <w:t>03638/INFOEM/IP/RR/2024</w:t>
      </w:r>
      <w:r w:rsidRPr="00082FB0">
        <w:rPr>
          <w:rFonts w:ascii="Palatino Linotype" w:eastAsia="Palatino Linotype" w:hAnsi="Palatino Linotype" w:cs="Palatino Linotype"/>
          <w:color w:val="000000"/>
        </w:rPr>
        <w:t>, alegando de manera general lo siguiente: "</w:t>
      </w:r>
      <w:r w:rsidRPr="00082FB0">
        <w:rPr>
          <w:rFonts w:ascii="Palatino Linotype" w:eastAsia="Palatino Linotype" w:hAnsi="Palatino Linotype" w:cs="Palatino Linotype"/>
          <w:i/>
          <w:color w:val="000000"/>
        </w:rPr>
        <w:t>los 2 acuerdos presentados de reserva total contienen violaciones graves a las leyes de transparencia la general y la particular del estado de mExico por ejemplo violentan el articulo 108 de la Ley general de analizar caso por caso de la solicitud de informacion publica por mi solicitada, segundo en el acuerdo 06/CT/11-ORD/2024 la contraloria interna invade competencias de investigacion y sustentacion del Organo Superior de Fiscalizacion del Estado de Mexico por tratarse de un falta grave y pudiese estar incurriendo en obstruccion de la justocoa. Faltas paredcidas se cometen en el acuerdo 02/CT/11-ORD/2024 al no analizar caso por caso y no contemplar que solo en 4 contratos de solicitados pudiese aplicarse alguno de los argumento de reserva pero no en los 7 contratos que estoy solicitando"</w:t>
      </w:r>
      <w:r w:rsidRPr="00082FB0">
        <w:rPr>
          <w:rFonts w:ascii="Palatino Linotype" w:eastAsia="Palatino Linotype" w:hAnsi="Palatino Linotype" w:cs="Palatino Linotype"/>
          <w:color w:val="000000"/>
        </w:rPr>
        <w:t>; asimismo adjunta un estado de cuenta del Banco Accendo.</w:t>
      </w:r>
    </w:p>
    <w:p w14:paraId="75D36EF7" w14:textId="77777777" w:rsidR="007678B0" w:rsidRPr="00082FB0" w:rsidRDefault="007678B0">
      <w:pPr>
        <w:pBdr>
          <w:top w:val="nil"/>
          <w:left w:val="nil"/>
          <w:bottom w:val="nil"/>
          <w:right w:val="nil"/>
          <w:between w:val="nil"/>
        </w:pBdr>
        <w:spacing w:line="360" w:lineRule="auto"/>
        <w:ind w:right="-989"/>
        <w:jc w:val="both"/>
        <w:rPr>
          <w:rFonts w:ascii="Palatino Linotype" w:eastAsia="Palatino Linotype" w:hAnsi="Palatino Linotype" w:cs="Palatino Linotype"/>
          <w:b/>
          <w:i/>
          <w:color w:val="000000"/>
        </w:rPr>
      </w:pPr>
    </w:p>
    <w:p w14:paraId="4B54FB48"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El veinte de febrero del año en curso, se amplió el término para resolver el Recurso de Revisión por un periodo de quince días hábiles adicionales al lapso ordinario. Al respecto </w:t>
      </w:r>
      <w:r w:rsidRPr="00082FB0">
        <w:rPr>
          <w:rFonts w:ascii="Palatino Linotype" w:eastAsia="Palatino Linotype" w:hAnsi="Palatino Linotype" w:cs="Palatino Linotype"/>
          <w:color w:val="000000"/>
        </w:rPr>
        <w:lastRenderedPageBreak/>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 </w:t>
      </w:r>
    </w:p>
    <w:p w14:paraId="1638D53F" w14:textId="77777777" w:rsidR="007678B0" w:rsidRPr="00082FB0" w:rsidRDefault="007678B0">
      <w:pPr>
        <w:pBdr>
          <w:top w:val="nil"/>
          <w:left w:val="nil"/>
          <w:bottom w:val="nil"/>
          <w:right w:val="nil"/>
          <w:between w:val="nil"/>
        </w:pBdr>
        <w:spacing w:line="360" w:lineRule="auto"/>
        <w:ind w:left="360" w:right="-989"/>
        <w:jc w:val="both"/>
        <w:rPr>
          <w:rFonts w:ascii="Palatino Linotype" w:eastAsia="Palatino Linotype" w:hAnsi="Palatino Linotype" w:cs="Palatino Linotype"/>
        </w:rPr>
      </w:pPr>
      <w:bookmarkStart w:id="3" w:name="_heading=h.c4a064s8p7s9" w:colFirst="0" w:colLast="0"/>
      <w:bookmarkEnd w:id="3"/>
    </w:p>
    <w:p w14:paraId="1D598E6E"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 </w:t>
      </w:r>
    </w:p>
    <w:p w14:paraId="0FB9E2D0" w14:textId="77777777" w:rsidR="007678B0" w:rsidRPr="00082FB0" w:rsidRDefault="007678B0">
      <w:pPr>
        <w:pBdr>
          <w:top w:val="nil"/>
          <w:left w:val="nil"/>
          <w:bottom w:val="nil"/>
          <w:right w:val="nil"/>
          <w:between w:val="nil"/>
        </w:pBdr>
        <w:spacing w:line="360" w:lineRule="auto"/>
        <w:ind w:left="720" w:right="-989"/>
        <w:rPr>
          <w:rFonts w:ascii="Palatino Linotype" w:eastAsia="Palatino Linotype" w:hAnsi="Palatino Linotype" w:cs="Palatino Linotype"/>
          <w:color w:val="000000"/>
        </w:rPr>
      </w:pPr>
    </w:p>
    <w:p w14:paraId="693EF8A9"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w:t>
      </w:r>
    </w:p>
    <w:p w14:paraId="2FD666F4" w14:textId="77777777" w:rsidR="007678B0" w:rsidRPr="00082FB0" w:rsidRDefault="007678B0">
      <w:pPr>
        <w:pBdr>
          <w:top w:val="nil"/>
          <w:left w:val="nil"/>
          <w:bottom w:val="nil"/>
          <w:right w:val="nil"/>
          <w:between w:val="nil"/>
        </w:pBdr>
        <w:spacing w:line="360" w:lineRule="auto"/>
        <w:ind w:left="720" w:right="-989"/>
        <w:rPr>
          <w:rFonts w:ascii="Palatino Linotype" w:eastAsia="Palatino Linotype" w:hAnsi="Palatino Linotype" w:cs="Palatino Linotype"/>
          <w:color w:val="000000"/>
        </w:rPr>
      </w:pPr>
    </w:p>
    <w:p w14:paraId="4F386645"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1B857C8"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su resolución, atentos a los siguientes criterios: </w:t>
      </w:r>
    </w:p>
    <w:p w14:paraId="580C7104" w14:textId="77777777" w:rsidR="007678B0" w:rsidRPr="00082FB0" w:rsidRDefault="00E315F0">
      <w:pPr>
        <w:spacing w:line="360" w:lineRule="auto"/>
        <w:ind w:left="708" w:right="-280"/>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lastRenderedPageBreak/>
        <w:t xml:space="preserve">a) Complejidad del </w:t>
      </w:r>
      <w:r w:rsidRPr="00082FB0">
        <w:rPr>
          <w:rFonts w:ascii="Palatino Linotype" w:eastAsia="Palatino Linotype" w:hAnsi="Palatino Linotype" w:cs="Palatino Linotype"/>
          <w:sz w:val="22"/>
          <w:szCs w:val="22"/>
        </w:rPr>
        <w:t>asunto</w:t>
      </w:r>
      <w:r w:rsidRPr="00082FB0">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 </w:t>
      </w:r>
    </w:p>
    <w:p w14:paraId="70588CBA" w14:textId="77777777" w:rsidR="007678B0" w:rsidRPr="00082FB0" w:rsidRDefault="00E315F0">
      <w:pPr>
        <w:spacing w:line="360" w:lineRule="auto"/>
        <w:ind w:left="708" w:right="-280"/>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b) Actividad Procesal del interesado. Acciones u omisiones del interesado.</w:t>
      </w:r>
    </w:p>
    <w:p w14:paraId="101BB974" w14:textId="77777777" w:rsidR="007678B0" w:rsidRPr="00082FB0" w:rsidRDefault="00E315F0">
      <w:pPr>
        <w:spacing w:line="360" w:lineRule="auto"/>
        <w:ind w:left="708" w:right="-280"/>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 xml:space="preserve">c) Conducta de la Autoridad: Las Acciones u omisiones realizadas en el procedimiento. Así como si la autoridad actuó con la debida diligencia. </w:t>
      </w:r>
    </w:p>
    <w:p w14:paraId="12A6509D" w14:textId="77777777" w:rsidR="007678B0" w:rsidRPr="00082FB0" w:rsidRDefault="00E315F0">
      <w:pPr>
        <w:spacing w:line="360" w:lineRule="auto"/>
        <w:ind w:left="708" w:right="-280"/>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 xml:space="preserve">d) La afectación generada en la situación jurídica de la persona involucrada en el proceso: Violación a sus derechos humanos. </w:t>
      </w:r>
    </w:p>
    <w:p w14:paraId="116F56BA" w14:textId="77777777" w:rsidR="007678B0" w:rsidRPr="00082FB0" w:rsidRDefault="007678B0">
      <w:pPr>
        <w:spacing w:line="360" w:lineRule="auto"/>
        <w:ind w:right="-989"/>
        <w:jc w:val="both"/>
        <w:rPr>
          <w:rFonts w:ascii="Palatino Linotype" w:eastAsia="Palatino Linotype" w:hAnsi="Palatino Linotype" w:cs="Palatino Linotype"/>
          <w:color w:val="000000"/>
        </w:rPr>
      </w:pPr>
    </w:p>
    <w:p w14:paraId="775EE02E"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 </w:t>
      </w:r>
    </w:p>
    <w:p w14:paraId="0DCB30E9" w14:textId="77777777" w:rsidR="007678B0" w:rsidRPr="00082FB0" w:rsidRDefault="007678B0">
      <w:pPr>
        <w:spacing w:line="360" w:lineRule="auto"/>
        <w:ind w:right="-989"/>
        <w:jc w:val="both"/>
        <w:rPr>
          <w:rFonts w:ascii="Palatino Linotype" w:eastAsia="Palatino Linotype" w:hAnsi="Palatino Linotype" w:cs="Palatino Linotype"/>
          <w:color w:val="000000"/>
        </w:rPr>
      </w:pPr>
    </w:p>
    <w:p w14:paraId="47201936"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del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 </w:t>
      </w:r>
    </w:p>
    <w:p w14:paraId="3573F9CB"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w:t>
      </w:r>
      <w:r w:rsidRPr="00082FB0">
        <w:rPr>
          <w:rFonts w:ascii="Palatino Linotype" w:eastAsia="Palatino Linotype" w:hAnsi="Palatino Linotype" w:cs="Palatino Linotype"/>
          <w:color w:val="000000"/>
        </w:rPr>
        <w:lastRenderedPageBreak/>
        <w:t xml:space="preserve">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w:t>
      </w:r>
    </w:p>
    <w:p w14:paraId="3D42BE08" w14:textId="77777777" w:rsidR="007678B0" w:rsidRPr="00082FB0" w:rsidRDefault="007678B0">
      <w:pPr>
        <w:spacing w:line="360" w:lineRule="auto"/>
        <w:ind w:right="-989"/>
        <w:jc w:val="both"/>
        <w:rPr>
          <w:rFonts w:ascii="Palatino Linotype" w:eastAsia="Palatino Linotype" w:hAnsi="Palatino Linotype" w:cs="Palatino Linotype"/>
          <w:color w:val="000000"/>
        </w:rPr>
      </w:pPr>
    </w:p>
    <w:p w14:paraId="44811837"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278AD19F" w14:textId="77777777" w:rsidR="007678B0" w:rsidRPr="00082FB0" w:rsidRDefault="00E315F0">
      <w:pPr>
        <w:pBdr>
          <w:top w:val="nil"/>
          <w:left w:val="nil"/>
          <w:bottom w:val="nil"/>
          <w:right w:val="nil"/>
          <w:between w:val="nil"/>
        </w:pBdr>
        <w:spacing w:line="360" w:lineRule="auto"/>
        <w:ind w:left="425"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“PLAZO RAZONABLE PARA RESOLVER. DIMENSIÓN Y EFECTOS DE ESTE CONCEPTO CUANDO SE ADUCE EXCESIVA CARGA DE TRABAJO.” consultable en el Sem</w:t>
      </w:r>
      <w:r w:rsidRPr="00082FB0">
        <w:rPr>
          <w:rFonts w:ascii="Palatino Linotype" w:eastAsia="Palatino Linotype" w:hAnsi="Palatino Linotype" w:cs="Palatino Linotype"/>
          <w:i/>
          <w:sz w:val="22"/>
          <w:szCs w:val="22"/>
        </w:rPr>
        <w:t>a</w:t>
      </w:r>
      <w:r w:rsidRPr="00082FB0">
        <w:rPr>
          <w:rFonts w:ascii="Palatino Linotype" w:eastAsia="Palatino Linotype" w:hAnsi="Palatino Linotype" w:cs="Palatino Linotype"/>
          <w:i/>
          <w:color w:val="000000"/>
          <w:sz w:val="22"/>
          <w:szCs w:val="22"/>
        </w:rPr>
        <w:t xml:space="preserve">nario Judicial de la Federación y su gaceta, con el registro digital 2002351. </w:t>
      </w:r>
    </w:p>
    <w:p w14:paraId="139879DC" w14:textId="77777777" w:rsidR="007678B0" w:rsidRPr="00082FB0" w:rsidRDefault="007678B0">
      <w:pPr>
        <w:spacing w:line="360" w:lineRule="auto"/>
        <w:ind w:left="567" w:right="-280"/>
        <w:jc w:val="both"/>
        <w:rPr>
          <w:rFonts w:ascii="Palatino Linotype" w:eastAsia="Palatino Linotype" w:hAnsi="Palatino Linotype" w:cs="Palatino Linotype"/>
          <w:i/>
          <w:color w:val="000000"/>
          <w:sz w:val="22"/>
          <w:szCs w:val="22"/>
        </w:rPr>
      </w:pPr>
    </w:p>
    <w:p w14:paraId="5B87B022" w14:textId="77777777" w:rsidR="007678B0" w:rsidRPr="00082FB0" w:rsidRDefault="00E315F0">
      <w:pPr>
        <w:pBdr>
          <w:top w:val="nil"/>
          <w:left w:val="nil"/>
          <w:bottom w:val="nil"/>
          <w:right w:val="nil"/>
          <w:between w:val="nil"/>
        </w:pBdr>
        <w:spacing w:line="360" w:lineRule="auto"/>
        <w:ind w:left="425"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“PLAZO RAZONABLE PARA RESOLVER. CONCEPTO Y ELEMENTOS QUE LO INTEGRAN A LA LUZ DEL DERECHO INTERNACIONAL DE LOS DERECHOS HUMANOS.”, visible en el Sem</w:t>
      </w:r>
      <w:r w:rsidRPr="00082FB0">
        <w:rPr>
          <w:rFonts w:ascii="Palatino Linotype" w:eastAsia="Palatino Linotype" w:hAnsi="Palatino Linotype" w:cs="Palatino Linotype"/>
          <w:i/>
          <w:sz w:val="22"/>
          <w:szCs w:val="22"/>
        </w:rPr>
        <w:t>a</w:t>
      </w:r>
      <w:r w:rsidRPr="00082FB0">
        <w:rPr>
          <w:rFonts w:ascii="Palatino Linotype" w:eastAsia="Palatino Linotype" w:hAnsi="Palatino Linotype" w:cs="Palatino Linotype"/>
          <w:i/>
          <w:color w:val="000000"/>
          <w:sz w:val="22"/>
          <w:szCs w:val="22"/>
        </w:rPr>
        <w:t xml:space="preserve">nario Judicial de la Federación y su gaceta, con el registro digital 2002350. </w:t>
      </w:r>
    </w:p>
    <w:p w14:paraId="7F7CDF91" w14:textId="77777777" w:rsidR="007678B0" w:rsidRPr="00082FB0" w:rsidRDefault="007678B0">
      <w:pPr>
        <w:spacing w:line="360" w:lineRule="auto"/>
        <w:ind w:left="567" w:right="-989"/>
        <w:jc w:val="both"/>
        <w:rPr>
          <w:rFonts w:ascii="Palatino Linotype" w:eastAsia="Palatino Linotype" w:hAnsi="Palatino Linotype" w:cs="Palatino Linotype"/>
          <w:i/>
          <w:color w:val="000000"/>
        </w:rPr>
      </w:pPr>
    </w:p>
    <w:p w14:paraId="7499A7FF"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Por ello, este Organismo Garante comprometido con la tutela de los derechos humanos confiados, señala que este exceso del plazo legal para resolver el presente asunto, resulta de carácter excepcional. </w:t>
      </w:r>
    </w:p>
    <w:p w14:paraId="45CED840" w14:textId="77777777" w:rsidR="007678B0" w:rsidRPr="00082FB0" w:rsidRDefault="007678B0">
      <w:pPr>
        <w:pBdr>
          <w:top w:val="nil"/>
          <w:left w:val="nil"/>
          <w:bottom w:val="nil"/>
          <w:right w:val="nil"/>
          <w:between w:val="nil"/>
        </w:pBdr>
        <w:ind w:left="720" w:right="-989"/>
        <w:rPr>
          <w:rFonts w:ascii="Palatino Linotype" w:eastAsia="Palatino Linotype" w:hAnsi="Palatino Linotype" w:cs="Palatino Linotype"/>
          <w:color w:val="000000"/>
        </w:rPr>
      </w:pPr>
    </w:p>
    <w:p w14:paraId="2B4AD768"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b/>
          <w:color w:val="000000"/>
        </w:rPr>
      </w:pPr>
      <w:r w:rsidRPr="00082FB0">
        <w:rPr>
          <w:rFonts w:ascii="Palatino Linotype" w:eastAsia="Palatino Linotype" w:hAnsi="Palatino Linotype" w:cs="Palatino Linotype"/>
          <w:color w:val="000000"/>
        </w:rPr>
        <w:lastRenderedPageBreak/>
        <w:t>Finalmente, la Comisionada Ponente mediante acuerdo de fecha</w:t>
      </w:r>
      <w:r w:rsidRPr="00082FB0">
        <w:rPr>
          <w:rFonts w:ascii="Palatino Linotype" w:eastAsia="Palatino Linotype" w:hAnsi="Palatino Linotype" w:cs="Palatino Linotype"/>
          <w:b/>
          <w:color w:val="000000"/>
        </w:rPr>
        <w:t xml:space="preserve"> diecinueve de febrero de </w:t>
      </w:r>
      <w:r w:rsidRPr="00082FB0">
        <w:rPr>
          <w:rFonts w:ascii="Palatino Linotype" w:eastAsia="Palatino Linotype" w:hAnsi="Palatino Linotype" w:cs="Palatino Linotype"/>
          <w:color w:val="000000"/>
        </w:rPr>
        <w:t>dos</w:t>
      </w:r>
      <w:r w:rsidRPr="00082FB0">
        <w:rPr>
          <w:rFonts w:ascii="Palatino Linotype" w:eastAsia="Palatino Linotype" w:hAnsi="Palatino Linotype" w:cs="Palatino Linotype"/>
          <w:b/>
          <w:color w:val="000000"/>
        </w:rPr>
        <w:t xml:space="preserve"> mil veinticinco</w:t>
      </w:r>
      <w:r w:rsidRPr="00082FB0">
        <w:rPr>
          <w:rFonts w:ascii="Palatino Linotype" w:eastAsia="Palatino Linotype" w:hAnsi="Palatino Linotype" w:cs="Palatino Linotype"/>
          <w:color w:val="000000"/>
        </w:rPr>
        <w:t>, decretó el cierre de instrucción de los expedientes, por lo que no habiendo más que hacer constar, y -----------------------------------------------------------------</w:t>
      </w:r>
    </w:p>
    <w:p w14:paraId="7136878C" w14:textId="77777777" w:rsidR="007678B0" w:rsidRPr="00082FB0" w:rsidRDefault="007678B0">
      <w:pPr>
        <w:pBdr>
          <w:top w:val="nil"/>
          <w:left w:val="nil"/>
          <w:bottom w:val="nil"/>
          <w:right w:val="nil"/>
          <w:between w:val="nil"/>
        </w:pBdr>
        <w:spacing w:line="360" w:lineRule="auto"/>
        <w:ind w:right="-989"/>
        <w:jc w:val="both"/>
        <w:rPr>
          <w:rFonts w:ascii="Palatino Linotype" w:eastAsia="Palatino Linotype" w:hAnsi="Palatino Linotype" w:cs="Palatino Linotype"/>
          <w:b/>
          <w:color w:val="000000"/>
        </w:rPr>
      </w:pPr>
    </w:p>
    <w:p w14:paraId="53FAECBC" w14:textId="77777777" w:rsidR="007678B0" w:rsidRPr="00082FB0" w:rsidRDefault="00E315F0">
      <w:pPr>
        <w:pStyle w:val="Ttulo1"/>
        <w:tabs>
          <w:tab w:val="left" w:pos="567"/>
        </w:tabs>
        <w:spacing w:before="0" w:line="360" w:lineRule="auto"/>
        <w:ind w:right="-989"/>
        <w:jc w:val="center"/>
      </w:pPr>
      <w:bookmarkStart w:id="4" w:name="_heading=h.1fob9te" w:colFirst="0" w:colLast="0"/>
      <w:bookmarkEnd w:id="4"/>
      <w:r w:rsidRPr="00082FB0">
        <w:t xml:space="preserve">C O N S I D E R A N D O </w:t>
      </w:r>
    </w:p>
    <w:p w14:paraId="5C58D145" w14:textId="77777777" w:rsidR="007678B0" w:rsidRPr="00082FB0" w:rsidRDefault="007678B0">
      <w:pPr>
        <w:spacing w:line="360" w:lineRule="auto"/>
        <w:ind w:right="-989"/>
        <w:rPr>
          <w:rFonts w:ascii="Palatino Linotype" w:eastAsia="Palatino Linotype" w:hAnsi="Palatino Linotype" w:cs="Palatino Linotype"/>
        </w:rPr>
      </w:pPr>
    </w:p>
    <w:p w14:paraId="56613043" w14:textId="77777777" w:rsidR="007678B0" w:rsidRPr="00082FB0" w:rsidRDefault="00E315F0">
      <w:pPr>
        <w:pStyle w:val="Ttulo1"/>
        <w:tabs>
          <w:tab w:val="left" w:pos="567"/>
        </w:tabs>
        <w:spacing w:before="0" w:line="360" w:lineRule="auto"/>
        <w:ind w:right="-989"/>
        <w:rPr>
          <w:b w:val="0"/>
        </w:rPr>
      </w:pPr>
      <w:bookmarkStart w:id="5" w:name="_heading=h.3znysh7" w:colFirst="0" w:colLast="0"/>
      <w:bookmarkEnd w:id="5"/>
      <w:r w:rsidRPr="00082FB0">
        <w:t>PRIMERO. De la competencia</w:t>
      </w:r>
    </w:p>
    <w:p w14:paraId="69855F44"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CA4A73E" w14:textId="77777777" w:rsidR="007678B0" w:rsidRPr="00082FB0" w:rsidRDefault="007678B0">
      <w:pPr>
        <w:pBdr>
          <w:top w:val="nil"/>
          <w:left w:val="nil"/>
          <w:bottom w:val="nil"/>
          <w:right w:val="nil"/>
          <w:between w:val="nil"/>
        </w:pBdr>
        <w:tabs>
          <w:tab w:val="left" w:pos="426"/>
          <w:tab w:val="left" w:pos="567"/>
        </w:tabs>
        <w:spacing w:line="360" w:lineRule="auto"/>
        <w:ind w:right="-989"/>
        <w:jc w:val="both"/>
        <w:rPr>
          <w:rFonts w:ascii="Palatino Linotype" w:eastAsia="Palatino Linotype" w:hAnsi="Palatino Linotype" w:cs="Palatino Linotype"/>
          <w:color w:val="000000"/>
        </w:rPr>
      </w:pPr>
    </w:p>
    <w:p w14:paraId="13B0D2D0" w14:textId="77777777" w:rsidR="007678B0" w:rsidRPr="00082FB0" w:rsidRDefault="00E315F0">
      <w:pPr>
        <w:pStyle w:val="Ttulo2"/>
        <w:spacing w:before="0" w:line="360" w:lineRule="auto"/>
        <w:ind w:right="-989"/>
        <w:rPr>
          <w:b w:val="0"/>
          <w:color w:val="000000"/>
        </w:rPr>
      </w:pPr>
      <w:bookmarkStart w:id="6" w:name="_heading=h.2et92p0" w:colFirst="0" w:colLast="0"/>
      <w:bookmarkEnd w:id="6"/>
      <w:r w:rsidRPr="00082FB0">
        <w:rPr>
          <w:color w:val="000000"/>
        </w:rPr>
        <w:t>SEGUNDO. De la oportunidad y procedencia.</w:t>
      </w:r>
    </w:p>
    <w:p w14:paraId="01942E83"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Este Órgano Garante considera que los medios de impugnación reúnen los requisitos de procedencia toda vez que: los recursos fueron presentados dentro del plazo establecido en el artículo 178 de la Ley de Transparencia y Acceso a la Información Pública del Estado de </w:t>
      </w:r>
      <w:r w:rsidRPr="00082FB0">
        <w:rPr>
          <w:rFonts w:ascii="Palatino Linotype" w:eastAsia="Palatino Linotype" w:hAnsi="Palatino Linotype" w:cs="Palatino Linotype"/>
          <w:color w:val="000000"/>
        </w:rPr>
        <w:lastRenderedPageBreak/>
        <w:t>México y Municipios; asimismo no se tiene conocimiento de que se encuentre en trámite algún medio de defensa presentado por el Recurrente ante otra instancia.</w:t>
      </w:r>
    </w:p>
    <w:p w14:paraId="2CC90CDE" w14:textId="77777777" w:rsidR="007678B0" w:rsidRPr="00082FB0" w:rsidRDefault="007678B0">
      <w:pPr>
        <w:spacing w:line="360" w:lineRule="auto"/>
        <w:ind w:left="4613" w:right="-989"/>
        <w:jc w:val="both"/>
        <w:rPr>
          <w:rFonts w:ascii="Palatino Linotype" w:eastAsia="Palatino Linotype" w:hAnsi="Palatino Linotype" w:cs="Palatino Linotype"/>
        </w:rPr>
      </w:pPr>
    </w:p>
    <w:p w14:paraId="37FF59BF"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Por otro lado,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5A22C319" w14:textId="77777777" w:rsidR="007678B0" w:rsidRPr="00082FB0" w:rsidRDefault="007678B0">
      <w:pPr>
        <w:pBdr>
          <w:top w:val="nil"/>
          <w:left w:val="nil"/>
          <w:bottom w:val="nil"/>
          <w:right w:val="nil"/>
          <w:between w:val="nil"/>
        </w:pBdr>
        <w:spacing w:line="360" w:lineRule="auto"/>
        <w:ind w:right="-989"/>
        <w:rPr>
          <w:rFonts w:ascii="Palatino Linotype" w:eastAsia="Palatino Linotype" w:hAnsi="Palatino Linotype" w:cs="Palatino Linotype"/>
          <w:color w:val="000000"/>
        </w:rPr>
      </w:pPr>
    </w:p>
    <w:p w14:paraId="02A37BFD" w14:textId="77777777" w:rsidR="007678B0" w:rsidRPr="00082FB0" w:rsidRDefault="00E315F0">
      <w:pPr>
        <w:pStyle w:val="Ttulo2"/>
        <w:spacing w:before="0" w:line="360" w:lineRule="auto"/>
        <w:ind w:right="-989"/>
        <w:rPr>
          <w:b w:val="0"/>
        </w:rPr>
      </w:pPr>
      <w:bookmarkStart w:id="7" w:name="_heading=h.tyjcwt" w:colFirst="0" w:colLast="0"/>
      <w:bookmarkEnd w:id="7"/>
      <w:r w:rsidRPr="00082FB0">
        <w:rPr>
          <w:color w:val="000000"/>
        </w:rPr>
        <w:t xml:space="preserve">TERCERO. </w:t>
      </w:r>
      <w:r w:rsidRPr="00082FB0">
        <w:t xml:space="preserve">Del planteamiento de la </w:t>
      </w:r>
      <w:r w:rsidRPr="00082FB0">
        <w:rPr>
          <w:i/>
        </w:rPr>
        <w:t>Litis</w:t>
      </w:r>
      <w:r w:rsidRPr="00082FB0">
        <w:t>.</w:t>
      </w:r>
    </w:p>
    <w:p w14:paraId="54D84D95"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Se solicitó tener acceso, a la información que a continuación se desagrega:</w:t>
      </w:r>
    </w:p>
    <w:p w14:paraId="09254193" w14:textId="77777777" w:rsidR="007678B0" w:rsidRPr="00082FB0" w:rsidRDefault="00E315F0">
      <w:pPr>
        <w:pBdr>
          <w:top w:val="nil"/>
          <w:left w:val="nil"/>
          <w:bottom w:val="nil"/>
          <w:right w:val="nil"/>
          <w:between w:val="nil"/>
        </w:pBdr>
        <w:spacing w:line="360" w:lineRule="auto"/>
        <w:ind w:left="1145" w:right="-280"/>
        <w:jc w:val="both"/>
        <w:rPr>
          <w:rFonts w:ascii="Palatino Linotype" w:eastAsia="Palatino Linotype" w:hAnsi="Palatino Linotype" w:cs="Palatino Linotype"/>
          <w:b/>
          <w:color w:val="000000"/>
          <w:sz w:val="22"/>
          <w:szCs w:val="22"/>
        </w:rPr>
      </w:pPr>
      <w:r w:rsidRPr="00082FB0">
        <w:rPr>
          <w:rFonts w:ascii="Palatino Linotype" w:eastAsia="Palatino Linotype" w:hAnsi="Palatino Linotype" w:cs="Palatino Linotype"/>
          <w:b/>
          <w:color w:val="000000"/>
          <w:sz w:val="22"/>
          <w:szCs w:val="22"/>
        </w:rPr>
        <w:t xml:space="preserve">Con relación al “Proyecto de Rehabilitación del Sitio de Disposición Final </w:t>
      </w:r>
      <w:r w:rsidRPr="00082FB0">
        <w:rPr>
          <w:rFonts w:ascii="Palatino Linotype" w:eastAsia="Palatino Linotype" w:hAnsi="Palatino Linotype" w:cs="Palatino Linotype"/>
          <w:color w:val="000000"/>
          <w:sz w:val="22"/>
          <w:szCs w:val="22"/>
        </w:rPr>
        <w:t>de</w:t>
      </w:r>
      <w:r w:rsidRPr="00082FB0">
        <w:rPr>
          <w:rFonts w:ascii="Palatino Linotype" w:eastAsia="Palatino Linotype" w:hAnsi="Palatino Linotype" w:cs="Palatino Linotype"/>
          <w:b/>
          <w:color w:val="000000"/>
          <w:sz w:val="22"/>
          <w:szCs w:val="22"/>
        </w:rPr>
        <w:t xml:space="preserve"> Residuos Sólidos de Tlalnepantla a Centro Integral de Residuos”:</w:t>
      </w:r>
    </w:p>
    <w:p w14:paraId="755152DB" w14:textId="77777777" w:rsidR="007678B0" w:rsidRPr="00082FB0" w:rsidRDefault="00E315F0">
      <w:pPr>
        <w:numPr>
          <w:ilvl w:val="0"/>
          <w:numId w:val="5"/>
        </w:numPr>
        <w:pBdr>
          <w:top w:val="nil"/>
          <w:left w:val="nil"/>
          <w:bottom w:val="nil"/>
          <w:right w:val="nil"/>
          <w:between w:val="nil"/>
        </w:pBdr>
        <w:spacing w:line="360" w:lineRule="auto"/>
        <w:ind w:left="1145" w:right="-280" w:hanging="357"/>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 xml:space="preserve">Segundo informe semestral del año 2021 de cumplimiento de las condicionantes de la autorización condicionada en materia de impacto ambiental, enviado a la Dirección General de Ordenamiento e Impacto ambiental. </w:t>
      </w:r>
    </w:p>
    <w:p w14:paraId="4BE48D13" w14:textId="77777777" w:rsidR="007678B0" w:rsidRPr="00082FB0" w:rsidRDefault="00E315F0">
      <w:pPr>
        <w:numPr>
          <w:ilvl w:val="0"/>
          <w:numId w:val="5"/>
        </w:numPr>
        <w:pBdr>
          <w:top w:val="nil"/>
          <w:left w:val="nil"/>
          <w:bottom w:val="nil"/>
          <w:right w:val="nil"/>
          <w:between w:val="nil"/>
        </w:pBdr>
        <w:spacing w:line="360" w:lineRule="auto"/>
        <w:ind w:left="1145" w:right="-280" w:hanging="357"/>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Informe anual del año 2021 de cumplimiento de las condicionantes de la autorización condicionada en materia de impacto ambiental en comento.</w:t>
      </w:r>
    </w:p>
    <w:p w14:paraId="1A04F2F0" w14:textId="77777777" w:rsidR="007678B0" w:rsidRPr="00082FB0" w:rsidRDefault="007678B0">
      <w:pPr>
        <w:pBdr>
          <w:top w:val="nil"/>
          <w:left w:val="nil"/>
          <w:bottom w:val="nil"/>
          <w:right w:val="nil"/>
          <w:between w:val="nil"/>
        </w:pBdr>
        <w:spacing w:line="360" w:lineRule="auto"/>
        <w:ind w:left="720" w:right="-280"/>
        <w:rPr>
          <w:rFonts w:ascii="Palatino Linotype" w:eastAsia="Palatino Linotype" w:hAnsi="Palatino Linotype" w:cs="Palatino Linotype"/>
          <w:color w:val="000000"/>
          <w:sz w:val="22"/>
          <w:szCs w:val="22"/>
        </w:rPr>
      </w:pPr>
    </w:p>
    <w:p w14:paraId="4AE89D48" w14:textId="77777777" w:rsidR="007678B0" w:rsidRPr="00082FB0" w:rsidRDefault="00E315F0">
      <w:pPr>
        <w:numPr>
          <w:ilvl w:val="0"/>
          <w:numId w:val="5"/>
        </w:numPr>
        <w:pBdr>
          <w:top w:val="nil"/>
          <w:left w:val="nil"/>
          <w:bottom w:val="nil"/>
          <w:right w:val="nil"/>
          <w:between w:val="nil"/>
        </w:pBdr>
        <w:spacing w:line="360" w:lineRule="auto"/>
        <w:ind w:left="1145" w:right="-280" w:hanging="357"/>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Primer informe semestral del año 2022 de cumplimiento de las condicionantes de la autorización condicionada en materia de impacto ambiental, enviado a la Dirección General de Ordenamiento e Impacto ambiental.</w:t>
      </w:r>
    </w:p>
    <w:p w14:paraId="58E6A08E" w14:textId="77777777" w:rsidR="007678B0" w:rsidRPr="00082FB0" w:rsidRDefault="00E315F0">
      <w:pPr>
        <w:numPr>
          <w:ilvl w:val="0"/>
          <w:numId w:val="5"/>
        </w:numPr>
        <w:pBdr>
          <w:top w:val="nil"/>
          <w:left w:val="nil"/>
          <w:bottom w:val="nil"/>
          <w:right w:val="nil"/>
          <w:between w:val="nil"/>
        </w:pBdr>
        <w:spacing w:line="360" w:lineRule="auto"/>
        <w:ind w:left="1145" w:right="-280" w:hanging="357"/>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lastRenderedPageBreak/>
        <w:t>Segundo informe semestral del año 2022 de cumplimiento de las condicionantes de la autorización condicionada en materia de impacto ambiental, enviado a la Dirección General de Ordenamiento e Impacto ambiental.</w:t>
      </w:r>
    </w:p>
    <w:p w14:paraId="22AA59C7" w14:textId="77777777" w:rsidR="007678B0" w:rsidRPr="00082FB0" w:rsidRDefault="00E315F0">
      <w:pPr>
        <w:numPr>
          <w:ilvl w:val="0"/>
          <w:numId w:val="5"/>
        </w:numPr>
        <w:pBdr>
          <w:top w:val="nil"/>
          <w:left w:val="nil"/>
          <w:bottom w:val="nil"/>
          <w:right w:val="nil"/>
          <w:between w:val="nil"/>
        </w:pBdr>
        <w:spacing w:line="360" w:lineRule="auto"/>
        <w:ind w:left="1145" w:right="-280" w:hanging="357"/>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Informe anual correspondiente al año 2022 de cumplimiento de las condicionantes de la autorización condicionada en materia de impacto ambiental.</w:t>
      </w:r>
    </w:p>
    <w:p w14:paraId="7C42FA3C" w14:textId="77777777" w:rsidR="007678B0" w:rsidRPr="00082FB0" w:rsidRDefault="00E315F0">
      <w:pPr>
        <w:numPr>
          <w:ilvl w:val="0"/>
          <w:numId w:val="5"/>
        </w:numPr>
        <w:pBdr>
          <w:top w:val="nil"/>
          <w:left w:val="nil"/>
          <w:bottom w:val="nil"/>
          <w:right w:val="nil"/>
          <w:between w:val="nil"/>
        </w:pBdr>
        <w:spacing w:line="360" w:lineRule="auto"/>
        <w:ind w:left="1145" w:right="-280" w:hanging="357"/>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 xml:space="preserve">Primer informe semestral del año 2023 de cumplimiento de las condicionantes de la autorización condicionada en materia de impacto ambiental, enviado a la Dirección General de Ordenamiento e Impacto ambiental. </w:t>
      </w:r>
    </w:p>
    <w:p w14:paraId="3086D2EC" w14:textId="77777777" w:rsidR="007678B0" w:rsidRPr="00082FB0" w:rsidRDefault="00E315F0">
      <w:pPr>
        <w:numPr>
          <w:ilvl w:val="0"/>
          <w:numId w:val="5"/>
        </w:numPr>
        <w:pBdr>
          <w:top w:val="nil"/>
          <w:left w:val="nil"/>
          <w:bottom w:val="nil"/>
          <w:right w:val="nil"/>
          <w:between w:val="nil"/>
        </w:pBdr>
        <w:spacing w:line="360" w:lineRule="auto"/>
        <w:ind w:left="1145" w:right="-280" w:hanging="357"/>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 xml:space="preserve">Segundo informe semestral del año 2023 de cumplimiento de las condicionantes de la autorización condicionada en materia de impacto ambiental, enviado a la Dirección General de Ordenamiento e Impacto ambiental. </w:t>
      </w:r>
    </w:p>
    <w:p w14:paraId="3F567CC7" w14:textId="77777777" w:rsidR="007678B0" w:rsidRPr="00082FB0" w:rsidRDefault="00E315F0">
      <w:pPr>
        <w:numPr>
          <w:ilvl w:val="0"/>
          <w:numId w:val="5"/>
        </w:numPr>
        <w:pBdr>
          <w:top w:val="nil"/>
          <w:left w:val="nil"/>
          <w:bottom w:val="nil"/>
          <w:right w:val="nil"/>
          <w:between w:val="nil"/>
        </w:pBdr>
        <w:spacing w:line="360" w:lineRule="auto"/>
        <w:ind w:left="1145" w:right="-280" w:hanging="357"/>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Informe anual del año 2023 de cumplimiento de las condicionantes de la autorización condicionada en materia de impacto ambiental.</w:t>
      </w:r>
    </w:p>
    <w:p w14:paraId="73FDBE59" w14:textId="77777777" w:rsidR="007678B0" w:rsidRPr="00082FB0" w:rsidRDefault="00E315F0">
      <w:pPr>
        <w:numPr>
          <w:ilvl w:val="0"/>
          <w:numId w:val="5"/>
        </w:numPr>
        <w:pBdr>
          <w:top w:val="nil"/>
          <w:left w:val="nil"/>
          <w:bottom w:val="nil"/>
          <w:right w:val="nil"/>
          <w:between w:val="nil"/>
        </w:pBdr>
        <w:spacing w:line="360" w:lineRule="auto"/>
        <w:ind w:left="1145" w:right="-280" w:hanging="357"/>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 xml:space="preserve">Contrato o los contratos y de existir sus anexos, celebrados con Accendo Banco, S.A. Institución de Banca Múltiple para los números de cuenta siguientes: </w:t>
      </w:r>
    </w:p>
    <w:p w14:paraId="687C574A" w14:textId="77777777" w:rsidR="007678B0" w:rsidRPr="00082FB0" w:rsidRDefault="00E315F0">
      <w:pPr>
        <w:pBdr>
          <w:top w:val="nil"/>
          <w:left w:val="nil"/>
          <w:bottom w:val="nil"/>
          <w:right w:val="nil"/>
          <w:between w:val="nil"/>
        </w:pBdr>
        <w:spacing w:line="360" w:lineRule="auto"/>
        <w:ind w:left="1134" w:right="-280"/>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Cuenta: 001035140111, CLABE: 102180010351401111</w:t>
      </w:r>
    </w:p>
    <w:p w14:paraId="052D8E93" w14:textId="77777777" w:rsidR="007678B0" w:rsidRPr="00082FB0" w:rsidRDefault="00E315F0">
      <w:pPr>
        <w:pBdr>
          <w:top w:val="nil"/>
          <w:left w:val="nil"/>
          <w:bottom w:val="nil"/>
          <w:right w:val="nil"/>
          <w:between w:val="nil"/>
        </w:pBdr>
        <w:spacing w:line="360" w:lineRule="auto"/>
        <w:ind w:left="1134" w:right="-280"/>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Cuenta: 001035140154, CLABE: 102180010351401548</w:t>
      </w:r>
    </w:p>
    <w:p w14:paraId="3FC344F7" w14:textId="77777777" w:rsidR="007678B0" w:rsidRPr="00082FB0" w:rsidRDefault="00E315F0">
      <w:pPr>
        <w:pBdr>
          <w:top w:val="nil"/>
          <w:left w:val="nil"/>
          <w:bottom w:val="nil"/>
          <w:right w:val="nil"/>
          <w:between w:val="nil"/>
        </w:pBdr>
        <w:spacing w:line="360" w:lineRule="auto"/>
        <w:ind w:left="1134" w:right="-280"/>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Cuenta: 001035140120, CLABE: 102180010351401205</w:t>
      </w:r>
    </w:p>
    <w:p w14:paraId="41398DF9" w14:textId="77777777" w:rsidR="007678B0" w:rsidRPr="00082FB0" w:rsidRDefault="00E315F0">
      <w:pPr>
        <w:pBdr>
          <w:top w:val="nil"/>
          <w:left w:val="nil"/>
          <w:bottom w:val="nil"/>
          <w:right w:val="nil"/>
          <w:between w:val="nil"/>
        </w:pBdr>
        <w:spacing w:line="360" w:lineRule="auto"/>
        <w:ind w:left="1134" w:right="-280"/>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Cuenta: 001035140138, CLABE: 102180010351401386</w:t>
      </w:r>
    </w:p>
    <w:p w14:paraId="580865EB" w14:textId="77777777" w:rsidR="007678B0" w:rsidRPr="00082FB0" w:rsidRDefault="00E315F0">
      <w:pPr>
        <w:pBdr>
          <w:top w:val="nil"/>
          <w:left w:val="nil"/>
          <w:bottom w:val="nil"/>
          <w:right w:val="nil"/>
          <w:between w:val="nil"/>
        </w:pBdr>
        <w:spacing w:line="360" w:lineRule="auto"/>
        <w:ind w:left="1134" w:right="-280"/>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Cuenta: 001035140146b, CLABE: 102180010351401467</w:t>
      </w:r>
    </w:p>
    <w:p w14:paraId="553AC7C1" w14:textId="77777777" w:rsidR="007678B0" w:rsidRPr="00082FB0" w:rsidRDefault="00E315F0">
      <w:pPr>
        <w:pBdr>
          <w:top w:val="nil"/>
          <w:left w:val="nil"/>
          <w:bottom w:val="nil"/>
          <w:right w:val="nil"/>
          <w:between w:val="nil"/>
        </w:pBdr>
        <w:spacing w:line="360" w:lineRule="auto"/>
        <w:ind w:left="1134" w:right="-280"/>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Cuenta: 001035140014, CLABE: 102180010351400141</w:t>
      </w:r>
    </w:p>
    <w:p w14:paraId="4B0E19B8" w14:textId="77777777" w:rsidR="007678B0" w:rsidRPr="00082FB0" w:rsidRDefault="00E315F0">
      <w:pPr>
        <w:pBdr>
          <w:top w:val="nil"/>
          <w:left w:val="nil"/>
          <w:bottom w:val="nil"/>
          <w:right w:val="nil"/>
          <w:between w:val="nil"/>
        </w:pBdr>
        <w:spacing w:line="360" w:lineRule="auto"/>
        <w:ind w:left="1134" w:right="-280"/>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Cuenta: 001035140103, CLABE: 102180010351401030</w:t>
      </w:r>
    </w:p>
    <w:p w14:paraId="76FD832E" w14:textId="77777777" w:rsidR="007678B0" w:rsidRPr="00082FB0" w:rsidRDefault="00E315F0">
      <w:pPr>
        <w:numPr>
          <w:ilvl w:val="0"/>
          <w:numId w:val="5"/>
        </w:numPr>
        <w:pBdr>
          <w:top w:val="nil"/>
          <w:left w:val="nil"/>
          <w:bottom w:val="nil"/>
          <w:right w:val="nil"/>
          <w:between w:val="nil"/>
        </w:pBdr>
        <w:spacing w:line="360" w:lineRule="auto"/>
        <w:ind w:left="1145" w:right="-280" w:hanging="357"/>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 xml:space="preserve">Copia certificada  con costo del Convenio de fecha 23 de noviembre de 2023, celebrado entre el Presidente del Comisariado Ejidal del poblado de San Juan Ixhuatepec, comisariados ejidales de dicho poblado, jurídico de la Delegación del </w:t>
      </w:r>
      <w:r w:rsidRPr="00082FB0">
        <w:rPr>
          <w:rFonts w:ascii="Palatino Linotype" w:eastAsia="Palatino Linotype" w:hAnsi="Palatino Linotype" w:cs="Palatino Linotype"/>
          <w:color w:val="000000"/>
          <w:sz w:val="22"/>
          <w:szCs w:val="22"/>
        </w:rPr>
        <w:lastRenderedPageBreak/>
        <w:t>Registro Agrario Nacional en el Estado de México y el Subdirector de la Subdirección de Tenencia de la Tierra y Asuntos Metropolitanos.</w:t>
      </w:r>
    </w:p>
    <w:p w14:paraId="769E65A8" w14:textId="77777777" w:rsidR="007678B0" w:rsidRPr="00082FB0" w:rsidRDefault="007678B0">
      <w:pPr>
        <w:pBdr>
          <w:top w:val="nil"/>
          <w:left w:val="nil"/>
          <w:bottom w:val="nil"/>
          <w:right w:val="nil"/>
          <w:between w:val="nil"/>
        </w:pBdr>
        <w:spacing w:line="360" w:lineRule="auto"/>
        <w:ind w:left="720" w:right="-989"/>
        <w:rPr>
          <w:rFonts w:ascii="Palatino Linotype" w:eastAsia="Palatino Linotype" w:hAnsi="Palatino Linotype" w:cs="Palatino Linotype"/>
          <w:color w:val="000000"/>
        </w:rPr>
      </w:pPr>
    </w:p>
    <w:p w14:paraId="35AED83E"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En respuesta el </w:t>
      </w:r>
      <w:r w:rsidRPr="00082FB0">
        <w:rPr>
          <w:rFonts w:ascii="Palatino Linotype" w:eastAsia="Palatino Linotype" w:hAnsi="Palatino Linotype" w:cs="Palatino Linotype"/>
          <w:b/>
          <w:color w:val="000000"/>
        </w:rPr>
        <w:t xml:space="preserve">SUJETO OBLIGADO </w:t>
      </w:r>
      <w:r w:rsidRPr="00082FB0">
        <w:rPr>
          <w:rFonts w:ascii="Palatino Linotype" w:eastAsia="Palatino Linotype" w:hAnsi="Palatino Linotype" w:cs="Palatino Linotype"/>
          <w:color w:val="000000"/>
        </w:rPr>
        <w:t xml:space="preserve">remitió los archivos ya descritos en el anterior Párrafo 2. Inconforme con la respuesta, el ahora </w:t>
      </w:r>
      <w:r w:rsidRPr="00082FB0">
        <w:rPr>
          <w:rFonts w:ascii="Palatino Linotype" w:eastAsia="Palatino Linotype" w:hAnsi="Palatino Linotype" w:cs="Palatino Linotype"/>
          <w:b/>
          <w:color w:val="000000"/>
        </w:rPr>
        <w:t xml:space="preserve">RECURRENTE </w:t>
      </w:r>
      <w:r w:rsidRPr="00082FB0">
        <w:rPr>
          <w:rFonts w:ascii="Palatino Linotype" w:eastAsia="Palatino Linotype" w:hAnsi="Palatino Linotype" w:cs="Palatino Linotype"/>
          <w:color w:val="000000"/>
        </w:rPr>
        <w:t>argumentó la negativa de la información y la inadecuada clasificación de la información.</w:t>
      </w:r>
    </w:p>
    <w:p w14:paraId="0FAA7FE5" w14:textId="77777777" w:rsidR="007678B0" w:rsidRPr="00082FB0" w:rsidRDefault="007678B0">
      <w:pPr>
        <w:pBdr>
          <w:top w:val="nil"/>
          <w:left w:val="nil"/>
          <w:bottom w:val="nil"/>
          <w:right w:val="nil"/>
          <w:between w:val="nil"/>
        </w:pBdr>
        <w:spacing w:line="360" w:lineRule="auto"/>
        <w:ind w:right="-989"/>
        <w:jc w:val="both"/>
        <w:rPr>
          <w:rFonts w:ascii="Palatino Linotype" w:eastAsia="Palatino Linotype" w:hAnsi="Palatino Linotype" w:cs="Palatino Linotype"/>
          <w:i/>
          <w:color w:val="000000"/>
        </w:rPr>
      </w:pPr>
    </w:p>
    <w:p w14:paraId="1AF91E9A"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En dichas condiciones, la </w:t>
      </w:r>
      <w:r w:rsidRPr="00082FB0">
        <w:rPr>
          <w:rFonts w:ascii="Palatino Linotype" w:eastAsia="Palatino Linotype" w:hAnsi="Palatino Linotype" w:cs="Palatino Linotype"/>
          <w:i/>
          <w:color w:val="000000"/>
        </w:rPr>
        <w:t>Litis</w:t>
      </w:r>
      <w:r w:rsidRPr="00082FB0">
        <w:rPr>
          <w:rFonts w:ascii="Palatino Linotype" w:eastAsia="Palatino Linotype" w:hAnsi="Palatino Linotype" w:cs="Palatino Linotype"/>
          <w:color w:val="000000"/>
        </w:rPr>
        <w:t xml:space="preserve"> a resolver en este recurso se circunscribe a determinar si se actualiza la causal de procedencia prevista en el artículo 179, </w:t>
      </w:r>
      <w:r w:rsidRPr="00082FB0">
        <w:rPr>
          <w:rFonts w:ascii="Palatino Linotype" w:eastAsia="Palatino Linotype" w:hAnsi="Palatino Linotype" w:cs="Palatino Linotype"/>
          <w:b/>
          <w:color w:val="000000"/>
        </w:rPr>
        <w:t xml:space="preserve">fracciones I y II </w:t>
      </w:r>
      <w:r w:rsidRPr="00082FB0">
        <w:rPr>
          <w:rFonts w:ascii="Palatino Linotype" w:eastAsia="Palatino Linotype" w:hAnsi="Palatino Linotype" w:cs="Palatino Linotype"/>
          <w:color w:val="000000"/>
        </w:rPr>
        <w:t xml:space="preserve">de la </w:t>
      </w:r>
      <w:r w:rsidRPr="00082FB0">
        <w:rPr>
          <w:rFonts w:ascii="Palatino Linotype" w:eastAsia="Palatino Linotype" w:hAnsi="Palatino Linotype" w:cs="Palatino Linotype"/>
          <w:b/>
          <w:color w:val="000000"/>
        </w:rPr>
        <w:t xml:space="preserve">Ley de Transparencia y Acceso a la Información Pública del Estado de </w:t>
      </w:r>
      <w:r w:rsidRPr="00082FB0">
        <w:rPr>
          <w:rFonts w:ascii="Palatino Linotype" w:eastAsia="Palatino Linotype" w:hAnsi="Palatino Linotype" w:cs="Palatino Linotype"/>
          <w:color w:val="000000"/>
        </w:rPr>
        <w:t>México</w:t>
      </w:r>
      <w:r w:rsidRPr="00082FB0">
        <w:rPr>
          <w:rFonts w:ascii="Palatino Linotype" w:eastAsia="Palatino Linotype" w:hAnsi="Palatino Linotype" w:cs="Palatino Linotype"/>
          <w:b/>
          <w:color w:val="000000"/>
        </w:rPr>
        <w:t xml:space="preserve"> y Municipios</w:t>
      </w:r>
      <w:r w:rsidRPr="00082FB0">
        <w:rPr>
          <w:rFonts w:ascii="Palatino Linotype" w:eastAsia="Palatino Linotype" w:hAnsi="Palatino Linotype" w:cs="Palatino Linotype"/>
          <w:color w:val="000000"/>
        </w:rPr>
        <w:t xml:space="preserve">; fracciones que determinan las hipótesis jurídicas relativas a la negativa de la información </w:t>
      </w:r>
      <w:r w:rsidRPr="00082FB0">
        <w:rPr>
          <w:rFonts w:ascii="Palatino Linotype" w:eastAsia="Palatino Linotype" w:hAnsi="Palatino Linotype" w:cs="Palatino Linotype"/>
        </w:rPr>
        <w:t>ya</w:t>
      </w:r>
      <w:r w:rsidRPr="00082FB0">
        <w:rPr>
          <w:rFonts w:ascii="Palatino Linotype" w:eastAsia="Palatino Linotype" w:hAnsi="Palatino Linotype" w:cs="Palatino Linotype"/>
          <w:color w:val="000000"/>
        </w:rPr>
        <w:t xml:space="preserve"> la clasificación de la información; contextos de los cuales se dolió </w:t>
      </w:r>
      <w:r w:rsidRPr="00082FB0">
        <w:rPr>
          <w:rFonts w:ascii="Palatino Linotype" w:eastAsia="Palatino Linotype" w:hAnsi="Palatino Linotype" w:cs="Palatino Linotype"/>
          <w:b/>
          <w:color w:val="000000"/>
        </w:rPr>
        <w:t xml:space="preserve">EL RECURRENTE </w:t>
      </w:r>
      <w:r w:rsidRPr="00082FB0">
        <w:rPr>
          <w:rFonts w:ascii="Palatino Linotype" w:eastAsia="Palatino Linotype" w:hAnsi="Palatino Linotype" w:cs="Palatino Linotype"/>
          <w:color w:val="000000"/>
        </w:rPr>
        <w:t xml:space="preserve">al momento de interponer su inconformidad. De modo tal que los presentes recursos de revisión se </w:t>
      </w:r>
      <w:r w:rsidRPr="00082FB0">
        <w:rPr>
          <w:rFonts w:ascii="Palatino Linotype" w:eastAsia="Palatino Linotype" w:hAnsi="Palatino Linotype" w:cs="Palatino Linotype"/>
        </w:rPr>
        <w:t>abocaron</w:t>
      </w:r>
      <w:r w:rsidRPr="00082FB0">
        <w:rPr>
          <w:rFonts w:ascii="Palatino Linotype" w:eastAsia="Palatino Linotype" w:hAnsi="Palatino Linotype" w:cs="Palatino Linotype"/>
          <w:color w:val="000000"/>
        </w:rPr>
        <w:t xml:space="preserve"> en determinar si el </w:t>
      </w:r>
      <w:r w:rsidRPr="00082FB0">
        <w:rPr>
          <w:rFonts w:ascii="Palatino Linotype" w:eastAsia="Palatino Linotype" w:hAnsi="Palatino Linotype" w:cs="Palatino Linotype"/>
          <w:b/>
          <w:color w:val="000000"/>
        </w:rPr>
        <w:t>SUJETO</w:t>
      </w:r>
      <w:r w:rsidRPr="00082FB0">
        <w:rPr>
          <w:rFonts w:ascii="Palatino Linotype" w:eastAsia="Palatino Linotype" w:hAnsi="Palatino Linotype" w:cs="Palatino Linotype"/>
          <w:color w:val="000000"/>
        </w:rPr>
        <w:t xml:space="preserve"> </w:t>
      </w:r>
      <w:r w:rsidRPr="00082FB0">
        <w:rPr>
          <w:rFonts w:ascii="Palatino Linotype" w:eastAsia="Palatino Linotype" w:hAnsi="Palatino Linotype" w:cs="Palatino Linotype"/>
          <w:b/>
          <w:color w:val="000000"/>
        </w:rPr>
        <w:t>OBLIGADO</w:t>
      </w:r>
      <w:r w:rsidRPr="00082FB0">
        <w:rPr>
          <w:rFonts w:ascii="Palatino Linotype" w:eastAsia="Palatino Linotype" w:hAnsi="Palatino Linotype" w:cs="Palatino Linotype"/>
          <w:color w:val="000000"/>
        </w:rPr>
        <w:t xml:space="preserve"> con sus respuestas ciertamente actualizan las causales de procedencia</w:t>
      </w:r>
      <w:r w:rsidRPr="00082FB0">
        <w:rPr>
          <w:rFonts w:ascii="Palatino Linotype" w:eastAsia="Palatino Linotype" w:hAnsi="Palatino Linotype" w:cs="Palatino Linotype"/>
          <w:b/>
          <w:color w:val="000000"/>
        </w:rPr>
        <w:t xml:space="preserve"> </w:t>
      </w:r>
      <w:r w:rsidRPr="00082FB0">
        <w:rPr>
          <w:rFonts w:ascii="Palatino Linotype" w:eastAsia="Palatino Linotype" w:hAnsi="Palatino Linotype" w:cs="Palatino Linotype"/>
          <w:color w:val="000000"/>
        </w:rPr>
        <w:t xml:space="preserve">antes señaladas. </w:t>
      </w:r>
    </w:p>
    <w:p w14:paraId="6217CC71" w14:textId="77777777" w:rsidR="007678B0" w:rsidRPr="00082FB0" w:rsidRDefault="007678B0">
      <w:pPr>
        <w:pBdr>
          <w:top w:val="nil"/>
          <w:left w:val="nil"/>
          <w:bottom w:val="nil"/>
          <w:right w:val="nil"/>
          <w:between w:val="nil"/>
        </w:pBdr>
        <w:tabs>
          <w:tab w:val="left" w:pos="426"/>
          <w:tab w:val="left" w:pos="567"/>
        </w:tabs>
        <w:spacing w:line="360" w:lineRule="auto"/>
        <w:ind w:right="-989"/>
        <w:jc w:val="both"/>
        <w:rPr>
          <w:rFonts w:ascii="Palatino Linotype" w:eastAsia="Palatino Linotype" w:hAnsi="Palatino Linotype" w:cs="Palatino Linotype"/>
          <w:color w:val="000000"/>
        </w:rPr>
      </w:pPr>
    </w:p>
    <w:p w14:paraId="460AE45E" w14:textId="77777777" w:rsidR="007678B0" w:rsidRPr="00082FB0" w:rsidRDefault="00E315F0">
      <w:pPr>
        <w:pStyle w:val="Ttulo2"/>
        <w:spacing w:before="0" w:line="360" w:lineRule="auto"/>
        <w:ind w:right="-989"/>
        <w:rPr>
          <w:b w:val="0"/>
          <w:color w:val="000000"/>
        </w:rPr>
      </w:pPr>
      <w:r w:rsidRPr="00082FB0">
        <w:rPr>
          <w:color w:val="000000"/>
        </w:rPr>
        <w:t>CUARTO. Del estudio y resolución del asunto.</w:t>
      </w:r>
    </w:p>
    <w:p w14:paraId="2AE7B168"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Acotado lo anterior, se procede analizar, en primer lugar, si el </w:t>
      </w:r>
      <w:r w:rsidRPr="00082FB0">
        <w:rPr>
          <w:rFonts w:ascii="Palatino Linotype" w:eastAsia="Palatino Linotype" w:hAnsi="Palatino Linotype" w:cs="Palatino Linotype"/>
          <w:b/>
          <w:color w:val="000000"/>
        </w:rPr>
        <w:t>SUJETO OBLIGADO</w:t>
      </w:r>
      <w:r w:rsidRPr="00082FB0">
        <w:rPr>
          <w:rFonts w:ascii="Palatino Linotype" w:eastAsia="Palatino Linotype" w:hAnsi="Palatino Linotype" w:cs="Palatino Linotype"/>
          <w:color w:val="000000"/>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 En ese contexto </w:t>
      </w:r>
      <w:r w:rsidRPr="00082FB0">
        <w:rPr>
          <w:rFonts w:ascii="Palatino Linotype" w:eastAsia="Palatino Linotype" w:hAnsi="Palatino Linotype" w:cs="Palatino Linotype"/>
        </w:rPr>
        <w:t>para</w:t>
      </w:r>
      <w:r w:rsidRPr="00082FB0">
        <w:rPr>
          <w:rFonts w:ascii="Palatino Linotype" w:eastAsia="Palatino Linotype" w:hAnsi="Palatino Linotype" w:cs="Palatino Linotype"/>
          <w:color w:val="000000"/>
        </w:rPr>
        <w:t xml:space="preserve"> efecto de análisis se </w:t>
      </w:r>
      <w:r w:rsidRPr="00082FB0">
        <w:rPr>
          <w:rFonts w:ascii="Palatino Linotype" w:eastAsia="Palatino Linotype" w:hAnsi="Palatino Linotype" w:cs="Palatino Linotype"/>
        </w:rPr>
        <w:t>realizará</w:t>
      </w:r>
      <w:r w:rsidRPr="00082FB0">
        <w:rPr>
          <w:rFonts w:ascii="Palatino Linotype" w:eastAsia="Palatino Linotype" w:hAnsi="Palatino Linotype" w:cs="Palatino Linotype"/>
          <w:color w:val="000000"/>
        </w:rPr>
        <w:t xml:space="preserve"> de manera separada por recurso de revisión acumulado.</w:t>
      </w:r>
    </w:p>
    <w:p w14:paraId="158DB2A8" w14:textId="77777777" w:rsidR="007678B0" w:rsidRPr="00082FB0" w:rsidRDefault="007678B0">
      <w:pPr>
        <w:spacing w:line="360" w:lineRule="auto"/>
        <w:ind w:right="-989"/>
        <w:jc w:val="both"/>
        <w:rPr>
          <w:rFonts w:ascii="Palatino Linotype" w:eastAsia="Palatino Linotype" w:hAnsi="Palatino Linotype" w:cs="Palatino Linotype"/>
        </w:rPr>
      </w:pPr>
    </w:p>
    <w:p w14:paraId="780BA2A1" w14:textId="77777777" w:rsidR="007678B0" w:rsidRPr="00082FB0" w:rsidRDefault="00E315F0">
      <w:pPr>
        <w:spacing w:line="360" w:lineRule="auto"/>
        <w:ind w:right="-989"/>
        <w:jc w:val="both"/>
        <w:rPr>
          <w:rFonts w:ascii="Palatino Linotype" w:eastAsia="Palatino Linotype" w:hAnsi="Palatino Linotype" w:cs="Palatino Linotype"/>
          <w:b/>
        </w:rPr>
      </w:pPr>
      <w:r w:rsidRPr="00082FB0">
        <w:rPr>
          <w:rFonts w:ascii="Palatino Linotype" w:eastAsia="Palatino Linotype" w:hAnsi="Palatino Linotype" w:cs="Palatino Linotype"/>
          <w:b/>
        </w:rPr>
        <w:t>Folio Solicitud: 00503/TLALNEPA/IP/2024</w:t>
      </w:r>
    </w:p>
    <w:p w14:paraId="716B0541" w14:textId="77777777" w:rsidR="007678B0" w:rsidRPr="00082FB0" w:rsidRDefault="00E315F0">
      <w:pPr>
        <w:spacing w:line="360" w:lineRule="auto"/>
        <w:ind w:right="-989"/>
        <w:jc w:val="both"/>
        <w:rPr>
          <w:rFonts w:ascii="Palatino Linotype" w:eastAsia="Palatino Linotype" w:hAnsi="Palatino Linotype" w:cs="Palatino Linotype"/>
          <w:b/>
        </w:rPr>
      </w:pPr>
      <w:r w:rsidRPr="00082FB0">
        <w:rPr>
          <w:rFonts w:ascii="Palatino Linotype" w:eastAsia="Palatino Linotype" w:hAnsi="Palatino Linotype" w:cs="Palatino Linotype"/>
          <w:b/>
        </w:rPr>
        <w:t>Folio Recurso de Revisión: 03498/INFOEM/IP/RR/2024</w:t>
      </w:r>
    </w:p>
    <w:p w14:paraId="31B577BD"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Del primer recurso objeto de acumulación se desprende que se solicitó información relacionada al “Proyecto de Rehabilitación del Sitio de Disposición Final de Residuos Sólidos de Tlalnepantla a Centro Integral de Residuos”, a saber:</w:t>
      </w:r>
    </w:p>
    <w:p w14:paraId="19BF6182" w14:textId="77777777" w:rsidR="007678B0" w:rsidRPr="00082FB0" w:rsidRDefault="00E315F0">
      <w:pPr>
        <w:numPr>
          <w:ilvl w:val="0"/>
          <w:numId w:val="5"/>
        </w:numPr>
        <w:pBdr>
          <w:top w:val="nil"/>
          <w:left w:val="nil"/>
          <w:bottom w:val="nil"/>
          <w:right w:val="nil"/>
          <w:between w:val="nil"/>
        </w:pBdr>
        <w:spacing w:line="360" w:lineRule="auto"/>
        <w:ind w:left="1145" w:right="-280" w:hanging="357"/>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 xml:space="preserve">Segundo informe semestral del año 2021 de cumplimiento de las condicionantes de la autorización condicionada en materia de impacto ambiental, enviado a la Dirección General de Ordenamiento e Impacto ambiental. </w:t>
      </w:r>
    </w:p>
    <w:p w14:paraId="5E0C7584" w14:textId="77777777" w:rsidR="007678B0" w:rsidRPr="00082FB0" w:rsidRDefault="00E315F0">
      <w:pPr>
        <w:numPr>
          <w:ilvl w:val="0"/>
          <w:numId w:val="5"/>
        </w:numPr>
        <w:pBdr>
          <w:top w:val="nil"/>
          <w:left w:val="nil"/>
          <w:bottom w:val="nil"/>
          <w:right w:val="nil"/>
          <w:between w:val="nil"/>
        </w:pBdr>
        <w:spacing w:line="360" w:lineRule="auto"/>
        <w:ind w:left="1145" w:right="-280" w:hanging="357"/>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Informe anual del año 2021 de cumplimiento de las condicionantes de la autorización condicionada en materia de impacto ambiental en comento.</w:t>
      </w:r>
    </w:p>
    <w:p w14:paraId="1F053920" w14:textId="77777777" w:rsidR="007678B0" w:rsidRPr="00082FB0" w:rsidRDefault="00E315F0">
      <w:pPr>
        <w:numPr>
          <w:ilvl w:val="0"/>
          <w:numId w:val="5"/>
        </w:numPr>
        <w:pBdr>
          <w:top w:val="nil"/>
          <w:left w:val="nil"/>
          <w:bottom w:val="nil"/>
          <w:right w:val="nil"/>
          <w:between w:val="nil"/>
        </w:pBdr>
        <w:spacing w:line="360" w:lineRule="auto"/>
        <w:ind w:left="1145" w:right="-280" w:hanging="357"/>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Primer informe semestral del año 2022 de cumplimiento de las condicionantes de la autorización condicionada en materia de impacto ambiental, enviado a la Dirección General de Ordenamiento e Impacto ambiental.</w:t>
      </w:r>
    </w:p>
    <w:p w14:paraId="266D30E1" w14:textId="77777777" w:rsidR="007678B0" w:rsidRPr="00082FB0" w:rsidRDefault="00E315F0">
      <w:pPr>
        <w:numPr>
          <w:ilvl w:val="0"/>
          <w:numId w:val="5"/>
        </w:numPr>
        <w:pBdr>
          <w:top w:val="nil"/>
          <w:left w:val="nil"/>
          <w:bottom w:val="nil"/>
          <w:right w:val="nil"/>
          <w:between w:val="nil"/>
        </w:pBdr>
        <w:spacing w:line="360" w:lineRule="auto"/>
        <w:ind w:left="1145" w:right="-280" w:hanging="357"/>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Segundo informe semestral del año 2022 de cumplimiento de las condicionantes de la autorización condicionada en materia de impacto ambiental, enviado a la Dirección General de Ordenamiento e Impacto ambiental.</w:t>
      </w:r>
    </w:p>
    <w:p w14:paraId="45F900AE" w14:textId="77777777" w:rsidR="007678B0" w:rsidRPr="00082FB0" w:rsidRDefault="00E315F0">
      <w:pPr>
        <w:numPr>
          <w:ilvl w:val="0"/>
          <w:numId w:val="5"/>
        </w:numPr>
        <w:pBdr>
          <w:top w:val="nil"/>
          <w:left w:val="nil"/>
          <w:bottom w:val="nil"/>
          <w:right w:val="nil"/>
          <w:between w:val="nil"/>
        </w:pBdr>
        <w:spacing w:line="360" w:lineRule="auto"/>
        <w:ind w:left="1145" w:right="-280" w:hanging="357"/>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Informe anual correspondiente al año 2022 de cumplimiento de las condicionantes de la autorización condicionada en materia de impacto ambiental.</w:t>
      </w:r>
    </w:p>
    <w:p w14:paraId="7C9BDDFC" w14:textId="77777777" w:rsidR="007678B0" w:rsidRPr="00082FB0" w:rsidRDefault="00E315F0">
      <w:pPr>
        <w:numPr>
          <w:ilvl w:val="0"/>
          <w:numId w:val="5"/>
        </w:numPr>
        <w:pBdr>
          <w:top w:val="nil"/>
          <w:left w:val="nil"/>
          <w:bottom w:val="nil"/>
          <w:right w:val="nil"/>
          <w:between w:val="nil"/>
        </w:pBdr>
        <w:spacing w:line="360" w:lineRule="auto"/>
        <w:ind w:left="1145" w:right="-280" w:hanging="357"/>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 xml:space="preserve">Primer informe semestral del año 2023 de cumplimiento de las condicionantes de la autorización condicionada en materia de impacto ambiental, enviado a la Dirección General de Ordenamiento e Impacto ambiental. </w:t>
      </w:r>
    </w:p>
    <w:p w14:paraId="02A01765" w14:textId="77777777" w:rsidR="007678B0" w:rsidRPr="00082FB0" w:rsidRDefault="00E315F0">
      <w:pPr>
        <w:numPr>
          <w:ilvl w:val="0"/>
          <w:numId w:val="5"/>
        </w:numPr>
        <w:pBdr>
          <w:top w:val="nil"/>
          <w:left w:val="nil"/>
          <w:bottom w:val="nil"/>
          <w:right w:val="nil"/>
          <w:between w:val="nil"/>
        </w:pBdr>
        <w:spacing w:line="360" w:lineRule="auto"/>
        <w:ind w:left="1145" w:right="-280" w:hanging="357"/>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lastRenderedPageBreak/>
        <w:t>Segundo informe semestral del año 2023 de cumplimiento de las condicionantes de la autorización condicionada en materia de impacto ambiental, enviado a la Dirección General de Ordenamiento e Impacto ambiental.</w:t>
      </w:r>
    </w:p>
    <w:p w14:paraId="52AE2122" w14:textId="77777777" w:rsidR="007678B0" w:rsidRPr="00082FB0" w:rsidRDefault="00E315F0">
      <w:pPr>
        <w:numPr>
          <w:ilvl w:val="0"/>
          <w:numId w:val="5"/>
        </w:numPr>
        <w:pBdr>
          <w:top w:val="nil"/>
          <w:left w:val="nil"/>
          <w:bottom w:val="nil"/>
          <w:right w:val="nil"/>
          <w:between w:val="nil"/>
        </w:pBdr>
        <w:spacing w:line="360" w:lineRule="auto"/>
        <w:ind w:left="1145" w:right="-280" w:hanging="357"/>
        <w:jc w:val="both"/>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Informe anual del año 2023 de cumplimiento de las condicionantes de la autorización condicionada en materia de impacto ambiental.</w:t>
      </w:r>
    </w:p>
    <w:p w14:paraId="7D39EBF8" w14:textId="77777777" w:rsidR="007678B0" w:rsidRPr="00082FB0" w:rsidRDefault="007678B0">
      <w:pPr>
        <w:spacing w:line="360" w:lineRule="auto"/>
        <w:ind w:right="-989"/>
        <w:jc w:val="both"/>
        <w:rPr>
          <w:rFonts w:ascii="Palatino Linotype" w:eastAsia="Palatino Linotype" w:hAnsi="Palatino Linotype" w:cs="Palatino Linotype"/>
        </w:rPr>
      </w:pPr>
    </w:p>
    <w:p w14:paraId="321E790A"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A lo anterior recayó una respuesta de clasificación por reserva de la información por estarse sustanciando el juicio administrativo </w:t>
      </w:r>
      <w:r w:rsidRPr="00082FB0">
        <w:rPr>
          <w:rFonts w:ascii="Palatino Linotype" w:eastAsia="Palatino Linotype" w:hAnsi="Palatino Linotype" w:cs="Palatino Linotype"/>
          <w:b/>
          <w:color w:val="000000"/>
        </w:rPr>
        <w:t>número 1047/2021</w:t>
      </w:r>
      <w:r w:rsidRPr="00082FB0">
        <w:rPr>
          <w:rFonts w:ascii="Palatino Linotype" w:eastAsia="Palatino Linotype" w:hAnsi="Palatino Linotype" w:cs="Palatino Linotype"/>
          <w:color w:val="000000"/>
        </w:rPr>
        <w:t xml:space="preserve"> en el Tribunal de Justicia Administrativa del Estado de México, radicado en la Primera Sala Regional de Toluca de fecha de inicio del 22 de noviembre de 2021, promovido por el Municipio de Tlalnepantla de Baz.</w:t>
      </w:r>
    </w:p>
    <w:p w14:paraId="5616367E" w14:textId="77777777" w:rsidR="007678B0" w:rsidRPr="00082FB0" w:rsidRDefault="007678B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p>
    <w:p w14:paraId="2D357304"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En ese sentido, se argumentó de la prueba de daño generada para tal efecto, que dar a conocer lo solicitado puede crear un riesgo a la administración de justicia, a las partes o al propio proceso jurisdiccional, ocasionando un perjuicio significativo al interés público.</w:t>
      </w:r>
    </w:p>
    <w:p w14:paraId="768A21DD" w14:textId="77777777" w:rsidR="007678B0" w:rsidRPr="00082FB0" w:rsidRDefault="007678B0">
      <w:pPr>
        <w:pBdr>
          <w:top w:val="nil"/>
          <w:left w:val="nil"/>
          <w:bottom w:val="nil"/>
          <w:right w:val="nil"/>
          <w:between w:val="nil"/>
        </w:pBdr>
        <w:spacing w:line="360" w:lineRule="auto"/>
        <w:ind w:left="720" w:right="-989"/>
        <w:rPr>
          <w:rFonts w:ascii="Palatino Linotype" w:eastAsia="Palatino Linotype" w:hAnsi="Palatino Linotype" w:cs="Palatino Linotype"/>
          <w:color w:val="000000"/>
        </w:rPr>
      </w:pPr>
    </w:p>
    <w:p w14:paraId="2C420B14"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De lo anterior se desprenden diversos aspectos, el primero de ellos que el </w:t>
      </w:r>
      <w:r w:rsidRPr="00082FB0">
        <w:rPr>
          <w:rFonts w:ascii="Palatino Linotype" w:eastAsia="Palatino Linotype" w:hAnsi="Palatino Linotype" w:cs="Palatino Linotype"/>
          <w:b/>
          <w:color w:val="000000"/>
        </w:rPr>
        <w:t>SUJETO OBLIGADO</w:t>
      </w:r>
      <w:r w:rsidRPr="00082FB0">
        <w:rPr>
          <w:rFonts w:ascii="Palatino Linotype" w:eastAsia="Palatino Linotype" w:hAnsi="Palatino Linotype" w:cs="Palatino Linotype"/>
          <w:color w:val="000000"/>
        </w:rPr>
        <w:t xml:space="preserve"> asume de manera expresa que cuenta en sus archivos con la totalidad de los informes que se le solicitan, tan es así que se enlistan en su totalidad y se someten a un proceso de clasificación.</w:t>
      </w:r>
    </w:p>
    <w:p w14:paraId="7CAFD867" w14:textId="77777777" w:rsidR="007678B0" w:rsidRPr="00082FB0" w:rsidRDefault="007678B0">
      <w:pPr>
        <w:spacing w:line="360" w:lineRule="auto"/>
        <w:ind w:right="-989"/>
        <w:rPr>
          <w:rFonts w:ascii="Palatino Linotype" w:eastAsia="Palatino Linotype" w:hAnsi="Palatino Linotype" w:cs="Palatino Linotype"/>
        </w:rPr>
      </w:pPr>
    </w:p>
    <w:p w14:paraId="010DD4F8"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Ahora bien, la causal de clasificación corresponde a que se encuentra un procedimiento en trámite, al respecto en la ya referida prueba de daño no se evalúa el impacto </w:t>
      </w:r>
      <w:r w:rsidRPr="00082FB0">
        <w:rPr>
          <w:rFonts w:ascii="Palatino Linotype" w:eastAsia="Palatino Linotype" w:hAnsi="Palatino Linotype" w:cs="Palatino Linotype"/>
          <w:color w:val="000000"/>
        </w:rPr>
        <w:lastRenderedPageBreak/>
        <w:t>potencial que tendría la divulgación de dicha información; si bien es cierto se hace mención a que puede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y que se puede vulnere la conducción de los expedientes judiciales o de los procedimientos administrativos seguidos en forma de juicio, en tanto no hayan quedado firmes.</w:t>
      </w:r>
    </w:p>
    <w:p w14:paraId="0AAFD0CA" w14:textId="77777777" w:rsidR="007678B0" w:rsidRPr="00082FB0" w:rsidRDefault="007678B0">
      <w:pPr>
        <w:pBdr>
          <w:top w:val="nil"/>
          <w:left w:val="nil"/>
          <w:bottom w:val="nil"/>
          <w:right w:val="nil"/>
          <w:between w:val="nil"/>
        </w:pBdr>
        <w:spacing w:line="360" w:lineRule="auto"/>
        <w:ind w:left="720" w:right="-989"/>
        <w:rPr>
          <w:rFonts w:ascii="Palatino Linotype" w:eastAsia="Palatino Linotype" w:hAnsi="Palatino Linotype" w:cs="Palatino Linotype"/>
          <w:color w:val="000000"/>
        </w:rPr>
      </w:pPr>
    </w:p>
    <w:p w14:paraId="15E98CAF"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Sin embargo, ellos corresponden a los supuestos ya establecidos en la propia Ley de Transparencia y Acceso a la Información Pública del Estado de México y Municipios y que son los que deberán desarrollar los sujetos obligados debiendo valorar el daño que causaría la divulgación de la información, con la finalidad de sustentar la reserva y arribar a una determinación debidamente fundada y motivada que tenga como consecuencia la clasificación de la información, además de analizar si el periodo de clasificación resulta acorde con la naturaleza de la información requerida </w:t>
      </w:r>
      <w:r w:rsidRPr="00082FB0">
        <w:rPr>
          <w:rFonts w:ascii="Palatino Linotype" w:eastAsia="Palatino Linotype" w:hAnsi="Palatino Linotype" w:cs="Palatino Linotype"/>
          <w:b/>
          <w:color w:val="000000"/>
          <w:u w:val="single"/>
        </w:rPr>
        <w:t xml:space="preserve">no bastando con </w:t>
      </w:r>
      <w:r w:rsidRPr="00082FB0">
        <w:rPr>
          <w:rFonts w:ascii="Palatino Linotype" w:eastAsia="Palatino Linotype" w:hAnsi="Palatino Linotype" w:cs="Palatino Linotype"/>
          <w:b/>
          <w:u w:val="single"/>
        </w:rPr>
        <w:t>sólo</w:t>
      </w:r>
      <w:r w:rsidRPr="00082FB0">
        <w:rPr>
          <w:rFonts w:ascii="Palatino Linotype" w:eastAsia="Palatino Linotype" w:hAnsi="Palatino Linotype" w:cs="Palatino Linotype"/>
          <w:b/>
          <w:color w:val="000000"/>
          <w:u w:val="single"/>
        </w:rPr>
        <w:t xml:space="preserve"> citarlos o parafrasearlos.</w:t>
      </w:r>
    </w:p>
    <w:p w14:paraId="3BC6D680" w14:textId="77777777" w:rsidR="007678B0" w:rsidRPr="00082FB0" w:rsidRDefault="007678B0">
      <w:pPr>
        <w:pBdr>
          <w:top w:val="nil"/>
          <w:left w:val="nil"/>
          <w:bottom w:val="nil"/>
          <w:right w:val="nil"/>
          <w:between w:val="nil"/>
        </w:pBdr>
        <w:spacing w:line="360" w:lineRule="auto"/>
        <w:ind w:left="720" w:right="-989"/>
        <w:rPr>
          <w:rFonts w:ascii="Palatino Linotype" w:eastAsia="Palatino Linotype" w:hAnsi="Palatino Linotype" w:cs="Palatino Linotype"/>
          <w:color w:val="000000"/>
        </w:rPr>
      </w:pPr>
    </w:p>
    <w:p w14:paraId="561FC22E"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En otras palabras, la determinación que confirme una clasificación debe contener un análisis exhaustivo de los elementos de forma y fondo que establecen los artículos 122, 125, 128, 129, 130, 131, 132 fracción II, 134 de la Ley de Transparencia y Acceso a la Información Pública del Estado de México y Municipios y los Lineamientos Generales en Materia de </w:t>
      </w:r>
      <w:r w:rsidRPr="00082FB0">
        <w:rPr>
          <w:rFonts w:ascii="Palatino Linotype" w:eastAsia="Palatino Linotype" w:hAnsi="Palatino Linotype" w:cs="Palatino Linotype"/>
          <w:color w:val="000000"/>
        </w:rPr>
        <w:lastRenderedPageBreak/>
        <w:t xml:space="preserve">Clasificación y Desclasificación de la Información, así como para la elaboración de Versiones Públicas. </w:t>
      </w:r>
    </w:p>
    <w:p w14:paraId="1B69406C" w14:textId="77777777" w:rsidR="007678B0" w:rsidRPr="00082FB0" w:rsidRDefault="007678B0">
      <w:pPr>
        <w:pBdr>
          <w:top w:val="nil"/>
          <w:left w:val="nil"/>
          <w:bottom w:val="nil"/>
          <w:right w:val="nil"/>
          <w:between w:val="nil"/>
        </w:pBdr>
        <w:spacing w:line="360" w:lineRule="auto"/>
        <w:ind w:left="720" w:right="-989"/>
        <w:rPr>
          <w:rFonts w:ascii="Palatino Linotype" w:eastAsia="Palatino Linotype" w:hAnsi="Palatino Linotype" w:cs="Palatino Linotype"/>
          <w:color w:val="000000"/>
        </w:rPr>
      </w:pPr>
    </w:p>
    <w:p w14:paraId="2FD91D51"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En esta perspectiva, el Acuerdo de Clasificación de Información tiene como propósito primordial </w:t>
      </w:r>
      <w:r w:rsidRPr="00082FB0">
        <w:rPr>
          <w:rFonts w:ascii="Palatino Linotype" w:eastAsia="Palatino Linotype" w:hAnsi="Palatino Linotype" w:cs="Palatino Linotype"/>
          <w:b/>
          <w:color w:val="000000"/>
        </w:rPr>
        <w:t>que los particulares conozcan de manera completa las condiciones y circunstancias que determinaron negar el acceso a la información</w:t>
      </w:r>
      <w:r w:rsidRPr="00082FB0">
        <w:rPr>
          <w:rFonts w:ascii="Palatino Linotype" w:eastAsia="Palatino Linotype" w:hAnsi="Palatino Linotype" w:cs="Palatino Linotype"/>
          <w:color w:val="000000"/>
        </w:rPr>
        <w:t xml:space="preserve">; a través de la adecuada fundamentación y motivación de la clasificación de información, que incluya la prueba de daño a fin de establecer el perjuicio que podría provocar la entrega de la información, toda vez que los artículos 128 y 129 de la Ley de la Materia, disponen que para que los sujetos obligados puedan invocar una causa se deberá fundar y motivar, a través de la aplicación de la prueba de daño, en la cual </w:t>
      </w:r>
      <w:r w:rsidRPr="00082FB0">
        <w:rPr>
          <w:rFonts w:ascii="Palatino Linotype" w:eastAsia="Palatino Linotype" w:hAnsi="Palatino Linotype" w:cs="Palatino Linotype"/>
          <w:b/>
          <w:color w:val="000000"/>
        </w:rPr>
        <w:t>se justifique que la divulgación de la información representa un riesgo real demostrable e identificable al superar el interés público de que se difunda atendiendo al principio de proporcionalidad y el medio menos restrictivo disponible para evitar perjuicio</w:t>
      </w:r>
      <w:r w:rsidRPr="00082FB0">
        <w:rPr>
          <w:rFonts w:ascii="Palatino Linotype" w:eastAsia="Palatino Linotype" w:hAnsi="Palatino Linotype" w:cs="Palatino Linotype"/>
          <w:color w:val="000000"/>
        </w:rPr>
        <w:t>.</w:t>
      </w:r>
    </w:p>
    <w:p w14:paraId="37467B1A" w14:textId="77777777" w:rsidR="007678B0" w:rsidRPr="00082FB0" w:rsidRDefault="007678B0">
      <w:pPr>
        <w:pBdr>
          <w:top w:val="nil"/>
          <w:left w:val="nil"/>
          <w:bottom w:val="nil"/>
          <w:right w:val="nil"/>
          <w:between w:val="nil"/>
        </w:pBdr>
        <w:spacing w:line="360" w:lineRule="auto"/>
        <w:ind w:left="720" w:right="-989"/>
        <w:jc w:val="both"/>
        <w:rPr>
          <w:rFonts w:ascii="Palatino Linotype" w:eastAsia="Palatino Linotype" w:hAnsi="Palatino Linotype" w:cs="Palatino Linotype"/>
        </w:rPr>
      </w:pPr>
    </w:p>
    <w:p w14:paraId="25ED63A5"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Al respecto, los Lineamientos Generales en Materia de Clasificación y Desclasificación de la Información, así como para la elaboración de versiones públicas, establecen en su numeral Trigésimo Tercero que, para la aplicación de la prueba de daño los sujetos obligados atenderán lo siguiente:</w:t>
      </w:r>
    </w:p>
    <w:p w14:paraId="1F148A8F" w14:textId="77777777" w:rsidR="007678B0" w:rsidRPr="00082FB0" w:rsidRDefault="00E315F0">
      <w:pPr>
        <w:pBdr>
          <w:top w:val="nil"/>
          <w:left w:val="nil"/>
          <w:bottom w:val="nil"/>
          <w:right w:val="nil"/>
          <w:between w:val="nil"/>
        </w:pBdr>
        <w:spacing w:line="360" w:lineRule="auto"/>
        <w:ind w:left="851"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 xml:space="preserve">"Trigésimo tercero. Para la aplicación de la prueba de daño a la que hace referencia el artículo 104 de la Ley General, los sujetos obligados atenderán lo siguiente: </w:t>
      </w:r>
    </w:p>
    <w:p w14:paraId="72144CB7" w14:textId="77777777" w:rsidR="007678B0" w:rsidRPr="00082FB0" w:rsidRDefault="00E315F0">
      <w:pPr>
        <w:pBdr>
          <w:top w:val="nil"/>
          <w:left w:val="nil"/>
          <w:bottom w:val="nil"/>
          <w:right w:val="nil"/>
          <w:between w:val="nil"/>
        </w:pBdr>
        <w:spacing w:line="360" w:lineRule="auto"/>
        <w:ind w:left="851"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lastRenderedPageBreak/>
        <w:t>I. Se deberá citar la fracción y, en su caso, la causal aplicable del artículo 113 de la Ley General, vinculándola con el Lineamiento especifico del presente ordenamiento y, cuando corresponda, el supuesto normativo que expresamente le otorga el carácter de información reservada;</w:t>
      </w:r>
    </w:p>
    <w:p w14:paraId="0FCFEE3D" w14:textId="77777777" w:rsidR="007678B0" w:rsidRPr="00082FB0" w:rsidRDefault="00E315F0">
      <w:pPr>
        <w:pBdr>
          <w:top w:val="nil"/>
          <w:left w:val="nil"/>
          <w:bottom w:val="nil"/>
          <w:right w:val="nil"/>
          <w:between w:val="nil"/>
        </w:pBdr>
        <w:spacing w:line="360" w:lineRule="auto"/>
        <w:ind w:left="851"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 xml:space="preserve">II. Mediante la ponderación de los intereses en conflicto, los sujetos obligados </w:t>
      </w:r>
      <w:r w:rsidRPr="00082FB0">
        <w:rPr>
          <w:rFonts w:ascii="Palatino Linotype" w:eastAsia="Palatino Linotype" w:hAnsi="Palatino Linotype" w:cs="Palatino Linotype"/>
          <w:b/>
          <w:i/>
          <w:color w:val="000000"/>
          <w:sz w:val="22"/>
          <w:szCs w:val="22"/>
        </w:rPr>
        <w:t>deberán demostrar que la publicidad de la información solicitada generaría un riesgo de perjuicio y por lo tanto, tendrán que acreditar que este último rebasa el interés público protegido por la reserva</w:t>
      </w:r>
      <w:r w:rsidRPr="00082FB0">
        <w:rPr>
          <w:rFonts w:ascii="Palatino Linotype" w:eastAsia="Palatino Linotype" w:hAnsi="Palatino Linotype" w:cs="Palatino Linotype"/>
          <w:i/>
          <w:color w:val="000000"/>
          <w:sz w:val="22"/>
          <w:szCs w:val="22"/>
        </w:rPr>
        <w:t>;</w:t>
      </w:r>
    </w:p>
    <w:p w14:paraId="36F3410C" w14:textId="77777777" w:rsidR="007678B0" w:rsidRPr="00082FB0" w:rsidRDefault="00E315F0">
      <w:pPr>
        <w:pBdr>
          <w:top w:val="nil"/>
          <w:left w:val="nil"/>
          <w:bottom w:val="nil"/>
          <w:right w:val="nil"/>
          <w:between w:val="nil"/>
        </w:pBdr>
        <w:spacing w:line="360" w:lineRule="auto"/>
        <w:ind w:left="851"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III.</w:t>
      </w:r>
      <w:r w:rsidRPr="00082FB0">
        <w:rPr>
          <w:rFonts w:ascii="Palatino Linotype" w:eastAsia="Palatino Linotype" w:hAnsi="Palatino Linotype" w:cs="Palatino Linotype"/>
          <w:i/>
          <w:color w:val="000000"/>
          <w:sz w:val="22"/>
          <w:szCs w:val="22"/>
        </w:rPr>
        <w:tab/>
        <w:t>Se debe de acreditar el vínculo entre la difusión de la información y la afectación del interés jurídico tutelado de que se trate;</w:t>
      </w:r>
    </w:p>
    <w:p w14:paraId="2D134D9D" w14:textId="77777777" w:rsidR="007678B0" w:rsidRPr="00082FB0" w:rsidRDefault="00E315F0">
      <w:pPr>
        <w:pBdr>
          <w:top w:val="nil"/>
          <w:left w:val="nil"/>
          <w:bottom w:val="nil"/>
          <w:right w:val="nil"/>
          <w:between w:val="nil"/>
        </w:pBdr>
        <w:spacing w:line="360" w:lineRule="auto"/>
        <w:ind w:left="851"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IV.</w:t>
      </w:r>
      <w:r w:rsidRPr="00082FB0">
        <w:rPr>
          <w:rFonts w:ascii="Palatino Linotype" w:eastAsia="Palatino Linotype" w:hAnsi="Palatino Linotype" w:cs="Palatino Linotype"/>
          <w:i/>
          <w:color w:val="000000"/>
          <w:sz w:val="22"/>
          <w:szCs w:val="22"/>
        </w:rPr>
        <w:tab/>
        <w:t>Precisar las razones objetivas por las que la apertura de la información generaría una afectación, a través de los elementos de un riesgo real, demostrable e identificable;</w:t>
      </w:r>
    </w:p>
    <w:p w14:paraId="58955B39" w14:textId="77777777" w:rsidR="007678B0" w:rsidRPr="00082FB0" w:rsidRDefault="00E315F0">
      <w:pPr>
        <w:pBdr>
          <w:top w:val="nil"/>
          <w:left w:val="nil"/>
          <w:bottom w:val="nil"/>
          <w:right w:val="nil"/>
          <w:between w:val="nil"/>
        </w:pBdr>
        <w:spacing w:line="360" w:lineRule="auto"/>
        <w:ind w:left="851"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V.</w:t>
      </w:r>
      <w:r w:rsidRPr="00082FB0">
        <w:rPr>
          <w:rFonts w:ascii="Palatino Linotype" w:eastAsia="Palatino Linotype" w:hAnsi="Palatino Linotype" w:cs="Palatino Linotype"/>
          <w:i/>
          <w:color w:val="000000"/>
          <w:sz w:val="22"/>
          <w:szCs w:val="22"/>
        </w:rPr>
        <w:tab/>
        <w:t xml:space="preserve">En la motivación de la clasificación, </w:t>
      </w:r>
      <w:r w:rsidRPr="00082FB0">
        <w:rPr>
          <w:rFonts w:ascii="Palatino Linotype" w:eastAsia="Palatino Linotype" w:hAnsi="Palatino Linotype" w:cs="Palatino Linotype"/>
          <w:b/>
          <w:i/>
          <w:color w:val="000000"/>
          <w:sz w:val="22"/>
          <w:szCs w:val="22"/>
        </w:rPr>
        <w:t>el sujeto obligado deberá acreditar las circunstancias de modo, tiempo y lugar del daño</w:t>
      </w:r>
      <w:r w:rsidRPr="00082FB0">
        <w:rPr>
          <w:rFonts w:ascii="Palatino Linotype" w:eastAsia="Palatino Linotype" w:hAnsi="Palatino Linotype" w:cs="Palatino Linotype"/>
          <w:i/>
          <w:color w:val="000000"/>
          <w:sz w:val="22"/>
          <w:szCs w:val="22"/>
        </w:rPr>
        <w:t>, y</w:t>
      </w:r>
    </w:p>
    <w:p w14:paraId="74D975B7" w14:textId="77777777" w:rsidR="007678B0" w:rsidRPr="00082FB0" w:rsidRDefault="00E315F0">
      <w:pPr>
        <w:pBdr>
          <w:top w:val="nil"/>
          <w:left w:val="nil"/>
          <w:bottom w:val="nil"/>
          <w:right w:val="nil"/>
          <w:between w:val="nil"/>
        </w:pBdr>
        <w:spacing w:line="360" w:lineRule="auto"/>
        <w:ind w:left="851"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VI.</w:t>
      </w:r>
      <w:r w:rsidRPr="00082FB0">
        <w:rPr>
          <w:rFonts w:ascii="Palatino Linotype" w:eastAsia="Palatino Linotype" w:hAnsi="Palatino Linotype" w:cs="Palatino Linotype"/>
          <w:i/>
          <w:color w:val="000000"/>
          <w:sz w:val="22"/>
          <w:szCs w:val="22"/>
        </w:rPr>
        <w:tab/>
        <w:t>Deberán elegir la opción de excepción al acceso a la información que menos lo restrinja, la cual será adecuada y proporcional para la protección del interés público, y deberá inte1ferir lo menos posible en el ejercicio efectivo del derecho de acceso a la información."(Sic)</w:t>
      </w:r>
    </w:p>
    <w:p w14:paraId="5585EFC8" w14:textId="77777777" w:rsidR="007678B0" w:rsidRPr="00082FB0" w:rsidRDefault="007678B0">
      <w:pPr>
        <w:pBdr>
          <w:top w:val="nil"/>
          <w:left w:val="nil"/>
          <w:bottom w:val="nil"/>
          <w:right w:val="nil"/>
          <w:between w:val="nil"/>
        </w:pBdr>
        <w:spacing w:line="360" w:lineRule="auto"/>
        <w:ind w:left="851" w:right="-989"/>
        <w:jc w:val="both"/>
        <w:rPr>
          <w:rFonts w:ascii="Palatino Linotype" w:eastAsia="Palatino Linotype" w:hAnsi="Palatino Linotype" w:cs="Palatino Linotype"/>
          <w:i/>
          <w:color w:val="000000"/>
        </w:rPr>
      </w:pPr>
    </w:p>
    <w:p w14:paraId="0E4CA0B4"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En conclusión, para convalidar la clasificación como información reservada, </w:t>
      </w:r>
      <w:r w:rsidRPr="00082FB0">
        <w:rPr>
          <w:rFonts w:ascii="Palatino Linotype" w:eastAsia="Palatino Linotype" w:hAnsi="Palatino Linotype" w:cs="Palatino Linotype"/>
          <w:b/>
          <w:color w:val="000000"/>
        </w:rPr>
        <w:t xml:space="preserve">se debe efectuar el </w:t>
      </w:r>
      <w:r w:rsidRPr="00082FB0">
        <w:rPr>
          <w:rFonts w:ascii="Palatino Linotype" w:eastAsia="Palatino Linotype" w:hAnsi="Palatino Linotype" w:cs="Palatino Linotype"/>
          <w:color w:val="000000"/>
        </w:rPr>
        <w:t>estudio</w:t>
      </w:r>
      <w:r w:rsidRPr="00082FB0">
        <w:rPr>
          <w:rFonts w:ascii="Palatino Linotype" w:eastAsia="Palatino Linotype" w:hAnsi="Palatino Linotype" w:cs="Palatino Linotype"/>
          <w:b/>
          <w:color w:val="000000"/>
        </w:rPr>
        <w:t xml:space="preserve"> de clasificación a la luz de los elementos que exigen los Lineamientos generales en materia de clasificación y desclasificación de la información, así como para la elaboración de versiones públicas, y efectuar un análisis exhaustivo en todos aquellos casos que restrinjan el derecho de acceso a la información de los particulares</w:t>
      </w:r>
      <w:r w:rsidRPr="00082FB0">
        <w:rPr>
          <w:rFonts w:ascii="Palatino Linotype" w:eastAsia="Palatino Linotype" w:hAnsi="Palatino Linotype" w:cs="Palatino Linotype"/>
          <w:color w:val="000000"/>
        </w:rPr>
        <w:t>, como es la figura de la clasificación de la información para verificar que se acredita la prueba de daño. Contexto que se insiste, del caso concreto no se materializó.</w:t>
      </w:r>
    </w:p>
    <w:p w14:paraId="23292D67" w14:textId="77777777" w:rsidR="00371D40" w:rsidRPr="00082FB0" w:rsidRDefault="00371D40" w:rsidP="00371D4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p>
    <w:p w14:paraId="2CBDD316"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Sumado a lo anterior, se advierte que el soporte documental solicitado, dada su propia especial naturaleza, no es susceptible de ser clasificado, ya que si bien no se duda que se encuentra </w:t>
      </w:r>
      <w:r w:rsidRPr="00082FB0">
        <w:rPr>
          <w:rFonts w:ascii="Palatino Linotype" w:eastAsia="Palatino Linotype" w:hAnsi="Palatino Linotype" w:cs="Palatino Linotype"/>
          <w:i/>
          <w:color w:val="000000"/>
        </w:rPr>
        <w:t>sub judice</w:t>
      </w:r>
      <w:r w:rsidRPr="00082FB0">
        <w:rPr>
          <w:rFonts w:ascii="Palatino Linotype" w:eastAsia="Palatino Linotype" w:hAnsi="Palatino Linotype" w:cs="Palatino Linotype"/>
          <w:color w:val="000000"/>
        </w:rPr>
        <w:t xml:space="preserve">; también lo es que al tratarse de informes ya generados y entregados por el Ayuntamiento, corresponden a documentos definitivos. </w:t>
      </w:r>
    </w:p>
    <w:p w14:paraId="0957C797" w14:textId="77777777" w:rsidR="007678B0" w:rsidRPr="00082FB0" w:rsidRDefault="007678B0">
      <w:pPr>
        <w:pBdr>
          <w:top w:val="nil"/>
          <w:left w:val="nil"/>
          <w:bottom w:val="nil"/>
          <w:right w:val="nil"/>
          <w:between w:val="nil"/>
        </w:pBdr>
        <w:spacing w:line="360" w:lineRule="auto"/>
        <w:ind w:left="720" w:right="-989"/>
        <w:rPr>
          <w:rFonts w:ascii="Palatino Linotype" w:eastAsia="Palatino Linotype" w:hAnsi="Palatino Linotype" w:cs="Palatino Linotype"/>
          <w:color w:val="000000"/>
        </w:rPr>
      </w:pPr>
    </w:p>
    <w:p w14:paraId="0790A21B"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Documentos que corresponden a archivos, registros o bien, un informe como se desprende del caso concreto, que se consideran finales, completos y autorizados, y que no está sujeto a cambios adicionales, como resultado de un </w:t>
      </w:r>
      <w:r w:rsidRPr="00082FB0">
        <w:rPr>
          <w:rFonts w:ascii="Palatino Linotype" w:eastAsia="Palatino Linotype" w:hAnsi="Palatino Linotype" w:cs="Palatino Linotype"/>
          <w:color w:val="000000"/>
          <w:u w:val="single"/>
        </w:rPr>
        <w:t>proceso de revisión, edición y aprobación</w:t>
      </w:r>
      <w:r w:rsidRPr="00082FB0">
        <w:rPr>
          <w:rFonts w:ascii="Palatino Linotype" w:eastAsia="Palatino Linotype" w:hAnsi="Palatino Linotype" w:cs="Palatino Linotype"/>
          <w:color w:val="000000"/>
        </w:rPr>
        <w:t>, y se utilizan como versión oficial (en el caso de mérito), tan es así  que ya le fueron remitidos a la Dirección General De Ordenamiento e Impacto Ambiental; más aún, ya se encuentran inmersos en un procedimiento, de lo que se colige con claridad que ya no son susceptibles de sufrir modificación alguna y tienen el carácter de oficial, por lo que su difusión no afecta ningún trámite o procedimiento.</w:t>
      </w:r>
    </w:p>
    <w:p w14:paraId="52A7ACC4" w14:textId="77777777" w:rsidR="007678B0" w:rsidRPr="00082FB0" w:rsidRDefault="007678B0">
      <w:pPr>
        <w:pBdr>
          <w:top w:val="nil"/>
          <w:left w:val="nil"/>
          <w:bottom w:val="nil"/>
          <w:right w:val="nil"/>
          <w:between w:val="nil"/>
        </w:pBdr>
        <w:spacing w:line="360" w:lineRule="auto"/>
        <w:ind w:left="720" w:right="-989"/>
        <w:rPr>
          <w:rFonts w:ascii="Palatino Linotype" w:eastAsia="Palatino Linotype" w:hAnsi="Palatino Linotype" w:cs="Palatino Linotype"/>
          <w:color w:val="000000"/>
        </w:rPr>
      </w:pPr>
    </w:p>
    <w:p w14:paraId="059BB592" w14:textId="77777777" w:rsidR="005D5A8C" w:rsidRPr="00082FB0" w:rsidRDefault="005D5A8C" w:rsidP="005D5A8C">
      <w:pPr>
        <w:numPr>
          <w:ilvl w:val="0"/>
          <w:numId w:val="1"/>
        </w:numPr>
        <w:pBdr>
          <w:top w:val="nil"/>
          <w:left w:val="nil"/>
          <w:bottom w:val="nil"/>
          <w:right w:val="nil"/>
          <w:between w:val="nil"/>
        </w:pBdr>
        <w:tabs>
          <w:tab w:val="left" w:pos="0"/>
        </w:tabs>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Por otro lado, es innecesario abundar en la causal de reserva invocada; ya que si bien se refirió este Instituto no está facultado para dudar de la veracidad de las respuestas que emiten los sujetos obligado, también lo que luego de la búsqueda de indicios por parte de la Ponencia Resolutora, se advirtieron documentales que dan cuenta de que el procedimiento a que hace alusión el </w:t>
      </w:r>
      <w:r w:rsidRPr="00082FB0">
        <w:rPr>
          <w:rFonts w:ascii="Palatino Linotype" w:eastAsia="Palatino Linotype" w:hAnsi="Palatino Linotype" w:cs="Palatino Linotype"/>
          <w:b/>
          <w:color w:val="000000"/>
        </w:rPr>
        <w:t>SUJETO OBLIGADO</w:t>
      </w:r>
      <w:r w:rsidRPr="00082FB0">
        <w:rPr>
          <w:rFonts w:ascii="Palatino Linotype" w:eastAsia="Palatino Linotype" w:hAnsi="Palatino Linotype" w:cs="Palatino Linotype"/>
          <w:color w:val="000000"/>
        </w:rPr>
        <w:t>, se encuentra concluido, como se desprende de las siguientes constancias:</w:t>
      </w:r>
    </w:p>
    <w:p w14:paraId="419157C3" w14:textId="77777777" w:rsidR="005D5A8C" w:rsidRPr="00082FB0" w:rsidRDefault="005D5A8C" w:rsidP="005D5A8C">
      <w:pPr>
        <w:pStyle w:val="Prrafodelista"/>
        <w:rPr>
          <w:rFonts w:ascii="Palatino Linotype" w:eastAsia="Palatino Linotype" w:hAnsi="Palatino Linotype" w:cs="Palatino Linotype"/>
          <w:color w:val="000000"/>
        </w:rPr>
      </w:pPr>
    </w:p>
    <w:p w14:paraId="7FE0B6BE" w14:textId="77777777" w:rsidR="005D5A8C" w:rsidRPr="00082FB0" w:rsidRDefault="005D5A8C" w:rsidP="005D5A8C">
      <w:pPr>
        <w:pBdr>
          <w:top w:val="nil"/>
          <w:left w:val="nil"/>
          <w:bottom w:val="nil"/>
          <w:right w:val="nil"/>
          <w:between w:val="nil"/>
        </w:pBdr>
        <w:tabs>
          <w:tab w:val="left" w:pos="0"/>
        </w:tabs>
        <w:spacing w:line="360" w:lineRule="auto"/>
        <w:ind w:right="-989"/>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noProof/>
          <w:color w:val="000000"/>
          <w:lang w:val="es-MX" w:eastAsia="es-MX"/>
        </w:rPr>
        <w:lastRenderedPageBreak/>
        <w:drawing>
          <wp:inline distT="0" distB="0" distL="0" distR="0" wp14:anchorId="6294EBD9" wp14:editId="0628CE3C">
            <wp:extent cx="5581015" cy="6685915"/>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1015" cy="6685915"/>
                    </a:xfrm>
                    <a:prstGeom prst="rect">
                      <a:avLst/>
                    </a:prstGeom>
                  </pic:spPr>
                </pic:pic>
              </a:graphicData>
            </a:graphic>
          </wp:inline>
        </w:drawing>
      </w:r>
    </w:p>
    <w:p w14:paraId="6ACF8E3B" w14:textId="77777777" w:rsidR="005D5A8C" w:rsidRPr="00082FB0" w:rsidRDefault="005D5A8C" w:rsidP="005D5A8C">
      <w:pPr>
        <w:pBdr>
          <w:top w:val="nil"/>
          <w:left w:val="nil"/>
          <w:bottom w:val="nil"/>
          <w:right w:val="nil"/>
          <w:between w:val="nil"/>
        </w:pBdr>
        <w:tabs>
          <w:tab w:val="left" w:pos="0"/>
        </w:tabs>
        <w:spacing w:line="360" w:lineRule="auto"/>
        <w:ind w:right="-989"/>
        <w:jc w:val="center"/>
        <w:rPr>
          <w:rFonts w:ascii="Palatino Linotype" w:eastAsia="Palatino Linotype" w:hAnsi="Palatino Linotype" w:cs="Palatino Linotype"/>
          <w:color w:val="000000"/>
        </w:rPr>
      </w:pPr>
      <w:r w:rsidRPr="00082FB0">
        <w:rPr>
          <w:rFonts w:ascii="Palatino Linotype" w:eastAsia="Palatino Linotype" w:hAnsi="Palatino Linotype" w:cs="Palatino Linotype"/>
          <w:noProof/>
          <w:color w:val="000000"/>
          <w:lang w:val="es-MX" w:eastAsia="es-MX"/>
        </w:rPr>
        <w:lastRenderedPageBreak/>
        <w:drawing>
          <wp:inline distT="0" distB="0" distL="0" distR="0" wp14:anchorId="667C8493" wp14:editId="51F6DEC2">
            <wp:extent cx="5118060" cy="7144603"/>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21497" cy="7149401"/>
                    </a:xfrm>
                    <a:prstGeom prst="rect">
                      <a:avLst/>
                    </a:prstGeom>
                  </pic:spPr>
                </pic:pic>
              </a:graphicData>
            </a:graphic>
          </wp:inline>
        </w:drawing>
      </w:r>
    </w:p>
    <w:p w14:paraId="37906D56" w14:textId="77777777" w:rsidR="005D5A8C" w:rsidRPr="00082FB0" w:rsidRDefault="005D5A8C" w:rsidP="005D5A8C">
      <w:pPr>
        <w:pBdr>
          <w:top w:val="nil"/>
          <w:left w:val="nil"/>
          <w:bottom w:val="nil"/>
          <w:right w:val="nil"/>
          <w:between w:val="nil"/>
        </w:pBdr>
        <w:tabs>
          <w:tab w:val="left" w:pos="0"/>
        </w:tabs>
        <w:spacing w:line="360" w:lineRule="auto"/>
        <w:ind w:right="-989"/>
        <w:jc w:val="center"/>
        <w:rPr>
          <w:rFonts w:ascii="Palatino Linotype" w:eastAsia="Palatino Linotype" w:hAnsi="Palatino Linotype" w:cs="Palatino Linotype"/>
          <w:color w:val="000000"/>
        </w:rPr>
      </w:pPr>
      <w:r w:rsidRPr="00082FB0">
        <w:rPr>
          <w:rFonts w:ascii="Palatino Linotype" w:eastAsia="Palatino Linotype" w:hAnsi="Palatino Linotype" w:cs="Palatino Linotype"/>
          <w:noProof/>
          <w:color w:val="000000"/>
          <w:lang w:val="es-MX" w:eastAsia="es-MX"/>
        </w:rPr>
        <w:lastRenderedPageBreak/>
        <w:drawing>
          <wp:inline distT="0" distB="0" distL="0" distR="0" wp14:anchorId="06CC8CC6" wp14:editId="704148AA">
            <wp:extent cx="5581015" cy="6718300"/>
            <wp:effectExtent l="0" t="0" r="63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1015" cy="6718300"/>
                    </a:xfrm>
                    <a:prstGeom prst="rect">
                      <a:avLst/>
                    </a:prstGeom>
                  </pic:spPr>
                </pic:pic>
              </a:graphicData>
            </a:graphic>
          </wp:inline>
        </w:drawing>
      </w:r>
    </w:p>
    <w:p w14:paraId="3ABF587B" w14:textId="77777777" w:rsidR="005D5A8C" w:rsidRPr="00082FB0" w:rsidRDefault="005D5A8C" w:rsidP="005D5A8C">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p>
    <w:p w14:paraId="59B23129" w14:textId="77777777" w:rsidR="005D5A8C" w:rsidRPr="00082FB0" w:rsidRDefault="005D5A8C" w:rsidP="005D5A8C">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lastRenderedPageBreak/>
        <w:t>Luego entonces, si la solicitud de información ingreso el veintitrés de abril del año en curso, causo ejecutoria poco más de un mes antes,  lo cual implica que ya no puede ser impugnada o recurrida mediante los medios ordinarios de defensa legal, es decir la sentencia se ha vuelto definitiva y es obligatoria para las partes involucradas, con lo que resulta evidente que la causal de reserva invocada se extinguió, suponiendo sin conceder fuera procedente ya que -se insiste-, nos encontramos ante una solicitud de información que versa respecto de documentos definitivos.</w:t>
      </w:r>
    </w:p>
    <w:p w14:paraId="2414E0DE" w14:textId="77777777" w:rsidR="005D5A8C" w:rsidRPr="00082FB0" w:rsidRDefault="005D5A8C" w:rsidP="005D5A8C">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p>
    <w:p w14:paraId="50035880"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A más de lo anterior, derivado de su naturaleza, se colige que no corresponden a informes que contengan información sensible que justifique su clasificación toda vez que relacionado al derecho humano a un medio ambiente sano, ello conforme al “Acuerdo de Escazú”.</w:t>
      </w:r>
    </w:p>
    <w:p w14:paraId="2B66F4A7" w14:textId="77777777" w:rsidR="007678B0" w:rsidRPr="00082FB0" w:rsidRDefault="007678B0">
      <w:pPr>
        <w:pBdr>
          <w:top w:val="nil"/>
          <w:left w:val="nil"/>
          <w:bottom w:val="nil"/>
          <w:right w:val="nil"/>
          <w:between w:val="nil"/>
        </w:pBdr>
        <w:spacing w:line="360" w:lineRule="auto"/>
        <w:ind w:left="720" w:right="-989"/>
        <w:rPr>
          <w:rFonts w:ascii="Palatino Linotype" w:eastAsia="Palatino Linotype" w:hAnsi="Palatino Linotype" w:cs="Palatino Linotype"/>
          <w:color w:val="000000"/>
        </w:rPr>
      </w:pPr>
    </w:p>
    <w:p w14:paraId="27C46F74"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Que corresponde a un tratado internacional pionero en América Latina y el Caribe que tiene como objetivo garantizar los derechos de acceso a la información ambiental, la participación pública en la toma de decisiones ambientales y el acceso a la justicia en asuntos ambientales. </w:t>
      </w:r>
    </w:p>
    <w:p w14:paraId="35F4853D" w14:textId="77777777" w:rsidR="007678B0" w:rsidRPr="00082FB0" w:rsidRDefault="007678B0">
      <w:pPr>
        <w:pBdr>
          <w:top w:val="nil"/>
          <w:left w:val="nil"/>
          <w:bottom w:val="nil"/>
          <w:right w:val="nil"/>
          <w:between w:val="nil"/>
        </w:pBdr>
        <w:spacing w:line="360" w:lineRule="auto"/>
        <w:ind w:left="720" w:right="-989"/>
        <w:rPr>
          <w:rFonts w:ascii="Palatino Linotype" w:eastAsia="Palatino Linotype" w:hAnsi="Palatino Linotype" w:cs="Palatino Linotype"/>
          <w:color w:val="000000"/>
        </w:rPr>
      </w:pPr>
    </w:p>
    <w:p w14:paraId="00A855AC"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Su nombre oficial es Acuerdo Regional sobre el Acceso a la Información, la Participación Pública y el Acceso a la Justicia en Asuntos Ambientales en América Latina y el Caribe, y fue adoptado en Escazú, Costa Rica; de sus principales disposiciones destaca al caso concreto la de los Estados que deben garantizar que la información ambiental esté disponible y sea accesible para el público. </w:t>
      </w:r>
    </w:p>
    <w:p w14:paraId="54EB5929" w14:textId="77777777" w:rsidR="007678B0" w:rsidRPr="00082FB0" w:rsidRDefault="007678B0">
      <w:pPr>
        <w:pBdr>
          <w:top w:val="nil"/>
          <w:left w:val="nil"/>
          <w:bottom w:val="nil"/>
          <w:right w:val="nil"/>
          <w:between w:val="nil"/>
        </w:pBdr>
        <w:spacing w:line="360" w:lineRule="auto"/>
        <w:ind w:left="720" w:right="-989"/>
        <w:rPr>
          <w:rFonts w:ascii="Palatino Linotype" w:eastAsia="Palatino Linotype" w:hAnsi="Palatino Linotype" w:cs="Palatino Linotype"/>
          <w:color w:val="000000"/>
        </w:rPr>
      </w:pPr>
    </w:p>
    <w:p w14:paraId="63C86424"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Luego entonces, el Acuerdo de Escazú es un instrumento histórico que busca fortalecer los derechos ambientales al garantizar el acceso a la información, la participación pública y la justicia ambiental, así como proteger a los defensores ambientales, por lo que su implementación efectiva requiere el compromiso no solo de los gobiernos, sino de los órganos garantes que tutelan el derecho humano de acceso a la información pública.</w:t>
      </w:r>
    </w:p>
    <w:p w14:paraId="19B6B41D" w14:textId="77777777" w:rsidR="007678B0" w:rsidRPr="00082FB0" w:rsidRDefault="007678B0">
      <w:pPr>
        <w:pBdr>
          <w:top w:val="nil"/>
          <w:left w:val="nil"/>
          <w:bottom w:val="nil"/>
          <w:right w:val="nil"/>
          <w:between w:val="nil"/>
        </w:pBdr>
        <w:spacing w:line="360" w:lineRule="auto"/>
        <w:ind w:left="720" w:right="-989"/>
        <w:rPr>
          <w:rFonts w:ascii="Palatino Linotype" w:eastAsia="Palatino Linotype" w:hAnsi="Palatino Linotype" w:cs="Palatino Linotype"/>
          <w:color w:val="000000"/>
        </w:rPr>
      </w:pPr>
    </w:p>
    <w:p w14:paraId="112879C1"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Así, al ser el Acuerdo de Escazú es un instrumento histórico que busca fortalecer los derechos ambientales y garantizar el acceso a la información, firmado por 24 de américa latina países y ratificado por 15, de lo que se incluye a México, es un instrumento vinculante al cual se debió dar observancia toda vez que obliga a  todas las instituciones del Estado mexicano a garantizar a plenitud el derecho de acceso a la información, la participación pública y la justicia en asuntos ambientales.</w:t>
      </w:r>
    </w:p>
    <w:p w14:paraId="58D3A3F3"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En ese sentido, la entrega de la información solicitada resulta relevante ya que desde el año 2018, México se adhirió al Acuerdo de Escazú, que al ser un instrumento vinculante, obliga  a  todas las instituciones del Estado mexicano a garantizar a plenitud el  derecho de acceso a la información en </w:t>
      </w:r>
      <w:r w:rsidRPr="00082FB0">
        <w:rPr>
          <w:rFonts w:ascii="Palatino Linotype" w:eastAsia="Palatino Linotype" w:hAnsi="Palatino Linotype" w:cs="Palatino Linotype"/>
          <w:b/>
          <w:color w:val="000000"/>
        </w:rPr>
        <w:t>asuntos ambientales</w:t>
      </w:r>
      <w:r w:rsidRPr="00082FB0">
        <w:rPr>
          <w:rFonts w:ascii="Palatino Linotype" w:eastAsia="Palatino Linotype" w:hAnsi="Palatino Linotype" w:cs="Palatino Linotype"/>
          <w:color w:val="000000"/>
        </w:rPr>
        <w:t xml:space="preserve">, lo anterior bajo los principios de igualdad y no discriminación, transparencia y rendición de cuentas, no regresión y progresividad, buena fe, preventivo, precautorio, equidad intergeneracional, máxima publicidad, soberanía permanente de los Estados y el principio </w:t>
      </w:r>
      <w:r w:rsidRPr="00082FB0">
        <w:rPr>
          <w:rFonts w:ascii="Palatino Linotype" w:eastAsia="Palatino Linotype" w:hAnsi="Palatino Linotype" w:cs="Palatino Linotype"/>
          <w:i/>
          <w:color w:val="000000"/>
        </w:rPr>
        <w:t>pro persona</w:t>
      </w:r>
      <w:r w:rsidRPr="00082FB0">
        <w:rPr>
          <w:rFonts w:ascii="Palatino Linotype" w:eastAsia="Palatino Linotype" w:hAnsi="Palatino Linotype" w:cs="Palatino Linotype"/>
          <w:color w:val="000000"/>
        </w:rPr>
        <w:t xml:space="preserve">. </w:t>
      </w:r>
    </w:p>
    <w:p w14:paraId="4A457C04" w14:textId="77777777" w:rsidR="007678B0" w:rsidRPr="00082FB0" w:rsidRDefault="007678B0">
      <w:pPr>
        <w:pBdr>
          <w:top w:val="nil"/>
          <w:left w:val="nil"/>
          <w:bottom w:val="nil"/>
          <w:right w:val="nil"/>
          <w:between w:val="nil"/>
        </w:pBdr>
        <w:spacing w:line="360" w:lineRule="auto"/>
        <w:ind w:left="720" w:right="-989"/>
        <w:rPr>
          <w:rFonts w:ascii="Palatino Linotype" w:eastAsia="Palatino Linotype" w:hAnsi="Palatino Linotype" w:cs="Palatino Linotype"/>
          <w:color w:val="000000"/>
        </w:rPr>
      </w:pPr>
    </w:p>
    <w:p w14:paraId="66B37E04"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Principio que en materia de acceso a la información pública corresponde a un mandato fundamental en virtud que el derecho de acceso a la información pública está reconocido </w:t>
      </w:r>
      <w:r w:rsidRPr="00082FB0">
        <w:rPr>
          <w:rFonts w:ascii="Palatino Linotype" w:eastAsia="Palatino Linotype" w:hAnsi="Palatino Linotype" w:cs="Palatino Linotype"/>
          <w:color w:val="000000"/>
        </w:rPr>
        <w:lastRenderedPageBreak/>
        <w:t xml:space="preserve">como un derecho humano fundamental; este principio, también conocido como principio </w:t>
      </w:r>
      <w:r w:rsidRPr="00082FB0">
        <w:rPr>
          <w:rFonts w:ascii="Palatino Linotype" w:eastAsia="Palatino Linotype" w:hAnsi="Palatino Linotype" w:cs="Palatino Linotype"/>
          <w:i/>
          <w:color w:val="000000"/>
        </w:rPr>
        <w:t>pro homine</w:t>
      </w:r>
      <w:r w:rsidRPr="00082FB0">
        <w:rPr>
          <w:rFonts w:ascii="Palatino Linotype" w:eastAsia="Palatino Linotype" w:hAnsi="Palatino Linotype" w:cs="Palatino Linotype"/>
          <w:color w:val="000000"/>
        </w:rPr>
        <w:t xml:space="preserve">, establece que, en caso de duda o conflicto en la interpretación de normas, debe prevalecer aquella que maximice la protección de los derechos humanos y favorezca de manera más amplia a las personas. </w:t>
      </w:r>
    </w:p>
    <w:p w14:paraId="0EF6541F" w14:textId="77777777" w:rsidR="007678B0" w:rsidRPr="00082FB0" w:rsidRDefault="007678B0">
      <w:pPr>
        <w:pBdr>
          <w:top w:val="nil"/>
          <w:left w:val="nil"/>
          <w:bottom w:val="nil"/>
          <w:right w:val="nil"/>
          <w:between w:val="nil"/>
        </w:pBdr>
        <w:spacing w:line="360" w:lineRule="auto"/>
        <w:ind w:left="720" w:right="-989"/>
        <w:rPr>
          <w:rFonts w:ascii="Palatino Linotype" w:eastAsia="Palatino Linotype" w:hAnsi="Palatino Linotype" w:cs="Palatino Linotype"/>
          <w:color w:val="000000"/>
        </w:rPr>
      </w:pPr>
    </w:p>
    <w:p w14:paraId="1B05D59F"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Por otro lado, respecto del derecho humano al medio ambiente, se entiende que es el reconocimiento de que todas las personas tienen derecho a vivir en un entorno sano, seguro y equilibrado; este derecho implica la protección y conservación del medio ambiente para el bienestar de las generaciones presentes y futuras, y es esencial para el disfrute de otros derechos humanos, como el derecho a la vida, la salud, el agua y la alimentación.</w:t>
      </w:r>
    </w:p>
    <w:p w14:paraId="49E0FC9E" w14:textId="77777777" w:rsidR="007678B0" w:rsidRPr="00082FB0" w:rsidRDefault="007678B0">
      <w:pPr>
        <w:pBdr>
          <w:top w:val="nil"/>
          <w:left w:val="nil"/>
          <w:bottom w:val="nil"/>
          <w:right w:val="nil"/>
          <w:between w:val="nil"/>
        </w:pBdr>
        <w:spacing w:line="360" w:lineRule="auto"/>
        <w:ind w:left="720" w:right="-989"/>
        <w:rPr>
          <w:rFonts w:ascii="Palatino Linotype" w:eastAsia="Palatino Linotype" w:hAnsi="Palatino Linotype" w:cs="Palatino Linotype"/>
          <w:color w:val="000000"/>
        </w:rPr>
      </w:pPr>
    </w:p>
    <w:p w14:paraId="57481AA7"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El Reconocimiento del Derecho Humano al Medio Ambiente fue formalmente reconocido por el Consejo de Derechos Humanos de la ONU en 2021 mediante la Resolución 48/13, que establece el derecho a un ambiente limpio, saludable y sostenible, este hito representa un avance en el reconocimiento de la relación entre los derechos humanos y la protección ambiental a nivel internacional.</w:t>
      </w:r>
    </w:p>
    <w:p w14:paraId="04337008" w14:textId="77777777" w:rsidR="007678B0" w:rsidRPr="00082FB0" w:rsidRDefault="007678B0">
      <w:pPr>
        <w:spacing w:line="360" w:lineRule="auto"/>
        <w:ind w:right="-989"/>
        <w:jc w:val="both"/>
        <w:rPr>
          <w:rFonts w:ascii="Palatino Linotype" w:eastAsia="Palatino Linotype" w:hAnsi="Palatino Linotype" w:cs="Palatino Linotype"/>
        </w:rPr>
      </w:pPr>
    </w:p>
    <w:p w14:paraId="445DA3F2"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 En esa tesitura, la Ley de Transparencia y Acceso a la Información Pública del Estado de México y Municipios, establece que no podrá invocarse el carácter de reservado en las siguientes circunstancias:</w:t>
      </w:r>
    </w:p>
    <w:p w14:paraId="576747DD" w14:textId="77777777" w:rsidR="007678B0" w:rsidRPr="00082FB0" w:rsidRDefault="00E315F0">
      <w:pPr>
        <w:pBdr>
          <w:top w:val="nil"/>
          <w:left w:val="nil"/>
          <w:bottom w:val="nil"/>
          <w:right w:val="nil"/>
          <w:between w:val="nil"/>
        </w:pBdr>
        <w:spacing w:line="360" w:lineRule="auto"/>
        <w:ind w:left="720"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 xml:space="preserve">Artículo 142. Bajo ninguna circunstancia podrá invocarse el carácter de reservado cuando: </w:t>
      </w:r>
    </w:p>
    <w:p w14:paraId="303CD808" w14:textId="77777777" w:rsidR="007678B0" w:rsidRPr="00082FB0" w:rsidRDefault="00E315F0">
      <w:pPr>
        <w:pBdr>
          <w:top w:val="nil"/>
          <w:left w:val="nil"/>
          <w:bottom w:val="nil"/>
          <w:right w:val="nil"/>
          <w:between w:val="nil"/>
        </w:pBdr>
        <w:spacing w:line="360" w:lineRule="auto"/>
        <w:ind w:left="720" w:right="-280"/>
        <w:jc w:val="both"/>
        <w:rPr>
          <w:rFonts w:ascii="Palatino Linotype" w:eastAsia="Palatino Linotype" w:hAnsi="Palatino Linotype" w:cs="Palatino Linotype"/>
          <w:b/>
          <w:i/>
          <w:color w:val="000000"/>
          <w:sz w:val="22"/>
          <w:szCs w:val="22"/>
        </w:rPr>
      </w:pPr>
      <w:r w:rsidRPr="00082FB0">
        <w:rPr>
          <w:rFonts w:ascii="Palatino Linotype" w:eastAsia="Palatino Linotype" w:hAnsi="Palatino Linotype" w:cs="Palatino Linotype"/>
          <w:b/>
          <w:i/>
          <w:color w:val="000000"/>
          <w:sz w:val="22"/>
          <w:szCs w:val="22"/>
        </w:rPr>
        <w:t xml:space="preserve">I. Se trate de violaciones graves de derechos humanos, calificada así por autoridad competente; </w:t>
      </w:r>
    </w:p>
    <w:p w14:paraId="29387037" w14:textId="77777777" w:rsidR="007678B0" w:rsidRPr="00082FB0" w:rsidRDefault="00E315F0">
      <w:pPr>
        <w:pBdr>
          <w:top w:val="nil"/>
          <w:left w:val="nil"/>
          <w:bottom w:val="nil"/>
          <w:right w:val="nil"/>
          <w:between w:val="nil"/>
        </w:pBdr>
        <w:spacing w:line="360" w:lineRule="auto"/>
        <w:ind w:left="720" w:right="-280"/>
        <w:jc w:val="both"/>
        <w:rPr>
          <w:rFonts w:ascii="Palatino Linotype" w:eastAsia="Palatino Linotype" w:hAnsi="Palatino Linotype" w:cs="Palatino Linotype"/>
          <w:b/>
          <w:i/>
          <w:color w:val="000000"/>
          <w:sz w:val="22"/>
          <w:szCs w:val="22"/>
        </w:rPr>
      </w:pPr>
      <w:r w:rsidRPr="00082FB0">
        <w:rPr>
          <w:rFonts w:ascii="Palatino Linotype" w:eastAsia="Palatino Linotype" w:hAnsi="Palatino Linotype" w:cs="Palatino Linotype"/>
          <w:b/>
          <w:i/>
          <w:color w:val="000000"/>
          <w:sz w:val="22"/>
          <w:szCs w:val="22"/>
        </w:rPr>
        <w:lastRenderedPageBreak/>
        <w:t xml:space="preserve">II. 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7535C87E" w14:textId="77777777" w:rsidR="007678B0" w:rsidRPr="00082FB0" w:rsidRDefault="00E315F0">
      <w:pPr>
        <w:pBdr>
          <w:top w:val="nil"/>
          <w:left w:val="nil"/>
          <w:bottom w:val="nil"/>
          <w:right w:val="nil"/>
          <w:between w:val="nil"/>
        </w:pBdr>
        <w:spacing w:line="360" w:lineRule="auto"/>
        <w:ind w:left="720"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 IV. Se trate de información relacionada con actos de corrupción de conformidad con las disposiciones jurídicas aplicables.</w:t>
      </w:r>
    </w:p>
    <w:p w14:paraId="2B5973CC" w14:textId="77777777" w:rsidR="007678B0" w:rsidRPr="00082FB0" w:rsidRDefault="007678B0">
      <w:pPr>
        <w:pBdr>
          <w:top w:val="nil"/>
          <w:left w:val="nil"/>
          <w:bottom w:val="nil"/>
          <w:right w:val="nil"/>
          <w:between w:val="nil"/>
        </w:pBdr>
        <w:spacing w:line="360" w:lineRule="auto"/>
        <w:ind w:left="720" w:right="-989"/>
        <w:jc w:val="both"/>
        <w:rPr>
          <w:rFonts w:ascii="Palatino Linotype" w:eastAsia="Palatino Linotype" w:hAnsi="Palatino Linotype" w:cs="Palatino Linotype"/>
          <w:i/>
          <w:color w:val="000000"/>
        </w:rPr>
      </w:pPr>
    </w:p>
    <w:p w14:paraId="21BC33DA"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Como se desprende de las primeras dos fracciones, el carácter de reservado no podrá invocarse cuando se trate sobre violaciones graves de derechos humanos, incluso si aún no hay un pronunciamiento previo de la autoridad competente, y se determina que dichas violaciones tienen trascendencia social.</w:t>
      </w:r>
    </w:p>
    <w:p w14:paraId="4C1DE466"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En esa posición, como se advierte del caso concreto al tratarse de un asunto en trámite, el carácter de reservado se considera que no puede invocarse para restringir el acceso a la información cuando se trate de investigaciones sobre posibles violaciones de derechos humanos como lo es al medio ambiente sano, incluso en los casos en que aún no exista un pronunciamiento de una autoridad competente, esta disposición busca garantizar el derecho a la verdad y la transparencia en asuntos de derechos humanos, especialmente cuando se identifican violaciones con trascendencia social, como lo son los derechos humanos al medio ambiente.</w:t>
      </w:r>
    </w:p>
    <w:p w14:paraId="31CFEB5B" w14:textId="77777777" w:rsidR="007678B0" w:rsidRPr="00082FB0" w:rsidRDefault="007678B0">
      <w:pPr>
        <w:pBdr>
          <w:top w:val="nil"/>
          <w:left w:val="nil"/>
          <w:bottom w:val="nil"/>
          <w:right w:val="nil"/>
          <w:between w:val="nil"/>
        </w:pBdr>
        <w:ind w:left="720" w:right="-989"/>
        <w:rPr>
          <w:rFonts w:ascii="Palatino Linotype" w:eastAsia="Palatino Linotype" w:hAnsi="Palatino Linotype" w:cs="Palatino Linotype"/>
          <w:color w:val="000000"/>
        </w:rPr>
      </w:pPr>
    </w:p>
    <w:p w14:paraId="1084D4C8"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lastRenderedPageBreak/>
        <w:t xml:space="preserve">De ahí que se considere que </w:t>
      </w:r>
      <w:r w:rsidRPr="00082FB0">
        <w:rPr>
          <w:rFonts w:ascii="Palatino Linotype" w:eastAsia="Palatino Linotype" w:hAnsi="Palatino Linotype" w:cs="Palatino Linotype"/>
        </w:rPr>
        <w:t>existen</w:t>
      </w:r>
      <w:r w:rsidRPr="00082FB0">
        <w:rPr>
          <w:rFonts w:ascii="Palatino Linotype" w:eastAsia="Palatino Linotype" w:hAnsi="Palatino Linotype" w:cs="Palatino Linotype"/>
          <w:color w:val="000000"/>
        </w:rPr>
        <w:t xml:space="preserve"> además investigaciones a violaciones del derecho humanos al medio ambiente, un interés público el cual se refiere al derecho de la sociedad a acceder a información relevante para la vida pública, especialmente cuando dicha información tiene impacto directo en el bienestar </w:t>
      </w:r>
      <w:r w:rsidRPr="00082FB0">
        <w:rPr>
          <w:rFonts w:ascii="Palatino Linotype" w:eastAsia="Palatino Linotype" w:hAnsi="Palatino Linotype" w:cs="Palatino Linotype"/>
        </w:rPr>
        <w:t>y los</w:t>
      </w:r>
      <w:r w:rsidRPr="00082FB0">
        <w:rPr>
          <w:rFonts w:ascii="Palatino Linotype" w:eastAsia="Palatino Linotype" w:hAnsi="Palatino Linotype" w:cs="Palatino Linotype"/>
          <w:color w:val="000000"/>
        </w:rPr>
        <w:t xml:space="preserve"> derechos humanos. En este contexto, el interés público es un principio que guía las políticas de </w:t>
      </w:r>
      <w:r w:rsidRPr="00082FB0">
        <w:rPr>
          <w:rFonts w:ascii="Palatino Linotype" w:eastAsia="Palatino Linotype" w:hAnsi="Palatino Linotype" w:cs="Palatino Linotype"/>
          <w:b/>
          <w:color w:val="000000"/>
        </w:rPr>
        <w:t>transparencia y acceso a la información</w:t>
      </w:r>
      <w:r w:rsidRPr="00082FB0">
        <w:rPr>
          <w:rFonts w:ascii="Palatino Linotype" w:eastAsia="Palatino Linotype" w:hAnsi="Palatino Linotype" w:cs="Palatino Linotype"/>
          <w:color w:val="000000"/>
        </w:rPr>
        <w:t xml:space="preserve"> en temas que afectan a la colectividad, promoviendo la rendición de cuentas, la prevención de actos de corrupción, y una mayor confianza en las instituciones.</w:t>
      </w:r>
    </w:p>
    <w:p w14:paraId="52E3C483" w14:textId="77777777" w:rsidR="007678B0" w:rsidRPr="00082FB0" w:rsidRDefault="007678B0">
      <w:pPr>
        <w:pBdr>
          <w:top w:val="nil"/>
          <w:left w:val="nil"/>
          <w:bottom w:val="nil"/>
          <w:right w:val="nil"/>
          <w:between w:val="nil"/>
        </w:pBdr>
        <w:spacing w:line="360" w:lineRule="auto"/>
        <w:ind w:left="720" w:right="-989"/>
        <w:rPr>
          <w:rFonts w:ascii="Palatino Linotype" w:eastAsia="Palatino Linotype" w:hAnsi="Palatino Linotype" w:cs="Palatino Linotype"/>
          <w:color w:val="000000"/>
        </w:rPr>
      </w:pPr>
    </w:p>
    <w:p w14:paraId="06F6B6DA"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Sobre dicha situación, la propia ley de Transparencia y Acceso a la Información Pública del Estado de México y Municipios, en su artículo 3°, fracción XXII, precisa  que es información de interés público, aquella que resulte relevante o beneficiosa para la sociedad y cuya divulgación resulta útil para que el público comprenda las actividades que llevan a cabo las instituciones públicas.</w:t>
      </w:r>
    </w:p>
    <w:p w14:paraId="41D173D4" w14:textId="77777777" w:rsidR="007678B0" w:rsidRPr="00082FB0" w:rsidRDefault="007678B0">
      <w:pPr>
        <w:pBdr>
          <w:top w:val="nil"/>
          <w:left w:val="nil"/>
          <w:bottom w:val="nil"/>
          <w:right w:val="nil"/>
          <w:between w:val="nil"/>
        </w:pBdr>
        <w:tabs>
          <w:tab w:val="left" w:pos="1843"/>
        </w:tabs>
        <w:spacing w:line="360" w:lineRule="auto"/>
        <w:ind w:left="5039" w:right="-989"/>
        <w:jc w:val="both"/>
        <w:rPr>
          <w:rFonts w:ascii="Palatino Linotype" w:eastAsia="Palatino Linotype" w:hAnsi="Palatino Linotype" w:cs="Palatino Linotype"/>
          <w:i/>
          <w:color w:val="000000"/>
        </w:rPr>
      </w:pPr>
    </w:p>
    <w:p w14:paraId="1B55736B"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222222"/>
        </w:rPr>
      </w:pPr>
      <w:r w:rsidRPr="00082FB0">
        <w:rPr>
          <w:rFonts w:ascii="Palatino Linotype" w:eastAsia="Palatino Linotype" w:hAnsi="Palatino Linotype" w:cs="Palatino Linotype"/>
          <w:color w:val="000000"/>
        </w:rPr>
        <w:t xml:space="preserve">Conforme a lo anterior, en el presente caso, resulta evidente que existe un interés público de dar a conocer lo solicitado, pues la información permitiría a la ciudadanía verificar el actuar de las autoridades respecto del proyecto que se ejecuta; además, </w:t>
      </w:r>
      <w:r w:rsidRPr="00082FB0">
        <w:rPr>
          <w:rFonts w:ascii="Palatino Linotype" w:eastAsia="Palatino Linotype" w:hAnsi="Palatino Linotype" w:cs="Palatino Linotype"/>
          <w:color w:val="222222"/>
        </w:rPr>
        <w:t>que este Organismo Garante cuenta con facultades para pronunciarse sobre “posibles violaciones graves a derechos humanos”, pero esto, únicamente impacta en ejercicio del acceso a la información pública y no decide otra clase de derechos. Lo anterior como apunte final, sin perder de vista que el motivo principal del cual resulta procedente desestimar la clasificación de la información, revocar la respuesta y ordenar su entrega es porque corresponden a documentos definitivos no susceptibles de ser clasificados.</w:t>
      </w:r>
    </w:p>
    <w:p w14:paraId="38399CD3" w14:textId="77777777" w:rsidR="007678B0" w:rsidRPr="00082FB0" w:rsidRDefault="007678B0">
      <w:pPr>
        <w:pBdr>
          <w:top w:val="nil"/>
          <w:left w:val="nil"/>
          <w:bottom w:val="nil"/>
          <w:right w:val="nil"/>
          <w:between w:val="nil"/>
        </w:pBdr>
        <w:spacing w:line="360" w:lineRule="auto"/>
        <w:ind w:left="720" w:right="-989"/>
        <w:rPr>
          <w:rFonts w:ascii="Palatino Linotype" w:eastAsia="Palatino Linotype" w:hAnsi="Palatino Linotype" w:cs="Palatino Linotype"/>
          <w:color w:val="222222"/>
        </w:rPr>
      </w:pPr>
    </w:p>
    <w:p w14:paraId="15421309" w14:textId="77777777" w:rsidR="007678B0" w:rsidRPr="00082FB0" w:rsidRDefault="00E315F0">
      <w:pPr>
        <w:spacing w:line="360" w:lineRule="auto"/>
        <w:ind w:right="-989"/>
        <w:jc w:val="both"/>
        <w:rPr>
          <w:rFonts w:ascii="Palatino Linotype" w:eastAsia="Palatino Linotype" w:hAnsi="Palatino Linotype" w:cs="Palatino Linotype"/>
          <w:b/>
          <w:color w:val="222222"/>
        </w:rPr>
      </w:pPr>
      <w:r w:rsidRPr="00082FB0">
        <w:rPr>
          <w:rFonts w:ascii="Palatino Linotype" w:eastAsia="Palatino Linotype" w:hAnsi="Palatino Linotype" w:cs="Palatino Linotype"/>
          <w:b/>
          <w:color w:val="222222"/>
        </w:rPr>
        <w:t>Folio Solicitud: 00608/TLALNEPA/IP/2024</w:t>
      </w:r>
    </w:p>
    <w:p w14:paraId="22E10595" w14:textId="77777777" w:rsidR="007678B0" w:rsidRPr="00082FB0" w:rsidRDefault="00E315F0">
      <w:pPr>
        <w:spacing w:line="360" w:lineRule="auto"/>
        <w:ind w:right="-989"/>
        <w:jc w:val="both"/>
        <w:rPr>
          <w:rFonts w:ascii="Palatino Linotype" w:eastAsia="Palatino Linotype" w:hAnsi="Palatino Linotype" w:cs="Palatino Linotype"/>
          <w:b/>
          <w:color w:val="222222"/>
        </w:rPr>
      </w:pPr>
      <w:r w:rsidRPr="00082FB0">
        <w:rPr>
          <w:rFonts w:ascii="Palatino Linotype" w:eastAsia="Palatino Linotype" w:hAnsi="Palatino Linotype" w:cs="Palatino Linotype"/>
          <w:b/>
          <w:color w:val="222222"/>
        </w:rPr>
        <w:t>Folio Recurso de Revisión: 03638/INFOEM/IP/RR/2024</w:t>
      </w:r>
    </w:p>
    <w:p w14:paraId="2D9FD948"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222222"/>
        </w:rPr>
      </w:pPr>
      <w:r w:rsidRPr="00082FB0">
        <w:rPr>
          <w:rFonts w:ascii="Palatino Linotype" w:eastAsia="Palatino Linotype" w:hAnsi="Palatino Linotype" w:cs="Palatino Linotype"/>
          <w:color w:val="000000"/>
        </w:rPr>
        <w:t>Posteriormente surge el Recurso de Revisión indicado, en el cual se solicitaron, los contratos y de ser el caso los anexos, celebrados entre el Ayuntamiento y una institución bancaria, refiriendo para tal efecto los números de cuenta de los cuales se requieren los contratos.</w:t>
      </w:r>
    </w:p>
    <w:p w14:paraId="685F62D0"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222222"/>
        </w:rPr>
      </w:pPr>
      <w:r w:rsidRPr="00082FB0">
        <w:rPr>
          <w:rFonts w:ascii="Palatino Linotype" w:eastAsia="Palatino Linotype" w:hAnsi="Palatino Linotype" w:cs="Palatino Linotype"/>
          <w:color w:val="000000"/>
        </w:rPr>
        <w:t xml:space="preserve"> </w:t>
      </w:r>
    </w:p>
    <w:p w14:paraId="2E5EC697"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Cuya respuesta versó en el mismo sentido de igual manera por encontrarse en trámite un, con motivo del expediente integrado en la Carpeta de Investigación </w:t>
      </w:r>
      <w:r w:rsidRPr="00082FB0">
        <w:rPr>
          <w:rFonts w:ascii="Palatino Linotype" w:eastAsia="Palatino Linotype" w:hAnsi="Palatino Linotype" w:cs="Palatino Linotype"/>
        </w:rPr>
        <w:t>número</w:t>
      </w:r>
      <w:r w:rsidRPr="00082FB0">
        <w:rPr>
          <w:rFonts w:ascii="Palatino Linotype" w:eastAsia="Palatino Linotype" w:hAnsi="Palatino Linotype" w:cs="Palatino Linotype"/>
          <w:color w:val="000000"/>
        </w:rPr>
        <w:t xml:space="preserve"> CI-FIEDF/T/UI-1S/D/1339/09-2022, respecto de la comisión de hechos presuntamente constitutivos de delitos de parte de la institución de banca, de la cual se señala contiene un escrito inicial y trece oficios cuyo número se enlista toda vez que se refiere encuadran en el artículo 140 de la Ley de Transparencia y Acceso a la Información Pública del Estado de México y Municipios, por lo cual no puede ser entregada.</w:t>
      </w:r>
    </w:p>
    <w:p w14:paraId="04F56075" w14:textId="77777777" w:rsidR="007678B0" w:rsidRPr="00082FB0" w:rsidRDefault="007678B0">
      <w:pPr>
        <w:pBdr>
          <w:top w:val="nil"/>
          <w:left w:val="nil"/>
          <w:bottom w:val="nil"/>
          <w:right w:val="nil"/>
          <w:between w:val="nil"/>
        </w:pBdr>
        <w:spacing w:line="360" w:lineRule="auto"/>
        <w:ind w:left="720" w:right="-989"/>
        <w:jc w:val="both"/>
        <w:rPr>
          <w:rFonts w:ascii="Palatino Linotype" w:eastAsia="Palatino Linotype" w:hAnsi="Palatino Linotype" w:cs="Palatino Linotype"/>
          <w:color w:val="000000"/>
        </w:rPr>
      </w:pPr>
    </w:p>
    <w:p w14:paraId="54821490"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Para tal efecto, se desarrolló una pretendida prueba de daño, que al igual que en el supuesto anterior, no se demostró un riesgo, real, demostrable e identificable; sino que fueron vertidos los supuestos previstos en la propia ley, lo que resulta improcedente conforme a lo anteriormente señalado y que se tiene por reproducido en para el rubro de mérito en obvio de repeticiones innecesarias; adicional a que se refiere que se puede ocasionar daños a la hacienda pública municipal.</w:t>
      </w:r>
    </w:p>
    <w:p w14:paraId="1D5BAAA9" w14:textId="77777777" w:rsidR="007678B0" w:rsidRPr="00082FB0" w:rsidRDefault="007678B0">
      <w:pPr>
        <w:pBdr>
          <w:top w:val="nil"/>
          <w:left w:val="nil"/>
          <w:bottom w:val="nil"/>
          <w:right w:val="nil"/>
          <w:between w:val="nil"/>
        </w:pBdr>
        <w:spacing w:line="360" w:lineRule="auto"/>
        <w:ind w:left="720" w:right="-989"/>
        <w:jc w:val="both"/>
        <w:rPr>
          <w:rFonts w:ascii="Palatino Linotype" w:eastAsia="Palatino Linotype" w:hAnsi="Palatino Linotype" w:cs="Palatino Linotype"/>
        </w:rPr>
      </w:pPr>
    </w:p>
    <w:p w14:paraId="60AEE0C5"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lastRenderedPageBreak/>
        <w:t>Lo que resulta improbable; toda vez que el daño a la hacienda pública se refiere a cualquier acción u omisión que cause un perjuicio económico al patrimonio del Estado o de las entidades públicas y, está relacionado con conductas que afectan los recursos financieros, bienes o intereses del sector público, ya sea a través de fraudes, malversación de fondos, evasión fiscal, corrupción u otras prácticas ilícitas.</w:t>
      </w:r>
    </w:p>
    <w:p w14:paraId="2FF1DB6E" w14:textId="77777777" w:rsidR="007678B0" w:rsidRPr="00082FB0" w:rsidRDefault="007678B0">
      <w:pPr>
        <w:pBdr>
          <w:top w:val="nil"/>
          <w:left w:val="nil"/>
          <w:bottom w:val="nil"/>
          <w:right w:val="nil"/>
          <w:between w:val="nil"/>
        </w:pBdr>
        <w:spacing w:line="360" w:lineRule="auto"/>
        <w:ind w:left="720" w:right="-989"/>
        <w:rPr>
          <w:rFonts w:ascii="Palatino Linotype" w:eastAsia="Palatino Linotype" w:hAnsi="Palatino Linotype" w:cs="Palatino Linotype"/>
          <w:color w:val="000000"/>
        </w:rPr>
      </w:pPr>
    </w:p>
    <w:p w14:paraId="6C7BDA15"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En ese contexto, tener acceso a los contratos celebrados para la apertura o creación de una nueva cuenta bancaria, no puede contribuir a un daño de la hacienda pública, pues este documento corresponde únicamente al instrumento legal celebrado entre una entidad financiera (el banco) y un cliente (Ayuntamiento) que establece los términos y condiciones bajo los cuales se regirá la relación entre ambas partes, definiendo los derechos, obligaciones y responsabilidades de cada uno, así como las características específicas de la cuenta que se apertura.</w:t>
      </w:r>
    </w:p>
    <w:p w14:paraId="666A50A3"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b/>
          <w:color w:val="000000"/>
        </w:rPr>
        <w:t>En todo caso,</w:t>
      </w:r>
      <w:r w:rsidRPr="00082FB0">
        <w:rPr>
          <w:rFonts w:ascii="Palatino Linotype" w:eastAsia="Palatino Linotype" w:hAnsi="Palatino Linotype" w:cs="Palatino Linotype"/>
          <w:color w:val="000000"/>
        </w:rPr>
        <w:t xml:space="preserve"> el uso, acciones u omisiones que se generen con </w:t>
      </w:r>
      <w:r w:rsidRPr="00082FB0">
        <w:rPr>
          <w:rFonts w:ascii="Palatino Linotype" w:eastAsia="Palatino Linotype" w:hAnsi="Palatino Linotype" w:cs="Palatino Linotype"/>
          <w:color w:val="000000"/>
          <w:u w:val="single"/>
        </w:rPr>
        <w:t>posterioridad</w:t>
      </w:r>
      <w:r w:rsidRPr="00082FB0">
        <w:rPr>
          <w:rFonts w:ascii="Palatino Linotype" w:eastAsia="Palatino Linotype" w:hAnsi="Palatino Linotype" w:cs="Palatino Linotype"/>
          <w:color w:val="000000"/>
        </w:rPr>
        <w:t xml:space="preserve"> por las partes o terceras personas, con dichas cuentas son las que pueden generar daños a la hacienda pública, no así los contratos. Asimismo, los contratos corresponden a instrumentos legales que ya fueron consumados, tan es así que los números de cuenta </w:t>
      </w:r>
      <w:r w:rsidRPr="00082FB0">
        <w:rPr>
          <w:rFonts w:ascii="Palatino Linotype" w:eastAsia="Palatino Linotype" w:hAnsi="Palatino Linotype" w:cs="Palatino Linotype"/>
          <w:color w:val="000000"/>
          <w:u w:val="single"/>
        </w:rPr>
        <w:t>se generaron</w:t>
      </w:r>
      <w:r w:rsidRPr="00082FB0">
        <w:rPr>
          <w:rFonts w:ascii="Palatino Linotype" w:eastAsia="Palatino Linotype" w:hAnsi="Palatino Linotype" w:cs="Palatino Linotype"/>
          <w:color w:val="000000"/>
        </w:rPr>
        <w:t>; luego entonces corren la misma suerte de documentos definitivos como se expresó en el Recurso anterior.</w:t>
      </w:r>
    </w:p>
    <w:p w14:paraId="17A4648B" w14:textId="77777777" w:rsidR="007678B0" w:rsidRPr="00082FB0" w:rsidRDefault="007678B0">
      <w:pPr>
        <w:spacing w:line="360" w:lineRule="auto"/>
        <w:ind w:right="-989"/>
        <w:rPr>
          <w:rFonts w:ascii="Palatino Linotype" w:eastAsia="Palatino Linotype" w:hAnsi="Palatino Linotype" w:cs="Palatino Linotype"/>
        </w:rPr>
      </w:pPr>
    </w:p>
    <w:p w14:paraId="18B1EE7B"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Por tal motivo es que se considera dable ordenar su entrega; en virtud que el derecho de acceso a la información pública, consiste en que la información solicitada conste en un documento en cualquiera de sus formas, a saber: expedientes, reportes, estudios, actas, resoluciones, oficios, correspondencia, acuerdos, directivas, directrices, circulares, </w:t>
      </w:r>
      <w:r w:rsidRPr="00082FB0">
        <w:rPr>
          <w:rFonts w:ascii="Palatino Linotype" w:eastAsia="Palatino Linotype" w:hAnsi="Palatino Linotype" w:cs="Palatino Linotype"/>
          <w:b/>
          <w:color w:val="000000"/>
        </w:rPr>
        <w:t>contratos</w:t>
      </w:r>
      <w:r w:rsidRPr="00082FB0">
        <w:rPr>
          <w:rFonts w:ascii="Palatino Linotype" w:eastAsia="Palatino Linotype" w:hAnsi="Palatino Linotype" w:cs="Palatino Linotype"/>
          <w:color w:val="000000"/>
        </w:rPr>
        <w:t xml:space="preserve">, </w:t>
      </w:r>
      <w:r w:rsidRPr="00082FB0">
        <w:rPr>
          <w:rFonts w:ascii="Palatino Linotype" w:eastAsia="Palatino Linotype" w:hAnsi="Palatino Linotype" w:cs="Palatino Linotype"/>
          <w:color w:val="000000"/>
        </w:rPr>
        <w:lastRenderedPageBreak/>
        <w:t xml:space="preserve">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D16B12F" w14:textId="77777777" w:rsidR="007678B0" w:rsidRPr="00082FB0" w:rsidRDefault="00E315F0">
      <w:pPr>
        <w:spacing w:line="360" w:lineRule="auto"/>
        <w:ind w:left="567" w:right="-280"/>
        <w:jc w:val="both"/>
        <w:rPr>
          <w:rFonts w:ascii="Palatino Linotype" w:eastAsia="Palatino Linotype" w:hAnsi="Palatino Linotype" w:cs="Palatino Linotype"/>
          <w:i/>
          <w:sz w:val="22"/>
          <w:szCs w:val="22"/>
        </w:rPr>
      </w:pPr>
      <w:r w:rsidRPr="00082FB0">
        <w:rPr>
          <w:rFonts w:ascii="Palatino Linotype" w:eastAsia="Palatino Linotype" w:hAnsi="Palatino Linotype" w:cs="Palatino Linotype"/>
          <w:i/>
          <w:sz w:val="22"/>
          <w:szCs w:val="22"/>
        </w:rPr>
        <w:t>“</w:t>
      </w:r>
      <w:r w:rsidRPr="00082FB0">
        <w:rPr>
          <w:rFonts w:ascii="Palatino Linotype" w:eastAsia="Palatino Linotype" w:hAnsi="Palatino Linotype" w:cs="Palatino Linotype"/>
          <w:b/>
          <w:i/>
          <w:sz w:val="22"/>
          <w:szCs w:val="22"/>
        </w:rPr>
        <w:t>Artículo 3.</w:t>
      </w:r>
      <w:r w:rsidRPr="00082FB0">
        <w:rPr>
          <w:rFonts w:ascii="Palatino Linotype" w:eastAsia="Palatino Linotype" w:hAnsi="Palatino Linotype" w:cs="Palatino Linotype"/>
          <w:i/>
          <w:sz w:val="22"/>
          <w:szCs w:val="22"/>
        </w:rPr>
        <w:t xml:space="preserve"> Para los efectos de la presente Ley se entenderá por:</w:t>
      </w:r>
    </w:p>
    <w:p w14:paraId="6A98435F" w14:textId="77777777" w:rsidR="007678B0" w:rsidRPr="00082FB0" w:rsidRDefault="00E315F0">
      <w:pPr>
        <w:spacing w:line="360" w:lineRule="auto"/>
        <w:ind w:left="567" w:right="-280"/>
        <w:jc w:val="both"/>
        <w:rPr>
          <w:rFonts w:ascii="Palatino Linotype" w:eastAsia="Palatino Linotype" w:hAnsi="Palatino Linotype" w:cs="Palatino Linotype"/>
          <w:i/>
          <w:sz w:val="22"/>
          <w:szCs w:val="22"/>
        </w:rPr>
      </w:pPr>
      <w:r w:rsidRPr="00082FB0">
        <w:rPr>
          <w:rFonts w:ascii="Palatino Linotype" w:eastAsia="Palatino Linotype" w:hAnsi="Palatino Linotype" w:cs="Palatino Linotype"/>
          <w:i/>
          <w:sz w:val="22"/>
          <w:szCs w:val="22"/>
        </w:rPr>
        <w:t>…</w:t>
      </w:r>
    </w:p>
    <w:p w14:paraId="6E5D718B" w14:textId="77777777" w:rsidR="007678B0" w:rsidRPr="00082FB0" w:rsidRDefault="00E315F0">
      <w:pPr>
        <w:spacing w:line="360" w:lineRule="auto"/>
        <w:ind w:left="567" w:right="-280"/>
        <w:jc w:val="both"/>
        <w:rPr>
          <w:rFonts w:ascii="Palatino Linotype" w:eastAsia="Palatino Linotype" w:hAnsi="Palatino Linotype" w:cs="Palatino Linotype"/>
          <w:sz w:val="22"/>
          <w:szCs w:val="22"/>
        </w:rPr>
      </w:pPr>
      <w:r w:rsidRPr="00082FB0">
        <w:rPr>
          <w:rFonts w:ascii="Palatino Linotype" w:eastAsia="Palatino Linotype" w:hAnsi="Palatino Linotype" w:cs="Palatino Linotype"/>
          <w:b/>
          <w:i/>
          <w:sz w:val="22"/>
          <w:szCs w:val="22"/>
        </w:rPr>
        <w:t>XI. Documento:</w:t>
      </w:r>
      <w:r w:rsidRPr="00082FB0">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w:t>
      </w:r>
      <w:r w:rsidRPr="00082FB0">
        <w:rPr>
          <w:rFonts w:ascii="Palatino Linotype" w:eastAsia="Palatino Linotype" w:hAnsi="Palatino Linotype" w:cs="Palatino Linotype"/>
          <w:b/>
          <w:i/>
          <w:sz w:val="22"/>
          <w:szCs w:val="22"/>
        </w:rPr>
        <w:t>contratos</w:t>
      </w:r>
      <w:r w:rsidRPr="00082FB0">
        <w:rPr>
          <w:rFonts w:ascii="Palatino Linotype" w:eastAsia="Palatino Linotype" w:hAnsi="Palatino Linotype" w:cs="Palatino Linotype"/>
          <w:i/>
          <w:sz w:val="22"/>
          <w:szCs w:val="22"/>
        </w:rPr>
        <w:t xml:space="preserve">,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r w:rsidRPr="00082FB0">
        <w:rPr>
          <w:rFonts w:ascii="Palatino Linotype" w:eastAsia="Palatino Linotype" w:hAnsi="Palatino Linotype" w:cs="Palatino Linotype"/>
          <w:sz w:val="22"/>
          <w:szCs w:val="22"/>
        </w:rPr>
        <w:t>(Énfasis añadido)</w:t>
      </w:r>
    </w:p>
    <w:p w14:paraId="11D9E021" w14:textId="77777777" w:rsidR="007678B0" w:rsidRPr="00082FB0" w:rsidRDefault="007678B0">
      <w:pPr>
        <w:spacing w:line="360" w:lineRule="auto"/>
        <w:ind w:right="-989"/>
        <w:jc w:val="both"/>
        <w:rPr>
          <w:rFonts w:ascii="Palatino Linotype" w:eastAsia="Palatino Linotype" w:hAnsi="Palatino Linotype" w:cs="Palatino Linotype"/>
        </w:rPr>
      </w:pPr>
    </w:p>
    <w:p w14:paraId="6E780490"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D53F975" w14:textId="77777777" w:rsidR="007678B0" w:rsidRPr="00082FB0" w:rsidRDefault="00E315F0">
      <w:pPr>
        <w:spacing w:line="360" w:lineRule="auto"/>
        <w:ind w:left="567" w:right="-280"/>
        <w:jc w:val="both"/>
        <w:rPr>
          <w:rFonts w:ascii="Palatino Linotype" w:eastAsia="Palatino Linotype" w:hAnsi="Palatino Linotype" w:cs="Palatino Linotype"/>
          <w:b/>
          <w:i/>
          <w:sz w:val="22"/>
          <w:szCs w:val="22"/>
        </w:rPr>
      </w:pPr>
      <w:r w:rsidRPr="00082FB0">
        <w:rPr>
          <w:rFonts w:ascii="Palatino Linotype" w:eastAsia="Palatino Linotype" w:hAnsi="Palatino Linotype" w:cs="Palatino Linotype"/>
          <w:i/>
          <w:sz w:val="22"/>
          <w:szCs w:val="22"/>
        </w:rPr>
        <w:t>“</w:t>
      </w:r>
      <w:r w:rsidRPr="00082FB0">
        <w:rPr>
          <w:rFonts w:ascii="Palatino Linotype" w:eastAsia="Palatino Linotype" w:hAnsi="Palatino Linotype" w:cs="Palatino Linotype"/>
          <w:b/>
          <w:i/>
          <w:sz w:val="22"/>
          <w:szCs w:val="22"/>
        </w:rPr>
        <w:t>CRITERIO 0002-11</w:t>
      </w:r>
    </w:p>
    <w:p w14:paraId="6995BBC4" w14:textId="77777777" w:rsidR="007678B0" w:rsidRPr="00082FB0" w:rsidRDefault="00E315F0">
      <w:pPr>
        <w:spacing w:line="360" w:lineRule="auto"/>
        <w:ind w:left="567" w:right="-280"/>
        <w:jc w:val="both"/>
        <w:rPr>
          <w:rFonts w:ascii="Palatino Linotype" w:eastAsia="Palatino Linotype" w:hAnsi="Palatino Linotype" w:cs="Palatino Linotype"/>
          <w:i/>
          <w:sz w:val="22"/>
          <w:szCs w:val="22"/>
        </w:rPr>
      </w:pPr>
      <w:r w:rsidRPr="00082FB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82FB0">
        <w:rPr>
          <w:rFonts w:ascii="Palatino Linotype" w:eastAsia="Palatino Linotype" w:hAnsi="Palatino Linotype" w:cs="Palatino Linotype"/>
          <w:i/>
          <w:sz w:val="22"/>
          <w:szCs w:val="22"/>
        </w:rPr>
        <w:t xml:space="preserve"> De conformidad con los artículos antes referidos, el derecho de acceso a la </w:t>
      </w:r>
      <w:r w:rsidRPr="00082FB0">
        <w:rPr>
          <w:rFonts w:ascii="Palatino Linotype" w:eastAsia="Palatino Linotype" w:hAnsi="Palatino Linotype" w:cs="Palatino Linotype"/>
          <w:i/>
          <w:sz w:val="22"/>
          <w:szCs w:val="22"/>
        </w:rPr>
        <w:lastRenderedPageBreak/>
        <w:t>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0514C3C" w14:textId="77777777" w:rsidR="007678B0" w:rsidRPr="00082FB0" w:rsidRDefault="00E315F0">
      <w:pPr>
        <w:spacing w:line="360" w:lineRule="auto"/>
        <w:ind w:left="567" w:right="-280"/>
        <w:jc w:val="both"/>
        <w:rPr>
          <w:rFonts w:ascii="Palatino Linotype" w:eastAsia="Palatino Linotype" w:hAnsi="Palatino Linotype" w:cs="Palatino Linotype"/>
          <w:i/>
          <w:sz w:val="22"/>
          <w:szCs w:val="22"/>
        </w:rPr>
      </w:pPr>
      <w:r w:rsidRPr="00082FB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9E66134" w14:textId="77777777" w:rsidR="007678B0" w:rsidRPr="00082FB0" w:rsidRDefault="00E315F0">
      <w:pPr>
        <w:spacing w:line="360" w:lineRule="auto"/>
        <w:ind w:left="567" w:right="-280"/>
        <w:jc w:val="both"/>
        <w:rPr>
          <w:rFonts w:ascii="Palatino Linotype" w:eastAsia="Palatino Linotype" w:hAnsi="Palatino Linotype" w:cs="Palatino Linotype"/>
          <w:i/>
          <w:sz w:val="22"/>
          <w:szCs w:val="22"/>
        </w:rPr>
      </w:pPr>
      <w:r w:rsidRPr="00082FB0">
        <w:rPr>
          <w:rFonts w:ascii="Palatino Linotype" w:eastAsia="Palatino Linotype" w:hAnsi="Palatino Linotype" w:cs="Palatino Linotype"/>
          <w:i/>
          <w:sz w:val="22"/>
          <w:szCs w:val="22"/>
        </w:rPr>
        <w:t>1)</w:t>
      </w:r>
      <w:r w:rsidRPr="00082FB0">
        <w:rPr>
          <w:rFonts w:ascii="Palatino Linotype" w:eastAsia="Palatino Linotype" w:hAnsi="Palatino Linotype" w:cs="Palatino Linotype"/>
          <w:i/>
          <w:sz w:val="22"/>
          <w:szCs w:val="22"/>
        </w:rPr>
        <w:tab/>
        <w:t>Que se trate de información registrada en cualquier soporte documental, que en ejercicio de las atribuciones conferidas, sea generada por los Sujetos Obligados;</w:t>
      </w:r>
    </w:p>
    <w:p w14:paraId="562BE5B3" w14:textId="77777777" w:rsidR="007678B0" w:rsidRPr="00082FB0" w:rsidRDefault="00E315F0">
      <w:pPr>
        <w:spacing w:line="360" w:lineRule="auto"/>
        <w:ind w:left="567" w:right="-280"/>
        <w:jc w:val="both"/>
        <w:rPr>
          <w:rFonts w:ascii="Palatino Linotype" w:eastAsia="Palatino Linotype" w:hAnsi="Palatino Linotype" w:cs="Palatino Linotype"/>
          <w:i/>
          <w:sz w:val="22"/>
          <w:szCs w:val="22"/>
        </w:rPr>
      </w:pPr>
      <w:r w:rsidRPr="00082FB0">
        <w:rPr>
          <w:rFonts w:ascii="Palatino Linotype" w:eastAsia="Palatino Linotype" w:hAnsi="Palatino Linotype" w:cs="Palatino Linotype"/>
          <w:i/>
          <w:sz w:val="22"/>
          <w:szCs w:val="22"/>
        </w:rPr>
        <w:t>2)</w:t>
      </w:r>
      <w:r w:rsidRPr="00082FB0">
        <w:rPr>
          <w:rFonts w:ascii="Palatino Linotype" w:eastAsia="Palatino Linotype" w:hAnsi="Palatino Linotype" w:cs="Palatino Linotype"/>
          <w:i/>
          <w:sz w:val="22"/>
          <w:szCs w:val="22"/>
        </w:rPr>
        <w:tab/>
        <w:t>Que se trate de información registrada en cualquier soporte documental, que en ejercicio de las atribuciones conferidas, sea administrada por los Sujetos Obligados, y</w:t>
      </w:r>
    </w:p>
    <w:p w14:paraId="6D17EDC0" w14:textId="77777777" w:rsidR="007678B0" w:rsidRPr="00082FB0" w:rsidRDefault="00E315F0">
      <w:pPr>
        <w:spacing w:line="360" w:lineRule="auto"/>
        <w:ind w:left="567" w:right="-280"/>
        <w:jc w:val="both"/>
        <w:rPr>
          <w:rFonts w:ascii="Palatino Linotype" w:eastAsia="Palatino Linotype" w:hAnsi="Palatino Linotype" w:cs="Palatino Linotype"/>
          <w:i/>
          <w:sz w:val="22"/>
          <w:szCs w:val="22"/>
        </w:rPr>
      </w:pPr>
      <w:r w:rsidRPr="00082FB0">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4A08C3E7" w14:textId="77777777" w:rsidR="00B97AD3" w:rsidRPr="00082FB0" w:rsidRDefault="00B97AD3">
      <w:pPr>
        <w:spacing w:line="360" w:lineRule="auto"/>
        <w:ind w:left="567" w:right="-280"/>
        <w:jc w:val="both"/>
        <w:rPr>
          <w:rFonts w:ascii="Palatino Linotype" w:eastAsia="Palatino Linotype" w:hAnsi="Palatino Linotype" w:cs="Palatino Linotype"/>
          <w:i/>
          <w:sz w:val="22"/>
          <w:szCs w:val="22"/>
        </w:rPr>
      </w:pPr>
    </w:p>
    <w:p w14:paraId="4D505726"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1E2C2BAB" w14:textId="77777777" w:rsidR="007678B0" w:rsidRPr="00082FB0" w:rsidRDefault="007678B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p>
    <w:p w14:paraId="1F93F0F3" w14:textId="77777777" w:rsidR="007678B0" w:rsidRPr="00082FB0" w:rsidRDefault="00E315F0">
      <w:pPr>
        <w:numPr>
          <w:ilvl w:val="0"/>
          <w:numId w:val="1"/>
        </w:numPr>
        <w:pBdr>
          <w:top w:val="nil"/>
          <w:left w:val="nil"/>
          <w:bottom w:val="nil"/>
          <w:right w:val="nil"/>
          <w:between w:val="nil"/>
        </w:pBdr>
        <w:tabs>
          <w:tab w:val="left" w:pos="0"/>
        </w:tabs>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Asimismo, el </w:t>
      </w:r>
      <w:r w:rsidRPr="00082FB0">
        <w:rPr>
          <w:rFonts w:ascii="Palatino Linotype" w:eastAsia="Palatino Linotype" w:hAnsi="Palatino Linotype" w:cs="Palatino Linotype"/>
          <w:b/>
          <w:color w:val="000000"/>
        </w:rPr>
        <w:t>SUJETO OBLIGADO</w:t>
      </w:r>
      <w:r w:rsidRPr="00082FB0">
        <w:rPr>
          <w:rFonts w:ascii="Palatino Linotype" w:eastAsia="Palatino Linotype" w:hAnsi="Palatino Linotype" w:cs="Palatino Linotype"/>
          <w:color w:val="000000"/>
        </w:rPr>
        <w:t xml:space="preserve">, para dar cabal atención a la solicitud de información deberá hacer entrega de ser el caso que existan los anexos por ser solicitados de manera expresa, ya que sumado a lo anterior ha sido criterio del Instituto Nacional de </w:t>
      </w:r>
      <w:r w:rsidRPr="00082FB0">
        <w:rPr>
          <w:rFonts w:ascii="Palatino Linotype" w:eastAsia="Palatino Linotype" w:hAnsi="Palatino Linotype" w:cs="Palatino Linotype"/>
          <w:color w:val="000000"/>
        </w:rPr>
        <w:lastRenderedPageBreak/>
        <w:t>Transparencia, Acceso a la Información Pública y Protección de Datos (INAI) que los anexos se consideran parte del documento y deben ser entregados, sirve de apoyo a lo anterior el Criterio 20-10 y 17/17 que son del tenor literal siguiente:</w:t>
      </w:r>
    </w:p>
    <w:p w14:paraId="098F6C1A" w14:textId="77777777" w:rsidR="007678B0" w:rsidRPr="00082FB0" w:rsidRDefault="00E315F0">
      <w:pPr>
        <w:spacing w:line="360" w:lineRule="auto"/>
        <w:ind w:left="567" w:right="-139"/>
        <w:jc w:val="both"/>
        <w:rPr>
          <w:rFonts w:ascii="Palatino Linotype" w:eastAsia="Palatino Linotype" w:hAnsi="Palatino Linotype" w:cs="Palatino Linotype"/>
          <w:b/>
          <w:i/>
          <w:color w:val="000000"/>
          <w:sz w:val="22"/>
          <w:szCs w:val="22"/>
        </w:rPr>
      </w:pPr>
      <w:r w:rsidRPr="00082FB0">
        <w:rPr>
          <w:rFonts w:ascii="Palatino Linotype" w:eastAsia="Palatino Linotype" w:hAnsi="Palatino Linotype" w:cs="Palatino Linotype"/>
          <w:b/>
          <w:i/>
          <w:color w:val="000000"/>
          <w:sz w:val="22"/>
          <w:szCs w:val="22"/>
        </w:rPr>
        <w:t>“Criterio 20/10</w:t>
      </w:r>
    </w:p>
    <w:p w14:paraId="5E32E268" w14:textId="77777777" w:rsidR="007678B0" w:rsidRPr="00082FB0" w:rsidRDefault="00E315F0">
      <w:pPr>
        <w:spacing w:line="360" w:lineRule="auto"/>
        <w:ind w:left="567" w:right="-139"/>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b/>
          <w:i/>
          <w:color w:val="000000"/>
          <w:sz w:val="22"/>
          <w:szCs w:val="22"/>
        </w:rPr>
        <w:t>Los anexos son parte integral del documento principal.</w:t>
      </w:r>
      <w:r w:rsidRPr="00082FB0">
        <w:rPr>
          <w:rFonts w:ascii="Palatino Linotype" w:eastAsia="Palatino Linotype" w:hAnsi="Palatino Linotype" w:cs="Palatino Linotype"/>
          <w:i/>
          <w:color w:val="000000"/>
          <w:sz w:val="22"/>
          <w:szCs w:val="22"/>
        </w:rPr>
        <w:t xml:space="preserve"> Cuando un documento gubernamental contiene anexos éstos se consideran parte del documento, ya que a  partir  de  él  se  explican  o  detallan  diversas  cuestiones  relacionadas  con  la materia del mismo. En esta tesitura, ante solicitudes de información relacionadas con documentos que incluyen anexos, particularmente en aquellas que no aludan expresamente a estos últimos, las dependencias y entidades deberán considerar que las mismas refieren a los documentos requeridos, así como a los anexos correspondientes, salvo que el solicitante manifieste su deseo de acceder únicamente al documento principal.”</w:t>
      </w:r>
    </w:p>
    <w:p w14:paraId="61249C20" w14:textId="77777777" w:rsidR="007678B0" w:rsidRPr="00082FB0" w:rsidRDefault="00E315F0">
      <w:pPr>
        <w:spacing w:line="360" w:lineRule="auto"/>
        <w:ind w:left="567" w:right="-139"/>
        <w:jc w:val="both"/>
        <w:rPr>
          <w:rFonts w:ascii="Palatino Linotype" w:eastAsia="Palatino Linotype" w:hAnsi="Palatino Linotype" w:cs="Palatino Linotype"/>
          <w:i/>
          <w:sz w:val="22"/>
          <w:szCs w:val="22"/>
        </w:rPr>
      </w:pPr>
      <w:r w:rsidRPr="00082FB0">
        <w:rPr>
          <w:rFonts w:ascii="Palatino Linotype" w:eastAsia="Palatino Linotype" w:hAnsi="Palatino Linotype" w:cs="Palatino Linotype"/>
          <w:b/>
          <w:i/>
          <w:sz w:val="22"/>
          <w:szCs w:val="22"/>
        </w:rPr>
        <w:t xml:space="preserve">“Anexos de los documentos solicitados. </w:t>
      </w:r>
      <w:r w:rsidRPr="00082FB0">
        <w:rPr>
          <w:rFonts w:ascii="Palatino Linotype" w:eastAsia="Palatino Linotype" w:hAnsi="Palatino Linotype" w:cs="Palatino Linotype"/>
          <w:i/>
          <w:sz w:val="22"/>
          <w:szCs w:val="22"/>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54866A7D" w14:textId="77777777" w:rsidR="007678B0" w:rsidRPr="00082FB0" w:rsidRDefault="007678B0">
      <w:pPr>
        <w:spacing w:line="360" w:lineRule="auto"/>
        <w:ind w:left="567" w:right="-989"/>
        <w:jc w:val="both"/>
        <w:rPr>
          <w:rFonts w:ascii="Palatino Linotype" w:eastAsia="Palatino Linotype" w:hAnsi="Palatino Linotype" w:cs="Palatino Linotype"/>
          <w:b/>
        </w:rPr>
      </w:pPr>
    </w:p>
    <w:p w14:paraId="43B028B5" w14:textId="77777777" w:rsidR="007678B0" w:rsidRPr="00082FB0" w:rsidRDefault="00E315F0">
      <w:pPr>
        <w:numPr>
          <w:ilvl w:val="0"/>
          <w:numId w:val="1"/>
        </w:numPr>
        <w:pBdr>
          <w:top w:val="nil"/>
          <w:left w:val="nil"/>
          <w:bottom w:val="nil"/>
          <w:right w:val="nil"/>
          <w:between w:val="nil"/>
        </w:pBdr>
        <w:tabs>
          <w:tab w:val="left" w:pos="0"/>
        </w:tabs>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De lo anterior se desprende que ciertamente es información susceptible de ser entregada al ser una parte esencial del documento principal, ya que proporcionan información detallada y de apoyo que complementa; cuya inclusión garantiza que el documento sea completo, preciso y útil para el solicitante.</w:t>
      </w:r>
    </w:p>
    <w:p w14:paraId="581685CA" w14:textId="77777777" w:rsidR="007678B0" w:rsidRPr="00082FB0" w:rsidRDefault="007678B0">
      <w:pPr>
        <w:pBdr>
          <w:top w:val="nil"/>
          <w:left w:val="nil"/>
          <w:bottom w:val="nil"/>
          <w:right w:val="nil"/>
          <w:between w:val="nil"/>
        </w:pBdr>
        <w:tabs>
          <w:tab w:val="left" w:pos="0"/>
        </w:tabs>
        <w:spacing w:line="360" w:lineRule="auto"/>
        <w:ind w:right="-989"/>
        <w:jc w:val="both"/>
        <w:rPr>
          <w:rFonts w:ascii="Palatino Linotype" w:eastAsia="Palatino Linotype" w:hAnsi="Palatino Linotype" w:cs="Palatino Linotype"/>
          <w:color w:val="000000"/>
        </w:rPr>
      </w:pPr>
    </w:p>
    <w:p w14:paraId="73176EA5" w14:textId="77777777" w:rsidR="007678B0" w:rsidRPr="00082FB0" w:rsidRDefault="00E315F0">
      <w:pPr>
        <w:pBdr>
          <w:top w:val="nil"/>
          <w:left w:val="nil"/>
          <w:bottom w:val="nil"/>
          <w:right w:val="nil"/>
          <w:between w:val="nil"/>
        </w:pBdr>
        <w:spacing w:line="360" w:lineRule="auto"/>
        <w:ind w:left="708" w:right="-989"/>
        <w:jc w:val="both"/>
        <w:rPr>
          <w:rFonts w:ascii="Palatino Linotype" w:eastAsia="Palatino Linotype" w:hAnsi="Palatino Linotype" w:cs="Palatino Linotype"/>
          <w:b/>
          <w:color w:val="000000"/>
        </w:rPr>
      </w:pPr>
      <w:r w:rsidRPr="00082FB0">
        <w:rPr>
          <w:rFonts w:ascii="Palatino Linotype" w:eastAsia="Palatino Linotype" w:hAnsi="Palatino Linotype" w:cs="Palatino Linotype"/>
          <w:b/>
          <w:color w:val="000000"/>
        </w:rPr>
        <w:t>Folio Solicitud: 01146/TLALNEPA/IP/2024</w:t>
      </w:r>
    </w:p>
    <w:p w14:paraId="64FCAF18" w14:textId="77777777" w:rsidR="007678B0" w:rsidRPr="00082FB0" w:rsidRDefault="00E315F0">
      <w:pPr>
        <w:pBdr>
          <w:top w:val="nil"/>
          <w:left w:val="nil"/>
          <w:bottom w:val="nil"/>
          <w:right w:val="nil"/>
          <w:between w:val="nil"/>
        </w:pBdr>
        <w:spacing w:line="360" w:lineRule="auto"/>
        <w:ind w:left="708" w:right="-989"/>
        <w:jc w:val="both"/>
        <w:rPr>
          <w:rFonts w:ascii="Palatino Linotype" w:eastAsia="Palatino Linotype" w:hAnsi="Palatino Linotype" w:cs="Palatino Linotype"/>
          <w:b/>
          <w:color w:val="000000"/>
        </w:rPr>
      </w:pPr>
      <w:r w:rsidRPr="00082FB0">
        <w:rPr>
          <w:rFonts w:ascii="Palatino Linotype" w:eastAsia="Palatino Linotype" w:hAnsi="Palatino Linotype" w:cs="Palatino Linotype"/>
          <w:b/>
          <w:color w:val="000000"/>
        </w:rPr>
        <w:lastRenderedPageBreak/>
        <w:t>Folio Recurso de Revisión: 00033/INFOEM/IP/RR/2025</w:t>
      </w:r>
    </w:p>
    <w:p w14:paraId="4CD60F00"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Finalmente, sobreviene el Recurso indicado, en el cual se solicita la copia certificada con costo de un Convenio, al cual recayó una respuesta inicial, en donde se aceptó la celebración del convenio solicitado; toda vez que se señaló que si se realizó una reunión de trabajo en la que participaron las personas señaladas en la solicitud de información, así como también por quien entonces fungía como Magistrada del Tribunal Agrario Distrito 10, lugar donde se llevó a cabo la firma del documento, no obstante se refiere que en los archivos de la Subdirección de la Subdirección de Tenencia de la Tierra y Asuntos Metropolitanos, no obra dicha documental.</w:t>
      </w:r>
    </w:p>
    <w:p w14:paraId="4B0A4053" w14:textId="77777777" w:rsidR="007678B0" w:rsidRPr="00082FB0" w:rsidRDefault="007678B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p>
    <w:p w14:paraId="63529B5F"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Respuesta que fue robustecida de manera posterior en la etapa de manifestaciones en donde el confirmando la no localización del documento de referencia y agregando que tomando en consideración que es un hecho que aconteció en la administración 2022-2024, no se cuenta con elementos suficientes para argumentar la existencia del mismo, invocando la figura denominada hechos negativos.</w:t>
      </w:r>
    </w:p>
    <w:p w14:paraId="731F88F0" w14:textId="77777777" w:rsidR="007678B0" w:rsidRPr="00082FB0" w:rsidRDefault="007678B0">
      <w:pPr>
        <w:pBdr>
          <w:top w:val="nil"/>
          <w:left w:val="nil"/>
          <w:bottom w:val="nil"/>
          <w:right w:val="nil"/>
          <w:between w:val="nil"/>
        </w:pBdr>
        <w:spacing w:line="360" w:lineRule="auto"/>
        <w:ind w:left="720" w:right="-989"/>
        <w:rPr>
          <w:rFonts w:ascii="Palatino Linotype" w:eastAsia="Palatino Linotype" w:hAnsi="Palatino Linotype" w:cs="Palatino Linotype"/>
          <w:color w:val="000000"/>
        </w:rPr>
      </w:pPr>
    </w:p>
    <w:p w14:paraId="1BD561F1"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De cuya respuesta se </w:t>
      </w:r>
      <w:r w:rsidRPr="00082FB0">
        <w:rPr>
          <w:rFonts w:ascii="Palatino Linotype" w:eastAsia="Palatino Linotype" w:hAnsi="Palatino Linotype" w:cs="Palatino Linotype"/>
        </w:rPr>
        <w:t>inconforme</w:t>
      </w:r>
      <w:r w:rsidRPr="00082FB0">
        <w:rPr>
          <w:rFonts w:ascii="Palatino Linotype" w:eastAsia="Palatino Linotype" w:hAnsi="Palatino Linotype" w:cs="Palatino Linotype"/>
          <w:color w:val="000000"/>
        </w:rPr>
        <w:t xml:space="preserve"> el particular, sin embargo de su escrito recursal, se desprende que realiza una serie de argumentos que pudieran ser considerados como una queja o denuncia, como se observa:</w:t>
      </w:r>
    </w:p>
    <w:p w14:paraId="641B0CAD" w14:textId="77777777" w:rsidR="007678B0" w:rsidRPr="00082FB0" w:rsidRDefault="00E315F0">
      <w:pPr>
        <w:pBdr>
          <w:top w:val="nil"/>
          <w:left w:val="nil"/>
          <w:bottom w:val="nil"/>
          <w:right w:val="nil"/>
          <w:between w:val="nil"/>
        </w:pBdr>
        <w:spacing w:line="360" w:lineRule="auto"/>
        <w:ind w:left="426"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rPr>
        <w:t>“</w:t>
      </w:r>
      <w:r w:rsidRPr="00082FB0">
        <w:rPr>
          <w:rFonts w:ascii="Palatino Linotype" w:eastAsia="Palatino Linotype" w:hAnsi="Palatino Linotype" w:cs="Palatino Linotype"/>
          <w:i/>
          <w:color w:val="000000"/>
          <w:sz w:val="22"/>
          <w:szCs w:val="22"/>
        </w:rPr>
        <w:t>…</w:t>
      </w:r>
    </w:p>
    <w:p w14:paraId="7CC2368A" w14:textId="77777777" w:rsidR="007678B0" w:rsidRPr="00082FB0" w:rsidRDefault="00E315F0">
      <w:pPr>
        <w:pBdr>
          <w:top w:val="nil"/>
          <w:left w:val="nil"/>
          <w:bottom w:val="nil"/>
          <w:right w:val="nil"/>
          <w:between w:val="nil"/>
        </w:pBdr>
        <w:spacing w:line="360" w:lineRule="auto"/>
        <w:ind w:left="426"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 xml:space="preserve"> El documento que menciona el subdirector es un CONVENIO, el cual se adjunta a este recurso de revisión, que al haber firmado </w:t>
      </w:r>
      <w:r w:rsidRPr="00082FB0">
        <w:rPr>
          <w:rFonts w:ascii="Palatino Linotype" w:eastAsia="Palatino Linotype" w:hAnsi="Palatino Linotype" w:cs="Palatino Linotype"/>
          <w:b/>
          <w:i/>
          <w:color w:val="000000"/>
          <w:sz w:val="22"/>
          <w:szCs w:val="22"/>
        </w:rPr>
        <w:t>rebaso sus facultades y obligaciones establecidas en el artículo 321 del Reglamento en comento</w:t>
      </w:r>
      <w:r w:rsidRPr="00082FB0">
        <w:rPr>
          <w:rFonts w:ascii="Palatino Linotype" w:eastAsia="Palatino Linotype" w:hAnsi="Palatino Linotype" w:cs="Palatino Linotype"/>
          <w:i/>
          <w:color w:val="000000"/>
          <w:sz w:val="22"/>
          <w:szCs w:val="22"/>
        </w:rPr>
        <w:t xml:space="preserve">, </w:t>
      </w:r>
      <w:r w:rsidRPr="00082FB0">
        <w:rPr>
          <w:rFonts w:ascii="Palatino Linotype" w:eastAsia="Palatino Linotype" w:hAnsi="Palatino Linotype" w:cs="Palatino Linotype"/>
          <w:b/>
          <w:i/>
          <w:color w:val="000000"/>
          <w:sz w:val="22"/>
          <w:szCs w:val="22"/>
        </w:rPr>
        <w:t xml:space="preserve">además de haber ejercido la función pública de los </w:t>
      </w:r>
      <w:r w:rsidRPr="00082FB0">
        <w:rPr>
          <w:rFonts w:ascii="Palatino Linotype" w:eastAsia="Palatino Linotype" w:hAnsi="Palatino Linotype" w:cs="Palatino Linotype"/>
          <w:b/>
          <w:i/>
          <w:color w:val="000000"/>
          <w:sz w:val="22"/>
          <w:szCs w:val="22"/>
        </w:rPr>
        <w:lastRenderedPageBreak/>
        <w:t>integrantes del Ayuntamiento de Tlalnepantla al darle vigencia actual al “Programa Seguridad del Patrimonio Familiar” acordado en el punto 4 del orden del día de la décima cuarta sesión ordinaria del Ayuntamiento de Tlalnepantla, México celebrada el 23 de mayo de 2019 y que de conformidad con el respectivo CONVENIO DE CONCERTACION firmado por las autoridades municipales</w:t>
      </w:r>
      <w:r w:rsidRPr="00082FB0">
        <w:rPr>
          <w:rFonts w:ascii="Palatino Linotype" w:eastAsia="Palatino Linotype" w:hAnsi="Palatino Linotype" w:cs="Palatino Linotype"/>
          <w:i/>
          <w:color w:val="000000"/>
          <w:sz w:val="22"/>
          <w:szCs w:val="22"/>
        </w:rPr>
        <w:t xml:space="preserve"> de ese entonces con el comisariado ejidal del ejido de San Juan Ixhuatepec, tenía una vigencia hasta el 31 de diciembre del año 2020. Se adjuntan documentos que avalan lo manifestado en este recurso de revisión.”</w:t>
      </w:r>
    </w:p>
    <w:p w14:paraId="41B34957" w14:textId="77777777" w:rsidR="007678B0" w:rsidRPr="00082FB0" w:rsidRDefault="007678B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p>
    <w:p w14:paraId="1611562A" w14:textId="77777777" w:rsidR="007678B0" w:rsidRPr="00082FB0" w:rsidRDefault="00E315F0">
      <w:pPr>
        <w:numPr>
          <w:ilvl w:val="0"/>
          <w:numId w:val="1"/>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 xml:space="preserve">Al tiempo que adjunta el Convenio solicitado inicialmente. Al respecto, las manifestaciones vertidas por el particular en calidad de </w:t>
      </w:r>
      <w:r w:rsidRPr="00082FB0">
        <w:rPr>
          <w:rFonts w:ascii="Palatino Linotype" w:eastAsia="Palatino Linotype" w:hAnsi="Palatino Linotype" w:cs="Palatino Linotype"/>
          <w:b/>
          <w:color w:val="000000"/>
        </w:rPr>
        <w:t>RAZONES O MOTIVOS DE LA INCONFORMIDAD</w:t>
      </w:r>
      <w:r w:rsidRPr="00082FB0">
        <w:rPr>
          <w:rFonts w:ascii="Palatino Linotype" w:eastAsia="Palatino Linotype" w:hAnsi="Palatino Linotype" w:cs="Palatino Linotype"/>
          <w:color w:val="000000"/>
        </w:rPr>
        <w:t>, para efecto del ejercicio del derecho de acceso a la información pública, son consideradas subjetivas.</w:t>
      </w:r>
    </w:p>
    <w:p w14:paraId="32234EA5" w14:textId="77777777" w:rsidR="007678B0" w:rsidRPr="00082FB0" w:rsidRDefault="00E315F0">
      <w:pPr>
        <w:numPr>
          <w:ilvl w:val="0"/>
          <w:numId w:val="2"/>
        </w:numPr>
        <w:pBdr>
          <w:top w:val="nil"/>
          <w:left w:val="nil"/>
          <w:bottom w:val="nil"/>
          <w:right w:val="nil"/>
          <w:between w:val="nil"/>
        </w:pBdr>
        <w:spacing w:line="360" w:lineRule="auto"/>
        <w:ind w:left="0" w:right="-989" w:firstLine="0"/>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color w:val="000000"/>
        </w:rPr>
        <w:t>Al respecto, las manifestaciones subjetivas son expresiones, percepciones o interpretaciones que reflejan la perspectiva personal, emocional o individual de una persona, a diferencia de las manifestaciones objetivas, que se basan en hechos verificables y medibles, las manifestaciones subjetivas están influenciadas por las experiencias, sentimientos, opiniones y contextos personales de quien las expresa.</w:t>
      </w:r>
    </w:p>
    <w:p w14:paraId="0F8CCB10" w14:textId="77777777" w:rsidR="007678B0" w:rsidRPr="00082FB0" w:rsidRDefault="007678B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p>
    <w:p w14:paraId="2756E45B"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rPr>
        <w:t xml:space="preserve">68. </w:t>
      </w:r>
      <w:r w:rsidRPr="00082FB0">
        <w:rPr>
          <w:rFonts w:ascii="Palatino Linotype" w:eastAsia="Palatino Linotype" w:hAnsi="Palatino Linotype" w:cs="Palatino Linotype"/>
          <w:color w:val="000000"/>
        </w:rPr>
        <w:t xml:space="preserve">Luego entonces al ser estas manifestaciones propias del ámbito interno de cada individuo y que sumado a que este Instituto no es competente para verificar o emitir un pronunciamiento respecto de los argumentos vertidos por el ahora </w:t>
      </w:r>
      <w:r w:rsidRPr="00082FB0">
        <w:rPr>
          <w:rFonts w:ascii="Palatino Linotype" w:eastAsia="Palatino Linotype" w:hAnsi="Palatino Linotype" w:cs="Palatino Linotype"/>
          <w:b/>
          <w:color w:val="000000"/>
        </w:rPr>
        <w:t>RECURRENTE,</w:t>
      </w:r>
      <w:r w:rsidRPr="00082FB0">
        <w:rPr>
          <w:rFonts w:ascii="Palatino Linotype" w:eastAsia="Palatino Linotype" w:hAnsi="Palatino Linotype" w:cs="Palatino Linotype"/>
          <w:color w:val="000000"/>
        </w:rPr>
        <w:t xml:space="preserve"> lo dable al Recurso de mérito, es </w:t>
      </w:r>
      <w:r w:rsidRPr="00082FB0">
        <w:rPr>
          <w:rFonts w:ascii="Palatino Linotype" w:eastAsia="Palatino Linotype" w:hAnsi="Palatino Linotype" w:cs="Palatino Linotype"/>
        </w:rPr>
        <w:t>sobreseer</w:t>
      </w:r>
      <w:r w:rsidRPr="00082FB0">
        <w:rPr>
          <w:rFonts w:ascii="Palatino Linotype" w:eastAsia="Palatino Linotype" w:hAnsi="Palatino Linotype" w:cs="Palatino Linotype"/>
          <w:color w:val="000000"/>
        </w:rPr>
        <w:t xml:space="preserve"> por improcedente, al </w:t>
      </w:r>
      <w:r w:rsidRPr="00082FB0">
        <w:rPr>
          <w:rFonts w:ascii="Palatino Linotype" w:eastAsia="Palatino Linotype" w:hAnsi="Palatino Linotype" w:cs="Palatino Linotype"/>
        </w:rPr>
        <w:t>actualizarse</w:t>
      </w:r>
      <w:r w:rsidRPr="00082FB0">
        <w:rPr>
          <w:rFonts w:ascii="Palatino Linotype" w:eastAsia="Palatino Linotype" w:hAnsi="Palatino Linotype" w:cs="Palatino Linotype"/>
          <w:color w:val="000000"/>
        </w:rPr>
        <w:t xml:space="preserve"> la causal de improcedencia enunciada en el artículo 191 fracción III, de la Ley de Transparencia y Acceso </w:t>
      </w:r>
      <w:r w:rsidRPr="00082FB0">
        <w:rPr>
          <w:rFonts w:ascii="Palatino Linotype" w:eastAsia="Palatino Linotype" w:hAnsi="Palatino Linotype" w:cs="Palatino Linotype"/>
          <w:color w:val="000000"/>
        </w:rPr>
        <w:lastRenderedPageBreak/>
        <w:t>a la Información Pública del Estado de México y Municipios; situación que trae aparejado el sobreseimiento, atendiendo a lo dispuesto en el artículo 192, fracción IV, de la Ley en la materia, a saber:</w:t>
      </w:r>
    </w:p>
    <w:p w14:paraId="4B832BBC" w14:textId="77777777" w:rsidR="007678B0" w:rsidRPr="00082FB0" w:rsidRDefault="00E315F0">
      <w:pPr>
        <w:spacing w:line="360" w:lineRule="auto"/>
        <w:ind w:left="425" w:right="-280"/>
        <w:rPr>
          <w:rFonts w:ascii="Palatino Linotype" w:eastAsia="Palatino Linotype" w:hAnsi="Palatino Linotype" w:cs="Palatino Linotype"/>
          <w:i/>
          <w:sz w:val="22"/>
          <w:szCs w:val="22"/>
        </w:rPr>
      </w:pPr>
      <w:r w:rsidRPr="00082FB0">
        <w:rPr>
          <w:rFonts w:ascii="Palatino Linotype" w:eastAsia="Palatino Linotype" w:hAnsi="Palatino Linotype" w:cs="Palatino Linotype"/>
          <w:i/>
          <w:sz w:val="22"/>
          <w:szCs w:val="22"/>
        </w:rPr>
        <w:t>“Artículo 191. El recurso será desechado por improcedente cuando:</w:t>
      </w:r>
    </w:p>
    <w:p w14:paraId="02319960" w14:textId="77777777" w:rsidR="007678B0" w:rsidRPr="00082FB0" w:rsidRDefault="00E315F0">
      <w:pPr>
        <w:spacing w:line="360" w:lineRule="auto"/>
        <w:ind w:left="425" w:right="-280"/>
        <w:rPr>
          <w:rFonts w:ascii="Palatino Linotype" w:eastAsia="Palatino Linotype" w:hAnsi="Palatino Linotype" w:cs="Palatino Linotype"/>
          <w:i/>
          <w:sz w:val="22"/>
          <w:szCs w:val="22"/>
        </w:rPr>
      </w:pPr>
      <w:r w:rsidRPr="00082FB0">
        <w:rPr>
          <w:rFonts w:ascii="Palatino Linotype" w:eastAsia="Palatino Linotype" w:hAnsi="Palatino Linotype" w:cs="Palatino Linotype"/>
          <w:i/>
          <w:sz w:val="22"/>
          <w:szCs w:val="22"/>
        </w:rPr>
        <w:t>…</w:t>
      </w:r>
    </w:p>
    <w:p w14:paraId="43D5B5B1" w14:textId="77777777" w:rsidR="007678B0" w:rsidRPr="00082FB0" w:rsidRDefault="00E315F0">
      <w:pPr>
        <w:spacing w:line="360" w:lineRule="auto"/>
        <w:ind w:left="425" w:right="-280"/>
        <w:rPr>
          <w:rFonts w:ascii="Palatino Linotype" w:eastAsia="Palatino Linotype" w:hAnsi="Palatino Linotype" w:cs="Palatino Linotype"/>
          <w:i/>
          <w:sz w:val="22"/>
          <w:szCs w:val="22"/>
        </w:rPr>
      </w:pPr>
      <w:r w:rsidRPr="00082FB0">
        <w:rPr>
          <w:rFonts w:ascii="Palatino Linotype" w:eastAsia="Palatino Linotype" w:hAnsi="Palatino Linotype" w:cs="Palatino Linotype"/>
          <w:i/>
          <w:sz w:val="22"/>
          <w:szCs w:val="22"/>
        </w:rPr>
        <w:t>III. No actualice alguno de los supuestos previstos en la presente Ley;</w:t>
      </w:r>
    </w:p>
    <w:p w14:paraId="78A81B85" w14:textId="77777777" w:rsidR="007678B0" w:rsidRPr="00082FB0" w:rsidRDefault="00E315F0">
      <w:pPr>
        <w:spacing w:line="360" w:lineRule="auto"/>
        <w:ind w:left="425" w:right="-280"/>
        <w:rPr>
          <w:rFonts w:ascii="Palatino Linotype" w:eastAsia="Palatino Linotype" w:hAnsi="Palatino Linotype" w:cs="Palatino Linotype"/>
          <w:i/>
          <w:sz w:val="22"/>
          <w:szCs w:val="22"/>
        </w:rPr>
      </w:pPr>
      <w:r w:rsidRPr="00082FB0">
        <w:rPr>
          <w:rFonts w:ascii="Palatino Linotype" w:eastAsia="Palatino Linotype" w:hAnsi="Palatino Linotype" w:cs="Palatino Linotype"/>
          <w:i/>
          <w:sz w:val="22"/>
          <w:szCs w:val="22"/>
        </w:rPr>
        <w:t>…</w:t>
      </w:r>
    </w:p>
    <w:p w14:paraId="6434B473" w14:textId="77777777" w:rsidR="007678B0" w:rsidRPr="00082FB0" w:rsidRDefault="007678B0">
      <w:pPr>
        <w:spacing w:line="360" w:lineRule="auto"/>
        <w:ind w:left="425" w:right="-280"/>
        <w:rPr>
          <w:rFonts w:ascii="Palatino Linotype" w:eastAsia="Palatino Linotype" w:hAnsi="Palatino Linotype" w:cs="Palatino Linotype"/>
          <w:i/>
          <w:sz w:val="22"/>
          <w:szCs w:val="22"/>
        </w:rPr>
      </w:pPr>
    </w:p>
    <w:p w14:paraId="54FB98C9" w14:textId="77777777" w:rsidR="007678B0" w:rsidRPr="00082FB0" w:rsidRDefault="00E315F0">
      <w:pPr>
        <w:spacing w:line="360" w:lineRule="auto"/>
        <w:ind w:left="425" w:right="-280"/>
        <w:rPr>
          <w:rFonts w:ascii="Palatino Linotype" w:eastAsia="Palatino Linotype" w:hAnsi="Palatino Linotype" w:cs="Palatino Linotype"/>
          <w:i/>
          <w:sz w:val="22"/>
          <w:szCs w:val="22"/>
        </w:rPr>
      </w:pPr>
      <w:r w:rsidRPr="00082FB0">
        <w:rPr>
          <w:rFonts w:ascii="Palatino Linotype" w:eastAsia="Palatino Linotype" w:hAnsi="Palatino Linotype" w:cs="Palatino Linotype"/>
          <w:i/>
          <w:sz w:val="22"/>
          <w:szCs w:val="22"/>
        </w:rPr>
        <w:t>Artículo 192. El recurso será sobreseído, en todo o en parte, cuando una vez admitido, se actualicen</w:t>
      </w:r>
    </w:p>
    <w:p w14:paraId="53213E45" w14:textId="77777777" w:rsidR="007678B0" w:rsidRPr="00082FB0" w:rsidRDefault="00E315F0">
      <w:pPr>
        <w:spacing w:line="360" w:lineRule="auto"/>
        <w:ind w:left="425" w:right="-280"/>
        <w:rPr>
          <w:rFonts w:ascii="Palatino Linotype" w:eastAsia="Palatino Linotype" w:hAnsi="Palatino Linotype" w:cs="Palatino Linotype"/>
          <w:i/>
          <w:sz w:val="22"/>
          <w:szCs w:val="22"/>
        </w:rPr>
      </w:pPr>
      <w:r w:rsidRPr="00082FB0">
        <w:rPr>
          <w:rFonts w:ascii="Palatino Linotype" w:eastAsia="Palatino Linotype" w:hAnsi="Palatino Linotype" w:cs="Palatino Linotype"/>
          <w:i/>
          <w:sz w:val="22"/>
          <w:szCs w:val="22"/>
        </w:rPr>
        <w:t>alguno de los siguientes supuestos:</w:t>
      </w:r>
    </w:p>
    <w:p w14:paraId="3D5EC272" w14:textId="77777777" w:rsidR="007678B0" w:rsidRPr="00082FB0" w:rsidRDefault="00E315F0">
      <w:pPr>
        <w:spacing w:line="360" w:lineRule="auto"/>
        <w:ind w:left="425" w:right="-280"/>
        <w:rPr>
          <w:rFonts w:ascii="Palatino Linotype" w:eastAsia="Palatino Linotype" w:hAnsi="Palatino Linotype" w:cs="Palatino Linotype"/>
          <w:i/>
          <w:sz w:val="22"/>
          <w:szCs w:val="22"/>
        </w:rPr>
      </w:pPr>
      <w:r w:rsidRPr="00082FB0">
        <w:rPr>
          <w:rFonts w:ascii="Palatino Linotype" w:eastAsia="Palatino Linotype" w:hAnsi="Palatino Linotype" w:cs="Palatino Linotype"/>
          <w:i/>
          <w:sz w:val="22"/>
          <w:szCs w:val="22"/>
        </w:rPr>
        <w:t>…</w:t>
      </w:r>
    </w:p>
    <w:p w14:paraId="77566009" w14:textId="77777777" w:rsidR="007678B0" w:rsidRPr="00082FB0" w:rsidRDefault="00E315F0">
      <w:pPr>
        <w:spacing w:line="360" w:lineRule="auto"/>
        <w:ind w:left="425" w:right="-280"/>
        <w:rPr>
          <w:rFonts w:ascii="Palatino Linotype" w:eastAsia="Palatino Linotype" w:hAnsi="Palatino Linotype" w:cs="Palatino Linotype"/>
          <w:i/>
          <w:sz w:val="22"/>
          <w:szCs w:val="22"/>
        </w:rPr>
      </w:pPr>
      <w:r w:rsidRPr="00082FB0">
        <w:rPr>
          <w:rFonts w:ascii="Palatino Linotype" w:eastAsia="Palatino Linotype" w:hAnsi="Palatino Linotype" w:cs="Palatino Linotype"/>
          <w:i/>
          <w:sz w:val="22"/>
          <w:szCs w:val="22"/>
        </w:rPr>
        <w:t>IV. Admitido el recurso de revisión, aparezca alguna causal de improcedencia en los términos de la presente Ley; y</w:t>
      </w:r>
    </w:p>
    <w:p w14:paraId="47AF2431" w14:textId="77777777" w:rsidR="007678B0" w:rsidRPr="00082FB0" w:rsidRDefault="00E315F0">
      <w:pPr>
        <w:spacing w:line="360" w:lineRule="auto"/>
        <w:ind w:left="425" w:right="-280"/>
        <w:rPr>
          <w:rFonts w:ascii="Palatino Linotype" w:eastAsia="Palatino Linotype" w:hAnsi="Palatino Linotype" w:cs="Palatino Linotype"/>
          <w:i/>
          <w:sz w:val="22"/>
          <w:szCs w:val="22"/>
        </w:rPr>
      </w:pPr>
      <w:r w:rsidRPr="00082FB0">
        <w:rPr>
          <w:rFonts w:ascii="Palatino Linotype" w:eastAsia="Palatino Linotype" w:hAnsi="Palatino Linotype" w:cs="Palatino Linotype"/>
          <w:i/>
          <w:sz w:val="22"/>
          <w:szCs w:val="22"/>
        </w:rPr>
        <w:t>…”</w:t>
      </w:r>
    </w:p>
    <w:p w14:paraId="250C4D6F" w14:textId="77777777" w:rsidR="007678B0" w:rsidRPr="00082FB0" w:rsidRDefault="007678B0">
      <w:pPr>
        <w:spacing w:line="360" w:lineRule="auto"/>
        <w:ind w:left="425" w:right="-989"/>
        <w:rPr>
          <w:rFonts w:ascii="Palatino Linotype" w:eastAsia="Palatino Linotype" w:hAnsi="Palatino Linotype" w:cs="Palatino Linotype"/>
          <w:i/>
        </w:rPr>
      </w:pPr>
    </w:p>
    <w:p w14:paraId="640368CC"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b/>
        </w:rPr>
        <w:t xml:space="preserve">69. </w:t>
      </w:r>
      <w:r w:rsidRPr="00082FB0">
        <w:rPr>
          <w:rFonts w:ascii="Palatino Linotype" w:eastAsia="Palatino Linotype" w:hAnsi="Palatino Linotype" w:cs="Palatino Linotype"/>
          <w:color w:val="000000"/>
        </w:rPr>
        <w:t xml:space="preserve">Sirve como criterio orientador, lo establecido en la Jurisprudencia 1ª./J 3/99 de la Novena Época, emitida por la Primera Sala de la Suprema Corte de Justicia de la Nación, publicada en el Semanario Judicial de la Federación y su Gaceta, que en lo conducente dispone: </w:t>
      </w:r>
    </w:p>
    <w:p w14:paraId="71D85344" w14:textId="77777777" w:rsidR="007678B0" w:rsidRPr="00082FB0" w:rsidRDefault="00E315F0">
      <w:pPr>
        <w:spacing w:line="360" w:lineRule="auto"/>
        <w:ind w:left="851" w:right="-280"/>
        <w:jc w:val="both"/>
        <w:rPr>
          <w:rFonts w:ascii="Palatino Linotype" w:eastAsia="Palatino Linotype" w:hAnsi="Palatino Linotype" w:cs="Palatino Linotype"/>
          <w:i/>
          <w:sz w:val="22"/>
          <w:szCs w:val="22"/>
        </w:rPr>
      </w:pPr>
      <w:r w:rsidRPr="00082FB0">
        <w:rPr>
          <w:rFonts w:ascii="Palatino Linotype" w:eastAsia="Palatino Linotype" w:hAnsi="Palatino Linotype" w:cs="Palatino Linotype"/>
          <w:b/>
          <w:i/>
          <w:sz w:val="22"/>
          <w:szCs w:val="22"/>
        </w:rPr>
        <w:t xml:space="preserve">“IMPROCEDENCIA. ESTUDIO PREFERENCIAL DE LAS CAUSALES PREVISTAS EN EL ARTÍCULO 73 DE LA LEY DE AMPARO. </w:t>
      </w:r>
      <w:r w:rsidRPr="00082FB0">
        <w:rPr>
          <w:rFonts w:ascii="Palatino Linotype" w:eastAsia="Palatino Linotype" w:hAnsi="Palatino Linotype" w:cs="Palatino Linotype"/>
          <w:i/>
          <w:sz w:val="22"/>
          <w:szCs w:val="22"/>
        </w:rPr>
        <w:t xml:space="preserve">De conformidad con lo dispuesto en el último párrafo del artículo 73 de la Ley de Amparo las causales de improcedencia deben ser examinadas de oficio y debe abordarse en cualquier instancia en que el juicio se encuentre; de tal manera que si en la revisión se advierte que existen otras causas de estudio preferente a la </w:t>
      </w:r>
      <w:r w:rsidRPr="00082FB0">
        <w:rPr>
          <w:rFonts w:ascii="Palatino Linotype" w:eastAsia="Palatino Linotype" w:hAnsi="Palatino Linotype" w:cs="Palatino Linotype"/>
          <w:i/>
          <w:sz w:val="22"/>
          <w:szCs w:val="22"/>
        </w:rPr>
        <w:lastRenderedPageBreak/>
        <w:t>invocada por el Juez para sobreseer, habrán de analizarse, sin atender razonamiento alguno expresado por el recurrente…”</w:t>
      </w:r>
    </w:p>
    <w:p w14:paraId="12FF4CE5" w14:textId="77777777" w:rsidR="007678B0" w:rsidRPr="00082FB0" w:rsidRDefault="007678B0">
      <w:pPr>
        <w:spacing w:line="360" w:lineRule="auto"/>
        <w:ind w:left="851" w:right="-280"/>
        <w:jc w:val="both"/>
        <w:rPr>
          <w:rFonts w:ascii="Palatino Linotype" w:eastAsia="Palatino Linotype" w:hAnsi="Palatino Linotype" w:cs="Palatino Linotype"/>
          <w:i/>
          <w:sz w:val="22"/>
          <w:szCs w:val="22"/>
        </w:rPr>
      </w:pPr>
    </w:p>
    <w:p w14:paraId="6735A3F6"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b/>
        </w:rPr>
        <w:t>70.</w:t>
      </w:r>
      <w:r w:rsidRPr="00082FB0">
        <w:rPr>
          <w:rFonts w:ascii="Palatino Linotype" w:eastAsia="Palatino Linotype" w:hAnsi="Palatino Linotype" w:cs="Palatino Linotype"/>
        </w:rPr>
        <w:t xml:space="preserve"> </w:t>
      </w:r>
      <w:r w:rsidRPr="00082FB0">
        <w:rPr>
          <w:rFonts w:ascii="Palatino Linotype" w:eastAsia="Palatino Linotype" w:hAnsi="Palatino Linotype" w:cs="Palatino Linotype"/>
          <w:color w:val="000000"/>
        </w:rPr>
        <w:t xml:space="preserve">Por ello, en términos del artículo 191 fracción III de la Ley de Transparencia y Acceso a la Información Pública del Estado de México y Municipios, este Órgano Garante considera procedente </w:t>
      </w:r>
      <w:r w:rsidRPr="00082FB0">
        <w:rPr>
          <w:rFonts w:ascii="Palatino Linotype" w:eastAsia="Palatino Linotype" w:hAnsi="Palatino Linotype" w:cs="Palatino Linotype"/>
          <w:b/>
          <w:color w:val="000000"/>
        </w:rPr>
        <w:t xml:space="preserve">SOBRESEER </w:t>
      </w:r>
      <w:r w:rsidRPr="00082FB0">
        <w:rPr>
          <w:rFonts w:ascii="Palatino Linotype" w:eastAsia="Palatino Linotype" w:hAnsi="Palatino Linotype" w:cs="Palatino Linotype"/>
          <w:color w:val="000000"/>
        </w:rPr>
        <w:t>el presente recurso de revisión, toda vez que se actualiza la fracción IV del artículo 192 del citado ordenamiento legal.</w:t>
      </w:r>
    </w:p>
    <w:p w14:paraId="0FE00C1B" w14:textId="77777777" w:rsidR="007678B0" w:rsidRPr="00082FB0" w:rsidRDefault="007678B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p>
    <w:p w14:paraId="213D2554"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b/>
        </w:rPr>
        <w:t xml:space="preserve">71. </w:t>
      </w:r>
      <w:r w:rsidRPr="00082FB0">
        <w:rPr>
          <w:rFonts w:ascii="Palatino Linotype" w:eastAsia="Palatino Linotype" w:hAnsi="Palatino Linotype" w:cs="Palatino Linotype"/>
          <w:color w:val="000000"/>
        </w:rPr>
        <w:t xml:space="preserve">Con la determinación anterior, se estima </w:t>
      </w:r>
      <w:r w:rsidRPr="00082FB0">
        <w:rPr>
          <w:rFonts w:ascii="Palatino Linotype" w:eastAsia="Palatino Linotype" w:hAnsi="Palatino Linotype" w:cs="Palatino Linotype"/>
        </w:rPr>
        <w:t>quedará</w:t>
      </w:r>
      <w:r w:rsidRPr="00082FB0">
        <w:rPr>
          <w:rFonts w:ascii="Palatino Linotype" w:eastAsia="Palatino Linotype" w:hAnsi="Palatino Linotype" w:cs="Palatino Linotype"/>
          <w:color w:val="000000"/>
        </w:rPr>
        <w:t xml:space="preserve"> por colmado el derecho de acceso a la información del ahora Recurrente; toda vez que el Derecho que tutela este Órgano Garante corresponde a la  </w:t>
      </w:r>
      <w:r w:rsidRPr="00082FB0">
        <w:rPr>
          <w:rFonts w:ascii="Palatino Linotype" w:eastAsia="Palatino Linotype" w:hAnsi="Palatino Linotype" w:cs="Palatino Linotype"/>
          <w:i/>
          <w:color w:val="000000"/>
        </w:rPr>
        <w:t>igualdad de oportunidades para recibir, buscar e impartir información</w:t>
      </w:r>
      <w:r w:rsidRPr="00082FB0">
        <w:rPr>
          <w:rFonts w:ascii="Palatino Linotype" w:eastAsia="Palatino Linotype" w:hAnsi="Palatino Linotype" w:cs="Palatino Linotype"/>
          <w:i/>
          <w:color w:val="000000"/>
          <w:vertAlign w:val="superscript"/>
        </w:rPr>
        <w:footnoteReference w:id="2"/>
      </w:r>
      <w:r w:rsidRPr="00082FB0">
        <w:rPr>
          <w:rFonts w:ascii="Palatino Linotype" w:eastAsia="Palatino Linotype" w:hAnsi="Palatino Linotype" w:cs="Palatino Linotype"/>
          <w:i/>
          <w:color w:val="000000"/>
        </w:rPr>
        <w:t xml:space="preserve"> en posesión de cualquier autoridad, entidad, órgano y organismo de los </w:t>
      </w:r>
      <w:r w:rsidRPr="00082FB0">
        <w:rPr>
          <w:rFonts w:ascii="Palatino Linotype" w:eastAsia="Palatino Linotype" w:hAnsi="Palatino Linotype" w:cs="Palatino Linotype"/>
          <w:color w:val="000000"/>
        </w:rPr>
        <w:t>poderes</w:t>
      </w:r>
      <w:r w:rsidRPr="00082FB0">
        <w:rPr>
          <w:rFonts w:ascii="Palatino Linotype" w:eastAsia="Palatino Linotype" w:hAnsi="Palatino Linotype" w:cs="Palatino Linotype"/>
          <w:i/>
          <w:color w:val="000000"/>
        </w:rPr>
        <w:t xml:space="preserve"> Ejecutivo, Legislativo y Judicial, órganos autónomos, partidos políticos, </w:t>
      </w:r>
      <w:r w:rsidRPr="00082FB0">
        <w:rPr>
          <w:rFonts w:ascii="Palatino Linotype" w:eastAsia="Palatino Linotype" w:hAnsi="Palatino Linotype" w:cs="Palatino Linotype"/>
          <w:color w:val="000000"/>
        </w:rPr>
        <w:t>fideicomisos</w:t>
      </w:r>
      <w:r w:rsidRPr="00082FB0">
        <w:rPr>
          <w:rFonts w:ascii="Palatino Linotype" w:eastAsia="Palatino Linotype" w:hAnsi="Palatino Linotype" w:cs="Palatino Linotype"/>
          <w:i/>
          <w:color w:val="000000"/>
        </w:rPr>
        <w:t>, y fondos públicos, así como de cualquier persona física, moral o sindicato que reciba y ejerza recursos públicos o realice actos de autoridad en el ámbito federal, estatal y municipal</w:t>
      </w:r>
      <w:r w:rsidRPr="00082FB0">
        <w:rPr>
          <w:rFonts w:ascii="Palatino Linotype" w:eastAsia="Palatino Linotype" w:hAnsi="Palatino Linotype" w:cs="Palatino Linotype"/>
          <w:color w:val="000000"/>
          <w:vertAlign w:val="superscript"/>
        </w:rPr>
        <w:footnoteReference w:id="3"/>
      </w:r>
      <w:r w:rsidRPr="00082FB0">
        <w:rPr>
          <w:rFonts w:ascii="Palatino Linotype" w:eastAsia="Palatino Linotype" w:hAnsi="Palatino Linotype" w:cs="Palatino Linotype"/>
          <w:i/>
          <w:color w:val="000000"/>
        </w:rPr>
        <w:t xml:space="preserve"> </w:t>
      </w:r>
      <w:r w:rsidRPr="00082FB0">
        <w:rPr>
          <w:rFonts w:ascii="Palatino Linotype" w:eastAsia="Palatino Linotype" w:hAnsi="Palatino Linotype" w:cs="Palatino Linotype"/>
          <w:color w:val="000000"/>
        </w:rPr>
        <w:t xml:space="preserve">que se constituye como una herramienta fundamental para </w:t>
      </w:r>
      <w:r w:rsidRPr="00082FB0">
        <w:rPr>
          <w:rFonts w:ascii="Palatino Linotype" w:eastAsia="Palatino Linotype" w:hAnsi="Palatino Linotype" w:cs="Palatino Linotype"/>
          <w:i/>
          <w:color w:val="000000"/>
        </w:rPr>
        <w:t>ejercer control democrático de las gestiones estatales, de forma tal que puedan cuestionar, indagar y considerar si se está dando un adecuado cumplimiento de las funciones públicas,</w:t>
      </w:r>
      <w:r w:rsidRPr="00082FB0">
        <w:rPr>
          <w:rFonts w:ascii="Palatino Linotype" w:eastAsia="Palatino Linotype" w:hAnsi="Palatino Linotype" w:cs="Palatino Linotype"/>
          <w:i/>
          <w:color w:val="000000"/>
          <w:vertAlign w:val="superscript"/>
        </w:rPr>
        <w:footnoteReference w:id="4"/>
      </w:r>
      <w:r w:rsidRPr="00082FB0">
        <w:rPr>
          <w:rFonts w:ascii="Palatino Linotype" w:eastAsia="Palatino Linotype" w:hAnsi="Palatino Linotype" w:cs="Palatino Linotype"/>
          <w:color w:val="000000"/>
        </w:rPr>
        <w:t>fomentando</w:t>
      </w:r>
      <w:r w:rsidRPr="00082FB0">
        <w:rPr>
          <w:rFonts w:ascii="Palatino Linotype" w:eastAsia="Palatino Linotype" w:hAnsi="Palatino Linotype" w:cs="Palatino Linotype"/>
          <w:i/>
          <w:color w:val="000000"/>
        </w:rPr>
        <w:t xml:space="preserve"> la transparencia de las actividades estatales y</w:t>
      </w:r>
      <w:r w:rsidRPr="00082FB0">
        <w:rPr>
          <w:rFonts w:ascii="Palatino Linotype" w:eastAsia="Palatino Linotype" w:hAnsi="Palatino Linotype" w:cs="Palatino Linotype"/>
          <w:color w:val="000000"/>
        </w:rPr>
        <w:t xml:space="preserve"> promoviendo</w:t>
      </w:r>
      <w:r w:rsidRPr="00082FB0">
        <w:rPr>
          <w:rFonts w:ascii="Palatino Linotype" w:eastAsia="Palatino Linotype" w:hAnsi="Palatino Linotype" w:cs="Palatino Linotype"/>
          <w:i/>
          <w:color w:val="000000"/>
        </w:rPr>
        <w:t xml:space="preserve"> la responsabilidad de los funcionarios sobre su gestión </w:t>
      </w:r>
      <w:r w:rsidRPr="00082FB0">
        <w:rPr>
          <w:rFonts w:ascii="Palatino Linotype" w:eastAsia="Palatino Linotype" w:hAnsi="Palatino Linotype" w:cs="Palatino Linotype"/>
          <w:i/>
          <w:color w:val="000000"/>
        </w:rPr>
        <w:lastRenderedPageBreak/>
        <w:t>pública</w:t>
      </w:r>
      <w:r w:rsidRPr="00082FB0">
        <w:rPr>
          <w:rFonts w:ascii="Palatino Linotype" w:eastAsia="Palatino Linotype" w:hAnsi="Palatino Linotype" w:cs="Palatino Linotype"/>
          <w:i/>
          <w:color w:val="000000"/>
          <w:vertAlign w:val="superscript"/>
        </w:rPr>
        <w:footnoteReference w:id="5"/>
      </w:r>
      <w:r w:rsidRPr="00082FB0">
        <w:rPr>
          <w:rFonts w:ascii="Palatino Linotype" w:eastAsia="Palatino Linotype" w:hAnsi="Palatino Linotype" w:cs="Palatino Linotype"/>
          <w:i/>
          <w:color w:val="000000"/>
        </w:rPr>
        <w:t xml:space="preserve"> </w:t>
      </w:r>
      <w:r w:rsidRPr="00082FB0">
        <w:rPr>
          <w:rFonts w:ascii="Palatino Linotype" w:eastAsia="Palatino Linotype" w:hAnsi="Palatino Linotype" w:cs="Palatino Linotype"/>
          <w:color w:val="000000"/>
        </w:rPr>
        <w:t>que permite</w:t>
      </w:r>
      <w:r w:rsidRPr="00082FB0">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r w:rsidRPr="00082FB0">
        <w:rPr>
          <w:rFonts w:ascii="Palatino Linotype" w:eastAsia="Palatino Linotype" w:hAnsi="Palatino Linotype" w:cs="Palatino Linotype"/>
          <w:i/>
          <w:color w:val="000000"/>
          <w:vertAlign w:val="superscript"/>
        </w:rPr>
        <w:footnoteReference w:id="6"/>
      </w:r>
      <w:r w:rsidRPr="00082FB0">
        <w:rPr>
          <w:rFonts w:ascii="Palatino Linotype" w:eastAsia="Palatino Linotype" w:hAnsi="Palatino Linotype" w:cs="Palatino Linotype"/>
          <w:color w:val="000000"/>
        </w:rPr>
        <w:t xml:space="preserve"> ” </w:t>
      </w:r>
    </w:p>
    <w:p w14:paraId="41CDBFDD" w14:textId="77777777" w:rsidR="007678B0" w:rsidRPr="00082FB0" w:rsidRDefault="007678B0">
      <w:pPr>
        <w:pBdr>
          <w:top w:val="nil"/>
          <w:left w:val="nil"/>
          <w:bottom w:val="nil"/>
          <w:right w:val="nil"/>
          <w:between w:val="nil"/>
        </w:pBdr>
        <w:spacing w:line="360" w:lineRule="auto"/>
        <w:ind w:right="-989"/>
        <w:jc w:val="both"/>
        <w:rPr>
          <w:rFonts w:ascii="Palatino Linotype" w:eastAsia="Palatino Linotype" w:hAnsi="Palatino Linotype" w:cs="Palatino Linotype"/>
        </w:rPr>
      </w:pPr>
    </w:p>
    <w:p w14:paraId="0D464B8B"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b/>
        </w:rPr>
        <w:t>72.</w:t>
      </w:r>
      <w:r w:rsidRPr="00082FB0">
        <w:rPr>
          <w:rFonts w:ascii="Palatino Linotype" w:eastAsia="Palatino Linotype" w:hAnsi="Palatino Linotype" w:cs="Palatino Linotype"/>
        </w:rPr>
        <w:t xml:space="preserve"> </w:t>
      </w:r>
      <w:r w:rsidRPr="00082FB0">
        <w:rPr>
          <w:rFonts w:ascii="Palatino Linotype" w:eastAsia="Palatino Linotype" w:hAnsi="Palatino Linotype" w:cs="Palatino Linotype"/>
          <w:color w:val="000000"/>
        </w:rPr>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CCCC732" w14:textId="77777777" w:rsidR="007678B0" w:rsidRPr="00082FB0" w:rsidRDefault="00E315F0">
      <w:pPr>
        <w:spacing w:line="360" w:lineRule="auto"/>
        <w:ind w:left="426" w:right="-280"/>
        <w:jc w:val="both"/>
        <w:rPr>
          <w:rFonts w:ascii="Palatino Linotype" w:eastAsia="Palatino Linotype" w:hAnsi="Palatino Linotype" w:cs="Palatino Linotype"/>
          <w:b/>
          <w:i/>
          <w:color w:val="000000"/>
          <w:sz w:val="22"/>
          <w:szCs w:val="22"/>
        </w:rPr>
      </w:pPr>
      <w:r w:rsidRPr="00082FB0">
        <w:rPr>
          <w:rFonts w:ascii="Palatino Linotype" w:eastAsia="Palatino Linotype" w:hAnsi="Palatino Linotype" w:cs="Palatino Linotype"/>
          <w:b/>
          <w:i/>
          <w:color w:val="000000"/>
          <w:sz w:val="22"/>
          <w:szCs w:val="22"/>
        </w:rPr>
        <w:t>“CRITERIO 0002-11</w:t>
      </w:r>
    </w:p>
    <w:p w14:paraId="3702AFBE" w14:textId="77777777" w:rsidR="007678B0" w:rsidRPr="00082FB0" w:rsidRDefault="00E315F0">
      <w:pPr>
        <w:spacing w:line="360" w:lineRule="auto"/>
        <w:ind w:left="425"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b/>
          <w:i/>
          <w:color w:val="000000"/>
          <w:sz w:val="22"/>
          <w:szCs w:val="22"/>
        </w:rPr>
        <w:t>INFORMACIÓN PÚBLICA, CONCEPTO DE, EN MATERIA DE TRANSPARENCIA. INTERPRETACIÓN TEMÁTICA DE LOS ARTÍCULOS 2, FRACCIÓN V, XV, Y XVI, 3, 4,11 Y 41.</w:t>
      </w:r>
      <w:r w:rsidRPr="00082FB0">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D1CD90C" w14:textId="77777777" w:rsidR="007678B0" w:rsidRPr="00082FB0" w:rsidRDefault="00E315F0">
      <w:pPr>
        <w:spacing w:line="360" w:lineRule="auto"/>
        <w:ind w:left="425"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14:paraId="56BF9712" w14:textId="77777777" w:rsidR="007678B0" w:rsidRPr="00082FB0" w:rsidRDefault="00E315F0">
      <w:pPr>
        <w:spacing w:line="360" w:lineRule="auto"/>
        <w:ind w:left="425"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lastRenderedPageBreak/>
        <w:t>Que se trate de información registrada en cualquier soporte documental, que en ejercicio de las atribuciones conferidas, sea generada por los Sujetos Obligados;</w:t>
      </w:r>
    </w:p>
    <w:p w14:paraId="0F13752B" w14:textId="77777777" w:rsidR="007678B0" w:rsidRPr="00082FB0" w:rsidRDefault="00E315F0">
      <w:pPr>
        <w:spacing w:line="360" w:lineRule="auto"/>
        <w:ind w:left="425"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7882AE1C" w14:textId="77777777" w:rsidR="007678B0" w:rsidRPr="00082FB0" w:rsidRDefault="00E315F0">
      <w:pPr>
        <w:spacing w:line="360" w:lineRule="auto"/>
        <w:ind w:left="425"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 encuentre en posesión de los Sujetos Obligados.”</w:t>
      </w:r>
    </w:p>
    <w:p w14:paraId="485E70EA" w14:textId="77777777" w:rsidR="007678B0" w:rsidRPr="00082FB0" w:rsidRDefault="007678B0">
      <w:pPr>
        <w:spacing w:line="360" w:lineRule="auto"/>
        <w:ind w:right="-989"/>
        <w:jc w:val="both"/>
        <w:rPr>
          <w:rFonts w:ascii="Palatino Linotype" w:eastAsia="Palatino Linotype" w:hAnsi="Palatino Linotype" w:cs="Palatino Linotype"/>
          <w:color w:val="000000"/>
        </w:rPr>
      </w:pPr>
    </w:p>
    <w:p w14:paraId="6A1EADE0"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b/>
        </w:rPr>
        <w:t>73.</w:t>
      </w:r>
      <w:r w:rsidRPr="00082FB0">
        <w:rPr>
          <w:rFonts w:ascii="Palatino Linotype" w:eastAsia="Palatino Linotype" w:hAnsi="Palatino Linotype" w:cs="Palatino Linotype"/>
        </w:rPr>
        <w:t xml:space="preserve"> </w:t>
      </w:r>
      <w:r w:rsidRPr="00082FB0">
        <w:rPr>
          <w:rFonts w:ascii="Palatino Linotype" w:eastAsia="Palatino Linotype" w:hAnsi="Palatino Linotype" w:cs="Palatino Linotype"/>
          <w:color w:val="000000"/>
        </w:rPr>
        <w:t xml:space="preserve">Es así que, todos los actos de autoridad que realicen los Sujetos Obligados </w:t>
      </w:r>
      <w:r w:rsidRPr="00082FB0">
        <w:rPr>
          <w:rFonts w:ascii="Palatino Linotype" w:eastAsia="Palatino Linotype" w:hAnsi="Palatino Linotype" w:cs="Palatino Linotype"/>
          <w:b/>
          <w:color w:val="000000"/>
        </w:rPr>
        <w:t xml:space="preserve">deben </w:t>
      </w:r>
      <w:r w:rsidRPr="00082FB0">
        <w:rPr>
          <w:rFonts w:ascii="Palatino Linotype" w:eastAsia="Palatino Linotype" w:hAnsi="Palatino Linotype" w:cs="Palatino Linotype"/>
          <w:color w:val="000000"/>
        </w:rPr>
        <w:t>estar</w:t>
      </w:r>
      <w:r w:rsidRPr="00082FB0">
        <w:rPr>
          <w:rFonts w:ascii="Palatino Linotype" w:eastAsia="Palatino Linotype" w:hAnsi="Palatino Linotype" w:cs="Palatino Linotype"/>
          <w:b/>
          <w:color w:val="000000"/>
        </w:rPr>
        <w:t xml:space="preserve"> </w:t>
      </w:r>
      <w:r w:rsidRPr="00082FB0">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14:paraId="360167A8" w14:textId="77777777" w:rsidR="007678B0" w:rsidRPr="00082FB0" w:rsidRDefault="007678B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p>
    <w:p w14:paraId="6EF2667B"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b/>
        </w:rPr>
        <w:t xml:space="preserve">74. </w:t>
      </w:r>
      <w:r w:rsidRPr="00082FB0">
        <w:rPr>
          <w:rFonts w:ascii="Palatino Linotype" w:eastAsia="Palatino Linotype" w:hAnsi="Palatino Linotype" w:cs="Palatino Linotype"/>
          <w:color w:val="000000"/>
        </w:rPr>
        <w:t>Además, debemos tomar en cuenta los artículos 4 y 12 (antes transcrito), de la Ley de Transparencia y Acceso a la Información Pública del Estado de México y Municipios, los cuales establecen lo siguiente:</w:t>
      </w:r>
    </w:p>
    <w:p w14:paraId="64525D57" w14:textId="77777777" w:rsidR="007678B0" w:rsidRPr="00082FB0" w:rsidRDefault="00E315F0">
      <w:pPr>
        <w:spacing w:line="360" w:lineRule="auto"/>
        <w:ind w:left="425"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b/>
          <w:i/>
          <w:color w:val="000000"/>
          <w:sz w:val="22"/>
          <w:szCs w:val="22"/>
        </w:rPr>
        <w:t xml:space="preserve">“Artículo 4. </w:t>
      </w:r>
      <w:r w:rsidRPr="00082FB0">
        <w:rPr>
          <w:rFonts w:ascii="Palatino Linotype" w:eastAsia="Palatino Linotype" w:hAnsi="Palatino Linotype" w:cs="Palatino Linotype"/>
          <w:i/>
          <w:color w:val="000000"/>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46D3B8BC" w14:textId="77777777" w:rsidR="007678B0" w:rsidRPr="00082FB0" w:rsidRDefault="00E315F0">
      <w:pPr>
        <w:spacing w:line="360" w:lineRule="auto"/>
        <w:ind w:left="426"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b/>
          <w:i/>
          <w:color w:val="000000"/>
          <w:sz w:val="22"/>
          <w:szCs w:val="22"/>
        </w:rPr>
        <w:t>Toda la información</w:t>
      </w:r>
      <w:r w:rsidRPr="00082FB0">
        <w:rPr>
          <w:rFonts w:ascii="Palatino Linotype" w:eastAsia="Palatino Linotype" w:hAnsi="Palatino Linotype" w:cs="Palatino Linotype"/>
          <w:i/>
          <w:color w:val="000000"/>
          <w:sz w:val="22"/>
          <w:szCs w:val="22"/>
        </w:rPr>
        <w:t xml:space="preserve"> generada, obtenida, adquirida, transformada, administrada o </w:t>
      </w:r>
      <w:r w:rsidRPr="00082FB0">
        <w:rPr>
          <w:rFonts w:ascii="Palatino Linotype" w:eastAsia="Palatino Linotype" w:hAnsi="Palatino Linotype" w:cs="Palatino Linotype"/>
          <w:b/>
          <w:i/>
          <w:color w:val="000000"/>
          <w:sz w:val="22"/>
          <w:szCs w:val="22"/>
        </w:rPr>
        <w:t>en posesión de los sujetos obligados es pública</w:t>
      </w:r>
      <w:r w:rsidRPr="00082FB0">
        <w:rPr>
          <w:rFonts w:ascii="Palatino Linotype" w:eastAsia="Palatino Linotype" w:hAnsi="Palatino Linotype" w:cs="Palatino Linotype"/>
          <w:i/>
          <w:color w:val="000000"/>
          <w:sz w:val="22"/>
          <w:szCs w:val="22"/>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362CDE0" w14:textId="77777777" w:rsidR="007678B0" w:rsidRPr="00082FB0" w:rsidRDefault="00E315F0">
      <w:pPr>
        <w:spacing w:line="360" w:lineRule="auto"/>
        <w:ind w:left="426"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4080F273" w14:textId="77777777" w:rsidR="007678B0" w:rsidRPr="00082FB0" w:rsidRDefault="007678B0">
      <w:pPr>
        <w:spacing w:line="360" w:lineRule="auto"/>
        <w:ind w:right="-989"/>
        <w:jc w:val="both"/>
        <w:rPr>
          <w:rFonts w:ascii="Palatino Linotype" w:eastAsia="Palatino Linotype" w:hAnsi="Palatino Linotype" w:cs="Palatino Linotype"/>
          <w:color w:val="000000"/>
        </w:rPr>
      </w:pPr>
    </w:p>
    <w:p w14:paraId="2DE20B15"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b/>
        </w:rPr>
        <w:t xml:space="preserve">75. </w:t>
      </w:r>
      <w:r w:rsidRPr="00082FB0">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082FB0">
        <w:rPr>
          <w:rFonts w:ascii="Palatino Linotype" w:eastAsia="Palatino Linotype" w:hAnsi="Palatino Linotype" w:cs="Palatino Linotype"/>
          <w:color w:val="000000"/>
          <w:vertAlign w:val="superscript"/>
        </w:rPr>
        <w:footnoteReference w:id="7"/>
      </w:r>
      <w:r w:rsidRPr="00082FB0">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3CFEE48" w14:textId="77777777" w:rsidR="007678B0" w:rsidRPr="00082FB0" w:rsidRDefault="007678B0">
      <w:pPr>
        <w:spacing w:line="360" w:lineRule="auto"/>
        <w:ind w:right="-989"/>
        <w:jc w:val="both"/>
        <w:rPr>
          <w:rFonts w:ascii="Palatino Linotype" w:eastAsia="Palatino Linotype" w:hAnsi="Palatino Linotype" w:cs="Palatino Linotype"/>
          <w:color w:val="000000"/>
        </w:rPr>
      </w:pPr>
    </w:p>
    <w:p w14:paraId="6AF52F33"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b/>
        </w:rPr>
        <w:t xml:space="preserve">76. </w:t>
      </w:r>
      <w:r w:rsidRPr="00082FB0">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B2098B5" w14:textId="77777777" w:rsidR="007678B0" w:rsidRPr="00082FB0" w:rsidRDefault="00E315F0">
      <w:pPr>
        <w:pBdr>
          <w:top w:val="nil"/>
          <w:left w:val="nil"/>
          <w:bottom w:val="nil"/>
          <w:right w:val="nil"/>
          <w:between w:val="nil"/>
        </w:pBdr>
        <w:tabs>
          <w:tab w:val="left" w:pos="851"/>
        </w:tabs>
        <w:spacing w:line="360" w:lineRule="auto"/>
        <w:ind w:left="425"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082FB0">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w:t>
      </w:r>
      <w:r w:rsidRPr="00082FB0">
        <w:rPr>
          <w:rFonts w:ascii="Palatino Linotype" w:eastAsia="Palatino Linotype" w:hAnsi="Palatino Linotype" w:cs="Palatino Linotype"/>
          <w:i/>
          <w:color w:val="000000"/>
          <w:sz w:val="22"/>
          <w:szCs w:val="22"/>
        </w:rPr>
        <w:lastRenderedPageBreak/>
        <w:t>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C8F483A" w14:textId="77777777" w:rsidR="007678B0" w:rsidRPr="00082FB0" w:rsidRDefault="007678B0">
      <w:pPr>
        <w:pBdr>
          <w:top w:val="nil"/>
          <w:left w:val="nil"/>
          <w:bottom w:val="nil"/>
          <w:right w:val="nil"/>
          <w:between w:val="nil"/>
        </w:pBdr>
        <w:tabs>
          <w:tab w:val="left" w:pos="851"/>
        </w:tabs>
        <w:spacing w:line="360" w:lineRule="auto"/>
        <w:ind w:right="-989"/>
        <w:jc w:val="both"/>
        <w:rPr>
          <w:rFonts w:ascii="Palatino Linotype" w:eastAsia="Palatino Linotype" w:hAnsi="Palatino Linotype" w:cs="Palatino Linotype"/>
          <w:i/>
          <w:color w:val="000000"/>
        </w:rPr>
      </w:pPr>
    </w:p>
    <w:p w14:paraId="6FD27ED5" w14:textId="77777777" w:rsidR="007678B0" w:rsidRPr="00082FB0" w:rsidRDefault="00E315F0">
      <w:pPr>
        <w:pStyle w:val="Ttulo2"/>
        <w:spacing w:before="0" w:line="360" w:lineRule="auto"/>
        <w:ind w:right="-989"/>
        <w:rPr>
          <w:b w:val="0"/>
          <w:color w:val="000000"/>
        </w:rPr>
      </w:pPr>
      <w:r w:rsidRPr="00082FB0">
        <w:rPr>
          <w:color w:val="000000"/>
        </w:rPr>
        <w:t>QUINTA. De la versión pública</w:t>
      </w:r>
    </w:p>
    <w:p w14:paraId="7958A032"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b/>
        </w:rPr>
        <w:t>77.</w:t>
      </w:r>
      <w:r w:rsidRPr="00082FB0">
        <w:rPr>
          <w:rFonts w:ascii="Palatino Linotype" w:eastAsia="Palatino Linotype" w:hAnsi="Palatino Linotype" w:cs="Palatino Linotype"/>
        </w:rPr>
        <w:t xml:space="preserve"> </w:t>
      </w:r>
      <w:r w:rsidRPr="00082FB0">
        <w:rPr>
          <w:rFonts w:ascii="Palatino Linotype" w:eastAsia="Palatino Linotype" w:hAnsi="Palatino Linotype" w:cs="Palatino Linotype"/>
          <w:color w:val="000000"/>
        </w:rPr>
        <w:t>Una vez expuesto lo anterior es necesario referir que el sujeto obligado en todo momento debe proteger los datos que puedan poner en riesgo la vida o integridad de las personas y de los servidores públicos de los que se habrá de hacer entrega de sus datos personales, por tal motivo es susceptible de ser entregada a través del SAIMEX, en versión pública.</w:t>
      </w:r>
    </w:p>
    <w:p w14:paraId="580690E1" w14:textId="77777777" w:rsidR="007678B0" w:rsidRPr="00082FB0" w:rsidRDefault="007678B0">
      <w:pPr>
        <w:spacing w:line="360" w:lineRule="auto"/>
        <w:ind w:right="-989"/>
        <w:jc w:val="both"/>
        <w:rPr>
          <w:rFonts w:ascii="Palatino Linotype" w:eastAsia="Palatino Linotype" w:hAnsi="Palatino Linotype" w:cs="Palatino Linotype"/>
        </w:rPr>
      </w:pPr>
    </w:p>
    <w:p w14:paraId="0EF0E52D"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b/>
        </w:rPr>
        <w:t xml:space="preserve">78. </w:t>
      </w:r>
      <w:r w:rsidRPr="00082FB0">
        <w:rPr>
          <w:rFonts w:ascii="Palatino Linotype" w:eastAsia="Palatino Linotype" w:hAnsi="Palatino Linotype" w:cs="Palatino Linotype"/>
          <w:color w:val="000000"/>
        </w:rPr>
        <w:t xml:space="preserve">Por ende deberá emitir la debida clasificación de información, en la que dé seguridad jurídica al solicitante que por alguna excepción establecida en Ley no es posible acceder </w:t>
      </w:r>
      <w:r w:rsidRPr="00082FB0">
        <w:rPr>
          <w:rFonts w:ascii="Palatino Linotype" w:eastAsia="Palatino Linotype" w:hAnsi="Palatino Linotype" w:cs="Palatino Linotype"/>
          <w:color w:val="000000"/>
        </w:rPr>
        <w:lastRenderedPageBreak/>
        <w:t>temporalmente a la información referida anteriormente, para así no dejar en estado de indefensión y exista certeza jurídica de lo expuesto por el sujeto obligado.</w:t>
      </w:r>
    </w:p>
    <w:p w14:paraId="4A94B63B" w14:textId="77777777" w:rsidR="007678B0" w:rsidRPr="00082FB0" w:rsidRDefault="007678B0">
      <w:pPr>
        <w:tabs>
          <w:tab w:val="left" w:pos="7938"/>
        </w:tabs>
        <w:spacing w:line="360" w:lineRule="auto"/>
        <w:ind w:right="-989"/>
        <w:jc w:val="both"/>
        <w:rPr>
          <w:rFonts w:ascii="Palatino Linotype" w:eastAsia="Palatino Linotype" w:hAnsi="Palatino Linotype" w:cs="Palatino Linotype"/>
        </w:rPr>
      </w:pPr>
    </w:p>
    <w:p w14:paraId="461FC8D4"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b/>
        </w:rPr>
        <w:t xml:space="preserve">79. </w:t>
      </w:r>
      <w:r w:rsidRPr="00082FB0">
        <w:rPr>
          <w:rFonts w:ascii="Palatino Linotype" w:eastAsia="Palatino Linotype" w:hAnsi="Palatino Linotype" w:cs="Palatino Linotype"/>
          <w:color w:val="000000"/>
        </w:rPr>
        <w:t xml:space="preserve">La </w:t>
      </w:r>
      <w:r w:rsidRPr="00082FB0">
        <w:rPr>
          <w:rFonts w:ascii="Palatino Linotype" w:eastAsia="Palatino Linotype" w:hAnsi="Palatino Linotype" w:cs="Palatino Linotype"/>
          <w:b/>
          <w:color w:val="000000"/>
        </w:rPr>
        <w:t>versión pública</w:t>
      </w:r>
      <w:r w:rsidRPr="00082FB0">
        <w:rPr>
          <w:rFonts w:ascii="Palatino Linotype" w:eastAsia="Palatino Linotype" w:hAnsi="Palatino Linotype" w:cs="Palatino Linotype"/>
          <w:color w:val="000000"/>
        </w:rPr>
        <w:t xml:space="preserve"> el Sujeto Obligado deberá argumentar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específicamente como lo hizo valer en su respuesta, empero por la aplicabilidad de la Ley de Transparencia en la materia deberá clasificarla por la hipótesis análoga siendo aplicables los numerales de la Ley de la materia, que a la letra esgrimen:</w:t>
      </w:r>
    </w:p>
    <w:p w14:paraId="4C684D39" w14:textId="77777777" w:rsidR="007678B0" w:rsidRPr="00082FB0" w:rsidRDefault="00E315F0">
      <w:pPr>
        <w:spacing w:line="360" w:lineRule="auto"/>
        <w:ind w:left="851" w:right="-280"/>
        <w:jc w:val="both"/>
        <w:rPr>
          <w:rFonts w:ascii="Palatino Linotype" w:eastAsia="Palatino Linotype" w:hAnsi="Palatino Linotype" w:cs="Palatino Linotype"/>
          <w:b/>
          <w:i/>
          <w:sz w:val="22"/>
          <w:szCs w:val="22"/>
        </w:rPr>
      </w:pPr>
      <w:r w:rsidRPr="00082FB0">
        <w:rPr>
          <w:rFonts w:ascii="Palatino Linotype" w:eastAsia="Palatino Linotype" w:hAnsi="Palatino Linotype" w:cs="Palatino Linotype"/>
          <w:b/>
          <w:i/>
          <w:sz w:val="22"/>
          <w:szCs w:val="22"/>
        </w:rPr>
        <w:t>Artículo 3. Para los efectos de la presente Ley se entenderá por:</w:t>
      </w:r>
    </w:p>
    <w:p w14:paraId="5867663D" w14:textId="77777777" w:rsidR="007678B0" w:rsidRPr="00082FB0" w:rsidRDefault="00E315F0">
      <w:pPr>
        <w:spacing w:line="360" w:lineRule="auto"/>
        <w:ind w:left="851" w:right="-280"/>
        <w:jc w:val="both"/>
        <w:rPr>
          <w:rFonts w:ascii="Palatino Linotype" w:eastAsia="Palatino Linotype" w:hAnsi="Palatino Linotype" w:cs="Palatino Linotype"/>
          <w:b/>
          <w:i/>
          <w:sz w:val="22"/>
          <w:szCs w:val="22"/>
        </w:rPr>
      </w:pPr>
      <w:r w:rsidRPr="00082FB0">
        <w:rPr>
          <w:rFonts w:ascii="Palatino Linotype" w:eastAsia="Palatino Linotype" w:hAnsi="Palatino Linotype" w:cs="Palatino Linotype"/>
          <w:b/>
          <w:i/>
          <w:sz w:val="22"/>
          <w:szCs w:val="22"/>
        </w:rPr>
        <w:t>[…]</w:t>
      </w:r>
    </w:p>
    <w:p w14:paraId="11CA0688" w14:textId="77777777" w:rsidR="007678B0" w:rsidRPr="00082FB0" w:rsidRDefault="00E315F0">
      <w:pPr>
        <w:spacing w:line="360" w:lineRule="auto"/>
        <w:ind w:left="851" w:right="-280"/>
        <w:jc w:val="both"/>
        <w:rPr>
          <w:rFonts w:ascii="Palatino Linotype" w:eastAsia="Palatino Linotype" w:hAnsi="Palatino Linotype" w:cs="Palatino Linotype"/>
          <w:b/>
          <w:i/>
          <w:sz w:val="22"/>
          <w:szCs w:val="22"/>
        </w:rPr>
      </w:pPr>
      <w:r w:rsidRPr="00082FB0">
        <w:rPr>
          <w:rFonts w:ascii="Palatino Linotype" w:eastAsia="Palatino Linotype" w:hAnsi="Palatino Linotype" w:cs="Palatino Linotype"/>
          <w:b/>
          <w:i/>
          <w:sz w:val="22"/>
          <w:szCs w:val="22"/>
        </w:rPr>
        <w:t>IX. Datos personales: La información concerniente a una persona, identificada o identificable según lo dispuesto por la Ley de Protección de Datos Personales del Estado de México;</w:t>
      </w:r>
    </w:p>
    <w:p w14:paraId="0E69571E" w14:textId="77777777" w:rsidR="007678B0" w:rsidRPr="00082FB0" w:rsidRDefault="00E315F0">
      <w:pPr>
        <w:spacing w:line="360" w:lineRule="auto"/>
        <w:ind w:left="851" w:right="-280"/>
        <w:jc w:val="both"/>
        <w:rPr>
          <w:rFonts w:ascii="Palatino Linotype" w:eastAsia="Palatino Linotype" w:hAnsi="Palatino Linotype" w:cs="Palatino Linotype"/>
          <w:b/>
          <w:i/>
          <w:sz w:val="22"/>
          <w:szCs w:val="22"/>
        </w:rPr>
      </w:pPr>
      <w:r w:rsidRPr="00082FB0">
        <w:rPr>
          <w:rFonts w:ascii="Palatino Linotype" w:eastAsia="Palatino Linotype" w:hAnsi="Palatino Linotype" w:cs="Palatino Linotype"/>
          <w:b/>
          <w:i/>
          <w:sz w:val="22"/>
          <w:szCs w:val="22"/>
        </w:rPr>
        <w:t>[…]</w:t>
      </w:r>
    </w:p>
    <w:p w14:paraId="7A3FC6DA" w14:textId="77777777" w:rsidR="007678B0" w:rsidRPr="00082FB0" w:rsidRDefault="00E315F0">
      <w:pPr>
        <w:spacing w:line="360" w:lineRule="auto"/>
        <w:ind w:left="851" w:right="-280"/>
        <w:jc w:val="both"/>
        <w:rPr>
          <w:rFonts w:ascii="Palatino Linotype" w:eastAsia="Palatino Linotype" w:hAnsi="Palatino Linotype" w:cs="Palatino Linotype"/>
          <w:b/>
          <w:i/>
          <w:sz w:val="22"/>
          <w:szCs w:val="22"/>
        </w:rPr>
      </w:pPr>
      <w:r w:rsidRPr="00082FB0">
        <w:rPr>
          <w:rFonts w:ascii="Palatino Linotype" w:eastAsia="Palatino Linotype" w:hAnsi="Palatino Linotype" w:cs="Palatino Linotype"/>
          <w:b/>
          <w:i/>
          <w:sz w:val="22"/>
          <w:szCs w:val="22"/>
        </w:rPr>
        <w:t>XLV. Versión pública: Documento en el que se elimine, suprime o borra la información clasificada como reservada o confidencial para permitir su acceso.</w:t>
      </w:r>
    </w:p>
    <w:p w14:paraId="7BBC98CB" w14:textId="77777777" w:rsidR="007678B0" w:rsidRPr="00082FB0" w:rsidRDefault="00E315F0">
      <w:pPr>
        <w:spacing w:line="360" w:lineRule="auto"/>
        <w:ind w:left="851" w:right="-280"/>
        <w:jc w:val="both"/>
        <w:rPr>
          <w:rFonts w:ascii="Palatino Linotype" w:eastAsia="Palatino Linotype" w:hAnsi="Palatino Linotype" w:cs="Palatino Linotype"/>
          <w:i/>
          <w:sz w:val="22"/>
          <w:szCs w:val="22"/>
        </w:rPr>
      </w:pPr>
      <w:r w:rsidRPr="00082FB0">
        <w:rPr>
          <w:rFonts w:ascii="Palatino Linotype" w:eastAsia="Palatino Linotype" w:hAnsi="Palatino Linotype" w:cs="Palatino Linotype"/>
          <w:i/>
          <w:sz w:val="22"/>
          <w:szCs w:val="22"/>
        </w:rPr>
        <w:t>Artículo 122. La clasificación es el proceso mediante el cual el sujeto obligado determina que la información en su poder actualiza alguno de los supuestos de reserva o confidencialidad, de conformidad con lo dispuesto en el presente título.</w:t>
      </w:r>
    </w:p>
    <w:p w14:paraId="0D3EB0D7" w14:textId="77777777" w:rsidR="007678B0" w:rsidRPr="00082FB0" w:rsidRDefault="00E315F0">
      <w:pPr>
        <w:spacing w:line="360" w:lineRule="auto"/>
        <w:ind w:left="851" w:right="-280"/>
        <w:jc w:val="both"/>
        <w:rPr>
          <w:rFonts w:ascii="Palatino Linotype" w:eastAsia="Palatino Linotype" w:hAnsi="Palatino Linotype" w:cs="Palatino Linotype"/>
          <w:i/>
          <w:sz w:val="22"/>
          <w:szCs w:val="22"/>
        </w:rPr>
      </w:pPr>
      <w:r w:rsidRPr="00082FB0">
        <w:rPr>
          <w:rFonts w:ascii="Palatino Linotype" w:eastAsia="Palatino Linotype" w:hAnsi="Palatino Linotype" w:cs="Palatino Linotype"/>
          <w:i/>
          <w:sz w:val="22"/>
          <w:szCs w:val="22"/>
        </w:rPr>
        <w:t>[…]</w:t>
      </w:r>
    </w:p>
    <w:p w14:paraId="3912DCC8" w14:textId="77777777" w:rsidR="007678B0" w:rsidRPr="00082FB0" w:rsidRDefault="00E315F0">
      <w:pPr>
        <w:spacing w:line="360" w:lineRule="auto"/>
        <w:ind w:left="851" w:right="-280"/>
        <w:jc w:val="both"/>
        <w:rPr>
          <w:rFonts w:ascii="Palatino Linotype" w:eastAsia="Palatino Linotype" w:hAnsi="Palatino Linotype" w:cs="Palatino Linotype"/>
          <w:i/>
          <w:sz w:val="22"/>
          <w:szCs w:val="22"/>
        </w:rPr>
      </w:pPr>
      <w:r w:rsidRPr="00082FB0">
        <w:rPr>
          <w:rFonts w:ascii="Palatino Linotype" w:eastAsia="Palatino Linotype" w:hAnsi="Palatino Linotype" w:cs="Palatino Linotype"/>
          <w:i/>
          <w:sz w:val="22"/>
          <w:szCs w:val="22"/>
        </w:rPr>
        <w:t>Artículo 132. La clasificación de la información se llevará a cabo en el momento en que:</w:t>
      </w:r>
    </w:p>
    <w:p w14:paraId="23ACB2BC" w14:textId="77777777" w:rsidR="007678B0" w:rsidRPr="00082FB0" w:rsidRDefault="00E315F0">
      <w:pPr>
        <w:spacing w:line="360" w:lineRule="auto"/>
        <w:ind w:left="851" w:right="-280"/>
        <w:jc w:val="both"/>
        <w:rPr>
          <w:rFonts w:ascii="Palatino Linotype" w:eastAsia="Palatino Linotype" w:hAnsi="Palatino Linotype" w:cs="Palatino Linotype"/>
          <w:i/>
          <w:sz w:val="22"/>
          <w:szCs w:val="22"/>
        </w:rPr>
      </w:pPr>
      <w:r w:rsidRPr="00082FB0">
        <w:rPr>
          <w:rFonts w:ascii="Palatino Linotype" w:eastAsia="Palatino Linotype" w:hAnsi="Palatino Linotype" w:cs="Palatino Linotype"/>
          <w:i/>
          <w:sz w:val="22"/>
          <w:szCs w:val="22"/>
        </w:rPr>
        <w:lastRenderedPageBreak/>
        <w:t>[…]</w:t>
      </w:r>
    </w:p>
    <w:p w14:paraId="3351941D" w14:textId="77777777" w:rsidR="007678B0" w:rsidRPr="00082FB0" w:rsidRDefault="00E315F0">
      <w:pPr>
        <w:spacing w:line="360" w:lineRule="auto"/>
        <w:ind w:left="851" w:right="-280"/>
        <w:jc w:val="both"/>
        <w:rPr>
          <w:rFonts w:ascii="Palatino Linotype" w:eastAsia="Palatino Linotype" w:hAnsi="Palatino Linotype" w:cs="Palatino Linotype"/>
          <w:b/>
          <w:i/>
          <w:sz w:val="22"/>
          <w:szCs w:val="22"/>
        </w:rPr>
      </w:pPr>
      <w:r w:rsidRPr="00082FB0">
        <w:rPr>
          <w:rFonts w:ascii="Palatino Linotype" w:eastAsia="Palatino Linotype" w:hAnsi="Palatino Linotype" w:cs="Palatino Linotype"/>
          <w:b/>
          <w:i/>
          <w:sz w:val="22"/>
          <w:szCs w:val="22"/>
        </w:rPr>
        <w:t>III. Se generen versiones públicas para dar cumplimiento a las obligaciones de transparencia previstas en esta Ley.</w:t>
      </w:r>
    </w:p>
    <w:p w14:paraId="5BABF0C1" w14:textId="77777777" w:rsidR="007678B0" w:rsidRPr="00082FB0" w:rsidRDefault="00E315F0">
      <w:pPr>
        <w:spacing w:line="360" w:lineRule="auto"/>
        <w:ind w:left="851" w:right="-280"/>
        <w:jc w:val="both"/>
        <w:rPr>
          <w:rFonts w:ascii="Palatino Linotype" w:eastAsia="Palatino Linotype" w:hAnsi="Palatino Linotype" w:cs="Palatino Linotype"/>
          <w:b/>
          <w:i/>
          <w:sz w:val="22"/>
          <w:szCs w:val="22"/>
          <w:u w:val="single"/>
        </w:rPr>
      </w:pPr>
      <w:r w:rsidRPr="00082FB0">
        <w:rPr>
          <w:rFonts w:ascii="Palatino Linotype" w:eastAsia="Palatino Linotype" w:hAnsi="Palatino Linotype" w:cs="Palatino Linotype"/>
          <w:b/>
          <w:i/>
          <w:sz w:val="22"/>
          <w:szCs w:val="22"/>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082FB0">
        <w:rPr>
          <w:rFonts w:ascii="Palatino Linotype" w:eastAsia="Palatino Linotype" w:hAnsi="Palatino Linotype" w:cs="Palatino Linotype"/>
          <w:b/>
          <w:i/>
          <w:sz w:val="22"/>
          <w:szCs w:val="22"/>
          <w:u w:val="single"/>
        </w:rPr>
        <w:t>de manera genérica y fundando y motivando su clasificación.</w:t>
      </w:r>
    </w:p>
    <w:p w14:paraId="6E3FFC3E" w14:textId="77777777" w:rsidR="007678B0" w:rsidRPr="00082FB0" w:rsidRDefault="007678B0">
      <w:pPr>
        <w:spacing w:line="360" w:lineRule="auto"/>
        <w:ind w:right="-989"/>
        <w:jc w:val="both"/>
        <w:rPr>
          <w:rFonts w:ascii="Palatino Linotype" w:eastAsia="Palatino Linotype" w:hAnsi="Palatino Linotype" w:cs="Palatino Linotype"/>
        </w:rPr>
      </w:pPr>
    </w:p>
    <w:p w14:paraId="27BCD873"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b/>
        </w:rPr>
        <w:t xml:space="preserve">80. </w:t>
      </w:r>
      <w:r w:rsidRPr="00082FB0">
        <w:rPr>
          <w:rFonts w:ascii="Palatino Linotype" w:eastAsia="Palatino Linotype" w:hAnsi="Palatino Linotype" w:cs="Palatino Linotype"/>
          <w:color w:val="000000"/>
        </w:rPr>
        <w:t xml:space="preserve">De la interpretación sistemática de los artículos citados, se advierte que el Sujeto Obligado debe realizar la debida reserva de la información por seguir en trámite el procedimiento aludido, siguiendo los requisitos expuestos: </w:t>
      </w:r>
    </w:p>
    <w:p w14:paraId="12C88C6C" w14:textId="77777777" w:rsidR="007678B0" w:rsidRPr="00082FB0" w:rsidRDefault="00E315F0">
      <w:pPr>
        <w:numPr>
          <w:ilvl w:val="0"/>
          <w:numId w:val="3"/>
        </w:numPr>
        <w:pBdr>
          <w:top w:val="nil"/>
          <w:left w:val="nil"/>
          <w:bottom w:val="nil"/>
          <w:right w:val="nil"/>
          <w:between w:val="nil"/>
        </w:pBdr>
        <w:spacing w:line="360" w:lineRule="auto"/>
        <w:ind w:left="851" w:right="-280" w:firstLine="0"/>
        <w:jc w:val="both"/>
        <w:rPr>
          <w:rFonts w:ascii="Palatino Linotype" w:eastAsia="Palatino Linotype" w:hAnsi="Palatino Linotype" w:cs="Palatino Linotype"/>
          <w:b/>
          <w:i/>
          <w:color w:val="000000"/>
          <w:sz w:val="22"/>
          <w:szCs w:val="22"/>
        </w:rPr>
      </w:pPr>
      <w:r w:rsidRPr="00082FB0">
        <w:rPr>
          <w:rFonts w:ascii="Palatino Linotype" w:eastAsia="Palatino Linotype" w:hAnsi="Palatino Linotype" w:cs="Palatino Linotype"/>
          <w:b/>
          <w:i/>
          <w:color w:val="000000"/>
          <w:sz w:val="22"/>
          <w:szCs w:val="22"/>
        </w:rPr>
        <w:t>La divulgación de la información representa un riesgo real, demostrable e identificable del perjuicio significativo al interés público o a la seguridad pública;</w:t>
      </w:r>
    </w:p>
    <w:p w14:paraId="32BFBA24" w14:textId="77777777" w:rsidR="007678B0" w:rsidRPr="00082FB0" w:rsidRDefault="00E315F0">
      <w:pPr>
        <w:numPr>
          <w:ilvl w:val="0"/>
          <w:numId w:val="3"/>
        </w:numPr>
        <w:pBdr>
          <w:top w:val="nil"/>
          <w:left w:val="nil"/>
          <w:bottom w:val="nil"/>
          <w:right w:val="nil"/>
          <w:between w:val="nil"/>
        </w:pBdr>
        <w:tabs>
          <w:tab w:val="left" w:pos="709"/>
        </w:tabs>
        <w:spacing w:line="360" w:lineRule="auto"/>
        <w:ind w:left="851" w:right="-280" w:firstLine="0"/>
        <w:jc w:val="both"/>
        <w:rPr>
          <w:rFonts w:ascii="Palatino Linotype" w:eastAsia="Palatino Linotype" w:hAnsi="Palatino Linotype" w:cs="Palatino Linotype"/>
          <w:b/>
          <w:i/>
          <w:color w:val="000000"/>
          <w:sz w:val="22"/>
          <w:szCs w:val="22"/>
        </w:rPr>
      </w:pPr>
      <w:r w:rsidRPr="00082FB0">
        <w:rPr>
          <w:rFonts w:ascii="Palatino Linotype" w:eastAsia="Palatino Linotype" w:hAnsi="Palatino Linotype" w:cs="Palatino Linotype"/>
          <w:b/>
          <w:i/>
          <w:color w:val="000000"/>
          <w:sz w:val="22"/>
          <w:szCs w:val="22"/>
        </w:rPr>
        <w:t>El riesgo de perjuicio que supondría la divulgación supera el interés público general de que se difunda; y</w:t>
      </w:r>
    </w:p>
    <w:p w14:paraId="0054C5AF" w14:textId="77777777" w:rsidR="007678B0" w:rsidRPr="00082FB0" w:rsidRDefault="00E315F0">
      <w:pPr>
        <w:numPr>
          <w:ilvl w:val="0"/>
          <w:numId w:val="3"/>
        </w:numPr>
        <w:pBdr>
          <w:top w:val="nil"/>
          <w:left w:val="nil"/>
          <w:bottom w:val="nil"/>
          <w:right w:val="nil"/>
          <w:between w:val="nil"/>
        </w:pBdr>
        <w:tabs>
          <w:tab w:val="left" w:pos="709"/>
        </w:tabs>
        <w:spacing w:line="360" w:lineRule="auto"/>
        <w:ind w:left="851" w:right="-280" w:firstLine="0"/>
        <w:jc w:val="both"/>
        <w:rPr>
          <w:rFonts w:ascii="Palatino Linotype" w:eastAsia="Palatino Linotype" w:hAnsi="Palatino Linotype" w:cs="Palatino Linotype"/>
          <w:b/>
          <w:i/>
          <w:color w:val="000000"/>
          <w:sz w:val="22"/>
          <w:szCs w:val="22"/>
        </w:rPr>
      </w:pPr>
      <w:r w:rsidRPr="00082FB0">
        <w:rPr>
          <w:rFonts w:ascii="Palatino Linotype" w:eastAsia="Palatino Linotype" w:hAnsi="Palatino Linotype" w:cs="Palatino Linotype"/>
          <w:b/>
          <w:i/>
          <w:color w:val="000000"/>
          <w:sz w:val="22"/>
          <w:szCs w:val="22"/>
        </w:rPr>
        <w:t>La limitación se adecua al principio de proporcionalidad y representa el medio menos restrictivo disponible representa el medio menos restrictivo disponible para evitar el perjuicio.</w:t>
      </w:r>
    </w:p>
    <w:p w14:paraId="4F306C71" w14:textId="77777777" w:rsidR="007678B0" w:rsidRPr="00082FB0" w:rsidRDefault="007678B0">
      <w:pPr>
        <w:spacing w:line="360" w:lineRule="auto"/>
        <w:ind w:right="-989"/>
        <w:jc w:val="both"/>
        <w:rPr>
          <w:rFonts w:ascii="Palatino Linotype" w:eastAsia="Palatino Linotype" w:hAnsi="Palatino Linotype" w:cs="Palatino Linotype"/>
        </w:rPr>
      </w:pPr>
    </w:p>
    <w:p w14:paraId="0FBD08CA"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b/>
        </w:rPr>
        <w:t xml:space="preserve">81. </w:t>
      </w:r>
      <w:r w:rsidRPr="00082FB0">
        <w:rPr>
          <w:rFonts w:ascii="Palatino Linotype" w:eastAsia="Palatino Linotype" w:hAnsi="Palatino Linotype" w:cs="Palatino Linotype"/>
          <w:color w:val="000000"/>
        </w:rPr>
        <w:t xml:space="preserve">Requisitos que deben estar acompañados de la debida fundamentación y motivación, </w:t>
      </w:r>
      <w:r w:rsidRPr="00082FB0">
        <w:rPr>
          <w:rFonts w:ascii="Palatino Linotype" w:eastAsia="Palatino Linotype" w:hAnsi="Palatino Linotype" w:cs="Palatino Linotype"/>
        </w:rPr>
        <w:t>cobrando</w:t>
      </w:r>
      <w:r w:rsidRPr="00082FB0">
        <w:rPr>
          <w:rFonts w:ascii="Palatino Linotype" w:eastAsia="Palatino Linotype" w:hAnsi="Palatino Linotype" w:cs="Palatino Linotype"/>
          <w:color w:val="000000"/>
        </w:rPr>
        <w:t xml:space="preserve"> aplicación lo que señala la jurisprudencia de la novena época visible en el Semanario Judicial de la Federación y su Gaceta. Instancia: Tribunales Colegiados de Circuito. Tesis I.4o.A.J/43 (9a.) bajo el número de registro 175082 cuyo rubro y texto esgrime;</w:t>
      </w:r>
    </w:p>
    <w:p w14:paraId="6206F829" w14:textId="77777777" w:rsidR="007678B0" w:rsidRPr="00082FB0" w:rsidRDefault="00E315F0">
      <w:pPr>
        <w:spacing w:line="360" w:lineRule="auto"/>
        <w:ind w:left="851" w:right="-280"/>
        <w:jc w:val="both"/>
        <w:rPr>
          <w:rFonts w:ascii="Palatino Linotype" w:eastAsia="Palatino Linotype" w:hAnsi="Palatino Linotype" w:cs="Palatino Linotype"/>
          <w:b/>
          <w:i/>
          <w:color w:val="000000"/>
          <w:sz w:val="22"/>
          <w:szCs w:val="22"/>
        </w:rPr>
      </w:pPr>
      <w:r w:rsidRPr="00082FB0">
        <w:rPr>
          <w:rFonts w:ascii="Palatino Linotype" w:eastAsia="Palatino Linotype" w:hAnsi="Palatino Linotype" w:cs="Palatino Linotype"/>
          <w:b/>
          <w:i/>
          <w:color w:val="000000"/>
          <w:sz w:val="22"/>
          <w:szCs w:val="22"/>
        </w:rPr>
        <w:lastRenderedPageBreak/>
        <w:t>FUNDAMENTACIÓN Y MOTIVACIÓN. EL ASPECTO FORMAL DE LA GARANTÍA Y SU FINALIDAD SE TRADUCEN EN EXPLICAR, JUSTIFICAR, POSIBILITAR LA DEFENSA Y COMUNICAR LA DECISIÓN.</w:t>
      </w:r>
    </w:p>
    <w:p w14:paraId="406B2160" w14:textId="77777777" w:rsidR="007678B0" w:rsidRPr="00082FB0" w:rsidRDefault="00E315F0">
      <w:pPr>
        <w:spacing w:line="360" w:lineRule="auto"/>
        <w:ind w:left="851" w:right="-280"/>
        <w:jc w:val="both"/>
        <w:rPr>
          <w:rFonts w:ascii="Palatino Linotype" w:eastAsia="Palatino Linotype" w:hAnsi="Palatino Linotype" w:cs="Palatino Linotype"/>
          <w:i/>
          <w:color w:val="000000"/>
          <w:sz w:val="22"/>
          <w:szCs w:val="22"/>
        </w:rPr>
      </w:pPr>
      <w:r w:rsidRPr="00082FB0">
        <w:rPr>
          <w:rFonts w:ascii="Palatino Linotype" w:eastAsia="Palatino Linotype" w:hAnsi="Palatino Linotype" w:cs="Palatino Linotype"/>
          <w:i/>
          <w:color w:val="000000"/>
          <w:sz w:val="22"/>
          <w:szCs w:val="22"/>
        </w:rPr>
        <w:br/>
        <w:t>El contenido formal de la garantía de legalidad prevista en el artículo </w:t>
      </w:r>
      <w:hyperlink r:id="rId11">
        <w:r w:rsidRPr="00082FB0">
          <w:rPr>
            <w:rFonts w:ascii="Palatino Linotype" w:eastAsia="Palatino Linotype" w:hAnsi="Palatino Linotype" w:cs="Palatino Linotype"/>
            <w:i/>
            <w:sz w:val="22"/>
            <w:szCs w:val="22"/>
          </w:rPr>
          <w:t>16 constitucional</w:t>
        </w:r>
      </w:hyperlink>
      <w:r w:rsidRPr="00082FB0">
        <w:rPr>
          <w:rFonts w:ascii="Palatino Linotype" w:eastAsia="Palatino Linotype" w:hAnsi="Palatino Linotype" w:cs="Palatino Linotype"/>
          <w:i/>
          <w:color w:val="000000"/>
          <w:sz w:val="22"/>
          <w:szCs w:val="22"/>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8EC299A" w14:textId="77777777" w:rsidR="007678B0" w:rsidRPr="00082FB0" w:rsidRDefault="007678B0">
      <w:pPr>
        <w:spacing w:line="360" w:lineRule="auto"/>
        <w:ind w:left="851" w:right="-280"/>
        <w:jc w:val="both"/>
        <w:rPr>
          <w:rFonts w:ascii="Palatino Linotype" w:eastAsia="Palatino Linotype" w:hAnsi="Palatino Linotype" w:cs="Palatino Linotype"/>
          <w:i/>
          <w:sz w:val="22"/>
          <w:szCs w:val="22"/>
        </w:rPr>
      </w:pPr>
    </w:p>
    <w:p w14:paraId="4704EEF5"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b/>
        </w:rPr>
        <w:t>82.</w:t>
      </w:r>
      <w:r w:rsidRPr="00082FB0">
        <w:rPr>
          <w:rFonts w:ascii="Palatino Linotype" w:eastAsia="Palatino Linotype" w:hAnsi="Palatino Linotype" w:cs="Palatino Linotype"/>
        </w:rPr>
        <w:t xml:space="preserve"> </w:t>
      </w:r>
      <w:r w:rsidRPr="00082FB0">
        <w:rPr>
          <w:rFonts w:ascii="Palatino Linotype" w:eastAsia="Palatino Linotype" w:hAnsi="Palatino Linotype" w:cs="Palatino Linotype"/>
          <w:color w:val="000000"/>
        </w:rPr>
        <w:t xml:space="preserve">Asimismo 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w:t>
      </w:r>
      <w:r w:rsidRPr="00082FB0">
        <w:rPr>
          <w:rFonts w:ascii="Palatino Linotype" w:eastAsia="Palatino Linotype" w:hAnsi="Palatino Linotype" w:cs="Palatino Linotype"/>
          <w:color w:val="000000"/>
        </w:rPr>
        <w:lastRenderedPageBreak/>
        <w:t xml:space="preserve">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14:paraId="23500A11" w14:textId="77777777" w:rsidR="007678B0" w:rsidRPr="00082FB0" w:rsidRDefault="007678B0">
      <w:pPr>
        <w:spacing w:line="360" w:lineRule="auto"/>
        <w:ind w:right="-989"/>
        <w:jc w:val="both"/>
        <w:rPr>
          <w:rFonts w:ascii="Palatino Linotype" w:eastAsia="Palatino Linotype" w:hAnsi="Palatino Linotype" w:cs="Palatino Linotype"/>
          <w:b/>
        </w:rPr>
      </w:pPr>
    </w:p>
    <w:p w14:paraId="509EF894"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b/>
        </w:rPr>
        <w:t xml:space="preserve">83. </w:t>
      </w:r>
      <w:r w:rsidRPr="00082FB0">
        <w:rPr>
          <w:rFonts w:ascii="Palatino Linotype" w:eastAsia="Palatino Linotype" w:hAnsi="Palatino Linotype" w:cs="Palatino Linotype"/>
          <w:color w:val="000000"/>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DB32DC3" w14:textId="77777777" w:rsidR="007678B0" w:rsidRPr="00082FB0" w:rsidRDefault="007678B0">
      <w:pPr>
        <w:spacing w:line="360" w:lineRule="auto"/>
        <w:ind w:right="-989"/>
        <w:jc w:val="both"/>
        <w:rPr>
          <w:rFonts w:ascii="Palatino Linotype" w:eastAsia="Palatino Linotype" w:hAnsi="Palatino Linotype" w:cs="Palatino Linotype"/>
        </w:rPr>
      </w:pPr>
    </w:p>
    <w:p w14:paraId="5DEF9689"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b/>
        </w:rPr>
        <w:t>84.</w:t>
      </w:r>
      <w:r w:rsidRPr="00082FB0">
        <w:rPr>
          <w:rFonts w:ascii="Palatino Linotype" w:eastAsia="Palatino Linotype" w:hAnsi="Palatino Linotype" w:cs="Palatino Linotype"/>
        </w:rPr>
        <w:t xml:space="preserve"> </w:t>
      </w:r>
      <w:r w:rsidRPr="00082FB0">
        <w:rPr>
          <w:rFonts w:ascii="Palatino Linotype" w:eastAsia="Palatino Linotype" w:hAnsi="Palatino Linotype" w:cs="Palatino Linotype"/>
          <w:color w:val="000000"/>
        </w:rPr>
        <w:t xml:space="preserve">Así, los LINEAMIENTOS GENERALES EN MATERIA DE CLASIFICACIÓN Y DESCLASIFICACIÓN DE LA INFORMACIÓN, ASÍ COMO PARA LA ELABORACIÓN DE VERSIONES PÚBLICAS, emitidos por el Sistema Nacional de Transparencia, señalan con claridad cuáles son aquellos datos personales que deben ser clasificados al momento de la elaboración de las versiones públicas. </w:t>
      </w:r>
    </w:p>
    <w:p w14:paraId="4B6EF9FC" w14:textId="77777777" w:rsidR="007678B0" w:rsidRPr="00082FB0" w:rsidRDefault="007678B0">
      <w:pPr>
        <w:spacing w:line="360" w:lineRule="auto"/>
        <w:ind w:right="-989"/>
        <w:jc w:val="both"/>
        <w:rPr>
          <w:rFonts w:ascii="Palatino Linotype" w:eastAsia="Palatino Linotype" w:hAnsi="Palatino Linotype" w:cs="Palatino Linotype"/>
        </w:rPr>
      </w:pPr>
    </w:p>
    <w:p w14:paraId="7B7907D1"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b/>
        </w:rPr>
        <w:t xml:space="preserve">85. </w:t>
      </w:r>
      <w:r w:rsidRPr="00082FB0">
        <w:rPr>
          <w:rFonts w:ascii="Palatino Linotype" w:eastAsia="Palatino Linotype" w:hAnsi="Palatino Linotype" w:cs="Palatino Linotype"/>
          <w:color w:val="000000"/>
        </w:rPr>
        <w:t xml:space="preserve">Efectivamente, cuando se clasifica información como confidencial o reservada es deber someterlo al Comité de Información,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w:t>
      </w:r>
      <w:r w:rsidRPr="00082FB0">
        <w:rPr>
          <w:rFonts w:ascii="Palatino Linotype" w:eastAsia="Palatino Linotype" w:hAnsi="Palatino Linotype" w:cs="Palatino Linotype"/>
          <w:color w:val="000000"/>
        </w:rPr>
        <w:lastRenderedPageBreak/>
        <w:t>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D2DE3DF" w14:textId="77777777" w:rsidR="007678B0" w:rsidRPr="00082FB0" w:rsidRDefault="007678B0">
      <w:pPr>
        <w:spacing w:line="360" w:lineRule="auto"/>
        <w:ind w:right="-989"/>
        <w:jc w:val="both"/>
        <w:rPr>
          <w:rFonts w:ascii="Palatino Linotype" w:eastAsia="Palatino Linotype" w:hAnsi="Palatino Linotype" w:cs="Palatino Linotype"/>
        </w:rPr>
      </w:pPr>
    </w:p>
    <w:p w14:paraId="148BC119"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b/>
        </w:rPr>
        <w:t xml:space="preserve">86. </w:t>
      </w:r>
      <w:r w:rsidRPr="00082FB0">
        <w:rPr>
          <w:rFonts w:ascii="Palatino Linotype" w:eastAsia="Palatino Linotype" w:hAnsi="Palatino Linotype" w:cs="Palatino Linotype"/>
          <w:color w:val="000000"/>
        </w:rPr>
        <w:t xml:space="preserve">No pasa desapercibido para este Órgano Garante que los </w:t>
      </w:r>
      <w:r w:rsidRPr="00082FB0">
        <w:rPr>
          <w:rFonts w:ascii="Palatino Linotype" w:eastAsia="Palatino Linotype" w:hAnsi="Palatino Linotype" w:cs="Palatino Linotype"/>
          <w:b/>
          <w:color w:val="000000"/>
        </w:rPr>
        <w:t xml:space="preserve">Sujetos Obligados </w:t>
      </w:r>
      <w:r w:rsidRPr="00082FB0">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07BA2E3" w14:textId="77777777" w:rsidR="007678B0" w:rsidRPr="00082FB0" w:rsidRDefault="007678B0">
      <w:pPr>
        <w:spacing w:line="360" w:lineRule="auto"/>
        <w:ind w:right="-989"/>
        <w:jc w:val="both"/>
        <w:rPr>
          <w:rFonts w:ascii="Palatino Linotype" w:eastAsia="Palatino Linotype" w:hAnsi="Palatino Linotype" w:cs="Palatino Linotype"/>
          <w:color w:val="000000"/>
        </w:rPr>
      </w:pPr>
    </w:p>
    <w:tbl>
      <w:tblPr>
        <w:tblStyle w:val="a"/>
        <w:tblW w:w="964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10"/>
        <w:gridCol w:w="7635"/>
      </w:tblGrid>
      <w:tr w:rsidR="007678B0" w:rsidRPr="00082FB0" w14:paraId="00BCE511" w14:textId="77777777" w:rsidTr="00767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3224D142" w14:textId="77777777" w:rsidR="007678B0" w:rsidRPr="00082FB0" w:rsidRDefault="00E315F0">
            <w:pPr>
              <w:spacing w:line="360" w:lineRule="auto"/>
              <w:ind w:right="-42"/>
              <w:rPr>
                <w:rFonts w:ascii="Palatino Linotype" w:eastAsia="Palatino Linotype" w:hAnsi="Palatino Linotype" w:cs="Palatino Linotype"/>
                <w:sz w:val="22"/>
                <w:szCs w:val="22"/>
              </w:rPr>
            </w:pPr>
            <w:r w:rsidRPr="00082FB0">
              <w:rPr>
                <w:rFonts w:ascii="Palatino Linotype" w:eastAsia="Palatino Linotype" w:hAnsi="Palatino Linotype" w:cs="Palatino Linotype"/>
                <w:sz w:val="22"/>
                <w:szCs w:val="22"/>
              </w:rPr>
              <w:t>a) Requisitos previos.</w:t>
            </w:r>
          </w:p>
        </w:tc>
        <w:tc>
          <w:tcPr>
            <w:tcW w:w="7635" w:type="dxa"/>
          </w:tcPr>
          <w:p w14:paraId="497C8EF1" w14:textId="77777777" w:rsidR="007678B0" w:rsidRPr="00082FB0" w:rsidRDefault="00E315F0">
            <w:pPr>
              <w:spacing w:line="360" w:lineRule="auto"/>
              <w:ind w:right="-42"/>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b w:val="0"/>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A8495B5" w14:textId="77777777" w:rsidR="007678B0" w:rsidRPr="00082FB0" w:rsidRDefault="00E315F0">
            <w:pPr>
              <w:spacing w:line="360" w:lineRule="auto"/>
              <w:ind w:right="-42"/>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b w:val="0"/>
                <w:color w:val="000000"/>
                <w:sz w:val="22"/>
                <w:szCs w:val="22"/>
              </w:rPr>
              <w:t>Al hacerlo tienen que precisar de qué información se trata, señalando el supuesto de clasificación (confidencialidad o reserva).</w:t>
            </w:r>
          </w:p>
          <w:p w14:paraId="5B7018A5" w14:textId="77777777" w:rsidR="007678B0" w:rsidRPr="00082FB0" w:rsidRDefault="00E315F0">
            <w:pPr>
              <w:spacing w:line="360" w:lineRule="auto"/>
              <w:ind w:right="-42"/>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b w:val="0"/>
                <w:color w:val="000000"/>
                <w:sz w:val="22"/>
                <w:szCs w:val="22"/>
              </w:rPr>
              <w:t>Además, se debe señalar el procedimiento, de los tres que establecen los artículos 132 y 106 de la Ley Estatal y General, respectivamente.</w:t>
            </w:r>
          </w:p>
          <w:p w14:paraId="766E4E40" w14:textId="77777777" w:rsidR="007678B0" w:rsidRPr="00082FB0" w:rsidRDefault="00E315F0">
            <w:pPr>
              <w:spacing w:line="360" w:lineRule="auto"/>
              <w:ind w:right="-42"/>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sidRPr="00082FB0">
              <w:rPr>
                <w:rFonts w:ascii="Palatino Linotype" w:eastAsia="Palatino Linotype" w:hAnsi="Palatino Linotype" w:cs="Palatino Linotype"/>
                <w:b w:val="0"/>
                <w:color w:val="000000"/>
                <w:sz w:val="22"/>
                <w:szCs w:val="22"/>
              </w:rPr>
              <w:t xml:space="preserve">El último de estos requisitos previos consiste en que no se pueden emitir acuerdos de carácter general ni particular, esto es, </w:t>
            </w:r>
            <w:r w:rsidRPr="00082FB0">
              <w:rPr>
                <w:rFonts w:ascii="Palatino Linotype" w:eastAsia="Palatino Linotype" w:hAnsi="Palatino Linotype" w:cs="Palatino Linotype"/>
                <w:b w:val="0"/>
                <w:color w:val="000000"/>
                <w:sz w:val="22"/>
                <w:szCs w:val="22"/>
                <w:u w:val="single"/>
              </w:rPr>
              <w:t xml:space="preserve">no se puede hacer un </w:t>
            </w:r>
            <w:r w:rsidRPr="00082FB0">
              <w:rPr>
                <w:rFonts w:ascii="Palatino Linotype" w:eastAsia="Palatino Linotype" w:hAnsi="Palatino Linotype" w:cs="Palatino Linotype"/>
                <w:b w:val="0"/>
                <w:color w:val="000000"/>
                <w:sz w:val="22"/>
                <w:szCs w:val="22"/>
                <w:u w:val="single"/>
              </w:rPr>
              <w:lastRenderedPageBreak/>
              <w:t>acuerdo para clasificar de manera general todos los documentos de un expediente o área, sin</w:t>
            </w:r>
            <w:r w:rsidRPr="00082FB0">
              <w:rPr>
                <w:rFonts w:ascii="Palatino Linotype" w:eastAsia="Palatino Linotype" w:hAnsi="Palatino Linotype" w:cs="Palatino Linotype"/>
                <w:b w:val="0"/>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7678B0" w:rsidRPr="00082FB0" w14:paraId="6575D483" w14:textId="77777777" w:rsidTr="00767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69AC5B5F" w14:textId="77777777" w:rsidR="007678B0" w:rsidRPr="00082FB0" w:rsidRDefault="00E315F0">
            <w:pPr>
              <w:spacing w:line="360" w:lineRule="auto"/>
              <w:ind w:right="-42"/>
              <w:rPr>
                <w:rFonts w:ascii="Palatino Linotype" w:eastAsia="Palatino Linotype" w:hAnsi="Palatino Linotype" w:cs="Palatino Linotype"/>
                <w:sz w:val="22"/>
                <w:szCs w:val="22"/>
              </w:rPr>
            </w:pPr>
            <w:r w:rsidRPr="00082FB0">
              <w:rPr>
                <w:rFonts w:ascii="Palatino Linotype" w:eastAsia="Palatino Linotype" w:hAnsi="Palatino Linotype" w:cs="Palatino Linotype"/>
                <w:sz w:val="22"/>
                <w:szCs w:val="22"/>
              </w:rPr>
              <w:lastRenderedPageBreak/>
              <w:t>b) Supuestos de clasificación.</w:t>
            </w:r>
          </w:p>
        </w:tc>
        <w:tc>
          <w:tcPr>
            <w:tcW w:w="7635" w:type="dxa"/>
          </w:tcPr>
          <w:p w14:paraId="143A2D13" w14:textId="77777777" w:rsidR="007678B0" w:rsidRPr="00082FB0" w:rsidRDefault="00E315F0">
            <w:pPr>
              <w:spacing w:line="360" w:lineRule="auto"/>
              <w:ind w:right="-42"/>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14:paraId="16DFDD83" w14:textId="77777777" w:rsidR="007678B0" w:rsidRPr="00082FB0" w:rsidRDefault="00E315F0">
            <w:pPr>
              <w:spacing w:line="360" w:lineRule="auto"/>
              <w:ind w:right="-42"/>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541B97E" w14:textId="77777777" w:rsidR="007678B0" w:rsidRPr="00082FB0" w:rsidRDefault="00E315F0">
            <w:pPr>
              <w:spacing w:line="360" w:lineRule="auto"/>
              <w:ind w:right="-42"/>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r w:rsidRPr="00082FB0">
              <w:rPr>
                <w:rFonts w:ascii="Palatino Linotype" w:eastAsia="Palatino Linotype" w:hAnsi="Palatino Linotype" w:cs="Palatino Linotype"/>
                <w:color w:val="000000"/>
                <w:sz w:val="22"/>
                <w:szCs w:val="22"/>
              </w:rPr>
              <w:t xml:space="preserve">El </w:t>
            </w:r>
            <w:r w:rsidRPr="00082FB0">
              <w:rPr>
                <w:rFonts w:ascii="Palatino Linotype" w:eastAsia="Palatino Linotype" w:hAnsi="Palatino Linotype" w:cs="Palatino Linotype"/>
                <w:b/>
                <w:color w:val="000000"/>
                <w:sz w:val="22"/>
                <w:szCs w:val="22"/>
              </w:rPr>
              <w:t>Sujeto Obligado</w:t>
            </w:r>
            <w:r w:rsidRPr="00082FB0">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678B0" w:rsidRPr="00082FB0" w14:paraId="1EB5D438" w14:textId="77777777" w:rsidTr="007678B0">
        <w:tc>
          <w:tcPr>
            <w:cnfStyle w:val="001000000000" w:firstRow="0" w:lastRow="0" w:firstColumn="1" w:lastColumn="0" w:oddVBand="0" w:evenVBand="0" w:oddHBand="0" w:evenHBand="0" w:firstRowFirstColumn="0" w:firstRowLastColumn="0" w:lastRowFirstColumn="0" w:lastRowLastColumn="0"/>
            <w:tcW w:w="2010" w:type="dxa"/>
          </w:tcPr>
          <w:p w14:paraId="74669934" w14:textId="77777777" w:rsidR="007678B0" w:rsidRPr="00082FB0" w:rsidRDefault="00E315F0">
            <w:pPr>
              <w:spacing w:line="360" w:lineRule="auto"/>
              <w:ind w:right="-42"/>
              <w:rPr>
                <w:rFonts w:ascii="Palatino Linotype" w:eastAsia="Palatino Linotype" w:hAnsi="Palatino Linotype" w:cs="Palatino Linotype"/>
                <w:sz w:val="22"/>
                <w:szCs w:val="22"/>
              </w:rPr>
            </w:pPr>
            <w:r w:rsidRPr="00082FB0">
              <w:rPr>
                <w:rFonts w:ascii="Palatino Linotype" w:eastAsia="Palatino Linotype" w:hAnsi="Palatino Linotype" w:cs="Palatino Linotype"/>
                <w:sz w:val="22"/>
                <w:szCs w:val="22"/>
              </w:rPr>
              <w:t>c) Formalidades para emitir el acuerdo de clasificación.</w:t>
            </w:r>
          </w:p>
        </w:tc>
        <w:tc>
          <w:tcPr>
            <w:tcW w:w="7635" w:type="dxa"/>
          </w:tcPr>
          <w:p w14:paraId="1F104426" w14:textId="77777777" w:rsidR="007678B0" w:rsidRPr="00082FB0" w:rsidRDefault="00E315F0">
            <w:pPr>
              <w:spacing w:line="360" w:lineRule="auto"/>
              <w:ind w:right="-42"/>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14:paraId="4E131AC7" w14:textId="77777777" w:rsidR="007678B0" w:rsidRPr="00082FB0" w:rsidRDefault="00E315F0">
            <w:pPr>
              <w:spacing w:line="360" w:lineRule="auto"/>
              <w:ind w:right="-42"/>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 xml:space="preserve">Es necesario que </w:t>
            </w:r>
            <w:r w:rsidRPr="00082FB0">
              <w:rPr>
                <w:rFonts w:ascii="Palatino Linotype" w:eastAsia="Palatino Linotype" w:hAnsi="Palatino Linotype" w:cs="Palatino Linotype"/>
                <w:b/>
                <w:color w:val="000000"/>
                <w:sz w:val="22"/>
                <w:szCs w:val="22"/>
                <w:u w:val="single"/>
              </w:rPr>
              <w:t>el acto reúna con los requisitos elementales</w:t>
            </w:r>
            <w:r w:rsidRPr="00082FB0">
              <w:rPr>
                <w:rFonts w:ascii="Palatino Linotype" w:eastAsia="Palatino Linotype" w:hAnsi="Palatino Linotype" w:cs="Palatino Linotype"/>
                <w:color w:val="000000"/>
                <w:sz w:val="22"/>
                <w:szCs w:val="22"/>
              </w:rPr>
              <w:t>, entre ellos, que la autoridad que va a emitir el acto de autoridad sea la legalmente facultada para ello.</w:t>
            </w:r>
          </w:p>
          <w:p w14:paraId="4DF72E3E" w14:textId="77777777" w:rsidR="007678B0" w:rsidRPr="00082FB0" w:rsidRDefault="00E315F0">
            <w:pPr>
              <w:spacing w:line="360" w:lineRule="auto"/>
              <w:ind w:right="-42"/>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sidRPr="00082FB0">
              <w:rPr>
                <w:rFonts w:ascii="Palatino Linotype" w:eastAsia="Palatino Linotype" w:hAnsi="Palatino Linotype" w:cs="Palatino Linotype"/>
                <w:color w:val="000000"/>
                <w:sz w:val="22"/>
                <w:szCs w:val="22"/>
              </w:rPr>
              <w:lastRenderedPageBreak/>
              <w:t xml:space="preserve">La decisión de aprobar, modificar o revocar la clasificación deberá de asentarse en un documento que registre la determinación a la que se llegue después de un análisis minucioso a partir de lo propuesto por el Titular del I. </w:t>
            </w:r>
            <w:r w:rsidRPr="00082FB0">
              <w:rPr>
                <w:rFonts w:ascii="Palatino Linotype" w:eastAsia="Palatino Linotype" w:hAnsi="Palatino Linotype" w:cs="Palatino Linotype"/>
                <w:sz w:val="22"/>
                <w:szCs w:val="22"/>
              </w:rPr>
              <w:t>El área</w:t>
            </w:r>
            <w:r w:rsidRPr="00082FB0">
              <w:rPr>
                <w:rFonts w:ascii="Palatino Linotype" w:eastAsia="Palatino Linotype" w:hAnsi="Palatino Linotype" w:cs="Palatino Linotype"/>
                <w:color w:val="000000"/>
                <w:sz w:val="22"/>
                <w:szCs w:val="22"/>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678B0" w:rsidRPr="00082FB0" w14:paraId="0E3AF57E" w14:textId="77777777" w:rsidTr="00767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0" w:type="dxa"/>
          </w:tcPr>
          <w:p w14:paraId="409B3E10" w14:textId="77777777" w:rsidR="007678B0" w:rsidRPr="00082FB0" w:rsidRDefault="007678B0">
            <w:pPr>
              <w:spacing w:line="360" w:lineRule="auto"/>
              <w:ind w:right="-42"/>
              <w:rPr>
                <w:rFonts w:ascii="Palatino Linotype" w:eastAsia="Palatino Linotype" w:hAnsi="Palatino Linotype" w:cs="Palatino Linotype"/>
                <w:sz w:val="22"/>
                <w:szCs w:val="22"/>
              </w:rPr>
            </w:pPr>
          </w:p>
          <w:p w14:paraId="1EA8BDDD" w14:textId="77777777" w:rsidR="007678B0" w:rsidRPr="00082FB0" w:rsidRDefault="00E315F0">
            <w:pPr>
              <w:spacing w:line="360" w:lineRule="auto"/>
              <w:ind w:right="-42"/>
              <w:jc w:val="both"/>
              <w:rPr>
                <w:rFonts w:ascii="Palatino Linotype" w:eastAsia="Palatino Linotype" w:hAnsi="Palatino Linotype" w:cs="Palatino Linotype"/>
                <w:sz w:val="22"/>
                <w:szCs w:val="22"/>
              </w:rPr>
            </w:pPr>
            <w:r w:rsidRPr="00082FB0">
              <w:rPr>
                <w:rFonts w:ascii="Palatino Linotype" w:eastAsia="Palatino Linotype" w:hAnsi="Palatino Linotype" w:cs="Palatino Linotype"/>
                <w:color w:val="000000"/>
                <w:sz w:val="22"/>
                <w:szCs w:val="22"/>
              </w:rPr>
              <w:t xml:space="preserve">d) Requisitos de fondo del acuerdo de clasificación. </w:t>
            </w:r>
          </w:p>
        </w:tc>
        <w:tc>
          <w:tcPr>
            <w:tcW w:w="7635" w:type="dxa"/>
          </w:tcPr>
          <w:p w14:paraId="4A8876CA" w14:textId="77777777" w:rsidR="007678B0" w:rsidRPr="00082FB0" w:rsidRDefault="00E315F0">
            <w:pPr>
              <w:spacing w:line="360" w:lineRule="auto"/>
              <w:ind w:right="-42"/>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82FB0">
              <w:rPr>
                <w:rFonts w:ascii="Palatino Linotype" w:eastAsia="Palatino Linotype" w:hAnsi="Palatino Linotype" w:cs="Palatino Linotype"/>
                <w:b/>
                <w:color w:val="000000"/>
                <w:sz w:val="22"/>
                <w:szCs w:val="22"/>
              </w:rPr>
              <w:t>Sujetos Obligados</w:t>
            </w:r>
            <w:r w:rsidRPr="00082FB0">
              <w:rPr>
                <w:rFonts w:ascii="Palatino Linotype" w:eastAsia="Palatino Linotype" w:hAnsi="Palatino Linotype" w:cs="Palatino Linotype"/>
                <w:color w:val="000000"/>
                <w:sz w:val="22"/>
                <w:szCs w:val="22"/>
              </w:rPr>
              <w:t xml:space="preserve">, por lo que deberán fundar y motivar debidamente la clasificación. </w:t>
            </w:r>
          </w:p>
          <w:p w14:paraId="7042035D" w14:textId="77777777" w:rsidR="007678B0" w:rsidRPr="00082FB0" w:rsidRDefault="00E315F0">
            <w:pPr>
              <w:spacing w:line="360" w:lineRule="auto"/>
              <w:ind w:right="-42"/>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 xml:space="preserve">De lo anterior, se desprende que para una correcta </w:t>
            </w:r>
            <w:r w:rsidRPr="00082FB0">
              <w:rPr>
                <w:rFonts w:ascii="Palatino Linotype" w:eastAsia="Palatino Linotype" w:hAnsi="Palatino Linotype" w:cs="Palatino Linotype"/>
                <w:b/>
                <w:color w:val="000000"/>
                <w:sz w:val="22"/>
                <w:szCs w:val="22"/>
              </w:rPr>
              <w:t>clasificación total o parcial</w:t>
            </w:r>
            <w:r w:rsidRPr="00082FB0">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F87FAC7" w14:textId="77777777" w:rsidR="007678B0" w:rsidRPr="00082FB0" w:rsidRDefault="00E315F0">
            <w:pPr>
              <w:spacing w:line="360" w:lineRule="auto"/>
              <w:ind w:right="-42"/>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w:t>
            </w:r>
            <w:r w:rsidRPr="00082FB0">
              <w:rPr>
                <w:rFonts w:ascii="Palatino Linotype" w:eastAsia="Palatino Linotype" w:hAnsi="Palatino Linotype" w:cs="Palatino Linotype"/>
                <w:color w:val="000000"/>
                <w:sz w:val="22"/>
                <w:szCs w:val="22"/>
              </w:rPr>
              <w:lastRenderedPageBreak/>
              <w:t>modo, la persona que se sienta afectada pueda impugnar la decisión, permitiéndole una real y auténtica defensa.</w:t>
            </w:r>
          </w:p>
          <w:p w14:paraId="0EAC5EAA" w14:textId="77777777" w:rsidR="007678B0" w:rsidRPr="00082FB0" w:rsidRDefault="00E315F0">
            <w:pPr>
              <w:spacing w:line="360" w:lineRule="auto"/>
              <w:ind w:right="-42"/>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14:paraId="05B86658" w14:textId="77777777" w:rsidR="007678B0" w:rsidRPr="00082FB0" w:rsidRDefault="00E315F0">
            <w:pPr>
              <w:spacing w:line="360" w:lineRule="auto"/>
              <w:ind w:right="-42"/>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 xml:space="preserve">Ahora bien, </w:t>
            </w:r>
            <w:r w:rsidRPr="00082FB0">
              <w:rPr>
                <w:rFonts w:ascii="Palatino Linotype" w:eastAsia="Palatino Linotype" w:hAnsi="Palatino Linotype" w:cs="Palatino Linotype"/>
                <w:b/>
                <w:color w:val="000000"/>
                <w:sz w:val="22"/>
                <w:szCs w:val="22"/>
                <w:u w:val="single"/>
              </w:rPr>
              <w:t>para cada caso además de fundar y motivar</w:t>
            </w:r>
            <w:r w:rsidRPr="00082FB0">
              <w:rPr>
                <w:rFonts w:ascii="Palatino Linotype" w:eastAsia="Palatino Linotype" w:hAnsi="Palatino Linotype" w:cs="Palatino Linotype"/>
                <w:color w:val="000000"/>
                <w:sz w:val="22"/>
                <w:szCs w:val="22"/>
              </w:rPr>
              <w:t xml:space="preserve">, se debe identificar con claridad </w:t>
            </w:r>
            <w:r w:rsidRPr="00082FB0">
              <w:rPr>
                <w:rFonts w:ascii="Palatino Linotype" w:eastAsia="Palatino Linotype" w:hAnsi="Palatino Linotype" w:cs="Palatino Linotype"/>
                <w:sz w:val="22"/>
                <w:szCs w:val="22"/>
              </w:rPr>
              <w:t>qué</w:t>
            </w:r>
            <w:r w:rsidRPr="00082FB0">
              <w:rPr>
                <w:rFonts w:ascii="Palatino Linotype" w:eastAsia="Palatino Linotype" w:hAnsi="Palatino Linotype" w:cs="Palatino Linotype"/>
                <w:color w:val="000000"/>
                <w:sz w:val="22"/>
                <w:szCs w:val="22"/>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678B0" w:rsidRPr="00082FB0" w14:paraId="264B507E" w14:textId="77777777" w:rsidTr="007678B0">
        <w:tc>
          <w:tcPr>
            <w:cnfStyle w:val="001000000000" w:firstRow="0" w:lastRow="0" w:firstColumn="1" w:lastColumn="0" w:oddVBand="0" w:evenVBand="0" w:oddHBand="0" w:evenHBand="0" w:firstRowFirstColumn="0" w:firstRowLastColumn="0" w:lastRowFirstColumn="0" w:lastRowLastColumn="0"/>
            <w:tcW w:w="2010" w:type="dxa"/>
          </w:tcPr>
          <w:p w14:paraId="06E8AD1B" w14:textId="77777777" w:rsidR="007678B0" w:rsidRPr="00082FB0" w:rsidRDefault="00E315F0">
            <w:pPr>
              <w:spacing w:line="360" w:lineRule="auto"/>
              <w:ind w:right="-42"/>
              <w:jc w:val="both"/>
              <w:rPr>
                <w:rFonts w:ascii="Palatino Linotype" w:eastAsia="Palatino Linotype" w:hAnsi="Palatino Linotype" w:cs="Palatino Linotype"/>
                <w:sz w:val="22"/>
                <w:szCs w:val="22"/>
              </w:rPr>
            </w:pPr>
            <w:r w:rsidRPr="00082FB0">
              <w:rPr>
                <w:rFonts w:ascii="Palatino Linotype" w:eastAsia="Palatino Linotype" w:hAnsi="Palatino Linotype" w:cs="Palatino Linotype"/>
                <w:b w:val="0"/>
                <w:sz w:val="22"/>
                <w:szCs w:val="22"/>
              </w:rPr>
              <w:lastRenderedPageBreak/>
              <w:t>e</w:t>
            </w:r>
            <w:r w:rsidRPr="00082FB0">
              <w:rPr>
                <w:rFonts w:ascii="Palatino Linotype" w:eastAsia="Palatino Linotype" w:hAnsi="Palatino Linotype" w:cs="Palatino Linotype"/>
                <w:sz w:val="22"/>
                <w:szCs w:val="22"/>
              </w:rPr>
              <w:t xml:space="preserve">) Condiciones especiales de la clasificación de la información como confidencial. </w:t>
            </w:r>
          </w:p>
        </w:tc>
        <w:tc>
          <w:tcPr>
            <w:tcW w:w="7635" w:type="dxa"/>
          </w:tcPr>
          <w:p w14:paraId="27459F7B" w14:textId="77777777" w:rsidR="007678B0" w:rsidRPr="00082FB0" w:rsidRDefault="00E315F0">
            <w:pPr>
              <w:spacing w:line="360" w:lineRule="auto"/>
              <w:ind w:right="-42"/>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14:paraId="3503EDC7" w14:textId="77777777" w:rsidR="007678B0" w:rsidRPr="00082FB0" w:rsidRDefault="00E315F0">
            <w:pPr>
              <w:spacing w:line="360" w:lineRule="auto"/>
              <w:ind w:right="-42"/>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2"/>
                <w:szCs w:val="22"/>
              </w:rPr>
            </w:pPr>
            <w:r w:rsidRPr="00082FB0">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2C5B8B1" w14:textId="77777777" w:rsidR="007678B0" w:rsidRPr="00082FB0" w:rsidRDefault="00E315F0">
            <w:pPr>
              <w:spacing w:line="360" w:lineRule="auto"/>
              <w:ind w:right="-42"/>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sidRPr="00082FB0">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25BC4B8" w14:textId="77777777" w:rsidR="007678B0" w:rsidRPr="00082FB0" w:rsidRDefault="007678B0">
      <w:pPr>
        <w:spacing w:line="360" w:lineRule="auto"/>
        <w:ind w:right="-989"/>
        <w:jc w:val="both"/>
        <w:rPr>
          <w:rFonts w:ascii="Palatino Linotype" w:eastAsia="Palatino Linotype" w:hAnsi="Palatino Linotype" w:cs="Palatino Linotype"/>
          <w:color w:val="000000"/>
        </w:rPr>
      </w:pPr>
    </w:p>
    <w:p w14:paraId="0596A39C"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i/>
          <w:color w:val="000000"/>
        </w:rPr>
      </w:pPr>
      <w:r w:rsidRPr="00082FB0">
        <w:rPr>
          <w:rFonts w:ascii="Palatino Linotype" w:eastAsia="Palatino Linotype" w:hAnsi="Palatino Linotype" w:cs="Palatino Linotype"/>
          <w:b/>
        </w:rPr>
        <w:lastRenderedPageBreak/>
        <w:t>87.</w:t>
      </w:r>
      <w:r w:rsidRPr="00082FB0">
        <w:rPr>
          <w:rFonts w:ascii="Palatino Linotype" w:eastAsia="Palatino Linotype" w:hAnsi="Palatino Linotype" w:cs="Palatino Linotype"/>
        </w:rPr>
        <w:t xml:space="preserve"> </w:t>
      </w:r>
      <w:r w:rsidRPr="00082FB0">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F0F4633" w14:textId="77777777" w:rsidR="007678B0" w:rsidRPr="00082FB0" w:rsidRDefault="007678B0">
      <w:pPr>
        <w:spacing w:line="360" w:lineRule="auto"/>
        <w:ind w:right="-989"/>
        <w:jc w:val="both"/>
        <w:rPr>
          <w:rFonts w:ascii="Palatino Linotype" w:eastAsia="Palatino Linotype" w:hAnsi="Palatino Linotype" w:cs="Palatino Linotype"/>
          <w:i/>
          <w:color w:val="000000"/>
        </w:rPr>
      </w:pPr>
    </w:p>
    <w:p w14:paraId="08050B04" w14:textId="77777777" w:rsidR="007678B0" w:rsidRPr="00082FB0" w:rsidRDefault="00E315F0">
      <w:pPr>
        <w:pBdr>
          <w:top w:val="nil"/>
          <w:left w:val="nil"/>
          <w:bottom w:val="nil"/>
          <w:right w:val="nil"/>
          <w:between w:val="nil"/>
        </w:pBdr>
        <w:spacing w:line="360" w:lineRule="auto"/>
        <w:ind w:right="-989"/>
        <w:jc w:val="both"/>
        <w:rPr>
          <w:rFonts w:ascii="Palatino Linotype" w:eastAsia="Palatino Linotype" w:hAnsi="Palatino Linotype" w:cs="Palatino Linotype"/>
          <w:color w:val="222222"/>
        </w:rPr>
      </w:pPr>
      <w:bookmarkStart w:id="8" w:name="_heading=h.1t3h5sf" w:colFirst="0" w:colLast="0"/>
      <w:bookmarkEnd w:id="8"/>
      <w:r w:rsidRPr="00082FB0">
        <w:rPr>
          <w:rFonts w:ascii="Palatino Linotype" w:eastAsia="Palatino Linotype" w:hAnsi="Palatino Linotype" w:cs="Palatino Linotype"/>
          <w:b/>
        </w:rPr>
        <w:t xml:space="preserve">88. </w:t>
      </w:r>
      <w:r w:rsidRPr="00082FB0">
        <w:rPr>
          <w:rFonts w:ascii="Palatino Linotype" w:eastAsia="Palatino Linotype" w:hAnsi="Palatino Linotype" w:cs="Palatino Linotype"/>
          <w:color w:val="000000"/>
        </w:rPr>
        <w:t>Lo anterior a colación del eventual procesamiento que se pretende, ya mencionado. Por</w:t>
      </w:r>
      <w:r w:rsidRPr="00082FB0">
        <w:rPr>
          <w:rFonts w:ascii="Palatino Linotype" w:eastAsia="Palatino Linotype" w:hAnsi="Palatino Linotype" w:cs="Palatino Linotype"/>
          <w:color w:val="222222"/>
        </w:rPr>
        <w:t xml:space="preserve"> lo anteriormente expuesto y fundado, este </w:t>
      </w:r>
      <w:r w:rsidRPr="00082FB0">
        <w:rPr>
          <w:rFonts w:ascii="Palatino Linotype" w:eastAsia="Palatino Linotype" w:hAnsi="Palatino Linotype" w:cs="Palatino Linotype"/>
          <w:b/>
          <w:color w:val="222222"/>
        </w:rPr>
        <w:t>ÓRGANO GARANTE</w:t>
      </w:r>
      <w:r w:rsidRPr="00082FB0">
        <w:rPr>
          <w:rFonts w:ascii="Palatino Linotype" w:eastAsia="Palatino Linotype" w:hAnsi="Palatino Linotype" w:cs="Palatino Linotype"/>
          <w:color w:val="222222"/>
        </w:rPr>
        <w:t xml:space="preserve"> emite los </w:t>
      </w:r>
      <w:r w:rsidRPr="00082FB0">
        <w:rPr>
          <w:rFonts w:ascii="Palatino Linotype" w:eastAsia="Palatino Linotype" w:hAnsi="Palatino Linotype" w:cs="Palatino Linotype"/>
          <w:color w:val="000000"/>
        </w:rPr>
        <w:t>siguientes</w:t>
      </w:r>
      <w:r w:rsidRPr="00082FB0">
        <w:rPr>
          <w:rFonts w:ascii="Palatino Linotype" w:eastAsia="Palatino Linotype" w:hAnsi="Palatino Linotype" w:cs="Palatino Linotype"/>
          <w:color w:val="222222"/>
        </w:rPr>
        <w:t xml:space="preserve">: </w:t>
      </w:r>
    </w:p>
    <w:p w14:paraId="44844EED" w14:textId="77777777" w:rsidR="007678B0" w:rsidRPr="00082FB0" w:rsidRDefault="007678B0">
      <w:pPr>
        <w:pBdr>
          <w:top w:val="nil"/>
          <w:left w:val="nil"/>
          <w:bottom w:val="nil"/>
          <w:right w:val="nil"/>
          <w:between w:val="nil"/>
        </w:pBdr>
        <w:spacing w:line="360" w:lineRule="auto"/>
        <w:ind w:right="-989"/>
        <w:jc w:val="both"/>
        <w:rPr>
          <w:rFonts w:ascii="Palatino Linotype" w:eastAsia="Palatino Linotype" w:hAnsi="Palatino Linotype" w:cs="Palatino Linotype"/>
          <w:color w:val="222222"/>
        </w:rPr>
      </w:pPr>
      <w:bookmarkStart w:id="9" w:name="_heading=h.c5tj42wbjr3a" w:colFirst="0" w:colLast="0"/>
      <w:bookmarkEnd w:id="9"/>
    </w:p>
    <w:p w14:paraId="22D4B5F6" w14:textId="77777777" w:rsidR="007678B0" w:rsidRPr="00082FB0" w:rsidRDefault="00E315F0">
      <w:pPr>
        <w:pStyle w:val="Ttulo1"/>
        <w:spacing w:before="0" w:line="360" w:lineRule="auto"/>
        <w:ind w:right="-989"/>
        <w:jc w:val="center"/>
        <w:rPr>
          <w:b w:val="0"/>
        </w:rPr>
      </w:pPr>
      <w:r w:rsidRPr="00082FB0">
        <w:t>R E S O L U T I V O S</w:t>
      </w:r>
    </w:p>
    <w:p w14:paraId="55556C5E" w14:textId="77777777" w:rsidR="007678B0" w:rsidRPr="00082FB0" w:rsidRDefault="007678B0">
      <w:pPr>
        <w:spacing w:line="360" w:lineRule="auto"/>
        <w:ind w:right="-989"/>
        <w:rPr>
          <w:rFonts w:ascii="Palatino Linotype" w:eastAsia="Palatino Linotype" w:hAnsi="Palatino Linotype" w:cs="Palatino Linotype"/>
        </w:rPr>
      </w:pPr>
      <w:bookmarkStart w:id="10" w:name="_heading=h.4d34og8" w:colFirst="0" w:colLast="0"/>
      <w:bookmarkEnd w:id="10"/>
    </w:p>
    <w:p w14:paraId="492B2F5C" w14:textId="77777777" w:rsidR="007678B0" w:rsidRPr="00082FB0" w:rsidRDefault="00E315F0">
      <w:pPr>
        <w:spacing w:line="360" w:lineRule="auto"/>
        <w:ind w:right="-989"/>
        <w:jc w:val="both"/>
        <w:rPr>
          <w:rFonts w:ascii="Palatino Linotype" w:eastAsia="Palatino Linotype" w:hAnsi="Palatino Linotype" w:cs="Palatino Linotype"/>
        </w:rPr>
      </w:pPr>
      <w:bookmarkStart w:id="11" w:name="_heading=h.2s8eyo1" w:colFirst="0" w:colLast="0"/>
      <w:bookmarkEnd w:id="11"/>
      <w:r w:rsidRPr="00082FB0">
        <w:rPr>
          <w:rFonts w:ascii="Palatino Linotype" w:eastAsia="Palatino Linotype" w:hAnsi="Palatino Linotype" w:cs="Palatino Linotype"/>
          <w:b/>
        </w:rPr>
        <w:t>PRIMERO</w:t>
      </w:r>
      <w:r w:rsidRPr="00082FB0">
        <w:rPr>
          <w:rFonts w:ascii="Palatino Linotype" w:eastAsia="Palatino Linotype" w:hAnsi="Palatino Linotype" w:cs="Palatino Linotype"/>
        </w:rPr>
        <w:t>. Resultan parcialmente fundadas las</w:t>
      </w:r>
      <w:r w:rsidRPr="00082FB0">
        <w:rPr>
          <w:rFonts w:ascii="Palatino Linotype" w:eastAsia="Palatino Linotype" w:hAnsi="Palatino Linotype" w:cs="Palatino Linotype"/>
          <w:b/>
        </w:rPr>
        <w:t xml:space="preserve"> </w:t>
      </w:r>
      <w:r w:rsidRPr="00082FB0">
        <w:rPr>
          <w:rFonts w:ascii="Palatino Linotype" w:eastAsia="Palatino Linotype" w:hAnsi="Palatino Linotype" w:cs="Palatino Linotype"/>
        </w:rPr>
        <w:t>razones o motivos de inconformidad hechos valer en los Recursos de Revisión</w:t>
      </w:r>
      <w:r w:rsidRPr="00082FB0">
        <w:rPr>
          <w:rFonts w:ascii="Palatino Linotype" w:eastAsia="Palatino Linotype" w:hAnsi="Palatino Linotype" w:cs="Palatino Linotype"/>
          <w:b/>
        </w:rPr>
        <w:t> 03498/INFOEM/IP/RR/2024 y 03638/INFOEM/IP/RR/2024</w:t>
      </w:r>
      <w:r w:rsidRPr="00082FB0">
        <w:rPr>
          <w:rFonts w:ascii="Palatino Linotype" w:eastAsia="Palatino Linotype" w:hAnsi="Palatino Linotype" w:cs="Palatino Linotype"/>
          <w:b/>
          <w:color w:val="000000"/>
        </w:rPr>
        <w:t xml:space="preserve"> </w:t>
      </w:r>
      <w:r w:rsidRPr="00082FB0">
        <w:rPr>
          <w:rFonts w:ascii="Palatino Linotype" w:eastAsia="Palatino Linotype" w:hAnsi="Palatino Linotype" w:cs="Palatino Linotype"/>
        </w:rPr>
        <w:t>acumulados,</w:t>
      </w:r>
      <w:r w:rsidRPr="00082FB0">
        <w:rPr>
          <w:rFonts w:ascii="Palatino Linotype" w:eastAsia="Palatino Linotype" w:hAnsi="Palatino Linotype" w:cs="Palatino Linotype"/>
          <w:b/>
        </w:rPr>
        <w:t xml:space="preserve"> </w:t>
      </w:r>
      <w:r w:rsidRPr="00082FB0">
        <w:rPr>
          <w:rFonts w:ascii="Palatino Linotype" w:eastAsia="Palatino Linotype" w:hAnsi="Palatino Linotype" w:cs="Palatino Linotype"/>
        </w:rPr>
        <w:t xml:space="preserve">en términos de los </w:t>
      </w:r>
      <w:r w:rsidRPr="00082FB0">
        <w:rPr>
          <w:rFonts w:ascii="Palatino Linotype" w:eastAsia="Palatino Linotype" w:hAnsi="Palatino Linotype" w:cs="Palatino Linotype"/>
          <w:b/>
        </w:rPr>
        <w:t>Considerandos</w:t>
      </w:r>
      <w:r w:rsidRPr="00082FB0">
        <w:rPr>
          <w:rFonts w:ascii="Palatino Linotype" w:eastAsia="Palatino Linotype" w:hAnsi="Palatino Linotype" w:cs="Palatino Linotype"/>
        </w:rPr>
        <w:t xml:space="preserve"> </w:t>
      </w:r>
      <w:r w:rsidRPr="00082FB0">
        <w:rPr>
          <w:rFonts w:ascii="Palatino Linotype" w:eastAsia="Palatino Linotype" w:hAnsi="Palatino Linotype" w:cs="Palatino Linotype"/>
          <w:b/>
        </w:rPr>
        <w:t>CUARTO</w:t>
      </w:r>
      <w:r w:rsidRPr="00082FB0">
        <w:rPr>
          <w:rFonts w:ascii="Palatino Linotype" w:eastAsia="Palatino Linotype" w:hAnsi="Palatino Linotype" w:cs="Palatino Linotype"/>
        </w:rPr>
        <w:t xml:space="preserve"> </w:t>
      </w:r>
      <w:r w:rsidRPr="00082FB0">
        <w:rPr>
          <w:rFonts w:ascii="Palatino Linotype" w:eastAsia="Palatino Linotype" w:hAnsi="Palatino Linotype" w:cs="Palatino Linotype"/>
          <w:b/>
        </w:rPr>
        <w:t xml:space="preserve">y QUINTO </w:t>
      </w:r>
      <w:r w:rsidRPr="00082FB0">
        <w:rPr>
          <w:rFonts w:ascii="Palatino Linotype" w:eastAsia="Palatino Linotype" w:hAnsi="Palatino Linotype" w:cs="Palatino Linotype"/>
        </w:rPr>
        <w:t>de la presente Resolución.</w:t>
      </w:r>
    </w:p>
    <w:p w14:paraId="18C4B4C4" w14:textId="77777777" w:rsidR="007678B0" w:rsidRPr="00082FB0" w:rsidRDefault="007678B0">
      <w:pPr>
        <w:spacing w:line="360" w:lineRule="auto"/>
        <w:ind w:right="-989"/>
        <w:jc w:val="both"/>
        <w:rPr>
          <w:rFonts w:ascii="Palatino Linotype" w:eastAsia="Palatino Linotype" w:hAnsi="Palatino Linotype" w:cs="Palatino Linotype"/>
        </w:rPr>
      </w:pPr>
    </w:p>
    <w:p w14:paraId="4D577C99" w14:textId="77777777" w:rsidR="007678B0" w:rsidRPr="00082FB0" w:rsidRDefault="00E315F0">
      <w:pPr>
        <w:spacing w:line="360" w:lineRule="auto"/>
        <w:ind w:right="-989"/>
        <w:jc w:val="both"/>
        <w:rPr>
          <w:rFonts w:ascii="Palatino Linotype" w:eastAsia="Palatino Linotype" w:hAnsi="Palatino Linotype" w:cs="Palatino Linotype"/>
          <w:b/>
          <w:color w:val="000000"/>
        </w:rPr>
      </w:pPr>
      <w:r w:rsidRPr="00082FB0">
        <w:rPr>
          <w:rFonts w:ascii="Palatino Linotype" w:eastAsia="Palatino Linotype" w:hAnsi="Palatino Linotype" w:cs="Palatino Linotype"/>
          <w:b/>
        </w:rPr>
        <w:t>SEGUNDO.</w:t>
      </w:r>
      <w:r w:rsidRPr="00082FB0">
        <w:rPr>
          <w:rFonts w:ascii="Palatino Linotype" w:eastAsia="Palatino Linotype" w:hAnsi="Palatino Linotype" w:cs="Palatino Linotype"/>
          <w:color w:val="2F5496"/>
        </w:rPr>
        <w:t xml:space="preserve"> </w:t>
      </w:r>
      <w:r w:rsidRPr="00082FB0">
        <w:rPr>
          <w:rFonts w:ascii="Palatino Linotype" w:eastAsia="Palatino Linotype" w:hAnsi="Palatino Linotype" w:cs="Palatino Linotype"/>
        </w:rPr>
        <w:t>Se</w:t>
      </w:r>
      <w:r w:rsidRPr="00082FB0">
        <w:rPr>
          <w:rFonts w:ascii="Palatino Linotype" w:eastAsia="Palatino Linotype" w:hAnsi="Palatino Linotype" w:cs="Palatino Linotype"/>
          <w:b/>
        </w:rPr>
        <w:t xml:space="preserve"> MODIFICAN </w:t>
      </w:r>
      <w:r w:rsidRPr="00082FB0">
        <w:rPr>
          <w:rFonts w:ascii="Palatino Linotype" w:eastAsia="Palatino Linotype" w:hAnsi="Palatino Linotype" w:cs="Palatino Linotype"/>
        </w:rPr>
        <w:t xml:space="preserve">las respuestas emitidas por el </w:t>
      </w:r>
      <w:r w:rsidRPr="00082FB0">
        <w:rPr>
          <w:rFonts w:ascii="Palatino Linotype" w:eastAsia="Palatino Linotype" w:hAnsi="Palatino Linotype" w:cs="Palatino Linotype"/>
          <w:b/>
        </w:rPr>
        <w:t>Ayuntamiento de Tlalnepantla de Baz</w:t>
      </w:r>
      <w:r w:rsidRPr="00082FB0">
        <w:rPr>
          <w:rFonts w:ascii="Palatino Linotype" w:eastAsia="Palatino Linotype" w:hAnsi="Palatino Linotype" w:cs="Palatino Linotype"/>
        </w:rPr>
        <w:t xml:space="preserve"> a las solicitudes de información </w:t>
      </w:r>
      <w:r w:rsidRPr="00082FB0">
        <w:rPr>
          <w:rFonts w:ascii="Palatino Linotype" w:eastAsia="Palatino Linotype" w:hAnsi="Palatino Linotype" w:cs="Palatino Linotype"/>
          <w:b/>
          <w:color w:val="000000"/>
        </w:rPr>
        <w:t xml:space="preserve">00503/TLALNEPA/IP/2024 </w:t>
      </w:r>
      <w:r w:rsidRPr="00082FB0">
        <w:rPr>
          <w:rFonts w:ascii="Palatino Linotype" w:eastAsia="Palatino Linotype" w:hAnsi="Palatino Linotype" w:cs="Palatino Linotype"/>
          <w:color w:val="000000"/>
        </w:rPr>
        <w:t>y</w:t>
      </w:r>
      <w:r w:rsidRPr="00082FB0">
        <w:rPr>
          <w:rFonts w:ascii="Palatino Linotype" w:eastAsia="Palatino Linotype" w:hAnsi="Palatino Linotype" w:cs="Palatino Linotype"/>
          <w:b/>
          <w:color w:val="000000"/>
        </w:rPr>
        <w:t xml:space="preserve"> 00608/TLALNEPA/IP/2024</w:t>
      </w:r>
      <w:r w:rsidRPr="00082FB0">
        <w:rPr>
          <w:rFonts w:ascii="Palatino Linotype" w:eastAsia="Palatino Linotype" w:hAnsi="Palatino Linotype" w:cs="Palatino Linotype"/>
        </w:rPr>
        <w:t xml:space="preserve"> a efecto de</w:t>
      </w:r>
      <w:r w:rsidRPr="00082FB0">
        <w:rPr>
          <w:rFonts w:ascii="Palatino Linotype" w:eastAsia="Palatino Linotype" w:hAnsi="Palatino Linotype" w:cs="Palatino Linotype"/>
          <w:b/>
        </w:rPr>
        <w:t xml:space="preserve"> ORDENAR </w:t>
      </w:r>
      <w:r w:rsidRPr="00082FB0">
        <w:rPr>
          <w:rFonts w:ascii="Palatino Linotype" w:eastAsia="Palatino Linotype" w:hAnsi="Palatino Linotype" w:cs="Palatino Linotype"/>
        </w:rPr>
        <w:t xml:space="preserve">entregar vía Sistema de Accesos a la Información Mexiquense </w:t>
      </w:r>
      <w:r w:rsidRPr="00082FB0">
        <w:rPr>
          <w:rFonts w:ascii="Palatino Linotype" w:eastAsia="Palatino Linotype" w:hAnsi="Palatino Linotype" w:cs="Palatino Linotype"/>
          <w:b/>
        </w:rPr>
        <w:t>(SAIMEX)</w:t>
      </w:r>
      <w:r w:rsidRPr="00082FB0">
        <w:rPr>
          <w:rFonts w:ascii="Palatino Linotype" w:eastAsia="Palatino Linotype" w:hAnsi="Palatino Linotype" w:cs="Palatino Linotype"/>
        </w:rPr>
        <w:t>, de ser el caso en versión pública, la siguiente información:</w:t>
      </w:r>
    </w:p>
    <w:p w14:paraId="3053D8AB" w14:textId="77777777" w:rsidR="007678B0" w:rsidRPr="00082FB0" w:rsidRDefault="007678B0">
      <w:pPr>
        <w:pBdr>
          <w:top w:val="nil"/>
          <w:left w:val="nil"/>
          <w:bottom w:val="nil"/>
          <w:right w:val="nil"/>
          <w:between w:val="nil"/>
        </w:pBdr>
        <w:spacing w:line="360" w:lineRule="auto"/>
        <w:ind w:left="1145" w:right="-989"/>
        <w:jc w:val="both"/>
        <w:rPr>
          <w:rFonts w:ascii="Palatino Linotype" w:eastAsia="Palatino Linotype" w:hAnsi="Palatino Linotype" w:cs="Palatino Linotype"/>
          <w:b/>
          <w:color w:val="000000"/>
        </w:rPr>
      </w:pPr>
    </w:p>
    <w:p w14:paraId="1BABDEDB" w14:textId="77777777" w:rsidR="007678B0" w:rsidRPr="00082FB0" w:rsidRDefault="00E315F0">
      <w:pPr>
        <w:numPr>
          <w:ilvl w:val="0"/>
          <w:numId w:val="4"/>
        </w:numPr>
        <w:pBdr>
          <w:top w:val="nil"/>
          <w:left w:val="nil"/>
          <w:bottom w:val="nil"/>
          <w:right w:val="nil"/>
          <w:between w:val="nil"/>
        </w:pBdr>
        <w:spacing w:line="360" w:lineRule="auto"/>
        <w:ind w:left="1134" w:right="-989"/>
        <w:jc w:val="both"/>
        <w:rPr>
          <w:rFonts w:ascii="Palatino Linotype" w:eastAsia="Palatino Linotype" w:hAnsi="Palatino Linotype" w:cs="Palatino Linotype"/>
          <w:b/>
          <w:color w:val="000000"/>
        </w:rPr>
      </w:pPr>
      <w:r w:rsidRPr="00082FB0">
        <w:rPr>
          <w:rFonts w:ascii="Palatino Linotype" w:eastAsia="Palatino Linotype" w:hAnsi="Palatino Linotype" w:cs="Palatino Linotype"/>
          <w:b/>
          <w:color w:val="000000"/>
        </w:rPr>
        <w:t xml:space="preserve">Del “Proyecto de Rehabilitación del Sitio de Disposición Final </w:t>
      </w:r>
      <w:r w:rsidRPr="00082FB0">
        <w:rPr>
          <w:rFonts w:ascii="Palatino Linotype" w:eastAsia="Palatino Linotype" w:hAnsi="Palatino Linotype" w:cs="Palatino Linotype"/>
          <w:color w:val="000000"/>
        </w:rPr>
        <w:t>de</w:t>
      </w:r>
      <w:r w:rsidRPr="00082FB0">
        <w:rPr>
          <w:rFonts w:ascii="Palatino Linotype" w:eastAsia="Palatino Linotype" w:hAnsi="Palatino Linotype" w:cs="Palatino Linotype"/>
          <w:b/>
          <w:color w:val="000000"/>
        </w:rPr>
        <w:t xml:space="preserve"> Residuos Sólidos de Tlalnepantla a Centro Integral de Residuos”, los siguientes informes </w:t>
      </w:r>
      <w:r w:rsidRPr="00082FB0">
        <w:rPr>
          <w:rFonts w:ascii="Palatino Linotype" w:eastAsia="Palatino Linotype" w:hAnsi="Palatino Linotype" w:cs="Palatino Linotype"/>
          <w:b/>
          <w:color w:val="000000"/>
        </w:rPr>
        <w:lastRenderedPageBreak/>
        <w:t>de cumplimiento de las condicionantes de la autorización en materia de impacto ambiental:</w:t>
      </w:r>
    </w:p>
    <w:p w14:paraId="2B913D05" w14:textId="77777777" w:rsidR="007678B0" w:rsidRPr="00082FB0" w:rsidRDefault="00E315F0">
      <w:pPr>
        <w:numPr>
          <w:ilvl w:val="0"/>
          <w:numId w:val="5"/>
        </w:numPr>
        <w:pBdr>
          <w:top w:val="nil"/>
          <w:left w:val="nil"/>
          <w:bottom w:val="nil"/>
          <w:right w:val="nil"/>
          <w:between w:val="nil"/>
        </w:pBdr>
        <w:spacing w:line="360" w:lineRule="auto"/>
        <w:ind w:left="1145" w:right="-989" w:hanging="357"/>
        <w:jc w:val="both"/>
        <w:rPr>
          <w:rFonts w:ascii="Palatino Linotype" w:eastAsia="Palatino Linotype" w:hAnsi="Palatino Linotype" w:cs="Palatino Linotype"/>
          <w:b/>
          <w:color w:val="000000"/>
        </w:rPr>
      </w:pPr>
      <w:r w:rsidRPr="00082FB0">
        <w:rPr>
          <w:rFonts w:ascii="Palatino Linotype" w:eastAsia="Palatino Linotype" w:hAnsi="Palatino Linotype" w:cs="Palatino Linotype"/>
          <w:b/>
          <w:color w:val="000000"/>
        </w:rPr>
        <w:t xml:space="preserve">Informe Anual y Segundo Informe Semestral del año 2021 </w:t>
      </w:r>
    </w:p>
    <w:p w14:paraId="7DDEAAE6" w14:textId="77777777" w:rsidR="007678B0" w:rsidRPr="00082FB0" w:rsidRDefault="00E315F0">
      <w:pPr>
        <w:numPr>
          <w:ilvl w:val="0"/>
          <w:numId w:val="5"/>
        </w:numPr>
        <w:pBdr>
          <w:top w:val="nil"/>
          <w:left w:val="nil"/>
          <w:bottom w:val="nil"/>
          <w:right w:val="nil"/>
          <w:between w:val="nil"/>
        </w:pBdr>
        <w:spacing w:line="360" w:lineRule="auto"/>
        <w:ind w:left="1145" w:right="-989" w:hanging="357"/>
        <w:jc w:val="both"/>
        <w:rPr>
          <w:rFonts w:ascii="Palatino Linotype" w:eastAsia="Palatino Linotype" w:hAnsi="Palatino Linotype" w:cs="Palatino Linotype"/>
          <w:b/>
          <w:color w:val="000000"/>
        </w:rPr>
      </w:pPr>
      <w:r w:rsidRPr="00082FB0">
        <w:rPr>
          <w:rFonts w:ascii="Palatino Linotype" w:eastAsia="Palatino Linotype" w:hAnsi="Palatino Linotype" w:cs="Palatino Linotype"/>
          <w:b/>
          <w:color w:val="000000"/>
        </w:rPr>
        <w:t xml:space="preserve">Primer y Segundo Informe Semestral del año 2022 </w:t>
      </w:r>
    </w:p>
    <w:p w14:paraId="624F41B3" w14:textId="77777777" w:rsidR="007678B0" w:rsidRPr="00082FB0" w:rsidRDefault="00E315F0">
      <w:pPr>
        <w:numPr>
          <w:ilvl w:val="0"/>
          <w:numId w:val="5"/>
        </w:numPr>
        <w:pBdr>
          <w:top w:val="nil"/>
          <w:left w:val="nil"/>
          <w:bottom w:val="nil"/>
          <w:right w:val="nil"/>
          <w:between w:val="nil"/>
        </w:pBdr>
        <w:spacing w:line="360" w:lineRule="auto"/>
        <w:ind w:left="1145" w:right="-989" w:hanging="357"/>
        <w:jc w:val="both"/>
        <w:rPr>
          <w:rFonts w:ascii="Palatino Linotype" w:eastAsia="Palatino Linotype" w:hAnsi="Palatino Linotype" w:cs="Palatino Linotype"/>
          <w:b/>
          <w:color w:val="000000"/>
        </w:rPr>
      </w:pPr>
      <w:r w:rsidRPr="00082FB0">
        <w:rPr>
          <w:rFonts w:ascii="Palatino Linotype" w:eastAsia="Palatino Linotype" w:hAnsi="Palatino Linotype" w:cs="Palatino Linotype"/>
          <w:b/>
          <w:color w:val="000000"/>
        </w:rPr>
        <w:t xml:space="preserve">Informe Anual del año 2022 </w:t>
      </w:r>
    </w:p>
    <w:p w14:paraId="15984B85" w14:textId="77777777" w:rsidR="007678B0" w:rsidRPr="00082FB0" w:rsidRDefault="00E315F0">
      <w:pPr>
        <w:numPr>
          <w:ilvl w:val="0"/>
          <w:numId w:val="5"/>
        </w:numPr>
        <w:pBdr>
          <w:top w:val="nil"/>
          <w:left w:val="nil"/>
          <w:bottom w:val="nil"/>
          <w:right w:val="nil"/>
          <w:between w:val="nil"/>
        </w:pBdr>
        <w:spacing w:line="360" w:lineRule="auto"/>
        <w:ind w:left="1145" w:right="-989" w:hanging="357"/>
        <w:jc w:val="both"/>
        <w:rPr>
          <w:rFonts w:ascii="Palatino Linotype" w:eastAsia="Palatino Linotype" w:hAnsi="Palatino Linotype" w:cs="Palatino Linotype"/>
          <w:b/>
          <w:color w:val="000000"/>
        </w:rPr>
      </w:pPr>
      <w:r w:rsidRPr="00082FB0">
        <w:rPr>
          <w:rFonts w:ascii="Palatino Linotype" w:eastAsia="Palatino Linotype" w:hAnsi="Palatino Linotype" w:cs="Palatino Linotype"/>
          <w:b/>
          <w:color w:val="000000"/>
        </w:rPr>
        <w:t xml:space="preserve">Primer y Segundo Informe Semestral del año 2023 </w:t>
      </w:r>
    </w:p>
    <w:p w14:paraId="0E95D87A" w14:textId="77777777" w:rsidR="007678B0" w:rsidRPr="00082FB0" w:rsidRDefault="00E315F0">
      <w:pPr>
        <w:numPr>
          <w:ilvl w:val="0"/>
          <w:numId w:val="5"/>
        </w:numPr>
        <w:pBdr>
          <w:top w:val="nil"/>
          <w:left w:val="nil"/>
          <w:bottom w:val="nil"/>
          <w:right w:val="nil"/>
          <w:between w:val="nil"/>
        </w:pBdr>
        <w:spacing w:line="360" w:lineRule="auto"/>
        <w:ind w:left="1145" w:right="-989" w:hanging="357"/>
        <w:jc w:val="both"/>
        <w:rPr>
          <w:rFonts w:ascii="Palatino Linotype" w:eastAsia="Palatino Linotype" w:hAnsi="Palatino Linotype" w:cs="Palatino Linotype"/>
          <w:b/>
          <w:color w:val="000000"/>
        </w:rPr>
      </w:pPr>
      <w:r w:rsidRPr="00082FB0">
        <w:rPr>
          <w:rFonts w:ascii="Palatino Linotype" w:eastAsia="Palatino Linotype" w:hAnsi="Palatino Linotype" w:cs="Palatino Linotype"/>
          <w:b/>
          <w:color w:val="000000"/>
        </w:rPr>
        <w:t>Informe Anual del año 2023</w:t>
      </w:r>
    </w:p>
    <w:p w14:paraId="259E8BC6" w14:textId="77777777" w:rsidR="007678B0" w:rsidRPr="00082FB0" w:rsidRDefault="007678B0">
      <w:pPr>
        <w:spacing w:line="360" w:lineRule="auto"/>
        <w:ind w:right="-989"/>
        <w:jc w:val="both"/>
        <w:rPr>
          <w:rFonts w:ascii="Palatino Linotype" w:eastAsia="Palatino Linotype" w:hAnsi="Palatino Linotype" w:cs="Palatino Linotype"/>
        </w:rPr>
      </w:pPr>
    </w:p>
    <w:p w14:paraId="4E650165" w14:textId="77777777" w:rsidR="007678B0" w:rsidRPr="00082FB0" w:rsidRDefault="00E315F0" w:rsidP="00B97AD3">
      <w:pPr>
        <w:numPr>
          <w:ilvl w:val="0"/>
          <w:numId w:val="4"/>
        </w:numPr>
        <w:pBdr>
          <w:top w:val="nil"/>
          <w:left w:val="nil"/>
          <w:bottom w:val="nil"/>
          <w:right w:val="nil"/>
          <w:between w:val="nil"/>
        </w:pBdr>
        <w:spacing w:line="360" w:lineRule="auto"/>
        <w:ind w:left="1134" w:right="-989"/>
        <w:jc w:val="both"/>
        <w:rPr>
          <w:rFonts w:ascii="Palatino Linotype" w:eastAsia="Palatino Linotype" w:hAnsi="Palatino Linotype" w:cs="Palatino Linotype"/>
          <w:b/>
          <w:color w:val="000000"/>
        </w:rPr>
      </w:pPr>
      <w:r w:rsidRPr="00082FB0">
        <w:rPr>
          <w:rFonts w:ascii="Palatino Linotype" w:eastAsia="Palatino Linotype" w:hAnsi="Palatino Linotype" w:cs="Palatino Linotype"/>
          <w:b/>
          <w:color w:val="000000"/>
        </w:rPr>
        <w:t>Contrato o contratos y de ser el caso sus anexos; celebrados entre el Ayuntamiento de Tlalnepantla de Baz y Accendo Banco, S.A. Institución de Banca Múltiple, al  7 de mayo de 2024, para los números de cuenta referidos en la solicitud de información 00608/TLALNEPA/IP/2024.</w:t>
      </w:r>
    </w:p>
    <w:p w14:paraId="13F37110" w14:textId="77777777" w:rsidR="007678B0" w:rsidRPr="00082FB0" w:rsidRDefault="007678B0">
      <w:pPr>
        <w:pBdr>
          <w:top w:val="nil"/>
          <w:left w:val="nil"/>
          <w:bottom w:val="nil"/>
          <w:right w:val="nil"/>
          <w:between w:val="nil"/>
        </w:pBdr>
        <w:spacing w:line="360" w:lineRule="auto"/>
        <w:ind w:left="1134" w:right="-989"/>
        <w:jc w:val="both"/>
        <w:rPr>
          <w:rFonts w:ascii="Palatino Linotype" w:eastAsia="Palatino Linotype" w:hAnsi="Palatino Linotype" w:cs="Palatino Linotype"/>
          <w:color w:val="000000"/>
        </w:rPr>
      </w:pPr>
    </w:p>
    <w:p w14:paraId="7D451F77" w14:textId="77777777" w:rsidR="007678B0" w:rsidRPr="00082FB0" w:rsidRDefault="00E315F0">
      <w:pPr>
        <w:spacing w:line="360" w:lineRule="auto"/>
        <w:ind w:right="-989"/>
        <w:jc w:val="both"/>
        <w:rPr>
          <w:rFonts w:ascii="Palatino Linotype" w:eastAsia="Palatino Linotype" w:hAnsi="Palatino Linotype" w:cs="Palatino Linotype"/>
        </w:rPr>
      </w:pPr>
      <w:r w:rsidRPr="00082FB0">
        <w:rPr>
          <w:rFonts w:ascii="Palatino Linotype" w:eastAsia="Palatino Linotype" w:hAnsi="Palatino Linotype" w:cs="Palatino Linotype"/>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5FD52252" w14:textId="77777777" w:rsidR="007678B0" w:rsidRPr="00082FB0" w:rsidRDefault="007678B0">
      <w:pPr>
        <w:spacing w:line="360" w:lineRule="auto"/>
        <w:ind w:right="-989"/>
        <w:jc w:val="both"/>
        <w:rPr>
          <w:rFonts w:ascii="Palatino Linotype" w:eastAsia="Palatino Linotype" w:hAnsi="Palatino Linotype" w:cs="Palatino Linotype"/>
          <w:b/>
        </w:rPr>
      </w:pPr>
    </w:p>
    <w:p w14:paraId="0E929B01" w14:textId="76A39817" w:rsidR="007678B0" w:rsidRPr="00082FB0" w:rsidRDefault="00E315F0">
      <w:pPr>
        <w:spacing w:line="360" w:lineRule="auto"/>
        <w:ind w:right="-989"/>
        <w:jc w:val="both"/>
        <w:rPr>
          <w:rFonts w:ascii="Palatino Linotype" w:eastAsia="Palatino Linotype" w:hAnsi="Palatino Linotype" w:cs="Palatino Linotype"/>
        </w:rPr>
      </w:pPr>
      <w:r w:rsidRPr="00082FB0">
        <w:rPr>
          <w:rFonts w:ascii="Palatino Linotype" w:eastAsia="Palatino Linotype" w:hAnsi="Palatino Linotype" w:cs="Palatino Linotype"/>
          <w:b/>
        </w:rPr>
        <w:t>TERCERO</w:t>
      </w:r>
      <w:r w:rsidRPr="00082FB0">
        <w:rPr>
          <w:rFonts w:ascii="Palatino Linotype" w:eastAsia="Palatino Linotype" w:hAnsi="Palatino Linotype" w:cs="Palatino Linotype"/>
        </w:rPr>
        <w:t xml:space="preserve">. Se </w:t>
      </w:r>
      <w:r w:rsidRPr="00082FB0">
        <w:rPr>
          <w:rFonts w:ascii="Palatino Linotype" w:eastAsia="Palatino Linotype" w:hAnsi="Palatino Linotype" w:cs="Palatino Linotype"/>
          <w:b/>
        </w:rPr>
        <w:t>SOBRESEE</w:t>
      </w:r>
      <w:r w:rsidRPr="00082FB0">
        <w:rPr>
          <w:rFonts w:ascii="Palatino Linotype" w:eastAsia="Palatino Linotype" w:hAnsi="Palatino Linotype" w:cs="Palatino Linotype"/>
        </w:rPr>
        <w:t xml:space="preserve"> el Recurso de Revisión número </w:t>
      </w:r>
      <w:r w:rsidRPr="00082FB0">
        <w:rPr>
          <w:rFonts w:ascii="Palatino Linotype" w:eastAsia="Palatino Linotype" w:hAnsi="Palatino Linotype" w:cs="Palatino Linotype"/>
          <w:b/>
        </w:rPr>
        <w:t>00033/INFOEM/IP/RR/2025</w:t>
      </w:r>
      <w:r w:rsidRPr="00082FB0">
        <w:rPr>
          <w:rFonts w:ascii="Palatino Linotype" w:eastAsia="Palatino Linotype" w:hAnsi="Palatino Linotype" w:cs="Palatino Linotype"/>
        </w:rPr>
        <w:t>, por actualizarse la causal de improcedencia inmersa en la fracción III</w:t>
      </w:r>
      <w:r w:rsidR="00576F1B" w:rsidRPr="00082FB0">
        <w:rPr>
          <w:rFonts w:ascii="Palatino Linotype" w:eastAsia="Palatino Linotype" w:hAnsi="Palatino Linotype" w:cs="Palatino Linotype"/>
        </w:rPr>
        <w:t>,</w:t>
      </w:r>
      <w:r w:rsidRPr="00082FB0">
        <w:rPr>
          <w:rFonts w:ascii="Palatino Linotype" w:eastAsia="Palatino Linotype" w:hAnsi="Palatino Linotype" w:cs="Palatino Linotype"/>
        </w:rPr>
        <w:t xml:space="preserve"> del artículo 191</w:t>
      </w:r>
      <w:r w:rsidR="00576F1B" w:rsidRPr="00082FB0">
        <w:rPr>
          <w:rFonts w:ascii="Palatino Linotype" w:eastAsia="Palatino Linotype" w:hAnsi="Palatino Linotype" w:cs="Palatino Linotype"/>
        </w:rPr>
        <w:t>,</w:t>
      </w:r>
      <w:r w:rsidRPr="00082FB0">
        <w:rPr>
          <w:rFonts w:ascii="Palatino Linotype" w:eastAsia="Palatino Linotype" w:hAnsi="Palatino Linotype" w:cs="Palatino Linotype"/>
        </w:rPr>
        <w:t xml:space="preserve"> de la Ley de Transparencia vigente en la entidad, en términos del considerando </w:t>
      </w:r>
      <w:r w:rsidRPr="00082FB0">
        <w:rPr>
          <w:rFonts w:ascii="Palatino Linotype" w:eastAsia="Palatino Linotype" w:hAnsi="Palatino Linotype" w:cs="Palatino Linotype"/>
          <w:b/>
        </w:rPr>
        <w:t>CUARTO</w:t>
      </w:r>
      <w:r w:rsidRPr="00082FB0">
        <w:rPr>
          <w:rFonts w:ascii="Palatino Linotype" w:eastAsia="Palatino Linotype" w:hAnsi="Palatino Linotype" w:cs="Palatino Linotype"/>
        </w:rPr>
        <w:t xml:space="preserve"> de la presente Resolución.</w:t>
      </w:r>
    </w:p>
    <w:p w14:paraId="29512877" w14:textId="77777777" w:rsidR="00CC33DA" w:rsidRPr="00082FB0" w:rsidRDefault="00CC33DA">
      <w:pPr>
        <w:spacing w:line="360" w:lineRule="auto"/>
        <w:ind w:right="-989"/>
        <w:jc w:val="both"/>
        <w:rPr>
          <w:rFonts w:ascii="Palatino Linotype" w:eastAsia="Palatino Linotype" w:hAnsi="Palatino Linotype" w:cs="Palatino Linotype"/>
        </w:rPr>
      </w:pPr>
    </w:p>
    <w:p w14:paraId="55724489" w14:textId="48EC5544" w:rsidR="00576F1B" w:rsidRPr="00082FB0" w:rsidRDefault="00576F1B" w:rsidP="00576F1B">
      <w:pPr>
        <w:tabs>
          <w:tab w:val="left" w:pos="8080"/>
        </w:tabs>
        <w:spacing w:line="360" w:lineRule="auto"/>
        <w:ind w:right="-992"/>
        <w:contextualSpacing/>
        <w:jc w:val="both"/>
        <w:rPr>
          <w:rFonts w:ascii="Palatino Linotype" w:hAnsi="Palatino Linotype"/>
          <w:color w:val="222222"/>
          <w:sz w:val="22"/>
          <w:szCs w:val="22"/>
          <w:shd w:val="clear" w:color="auto" w:fill="FFFFFF"/>
        </w:rPr>
      </w:pPr>
      <w:r w:rsidRPr="00082FB0">
        <w:rPr>
          <w:rFonts w:ascii="Palatino Linotype" w:eastAsia="Palatino Linotype" w:hAnsi="Palatino Linotype" w:cs="Palatino Linotype"/>
          <w:b/>
          <w:sz w:val="22"/>
          <w:szCs w:val="22"/>
        </w:rPr>
        <w:lastRenderedPageBreak/>
        <w:t xml:space="preserve">CUARTO. Notifíquese </w:t>
      </w:r>
      <w:r w:rsidRPr="00082FB0">
        <w:rPr>
          <w:rFonts w:ascii="Palatino Linotype" w:eastAsia="Palatino Linotype" w:hAnsi="Palatino Linotype" w:cs="Palatino Linotype"/>
          <w:sz w:val="22"/>
          <w:szCs w:val="22"/>
        </w:rPr>
        <w:t>vía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5BD473B" w14:textId="1914792B" w:rsidR="007678B0" w:rsidRPr="00082FB0" w:rsidRDefault="007678B0" w:rsidP="00576F1B">
      <w:pPr>
        <w:shd w:val="clear" w:color="auto" w:fill="FFFFFF"/>
        <w:spacing w:line="360" w:lineRule="auto"/>
        <w:ind w:right="-992"/>
        <w:jc w:val="both"/>
        <w:rPr>
          <w:rFonts w:ascii="Palatino Linotype" w:eastAsia="Palatino Linotype" w:hAnsi="Palatino Linotype" w:cs="Palatino Linotype"/>
          <w:color w:val="000000"/>
        </w:rPr>
      </w:pPr>
    </w:p>
    <w:p w14:paraId="39626EC9" w14:textId="37AFDDE5" w:rsidR="007678B0" w:rsidRPr="00082FB0" w:rsidRDefault="00E315F0" w:rsidP="00576F1B">
      <w:pPr>
        <w:widowControl w:val="0"/>
        <w:pBdr>
          <w:top w:val="nil"/>
          <w:left w:val="nil"/>
          <w:bottom w:val="nil"/>
          <w:right w:val="nil"/>
          <w:between w:val="nil"/>
        </w:pBdr>
        <w:tabs>
          <w:tab w:val="left" w:pos="1701"/>
        </w:tabs>
        <w:spacing w:line="360" w:lineRule="auto"/>
        <w:ind w:right="-992"/>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b/>
          <w:color w:val="000000"/>
        </w:rPr>
        <w:t>QUINTO</w:t>
      </w:r>
      <w:r w:rsidRPr="00082FB0">
        <w:rPr>
          <w:rFonts w:ascii="Palatino Linotype" w:eastAsia="Palatino Linotype" w:hAnsi="Palatino Linotype" w:cs="Palatino Linotype"/>
          <w:b/>
          <w:color w:val="222222"/>
        </w:rPr>
        <w:t xml:space="preserve">. Notifíquese </w:t>
      </w:r>
      <w:r w:rsidRPr="00082FB0">
        <w:rPr>
          <w:rFonts w:ascii="Palatino Linotype" w:eastAsia="Palatino Linotype" w:hAnsi="Palatino Linotype" w:cs="Palatino Linotype"/>
          <w:color w:val="222222"/>
        </w:rPr>
        <w:t xml:space="preserve">a </w:t>
      </w:r>
      <w:r w:rsidRPr="00082FB0">
        <w:rPr>
          <w:rFonts w:ascii="Palatino Linotype" w:eastAsia="Palatino Linotype" w:hAnsi="Palatino Linotype" w:cs="Palatino Linotype"/>
          <w:b/>
          <w:color w:val="222222"/>
        </w:rPr>
        <w:t>EL RECURRENTE</w:t>
      </w:r>
      <w:r w:rsidRPr="00082FB0">
        <w:rPr>
          <w:rFonts w:ascii="Palatino Linotype" w:eastAsia="Palatino Linotype" w:hAnsi="Palatino Linotype" w:cs="Palatino Linotype"/>
          <w:color w:val="222222"/>
        </w:rPr>
        <w:t xml:space="preserve"> la p</w:t>
      </w:r>
      <w:r w:rsidR="00C845D5" w:rsidRPr="00082FB0">
        <w:rPr>
          <w:rFonts w:ascii="Palatino Linotype" w:eastAsia="Palatino Linotype" w:hAnsi="Palatino Linotype" w:cs="Palatino Linotype"/>
          <w:color w:val="222222"/>
        </w:rPr>
        <w:t>resente Resolución vía SAIMEX.</w:t>
      </w:r>
    </w:p>
    <w:p w14:paraId="1040F262" w14:textId="77777777" w:rsidR="007678B0" w:rsidRPr="00082FB0" w:rsidRDefault="007678B0" w:rsidP="00576F1B">
      <w:pPr>
        <w:widowControl w:val="0"/>
        <w:pBdr>
          <w:top w:val="nil"/>
          <w:left w:val="nil"/>
          <w:bottom w:val="nil"/>
          <w:right w:val="nil"/>
          <w:between w:val="nil"/>
        </w:pBdr>
        <w:tabs>
          <w:tab w:val="left" w:pos="1701"/>
        </w:tabs>
        <w:spacing w:line="360" w:lineRule="auto"/>
        <w:ind w:right="-992"/>
        <w:jc w:val="both"/>
        <w:rPr>
          <w:rFonts w:ascii="Palatino Linotype" w:eastAsia="Palatino Linotype" w:hAnsi="Palatino Linotype" w:cs="Palatino Linotype"/>
          <w:color w:val="000000"/>
        </w:rPr>
      </w:pPr>
    </w:p>
    <w:p w14:paraId="269F5984" w14:textId="77777777" w:rsidR="007678B0" w:rsidRPr="00082FB0" w:rsidRDefault="00E315F0" w:rsidP="00576F1B">
      <w:pPr>
        <w:widowControl w:val="0"/>
        <w:pBdr>
          <w:top w:val="nil"/>
          <w:left w:val="nil"/>
          <w:bottom w:val="nil"/>
          <w:right w:val="nil"/>
          <w:between w:val="nil"/>
        </w:pBdr>
        <w:tabs>
          <w:tab w:val="left" w:pos="1701"/>
        </w:tabs>
        <w:spacing w:line="360" w:lineRule="auto"/>
        <w:ind w:right="-992"/>
        <w:jc w:val="both"/>
        <w:rPr>
          <w:rFonts w:ascii="Palatino Linotype" w:eastAsia="Palatino Linotype" w:hAnsi="Palatino Linotype" w:cs="Palatino Linotype"/>
          <w:color w:val="000000"/>
        </w:rPr>
      </w:pPr>
      <w:r w:rsidRPr="00082FB0">
        <w:rPr>
          <w:rFonts w:ascii="Palatino Linotype" w:eastAsia="Palatino Linotype" w:hAnsi="Palatino Linotype" w:cs="Palatino Linotype"/>
          <w:b/>
          <w:color w:val="222222"/>
        </w:rPr>
        <w:t xml:space="preserve">SEXTO. </w:t>
      </w:r>
      <w:r w:rsidRPr="00082FB0">
        <w:rPr>
          <w:rFonts w:ascii="Palatino Linotype" w:eastAsia="Palatino Linotype" w:hAnsi="Palatino Linotype" w:cs="Palatino Linotype"/>
          <w:color w:val="000000"/>
        </w:rPr>
        <w:t xml:space="preserve">Se hace del conocimiento de </w:t>
      </w:r>
      <w:r w:rsidRPr="00082FB0">
        <w:rPr>
          <w:rFonts w:ascii="Palatino Linotype" w:eastAsia="Palatino Linotype" w:hAnsi="Palatino Linotype" w:cs="Palatino Linotype"/>
          <w:b/>
          <w:color w:val="000000"/>
        </w:rPr>
        <w:t>EL RECURRENTE</w:t>
      </w:r>
      <w:r w:rsidRPr="00082FB0">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w:t>
      </w:r>
      <w:r w:rsidRPr="00082FB0">
        <w:rPr>
          <w:rFonts w:ascii="Palatino Linotype" w:eastAsia="Palatino Linotype" w:hAnsi="Palatino Linotype" w:cs="Palatino Linotype"/>
        </w:rPr>
        <w:t>impugnar vía</w:t>
      </w:r>
      <w:r w:rsidRPr="00082FB0">
        <w:rPr>
          <w:rFonts w:ascii="Palatino Linotype" w:eastAsia="Palatino Linotype" w:hAnsi="Palatino Linotype" w:cs="Palatino Linotype"/>
          <w:color w:val="000000"/>
        </w:rPr>
        <w:t xml:space="preserve"> juicio de amparo en los términos de las leyes aplicables.</w:t>
      </w:r>
    </w:p>
    <w:p w14:paraId="1E3AED4B" w14:textId="77777777" w:rsidR="00576F1B" w:rsidRPr="00082FB0" w:rsidRDefault="00576F1B" w:rsidP="00576F1B">
      <w:pPr>
        <w:widowControl w:val="0"/>
        <w:pBdr>
          <w:top w:val="nil"/>
          <w:left w:val="nil"/>
          <w:bottom w:val="nil"/>
          <w:right w:val="nil"/>
          <w:between w:val="nil"/>
        </w:pBdr>
        <w:tabs>
          <w:tab w:val="left" w:pos="1701"/>
        </w:tabs>
        <w:spacing w:line="360" w:lineRule="auto"/>
        <w:ind w:right="-992"/>
        <w:jc w:val="both"/>
        <w:rPr>
          <w:rFonts w:ascii="Palatino Linotype" w:eastAsia="Palatino Linotype" w:hAnsi="Palatino Linotype" w:cs="Palatino Linotype"/>
          <w:color w:val="000000"/>
        </w:rPr>
      </w:pPr>
    </w:p>
    <w:p w14:paraId="1494A365" w14:textId="0696C6A6" w:rsidR="00576F1B" w:rsidRPr="00082FB0" w:rsidRDefault="00576F1B" w:rsidP="00576F1B">
      <w:pPr>
        <w:spacing w:line="360" w:lineRule="auto"/>
        <w:ind w:right="-992"/>
        <w:jc w:val="both"/>
        <w:rPr>
          <w:rFonts w:ascii="Palatino Linotype" w:eastAsia="Calibri" w:hAnsi="Palatino Linotype" w:cs="Arial"/>
          <w:bCs/>
          <w:sz w:val="22"/>
          <w:szCs w:val="22"/>
        </w:rPr>
      </w:pPr>
      <w:r w:rsidRPr="00082FB0">
        <w:rPr>
          <w:rFonts w:ascii="Palatino Linotype" w:hAnsi="Palatino Linotype"/>
          <w:b/>
          <w:color w:val="000000"/>
          <w:sz w:val="22"/>
          <w:szCs w:val="22"/>
          <w:shd w:val="clear" w:color="auto" w:fill="FFFFFF"/>
        </w:rPr>
        <w:t xml:space="preserve">SÉPTIMO. </w:t>
      </w:r>
      <w:r w:rsidRPr="00082FB0">
        <w:rPr>
          <w:rFonts w:ascii="Palatino Linotype" w:eastAsia="Calibri" w:hAnsi="Palatino Linotype" w:cs="Arial"/>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5AE237F" w14:textId="77777777" w:rsidR="00576F1B" w:rsidRPr="00082FB0" w:rsidRDefault="00576F1B">
      <w:pPr>
        <w:widowControl w:val="0"/>
        <w:pBdr>
          <w:top w:val="nil"/>
          <w:left w:val="nil"/>
          <w:bottom w:val="nil"/>
          <w:right w:val="nil"/>
          <w:between w:val="nil"/>
        </w:pBdr>
        <w:tabs>
          <w:tab w:val="left" w:pos="1701"/>
        </w:tabs>
        <w:spacing w:line="360" w:lineRule="auto"/>
        <w:ind w:right="-989"/>
        <w:jc w:val="both"/>
        <w:rPr>
          <w:rFonts w:ascii="Palatino Linotype" w:eastAsia="Palatino Linotype" w:hAnsi="Palatino Linotype" w:cs="Palatino Linotype"/>
          <w:color w:val="000000"/>
        </w:rPr>
      </w:pPr>
    </w:p>
    <w:p w14:paraId="7E2CC3EA" w14:textId="77777777" w:rsidR="00576F1B" w:rsidRPr="00082FB0" w:rsidRDefault="00576F1B">
      <w:pPr>
        <w:widowControl w:val="0"/>
        <w:pBdr>
          <w:top w:val="nil"/>
          <w:left w:val="nil"/>
          <w:bottom w:val="nil"/>
          <w:right w:val="nil"/>
          <w:between w:val="nil"/>
        </w:pBdr>
        <w:tabs>
          <w:tab w:val="left" w:pos="1701"/>
        </w:tabs>
        <w:spacing w:line="360" w:lineRule="auto"/>
        <w:ind w:right="-989"/>
        <w:jc w:val="both"/>
        <w:rPr>
          <w:rFonts w:ascii="Palatino Linotype" w:eastAsia="Palatino Linotype" w:hAnsi="Palatino Linotype" w:cs="Palatino Linotype"/>
          <w:color w:val="000000"/>
        </w:rPr>
      </w:pPr>
    </w:p>
    <w:p w14:paraId="68F62554" w14:textId="6A831B26" w:rsidR="00576F1B" w:rsidRPr="00D2758E" w:rsidRDefault="00576F1B" w:rsidP="00576F1B">
      <w:pPr>
        <w:spacing w:line="360" w:lineRule="auto"/>
        <w:ind w:left="-142" w:right="-992" w:firstLine="1"/>
        <w:jc w:val="both"/>
        <w:rPr>
          <w:rFonts w:ascii="Palatino Linotype" w:hAnsi="Palatino Linotype"/>
        </w:rPr>
      </w:pPr>
      <w:r w:rsidRPr="00082FB0">
        <w:rPr>
          <w:rFonts w:ascii="Palatino Linotype" w:hAnsi="Palatino Linotype"/>
        </w:rPr>
        <w:t xml:space="preserve">ASÍ LO RESUELVE, POR UNANIMIDAD DE VOTOS, </w:t>
      </w:r>
      <w:r w:rsidR="00D2758E" w:rsidRPr="00082FB0">
        <w:rPr>
          <w:rFonts w:ascii="Palatino Linotype" w:hAnsi="Palatino Linotype"/>
        </w:rPr>
        <w:t xml:space="preserve">LOS RECURSOS </w:t>
      </w:r>
      <w:r w:rsidR="00D2758E" w:rsidRPr="00082FB0">
        <w:rPr>
          <w:rFonts w:ascii="Palatino Linotype" w:eastAsia="Palatino Linotype" w:hAnsi="Palatino Linotype" w:cs="Palatino Linotype"/>
        </w:rPr>
        <w:t>Revisión 03498/INFOEM/IP/RR/2024 y 03638/INFOEM/IP/RR/2024</w:t>
      </w:r>
      <w:r w:rsidR="00D2758E" w:rsidRPr="00082FB0">
        <w:rPr>
          <w:rFonts w:ascii="Palatino Linotype" w:eastAsia="Palatino Linotype" w:hAnsi="Palatino Linotype" w:cs="Palatino Linotype"/>
          <w:color w:val="000000"/>
        </w:rPr>
        <w:t xml:space="preserve"> Y POR MAYORÍA DE </w:t>
      </w:r>
      <w:r w:rsidR="00D2758E" w:rsidRPr="00082FB0">
        <w:rPr>
          <w:rFonts w:ascii="Palatino Linotype" w:eastAsia="Palatino Linotype" w:hAnsi="Palatino Linotype" w:cs="Palatino Linotype"/>
          <w:color w:val="000000"/>
        </w:rPr>
        <w:lastRenderedPageBreak/>
        <w:t>VOTOS EL RECURSO</w:t>
      </w:r>
      <w:r w:rsidR="00D2758E" w:rsidRPr="00082FB0">
        <w:rPr>
          <w:rFonts w:ascii="Palatino Linotype" w:hAnsi="Palatino Linotype"/>
        </w:rPr>
        <w:t xml:space="preserve"> </w:t>
      </w:r>
      <w:r w:rsidR="00D2758E" w:rsidRPr="00082FB0">
        <w:rPr>
          <w:rFonts w:ascii="Palatino Linotype" w:eastAsia="Palatino Linotype" w:hAnsi="Palatino Linotype" w:cs="Palatino Linotype"/>
        </w:rPr>
        <w:t xml:space="preserve">00033/INFOEM/IP/RR/2025, </w:t>
      </w:r>
      <w:r w:rsidRPr="00082FB0">
        <w:rPr>
          <w:rFonts w:ascii="Palatino Linotype" w:hAnsi="Palatino Linotype"/>
        </w:rPr>
        <w:t>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D2758E" w:rsidRPr="00082FB0">
        <w:rPr>
          <w:rFonts w:ascii="Palatino Linotype" w:hAnsi="Palatino Linotype"/>
        </w:rPr>
        <w:t xml:space="preserve"> EMITIENDO VOTO DISIDENTE EN EL RECURSO </w:t>
      </w:r>
      <w:r w:rsidR="00D2758E" w:rsidRPr="00082FB0">
        <w:rPr>
          <w:rFonts w:ascii="Palatino Linotype" w:eastAsia="Palatino Linotype" w:hAnsi="Palatino Linotype" w:cs="Palatino Linotype"/>
        </w:rPr>
        <w:t>00033/INFOEM/IP/RR/2025</w:t>
      </w:r>
      <w:r w:rsidRPr="00082FB0">
        <w:rPr>
          <w:rFonts w:ascii="Palatino Linotype" w:hAnsi="Palatino Linotype"/>
        </w:rPr>
        <w:t>; EN LA SÉPTIMA SESIÓN ORDINARIA CELEBRADA EL VEINTISÉIS (26) DE FEBRERO DE DOS MIL VEINTICINCO, ANTE EL SECRETARIO TÉCNICO DEL PLENO ALEXIS TAPIA RAMÍREZ.</w:t>
      </w:r>
      <w:r w:rsidRPr="00D2758E">
        <w:rPr>
          <w:rFonts w:ascii="Palatino Linotype" w:hAnsi="Palatino Linotype"/>
        </w:rPr>
        <w:t xml:space="preserve"> </w:t>
      </w:r>
    </w:p>
    <w:p w14:paraId="3A9789F9" w14:textId="77777777" w:rsidR="007678B0" w:rsidRDefault="007678B0">
      <w:pPr>
        <w:spacing w:line="360" w:lineRule="auto"/>
        <w:ind w:right="-989"/>
        <w:rPr>
          <w:rFonts w:ascii="Palatino Linotype" w:eastAsia="Palatino Linotype" w:hAnsi="Palatino Linotype" w:cs="Palatino Linotype"/>
        </w:rPr>
      </w:pPr>
    </w:p>
    <w:p w14:paraId="6A84D19F" w14:textId="77777777" w:rsidR="00082FB0" w:rsidRDefault="00082FB0">
      <w:pPr>
        <w:spacing w:line="360" w:lineRule="auto"/>
        <w:ind w:right="-989"/>
        <w:rPr>
          <w:rFonts w:ascii="Palatino Linotype" w:eastAsia="Palatino Linotype" w:hAnsi="Palatino Linotype" w:cs="Palatino Linotype"/>
        </w:rPr>
      </w:pPr>
    </w:p>
    <w:p w14:paraId="046AACF6" w14:textId="77777777" w:rsidR="00082FB0" w:rsidRDefault="00082FB0">
      <w:pPr>
        <w:spacing w:line="360" w:lineRule="auto"/>
        <w:ind w:right="-989"/>
        <w:rPr>
          <w:rFonts w:ascii="Palatino Linotype" w:eastAsia="Palatino Linotype" w:hAnsi="Palatino Linotype" w:cs="Palatino Linotype"/>
        </w:rPr>
      </w:pPr>
    </w:p>
    <w:p w14:paraId="0B7A17F0" w14:textId="77777777" w:rsidR="00082FB0" w:rsidRDefault="00082FB0">
      <w:pPr>
        <w:spacing w:line="360" w:lineRule="auto"/>
        <w:ind w:right="-989"/>
        <w:rPr>
          <w:rFonts w:ascii="Palatino Linotype" w:eastAsia="Palatino Linotype" w:hAnsi="Palatino Linotype" w:cs="Palatino Linotype"/>
        </w:rPr>
      </w:pPr>
    </w:p>
    <w:p w14:paraId="65F4F900" w14:textId="77777777" w:rsidR="00082FB0" w:rsidRDefault="00082FB0">
      <w:pPr>
        <w:spacing w:line="360" w:lineRule="auto"/>
        <w:ind w:right="-989"/>
        <w:rPr>
          <w:rFonts w:ascii="Palatino Linotype" w:eastAsia="Palatino Linotype" w:hAnsi="Palatino Linotype" w:cs="Palatino Linotype"/>
        </w:rPr>
      </w:pPr>
    </w:p>
    <w:p w14:paraId="0201524A" w14:textId="77777777" w:rsidR="00082FB0" w:rsidRDefault="00082FB0">
      <w:pPr>
        <w:spacing w:line="360" w:lineRule="auto"/>
        <w:ind w:right="-989"/>
        <w:rPr>
          <w:rFonts w:ascii="Palatino Linotype" w:eastAsia="Palatino Linotype" w:hAnsi="Palatino Linotype" w:cs="Palatino Linotype"/>
        </w:rPr>
      </w:pPr>
    </w:p>
    <w:p w14:paraId="07BE99D5" w14:textId="77777777" w:rsidR="00082FB0" w:rsidRDefault="00082FB0">
      <w:pPr>
        <w:spacing w:line="360" w:lineRule="auto"/>
        <w:ind w:right="-989"/>
        <w:rPr>
          <w:rFonts w:ascii="Palatino Linotype" w:eastAsia="Palatino Linotype" w:hAnsi="Palatino Linotype" w:cs="Palatino Linotype"/>
        </w:rPr>
      </w:pPr>
    </w:p>
    <w:p w14:paraId="362035A8" w14:textId="77777777" w:rsidR="00082FB0" w:rsidRDefault="00082FB0">
      <w:pPr>
        <w:spacing w:line="360" w:lineRule="auto"/>
        <w:ind w:right="-989"/>
        <w:rPr>
          <w:rFonts w:ascii="Palatino Linotype" w:eastAsia="Palatino Linotype" w:hAnsi="Palatino Linotype" w:cs="Palatino Linotype"/>
        </w:rPr>
      </w:pPr>
    </w:p>
    <w:p w14:paraId="0CB73E20" w14:textId="77777777" w:rsidR="00082FB0" w:rsidRDefault="00082FB0">
      <w:pPr>
        <w:spacing w:line="360" w:lineRule="auto"/>
        <w:ind w:right="-989"/>
        <w:rPr>
          <w:rFonts w:ascii="Palatino Linotype" w:eastAsia="Palatino Linotype" w:hAnsi="Palatino Linotype" w:cs="Palatino Linotype"/>
        </w:rPr>
      </w:pPr>
    </w:p>
    <w:p w14:paraId="6CD6FC7B" w14:textId="77777777" w:rsidR="00082FB0" w:rsidRDefault="00082FB0">
      <w:pPr>
        <w:spacing w:line="360" w:lineRule="auto"/>
        <w:ind w:right="-989"/>
        <w:rPr>
          <w:rFonts w:ascii="Palatino Linotype" w:eastAsia="Palatino Linotype" w:hAnsi="Palatino Linotype" w:cs="Palatino Linotype"/>
        </w:rPr>
      </w:pPr>
    </w:p>
    <w:p w14:paraId="0EA0F6FE" w14:textId="77777777" w:rsidR="00082FB0" w:rsidRDefault="00082FB0">
      <w:pPr>
        <w:spacing w:line="360" w:lineRule="auto"/>
        <w:ind w:right="-989"/>
        <w:rPr>
          <w:rFonts w:ascii="Palatino Linotype" w:eastAsia="Palatino Linotype" w:hAnsi="Palatino Linotype" w:cs="Palatino Linotype"/>
        </w:rPr>
      </w:pPr>
    </w:p>
    <w:p w14:paraId="50302EF0" w14:textId="77777777" w:rsidR="00082FB0" w:rsidRDefault="00082FB0">
      <w:pPr>
        <w:spacing w:line="360" w:lineRule="auto"/>
        <w:ind w:right="-989"/>
        <w:rPr>
          <w:rFonts w:ascii="Palatino Linotype" w:eastAsia="Palatino Linotype" w:hAnsi="Palatino Linotype" w:cs="Palatino Linotype"/>
        </w:rPr>
      </w:pPr>
    </w:p>
    <w:p w14:paraId="63857DA9" w14:textId="77777777" w:rsidR="00082FB0" w:rsidRDefault="00082FB0">
      <w:pPr>
        <w:spacing w:line="360" w:lineRule="auto"/>
        <w:ind w:right="-989"/>
        <w:rPr>
          <w:rFonts w:ascii="Palatino Linotype" w:eastAsia="Palatino Linotype" w:hAnsi="Palatino Linotype" w:cs="Palatino Linotype"/>
        </w:rPr>
      </w:pPr>
    </w:p>
    <w:p w14:paraId="13329962" w14:textId="77777777" w:rsidR="00082FB0" w:rsidRDefault="00082FB0">
      <w:pPr>
        <w:spacing w:line="360" w:lineRule="auto"/>
        <w:ind w:right="-989"/>
        <w:rPr>
          <w:rFonts w:ascii="Palatino Linotype" w:eastAsia="Palatino Linotype" w:hAnsi="Palatino Linotype" w:cs="Palatino Linotype"/>
        </w:rPr>
      </w:pPr>
    </w:p>
    <w:p w14:paraId="1733080A" w14:textId="77777777" w:rsidR="00082FB0" w:rsidRDefault="00082FB0">
      <w:pPr>
        <w:spacing w:line="360" w:lineRule="auto"/>
        <w:ind w:right="-989"/>
        <w:rPr>
          <w:rFonts w:ascii="Palatino Linotype" w:eastAsia="Palatino Linotype" w:hAnsi="Palatino Linotype" w:cs="Palatino Linotype"/>
        </w:rPr>
      </w:pPr>
    </w:p>
    <w:p w14:paraId="1BC82D65" w14:textId="77777777" w:rsidR="00082FB0" w:rsidRDefault="00082FB0">
      <w:pPr>
        <w:spacing w:line="360" w:lineRule="auto"/>
        <w:ind w:right="-989"/>
        <w:rPr>
          <w:rFonts w:ascii="Palatino Linotype" w:eastAsia="Palatino Linotype" w:hAnsi="Palatino Linotype" w:cs="Palatino Linotype"/>
        </w:rPr>
      </w:pPr>
    </w:p>
    <w:p w14:paraId="69823349" w14:textId="77777777" w:rsidR="00082FB0" w:rsidRDefault="00082FB0">
      <w:pPr>
        <w:spacing w:line="360" w:lineRule="auto"/>
        <w:ind w:right="-989"/>
        <w:rPr>
          <w:rFonts w:ascii="Palatino Linotype" w:eastAsia="Palatino Linotype" w:hAnsi="Palatino Linotype" w:cs="Palatino Linotype"/>
        </w:rPr>
      </w:pPr>
    </w:p>
    <w:p w14:paraId="42F66F2E" w14:textId="77777777" w:rsidR="00082FB0" w:rsidRDefault="00082FB0">
      <w:pPr>
        <w:spacing w:line="360" w:lineRule="auto"/>
        <w:ind w:right="-989"/>
        <w:rPr>
          <w:rFonts w:ascii="Palatino Linotype" w:eastAsia="Palatino Linotype" w:hAnsi="Palatino Linotype" w:cs="Palatino Linotype"/>
        </w:rPr>
      </w:pPr>
    </w:p>
    <w:p w14:paraId="031414A0" w14:textId="77777777" w:rsidR="00082FB0" w:rsidRDefault="00082FB0">
      <w:pPr>
        <w:spacing w:line="360" w:lineRule="auto"/>
        <w:ind w:right="-989"/>
        <w:rPr>
          <w:rFonts w:ascii="Palatino Linotype" w:eastAsia="Palatino Linotype" w:hAnsi="Palatino Linotype" w:cs="Palatino Linotype"/>
        </w:rPr>
      </w:pPr>
    </w:p>
    <w:sectPr w:rsidR="00082FB0">
      <w:headerReference w:type="default" r:id="rId12"/>
      <w:footerReference w:type="default" r:id="rId13"/>
      <w:headerReference w:type="first" r:id="rId14"/>
      <w:footerReference w:type="first" r:id="rId15"/>
      <w:pgSz w:w="12240" w:h="15840"/>
      <w:pgMar w:top="1691" w:right="1750" w:bottom="212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24750C" w14:textId="77777777" w:rsidR="006220F2" w:rsidRDefault="006220F2">
      <w:r>
        <w:separator/>
      </w:r>
    </w:p>
  </w:endnote>
  <w:endnote w:type="continuationSeparator" w:id="0">
    <w:p w14:paraId="1AA3A354" w14:textId="77777777" w:rsidR="006220F2" w:rsidRDefault="00622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Segoe UI Symbol"/>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5C308" w14:textId="77777777" w:rsidR="00B97AD3" w:rsidRDefault="00B97AD3">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807710">
      <w:rPr>
        <w:rFonts w:ascii="Palatino Linotype" w:eastAsia="Palatino Linotype" w:hAnsi="Palatino Linotype" w:cs="Palatino Linotype"/>
        <w:b/>
        <w:noProof/>
        <w:color w:val="000000"/>
        <w:sz w:val="22"/>
        <w:szCs w:val="22"/>
      </w:rPr>
      <w:t>21</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807710">
      <w:rPr>
        <w:rFonts w:ascii="Palatino Linotype" w:eastAsia="Palatino Linotype" w:hAnsi="Palatino Linotype" w:cs="Palatino Linotype"/>
        <w:b/>
        <w:noProof/>
        <w:color w:val="000000"/>
        <w:sz w:val="22"/>
        <w:szCs w:val="22"/>
      </w:rPr>
      <w:t>61</w:t>
    </w:r>
    <w:r>
      <w:rPr>
        <w:rFonts w:ascii="Palatino Linotype" w:eastAsia="Palatino Linotype" w:hAnsi="Palatino Linotype" w:cs="Palatino Linotype"/>
        <w:b/>
        <w:color w:val="000000"/>
        <w:sz w:val="22"/>
        <w:szCs w:val="22"/>
      </w:rPr>
      <w:fldChar w:fldCharType="end"/>
    </w:r>
  </w:p>
  <w:p w14:paraId="2927F26F" w14:textId="77777777" w:rsidR="00B97AD3" w:rsidRDefault="00B97AD3">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14:paraId="7C8C4EB5" w14:textId="77777777" w:rsidR="00B97AD3" w:rsidRDefault="00B97A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D5E21" w14:textId="77777777" w:rsidR="00B97AD3" w:rsidRDefault="00B97AD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807710">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807710">
      <w:rPr>
        <w:rFonts w:ascii="Palatino Linotype" w:eastAsia="Palatino Linotype" w:hAnsi="Palatino Linotype" w:cs="Palatino Linotype"/>
        <w:noProof/>
        <w:color w:val="000000"/>
        <w:sz w:val="22"/>
        <w:szCs w:val="22"/>
      </w:rPr>
      <w:t>61</w:t>
    </w:r>
    <w:r>
      <w:rPr>
        <w:rFonts w:ascii="Palatino Linotype" w:eastAsia="Palatino Linotype" w:hAnsi="Palatino Linotype" w:cs="Palatino Linotype"/>
        <w:color w:val="000000"/>
        <w:sz w:val="22"/>
        <w:szCs w:val="22"/>
      </w:rPr>
      <w:fldChar w:fldCharType="end"/>
    </w:r>
  </w:p>
  <w:p w14:paraId="3B810370" w14:textId="77777777" w:rsidR="00B97AD3" w:rsidRDefault="00B97AD3">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14:paraId="5F6DA54B" w14:textId="77777777" w:rsidR="00B97AD3" w:rsidRDefault="00B97A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D73202" w14:textId="77777777" w:rsidR="006220F2" w:rsidRDefault="006220F2">
      <w:r>
        <w:separator/>
      </w:r>
    </w:p>
  </w:footnote>
  <w:footnote w:type="continuationSeparator" w:id="0">
    <w:p w14:paraId="42609913" w14:textId="77777777" w:rsidR="006220F2" w:rsidRDefault="006220F2">
      <w:r>
        <w:continuationSeparator/>
      </w:r>
    </w:p>
  </w:footnote>
  <w:footnote w:id="1">
    <w:p w14:paraId="4228AD3E" w14:textId="77777777" w:rsidR="00B97AD3" w:rsidRDefault="00B97AD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14:paraId="2D8AFCEA" w14:textId="77777777" w:rsidR="00B97AD3" w:rsidRDefault="00B97AD3">
      <w:pPr>
        <w:pBdr>
          <w:top w:val="nil"/>
          <w:left w:val="nil"/>
          <w:bottom w:val="nil"/>
          <w:right w:val="nil"/>
          <w:between w:val="nil"/>
        </w:pBdr>
        <w:rPr>
          <w:color w:val="000000"/>
        </w:rPr>
      </w:pPr>
      <w:r>
        <w:rPr>
          <w:vertAlign w:val="superscript"/>
        </w:rPr>
        <w:footnoteRef/>
      </w:r>
      <w:r>
        <w:rPr>
          <w:color w:val="000000"/>
        </w:rPr>
        <w:t xml:space="preserve"> Convención Americana sobre Derechos Humanos. Artículo 13.</w:t>
      </w:r>
    </w:p>
  </w:footnote>
  <w:footnote w:id="3">
    <w:p w14:paraId="48156B3C" w14:textId="77777777" w:rsidR="00B97AD3" w:rsidRDefault="00B97AD3">
      <w:pPr>
        <w:pBdr>
          <w:top w:val="nil"/>
          <w:left w:val="nil"/>
          <w:bottom w:val="nil"/>
          <w:right w:val="nil"/>
          <w:between w:val="nil"/>
        </w:pBdr>
        <w:rPr>
          <w:color w:val="000000"/>
        </w:rPr>
      </w:pPr>
      <w:r>
        <w:rPr>
          <w:vertAlign w:val="superscript"/>
        </w:rPr>
        <w:footnoteRef/>
      </w:r>
      <w:r>
        <w:rPr>
          <w:color w:val="000000"/>
        </w:rPr>
        <w:t xml:space="preserve"> Constitución Política de los Estados Unidos Mexicanos. Artículo sexto, sección A, Fracción I.</w:t>
      </w:r>
    </w:p>
  </w:footnote>
  <w:footnote w:id="4">
    <w:p w14:paraId="78BFA88C" w14:textId="77777777" w:rsidR="00B97AD3" w:rsidRDefault="00B97AD3">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5">
    <w:p w14:paraId="6BB1F533" w14:textId="77777777" w:rsidR="00B97AD3" w:rsidRDefault="00B97AD3">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6">
    <w:p w14:paraId="25188690" w14:textId="77777777" w:rsidR="00B97AD3" w:rsidRDefault="00B97AD3">
      <w:pPr>
        <w:pBdr>
          <w:top w:val="nil"/>
          <w:left w:val="nil"/>
          <w:bottom w:val="nil"/>
          <w:right w:val="nil"/>
          <w:between w:val="nil"/>
        </w:pBdr>
        <w:rPr>
          <w:color w:val="00000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7">
    <w:p w14:paraId="38EEFE7B" w14:textId="77777777" w:rsidR="00B97AD3" w:rsidRDefault="00B97AD3">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14:paraId="43A5890E" w14:textId="77777777" w:rsidR="00B97AD3" w:rsidRDefault="00B97AD3">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4087A5CB" w14:textId="77777777" w:rsidR="00B97AD3" w:rsidRDefault="00B97AD3">
      <w:pPr>
        <w:pBdr>
          <w:top w:val="nil"/>
          <w:left w:val="nil"/>
          <w:bottom w:val="nil"/>
          <w:right w:val="nil"/>
          <w:between w:val="nil"/>
        </w:pBdr>
        <w:rPr>
          <w:color w:val="000000"/>
        </w:rPr>
      </w:pPr>
      <w:r>
        <w:rPr>
          <w:color w:val="00000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2A428" w14:textId="77777777" w:rsidR="00B97AD3" w:rsidRDefault="00B97AD3">
    <w:pPr>
      <w:pBdr>
        <w:top w:val="nil"/>
        <w:left w:val="nil"/>
        <w:bottom w:val="nil"/>
        <w:right w:val="nil"/>
        <w:between w:val="nil"/>
      </w:pBdr>
      <w:tabs>
        <w:tab w:val="center" w:pos="4252"/>
        <w:tab w:val="right" w:pos="8504"/>
      </w:tabs>
      <w:rPr>
        <w:rFonts w:eastAsia="Calibri"/>
        <w:color w:val="000000"/>
      </w:rPr>
    </w:pPr>
    <w:r>
      <w:rPr>
        <w:noProof/>
        <w:lang w:val="es-MX" w:eastAsia="es-MX"/>
      </w:rPr>
      <w:drawing>
        <wp:anchor distT="0" distB="0" distL="0" distR="0" simplePos="0" relativeHeight="251658240" behindDoc="1" locked="0" layoutInCell="1" hidden="0" allowOverlap="1" wp14:anchorId="300BBC7E" wp14:editId="4D4AF149">
          <wp:simplePos x="0" y="0"/>
          <wp:positionH relativeFrom="column">
            <wp:posOffset>-876829</wp:posOffset>
          </wp:positionH>
          <wp:positionV relativeFrom="paragraph">
            <wp:posOffset>-421004</wp:posOffset>
          </wp:positionV>
          <wp:extent cx="7809876" cy="10165823"/>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7110" w:type="dxa"/>
      <w:tblInd w:w="3078" w:type="dxa"/>
      <w:tblBorders>
        <w:top w:val="nil"/>
        <w:left w:val="nil"/>
        <w:bottom w:val="nil"/>
        <w:right w:val="nil"/>
        <w:insideH w:val="nil"/>
        <w:insideV w:val="nil"/>
      </w:tblBorders>
      <w:tblLayout w:type="fixed"/>
      <w:tblLook w:val="0400" w:firstRow="0" w:lastRow="0" w:firstColumn="0" w:lastColumn="0" w:noHBand="0" w:noVBand="1"/>
    </w:tblPr>
    <w:tblGrid>
      <w:gridCol w:w="2550"/>
      <w:gridCol w:w="4560"/>
    </w:tblGrid>
    <w:tr w:rsidR="00B97AD3" w14:paraId="086818FF" w14:textId="77777777">
      <w:trPr>
        <w:trHeight w:val="138"/>
      </w:trPr>
      <w:tc>
        <w:tcPr>
          <w:tcW w:w="2550" w:type="dxa"/>
          <w:vAlign w:val="center"/>
        </w:tcPr>
        <w:p w14:paraId="1A90876C" w14:textId="77777777" w:rsidR="00B97AD3" w:rsidRDefault="00B97AD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60" w:type="dxa"/>
          <w:vAlign w:val="center"/>
        </w:tcPr>
        <w:p w14:paraId="35A7FB7F" w14:textId="77777777" w:rsidR="00B97AD3" w:rsidRDefault="00B97AD3">
          <w:pPr>
            <w:pBdr>
              <w:top w:val="nil"/>
              <w:left w:val="nil"/>
              <w:bottom w:val="nil"/>
              <w:right w:val="nil"/>
              <w:between w:val="nil"/>
            </w:pBdr>
            <w:tabs>
              <w:tab w:val="center" w:pos="4252"/>
              <w:tab w:val="right" w:pos="8504"/>
            </w:tabs>
            <w:ind w:right="-773"/>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03498/INFOEM/IP/RR/2024 y </w:t>
          </w:r>
          <w:r>
            <w:rPr>
              <w:rFonts w:ascii="Palatino Linotype" w:eastAsia="Palatino Linotype" w:hAnsi="Palatino Linotype" w:cs="Palatino Linotype"/>
              <w:sz w:val="22"/>
              <w:szCs w:val="22"/>
            </w:rPr>
            <w:t>A</w:t>
          </w:r>
          <w:r>
            <w:rPr>
              <w:rFonts w:ascii="Palatino Linotype" w:eastAsia="Palatino Linotype" w:hAnsi="Palatino Linotype" w:cs="Palatino Linotype"/>
              <w:color w:val="000000"/>
              <w:sz w:val="22"/>
              <w:szCs w:val="22"/>
            </w:rPr>
            <w:t>cumulado</w:t>
          </w:r>
        </w:p>
      </w:tc>
    </w:tr>
    <w:tr w:rsidR="00B97AD3" w14:paraId="646C662D" w14:textId="77777777">
      <w:trPr>
        <w:trHeight w:val="321"/>
      </w:trPr>
      <w:tc>
        <w:tcPr>
          <w:tcW w:w="2550" w:type="dxa"/>
          <w:vAlign w:val="center"/>
        </w:tcPr>
        <w:p w14:paraId="1C93AAA8" w14:textId="77777777" w:rsidR="00B97AD3" w:rsidRDefault="00B97AD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60" w:type="dxa"/>
          <w:vAlign w:val="center"/>
        </w:tcPr>
        <w:p w14:paraId="6806B576" w14:textId="77777777" w:rsidR="00B97AD3" w:rsidRDefault="00B97AD3">
          <w:pPr>
            <w:ind w:right="-77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Tlalnepantla de Baz</w:t>
          </w:r>
        </w:p>
      </w:tc>
    </w:tr>
    <w:tr w:rsidR="00B97AD3" w14:paraId="07562131" w14:textId="77777777">
      <w:trPr>
        <w:trHeight w:val="321"/>
      </w:trPr>
      <w:tc>
        <w:tcPr>
          <w:tcW w:w="2550" w:type="dxa"/>
          <w:vAlign w:val="center"/>
        </w:tcPr>
        <w:p w14:paraId="2D98C549" w14:textId="77777777" w:rsidR="00B97AD3" w:rsidRDefault="00B97AD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60" w:type="dxa"/>
          <w:vAlign w:val="center"/>
        </w:tcPr>
        <w:p w14:paraId="58D53B70" w14:textId="77777777" w:rsidR="00B97AD3" w:rsidRDefault="00B97AD3">
          <w:pPr>
            <w:pBdr>
              <w:top w:val="nil"/>
              <w:left w:val="nil"/>
              <w:bottom w:val="nil"/>
              <w:right w:val="nil"/>
              <w:between w:val="nil"/>
            </w:pBdr>
            <w:tabs>
              <w:tab w:val="center" w:pos="4252"/>
              <w:tab w:val="right" w:pos="8504"/>
            </w:tabs>
            <w:ind w:right="-773"/>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0E43FEB0" w14:textId="77777777" w:rsidR="00B97AD3" w:rsidRDefault="00B97AD3">
    <w:pPr>
      <w:pBdr>
        <w:top w:val="nil"/>
        <w:left w:val="nil"/>
        <w:bottom w:val="nil"/>
        <w:right w:val="nil"/>
        <w:between w:val="nil"/>
      </w:pBdr>
      <w:tabs>
        <w:tab w:val="center" w:pos="4252"/>
        <w:tab w:val="right" w:pos="8504"/>
      </w:tabs>
      <w:rPr>
        <w:rFonts w:eastAsia="Calibri"/>
        <w:color w:val="000000"/>
      </w:rPr>
    </w:pPr>
  </w:p>
  <w:p w14:paraId="618E6E04" w14:textId="77777777" w:rsidR="00B97AD3" w:rsidRDefault="00B97A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C4E25" w14:textId="77777777" w:rsidR="00B97AD3" w:rsidRDefault="00B97AD3">
    <w:pPr>
      <w:pBdr>
        <w:top w:val="nil"/>
        <w:left w:val="nil"/>
        <w:bottom w:val="nil"/>
        <w:right w:val="nil"/>
        <w:between w:val="nil"/>
      </w:pBdr>
      <w:tabs>
        <w:tab w:val="center" w:pos="4252"/>
        <w:tab w:val="right" w:pos="8504"/>
        <w:tab w:val="left" w:pos="3103"/>
      </w:tabs>
      <w:rPr>
        <w:rFonts w:eastAsia="Calibri"/>
        <w:color w:val="000000"/>
      </w:rPr>
    </w:pPr>
    <w:r>
      <w:rPr>
        <w:rFonts w:eastAsia="Calibri"/>
        <w:color w:val="000000"/>
      </w:rPr>
      <w:tab/>
    </w:r>
    <w:r>
      <w:rPr>
        <w:rFonts w:eastAsia="Calibri"/>
        <w:color w:val="000000"/>
      </w:rPr>
      <w:tab/>
    </w:r>
    <w:r>
      <w:rPr>
        <w:noProof/>
        <w:lang w:val="es-MX" w:eastAsia="es-MX"/>
      </w:rPr>
      <w:drawing>
        <wp:anchor distT="0" distB="0" distL="0" distR="0" simplePos="0" relativeHeight="251659264" behindDoc="1" locked="0" layoutInCell="1" hidden="0" allowOverlap="1" wp14:anchorId="4F174A3F" wp14:editId="4B882CBA">
          <wp:simplePos x="0" y="0"/>
          <wp:positionH relativeFrom="column">
            <wp:posOffset>-1033769</wp:posOffset>
          </wp:positionH>
          <wp:positionV relativeFrom="paragraph">
            <wp:posOffset>-375919</wp:posOffset>
          </wp:positionV>
          <wp:extent cx="7809876" cy="10165823"/>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7065" w:type="dxa"/>
      <w:tblInd w:w="279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535"/>
      <w:gridCol w:w="255"/>
      <w:gridCol w:w="4275"/>
    </w:tblGrid>
    <w:tr w:rsidR="00B97AD3" w14:paraId="7E9F095E" w14:textId="77777777">
      <w:trPr>
        <w:trHeight w:val="138"/>
      </w:trPr>
      <w:tc>
        <w:tcPr>
          <w:tcW w:w="2535" w:type="dxa"/>
          <w:vAlign w:val="center"/>
        </w:tcPr>
        <w:p w14:paraId="190EDAD4" w14:textId="77777777" w:rsidR="00B97AD3" w:rsidRDefault="00B97AD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55" w:type="dxa"/>
          <w:vAlign w:val="center"/>
        </w:tcPr>
        <w:p w14:paraId="69EDB461" w14:textId="77777777" w:rsidR="00B97AD3" w:rsidRDefault="00B97AD3">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color w:val="000000"/>
              <w:sz w:val="22"/>
              <w:szCs w:val="22"/>
            </w:rPr>
          </w:pPr>
        </w:p>
      </w:tc>
      <w:tc>
        <w:tcPr>
          <w:tcW w:w="4275" w:type="dxa"/>
          <w:vAlign w:val="center"/>
        </w:tcPr>
        <w:p w14:paraId="5F2DE45F" w14:textId="77777777" w:rsidR="00B97AD3" w:rsidRDefault="00B97AD3">
          <w:pPr>
            <w:pBdr>
              <w:top w:val="nil"/>
              <w:left w:val="nil"/>
              <w:bottom w:val="nil"/>
              <w:right w:val="nil"/>
              <w:between w:val="nil"/>
            </w:pBdr>
            <w:tabs>
              <w:tab w:val="center" w:pos="4252"/>
              <w:tab w:val="right" w:pos="8504"/>
            </w:tabs>
            <w:ind w:right="-923"/>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03498/INFOEM/IP/RR/2024 y </w:t>
          </w:r>
          <w:r>
            <w:rPr>
              <w:rFonts w:ascii="Palatino Linotype" w:eastAsia="Palatino Linotype" w:hAnsi="Palatino Linotype" w:cs="Palatino Linotype"/>
              <w:sz w:val="22"/>
              <w:szCs w:val="22"/>
            </w:rPr>
            <w:t>A</w:t>
          </w:r>
          <w:r>
            <w:rPr>
              <w:rFonts w:ascii="Palatino Linotype" w:eastAsia="Palatino Linotype" w:hAnsi="Palatino Linotype" w:cs="Palatino Linotype"/>
              <w:color w:val="000000"/>
              <w:sz w:val="22"/>
              <w:szCs w:val="22"/>
            </w:rPr>
            <w:t>cumulados</w:t>
          </w:r>
        </w:p>
      </w:tc>
    </w:tr>
    <w:tr w:rsidR="00B97AD3" w14:paraId="10B822F1" w14:textId="77777777">
      <w:trPr>
        <w:trHeight w:val="227"/>
      </w:trPr>
      <w:tc>
        <w:tcPr>
          <w:tcW w:w="2535" w:type="dxa"/>
          <w:vAlign w:val="center"/>
        </w:tcPr>
        <w:p w14:paraId="36375AD4" w14:textId="77777777" w:rsidR="00B97AD3" w:rsidRDefault="00B97AD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255" w:type="dxa"/>
          <w:vAlign w:val="center"/>
        </w:tcPr>
        <w:p w14:paraId="04A43E47" w14:textId="77777777" w:rsidR="00B97AD3" w:rsidRDefault="00B97AD3">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color w:val="000000"/>
              <w:sz w:val="22"/>
              <w:szCs w:val="22"/>
            </w:rPr>
          </w:pPr>
        </w:p>
      </w:tc>
      <w:tc>
        <w:tcPr>
          <w:tcW w:w="4275" w:type="dxa"/>
          <w:vAlign w:val="center"/>
        </w:tcPr>
        <w:p w14:paraId="2BF5D34E" w14:textId="6B25DD9B" w:rsidR="00B97AD3" w:rsidRDefault="00807710">
          <w:pPr>
            <w:pBdr>
              <w:top w:val="nil"/>
              <w:left w:val="nil"/>
              <w:bottom w:val="nil"/>
              <w:right w:val="nil"/>
              <w:between w:val="nil"/>
            </w:pBdr>
            <w:tabs>
              <w:tab w:val="center" w:pos="4252"/>
              <w:tab w:val="right" w:pos="8504"/>
            </w:tabs>
            <w:ind w:right="-923"/>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XXXX</w:t>
          </w:r>
        </w:p>
      </w:tc>
    </w:tr>
    <w:tr w:rsidR="00B97AD3" w14:paraId="6B3DCE54" w14:textId="77777777">
      <w:trPr>
        <w:trHeight w:val="232"/>
      </w:trPr>
      <w:tc>
        <w:tcPr>
          <w:tcW w:w="2535" w:type="dxa"/>
          <w:vAlign w:val="center"/>
        </w:tcPr>
        <w:p w14:paraId="03213598" w14:textId="77777777" w:rsidR="00B97AD3" w:rsidRDefault="00B97AD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55" w:type="dxa"/>
          <w:vAlign w:val="center"/>
        </w:tcPr>
        <w:p w14:paraId="2C11CAFB" w14:textId="77777777" w:rsidR="00B97AD3" w:rsidRDefault="00B97AD3">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color w:val="000000"/>
              <w:sz w:val="22"/>
              <w:szCs w:val="22"/>
            </w:rPr>
          </w:pPr>
        </w:p>
      </w:tc>
      <w:tc>
        <w:tcPr>
          <w:tcW w:w="4275" w:type="dxa"/>
          <w:vAlign w:val="center"/>
        </w:tcPr>
        <w:p w14:paraId="41A4D2F5" w14:textId="77777777" w:rsidR="00B97AD3" w:rsidRDefault="00B97AD3">
          <w:pPr>
            <w:ind w:right="-923"/>
            <w:rPr>
              <w:sz w:val="22"/>
              <w:szCs w:val="22"/>
            </w:rPr>
          </w:pPr>
          <w:r>
            <w:rPr>
              <w:rFonts w:ascii="Palatino Linotype" w:eastAsia="Palatino Linotype" w:hAnsi="Palatino Linotype" w:cs="Palatino Linotype"/>
              <w:sz w:val="22"/>
              <w:szCs w:val="22"/>
            </w:rPr>
            <w:t>Ayuntamiento de Tlalnepantla de Baz</w:t>
          </w:r>
        </w:p>
      </w:tc>
    </w:tr>
    <w:tr w:rsidR="00B97AD3" w14:paraId="333ACC50" w14:textId="77777777">
      <w:trPr>
        <w:trHeight w:val="320"/>
      </w:trPr>
      <w:tc>
        <w:tcPr>
          <w:tcW w:w="2535" w:type="dxa"/>
          <w:vAlign w:val="center"/>
        </w:tcPr>
        <w:p w14:paraId="3D2157BD" w14:textId="77777777" w:rsidR="00B97AD3" w:rsidRDefault="00B97AD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55" w:type="dxa"/>
          <w:vAlign w:val="center"/>
        </w:tcPr>
        <w:p w14:paraId="432FC4CD" w14:textId="77777777" w:rsidR="00B97AD3" w:rsidRDefault="00B97AD3">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color w:val="000000"/>
              <w:sz w:val="22"/>
              <w:szCs w:val="22"/>
            </w:rPr>
          </w:pPr>
        </w:p>
      </w:tc>
      <w:tc>
        <w:tcPr>
          <w:tcW w:w="4275" w:type="dxa"/>
          <w:vAlign w:val="center"/>
        </w:tcPr>
        <w:p w14:paraId="1A9DCFD5" w14:textId="77777777" w:rsidR="00B97AD3" w:rsidRDefault="00B97AD3">
          <w:pPr>
            <w:pBdr>
              <w:top w:val="nil"/>
              <w:left w:val="nil"/>
              <w:bottom w:val="nil"/>
              <w:right w:val="nil"/>
              <w:between w:val="nil"/>
            </w:pBdr>
            <w:tabs>
              <w:tab w:val="center" w:pos="4252"/>
              <w:tab w:val="right" w:pos="8504"/>
            </w:tabs>
            <w:ind w:right="-923"/>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71BCD9CC" w14:textId="77777777" w:rsidR="00B97AD3" w:rsidRDefault="00B97AD3">
    <w:pPr>
      <w:pBdr>
        <w:top w:val="nil"/>
        <w:left w:val="nil"/>
        <w:bottom w:val="nil"/>
        <w:right w:val="nil"/>
        <w:between w:val="nil"/>
      </w:pBdr>
      <w:tabs>
        <w:tab w:val="center" w:pos="4252"/>
        <w:tab w:val="right" w:pos="8504"/>
      </w:tabs>
      <w:rPr>
        <w:rFonts w:eastAsia="Calibri"/>
        <w:color w:val="000000"/>
      </w:rPr>
    </w:pPr>
  </w:p>
  <w:p w14:paraId="74FC64E9" w14:textId="77777777" w:rsidR="00B97AD3" w:rsidRDefault="00B97A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DD752B"/>
    <w:multiLevelType w:val="multilevel"/>
    <w:tmpl w:val="9C4EDE30"/>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252C4549"/>
    <w:multiLevelType w:val="multilevel"/>
    <w:tmpl w:val="8272C23E"/>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63721E"/>
    <w:multiLevelType w:val="multilevel"/>
    <w:tmpl w:val="4CF49B0A"/>
    <w:lvl w:ilvl="0">
      <w:start w:val="24"/>
      <w:numFmt w:val="decimal"/>
      <w:lvlText w:val="%1."/>
      <w:lvlJc w:val="left"/>
      <w:pPr>
        <w:ind w:left="72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86514CB"/>
    <w:multiLevelType w:val="multilevel"/>
    <w:tmpl w:val="E066442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4" w15:restartNumberingAfterBreak="0">
    <w:nsid w:val="4B025856"/>
    <w:multiLevelType w:val="multilevel"/>
    <w:tmpl w:val="6710392A"/>
    <w:lvl w:ilvl="0">
      <w:start w:val="1"/>
      <w:numFmt w:val="lowerLetter"/>
      <w:lvlText w:val="%1)"/>
      <w:lvlJc w:val="left"/>
      <w:pPr>
        <w:ind w:left="1865" w:hanging="360"/>
      </w:pPr>
    </w:lvl>
    <w:lvl w:ilvl="1">
      <w:start w:val="1"/>
      <w:numFmt w:val="lowerLetter"/>
      <w:lvlText w:val="%2."/>
      <w:lvlJc w:val="left"/>
      <w:pPr>
        <w:ind w:left="2585" w:hanging="360"/>
      </w:pPr>
    </w:lvl>
    <w:lvl w:ilvl="2">
      <w:start w:val="1"/>
      <w:numFmt w:val="lowerRoman"/>
      <w:lvlText w:val="%3."/>
      <w:lvlJc w:val="right"/>
      <w:pPr>
        <w:ind w:left="3305" w:hanging="180"/>
      </w:pPr>
    </w:lvl>
    <w:lvl w:ilvl="3">
      <w:start w:val="1"/>
      <w:numFmt w:val="decimal"/>
      <w:lvlText w:val="%4."/>
      <w:lvlJc w:val="left"/>
      <w:pPr>
        <w:ind w:left="4025" w:hanging="360"/>
      </w:pPr>
    </w:lvl>
    <w:lvl w:ilvl="4">
      <w:start w:val="1"/>
      <w:numFmt w:val="lowerLetter"/>
      <w:lvlText w:val="%5."/>
      <w:lvlJc w:val="left"/>
      <w:pPr>
        <w:ind w:left="4745" w:hanging="360"/>
      </w:pPr>
    </w:lvl>
    <w:lvl w:ilvl="5">
      <w:start w:val="1"/>
      <w:numFmt w:val="lowerRoman"/>
      <w:lvlText w:val="%6."/>
      <w:lvlJc w:val="right"/>
      <w:pPr>
        <w:ind w:left="5465" w:hanging="180"/>
      </w:pPr>
    </w:lvl>
    <w:lvl w:ilvl="6">
      <w:start w:val="1"/>
      <w:numFmt w:val="decimal"/>
      <w:lvlText w:val="%7."/>
      <w:lvlJc w:val="left"/>
      <w:pPr>
        <w:ind w:left="6185" w:hanging="360"/>
      </w:pPr>
    </w:lvl>
    <w:lvl w:ilvl="7">
      <w:start w:val="1"/>
      <w:numFmt w:val="lowerLetter"/>
      <w:lvlText w:val="%8."/>
      <w:lvlJc w:val="left"/>
      <w:pPr>
        <w:ind w:left="6905" w:hanging="360"/>
      </w:pPr>
    </w:lvl>
    <w:lvl w:ilvl="8">
      <w:start w:val="1"/>
      <w:numFmt w:val="lowerRoman"/>
      <w:lvlText w:val="%9."/>
      <w:lvlJc w:val="right"/>
      <w:pPr>
        <w:ind w:left="7625"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8B0"/>
    <w:rsid w:val="00082FB0"/>
    <w:rsid w:val="00371D40"/>
    <w:rsid w:val="0044128A"/>
    <w:rsid w:val="00576F1B"/>
    <w:rsid w:val="005D5A8C"/>
    <w:rsid w:val="006220F2"/>
    <w:rsid w:val="006723F9"/>
    <w:rsid w:val="007678B0"/>
    <w:rsid w:val="00807710"/>
    <w:rsid w:val="0083177F"/>
    <w:rsid w:val="0085660B"/>
    <w:rsid w:val="00885EC5"/>
    <w:rsid w:val="008B73EB"/>
    <w:rsid w:val="009E31E8"/>
    <w:rsid w:val="00B74B62"/>
    <w:rsid w:val="00B97AD3"/>
    <w:rsid w:val="00C845D5"/>
    <w:rsid w:val="00CC33DA"/>
    <w:rsid w:val="00D2758E"/>
    <w:rsid w:val="00E315F0"/>
    <w:rsid w:val="00FD3F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82A29"/>
  <w15:docId w15:val="{8A4E0A8A-3545-4237-9BF1-D49C3579E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47A"/>
    <w:rPr>
      <w:rFonts w:eastAsiaTheme="minorEastAsia"/>
      <w:lang w:eastAsia="es-ES"/>
    </w:rPr>
  </w:style>
  <w:style w:type="paragraph" w:styleId="Ttulo1">
    <w:name w:val="heading 1"/>
    <w:basedOn w:val="Normal"/>
    <w:next w:val="Normal"/>
    <w:link w:val="Ttulo1Car"/>
    <w:uiPriority w:val="9"/>
    <w:qFormat/>
    <w:rsid w:val="0043647A"/>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43647A"/>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43647A"/>
    <w:rPr>
      <w:rFonts w:ascii="Palatino Linotype" w:eastAsiaTheme="majorEastAsia" w:hAnsi="Palatino Linotype" w:cstheme="majorBidi"/>
      <w:b/>
      <w:color w:val="000000" w:themeColor="text1"/>
      <w:sz w:val="24"/>
      <w:szCs w:val="32"/>
    </w:rPr>
  </w:style>
  <w:style w:type="character" w:customStyle="1" w:styleId="Ttulo2Car">
    <w:name w:val="Título 2 Car"/>
    <w:basedOn w:val="Fuentedeprrafopredeter"/>
    <w:link w:val="Ttulo2"/>
    <w:uiPriority w:val="9"/>
    <w:rsid w:val="0043647A"/>
    <w:rPr>
      <w:rFonts w:ascii="Palatino Linotype" w:eastAsiaTheme="majorEastAsia" w:hAnsi="Palatino Linotype" w:cstheme="majorBidi"/>
      <w:b/>
      <w:color w:val="000000" w:themeColor="text1"/>
      <w:sz w:val="24"/>
      <w:szCs w:val="26"/>
    </w:rPr>
  </w:style>
  <w:style w:type="paragraph" w:styleId="Encabezado">
    <w:name w:val="header"/>
    <w:basedOn w:val="Normal"/>
    <w:link w:val="EncabezadoCar"/>
    <w:uiPriority w:val="99"/>
    <w:unhideWhenUsed/>
    <w:rsid w:val="0043647A"/>
    <w:pPr>
      <w:tabs>
        <w:tab w:val="center" w:pos="4252"/>
        <w:tab w:val="right" w:pos="8504"/>
      </w:tabs>
    </w:pPr>
  </w:style>
  <w:style w:type="character" w:customStyle="1" w:styleId="EncabezadoCar">
    <w:name w:val="Encabezado Car"/>
    <w:basedOn w:val="Fuentedeprrafopredeter"/>
    <w:link w:val="Encabezado"/>
    <w:uiPriority w:val="99"/>
    <w:rsid w:val="0043647A"/>
    <w:rPr>
      <w:rFonts w:eastAsiaTheme="minorEastAsia"/>
      <w:sz w:val="24"/>
      <w:szCs w:val="24"/>
      <w:lang w:val="es-ES_tradnl" w:eastAsia="es-ES"/>
    </w:rPr>
  </w:style>
  <w:style w:type="paragraph" w:styleId="Piedepgina">
    <w:name w:val="footer"/>
    <w:basedOn w:val="Normal"/>
    <w:link w:val="PiedepginaCar"/>
    <w:uiPriority w:val="99"/>
    <w:unhideWhenUsed/>
    <w:rsid w:val="0043647A"/>
    <w:pPr>
      <w:tabs>
        <w:tab w:val="center" w:pos="4252"/>
        <w:tab w:val="right" w:pos="8504"/>
      </w:tabs>
    </w:pPr>
  </w:style>
  <w:style w:type="character" w:customStyle="1" w:styleId="PiedepginaCar">
    <w:name w:val="Pie de página Car"/>
    <w:basedOn w:val="Fuentedeprrafopredeter"/>
    <w:link w:val="Piedepgina"/>
    <w:uiPriority w:val="99"/>
    <w:rsid w:val="0043647A"/>
    <w:rPr>
      <w:rFonts w:eastAsiaTheme="minorEastAsia"/>
      <w:sz w:val="24"/>
      <w:szCs w:val="24"/>
      <w:lang w:val="es-ES_tradnl" w:eastAsia="es-ES"/>
    </w:rPr>
  </w:style>
  <w:style w:type="table" w:styleId="Tablaconcuadrcula">
    <w:name w:val="Table Grid"/>
    <w:basedOn w:val="Tablanormal"/>
    <w:uiPriority w:val="59"/>
    <w:rsid w:val="0043647A"/>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3647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3647A"/>
    <w:rPr>
      <w:rFonts w:eastAsiaTheme="minorEastAsia"/>
      <w:sz w:val="24"/>
      <w:szCs w:val="24"/>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3647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3647A"/>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43647A"/>
    <w:rPr>
      <w:vertAlign w:val="superscript"/>
    </w:rPr>
  </w:style>
  <w:style w:type="paragraph" w:styleId="Sangradetextonormal">
    <w:name w:val="Body Text Indent"/>
    <w:basedOn w:val="Normal"/>
    <w:link w:val="SangradetextonormalCar"/>
    <w:uiPriority w:val="99"/>
    <w:semiHidden/>
    <w:unhideWhenUsed/>
    <w:rsid w:val="0043647A"/>
    <w:pPr>
      <w:spacing w:after="120"/>
      <w:ind w:left="283"/>
    </w:pPr>
  </w:style>
  <w:style w:type="character" w:customStyle="1" w:styleId="SangradetextonormalCar">
    <w:name w:val="Sangría de texto normal Car"/>
    <w:basedOn w:val="Fuentedeprrafopredeter"/>
    <w:link w:val="Sangradetextonormal"/>
    <w:uiPriority w:val="99"/>
    <w:semiHidden/>
    <w:rsid w:val="0043647A"/>
    <w:rPr>
      <w:rFonts w:eastAsiaTheme="minorEastAsia"/>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43647A"/>
    <w:pPr>
      <w:spacing w:after="0"/>
      <w:ind w:left="360" w:firstLine="360"/>
    </w:pPr>
    <w:rPr>
      <w:rFonts w:ascii="Times New Roman" w:eastAsia="Times New Roman" w:hAnsi="Times New Roman" w:cs="Times New Roman"/>
      <w:lang w:val="es-MX" w:eastAsia="es-MX"/>
    </w:rPr>
  </w:style>
  <w:style w:type="character" w:customStyle="1" w:styleId="Textoindependienteprimerasangra2Car">
    <w:name w:val="Texto independiente primera sangría 2 Car"/>
    <w:basedOn w:val="SangradetextonormalCar"/>
    <w:link w:val="Textoindependienteprimerasangra2"/>
    <w:uiPriority w:val="99"/>
    <w:rsid w:val="0043647A"/>
    <w:rPr>
      <w:rFonts w:ascii="Times New Roman" w:eastAsia="Times New Roman" w:hAnsi="Times New Roman" w:cs="Times New Roman"/>
      <w:sz w:val="24"/>
      <w:szCs w:val="24"/>
      <w:lang w:val="es-ES_tradnl" w:eastAsia="es-MX"/>
    </w:rPr>
  </w:style>
  <w:style w:type="paragraph" w:styleId="NormalWeb">
    <w:name w:val="Normal (Web)"/>
    <w:basedOn w:val="Normal"/>
    <w:uiPriority w:val="99"/>
    <w:unhideWhenUsed/>
    <w:rsid w:val="00B00CE4"/>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317781"/>
    <w:rPr>
      <w:b/>
      <w:bCs/>
    </w:rPr>
  </w:style>
  <w:style w:type="paragraph" w:customStyle="1" w:styleId="Citas">
    <w:name w:val="Citas"/>
    <w:basedOn w:val="Normal"/>
    <w:qFormat/>
    <w:rsid w:val="00317781"/>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eNormal5">
    <w:name w:val="Table Normal5"/>
    <w:rsid w:val="00270845"/>
    <w:rPr>
      <w:rFonts w:ascii="Times New Roman" w:eastAsia="Times New Roman" w:hAnsi="Times New Roman" w:cs="Times New Roman"/>
    </w:rPr>
    <w:tblPr>
      <w:tblCellMar>
        <w:top w:w="0" w:type="dxa"/>
        <w:left w:w="0" w:type="dxa"/>
        <w:bottom w:w="0" w:type="dxa"/>
        <w:right w:w="0" w:type="dxa"/>
      </w:tblCellMar>
    </w:tblPr>
  </w:style>
  <w:style w:type="character" w:styleId="Hipervnculo">
    <w:name w:val="Hyperlink"/>
    <w:basedOn w:val="Fuentedeprrafopredeter"/>
    <w:uiPriority w:val="99"/>
    <w:unhideWhenUsed/>
    <w:rsid w:val="005259C3"/>
    <w:rPr>
      <w:color w:val="0563C1" w:themeColor="hyperlink"/>
      <w:u w:val="single"/>
    </w:rPr>
  </w:style>
  <w:style w:type="paragraph" w:customStyle="1" w:styleId="Default">
    <w:name w:val="Default"/>
    <w:qFormat/>
    <w:rsid w:val="003C3B55"/>
    <w:pPr>
      <w:autoSpaceDE w:val="0"/>
      <w:autoSpaceDN w:val="0"/>
      <w:adjustRightInd w:val="0"/>
    </w:pPr>
    <w:rPr>
      <w:rFonts w:ascii="Arial" w:hAnsi="Arial" w:cs="Arial"/>
      <w:color w:val="000000"/>
    </w:rPr>
  </w:style>
  <w:style w:type="paragraph" w:styleId="Sinespaciado">
    <w:name w:val="No Spacing"/>
    <w:aliases w:val="Francesa"/>
    <w:link w:val="SinespaciadoCar"/>
    <w:uiPriority w:val="1"/>
    <w:qFormat/>
    <w:rsid w:val="00893232"/>
    <w:rPr>
      <w:rFonts w:eastAsiaTheme="minorEastAsia"/>
      <w:lang w:eastAsia="es-ES"/>
    </w:rPr>
  </w:style>
  <w:style w:type="character" w:customStyle="1" w:styleId="SinespaciadoCar">
    <w:name w:val="Sin espaciado Car"/>
    <w:aliases w:val="Francesa Car"/>
    <w:link w:val="Sinespaciado"/>
    <w:uiPriority w:val="1"/>
    <w:locked/>
    <w:rsid w:val="00893232"/>
    <w:rPr>
      <w:rFonts w:eastAsiaTheme="minorEastAsia"/>
      <w:sz w:val="24"/>
      <w:szCs w:val="24"/>
      <w:lang w:val="es-ES_tradnl" w:eastAsia="es-ES"/>
    </w:rPr>
  </w:style>
  <w:style w:type="table" w:styleId="Tablanormal1">
    <w:name w:val="Plain Table 1"/>
    <w:basedOn w:val="Tablanormal"/>
    <w:uiPriority w:val="41"/>
    <w:rsid w:val="00E84A4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zKuM3k/G9Wkd0zmGF0x2iKd0AA==">CgMxLjAyCGguZ2pkZ3hzMgloLjMwajB6bGwyDmguYzRhMDY0czhwN3M5MgloLjFmb2I5dGUyCWguM3pueXNoNzIJaC4yZXQ5MnAwMghoLnR5amN3dDIJaC4yczhleW8xMgloLjF0M2g1c2YyDmguYzV0ajQyd2JqcjNhMgloLjRkMzRvZzgyCWguMnM4ZXlvMTgAciExT2Z0SXlmbFA1dkRDUzZiZFRVelhlZU9rV3VKbUltRjE=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61</Pages>
  <Words>14047</Words>
  <Characters>77259</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91124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14</cp:revision>
  <cp:lastPrinted>2025-02-27T17:19:00Z</cp:lastPrinted>
  <dcterms:created xsi:type="dcterms:W3CDTF">2025-02-18T21:00:00Z</dcterms:created>
  <dcterms:modified xsi:type="dcterms:W3CDTF">2025-04-04T20:07:00Z</dcterms:modified>
</cp:coreProperties>
</file>