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D1F9" w14:textId="77777777" w:rsidR="00927822" w:rsidRDefault="00927822">
      <w:pPr>
        <w:widowControl w:val="0"/>
        <w:pBdr>
          <w:top w:val="nil"/>
          <w:left w:val="nil"/>
          <w:bottom w:val="nil"/>
          <w:right w:val="nil"/>
          <w:between w:val="nil"/>
        </w:pBdr>
        <w:spacing w:after="0" w:line="276" w:lineRule="auto"/>
        <w:jc w:val="left"/>
      </w:pPr>
    </w:p>
    <w:p w14:paraId="23982070" w14:textId="77777777" w:rsidR="00927822" w:rsidRDefault="00927822">
      <w:pPr>
        <w:tabs>
          <w:tab w:val="left" w:pos="8931"/>
        </w:tabs>
        <w:spacing w:after="0" w:line="360" w:lineRule="auto"/>
        <w:rPr>
          <w:b/>
          <w:color w:val="000000"/>
        </w:rPr>
      </w:pPr>
    </w:p>
    <w:p w14:paraId="1E214081" w14:textId="77777777" w:rsidR="00927822" w:rsidRPr="00017477" w:rsidRDefault="00DB1659">
      <w:pPr>
        <w:keepNext/>
        <w:keepLines/>
        <w:pBdr>
          <w:top w:val="nil"/>
          <w:left w:val="nil"/>
          <w:bottom w:val="nil"/>
          <w:right w:val="nil"/>
          <w:between w:val="nil"/>
        </w:pBdr>
        <w:spacing w:after="0" w:line="360" w:lineRule="auto"/>
        <w:jc w:val="center"/>
        <w:rPr>
          <w:color w:val="000000"/>
        </w:rPr>
      </w:pPr>
      <w:r w:rsidRPr="00017477">
        <w:rPr>
          <w:color w:val="000000"/>
        </w:rPr>
        <w:t>RESOLUCIÓN DEL RECURSO DE REVISIÓN  07901/INFOEM/IP/RR/2025</w:t>
      </w:r>
    </w:p>
    <w:p w14:paraId="7CB46A34" w14:textId="77777777" w:rsidR="00927822" w:rsidRPr="00017477" w:rsidRDefault="00927822">
      <w:pPr>
        <w:spacing w:after="0" w:line="360" w:lineRule="auto"/>
        <w:rPr>
          <w:color w:val="000000"/>
        </w:rPr>
      </w:pPr>
    </w:p>
    <w:sdt>
      <w:sdtPr>
        <w:id w:val="-1936358335"/>
        <w:docPartObj>
          <w:docPartGallery w:val="Table of Contents"/>
          <w:docPartUnique/>
        </w:docPartObj>
      </w:sdtPr>
      <w:sdtContent>
        <w:p w14:paraId="305B48D3" w14:textId="77777777" w:rsidR="00927822" w:rsidRPr="00017477" w:rsidRDefault="00DB1659">
          <w:pPr>
            <w:pBdr>
              <w:top w:val="nil"/>
              <w:left w:val="nil"/>
              <w:bottom w:val="nil"/>
              <w:right w:val="nil"/>
              <w:between w:val="nil"/>
            </w:pBdr>
            <w:tabs>
              <w:tab w:val="right" w:pos="8921"/>
            </w:tabs>
            <w:spacing w:after="100"/>
            <w:rPr>
              <w:rFonts w:ascii="Calibri" w:eastAsia="Calibri" w:hAnsi="Calibri" w:cs="Calibri"/>
              <w:color w:val="000000"/>
              <w:sz w:val="24"/>
              <w:szCs w:val="24"/>
            </w:rPr>
          </w:pPr>
          <w:r w:rsidRPr="00017477">
            <w:fldChar w:fldCharType="begin"/>
          </w:r>
          <w:r w:rsidRPr="00017477">
            <w:instrText xml:space="preserve"> TOC \h \u \z \t "Heading 1,1,Heading 2,2,Heading 3,3,"</w:instrText>
          </w:r>
          <w:r w:rsidRPr="00017477">
            <w:fldChar w:fldCharType="separate"/>
          </w:r>
          <w:hyperlink w:anchor="_heading=h.9seldrm99vpp">
            <w:r w:rsidR="00927822" w:rsidRPr="00017477">
              <w:rPr>
                <w:b/>
                <w:color w:val="000000"/>
              </w:rPr>
              <w:t>A N T E C E D E N T E S</w:t>
            </w:r>
          </w:hyperlink>
          <w:hyperlink w:anchor="_heading=h.9seldrm99vpp">
            <w:r w:rsidR="00927822" w:rsidRPr="00017477">
              <w:rPr>
                <w:color w:val="000000"/>
              </w:rPr>
              <w:tab/>
              <w:t>2</w:t>
            </w:r>
          </w:hyperlink>
        </w:p>
        <w:p w14:paraId="39058AEA" w14:textId="77777777" w:rsidR="00927822" w:rsidRPr="00017477" w:rsidRDefault="00927822">
          <w:pPr>
            <w:pBdr>
              <w:top w:val="nil"/>
              <w:left w:val="nil"/>
              <w:bottom w:val="nil"/>
              <w:right w:val="nil"/>
              <w:between w:val="nil"/>
            </w:pBdr>
            <w:tabs>
              <w:tab w:val="right" w:pos="8921"/>
            </w:tabs>
            <w:spacing w:after="100"/>
            <w:ind w:left="220"/>
            <w:rPr>
              <w:rFonts w:ascii="Calibri" w:eastAsia="Calibri" w:hAnsi="Calibri" w:cs="Calibri"/>
              <w:color w:val="000000"/>
              <w:sz w:val="24"/>
              <w:szCs w:val="24"/>
            </w:rPr>
          </w:pPr>
          <w:hyperlink w:anchor="_heading=h.nstc911l1n2d">
            <w:r w:rsidRPr="00017477">
              <w:rPr>
                <w:b/>
                <w:color w:val="000000"/>
              </w:rPr>
              <w:t>I. Presentación de la solicitud de información</w:t>
            </w:r>
          </w:hyperlink>
          <w:hyperlink w:anchor="_heading=h.nstc911l1n2d">
            <w:r w:rsidRPr="00017477">
              <w:rPr>
                <w:color w:val="000000"/>
              </w:rPr>
              <w:tab/>
              <w:t>2</w:t>
            </w:r>
          </w:hyperlink>
        </w:p>
        <w:p w14:paraId="24AEF8B1" w14:textId="77777777" w:rsidR="00927822" w:rsidRPr="00017477" w:rsidRDefault="00927822">
          <w:pPr>
            <w:pBdr>
              <w:top w:val="nil"/>
              <w:left w:val="nil"/>
              <w:bottom w:val="nil"/>
              <w:right w:val="nil"/>
              <w:between w:val="nil"/>
            </w:pBdr>
            <w:tabs>
              <w:tab w:val="right" w:pos="8921"/>
            </w:tabs>
            <w:spacing w:after="100"/>
            <w:ind w:left="220"/>
            <w:rPr>
              <w:rFonts w:ascii="Calibri" w:eastAsia="Calibri" w:hAnsi="Calibri" w:cs="Calibri"/>
              <w:color w:val="000000"/>
              <w:sz w:val="24"/>
              <w:szCs w:val="24"/>
            </w:rPr>
          </w:pPr>
          <w:hyperlink w:anchor="_heading=h.usy04hmnmnnj">
            <w:r w:rsidRPr="00017477">
              <w:rPr>
                <w:b/>
                <w:color w:val="000000"/>
              </w:rPr>
              <w:t>II. Respuesta del Sujeto Obligado</w:t>
            </w:r>
          </w:hyperlink>
          <w:hyperlink w:anchor="_heading=h.usy04hmnmnnj">
            <w:r w:rsidRPr="00017477">
              <w:rPr>
                <w:color w:val="000000"/>
              </w:rPr>
              <w:tab/>
              <w:t>3</w:t>
            </w:r>
          </w:hyperlink>
        </w:p>
        <w:p w14:paraId="6787754A" w14:textId="77777777" w:rsidR="00927822" w:rsidRPr="00017477" w:rsidRDefault="00927822">
          <w:pPr>
            <w:pBdr>
              <w:top w:val="nil"/>
              <w:left w:val="nil"/>
              <w:bottom w:val="nil"/>
              <w:right w:val="nil"/>
              <w:between w:val="nil"/>
            </w:pBdr>
            <w:tabs>
              <w:tab w:val="right" w:pos="8921"/>
            </w:tabs>
            <w:spacing w:after="100"/>
            <w:ind w:left="220"/>
            <w:rPr>
              <w:rFonts w:ascii="Calibri" w:eastAsia="Calibri" w:hAnsi="Calibri" w:cs="Calibri"/>
              <w:color w:val="000000"/>
              <w:sz w:val="24"/>
              <w:szCs w:val="24"/>
            </w:rPr>
          </w:pPr>
          <w:hyperlink w:anchor="_heading=h.1ew24uus4x3g">
            <w:r w:rsidRPr="00017477">
              <w:rPr>
                <w:b/>
                <w:color w:val="000000"/>
              </w:rPr>
              <w:t>III. Interposición del Recurso de Revisión</w:t>
            </w:r>
          </w:hyperlink>
          <w:hyperlink w:anchor="_heading=h.1ew24uus4x3g">
            <w:r w:rsidRPr="00017477">
              <w:rPr>
                <w:color w:val="000000"/>
              </w:rPr>
              <w:tab/>
              <w:t>4</w:t>
            </w:r>
          </w:hyperlink>
        </w:p>
        <w:p w14:paraId="52AB93AA" w14:textId="77777777" w:rsidR="00927822" w:rsidRPr="00017477" w:rsidRDefault="00927822">
          <w:pPr>
            <w:pBdr>
              <w:top w:val="nil"/>
              <w:left w:val="nil"/>
              <w:bottom w:val="nil"/>
              <w:right w:val="nil"/>
              <w:between w:val="nil"/>
            </w:pBdr>
            <w:tabs>
              <w:tab w:val="right" w:pos="8921"/>
            </w:tabs>
            <w:spacing w:after="100"/>
            <w:ind w:left="220"/>
            <w:rPr>
              <w:rFonts w:ascii="Calibri" w:eastAsia="Calibri" w:hAnsi="Calibri" w:cs="Calibri"/>
              <w:color w:val="000000"/>
              <w:sz w:val="24"/>
              <w:szCs w:val="24"/>
            </w:rPr>
          </w:pPr>
          <w:hyperlink w:anchor="_heading=h.v7fj1sfygi3x">
            <w:r w:rsidRPr="00017477">
              <w:rPr>
                <w:b/>
                <w:color w:val="000000"/>
              </w:rPr>
              <w:t>IV. Trámite del Recurso de Revisión ante este Instituto</w:t>
            </w:r>
          </w:hyperlink>
          <w:hyperlink w:anchor="_heading=h.v7fj1sfygi3x">
            <w:r w:rsidRPr="00017477">
              <w:rPr>
                <w:color w:val="000000"/>
              </w:rPr>
              <w:tab/>
              <w:t>5</w:t>
            </w:r>
          </w:hyperlink>
        </w:p>
        <w:p w14:paraId="1B4CBD4C" w14:textId="77777777" w:rsidR="00927822" w:rsidRPr="00017477" w:rsidRDefault="00927822">
          <w:pPr>
            <w:pBdr>
              <w:top w:val="nil"/>
              <w:left w:val="nil"/>
              <w:bottom w:val="nil"/>
              <w:right w:val="nil"/>
              <w:between w:val="nil"/>
            </w:pBdr>
            <w:tabs>
              <w:tab w:val="right" w:pos="8921"/>
            </w:tabs>
            <w:spacing w:after="100"/>
            <w:rPr>
              <w:rFonts w:ascii="Calibri" w:eastAsia="Calibri" w:hAnsi="Calibri" w:cs="Calibri"/>
              <w:color w:val="000000"/>
              <w:sz w:val="24"/>
              <w:szCs w:val="24"/>
            </w:rPr>
          </w:pPr>
          <w:hyperlink w:anchor="_heading=h.2fd8o7mn0jww">
            <w:r w:rsidRPr="00017477">
              <w:rPr>
                <w:b/>
                <w:color w:val="000000"/>
              </w:rPr>
              <w:t>C O N S I D E R A N D O S</w:t>
            </w:r>
          </w:hyperlink>
          <w:hyperlink w:anchor="_heading=h.2fd8o7mn0jww">
            <w:r w:rsidRPr="00017477">
              <w:rPr>
                <w:color w:val="000000"/>
              </w:rPr>
              <w:tab/>
              <w:t>10</w:t>
            </w:r>
          </w:hyperlink>
        </w:p>
        <w:p w14:paraId="6A06CC99" w14:textId="77777777" w:rsidR="00927822" w:rsidRPr="00017477" w:rsidRDefault="00927822">
          <w:pPr>
            <w:pBdr>
              <w:top w:val="nil"/>
              <w:left w:val="nil"/>
              <w:bottom w:val="nil"/>
              <w:right w:val="nil"/>
              <w:between w:val="nil"/>
            </w:pBdr>
            <w:tabs>
              <w:tab w:val="right" w:pos="8921"/>
            </w:tabs>
            <w:spacing w:after="100"/>
            <w:ind w:left="220"/>
            <w:rPr>
              <w:rFonts w:ascii="Calibri" w:eastAsia="Calibri" w:hAnsi="Calibri" w:cs="Calibri"/>
              <w:color w:val="000000"/>
              <w:sz w:val="24"/>
              <w:szCs w:val="24"/>
            </w:rPr>
          </w:pPr>
          <w:hyperlink w:anchor="_heading=h.dr33fmc84n96">
            <w:r w:rsidRPr="00017477">
              <w:rPr>
                <w:b/>
                <w:color w:val="000000"/>
              </w:rPr>
              <w:t>PRIMERO. Competencia</w:t>
            </w:r>
          </w:hyperlink>
          <w:hyperlink w:anchor="_heading=h.dr33fmc84n96">
            <w:r w:rsidRPr="00017477">
              <w:rPr>
                <w:color w:val="000000"/>
              </w:rPr>
              <w:tab/>
              <w:t>10</w:t>
            </w:r>
          </w:hyperlink>
        </w:p>
        <w:p w14:paraId="21E3E812" w14:textId="77777777" w:rsidR="00927822" w:rsidRPr="00017477" w:rsidRDefault="00927822">
          <w:pPr>
            <w:pBdr>
              <w:top w:val="nil"/>
              <w:left w:val="nil"/>
              <w:bottom w:val="nil"/>
              <w:right w:val="nil"/>
              <w:between w:val="nil"/>
            </w:pBdr>
            <w:tabs>
              <w:tab w:val="right" w:pos="8921"/>
            </w:tabs>
            <w:spacing w:after="100"/>
            <w:ind w:left="220"/>
            <w:rPr>
              <w:rFonts w:ascii="Calibri" w:eastAsia="Calibri" w:hAnsi="Calibri" w:cs="Calibri"/>
              <w:color w:val="000000"/>
              <w:sz w:val="24"/>
              <w:szCs w:val="24"/>
            </w:rPr>
          </w:pPr>
          <w:hyperlink w:anchor="_heading=h.y3jir933gy90">
            <w:r w:rsidRPr="00017477">
              <w:rPr>
                <w:b/>
                <w:color w:val="000000"/>
              </w:rPr>
              <w:t>SEGUNDO. Causales de improcedencia</w:t>
            </w:r>
          </w:hyperlink>
          <w:hyperlink w:anchor="_heading=h.y3jir933gy90">
            <w:r w:rsidRPr="00017477">
              <w:rPr>
                <w:color w:val="000000"/>
              </w:rPr>
              <w:tab/>
              <w:t>11</w:t>
            </w:r>
          </w:hyperlink>
        </w:p>
        <w:p w14:paraId="3F4AAFE3" w14:textId="77777777" w:rsidR="00927822" w:rsidRPr="00017477" w:rsidRDefault="00927822">
          <w:pPr>
            <w:pBdr>
              <w:top w:val="nil"/>
              <w:left w:val="nil"/>
              <w:bottom w:val="nil"/>
              <w:right w:val="nil"/>
              <w:between w:val="nil"/>
            </w:pBdr>
            <w:tabs>
              <w:tab w:val="right" w:pos="8921"/>
            </w:tabs>
            <w:spacing w:after="100"/>
            <w:ind w:left="220"/>
            <w:rPr>
              <w:rFonts w:ascii="Calibri" w:eastAsia="Calibri" w:hAnsi="Calibri" w:cs="Calibri"/>
              <w:color w:val="000000"/>
              <w:sz w:val="24"/>
              <w:szCs w:val="24"/>
            </w:rPr>
          </w:pPr>
          <w:hyperlink w:anchor="_heading=h.hx7agk66bqhu">
            <w:r w:rsidRPr="00017477">
              <w:rPr>
                <w:b/>
                <w:color w:val="000000"/>
              </w:rPr>
              <w:t>TERCERO. Causales de sobreseimiento</w:t>
            </w:r>
          </w:hyperlink>
          <w:hyperlink w:anchor="_heading=h.hx7agk66bqhu">
            <w:r w:rsidRPr="00017477">
              <w:rPr>
                <w:color w:val="000000"/>
              </w:rPr>
              <w:tab/>
              <w:t>11</w:t>
            </w:r>
          </w:hyperlink>
        </w:p>
        <w:p w14:paraId="2F4A7DE5" w14:textId="77777777" w:rsidR="00927822" w:rsidRPr="00017477" w:rsidRDefault="00927822">
          <w:pPr>
            <w:pBdr>
              <w:top w:val="nil"/>
              <w:left w:val="nil"/>
              <w:bottom w:val="nil"/>
              <w:right w:val="nil"/>
              <w:between w:val="nil"/>
            </w:pBdr>
            <w:tabs>
              <w:tab w:val="right" w:pos="8921"/>
            </w:tabs>
            <w:spacing w:after="100"/>
            <w:ind w:left="220"/>
            <w:rPr>
              <w:rFonts w:ascii="Calibri" w:eastAsia="Calibri" w:hAnsi="Calibri" w:cs="Calibri"/>
              <w:color w:val="000000"/>
              <w:sz w:val="24"/>
              <w:szCs w:val="24"/>
            </w:rPr>
          </w:pPr>
          <w:hyperlink w:anchor="_heading=h.dnow3ssoku5l">
            <w:r w:rsidRPr="00017477">
              <w:rPr>
                <w:b/>
                <w:color w:val="000000"/>
              </w:rPr>
              <w:t>CUARTO. Decisión</w:t>
            </w:r>
          </w:hyperlink>
          <w:hyperlink w:anchor="_heading=h.dnow3ssoku5l">
            <w:r w:rsidRPr="00017477">
              <w:rPr>
                <w:color w:val="000000"/>
              </w:rPr>
              <w:tab/>
              <w:t>14</w:t>
            </w:r>
          </w:hyperlink>
        </w:p>
        <w:p w14:paraId="57CC7948" w14:textId="77777777" w:rsidR="00927822" w:rsidRPr="00017477" w:rsidRDefault="00927822">
          <w:pPr>
            <w:pBdr>
              <w:top w:val="nil"/>
              <w:left w:val="nil"/>
              <w:bottom w:val="nil"/>
              <w:right w:val="nil"/>
              <w:between w:val="nil"/>
            </w:pBdr>
            <w:tabs>
              <w:tab w:val="right" w:pos="8921"/>
            </w:tabs>
            <w:spacing w:after="100"/>
            <w:rPr>
              <w:rFonts w:ascii="Calibri" w:eastAsia="Calibri" w:hAnsi="Calibri" w:cs="Calibri"/>
              <w:color w:val="000000"/>
              <w:sz w:val="24"/>
              <w:szCs w:val="24"/>
            </w:rPr>
          </w:pPr>
          <w:hyperlink w:anchor="_heading=h.8plyrojtr8jw">
            <w:r w:rsidRPr="00017477">
              <w:rPr>
                <w:b/>
                <w:color w:val="000000"/>
              </w:rPr>
              <w:t>R E S U E L V E</w:t>
            </w:r>
          </w:hyperlink>
          <w:hyperlink w:anchor="_heading=h.8plyrojtr8jw">
            <w:r w:rsidRPr="00017477">
              <w:rPr>
                <w:color w:val="000000"/>
              </w:rPr>
              <w:tab/>
              <w:t>15</w:t>
            </w:r>
          </w:hyperlink>
        </w:p>
        <w:p w14:paraId="5A5596BF" w14:textId="77777777" w:rsidR="00927822" w:rsidRPr="00017477" w:rsidRDefault="00DB1659">
          <w:pPr>
            <w:spacing w:after="0" w:line="360" w:lineRule="auto"/>
            <w:rPr>
              <w:color w:val="000000"/>
            </w:rPr>
          </w:pPr>
          <w:r w:rsidRPr="00017477">
            <w:fldChar w:fldCharType="end"/>
          </w:r>
        </w:p>
      </w:sdtContent>
    </w:sdt>
    <w:p w14:paraId="20850431" w14:textId="77777777" w:rsidR="00927822" w:rsidRPr="00017477" w:rsidRDefault="00927822">
      <w:pPr>
        <w:tabs>
          <w:tab w:val="left" w:pos="8931"/>
        </w:tabs>
        <w:spacing w:after="0" w:line="360" w:lineRule="auto"/>
        <w:rPr>
          <w:b/>
          <w:color w:val="000000"/>
        </w:rPr>
      </w:pPr>
    </w:p>
    <w:p w14:paraId="29FE875F" w14:textId="77777777" w:rsidR="00927822" w:rsidRPr="00017477" w:rsidRDefault="00927822">
      <w:pPr>
        <w:tabs>
          <w:tab w:val="left" w:pos="8931"/>
        </w:tabs>
        <w:spacing w:after="0" w:line="360" w:lineRule="auto"/>
        <w:rPr>
          <w:b/>
          <w:color w:val="000000"/>
        </w:rPr>
      </w:pPr>
    </w:p>
    <w:p w14:paraId="249C0A80" w14:textId="77777777" w:rsidR="00927822" w:rsidRPr="00017477" w:rsidRDefault="00927822">
      <w:pPr>
        <w:tabs>
          <w:tab w:val="left" w:pos="8931"/>
        </w:tabs>
        <w:spacing w:after="0" w:line="360" w:lineRule="auto"/>
        <w:rPr>
          <w:b/>
          <w:color w:val="000000"/>
        </w:rPr>
      </w:pPr>
    </w:p>
    <w:p w14:paraId="114B92D1" w14:textId="77777777" w:rsidR="00927822" w:rsidRPr="00017477" w:rsidRDefault="00927822">
      <w:pPr>
        <w:tabs>
          <w:tab w:val="left" w:pos="8931"/>
        </w:tabs>
        <w:spacing w:after="0" w:line="360" w:lineRule="auto"/>
        <w:rPr>
          <w:b/>
          <w:color w:val="000000"/>
        </w:rPr>
      </w:pPr>
    </w:p>
    <w:p w14:paraId="1B4C05E3" w14:textId="77777777" w:rsidR="00927822" w:rsidRPr="00017477" w:rsidRDefault="00927822">
      <w:pPr>
        <w:tabs>
          <w:tab w:val="left" w:pos="8931"/>
        </w:tabs>
        <w:spacing w:after="0" w:line="360" w:lineRule="auto"/>
        <w:rPr>
          <w:b/>
          <w:color w:val="000000"/>
        </w:rPr>
      </w:pPr>
    </w:p>
    <w:p w14:paraId="4E8AA483" w14:textId="77777777" w:rsidR="00927822" w:rsidRPr="00017477" w:rsidRDefault="00927822">
      <w:pPr>
        <w:tabs>
          <w:tab w:val="left" w:pos="8931"/>
        </w:tabs>
        <w:spacing w:after="0" w:line="360" w:lineRule="auto"/>
        <w:rPr>
          <w:b/>
          <w:color w:val="000000"/>
        </w:rPr>
      </w:pPr>
    </w:p>
    <w:p w14:paraId="37D627A2" w14:textId="77777777" w:rsidR="00927822" w:rsidRPr="00017477" w:rsidRDefault="00927822">
      <w:pPr>
        <w:tabs>
          <w:tab w:val="left" w:pos="8931"/>
        </w:tabs>
        <w:spacing w:after="0" w:line="360" w:lineRule="auto"/>
        <w:rPr>
          <w:b/>
          <w:color w:val="000000"/>
        </w:rPr>
      </w:pPr>
    </w:p>
    <w:p w14:paraId="2DBB36DD" w14:textId="77777777" w:rsidR="00927822" w:rsidRPr="00017477" w:rsidRDefault="00927822">
      <w:pPr>
        <w:tabs>
          <w:tab w:val="left" w:pos="8931"/>
        </w:tabs>
        <w:spacing w:after="0" w:line="360" w:lineRule="auto"/>
        <w:rPr>
          <w:b/>
          <w:color w:val="000000"/>
        </w:rPr>
      </w:pPr>
    </w:p>
    <w:p w14:paraId="02347AEE" w14:textId="77777777" w:rsidR="00927822" w:rsidRPr="00017477" w:rsidRDefault="00927822">
      <w:pPr>
        <w:tabs>
          <w:tab w:val="left" w:pos="8931"/>
        </w:tabs>
        <w:spacing w:after="0" w:line="360" w:lineRule="auto"/>
        <w:rPr>
          <w:b/>
          <w:color w:val="000000"/>
        </w:rPr>
      </w:pPr>
    </w:p>
    <w:p w14:paraId="325CAA3E" w14:textId="77777777" w:rsidR="00927822" w:rsidRPr="00017477" w:rsidRDefault="00927822">
      <w:pPr>
        <w:tabs>
          <w:tab w:val="left" w:pos="8931"/>
        </w:tabs>
        <w:spacing w:after="0" w:line="360" w:lineRule="auto"/>
        <w:rPr>
          <w:b/>
          <w:color w:val="000000"/>
        </w:rPr>
      </w:pPr>
    </w:p>
    <w:p w14:paraId="27FBE5B1" w14:textId="77777777" w:rsidR="00927822" w:rsidRPr="00017477" w:rsidRDefault="00927822">
      <w:pPr>
        <w:tabs>
          <w:tab w:val="left" w:pos="8931"/>
        </w:tabs>
        <w:spacing w:after="0" w:line="360" w:lineRule="auto"/>
        <w:rPr>
          <w:b/>
          <w:color w:val="000000"/>
        </w:rPr>
      </w:pPr>
    </w:p>
    <w:p w14:paraId="05A787A1" w14:textId="77777777" w:rsidR="00927822" w:rsidRPr="00017477" w:rsidRDefault="00DB1659">
      <w:pPr>
        <w:tabs>
          <w:tab w:val="left" w:pos="8931"/>
        </w:tabs>
        <w:spacing w:after="0" w:line="360" w:lineRule="auto"/>
        <w:rPr>
          <w:color w:val="000000"/>
        </w:rPr>
      </w:pPr>
      <w:r w:rsidRPr="00017477">
        <w:rPr>
          <w:color w:val="000000"/>
        </w:rPr>
        <w:t xml:space="preserve">Resolución del Pleno del Instituto de Transparencia, Acceso a la Información Pública y Protección de Datos Personales del Estado de México y Municipios, con domicilio en Metepec, Estado de México, de fecha trece de agosto de dos mil veinticinco. </w:t>
      </w:r>
    </w:p>
    <w:p w14:paraId="070AD42E" w14:textId="77777777" w:rsidR="00927822" w:rsidRPr="00017477" w:rsidRDefault="00927822">
      <w:pPr>
        <w:spacing w:after="0" w:line="360" w:lineRule="auto"/>
        <w:rPr>
          <w:b/>
          <w:color w:val="000000"/>
        </w:rPr>
      </w:pPr>
    </w:p>
    <w:p w14:paraId="457A8E06" w14:textId="77777777" w:rsidR="00927822" w:rsidRPr="00017477" w:rsidRDefault="00DB1659">
      <w:pPr>
        <w:spacing w:after="0" w:line="360" w:lineRule="auto"/>
        <w:rPr>
          <w:color w:val="000000"/>
        </w:rPr>
      </w:pPr>
      <w:r w:rsidRPr="00017477">
        <w:rPr>
          <w:b/>
          <w:color w:val="000000"/>
        </w:rPr>
        <w:t xml:space="preserve">VISTO </w:t>
      </w:r>
      <w:r w:rsidRPr="00017477">
        <w:rPr>
          <w:color w:val="000000"/>
        </w:rPr>
        <w:t xml:space="preserve">el expediente conformado con motivo del Recurso de Revisión </w:t>
      </w:r>
      <w:r w:rsidRPr="00881406">
        <w:rPr>
          <w:b/>
          <w:bCs/>
          <w:color w:val="000000"/>
        </w:rPr>
        <w:t>07901/INFOEM/IP/RR/2025</w:t>
      </w:r>
      <w:r w:rsidRPr="00017477">
        <w:rPr>
          <w:color w:val="000000"/>
        </w:rPr>
        <w:t xml:space="preserve">, interpuesto por un Particular, en lo sucesivo la persona Recurrente o Particular, en contra de la respuesta del Sujeto Obligado, </w:t>
      </w:r>
      <w:r w:rsidRPr="00881406">
        <w:rPr>
          <w:b/>
          <w:bCs/>
          <w:color w:val="000000"/>
        </w:rPr>
        <w:t>Universidad Tecnológica del Valle de Toluca</w:t>
      </w:r>
      <w:r w:rsidRPr="00017477">
        <w:rPr>
          <w:color w:val="000000"/>
        </w:rPr>
        <w:t>, a la solicitud de acceso a la información pública 00010/UTVT/IP/2025, se emite la presente Resolución, con base en los Antecedentes y Considerandos que se exponen a continuación:</w:t>
      </w:r>
    </w:p>
    <w:p w14:paraId="09A7678E" w14:textId="77777777" w:rsidR="00927822" w:rsidRPr="00017477" w:rsidRDefault="00927822">
      <w:pPr>
        <w:spacing w:after="0" w:line="360" w:lineRule="auto"/>
        <w:rPr>
          <w:b/>
          <w:color w:val="000000"/>
        </w:rPr>
      </w:pPr>
    </w:p>
    <w:p w14:paraId="763C7139" w14:textId="77777777" w:rsidR="00927822" w:rsidRPr="00017477" w:rsidRDefault="00DB1659">
      <w:pPr>
        <w:pStyle w:val="Ttulo1"/>
        <w:spacing w:before="0" w:line="360" w:lineRule="auto"/>
        <w:jc w:val="center"/>
        <w:rPr>
          <w:rFonts w:ascii="Palatino Linotype" w:eastAsia="Palatino Linotype" w:hAnsi="Palatino Linotype" w:cs="Palatino Linotype"/>
          <w:b/>
          <w:color w:val="000000"/>
          <w:sz w:val="22"/>
          <w:szCs w:val="22"/>
        </w:rPr>
      </w:pPr>
      <w:bookmarkStart w:id="0" w:name="_heading=h.9seldrm99vpp" w:colFirst="0" w:colLast="0"/>
      <w:bookmarkEnd w:id="0"/>
      <w:r w:rsidRPr="00017477">
        <w:rPr>
          <w:rFonts w:ascii="Palatino Linotype" w:eastAsia="Palatino Linotype" w:hAnsi="Palatino Linotype" w:cs="Palatino Linotype"/>
          <w:b/>
          <w:color w:val="000000"/>
          <w:sz w:val="22"/>
          <w:szCs w:val="22"/>
        </w:rPr>
        <w:t>A N T E C E D E N T E S</w:t>
      </w:r>
    </w:p>
    <w:p w14:paraId="07D09238" w14:textId="77777777" w:rsidR="00927822" w:rsidRPr="00017477" w:rsidRDefault="00927822">
      <w:pPr>
        <w:spacing w:after="0" w:line="360" w:lineRule="auto"/>
        <w:rPr>
          <w:color w:val="000000"/>
        </w:rPr>
      </w:pPr>
    </w:p>
    <w:p w14:paraId="67862138" w14:textId="77777777" w:rsidR="00927822" w:rsidRPr="00017477" w:rsidRDefault="00DB1659">
      <w:pPr>
        <w:pStyle w:val="Ttulo2"/>
        <w:spacing w:before="0" w:line="360" w:lineRule="auto"/>
        <w:rPr>
          <w:rFonts w:ascii="Palatino Linotype" w:eastAsia="Palatino Linotype" w:hAnsi="Palatino Linotype" w:cs="Palatino Linotype"/>
          <w:b/>
          <w:color w:val="000000"/>
          <w:sz w:val="22"/>
          <w:szCs w:val="22"/>
        </w:rPr>
      </w:pPr>
      <w:bookmarkStart w:id="1" w:name="_heading=h.nstc911l1n2d" w:colFirst="0" w:colLast="0"/>
      <w:bookmarkEnd w:id="1"/>
      <w:r w:rsidRPr="00017477">
        <w:rPr>
          <w:rFonts w:ascii="Palatino Linotype" w:eastAsia="Palatino Linotype" w:hAnsi="Palatino Linotype" w:cs="Palatino Linotype"/>
          <w:b/>
          <w:color w:val="000000"/>
          <w:sz w:val="22"/>
          <w:szCs w:val="22"/>
        </w:rPr>
        <w:t>I. Presentación de la solicitud de información</w:t>
      </w:r>
    </w:p>
    <w:p w14:paraId="1FB547FF" w14:textId="77777777" w:rsidR="00927822" w:rsidRPr="00017477" w:rsidRDefault="00927822">
      <w:pPr>
        <w:spacing w:after="0" w:line="360" w:lineRule="auto"/>
        <w:rPr>
          <w:color w:val="000000"/>
        </w:rPr>
      </w:pPr>
    </w:p>
    <w:p w14:paraId="0897D5A3" w14:textId="77777777" w:rsidR="00927822" w:rsidRPr="00017477" w:rsidRDefault="00DB1659">
      <w:pPr>
        <w:spacing w:after="0" w:line="360" w:lineRule="auto"/>
        <w:rPr>
          <w:color w:val="000000"/>
        </w:rPr>
      </w:pPr>
      <w:r w:rsidRPr="00017477">
        <w:rPr>
          <w:color w:val="000000"/>
        </w:rPr>
        <w:t>El once de junio de dos mil veinticinco, se presentó una solicitud de información por la persona Recurrente, a través del Sistema de Acceso a la Información Mexiquense (SAIMEX),</w:t>
      </w:r>
      <w:r w:rsidRPr="00017477">
        <w:rPr>
          <w:b/>
          <w:color w:val="000000"/>
        </w:rPr>
        <w:t xml:space="preserve"> </w:t>
      </w:r>
      <w:r w:rsidRPr="00017477">
        <w:rPr>
          <w:color w:val="000000"/>
        </w:rPr>
        <w:t>ante el Universidad Tecnológica del Valle de Toluca, en los términos siguientes:</w:t>
      </w:r>
    </w:p>
    <w:p w14:paraId="43EB7314" w14:textId="77777777" w:rsidR="00927822" w:rsidRPr="00017477" w:rsidRDefault="00927822">
      <w:pPr>
        <w:spacing w:after="0" w:line="360" w:lineRule="auto"/>
        <w:rPr>
          <w:color w:val="000000"/>
        </w:rPr>
      </w:pPr>
    </w:p>
    <w:p w14:paraId="3AAAAE31" w14:textId="77777777" w:rsidR="00927822" w:rsidRPr="00017477" w:rsidRDefault="00DB1659">
      <w:pPr>
        <w:tabs>
          <w:tab w:val="left" w:pos="4667"/>
        </w:tabs>
        <w:spacing w:after="0" w:line="360" w:lineRule="auto"/>
        <w:ind w:left="567" w:right="567"/>
        <w:rPr>
          <w:b/>
          <w:i/>
          <w:color w:val="000000"/>
          <w:sz w:val="20"/>
          <w:szCs w:val="20"/>
        </w:rPr>
      </w:pPr>
      <w:r w:rsidRPr="00017477">
        <w:rPr>
          <w:b/>
          <w:i/>
          <w:color w:val="000000"/>
          <w:sz w:val="20"/>
          <w:szCs w:val="20"/>
        </w:rPr>
        <w:t>“DESCRIPCIÓN CLARA Y PRECISA DE LA INFORMACIÓN SOLICITADA</w:t>
      </w:r>
    </w:p>
    <w:p w14:paraId="40E9652B" w14:textId="77777777" w:rsidR="00927822" w:rsidRPr="00017477" w:rsidRDefault="00DB1659">
      <w:pPr>
        <w:spacing w:after="0" w:line="360" w:lineRule="auto"/>
        <w:ind w:left="567" w:right="567"/>
        <w:rPr>
          <w:i/>
          <w:color w:val="000000"/>
          <w:sz w:val="20"/>
          <w:szCs w:val="20"/>
        </w:rPr>
      </w:pPr>
      <w:r w:rsidRPr="00017477">
        <w:rPr>
          <w:i/>
          <w:color w:val="000000"/>
          <w:sz w:val="20"/>
          <w:szCs w:val="20"/>
        </w:rPr>
        <w:t xml:space="preserve">SOLICITO SABER QUE PASO CON LA UNIVERSIDAD DE LA BARBACOA, LA CUAL FUERON DESTINADOS 48 MILLONES DE PESOS, Indicó que la “Universidad de la Barbacoa” comenzará clases en septiembre del presente, como parte del próximo ciclo escolar, a la fecha varios jóvenes de la región han mostrado interés para ser considerados para iniciar su preparación. Mencionó que la convocatoria saldrá en marzo y se prevé la matrícula sea amplia para </w:t>
      </w:r>
      <w:r w:rsidRPr="00017477">
        <w:rPr>
          <w:i/>
          <w:color w:val="000000"/>
          <w:sz w:val="20"/>
          <w:szCs w:val="20"/>
        </w:rPr>
        <w:lastRenderedPageBreak/>
        <w:t>dar cabida a los estudiantes que desean ingresar a algunas de las carreras referidas Destacó que la plantilla docente se integrará en su mayoría por profesores con estudios de posgrado, en un 90 por ciento, con doctorado, y el resto con maestría o licenciatura.” (Sic.)</w:t>
      </w:r>
    </w:p>
    <w:p w14:paraId="54DAF484" w14:textId="77777777" w:rsidR="00927822" w:rsidRPr="00017477" w:rsidRDefault="00927822">
      <w:pPr>
        <w:tabs>
          <w:tab w:val="left" w:pos="4667"/>
        </w:tabs>
        <w:spacing w:after="0" w:line="360" w:lineRule="auto"/>
        <w:ind w:right="567"/>
        <w:rPr>
          <w:i/>
          <w:color w:val="000000"/>
          <w:sz w:val="20"/>
          <w:szCs w:val="20"/>
        </w:rPr>
      </w:pPr>
      <w:bookmarkStart w:id="2" w:name="_heading=h.slyr4two8eib" w:colFirst="0" w:colLast="0"/>
      <w:bookmarkEnd w:id="2"/>
    </w:p>
    <w:p w14:paraId="6EE35A3F" w14:textId="77777777" w:rsidR="00927822" w:rsidRPr="00017477" w:rsidRDefault="00DB1659">
      <w:pPr>
        <w:tabs>
          <w:tab w:val="left" w:pos="4667"/>
        </w:tabs>
        <w:spacing w:after="0" w:line="360" w:lineRule="auto"/>
        <w:ind w:left="567" w:right="567"/>
        <w:rPr>
          <w:b/>
          <w:i/>
          <w:color w:val="000000"/>
          <w:sz w:val="20"/>
          <w:szCs w:val="20"/>
        </w:rPr>
      </w:pPr>
      <w:r w:rsidRPr="00017477">
        <w:rPr>
          <w:b/>
          <w:i/>
          <w:color w:val="000000"/>
          <w:sz w:val="20"/>
          <w:szCs w:val="20"/>
        </w:rPr>
        <w:t>“MODALIDAD DE ENTREGA</w:t>
      </w:r>
    </w:p>
    <w:p w14:paraId="230A0B1D" w14:textId="77777777" w:rsidR="00927822" w:rsidRPr="00017477" w:rsidRDefault="00DB1659">
      <w:pPr>
        <w:tabs>
          <w:tab w:val="left" w:pos="4667"/>
        </w:tabs>
        <w:spacing w:after="0" w:line="360" w:lineRule="auto"/>
        <w:ind w:left="567" w:right="567"/>
        <w:rPr>
          <w:i/>
          <w:color w:val="000000"/>
          <w:sz w:val="20"/>
          <w:szCs w:val="20"/>
        </w:rPr>
      </w:pPr>
      <w:r w:rsidRPr="00017477">
        <w:rPr>
          <w:i/>
          <w:color w:val="000000"/>
          <w:sz w:val="20"/>
          <w:szCs w:val="20"/>
        </w:rPr>
        <w:t>A través del SAIMEX”</w:t>
      </w:r>
    </w:p>
    <w:p w14:paraId="5359247C" w14:textId="77777777" w:rsidR="00927822" w:rsidRPr="00017477" w:rsidRDefault="00927822">
      <w:pPr>
        <w:tabs>
          <w:tab w:val="left" w:pos="4667"/>
        </w:tabs>
        <w:spacing w:after="0" w:line="360" w:lineRule="auto"/>
        <w:ind w:right="567"/>
        <w:rPr>
          <w:b/>
          <w:color w:val="000000"/>
        </w:rPr>
      </w:pPr>
    </w:p>
    <w:p w14:paraId="1DD997CB" w14:textId="77777777" w:rsidR="00927822" w:rsidRPr="00017477" w:rsidRDefault="00DB1659">
      <w:pPr>
        <w:tabs>
          <w:tab w:val="left" w:pos="4667"/>
        </w:tabs>
        <w:spacing w:after="0" w:line="360" w:lineRule="auto"/>
        <w:rPr>
          <w:color w:val="000000"/>
        </w:rPr>
      </w:pPr>
      <w:r w:rsidRPr="00017477">
        <w:rPr>
          <w:color w:val="000000"/>
        </w:rPr>
        <w:t xml:space="preserve">La persona Solicitante adjuntó a su solicitud un archivo denominado </w:t>
      </w:r>
      <w:r w:rsidRPr="00017477">
        <w:rPr>
          <w:b/>
          <w:i/>
          <w:color w:val="000000"/>
        </w:rPr>
        <w:t xml:space="preserve">QUE PASO CON LA UNIVERSIDAD DE LA BARBACOA.pdf </w:t>
      </w:r>
      <w:r w:rsidRPr="00017477">
        <w:rPr>
          <w:color w:val="000000"/>
        </w:rPr>
        <w:t xml:space="preserve">del que se desprende una imagen de un personaje de caricaturas, sin que guarde relación con lo solicitado o aporte mayores elementos de análisis. </w:t>
      </w:r>
    </w:p>
    <w:p w14:paraId="3FA10C0E" w14:textId="77777777" w:rsidR="00927822" w:rsidRPr="00017477" w:rsidRDefault="00927822">
      <w:pPr>
        <w:tabs>
          <w:tab w:val="left" w:pos="4667"/>
        </w:tabs>
        <w:spacing w:after="0" w:line="360" w:lineRule="auto"/>
        <w:rPr>
          <w:color w:val="000000"/>
        </w:rPr>
      </w:pPr>
    </w:p>
    <w:p w14:paraId="20584F9A" w14:textId="77777777" w:rsidR="00927822" w:rsidRPr="00017477" w:rsidRDefault="00DB1659">
      <w:pPr>
        <w:pStyle w:val="Ttulo2"/>
        <w:spacing w:before="0" w:line="360" w:lineRule="auto"/>
        <w:rPr>
          <w:rFonts w:ascii="Palatino Linotype" w:eastAsia="Palatino Linotype" w:hAnsi="Palatino Linotype" w:cs="Palatino Linotype"/>
          <w:b/>
          <w:color w:val="000000"/>
          <w:sz w:val="22"/>
          <w:szCs w:val="22"/>
        </w:rPr>
      </w:pPr>
      <w:bookmarkStart w:id="3" w:name="_heading=h.usy04hmnmnnj" w:colFirst="0" w:colLast="0"/>
      <w:bookmarkEnd w:id="3"/>
      <w:r w:rsidRPr="00017477">
        <w:rPr>
          <w:rFonts w:ascii="Palatino Linotype" w:eastAsia="Palatino Linotype" w:hAnsi="Palatino Linotype" w:cs="Palatino Linotype"/>
          <w:b/>
          <w:color w:val="000000"/>
          <w:sz w:val="22"/>
          <w:szCs w:val="22"/>
        </w:rPr>
        <w:t>II. Respuesta del Sujeto Obligado</w:t>
      </w:r>
    </w:p>
    <w:p w14:paraId="76F28A9A" w14:textId="77777777" w:rsidR="00927822" w:rsidRPr="00017477" w:rsidRDefault="00927822">
      <w:pPr>
        <w:tabs>
          <w:tab w:val="left" w:pos="4667"/>
        </w:tabs>
        <w:spacing w:after="0" w:line="360" w:lineRule="auto"/>
        <w:rPr>
          <w:b/>
          <w:color w:val="000000"/>
        </w:rPr>
      </w:pPr>
    </w:p>
    <w:p w14:paraId="51BC36F9" w14:textId="77777777" w:rsidR="00927822" w:rsidRPr="00017477" w:rsidRDefault="00DB1659">
      <w:pPr>
        <w:spacing w:after="0" w:line="360" w:lineRule="auto"/>
        <w:rPr>
          <w:color w:val="000000"/>
        </w:rPr>
      </w:pPr>
      <w:bookmarkStart w:id="4" w:name="_heading=h.sp9fhk6mn27j" w:colFirst="0" w:colLast="0"/>
      <w:bookmarkEnd w:id="4"/>
      <w:r w:rsidRPr="00017477">
        <w:rPr>
          <w:color w:val="000000"/>
        </w:rPr>
        <w:t>El veintiséis de junio de dos mil veinticinco, el Sujeto Obligado notificó al Particular, mediante el Sistema de Acceso a la Información Mexiquense (SAIMEX), la respuesta a la solicitud de acceso a la información, en los siguientes términos:</w:t>
      </w:r>
    </w:p>
    <w:p w14:paraId="3C95C034" w14:textId="77777777" w:rsidR="00927822" w:rsidRPr="00017477" w:rsidRDefault="00DB1659">
      <w:pPr>
        <w:numPr>
          <w:ilvl w:val="0"/>
          <w:numId w:val="1"/>
        </w:numPr>
        <w:pBdr>
          <w:top w:val="nil"/>
          <w:left w:val="nil"/>
          <w:bottom w:val="nil"/>
          <w:right w:val="nil"/>
          <w:between w:val="nil"/>
        </w:pBdr>
        <w:spacing w:after="0" w:line="360" w:lineRule="auto"/>
        <w:rPr>
          <w:b/>
          <w:i/>
          <w:color w:val="000000"/>
        </w:rPr>
      </w:pPr>
      <w:proofErr w:type="gramStart"/>
      <w:r w:rsidRPr="00017477">
        <w:rPr>
          <w:b/>
          <w:i/>
          <w:color w:val="000000"/>
        </w:rPr>
        <w:t xml:space="preserve">Ofic299-25.PDF; </w:t>
      </w:r>
      <w:r w:rsidRPr="00017477">
        <w:rPr>
          <w:b/>
          <w:color w:val="000000"/>
        </w:rPr>
        <w:t xml:space="preserve"> </w:t>
      </w:r>
      <w:r w:rsidRPr="00017477">
        <w:rPr>
          <w:color w:val="000000"/>
        </w:rPr>
        <w:t>del</w:t>
      </w:r>
      <w:proofErr w:type="gramEnd"/>
      <w:r w:rsidRPr="00017477">
        <w:rPr>
          <w:color w:val="000000"/>
        </w:rPr>
        <w:t xml:space="preserve"> que se desprende un oficio suscrito por la Secretaría Académica, en el que informó lo siguiente:</w:t>
      </w:r>
    </w:p>
    <w:p w14:paraId="57FB6B3F" w14:textId="77777777" w:rsidR="00927822" w:rsidRPr="00017477" w:rsidRDefault="00927822">
      <w:pPr>
        <w:spacing w:after="0" w:line="360" w:lineRule="auto"/>
        <w:rPr>
          <w:b/>
          <w:i/>
          <w:color w:val="000000"/>
        </w:rPr>
      </w:pPr>
    </w:p>
    <w:p w14:paraId="634E405A"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“1.- El gobierno del Estado de México, originalmente pretendía realizar un proyecto que serviría para impulsar proyectos productivos de la región como enlatar y empaquetar barbacoa para poderla vender al interior de la República e inclusive fuera del país. </w:t>
      </w:r>
    </w:p>
    <w:p w14:paraId="4C07AF2F"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2.- A la Universidad Tecnológica del Valle de Toluca, como organismo auxiliar descentralizado, en el año 2016, se le asigno el proyecto denominado "Unidad Académica de Capulhuac de la Universidad Tecnológica del Valle de Toluca". </w:t>
      </w:r>
    </w:p>
    <w:p w14:paraId="5DD88CE4" w14:textId="77777777" w:rsidR="00927822" w:rsidRPr="00017477" w:rsidRDefault="00DB1659">
      <w:pPr>
        <w:spacing w:after="0" w:line="360" w:lineRule="auto"/>
        <w:ind w:left="567" w:right="426"/>
        <w:rPr>
          <w:i/>
          <w:color w:val="000000"/>
          <w:sz w:val="20"/>
          <w:szCs w:val="20"/>
        </w:rPr>
      </w:pPr>
      <w:r w:rsidRPr="00017477">
        <w:rPr>
          <w:i/>
          <w:color w:val="000000"/>
          <w:sz w:val="20"/>
          <w:szCs w:val="20"/>
        </w:rPr>
        <w:lastRenderedPageBreak/>
        <w:t xml:space="preserve">3.-- Con el transcurso del tiempo nos vimos imposibilitados en ofertar una carrera especifica donde se estudiara la barbacoa como educación superior, ya que únicamente es un proceso artesanal y como tal no se encuentra dentro del catálogo de Programas Educativos autorizado por la SEP, sin embargo para impulsar proyectos productivos de la región, se ofrecieron en el cuatrimestre Septiembre - Diciembre 2017 las carreras de Técnico Superior Universitario en Química área Biotecnología y Técnico Superior Universitario en Procesos Alimentarios. </w:t>
      </w:r>
    </w:p>
    <w:p w14:paraId="57A1F978" w14:textId="77777777" w:rsidR="00927822" w:rsidRPr="00017477" w:rsidRDefault="00DB1659">
      <w:pPr>
        <w:spacing w:after="0" w:line="360" w:lineRule="auto"/>
        <w:ind w:left="567" w:right="426"/>
        <w:rPr>
          <w:i/>
          <w:color w:val="000000"/>
          <w:sz w:val="20"/>
          <w:szCs w:val="20"/>
        </w:rPr>
      </w:pPr>
      <w:r w:rsidRPr="00017477">
        <w:rPr>
          <w:i/>
          <w:color w:val="000000"/>
          <w:sz w:val="20"/>
          <w:szCs w:val="20"/>
        </w:rPr>
        <w:t>4.-- El presupuesto otorgado por el Gobierno Federal fue a través del FAM potenciado 2016 para la creación de la Unidad Académica de Capulhuac de la Universidad Tecnológica del Valle de Toluca fue de $20'000,000.00”</w:t>
      </w:r>
    </w:p>
    <w:p w14:paraId="7BEC46FC" w14:textId="77777777" w:rsidR="00927822" w:rsidRPr="00017477" w:rsidRDefault="00927822">
      <w:pPr>
        <w:spacing w:after="0" w:line="360" w:lineRule="auto"/>
        <w:ind w:left="567" w:right="426"/>
        <w:rPr>
          <w:i/>
          <w:color w:val="000000"/>
          <w:sz w:val="20"/>
          <w:szCs w:val="20"/>
        </w:rPr>
      </w:pPr>
    </w:p>
    <w:p w14:paraId="326C1BF2" w14:textId="77777777" w:rsidR="00927822" w:rsidRPr="00017477" w:rsidRDefault="00DB1659">
      <w:pPr>
        <w:numPr>
          <w:ilvl w:val="0"/>
          <w:numId w:val="1"/>
        </w:numPr>
        <w:pBdr>
          <w:top w:val="nil"/>
          <w:left w:val="nil"/>
          <w:bottom w:val="nil"/>
          <w:right w:val="nil"/>
          <w:between w:val="nil"/>
        </w:pBdr>
        <w:spacing w:after="0" w:line="360" w:lineRule="auto"/>
        <w:rPr>
          <w:b/>
          <w:i/>
          <w:color w:val="000000"/>
        </w:rPr>
      </w:pPr>
      <w:r w:rsidRPr="00017477">
        <w:rPr>
          <w:b/>
          <w:i/>
          <w:color w:val="000000"/>
        </w:rPr>
        <w:t xml:space="preserve">Ofic179-25.PDF; </w:t>
      </w:r>
      <w:r w:rsidRPr="00017477">
        <w:rPr>
          <w:color w:val="000000"/>
        </w:rPr>
        <w:t xml:space="preserve">del que se advierte un oficio suscrito por el Titular de la Unidad de Transparencia del Sujeto Obligado, mediante el cual turnó la solicitud de información ante la Secretaría Académica. </w:t>
      </w:r>
    </w:p>
    <w:p w14:paraId="7878EA0D" w14:textId="77777777" w:rsidR="00927822" w:rsidRPr="00017477" w:rsidRDefault="00927822">
      <w:pPr>
        <w:spacing w:after="0" w:line="360" w:lineRule="auto"/>
        <w:ind w:left="567" w:right="426"/>
        <w:rPr>
          <w:i/>
          <w:color w:val="000000"/>
        </w:rPr>
      </w:pPr>
    </w:p>
    <w:p w14:paraId="51B7FE71" w14:textId="77777777" w:rsidR="00927822" w:rsidRPr="00017477" w:rsidRDefault="00DB1659">
      <w:pPr>
        <w:numPr>
          <w:ilvl w:val="0"/>
          <w:numId w:val="1"/>
        </w:numPr>
        <w:pBdr>
          <w:top w:val="nil"/>
          <w:left w:val="nil"/>
          <w:bottom w:val="nil"/>
          <w:right w:val="nil"/>
          <w:between w:val="nil"/>
        </w:pBdr>
        <w:spacing w:after="0" w:line="360" w:lineRule="auto"/>
        <w:rPr>
          <w:b/>
          <w:i/>
          <w:color w:val="000000"/>
        </w:rPr>
      </w:pPr>
      <w:r w:rsidRPr="00017477">
        <w:rPr>
          <w:b/>
          <w:i/>
          <w:color w:val="000000"/>
        </w:rPr>
        <w:t xml:space="preserve">Respuesta SIP </w:t>
      </w:r>
      <w:proofErr w:type="gramStart"/>
      <w:r w:rsidRPr="00017477">
        <w:rPr>
          <w:b/>
          <w:i/>
          <w:color w:val="000000"/>
        </w:rPr>
        <w:t xml:space="preserve">00010.PDF; </w:t>
      </w:r>
      <w:r w:rsidRPr="00017477">
        <w:rPr>
          <w:b/>
          <w:color w:val="000000"/>
        </w:rPr>
        <w:t xml:space="preserve"> </w:t>
      </w:r>
      <w:r w:rsidRPr="00017477">
        <w:rPr>
          <w:color w:val="000000"/>
        </w:rPr>
        <w:t>del</w:t>
      </w:r>
      <w:proofErr w:type="gramEnd"/>
      <w:r w:rsidRPr="00017477">
        <w:rPr>
          <w:color w:val="000000"/>
        </w:rPr>
        <w:t xml:space="preserve"> que se desprende un oficio suscrito por el Titular de la Unidad de Transparencia del Sujeto Obligado en el que remitió los oficios antes descritos.</w:t>
      </w:r>
      <w:r w:rsidRPr="00017477">
        <w:rPr>
          <w:b/>
          <w:i/>
          <w:color w:val="000000"/>
        </w:rPr>
        <w:t xml:space="preserve"> </w:t>
      </w:r>
    </w:p>
    <w:p w14:paraId="1AA9097F" w14:textId="77777777" w:rsidR="00927822" w:rsidRPr="00017477" w:rsidRDefault="00927822">
      <w:pPr>
        <w:spacing w:after="0" w:line="360" w:lineRule="auto"/>
        <w:rPr>
          <w:color w:val="000000"/>
        </w:rPr>
      </w:pPr>
    </w:p>
    <w:p w14:paraId="61DE1BCF" w14:textId="77777777" w:rsidR="00927822" w:rsidRPr="00017477" w:rsidRDefault="00DB1659">
      <w:pPr>
        <w:pStyle w:val="Ttulo2"/>
        <w:spacing w:before="0" w:line="360" w:lineRule="auto"/>
        <w:rPr>
          <w:rFonts w:ascii="Palatino Linotype" w:eastAsia="Palatino Linotype" w:hAnsi="Palatino Linotype" w:cs="Palatino Linotype"/>
          <w:b/>
          <w:color w:val="000000"/>
          <w:sz w:val="22"/>
          <w:szCs w:val="22"/>
        </w:rPr>
      </w:pPr>
      <w:bookmarkStart w:id="5" w:name="_heading=h.1ew24uus4x3g" w:colFirst="0" w:colLast="0"/>
      <w:bookmarkEnd w:id="5"/>
      <w:r w:rsidRPr="00017477">
        <w:rPr>
          <w:rFonts w:ascii="Palatino Linotype" w:eastAsia="Palatino Linotype" w:hAnsi="Palatino Linotype" w:cs="Palatino Linotype"/>
          <w:b/>
          <w:color w:val="000000"/>
          <w:sz w:val="22"/>
          <w:szCs w:val="22"/>
        </w:rPr>
        <w:t>III. Interposición del Recurso de Revisión</w:t>
      </w:r>
    </w:p>
    <w:p w14:paraId="20DDC9C4" w14:textId="77777777" w:rsidR="00927822" w:rsidRPr="00017477" w:rsidRDefault="00927822">
      <w:pPr>
        <w:spacing w:after="0" w:line="360" w:lineRule="auto"/>
        <w:rPr>
          <w:color w:val="000000"/>
        </w:rPr>
      </w:pPr>
    </w:p>
    <w:p w14:paraId="77921773" w14:textId="77777777" w:rsidR="00927822" w:rsidRPr="00017477" w:rsidRDefault="00DB1659">
      <w:pPr>
        <w:spacing w:after="0" w:line="360" w:lineRule="auto"/>
        <w:rPr>
          <w:color w:val="000000"/>
        </w:rPr>
      </w:pPr>
      <w:r w:rsidRPr="00017477">
        <w:rPr>
          <w:color w:val="000000"/>
        </w:rPr>
        <w:t>El treinta de junio de dos mil veinticinco, se recibió en este Instituto, a través del Sistema de Acceso a la Información Mexiquense (SAIMEX), el Recurso de Revisión interpuesto por la persona Recurrente, en contra de la respuesta del Sujeto Obligado,</w:t>
      </w:r>
      <w:r w:rsidRPr="00017477">
        <w:rPr>
          <w:b/>
          <w:color w:val="000000"/>
        </w:rPr>
        <w:t xml:space="preserve"> </w:t>
      </w:r>
      <w:r w:rsidRPr="00017477">
        <w:rPr>
          <w:color w:val="000000"/>
        </w:rPr>
        <w:t>en los siguientes términos:</w:t>
      </w:r>
    </w:p>
    <w:p w14:paraId="3A9AA045" w14:textId="77777777" w:rsidR="00927822" w:rsidRPr="00017477" w:rsidRDefault="00927822">
      <w:pPr>
        <w:spacing w:after="0" w:line="360" w:lineRule="auto"/>
        <w:rPr>
          <w:color w:val="000000"/>
        </w:rPr>
      </w:pPr>
    </w:p>
    <w:p w14:paraId="59035CE5" w14:textId="77777777" w:rsidR="00927822" w:rsidRPr="00017477" w:rsidRDefault="00DB1659">
      <w:pPr>
        <w:spacing w:after="0" w:line="360" w:lineRule="auto"/>
        <w:ind w:left="567" w:right="567"/>
        <w:rPr>
          <w:b/>
          <w:i/>
          <w:color w:val="000000"/>
          <w:sz w:val="20"/>
          <w:szCs w:val="20"/>
        </w:rPr>
      </w:pPr>
      <w:r w:rsidRPr="00017477">
        <w:rPr>
          <w:b/>
          <w:i/>
          <w:color w:val="000000"/>
          <w:sz w:val="20"/>
          <w:szCs w:val="20"/>
        </w:rPr>
        <w:t>“ACTO IMPUGNADO</w:t>
      </w:r>
    </w:p>
    <w:p w14:paraId="710F9142" w14:textId="77777777" w:rsidR="00927822" w:rsidRPr="00017477" w:rsidRDefault="00DB1659">
      <w:pPr>
        <w:spacing w:after="0" w:line="360" w:lineRule="auto"/>
        <w:ind w:left="567" w:right="567"/>
        <w:rPr>
          <w:i/>
          <w:color w:val="000000"/>
          <w:sz w:val="20"/>
          <w:szCs w:val="20"/>
        </w:rPr>
      </w:pPr>
      <w:r w:rsidRPr="00017477">
        <w:rPr>
          <w:i/>
          <w:color w:val="000000"/>
          <w:sz w:val="20"/>
          <w:szCs w:val="20"/>
        </w:rPr>
        <w:t>NO ENTREGA INFORMACIÓN” (Sic.)</w:t>
      </w:r>
    </w:p>
    <w:p w14:paraId="7D448988" w14:textId="77777777" w:rsidR="00927822" w:rsidRPr="00017477" w:rsidRDefault="00927822">
      <w:pPr>
        <w:spacing w:after="0" w:line="360" w:lineRule="auto"/>
        <w:ind w:left="567" w:right="567"/>
        <w:rPr>
          <w:i/>
          <w:color w:val="000000"/>
          <w:sz w:val="20"/>
          <w:szCs w:val="20"/>
        </w:rPr>
      </w:pPr>
    </w:p>
    <w:p w14:paraId="495D30A6" w14:textId="77777777" w:rsidR="00927822" w:rsidRPr="00017477" w:rsidRDefault="00DB1659">
      <w:pPr>
        <w:spacing w:after="0" w:line="360" w:lineRule="auto"/>
        <w:ind w:left="567" w:right="567"/>
        <w:rPr>
          <w:b/>
          <w:i/>
          <w:color w:val="000000"/>
          <w:sz w:val="20"/>
          <w:szCs w:val="20"/>
        </w:rPr>
      </w:pPr>
      <w:r w:rsidRPr="00017477">
        <w:rPr>
          <w:b/>
          <w:i/>
          <w:color w:val="000000"/>
          <w:sz w:val="20"/>
          <w:szCs w:val="20"/>
        </w:rPr>
        <w:lastRenderedPageBreak/>
        <w:t>“RAZONES O MOTIVOS DE LA INCONFORMIDAD</w:t>
      </w:r>
    </w:p>
    <w:p w14:paraId="17202F17" w14:textId="77777777" w:rsidR="00927822" w:rsidRPr="00017477" w:rsidRDefault="00DB1659">
      <w:pPr>
        <w:spacing w:after="0" w:line="360" w:lineRule="auto"/>
        <w:ind w:left="567" w:right="567"/>
        <w:rPr>
          <w:i/>
          <w:color w:val="000000"/>
          <w:sz w:val="20"/>
          <w:szCs w:val="20"/>
        </w:rPr>
      </w:pPr>
      <w:r w:rsidRPr="00017477">
        <w:rPr>
          <w:i/>
          <w:color w:val="000000"/>
          <w:sz w:val="20"/>
          <w:szCs w:val="20"/>
        </w:rPr>
        <w:t xml:space="preserve">NO HICIERON ENTREGA DEL DOCUMENTAL DONDE DESGLOSEN TODO EL PRESUPUESTO ASIGNADO EL CUAL SOLO REFIEREN QUE SON 20 MILLONES DE PESOS, SIENDO ESTO FALSO ADJUNTO EVIDENCIA.” </w:t>
      </w:r>
    </w:p>
    <w:p w14:paraId="48BB5694" w14:textId="77777777" w:rsidR="00927822" w:rsidRPr="00017477" w:rsidRDefault="00927822">
      <w:pPr>
        <w:spacing w:after="0" w:line="360" w:lineRule="auto"/>
        <w:rPr>
          <w:b/>
          <w:color w:val="000000"/>
        </w:rPr>
      </w:pPr>
    </w:p>
    <w:p w14:paraId="55F541B5" w14:textId="77777777" w:rsidR="00927822" w:rsidRPr="00017477" w:rsidRDefault="00DB1659">
      <w:pPr>
        <w:spacing w:after="0" w:line="360" w:lineRule="auto"/>
        <w:rPr>
          <w:color w:val="000000"/>
        </w:rPr>
      </w:pPr>
      <w:r w:rsidRPr="00017477">
        <w:rPr>
          <w:color w:val="000000"/>
        </w:rPr>
        <w:t xml:space="preserve">La persona Recurrente adjuntó a su Recurso de Revisión un archivo denominado </w:t>
      </w:r>
      <w:r w:rsidRPr="00017477">
        <w:rPr>
          <w:b/>
          <w:i/>
          <w:color w:val="000000"/>
        </w:rPr>
        <w:t>Captura de pantalla .</w:t>
      </w:r>
      <w:proofErr w:type="spellStart"/>
      <w:r w:rsidRPr="00017477">
        <w:rPr>
          <w:b/>
          <w:i/>
          <w:color w:val="000000"/>
        </w:rPr>
        <w:t>pdf</w:t>
      </w:r>
      <w:proofErr w:type="spellEnd"/>
      <w:r w:rsidRPr="00017477">
        <w:rPr>
          <w:b/>
          <w:i/>
          <w:color w:val="000000"/>
        </w:rPr>
        <w:t xml:space="preserve">, </w:t>
      </w:r>
      <w:r w:rsidRPr="00017477">
        <w:rPr>
          <w:color w:val="000000"/>
        </w:rPr>
        <w:t>del que se desprende lo siguiente:</w:t>
      </w:r>
    </w:p>
    <w:p w14:paraId="3CE6A3B5" w14:textId="77777777" w:rsidR="00927822" w:rsidRPr="00017477" w:rsidRDefault="00927822">
      <w:pPr>
        <w:spacing w:after="0" w:line="360" w:lineRule="auto"/>
        <w:rPr>
          <w:color w:val="000000"/>
        </w:rPr>
      </w:pPr>
    </w:p>
    <w:p w14:paraId="77232041" w14:textId="77777777" w:rsidR="00927822" w:rsidRPr="00017477" w:rsidRDefault="00DB1659">
      <w:pPr>
        <w:spacing w:after="0" w:line="360" w:lineRule="auto"/>
        <w:jc w:val="center"/>
        <w:rPr>
          <w:color w:val="000000"/>
        </w:rPr>
      </w:pPr>
      <w:r w:rsidRPr="00017477">
        <w:rPr>
          <w:noProof/>
          <w:color w:val="000000"/>
        </w:rPr>
        <w:drawing>
          <wp:inline distT="0" distB="0" distL="0" distR="0" wp14:anchorId="48777D88" wp14:editId="2B17A30C">
            <wp:extent cx="3864574" cy="3697518"/>
            <wp:effectExtent l="0" t="0" r="0" b="0"/>
            <wp:docPr id="13788048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15227" b="13825"/>
                    <a:stretch>
                      <a:fillRect/>
                    </a:stretch>
                  </pic:blipFill>
                  <pic:spPr>
                    <a:xfrm>
                      <a:off x="0" y="0"/>
                      <a:ext cx="3864574" cy="3697518"/>
                    </a:xfrm>
                    <a:prstGeom prst="rect">
                      <a:avLst/>
                    </a:prstGeom>
                    <a:ln/>
                  </pic:spPr>
                </pic:pic>
              </a:graphicData>
            </a:graphic>
          </wp:inline>
        </w:drawing>
      </w:r>
    </w:p>
    <w:p w14:paraId="19996516" w14:textId="77777777" w:rsidR="00927822" w:rsidRPr="00017477" w:rsidRDefault="00927822">
      <w:pPr>
        <w:spacing w:after="0" w:line="360" w:lineRule="auto"/>
        <w:rPr>
          <w:color w:val="000000"/>
        </w:rPr>
      </w:pPr>
    </w:p>
    <w:p w14:paraId="2CC7C00E" w14:textId="77777777" w:rsidR="00927822" w:rsidRPr="00017477" w:rsidRDefault="00DB1659">
      <w:pPr>
        <w:pStyle w:val="Ttulo2"/>
        <w:spacing w:before="0" w:line="360" w:lineRule="auto"/>
        <w:rPr>
          <w:rFonts w:ascii="Palatino Linotype" w:eastAsia="Palatino Linotype" w:hAnsi="Palatino Linotype" w:cs="Palatino Linotype"/>
          <w:b/>
          <w:color w:val="000000"/>
          <w:sz w:val="22"/>
          <w:szCs w:val="22"/>
        </w:rPr>
      </w:pPr>
      <w:bookmarkStart w:id="6" w:name="_heading=h.v7fj1sfygi3x" w:colFirst="0" w:colLast="0"/>
      <w:bookmarkEnd w:id="6"/>
      <w:r w:rsidRPr="00017477">
        <w:rPr>
          <w:rFonts w:ascii="Palatino Linotype" w:eastAsia="Palatino Linotype" w:hAnsi="Palatino Linotype" w:cs="Palatino Linotype"/>
          <w:b/>
          <w:color w:val="000000"/>
          <w:sz w:val="22"/>
          <w:szCs w:val="22"/>
        </w:rPr>
        <w:t>IV. Trámite del Recurso de Revisión ante este Instituto</w:t>
      </w:r>
    </w:p>
    <w:p w14:paraId="061FA25F" w14:textId="77777777" w:rsidR="00927822" w:rsidRPr="00017477" w:rsidRDefault="00927822">
      <w:pPr>
        <w:spacing w:after="0" w:line="360" w:lineRule="auto"/>
        <w:rPr>
          <w:color w:val="000000"/>
        </w:rPr>
      </w:pPr>
    </w:p>
    <w:p w14:paraId="06A4BC5B" w14:textId="77777777" w:rsidR="00927822" w:rsidRPr="00017477" w:rsidRDefault="00DB1659">
      <w:pPr>
        <w:spacing w:after="0" w:line="360" w:lineRule="auto"/>
        <w:rPr>
          <w:b/>
          <w:color w:val="000000"/>
        </w:rPr>
      </w:pPr>
      <w:r w:rsidRPr="00017477">
        <w:rPr>
          <w:b/>
          <w:color w:val="000000"/>
        </w:rPr>
        <w:lastRenderedPageBreak/>
        <w:t xml:space="preserve">a) Turno del Medio de Impugnación. </w:t>
      </w:r>
      <w:r w:rsidRPr="00017477">
        <w:rPr>
          <w:color w:val="000000"/>
        </w:rPr>
        <w:t xml:space="preserve">El treinta de junio de dos mil veinticinco, el Sistema de Acceso a la Información Mexiquense (SAIMEX), asignó el número de expediente </w:t>
      </w:r>
      <w:r w:rsidRPr="00017477">
        <w:rPr>
          <w:b/>
          <w:color w:val="000000"/>
        </w:rPr>
        <w:t>07901/INFOEM/IP/RR/2025</w:t>
      </w:r>
      <w:r w:rsidRPr="00017477">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78DA981E" w14:textId="77777777" w:rsidR="00927822" w:rsidRPr="00017477" w:rsidRDefault="00927822">
      <w:pPr>
        <w:spacing w:after="0" w:line="360" w:lineRule="auto"/>
        <w:rPr>
          <w:color w:val="000000"/>
        </w:rPr>
      </w:pPr>
    </w:p>
    <w:p w14:paraId="750AA56A" w14:textId="77777777" w:rsidR="00927822" w:rsidRPr="00017477" w:rsidRDefault="00DB1659">
      <w:pPr>
        <w:spacing w:after="0" w:line="360" w:lineRule="auto"/>
        <w:rPr>
          <w:color w:val="000000"/>
        </w:rPr>
      </w:pPr>
      <w:r w:rsidRPr="00017477">
        <w:rPr>
          <w:b/>
          <w:color w:val="000000"/>
        </w:rPr>
        <w:t xml:space="preserve">b) Admisión del Recurso de Revisión. </w:t>
      </w:r>
      <w:r w:rsidRPr="00017477">
        <w:rPr>
          <w:color w:val="000000"/>
        </w:rPr>
        <w:t xml:space="preserve">El tres 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3478D0B7" w14:textId="77777777" w:rsidR="00927822" w:rsidRPr="00017477" w:rsidRDefault="00927822">
      <w:pPr>
        <w:spacing w:after="0" w:line="360" w:lineRule="auto"/>
        <w:rPr>
          <w:color w:val="000000"/>
        </w:rPr>
      </w:pPr>
    </w:p>
    <w:p w14:paraId="19EBC40A" w14:textId="77777777" w:rsidR="00927822" w:rsidRPr="00017477" w:rsidRDefault="00DB1659">
      <w:pPr>
        <w:spacing w:after="0" w:line="360" w:lineRule="auto"/>
        <w:rPr>
          <w:color w:val="000000"/>
        </w:rPr>
      </w:pPr>
      <w:r w:rsidRPr="00017477">
        <w:rPr>
          <w:b/>
          <w:color w:val="000000"/>
        </w:rPr>
        <w:t xml:space="preserve">c) Informe Justificado. </w:t>
      </w:r>
      <w:r w:rsidRPr="00017477">
        <w:rPr>
          <w:color w:val="000000"/>
        </w:rPr>
        <w:t>El catorce de julio de dos mil veinticinco, a través del Sistema de Acceso a la Información Mexiquense (SAIMEX), se recibió en este Instituto el informe justificado por parte del Sujeto Obligado, en los siguientes términos:</w:t>
      </w:r>
    </w:p>
    <w:p w14:paraId="04CC7905" w14:textId="77777777" w:rsidR="00927822" w:rsidRPr="00017477" w:rsidRDefault="00927822">
      <w:pPr>
        <w:spacing w:after="0" w:line="360" w:lineRule="auto"/>
        <w:rPr>
          <w:color w:val="000000"/>
        </w:rPr>
      </w:pPr>
    </w:p>
    <w:p w14:paraId="334B6FF0" w14:textId="77777777" w:rsidR="00927822" w:rsidRPr="00017477" w:rsidRDefault="00DB1659">
      <w:pPr>
        <w:numPr>
          <w:ilvl w:val="0"/>
          <w:numId w:val="2"/>
        </w:numPr>
        <w:pBdr>
          <w:top w:val="nil"/>
          <w:left w:val="nil"/>
          <w:bottom w:val="nil"/>
          <w:right w:val="nil"/>
          <w:between w:val="nil"/>
        </w:pBdr>
        <w:spacing w:after="0" w:line="360" w:lineRule="auto"/>
        <w:rPr>
          <w:b/>
          <w:i/>
          <w:color w:val="000000"/>
        </w:rPr>
      </w:pPr>
      <w:r w:rsidRPr="00017477">
        <w:rPr>
          <w:b/>
          <w:i/>
          <w:color w:val="000000"/>
        </w:rPr>
        <w:t xml:space="preserve">ofc398-25.PDF; </w:t>
      </w:r>
      <w:r w:rsidRPr="00017477">
        <w:rPr>
          <w:color w:val="000000"/>
        </w:rPr>
        <w:t xml:space="preserve">del que se desprende un oficio suscrito por el Rector, dirigido a la </w:t>
      </w:r>
      <w:proofErr w:type="gramStart"/>
      <w:r w:rsidRPr="00017477">
        <w:rPr>
          <w:color w:val="000000"/>
        </w:rPr>
        <w:t>Secretaria</w:t>
      </w:r>
      <w:proofErr w:type="gramEnd"/>
      <w:r w:rsidRPr="00017477">
        <w:rPr>
          <w:color w:val="000000"/>
        </w:rPr>
        <w:t xml:space="preserve"> Académica en el que solicitó que atendiera las inconformidades del Recurrente.</w:t>
      </w:r>
    </w:p>
    <w:p w14:paraId="701209B9" w14:textId="77777777" w:rsidR="00927822" w:rsidRPr="00017477" w:rsidRDefault="00DB1659">
      <w:pPr>
        <w:numPr>
          <w:ilvl w:val="0"/>
          <w:numId w:val="2"/>
        </w:numPr>
        <w:pBdr>
          <w:top w:val="nil"/>
          <w:left w:val="nil"/>
          <w:bottom w:val="nil"/>
          <w:right w:val="nil"/>
          <w:between w:val="nil"/>
        </w:pBdr>
        <w:spacing w:after="0" w:line="360" w:lineRule="auto"/>
        <w:rPr>
          <w:b/>
          <w:i/>
          <w:color w:val="000000"/>
        </w:rPr>
      </w:pPr>
      <w:proofErr w:type="gramStart"/>
      <w:r w:rsidRPr="00017477">
        <w:rPr>
          <w:b/>
          <w:i/>
          <w:color w:val="000000"/>
        </w:rPr>
        <w:t xml:space="preserve">Ofic-223-25.PDF; </w:t>
      </w:r>
      <w:r w:rsidRPr="00017477">
        <w:rPr>
          <w:b/>
          <w:color w:val="000000"/>
        </w:rPr>
        <w:t xml:space="preserve"> </w:t>
      </w:r>
      <w:r w:rsidRPr="00017477">
        <w:rPr>
          <w:color w:val="000000"/>
        </w:rPr>
        <w:t>del</w:t>
      </w:r>
      <w:proofErr w:type="gramEnd"/>
      <w:r w:rsidRPr="00017477">
        <w:rPr>
          <w:color w:val="000000"/>
        </w:rPr>
        <w:t xml:space="preserve"> que se advierte un oficio suscrito por el Titular de la Unidad de Transparencia y de la Unidad de Información, Planeación, Programación y Evaluación en la que le solicitó a la </w:t>
      </w:r>
      <w:r w:rsidRPr="00017477">
        <w:t>Secretaría</w:t>
      </w:r>
      <w:r w:rsidRPr="00017477">
        <w:rPr>
          <w:color w:val="000000"/>
        </w:rPr>
        <w:t xml:space="preserve"> Académica para que remitiera la información soporte.</w:t>
      </w:r>
    </w:p>
    <w:p w14:paraId="7F0BFF9B" w14:textId="77777777" w:rsidR="00927822" w:rsidRPr="00017477" w:rsidRDefault="00DB1659">
      <w:pPr>
        <w:numPr>
          <w:ilvl w:val="0"/>
          <w:numId w:val="2"/>
        </w:numPr>
        <w:pBdr>
          <w:top w:val="nil"/>
          <w:left w:val="nil"/>
          <w:bottom w:val="nil"/>
          <w:right w:val="nil"/>
          <w:between w:val="nil"/>
        </w:pBdr>
        <w:spacing w:after="0" w:line="360" w:lineRule="auto"/>
        <w:rPr>
          <w:b/>
          <w:i/>
          <w:color w:val="000000"/>
        </w:rPr>
      </w:pPr>
      <w:r w:rsidRPr="00017477">
        <w:rPr>
          <w:b/>
          <w:i/>
          <w:color w:val="000000"/>
        </w:rPr>
        <w:lastRenderedPageBreak/>
        <w:t xml:space="preserve">Informe </w:t>
      </w:r>
      <w:proofErr w:type="spellStart"/>
      <w:r w:rsidRPr="00017477">
        <w:rPr>
          <w:b/>
          <w:i/>
          <w:color w:val="000000"/>
        </w:rPr>
        <w:t>Justifido</w:t>
      </w:r>
      <w:proofErr w:type="spellEnd"/>
      <w:r w:rsidRPr="00017477">
        <w:rPr>
          <w:b/>
          <w:i/>
          <w:color w:val="000000"/>
        </w:rPr>
        <w:t xml:space="preserve"> RR-07901-2025.pdf; </w:t>
      </w:r>
      <w:r w:rsidRPr="00017477">
        <w:rPr>
          <w:color w:val="000000"/>
        </w:rPr>
        <w:t xml:space="preserve">del que se advierte un oficio suscrito por el Titular de la Unidad de Transparencia del Sujeto Obligado en el que informó que respecto a lo solicitado se atiende con el anexo 1 y que respecto al documento del presupuesto indicó que remite el anexo 2 en el que se desglosa lo solicitado. Y sugirió a la persona Recurrente que para el caso de requerir un </w:t>
      </w:r>
      <w:r w:rsidRPr="00017477">
        <w:t>desglose</w:t>
      </w:r>
      <w:r w:rsidRPr="00017477">
        <w:rPr>
          <w:color w:val="000000"/>
        </w:rPr>
        <w:t xml:space="preserve"> de todo el presupuesto asignado realice una nueva solicitud. </w:t>
      </w:r>
    </w:p>
    <w:p w14:paraId="0A59D1D3" w14:textId="77777777" w:rsidR="00927822" w:rsidRPr="00017477" w:rsidRDefault="00927822">
      <w:pPr>
        <w:pBdr>
          <w:top w:val="nil"/>
          <w:left w:val="nil"/>
          <w:bottom w:val="nil"/>
          <w:right w:val="nil"/>
          <w:between w:val="nil"/>
        </w:pBdr>
        <w:spacing w:after="0" w:line="360" w:lineRule="auto"/>
        <w:ind w:left="720"/>
        <w:rPr>
          <w:b/>
          <w:i/>
          <w:color w:val="000000"/>
        </w:rPr>
      </w:pPr>
    </w:p>
    <w:p w14:paraId="32D35083" w14:textId="77777777" w:rsidR="00927822" w:rsidRPr="00017477" w:rsidRDefault="00DB1659">
      <w:pPr>
        <w:numPr>
          <w:ilvl w:val="0"/>
          <w:numId w:val="2"/>
        </w:numPr>
        <w:pBdr>
          <w:top w:val="nil"/>
          <w:left w:val="nil"/>
          <w:bottom w:val="nil"/>
          <w:right w:val="nil"/>
          <w:between w:val="nil"/>
        </w:pBdr>
        <w:spacing w:after="0" w:line="360" w:lineRule="auto"/>
        <w:rPr>
          <w:b/>
          <w:i/>
          <w:color w:val="000000"/>
        </w:rPr>
      </w:pPr>
      <w:r w:rsidRPr="00017477">
        <w:rPr>
          <w:b/>
          <w:i/>
          <w:color w:val="000000"/>
        </w:rPr>
        <w:t xml:space="preserve">ANEXO 1.pdf; </w:t>
      </w:r>
      <w:r w:rsidRPr="00017477">
        <w:rPr>
          <w:b/>
          <w:color w:val="000000"/>
        </w:rPr>
        <w:t xml:space="preserve">del que se desprende </w:t>
      </w:r>
      <w:r w:rsidRPr="00017477">
        <w:rPr>
          <w:color w:val="000000"/>
        </w:rPr>
        <w:t>un oficio suscrito por la Secretaría Académica, en los mismos términos que el remitido en respuesta, además se añade un oficio suscrito por el Rector y dirigido al Coordinador General de Universidades Tecnológicas y Politécnicas en el que informó sobre una donación recibida por la institución y la planeación de los recursos, en su parte de interés señala:</w:t>
      </w:r>
    </w:p>
    <w:p w14:paraId="6FC488A7" w14:textId="77777777" w:rsidR="00927822" w:rsidRPr="00017477" w:rsidRDefault="00927822">
      <w:pPr>
        <w:pBdr>
          <w:top w:val="nil"/>
          <w:left w:val="nil"/>
          <w:bottom w:val="nil"/>
          <w:right w:val="nil"/>
          <w:between w:val="nil"/>
        </w:pBdr>
        <w:spacing w:after="0" w:line="360" w:lineRule="auto"/>
        <w:ind w:left="720"/>
        <w:rPr>
          <w:b/>
          <w:i/>
          <w:color w:val="000000"/>
        </w:rPr>
      </w:pPr>
    </w:p>
    <w:p w14:paraId="61BB716B"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El Gobierno del estado de México, por conducto del Instituto Mexiquense de Infraestructura Física Educativa (IMIFE) nos notificó con fecha 11 de mayo 2016 (Se anexa copia) que se dispone dentro del FAM Potenciado de un monto total de 20 millones de pesos que serían canalizados en este 2016 y principios de 2017 para realizar una primera etapa de infraestructura educativa para dicha Unidad/Extensión ($17.28 millones para obra civil y $1.92 millones para equipamiento). La obra en esa etapa incluirá un edificio de docencia nuevo as como la adecuación de infraestructura ya existente en el predio, alojando en ambos tanto aulas como tres laboratorios' y una planta piloto de cárnicos (Se anexa plano de primera etapa y Plan Maestro), que serían los equipamientos básicos para dos programas educativos, uno de TSU en Química Área Biotecnología y otro de TSU en Procesos Alimentarios que se ofertarían en la Unidad/Extensión Académica a partir del ciclo escolar 2017-2018. La solicitud de apertura para estos programas se envió a esa Coordinación con fecha 16 de abril de 2016.</w:t>
      </w:r>
    </w:p>
    <w:p w14:paraId="6EFAEE5C" w14:textId="77777777" w:rsidR="00927822" w:rsidRPr="00017477" w:rsidRDefault="00DB1659">
      <w:pPr>
        <w:spacing w:after="0" w:line="360" w:lineRule="auto"/>
        <w:ind w:left="567" w:right="426"/>
        <w:rPr>
          <w:i/>
          <w:color w:val="000000"/>
          <w:sz w:val="20"/>
          <w:szCs w:val="20"/>
        </w:rPr>
      </w:pPr>
      <w:r w:rsidRPr="00017477">
        <w:rPr>
          <w:i/>
          <w:color w:val="000000"/>
          <w:sz w:val="20"/>
          <w:szCs w:val="20"/>
        </w:rPr>
        <w:t>…”</w:t>
      </w:r>
    </w:p>
    <w:p w14:paraId="2B972D1E" w14:textId="77777777" w:rsidR="00927822" w:rsidRPr="00017477" w:rsidRDefault="00927822">
      <w:pPr>
        <w:spacing w:after="0" w:line="360" w:lineRule="auto"/>
        <w:rPr>
          <w:b/>
          <w:i/>
          <w:color w:val="000000"/>
        </w:rPr>
      </w:pPr>
    </w:p>
    <w:p w14:paraId="61AAAEBD" w14:textId="77777777" w:rsidR="00927822" w:rsidRPr="00017477" w:rsidRDefault="00DB1659">
      <w:pPr>
        <w:numPr>
          <w:ilvl w:val="0"/>
          <w:numId w:val="2"/>
        </w:numPr>
        <w:pBdr>
          <w:top w:val="nil"/>
          <w:left w:val="nil"/>
          <w:bottom w:val="nil"/>
          <w:right w:val="nil"/>
          <w:between w:val="nil"/>
        </w:pBdr>
        <w:spacing w:after="0" w:line="360" w:lineRule="auto"/>
        <w:rPr>
          <w:i/>
          <w:color w:val="000000"/>
        </w:rPr>
      </w:pPr>
      <w:r w:rsidRPr="00017477">
        <w:rPr>
          <w:b/>
          <w:i/>
          <w:color w:val="000000"/>
        </w:rPr>
        <w:lastRenderedPageBreak/>
        <w:t xml:space="preserve">ANEXO </w:t>
      </w:r>
      <w:proofErr w:type="gramStart"/>
      <w:r w:rsidRPr="00017477">
        <w:rPr>
          <w:b/>
          <w:i/>
          <w:color w:val="000000"/>
        </w:rPr>
        <w:t xml:space="preserve">2.pdf; </w:t>
      </w:r>
      <w:r w:rsidRPr="00017477">
        <w:rPr>
          <w:b/>
          <w:color w:val="000000"/>
        </w:rPr>
        <w:t xml:space="preserve"> </w:t>
      </w:r>
      <w:r w:rsidRPr="00017477">
        <w:rPr>
          <w:color w:val="000000"/>
        </w:rPr>
        <w:t>se</w:t>
      </w:r>
      <w:proofErr w:type="gramEnd"/>
      <w:r w:rsidRPr="00017477">
        <w:rPr>
          <w:color w:val="000000"/>
        </w:rPr>
        <w:t xml:space="preserve"> desprenden los siguientes:</w:t>
      </w:r>
    </w:p>
    <w:p w14:paraId="6BFE7681" w14:textId="77777777" w:rsidR="00927822" w:rsidRPr="00017477" w:rsidRDefault="00DB1659">
      <w:pPr>
        <w:numPr>
          <w:ilvl w:val="1"/>
          <w:numId w:val="2"/>
        </w:numPr>
        <w:pBdr>
          <w:top w:val="nil"/>
          <w:left w:val="nil"/>
          <w:bottom w:val="nil"/>
          <w:right w:val="nil"/>
          <w:between w:val="nil"/>
        </w:pBdr>
        <w:spacing w:after="0" w:line="360" w:lineRule="auto"/>
        <w:rPr>
          <w:i/>
          <w:color w:val="000000"/>
        </w:rPr>
      </w:pPr>
      <w:r w:rsidRPr="00017477">
        <w:rPr>
          <w:color w:val="000000"/>
        </w:rPr>
        <w:t>Oficio suscrito por la Secretaría Academia, en el que informó lo siguiente:</w:t>
      </w:r>
    </w:p>
    <w:p w14:paraId="1C1517A5"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“Al respecto me permito informar a usted lo siguiente: </w:t>
      </w:r>
    </w:p>
    <w:p w14:paraId="7038D441"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1.- En la solicitud de Información Pública No. 00010/UTVT/IP/2025 en ningún momento fue solicitado el desglose del presupuesto asignado. </w:t>
      </w:r>
    </w:p>
    <w:p w14:paraId="4F33AE1C"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2.- De acuerdo con el Decreto de Creación publicado en el Periódico Oficial Gaceta de Gobierno de fecha 3 de septiembre de 2001, "La Universidad Tecnológica del Valle de Toluca es una institución que brinda educación superior" </w:t>
      </w:r>
      <w:proofErr w:type="gramStart"/>
      <w:r w:rsidRPr="00017477">
        <w:rPr>
          <w:i/>
          <w:color w:val="000000"/>
          <w:sz w:val="20"/>
          <w:szCs w:val="20"/>
        </w:rPr>
        <w:t>y</w:t>
      </w:r>
      <w:proofErr w:type="gramEnd"/>
      <w:r w:rsidRPr="00017477">
        <w:rPr>
          <w:i/>
          <w:color w:val="000000"/>
          <w:sz w:val="20"/>
          <w:szCs w:val="20"/>
        </w:rPr>
        <w:t xml:space="preserve"> por consiguiente, no es una dependencia autorizada para asignar o ejercer presupuesto ni para ejecutar obra pública.</w:t>
      </w:r>
    </w:p>
    <w:p w14:paraId="0CAB429D"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3.- El Artículo 12.8 del Libro Décimo Segundo de la Obra Pública del Código Administrativo del Estado de México, refiere que la ejecución de obra pública, la llevará a cabo la Secretaría del Ramo o los ayuntamientos, dentro de sus respectivas competencias, ya sea mediante contrato con terceros o por administración directa. </w:t>
      </w:r>
    </w:p>
    <w:p w14:paraId="21273DBB"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4.- Por otra parte el ACUERDO en el que se establecen los Lineamientos para la aplicación del artículo 12.8 del Código Administrativo del Estado de México, relativo al Libro Décimo Segundo de la Obra Pública, referentes a la autorización de ejecución de obras públicas por contrato o por administración directa para: DEPENDENCIAS Y ENTIDADES ESTATALES, nos especifica que la o las dependencias y entidades ejecutarán obra pública, cuando tengan elementos propios y organización necesaria para realizarla. </w:t>
      </w:r>
    </w:p>
    <w:p w14:paraId="7977E75A"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Considerando para esto lo siguiente: </w:t>
      </w:r>
    </w:p>
    <w:p w14:paraId="07F35F49"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"Estructura orgánica: con un mínimo de áreas de: Planeación. Programación. Concursos y Contratos. Estimaciones y Precios Unitarios. Proyectos. Supervisión de Obra." </w:t>
      </w:r>
    </w:p>
    <w:p w14:paraId="1E9B231A"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5.- Atendiendo la normatividad expuesta con anterioridad, el sujeto obligado con facultades para ejercer el presupuesto asignado a un proyecto de obra educativa es el Instituto Mexiquense de la Infraestructura Física Educativa (IMIFE), que de acuerdo con sus funciones, es el órgano constructor de espacios educativos en el Estado de México que tiene por objeto el desarrollo de la infraestructura física educativa en todos sus niveles y modalidades, así como su construcción, reparación, rehabilitación, mantenimiento y equipamiento; cuyas atribuciones son las siguientes: </w:t>
      </w:r>
    </w:p>
    <w:p w14:paraId="409E5D09" w14:textId="77777777" w:rsidR="00927822" w:rsidRPr="00017477" w:rsidRDefault="00DB1659">
      <w:pPr>
        <w:spacing w:after="0" w:line="360" w:lineRule="auto"/>
        <w:ind w:left="567" w:right="426"/>
        <w:rPr>
          <w:i/>
          <w:color w:val="000000"/>
          <w:sz w:val="20"/>
          <w:szCs w:val="20"/>
        </w:rPr>
      </w:pPr>
      <w:r w:rsidRPr="00017477">
        <w:rPr>
          <w:i/>
          <w:color w:val="000000"/>
          <w:sz w:val="20"/>
          <w:szCs w:val="20"/>
        </w:rPr>
        <w:lastRenderedPageBreak/>
        <w:t xml:space="preserve">Generar y promover normas y políticas que regulen el desarrollo de la infraestructura física educativa en el Estado de México. </w:t>
      </w:r>
    </w:p>
    <w:p w14:paraId="1663EBC7"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Programar, administrar y ejercer por si o a través de terceros los recursos destinados a la </w:t>
      </w:r>
      <w:r w:rsidRPr="00017477">
        <w:rPr>
          <w:i/>
          <w:sz w:val="20"/>
          <w:szCs w:val="20"/>
        </w:rPr>
        <w:t>construcción, reparación</w:t>
      </w:r>
      <w:r w:rsidRPr="00017477">
        <w:rPr>
          <w:i/>
          <w:color w:val="000000"/>
          <w:sz w:val="20"/>
          <w:szCs w:val="20"/>
        </w:rPr>
        <w:t xml:space="preserve">, rehabilitación, mantenimiento y equipamiento de la infraestructura física educativa. </w:t>
      </w:r>
    </w:p>
    <w:p w14:paraId="1258EC0A"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Alentar la participación social de las comunidades en la supervisión de la construcción de espacios educativos, así como de su conservación y mantenimiento. </w:t>
      </w:r>
    </w:p>
    <w:p w14:paraId="7863FEB1"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 Vigilar que las obras de infraestructura educativa se ejecuten conforme a lo estipulado en los contratos de obra. </w:t>
      </w:r>
    </w:p>
    <w:p w14:paraId="2F2EBBF2" w14:textId="77777777" w:rsidR="00927822" w:rsidRPr="00017477" w:rsidRDefault="00DB1659">
      <w:pPr>
        <w:spacing w:after="0" w:line="360" w:lineRule="auto"/>
        <w:ind w:left="567" w:right="426"/>
        <w:rPr>
          <w:i/>
          <w:color w:val="000000"/>
          <w:sz w:val="20"/>
          <w:szCs w:val="20"/>
        </w:rPr>
      </w:pPr>
      <w:r w:rsidRPr="00017477">
        <w:rPr>
          <w:i/>
          <w:color w:val="000000"/>
          <w:sz w:val="20"/>
          <w:szCs w:val="20"/>
        </w:rPr>
        <w:t>Proporcionar asesoría, apoyo técnico y administrativo especializado, a los municipios del Estado de México, dependencias del Gobierno Estatal, así como a particulares que lo soliciten, para mejorar sus capacidades en el desarrollo de infraestructura física educativa. Elaborar diagnósticos.</w:t>
      </w:r>
    </w:p>
    <w:p w14:paraId="2EECFF44" w14:textId="77777777" w:rsidR="00927822" w:rsidRPr="00017477" w:rsidRDefault="00DB1659">
      <w:pPr>
        <w:spacing w:after="0" w:line="360" w:lineRule="auto"/>
        <w:ind w:left="567" w:right="426"/>
        <w:rPr>
          <w:i/>
          <w:color w:val="000000"/>
          <w:sz w:val="20"/>
          <w:szCs w:val="20"/>
        </w:rPr>
      </w:pPr>
      <w:r w:rsidRPr="00017477">
        <w:rPr>
          <w:i/>
          <w:color w:val="000000"/>
          <w:sz w:val="20"/>
          <w:szCs w:val="20"/>
        </w:rPr>
        <w:t xml:space="preserve"> Por otra parte, la documentación soporte que presenta el interesado como evidencia, carece de fundamento legal </w:t>
      </w:r>
      <w:r w:rsidRPr="00017477">
        <w:rPr>
          <w:i/>
          <w:sz w:val="20"/>
          <w:szCs w:val="20"/>
        </w:rPr>
        <w:t>en que</w:t>
      </w:r>
      <w:r w:rsidRPr="00017477">
        <w:rPr>
          <w:i/>
          <w:color w:val="000000"/>
          <w:sz w:val="20"/>
          <w:szCs w:val="20"/>
        </w:rPr>
        <w:t xml:space="preserve"> únicamente es una nota periodística, la cual es un documento privado </w:t>
      </w:r>
      <w:r w:rsidRPr="00017477">
        <w:rPr>
          <w:i/>
          <w:sz w:val="20"/>
          <w:szCs w:val="20"/>
        </w:rPr>
        <w:t>elaborado</w:t>
      </w:r>
      <w:r w:rsidRPr="00017477">
        <w:rPr>
          <w:i/>
          <w:color w:val="000000"/>
          <w:sz w:val="20"/>
          <w:szCs w:val="20"/>
        </w:rPr>
        <w:t xml:space="preserve"> por particulares sin la intervención de servidores públicos.”</w:t>
      </w:r>
    </w:p>
    <w:p w14:paraId="5509B110" w14:textId="77777777" w:rsidR="00927822" w:rsidRPr="00017477" w:rsidRDefault="00927822">
      <w:pPr>
        <w:spacing w:after="0" w:line="360" w:lineRule="auto"/>
        <w:rPr>
          <w:b/>
          <w:i/>
          <w:color w:val="000000"/>
        </w:rPr>
      </w:pPr>
    </w:p>
    <w:p w14:paraId="6FDA9916" w14:textId="77777777" w:rsidR="00927822" w:rsidRPr="00017477" w:rsidRDefault="00DB1659">
      <w:pPr>
        <w:numPr>
          <w:ilvl w:val="1"/>
          <w:numId w:val="2"/>
        </w:numPr>
        <w:pBdr>
          <w:top w:val="nil"/>
          <w:left w:val="nil"/>
          <w:bottom w:val="nil"/>
          <w:right w:val="nil"/>
          <w:between w:val="nil"/>
        </w:pBdr>
        <w:spacing w:after="0" w:line="360" w:lineRule="auto"/>
        <w:rPr>
          <w:i/>
          <w:color w:val="000000"/>
        </w:rPr>
      </w:pPr>
      <w:r w:rsidRPr="00017477">
        <w:rPr>
          <w:color w:val="000000"/>
        </w:rPr>
        <w:t xml:space="preserve">Oficio suscrito por el </w:t>
      </w:r>
      <w:proofErr w:type="gramStart"/>
      <w:r w:rsidRPr="00017477">
        <w:rPr>
          <w:color w:val="000000"/>
        </w:rPr>
        <w:t>Director Técnico</w:t>
      </w:r>
      <w:proofErr w:type="gramEnd"/>
      <w:r w:rsidRPr="00017477">
        <w:rPr>
          <w:color w:val="000000"/>
        </w:rPr>
        <w:t xml:space="preserve">, dirigido al Rector, en el que le informa del monto autorizado </w:t>
      </w:r>
      <w:r w:rsidRPr="00017477">
        <w:t>por</w:t>
      </w:r>
      <w:r w:rsidRPr="00017477">
        <w:rPr>
          <w:color w:val="000000"/>
        </w:rPr>
        <w:t xml:space="preserve"> la obra de la Universidad. </w:t>
      </w:r>
    </w:p>
    <w:p w14:paraId="302FDEDF" w14:textId="77777777" w:rsidR="00927822" w:rsidRPr="00017477" w:rsidRDefault="00DB1659">
      <w:pPr>
        <w:numPr>
          <w:ilvl w:val="1"/>
          <w:numId w:val="2"/>
        </w:numPr>
        <w:pBdr>
          <w:top w:val="nil"/>
          <w:left w:val="nil"/>
          <w:bottom w:val="nil"/>
          <w:right w:val="nil"/>
          <w:between w:val="nil"/>
        </w:pBdr>
        <w:spacing w:after="0" w:line="360" w:lineRule="auto"/>
        <w:rPr>
          <w:b/>
          <w:i/>
          <w:color w:val="000000"/>
        </w:rPr>
      </w:pPr>
      <w:r w:rsidRPr="00017477">
        <w:rPr>
          <w:color w:val="000000"/>
        </w:rPr>
        <w:t>Un oficio suscrito por el Rector y dirigido al Coordinador General de Universidades Tecnológicas y Politécnicas, en los términos antes expuestos.</w:t>
      </w:r>
    </w:p>
    <w:p w14:paraId="3785F0D9" w14:textId="77777777" w:rsidR="00927822" w:rsidRPr="00017477" w:rsidRDefault="00927822">
      <w:pPr>
        <w:spacing w:after="0" w:line="360" w:lineRule="auto"/>
        <w:rPr>
          <w:color w:val="000000"/>
        </w:rPr>
      </w:pPr>
    </w:p>
    <w:p w14:paraId="28757486" w14:textId="77777777" w:rsidR="00927822" w:rsidRPr="00017477" w:rsidRDefault="00927822">
      <w:pPr>
        <w:spacing w:after="0" w:line="360" w:lineRule="auto"/>
        <w:rPr>
          <w:color w:val="000000"/>
        </w:rPr>
      </w:pPr>
    </w:p>
    <w:p w14:paraId="3D03FB4B" w14:textId="77777777" w:rsidR="00927822" w:rsidRPr="00017477" w:rsidRDefault="00DB1659">
      <w:pPr>
        <w:spacing w:after="0" w:line="360" w:lineRule="auto"/>
        <w:rPr>
          <w:b/>
          <w:color w:val="000000"/>
        </w:rPr>
      </w:pPr>
      <w:bookmarkStart w:id="7" w:name="_heading=h.7u58xxc3e86v" w:colFirst="0" w:colLast="0"/>
      <w:bookmarkEnd w:id="7"/>
      <w:r w:rsidRPr="00017477">
        <w:rPr>
          <w:b/>
          <w:color w:val="000000"/>
        </w:rPr>
        <w:t xml:space="preserve">d) Vista del Informe Justificado. </w:t>
      </w:r>
      <w:r w:rsidRPr="00017477">
        <w:rPr>
          <w:color w:val="000000"/>
        </w:rPr>
        <w:t xml:space="preserve">El site de agosto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017477">
        <w:rPr>
          <w:b/>
          <w:color w:val="000000"/>
        </w:rPr>
        <w:t>Cabe señalar que el Particular fue omiso en realizar manifestación alguna.</w:t>
      </w:r>
    </w:p>
    <w:p w14:paraId="5CCC3214" w14:textId="77777777" w:rsidR="00927822" w:rsidRPr="00017477" w:rsidRDefault="00927822">
      <w:pPr>
        <w:spacing w:after="0" w:line="360" w:lineRule="auto"/>
        <w:rPr>
          <w:color w:val="000000"/>
        </w:rPr>
      </w:pPr>
    </w:p>
    <w:p w14:paraId="20AA0E32" w14:textId="77777777" w:rsidR="00927822" w:rsidRPr="00017477" w:rsidRDefault="00DB1659">
      <w:pPr>
        <w:widowControl w:val="0"/>
        <w:spacing w:after="0" w:line="360" w:lineRule="auto"/>
        <w:rPr>
          <w:color w:val="000000"/>
        </w:rPr>
      </w:pPr>
      <w:r w:rsidRPr="00017477">
        <w:rPr>
          <w:b/>
          <w:color w:val="000000"/>
        </w:rPr>
        <w:t>e) Cierre de instrucción.</w:t>
      </w:r>
      <w:r w:rsidRPr="00017477">
        <w:rPr>
          <w:color w:val="000000"/>
        </w:rPr>
        <w:t xml:space="preserve"> El trece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36EF6157" w14:textId="77777777" w:rsidR="00927822" w:rsidRPr="00017477" w:rsidRDefault="00927822">
      <w:pPr>
        <w:spacing w:after="0" w:line="360" w:lineRule="auto"/>
        <w:rPr>
          <w:color w:val="000000"/>
        </w:rPr>
      </w:pPr>
    </w:p>
    <w:p w14:paraId="187623E5" w14:textId="77777777" w:rsidR="00927822" w:rsidRPr="00017477" w:rsidRDefault="00DB1659">
      <w:pPr>
        <w:spacing w:after="0" w:line="360" w:lineRule="auto"/>
        <w:rPr>
          <w:color w:val="000000"/>
        </w:rPr>
      </w:pPr>
      <w:proofErr w:type="gramStart"/>
      <w:r w:rsidRPr="00017477">
        <w:rPr>
          <w:color w:val="000000"/>
        </w:rPr>
        <w:t>En razón de</w:t>
      </w:r>
      <w:proofErr w:type="gramEnd"/>
      <w:r w:rsidRPr="00017477">
        <w:rPr>
          <w:color w:val="000000"/>
        </w:rPr>
        <w:t xml:space="preserve"> que fue debidamente sustanciado e integrado el expediente electrónico y no existe diligencia pendiente de desahogo, se emite la resolución que conforme a Derecho proceda, </w:t>
      </w:r>
      <w:proofErr w:type="gramStart"/>
      <w:r w:rsidRPr="00017477">
        <w:rPr>
          <w:color w:val="000000"/>
        </w:rPr>
        <w:t>de acuerdo a</w:t>
      </w:r>
      <w:proofErr w:type="gramEnd"/>
      <w:r w:rsidRPr="00017477">
        <w:rPr>
          <w:color w:val="000000"/>
        </w:rPr>
        <w:t xml:space="preserve"> los siguientes:</w:t>
      </w:r>
    </w:p>
    <w:p w14:paraId="074BC124" w14:textId="77777777" w:rsidR="00927822" w:rsidRPr="00017477" w:rsidRDefault="00927822">
      <w:pPr>
        <w:spacing w:after="0" w:line="360" w:lineRule="auto"/>
        <w:rPr>
          <w:color w:val="000000"/>
        </w:rPr>
      </w:pPr>
    </w:p>
    <w:p w14:paraId="003D375B" w14:textId="77777777" w:rsidR="00927822" w:rsidRPr="00017477" w:rsidRDefault="00DB1659">
      <w:pPr>
        <w:pStyle w:val="Ttulo1"/>
        <w:spacing w:before="0" w:line="360" w:lineRule="auto"/>
        <w:jc w:val="center"/>
        <w:rPr>
          <w:rFonts w:ascii="Palatino Linotype" w:eastAsia="Palatino Linotype" w:hAnsi="Palatino Linotype" w:cs="Palatino Linotype"/>
          <w:b/>
          <w:color w:val="000000"/>
          <w:sz w:val="22"/>
          <w:szCs w:val="22"/>
        </w:rPr>
      </w:pPr>
      <w:bookmarkStart w:id="8" w:name="_heading=h.2fd8o7mn0jww" w:colFirst="0" w:colLast="0"/>
      <w:bookmarkEnd w:id="8"/>
      <w:r w:rsidRPr="00017477">
        <w:rPr>
          <w:rFonts w:ascii="Palatino Linotype" w:eastAsia="Palatino Linotype" w:hAnsi="Palatino Linotype" w:cs="Palatino Linotype"/>
          <w:b/>
          <w:color w:val="000000"/>
          <w:sz w:val="22"/>
          <w:szCs w:val="22"/>
        </w:rPr>
        <w:t>C O N S I D E R A N D O S</w:t>
      </w:r>
    </w:p>
    <w:p w14:paraId="47815727" w14:textId="77777777" w:rsidR="00927822" w:rsidRPr="00017477" w:rsidRDefault="00927822">
      <w:pPr>
        <w:spacing w:after="0" w:line="360" w:lineRule="auto"/>
        <w:jc w:val="center"/>
        <w:rPr>
          <w:b/>
          <w:color w:val="000000"/>
        </w:rPr>
      </w:pPr>
    </w:p>
    <w:p w14:paraId="47F95CBE" w14:textId="77777777" w:rsidR="00927822" w:rsidRPr="00017477" w:rsidRDefault="00DB1659">
      <w:pPr>
        <w:pStyle w:val="Ttulo2"/>
        <w:spacing w:before="0" w:line="360" w:lineRule="auto"/>
        <w:rPr>
          <w:rFonts w:ascii="Palatino Linotype" w:eastAsia="Palatino Linotype" w:hAnsi="Palatino Linotype" w:cs="Palatino Linotype"/>
          <w:b/>
          <w:color w:val="000000"/>
          <w:sz w:val="22"/>
          <w:szCs w:val="22"/>
        </w:rPr>
      </w:pPr>
      <w:bookmarkStart w:id="9" w:name="_heading=h.dr33fmc84n96" w:colFirst="0" w:colLast="0"/>
      <w:bookmarkEnd w:id="9"/>
      <w:r w:rsidRPr="00017477">
        <w:rPr>
          <w:rFonts w:ascii="Palatino Linotype" w:eastAsia="Palatino Linotype" w:hAnsi="Palatino Linotype" w:cs="Palatino Linotype"/>
          <w:b/>
          <w:color w:val="000000"/>
          <w:sz w:val="22"/>
          <w:szCs w:val="22"/>
        </w:rPr>
        <w:t>PRIMERO. Competencia</w:t>
      </w:r>
    </w:p>
    <w:p w14:paraId="4467CAA0" w14:textId="77777777" w:rsidR="00927822" w:rsidRPr="00017477" w:rsidRDefault="00927822">
      <w:pPr>
        <w:spacing w:after="0" w:line="360" w:lineRule="auto"/>
        <w:rPr>
          <w:b/>
          <w:color w:val="000000"/>
        </w:rPr>
      </w:pPr>
    </w:p>
    <w:p w14:paraId="7C448239" w14:textId="4772C0CE" w:rsidR="00927822" w:rsidRPr="00017477" w:rsidRDefault="00DF67AD">
      <w:pPr>
        <w:spacing w:after="0" w:line="360" w:lineRule="auto"/>
        <w:rPr>
          <w:b/>
          <w:color w:val="000000"/>
        </w:rPr>
      </w:pPr>
      <w:bookmarkStart w:id="10" w:name="_heading=h.ro28cz1kvkk7" w:colFirst="0" w:colLast="0"/>
      <w:bookmarkEnd w:id="10"/>
      <w:r w:rsidRPr="00017477">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B44CDC0" w14:textId="77777777" w:rsidR="00927822" w:rsidRPr="00017477" w:rsidRDefault="00DB1659">
      <w:pPr>
        <w:pStyle w:val="Ttulo2"/>
        <w:spacing w:before="0" w:line="360" w:lineRule="auto"/>
        <w:rPr>
          <w:rFonts w:ascii="Palatino Linotype" w:eastAsia="Palatino Linotype" w:hAnsi="Palatino Linotype" w:cs="Palatino Linotype"/>
          <w:b/>
          <w:color w:val="000000"/>
          <w:sz w:val="22"/>
          <w:szCs w:val="22"/>
        </w:rPr>
      </w:pPr>
      <w:bookmarkStart w:id="11" w:name="_heading=h.y3jir933gy90" w:colFirst="0" w:colLast="0"/>
      <w:bookmarkEnd w:id="11"/>
      <w:r w:rsidRPr="00017477">
        <w:rPr>
          <w:rFonts w:ascii="Palatino Linotype" w:eastAsia="Palatino Linotype" w:hAnsi="Palatino Linotype" w:cs="Palatino Linotype"/>
          <w:b/>
          <w:color w:val="000000"/>
          <w:sz w:val="22"/>
          <w:szCs w:val="22"/>
        </w:rPr>
        <w:lastRenderedPageBreak/>
        <w:t xml:space="preserve">SEGUNDO. Causales de improcedencia </w:t>
      </w:r>
    </w:p>
    <w:p w14:paraId="49962121" w14:textId="77777777" w:rsidR="00927822" w:rsidRPr="00017477" w:rsidRDefault="00927822">
      <w:pPr>
        <w:spacing w:after="0" w:line="360" w:lineRule="auto"/>
        <w:rPr>
          <w:color w:val="000000"/>
        </w:rPr>
      </w:pPr>
    </w:p>
    <w:p w14:paraId="1F81DBDD" w14:textId="77777777" w:rsidR="00927822" w:rsidRPr="00017477" w:rsidRDefault="00DB1659">
      <w:pPr>
        <w:spacing w:after="0" w:line="360" w:lineRule="auto"/>
        <w:rPr>
          <w:color w:val="000000"/>
        </w:rPr>
      </w:pPr>
      <w:r w:rsidRPr="00017477">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3DC5DD6" w14:textId="77777777" w:rsidR="00927822" w:rsidRPr="00017477" w:rsidRDefault="00927822">
      <w:pPr>
        <w:spacing w:after="0" w:line="360" w:lineRule="auto"/>
        <w:rPr>
          <w:color w:val="000000"/>
        </w:rPr>
      </w:pPr>
    </w:p>
    <w:p w14:paraId="4808CF8E" w14:textId="77777777" w:rsidR="00927822" w:rsidRPr="00017477" w:rsidRDefault="00DB1659">
      <w:pPr>
        <w:spacing w:after="0" w:line="360" w:lineRule="auto"/>
        <w:rPr>
          <w:color w:val="000000"/>
        </w:rPr>
      </w:pPr>
      <w:r w:rsidRPr="00017477">
        <w:rPr>
          <w:color w:val="000000"/>
        </w:rPr>
        <w:t>En el presente caso, no se actualizan las causales de improcedencia establecidas en el artículo 191, fracciones I a la VI,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w:t>
      </w:r>
    </w:p>
    <w:p w14:paraId="150F5B3F" w14:textId="77777777" w:rsidR="00927822" w:rsidRPr="00017477" w:rsidRDefault="00927822">
      <w:pPr>
        <w:spacing w:after="0" w:line="360" w:lineRule="auto"/>
        <w:rPr>
          <w:color w:val="000000"/>
        </w:rPr>
      </w:pPr>
    </w:p>
    <w:p w14:paraId="092C3F81" w14:textId="77777777" w:rsidR="00927822" w:rsidRPr="00017477" w:rsidRDefault="00DB1659">
      <w:pPr>
        <w:spacing w:after="0" w:line="360" w:lineRule="auto"/>
        <w:rPr>
          <w:color w:val="000000"/>
        </w:rPr>
      </w:pPr>
      <w:r w:rsidRPr="00017477">
        <w:rPr>
          <w:color w:val="000000"/>
        </w:rPr>
        <w:t>Por lo cual, se actualiza la causal de procedencia del Recurso de Revisión señalada en el artículo 179, fracción V, de la Ley en cita, pues la persona Recurrente se inconformó de la entrega de información incompleta.</w:t>
      </w:r>
    </w:p>
    <w:p w14:paraId="018CF383" w14:textId="77777777" w:rsidR="00927822" w:rsidRPr="00017477" w:rsidRDefault="00927822">
      <w:pPr>
        <w:spacing w:after="0" w:line="360" w:lineRule="auto"/>
        <w:rPr>
          <w:color w:val="000000"/>
        </w:rPr>
      </w:pPr>
    </w:p>
    <w:p w14:paraId="17668C2F" w14:textId="77777777" w:rsidR="00927822" w:rsidRPr="00017477" w:rsidRDefault="00DB1659">
      <w:pPr>
        <w:keepNext/>
        <w:keepLines/>
        <w:spacing w:after="0" w:line="360" w:lineRule="auto"/>
        <w:rPr>
          <w:b/>
          <w:color w:val="000000"/>
        </w:rPr>
      </w:pPr>
      <w:bookmarkStart w:id="12" w:name="_heading=h.hx7agk66bqhu" w:colFirst="0" w:colLast="0"/>
      <w:bookmarkEnd w:id="12"/>
      <w:r w:rsidRPr="00017477">
        <w:rPr>
          <w:b/>
          <w:color w:val="000000"/>
        </w:rPr>
        <w:t>TERCERO. Causales de sobreseimiento</w:t>
      </w:r>
    </w:p>
    <w:p w14:paraId="541CA544" w14:textId="77777777" w:rsidR="00927822" w:rsidRPr="00017477" w:rsidRDefault="00927822">
      <w:pPr>
        <w:spacing w:after="0" w:line="360" w:lineRule="auto"/>
        <w:rPr>
          <w:color w:val="000000"/>
        </w:rPr>
      </w:pPr>
    </w:p>
    <w:p w14:paraId="69FCFDE6" w14:textId="77777777" w:rsidR="00927822" w:rsidRPr="00017477" w:rsidRDefault="00DB1659">
      <w:pPr>
        <w:spacing w:after="0" w:line="360" w:lineRule="auto"/>
        <w:rPr>
          <w:color w:val="000000"/>
        </w:rPr>
      </w:pPr>
      <w:r w:rsidRPr="00017477">
        <w:rPr>
          <w:color w:val="000000"/>
        </w:rPr>
        <w:t>Por ser de previo y especial pronunciamiento, este Instituto analiza si se actualiza alguna causal de sobreseimiento.</w:t>
      </w:r>
    </w:p>
    <w:p w14:paraId="29A56122" w14:textId="77777777" w:rsidR="00927822" w:rsidRPr="00017477" w:rsidRDefault="00927822">
      <w:pPr>
        <w:spacing w:after="0" w:line="360" w:lineRule="auto"/>
        <w:rPr>
          <w:color w:val="000000"/>
        </w:rPr>
      </w:pPr>
    </w:p>
    <w:p w14:paraId="488C2380" w14:textId="77777777" w:rsidR="00927822" w:rsidRPr="00017477" w:rsidRDefault="00DB1659">
      <w:pPr>
        <w:spacing w:after="0" w:line="360" w:lineRule="auto"/>
        <w:rPr>
          <w:color w:val="000000"/>
        </w:rPr>
      </w:pPr>
      <w:r w:rsidRPr="00017477">
        <w:rPr>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017477">
        <w:rPr>
          <w:b/>
          <w:color w:val="000000"/>
        </w:rPr>
        <w:t xml:space="preserve"> no se configuran las causales establecidas en las fracciones I, II, III, y V, </w:t>
      </w:r>
      <w:r w:rsidRPr="00017477">
        <w:rPr>
          <w:color w:val="000000"/>
        </w:rPr>
        <w:t>toda vez que no hay constancias en el expediente en que se actúa, de que el Recurrente se haya desistido, fallecido, que el Sujeto Obligado hubiese modificado o revocado el acto impugnado o bien, haya quedado sin materia.</w:t>
      </w:r>
    </w:p>
    <w:p w14:paraId="433AD0A6" w14:textId="77777777" w:rsidR="00927822" w:rsidRPr="00017477" w:rsidRDefault="00927822">
      <w:pPr>
        <w:spacing w:after="0" w:line="360" w:lineRule="auto"/>
        <w:rPr>
          <w:color w:val="000000"/>
        </w:rPr>
      </w:pPr>
    </w:p>
    <w:p w14:paraId="42634067" w14:textId="77777777" w:rsidR="00927822" w:rsidRPr="00017477" w:rsidRDefault="00DB1659">
      <w:pPr>
        <w:spacing w:after="0" w:line="360" w:lineRule="auto"/>
        <w:rPr>
          <w:color w:val="000000"/>
        </w:rPr>
      </w:pPr>
      <w:r w:rsidRPr="00017477">
        <w:rPr>
          <w:color w:val="000000"/>
        </w:rPr>
        <w:t>No obstante, por lo que hace a la hipótesis prevista en la fracción IV</w:t>
      </w:r>
      <w:r w:rsidRPr="00017477">
        <w:rPr>
          <w:b/>
          <w:color w:val="000000"/>
        </w:rPr>
        <w:t>,</w:t>
      </w:r>
      <w:r w:rsidRPr="00017477">
        <w:rPr>
          <w:color w:val="000000"/>
        </w:rPr>
        <w:t xml:space="preserve"> a saber, que, una vez admitido el Recurso de Revisión, aparezca alguna causal de improcedencia en términos de la presente Ley, resulta necesario traer a colación el artículo 191, fracción VII, del ordenamiento jurídico referido, que establecen lo siguiente:</w:t>
      </w:r>
    </w:p>
    <w:p w14:paraId="74AA8FEC" w14:textId="77777777" w:rsidR="00927822" w:rsidRPr="00017477" w:rsidRDefault="00927822">
      <w:pPr>
        <w:spacing w:after="0" w:line="360" w:lineRule="auto"/>
        <w:rPr>
          <w:color w:val="000000"/>
        </w:rPr>
      </w:pPr>
    </w:p>
    <w:p w14:paraId="4E604F23" w14:textId="77777777" w:rsidR="00927822" w:rsidRPr="00017477" w:rsidRDefault="00DB1659">
      <w:pPr>
        <w:spacing w:after="0" w:line="360" w:lineRule="auto"/>
        <w:ind w:left="567" w:right="567"/>
        <w:rPr>
          <w:i/>
          <w:color w:val="000000"/>
          <w:sz w:val="20"/>
          <w:szCs w:val="20"/>
        </w:rPr>
      </w:pPr>
      <w:r w:rsidRPr="00017477">
        <w:rPr>
          <w:b/>
          <w:i/>
          <w:color w:val="000000"/>
          <w:sz w:val="20"/>
          <w:szCs w:val="20"/>
        </w:rPr>
        <w:t>“Artículo 191.</w:t>
      </w:r>
      <w:r w:rsidRPr="00017477">
        <w:rPr>
          <w:i/>
          <w:color w:val="000000"/>
          <w:sz w:val="20"/>
          <w:szCs w:val="20"/>
        </w:rPr>
        <w:t xml:space="preserve"> El recurso será desechado por improcedente cuando:</w:t>
      </w:r>
    </w:p>
    <w:p w14:paraId="5FC8DC09" w14:textId="77777777" w:rsidR="00927822" w:rsidRPr="00017477" w:rsidRDefault="00DB1659">
      <w:pPr>
        <w:spacing w:after="0" w:line="360" w:lineRule="auto"/>
        <w:ind w:left="567" w:right="567"/>
        <w:rPr>
          <w:i/>
          <w:color w:val="000000"/>
          <w:sz w:val="20"/>
          <w:szCs w:val="20"/>
        </w:rPr>
      </w:pPr>
      <w:r w:rsidRPr="00017477">
        <w:rPr>
          <w:i/>
          <w:color w:val="000000"/>
          <w:sz w:val="20"/>
          <w:szCs w:val="20"/>
        </w:rPr>
        <w:t>…</w:t>
      </w:r>
    </w:p>
    <w:p w14:paraId="37AE3BCF" w14:textId="77777777" w:rsidR="00927822" w:rsidRPr="00017477" w:rsidRDefault="00DB1659">
      <w:pPr>
        <w:spacing w:after="0" w:line="360" w:lineRule="auto"/>
        <w:ind w:left="567" w:right="567"/>
        <w:rPr>
          <w:i/>
          <w:color w:val="000000"/>
          <w:sz w:val="20"/>
          <w:szCs w:val="20"/>
        </w:rPr>
      </w:pPr>
      <w:r w:rsidRPr="00017477">
        <w:rPr>
          <w:i/>
          <w:color w:val="000000"/>
          <w:sz w:val="20"/>
          <w:szCs w:val="20"/>
        </w:rPr>
        <w:t>VII. El recurrente amplíe su solicitud en el recurso de revisión, únicamente respecto de los nuevos contenidos.”</w:t>
      </w:r>
    </w:p>
    <w:p w14:paraId="32393550" w14:textId="77777777" w:rsidR="00927822" w:rsidRPr="00017477" w:rsidRDefault="00927822">
      <w:pPr>
        <w:spacing w:after="0" w:line="360" w:lineRule="auto"/>
        <w:rPr>
          <w:color w:val="000000"/>
        </w:rPr>
      </w:pPr>
    </w:p>
    <w:p w14:paraId="57BF11FB" w14:textId="77777777" w:rsidR="00927822" w:rsidRPr="00017477" w:rsidRDefault="00DB1659">
      <w:pPr>
        <w:spacing w:after="0" w:line="360" w:lineRule="auto"/>
        <w:rPr>
          <w:color w:val="000000"/>
        </w:rPr>
      </w:pPr>
      <w:r w:rsidRPr="00017477">
        <w:rPr>
          <w:color w:val="000000"/>
        </w:rPr>
        <w:t>Conforme a lo anterior, se logra vislumbrar que la fracción VII, del artículo 191, de la Ley de Transparencia y Acceso a la Información Pública del Estado de México y Municipios, precisa que el Recurso de Revisión será desechado por improcedente, cuando la parte Recurrente amplíe su solicitud en el Medio de Impugnación.</w:t>
      </w:r>
    </w:p>
    <w:p w14:paraId="5821B4CE" w14:textId="77777777" w:rsidR="00927822" w:rsidRPr="00017477" w:rsidRDefault="00927822">
      <w:pPr>
        <w:spacing w:after="0" w:line="360" w:lineRule="auto"/>
        <w:rPr>
          <w:color w:val="000000"/>
        </w:rPr>
      </w:pPr>
    </w:p>
    <w:p w14:paraId="20222EE3" w14:textId="77777777" w:rsidR="00927822" w:rsidRPr="00017477" w:rsidRDefault="00DB1659">
      <w:pPr>
        <w:spacing w:after="0" w:line="360" w:lineRule="auto"/>
        <w:rPr>
          <w:b/>
          <w:color w:val="000000"/>
        </w:rPr>
      </w:pPr>
      <w:r w:rsidRPr="00017477">
        <w:rPr>
          <w:color w:val="000000"/>
        </w:rPr>
        <w:t>En ese orden de ideas, de las constancias que obran en el expediente respectivo, se colige que el Particular requirió información relacionada con la Universidad de la Barbacoa.</w:t>
      </w:r>
    </w:p>
    <w:p w14:paraId="5A6D6B18" w14:textId="77777777" w:rsidR="00927822" w:rsidRPr="00017477" w:rsidRDefault="00927822">
      <w:pPr>
        <w:spacing w:after="0" w:line="360" w:lineRule="auto"/>
        <w:rPr>
          <w:b/>
          <w:color w:val="000000"/>
        </w:rPr>
      </w:pPr>
    </w:p>
    <w:p w14:paraId="32B24D23" w14:textId="77777777" w:rsidR="00927822" w:rsidRPr="00017477" w:rsidRDefault="00DB1659">
      <w:pPr>
        <w:spacing w:after="0" w:line="360" w:lineRule="auto"/>
        <w:rPr>
          <w:color w:val="000000"/>
        </w:rPr>
      </w:pPr>
      <w:r w:rsidRPr="00017477">
        <w:rPr>
          <w:color w:val="000000"/>
        </w:rPr>
        <w:t xml:space="preserve">En respuesta, el Sujeto Obligado, informó sobre el proyecto y la parte Recurrente se inconformó únicamente porque no le fue entregado un desglose de todo el presupuesto asignado, sin ello </w:t>
      </w:r>
      <w:r w:rsidRPr="00017477">
        <w:t>formará</w:t>
      </w:r>
      <w:r w:rsidRPr="00017477">
        <w:rPr>
          <w:color w:val="000000"/>
        </w:rPr>
        <w:t xml:space="preserve"> parte de la solicitud inicial. </w:t>
      </w:r>
    </w:p>
    <w:p w14:paraId="7D46143F" w14:textId="77777777" w:rsidR="00927822" w:rsidRPr="00017477" w:rsidRDefault="00927822">
      <w:pPr>
        <w:spacing w:after="0" w:line="360" w:lineRule="auto"/>
        <w:rPr>
          <w:color w:val="000000"/>
        </w:rPr>
      </w:pPr>
    </w:p>
    <w:p w14:paraId="0483C19B" w14:textId="77777777" w:rsidR="00927822" w:rsidRPr="00017477" w:rsidRDefault="00DB1659">
      <w:pPr>
        <w:spacing w:after="0" w:line="360" w:lineRule="auto"/>
        <w:rPr>
          <w:color w:val="000000"/>
        </w:rPr>
      </w:pPr>
      <w:r w:rsidRPr="00017477">
        <w:rPr>
          <w:color w:val="000000"/>
        </w:rPr>
        <w:t>En ese sentido y conforme a lo expuesto, se logra vislumbrar que, del contraste entre el planteamiento formulado en la solicitud de información y las manifestaciones vertidas en el Medio de Impugnación, que el Particular, a través del Recurso pretende obtener información diversa a la inicialmente requerida.</w:t>
      </w:r>
    </w:p>
    <w:p w14:paraId="4DA70F94" w14:textId="77777777" w:rsidR="00927822" w:rsidRPr="00017477" w:rsidRDefault="00927822">
      <w:pPr>
        <w:spacing w:after="0" w:line="360" w:lineRule="auto"/>
        <w:rPr>
          <w:color w:val="000000"/>
        </w:rPr>
      </w:pPr>
      <w:bookmarkStart w:id="13" w:name="_heading=h.m2abegittwjg" w:colFirst="0" w:colLast="0"/>
      <w:bookmarkEnd w:id="13"/>
    </w:p>
    <w:p w14:paraId="1D0D8A6B" w14:textId="77777777" w:rsidR="00927822" w:rsidRPr="00017477" w:rsidRDefault="00DB1659">
      <w:pPr>
        <w:spacing w:after="0" w:line="360" w:lineRule="auto"/>
        <w:rPr>
          <w:b/>
          <w:color w:val="000000"/>
        </w:rPr>
      </w:pPr>
      <w:r w:rsidRPr="00017477">
        <w:rPr>
          <w:color w:val="000000"/>
        </w:rPr>
        <w:t>Por tal circunstancia, dicha situación no puede constituir materia de estudio del presente Recurso de Revisión, debido a que la solicitud de información debe ser apreciada en los términos en que fue planteada originalmente ante el Sujeto Obligado,</w:t>
      </w:r>
      <w:r w:rsidRPr="00017477">
        <w:rPr>
          <w:b/>
          <w:color w:val="000000"/>
        </w:rPr>
        <w:t xml:space="preserve"> sin variar en el fondo la controversia, ni constituir un nuevo requerimiento informativo. </w:t>
      </w:r>
    </w:p>
    <w:p w14:paraId="2B83E2B2" w14:textId="77777777" w:rsidR="00927822" w:rsidRPr="00017477" w:rsidRDefault="00927822">
      <w:pPr>
        <w:spacing w:after="0" w:line="360" w:lineRule="auto"/>
        <w:rPr>
          <w:b/>
          <w:color w:val="000000"/>
        </w:rPr>
      </w:pPr>
    </w:p>
    <w:p w14:paraId="7D9C8680" w14:textId="77777777" w:rsidR="00927822" w:rsidRPr="00017477" w:rsidRDefault="00DB1659">
      <w:pPr>
        <w:spacing w:after="0" w:line="360" w:lineRule="auto"/>
        <w:rPr>
          <w:color w:val="000000"/>
        </w:rPr>
      </w:pPr>
      <w:r w:rsidRPr="00017477">
        <w:rPr>
          <w:color w:val="000000"/>
        </w:rPr>
        <w:t>Al respecto, resulta pertinente traer a colación el Criterio Orientador, de la Segunda Época, con clave de control SO/001/2017, emitido por el entonces Instituto Nacional de Transparencia, Acceso a la Información y Protección de Datos Personales, el cual indica que no resulta procedente ampliar vía recurso de revisión, las solicitudes de información:</w:t>
      </w:r>
    </w:p>
    <w:p w14:paraId="78E0D368" w14:textId="77777777" w:rsidR="00927822" w:rsidRPr="00017477" w:rsidRDefault="00927822">
      <w:pPr>
        <w:spacing w:after="0" w:line="360" w:lineRule="auto"/>
        <w:rPr>
          <w:color w:val="000000"/>
        </w:rPr>
      </w:pPr>
    </w:p>
    <w:p w14:paraId="641B472C" w14:textId="77777777" w:rsidR="00927822" w:rsidRPr="00017477" w:rsidRDefault="00DB1659">
      <w:pPr>
        <w:spacing w:after="0" w:line="360" w:lineRule="auto"/>
        <w:ind w:left="567" w:right="567"/>
        <w:rPr>
          <w:i/>
          <w:color w:val="000000"/>
        </w:rPr>
      </w:pPr>
      <w:r w:rsidRPr="00017477">
        <w:rPr>
          <w:b/>
          <w:i/>
          <w:color w:val="000000"/>
          <w:sz w:val="20"/>
          <w:szCs w:val="20"/>
        </w:rPr>
        <w:t>“Es improcedente ampliar las solicitudes de acceso a información, a través de la interposición del recurso de revisión.</w:t>
      </w:r>
      <w:r w:rsidRPr="00017477">
        <w:rPr>
          <w:i/>
          <w:color w:val="000000"/>
          <w:sz w:val="20"/>
          <w:szCs w:val="20"/>
        </w:rPr>
        <w:t xml:space="preserve"> En términos de los artículos 155, fracción VII de la Ley General de Transparencia y Acceso a la Información Pública, y 161, fracción VII de la Ley Federal de Transparencia y Acceso a la Información Pública vigentes a la fecha de la solicitud,, en aquellos casos en que los recurrentes, mediante su recurso de revisión, amplíen los alcances de la solicitud de información inicial, los nuevos contenidos no podrán constituir materia del procedimiento a </w:t>
      </w:r>
      <w:r w:rsidRPr="00017477">
        <w:rPr>
          <w:i/>
          <w:color w:val="000000"/>
          <w:sz w:val="20"/>
          <w:szCs w:val="20"/>
        </w:rPr>
        <w:lastRenderedPageBreak/>
        <w:t xml:space="preserve">sustanciarse por el Instituto Nacional de Transparencia, Acceso a la Información y Protección de Datos </w:t>
      </w:r>
      <w:r w:rsidRPr="00017477">
        <w:rPr>
          <w:i/>
          <w:color w:val="000000"/>
        </w:rPr>
        <w:t>Personales; actualizándose la hipótesis de improcedencia respectiva.”</w:t>
      </w:r>
    </w:p>
    <w:p w14:paraId="05864FB6" w14:textId="77777777" w:rsidR="00927822" w:rsidRPr="00017477" w:rsidRDefault="00927822">
      <w:pPr>
        <w:spacing w:after="0" w:line="360" w:lineRule="auto"/>
        <w:ind w:left="567" w:right="567"/>
        <w:rPr>
          <w:color w:val="000000"/>
        </w:rPr>
      </w:pPr>
    </w:p>
    <w:p w14:paraId="0CAC9BBD" w14:textId="77777777" w:rsidR="00927822" w:rsidRPr="00017477" w:rsidRDefault="00DB1659">
      <w:pPr>
        <w:spacing w:after="0" w:line="360" w:lineRule="auto"/>
        <w:rPr>
          <w:color w:val="000000"/>
        </w:rPr>
      </w:pPr>
      <w:r w:rsidRPr="00017477">
        <w:rPr>
          <w:color w:val="000000"/>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54DF51FD" w14:textId="77777777" w:rsidR="00927822" w:rsidRPr="00017477" w:rsidRDefault="00927822">
      <w:pPr>
        <w:spacing w:after="0" w:line="360" w:lineRule="auto"/>
        <w:rPr>
          <w:color w:val="000000"/>
        </w:rPr>
      </w:pPr>
    </w:p>
    <w:p w14:paraId="165936D2" w14:textId="77777777" w:rsidR="00927822" w:rsidRPr="00017477" w:rsidRDefault="00DB1659">
      <w:pPr>
        <w:spacing w:after="0" w:line="360" w:lineRule="auto"/>
        <w:rPr>
          <w:color w:val="000000"/>
        </w:rPr>
      </w:pPr>
      <w:r w:rsidRPr="00017477">
        <w:rPr>
          <w:color w:val="000000"/>
        </w:rPr>
        <w:t xml:space="preserve">En ese sentido, toda vez que el Solicitante al interponer el Recurso de Revisión, amplió su solicitud de información, al requerir datos no solicitados inicialmente, se actualiza la causal de </w:t>
      </w:r>
      <w:proofErr w:type="spellStart"/>
      <w:r w:rsidRPr="00017477">
        <w:rPr>
          <w:color w:val="000000"/>
        </w:rPr>
        <w:t>desechamiento</w:t>
      </w:r>
      <w:proofErr w:type="spellEnd"/>
      <w:r w:rsidRPr="00017477">
        <w:rPr>
          <w:color w:val="000000"/>
        </w:rPr>
        <w:t xml:space="preserve"> establecida en el diverso 191, fracción VII, de la Ley de la materia; no obstante, toda vez que fue necesario admitir el Medio de Impugnación, para verificar dicha circunstancia, lo procedente es </w:t>
      </w:r>
      <w:r w:rsidRPr="00017477">
        <w:rPr>
          <w:b/>
          <w:color w:val="000000"/>
        </w:rPr>
        <w:t xml:space="preserve">SOBRESEER </w:t>
      </w:r>
      <w:r w:rsidRPr="00017477">
        <w:rPr>
          <w:color w:val="000000"/>
        </w:rPr>
        <w:t xml:space="preserve">el mismo. </w:t>
      </w:r>
    </w:p>
    <w:p w14:paraId="7798DCF2" w14:textId="77777777" w:rsidR="00927822" w:rsidRPr="00017477" w:rsidRDefault="00927822">
      <w:pPr>
        <w:spacing w:after="0" w:line="360" w:lineRule="auto"/>
        <w:rPr>
          <w:color w:val="000000"/>
        </w:rPr>
      </w:pPr>
    </w:p>
    <w:p w14:paraId="3E6114C5" w14:textId="77777777" w:rsidR="00927822" w:rsidRPr="00017477" w:rsidRDefault="00DB1659">
      <w:pPr>
        <w:keepNext/>
        <w:keepLines/>
        <w:spacing w:after="0" w:line="360" w:lineRule="auto"/>
        <w:rPr>
          <w:b/>
          <w:color w:val="000000"/>
        </w:rPr>
      </w:pPr>
      <w:bookmarkStart w:id="14" w:name="_heading=h.dnow3ssoku5l" w:colFirst="0" w:colLast="0"/>
      <w:bookmarkEnd w:id="14"/>
      <w:r w:rsidRPr="00017477">
        <w:rPr>
          <w:b/>
          <w:color w:val="000000"/>
        </w:rPr>
        <w:t>CUARTO. Decisión</w:t>
      </w:r>
    </w:p>
    <w:p w14:paraId="2D668FED" w14:textId="77777777" w:rsidR="00927822" w:rsidRPr="00017477" w:rsidRDefault="00927822">
      <w:pPr>
        <w:spacing w:after="0" w:line="360" w:lineRule="auto"/>
        <w:rPr>
          <w:b/>
          <w:color w:val="000000"/>
        </w:rPr>
      </w:pPr>
    </w:p>
    <w:p w14:paraId="52AC4014" w14:textId="77777777" w:rsidR="00927822" w:rsidRPr="00017477" w:rsidRDefault="00DB1659">
      <w:pPr>
        <w:spacing w:after="0" w:line="360" w:lineRule="auto"/>
        <w:rPr>
          <w:color w:val="000000"/>
        </w:rPr>
      </w:pPr>
      <w:r w:rsidRPr="00017477">
        <w:rPr>
          <w:color w:val="000000"/>
        </w:rPr>
        <w:t xml:space="preserve">Con fundamento en lo dispuesto en el artículo 186, fracción I de la Ley de Transparencia y Acceso a la Información Pública del Estado de México y Municipios, se considera procedente </w:t>
      </w:r>
      <w:r w:rsidRPr="00017477">
        <w:rPr>
          <w:b/>
          <w:color w:val="000000"/>
        </w:rPr>
        <w:t xml:space="preserve">SOBRESEER </w:t>
      </w:r>
      <w:r w:rsidRPr="00017477">
        <w:rPr>
          <w:color w:val="000000"/>
        </w:rPr>
        <w:t>el Recurso de Revisión, en virtud de que se actualiza la hipótesis normativa prevista en la fracción IV, del diverso 192, en relación, con el 191, fracción VII, ambos del citado ordenamiento legal.</w:t>
      </w:r>
    </w:p>
    <w:p w14:paraId="352315F5" w14:textId="77777777" w:rsidR="00927822" w:rsidRPr="00017477" w:rsidRDefault="00927822">
      <w:pPr>
        <w:spacing w:after="0" w:line="360" w:lineRule="auto"/>
        <w:rPr>
          <w:b/>
          <w:color w:val="000000"/>
        </w:rPr>
      </w:pPr>
    </w:p>
    <w:p w14:paraId="1E0E37EA" w14:textId="5DF71BAD" w:rsidR="00927822" w:rsidRPr="00017477" w:rsidRDefault="00DB1659">
      <w:pPr>
        <w:spacing w:after="0" w:line="360" w:lineRule="auto"/>
        <w:rPr>
          <w:b/>
          <w:color w:val="000000"/>
          <w:u w:val="single"/>
        </w:rPr>
      </w:pPr>
      <w:r w:rsidRPr="00017477">
        <w:rPr>
          <w:b/>
          <w:color w:val="000000"/>
          <w:u w:val="single"/>
        </w:rPr>
        <w:t>Términos de la Resolución para conoc</w:t>
      </w:r>
      <w:r w:rsidR="00017477">
        <w:rPr>
          <w:b/>
          <w:color w:val="000000"/>
          <w:u w:val="single"/>
        </w:rPr>
        <w:t>imiento de la parte Recurrente</w:t>
      </w:r>
    </w:p>
    <w:p w14:paraId="2283D2AB" w14:textId="77777777" w:rsidR="00927822" w:rsidRPr="00017477" w:rsidRDefault="00927822">
      <w:pPr>
        <w:spacing w:after="0" w:line="360" w:lineRule="auto"/>
        <w:rPr>
          <w:b/>
          <w:color w:val="000000"/>
          <w:u w:val="single"/>
        </w:rPr>
      </w:pPr>
    </w:p>
    <w:p w14:paraId="3635A89D" w14:textId="77777777" w:rsidR="00927822" w:rsidRPr="00017477" w:rsidRDefault="00DB1659">
      <w:pPr>
        <w:spacing w:after="0" w:line="360" w:lineRule="auto"/>
        <w:rPr>
          <w:color w:val="000000"/>
          <w:u w:val="single"/>
        </w:rPr>
      </w:pPr>
      <w:r w:rsidRPr="00017477">
        <w:rPr>
          <w:color w:val="000000"/>
          <w:u w:val="single"/>
        </w:rPr>
        <w:lastRenderedPageBreak/>
        <w:t xml:space="preserve">Se le hace del conocimiento al Particular, que, en el presente caso, mediante el Recurso de Revisión, pretende acceder a información que no fue solicitada inicialmente, en su requerimiento primigenio, lo cual resulta improcedente; por lo que, se le dejan a salvo sus derechos para que, si es de su interés presente una nueva solicitud de información. </w:t>
      </w:r>
    </w:p>
    <w:p w14:paraId="4392553E" w14:textId="77777777" w:rsidR="00927822" w:rsidRPr="00017477" w:rsidRDefault="00927822">
      <w:pPr>
        <w:spacing w:after="0" w:line="360" w:lineRule="auto"/>
        <w:rPr>
          <w:color w:val="000000"/>
          <w:u w:val="single"/>
        </w:rPr>
      </w:pPr>
    </w:p>
    <w:p w14:paraId="5FDD0CEE" w14:textId="77777777" w:rsidR="00927822" w:rsidRPr="00017477" w:rsidRDefault="00DB1659">
      <w:pPr>
        <w:spacing w:after="0" w:line="360" w:lineRule="auto"/>
        <w:rPr>
          <w:color w:val="000000"/>
          <w:u w:val="single"/>
        </w:rPr>
      </w:pPr>
      <w:r w:rsidRPr="00017477">
        <w:rPr>
          <w:color w:val="000000"/>
          <w:u w:val="single"/>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E45E565" w14:textId="77777777" w:rsidR="00927822" w:rsidRPr="00017477" w:rsidRDefault="00927822">
      <w:pPr>
        <w:spacing w:after="0" w:line="360" w:lineRule="auto"/>
        <w:rPr>
          <w:color w:val="000000"/>
        </w:rPr>
      </w:pPr>
    </w:p>
    <w:p w14:paraId="1A7E32DA" w14:textId="77777777" w:rsidR="00927822" w:rsidRPr="00017477" w:rsidRDefault="00DB1659">
      <w:pPr>
        <w:spacing w:after="0" w:line="360" w:lineRule="auto"/>
        <w:rPr>
          <w:color w:val="000000"/>
        </w:rPr>
      </w:pPr>
      <w:r w:rsidRPr="00017477">
        <w:rPr>
          <w:color w:val="000000"/>
        </w:rPr>
        <w:t>Por lo expuesto y fundado, este Pleno:</w:t>
      </w:r>
    </w:p>
    <w:p w14:paraId="7671A2E5" w14:textId="77777777" w:rsidR="00927822" w:rsidRPr="00017477" w:rsidRDefault="00927822">
      <w:pPr>
        <w:spacing w:after="0" w:line="360" w:lineRule="auto"/>
        <w:rPr>
          <w:color w:val="000000"/>
        </w:rPr>
      </w:pPr>
    </w:p>
    <w:p w14:paraId="008312E5" w14:textId="77777777" w:rsidR="00927822" w:rsidRPr="00017477" w:rsidRDefault="00DB1659">
      <w:pPr>
        <w:pStyle w:val="Ttulo1"/>
        <w:spacing w:before="0" w:line="360" w:lineRule="auto"/>
        <w:jc w:val="center"/>
        <w:rPr>
          <w:rFonts w:ascii="Palatino Linotype" w:eastAsia="Palatino Linotype" w:hAnsi="Palatino Linotype" w:cs="Palatino Linotype"/>
          <w:b/>
          <w:color w:val="000000"/>
          <w:sz w:val="22"/>
          <w:szCs w:val="22"/>
        </w:rPr>
      </w:pPr>
      <w:bookmarkStart w:id="15" w:name="_heading=h.8plyrojtr8jw" w:colFirst="0" w:colLast="0"/>
      <w:bookmarkEnd w:id="15"/>
      <w:r w:rsidRPr="00017477">
        <w:rPr>
          <w:rFonts w:ascii="Palatino Linotype" w:eastAsia="Palatino Linotype" w:hAnsi="Palatino Linotype" w:cs="Palatino Linotype"/>
          <w:b/>
          <w:color w:val="000000"/>
          <w:sz w:val="22"/>
          <w:szCs w:val="22"/>
        </w:rPr>
        <w:t>R E S U E L V E</w:t>
      </w:r>
    </w:p>
    <w:p w14:paraId="3F789DA7" w14:textId="77777777" w:rsidR="00927822" w:rsidRPr="00017477" w:rsidRDefault="00927822">
      <w:pPr>
        <w:spacing w:after="0" w:line="360" w:lineRule="auto"/>
        <w:rPr>
          <w:b/>
          <w:color w:val="000000"/>
        </w:rPr>
      </w:pPr>
    </w:p>
    <w:p w14:paraId="1144EDEF" w14:textId="77777777" w:rsidR="00927822" w:rsidRPr="00017477" w:rsidRDefault="00DB1659">
      <w:pPr>
        <w:spacing w:after="0" w:line="360" w:lineRule="auto"/>
        <w:rPr>
          <w:color w:val="000000"/>
        </w:rPr>
      </w:pPr>
      <w:r w:rsidRPr="00017477">
        <w:rPr>
          <w:b/>
          <w:color w:val="000000"/>
        </w:rPr>
        <w:t>PRIMERO</w:t>
      </w:r>
      <w:r w:rsidRPr="00017477">
        <w:rPr>
          <w:color w:val="000000"/>
        </w:rPr>
        <w:t xml:space="preserve">. Se </w:t>
      </w:r>
      <w:r w:rsidRPr="00017477">
        <w:rPr>
          <w:b/>
          <w:color w:val="000000"/>
        </w:rPr>
        <w:t>SOBRESEE</w:t>
      </w:r>
      <w:r w:rsidRPr="00017477">
        <w:rPr>
          <w:color w:val="000000"/>
        </w:rPr>
        <w:t xml:space="preserve"> el Recurso de Revisión número 07901/INFOEM/IP/RR/2025, en términos del artículo 192, fracción IV, de la Ley de Transparencia y Acceso a la Información Pública del Estado de México y Municipios, por actualizarse la causal de improcedencia establecida en la fracción VII, del diverso 191 de dicho ordenamiento jurídico, de conformidad con los Considerandos TERCERO y CUARTO de la presente Resolución.</w:t>
      </w:r>
    </w:p>
    <w:p w14:paraId="1C6895BC" w14:textId="77777777" w:rsidR="00927822" w:rsidRPr="00017477" w:rsidRDefault="00927822">
      <w:pPr>
        <w:spacing w:after="0" w:line="360" w:lineRule="auto"/>
        <w:rPr>
          <w:color w:val="000000"/>
        </w:rPr>
      </w:pPr>
    </w:p>
    <w:p w14:paraId="734511B4" w14:textId="77777777" w:rsidR="00927822" w:rsidRPr="00017477" w:rsidRDefault="00DB1659">
      <w:pPr>
        <w:spacing w:after="0" w:line="360" w:lineRule="auto"/>
        <w:rPr>
          <w:color w:val="000000"/>
        </w:rPr>
      </w:pPr>
      <w:r w:rsidRPr="00017477">
        <w:rPr>
          <w:b/>
          <w:color w:val="000000"/>
        </w:rPr>
        <w:t>SEGUNDO. NOTIFÍQUESE POR SAIMEX</w:t>
      </w:r>
      <w:r w:rsidRPr="00017477">
        <w:rPr>
          <w:color w:val="000000"/>
        </w:rPr>
        <w:t xml:space="preserve"> la presente resolución al Titular de la Unidad de Transparencia del Sujeto Obligado.</w:t>
      </w:r>
    </w:p>
    <w:p w14:paraId="3BC52060" w14:textId="77777777" w:rsidR="00927822" w:rsidRPr="00017477" w:rsidRDefault="00927822">
      <w:pPr>
        <w:spacing w:after="0" w:line="360" w:lineRule="auto"/>
        <w:rPr>
          <w:color w:val="000000"/>
        </w:rPr>
      </w:pPr>
    </w:p>
    <w:p w14:paraId="1477D1A1" w14:textId="77777777" w:rsidR="00927822" w:rsidRPr="00017477" w:rsidRDefault="00DB1659">
      <w:pPr>
        <w:spacing w:after="0" w:line="360" w:lineRule="auto"/>
        <w:rPr>
          <w:color w:val="000000"/>
        </w:rPr>
      </w:pPr>
      <w:r w:rsidRPr="00017477">
        <w:rPr>
          <w:b/>
          <w:color w:val="000000"/>
        </w:rPr>
        <w:t>TERCERO. NOTIFÍQUESE POR SAIMEX</w:t>
      </w:r>
      <w:r w:rsidRPr="00017477">
        <w:rPr>
          <w:color w:val="000000"/>
        </w:rPr>
        <w:t xml:space="preserve"> a la persona Recurrente la presente Resolución, asimismo, se hace de su conocimiento que de conformidad con lo establecido en el artículo </w:t>
      </w:r>
      <w:r w:rsidRPr="00017477">
        <w:rPr>
          <w:color w:val="000000"/>
        </w:rPr>
        <w:lastRenderedPageBreak/>
        <w:t>196 de la Ley de Transparencia y Acceso a la Información Pública del Estado de México y Municipios podrá promover el Juicio de Amparo en los términos de las leyes aplicables.</w:t>
      </w:r>
    </w:p>
    <w:p w14:paraId="53B1BD4B" w14:textId="77777777" w:rsidR="00927822" w:rsidRPr="00017477" w:rsidRDefault="00927822">
      <w:pPr>
        <w:spacing w:after="0" w:line="360" w:lineRule="auto"/>
        <w:rPr>
          <w:color w:val="000000"/>
        </w:rPr>
      </w:pPr>
    </w:p>
    <w:p w14:paraId="64B7BBBD" w14:textId="77777777" w:rsidR="00927822" w:rsidRDefault="00DB1659">
      <w:pPr>
        <w:spacing w:after="0" w:line="360" w:lineRule="auto"/>
      </w:pPr>
      <w:r w:rsidRPr="00017477">
        <w:t xml:space="preserve">ASÍ LO RESUELVE, POR </w:t>
      </w:r>
      <w:r w:rsidRPr="00017477">
        <w:rPr>
          <w:b/>
        </w:rPr>
        <w:t>UNANIMIDAD</w:t>
      </w:r>
      <w:r w:rsidRPr="00017477">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77AA2529" w14:textId="77777777" w:rsidR="00927822" w:rsidRDefault="00927822">
      <w:pPr>
        <w:spacing w:after="0" w:line="360" w:lineRule="auto"/>
        <w:rPr>
          <w:color w:val="000000"/>
        </w:rPr>
      </w:pPr>
    </w:p>
    <w:p w14:paraId="55609E7D" w14:textId="77777777" w:rsidR="00927822" w:rsidRDefault="00927822">
      <w:pPr>
        <w:spacing w:after="0" w:line="360" w:lineRule="auto"/>
        <w:rPr>
          <w:color w:val="000000"/>
        </w:rPr>
      </w:pPr>
    </w:p>
    <w:p w14:paraId="76AD0057" w14:textId="77777777" w:rsidR="00927822" w:rsidRDefault="00927822">
      <w:pPr>
        <w:spacing w:after="0" w:line="360" w:lineRule="auto"/>
        <w:rPr>
          <w:color w:val="000000"/>
        </w:rPr>
      </w:pPr>
    </w:p>
    <w:p w14:paraId="65F30F20" w14:textId="77777777" w:rsidR="00927822" w:rsidRDefault="00927822">
      <w:pPr>
        <w:widowControl w:val="0"/>
        <w:spacing w:after="0" w:line="360" w:lineRule="auto"/>
        <w:rPr>
          <w:color w:val="000000"/>
        </w:rPr>
      </w:pPr>
    </w:p>
    <w:p w14:paraId="389832D7" w14:textId="77777777" w:rsidR="00927822" w:rsidRDefault="00927822">
      <w:pPr>
        <w:spacing w:after="0" w:line="360" w:lineRule="auto"/>
        <w:rPr>
          <w:color w:val="000000"/>
        </w:rPr>
      </w:pPr>
    </w:p>
    <w:p w14:paraId="41E33161" w14:textId="77777777" w:rsidR="00927822" w:rsidRDefault="00927822">
      <w:pPr>
        <w:spacing w:after="0" w:line="360" w:lineRule="auto"/>
        <w:rPr>
          <w:color w:val="000000"/>
        </w:rPr>
      </w:pPr>
    </w:p>
    <w:p w14:paraId="43EA36D2" w14:textId="77777777" w:rsidR="00927822" w:rsidRDefault="00927822">
      <w:pPr>
        <w:spacing w:after="0" w:line="360" w:lineRule="auto"/>
        <w:rPr>
          <w:color w:val="000000"/>
        </w:rPr>
      </w:pPr>
    </w:p>
    <w:p w14:paraId="0B45F54D" w14:textId="77777777" w:rsidR="00927822" w:rsidRDefault="00927822">
      <w:pPr>
        <w:spacing w:after="0" w:line="360" w:lineRule="auto"/>
        <w:rPr>
          <w:color w:val="000000"/>
        </w:rPr>
      </w:pPr>
    </w:p>
    <w:p w14:paraId="15E04ABD" w14:textId="77777777" w:rsidR="00927822" w:rsidRDefault="00927822">
      <w:pPr>
        <w:spacing w:after="0" w:line="360" w:lineRule="auto"/>
        <w:rPr>
          <w:color w:val="000000"/>
        </w:rPr>
      </w:pPr>
    </w:p>
    <w:p w14:paraId="589FFE3D" w14:textId="77777777" w:rsidR="00927822" w:rsidRDefault="00927822">
      <w:pPr>
        <w:spacing w:after="0" w:line="360" w:lineRule="auto"/>
        <w:rPr>
          <w:color w:val="000000"/>
        </w:rPr>
      </w:pPr>
    </w:p>
    <w:p w14:paraId="0CE9523D" w14:textId="77777777" w:rsidR="00927822" w:rsidRDefault="00927822">
      <w:pPr>
        <w:spacing w:after="0" w:line="360" w:lineRule="auto"/>
        <w:rPr>
          <w:color w:val="000000"/>
        </w:rPr>
      </w:pPr>
    </w:p>
    <w:p w14:paraId="6E04AD19" w14:textId="77777777" w:rsidR="00927822" w:rsidRDefault="00927822">
      <w:pPr>
        <w:spacing w:after="0" w:line="360" w:lineRule="auto"/>
        <w:rPr>
          <w:color w:val="000000"/>
        </w:rPr>
      </w:pPr>
    </w:p>
    <w:p w14:paraId="4471881A" w14:textId="77777777" w:rsidR="00927822" w:rsidRDefault="00927822">
      <w:pPr>
        <w:spacing w:after="0" w:line="360" w:lineRule="auto"/>
        <w:rPr>
          <w:color w:val="000000"/>
        </w:rPr>
      </w:pPr>
    </w:p>
    <w:p w14:paraId="527F1633" w14:textId="77777777" w:rsidR="00927822" w:rsidRDefault="00927822">
      <w:pPr>
        <w:spacing w:after="0" w:line="360" w:lineRule="auto"/>
        <w:rPr>
          <w:color w:val="000000"/>
        </w:rPr>
      </w:pPr>
    </w:p>
    <w:p w14:paraId="70838AAD" w14:textId="77777777" w:rsidR="00927822" w:rsidRDefault="00927822">
      <w:pPr>
        <w:spacing w:after="0" w:line="360" w:lineRule="auto"/>
        <w:rPr>
          <w:b/>
          <w:color w:val="000000"/>
        </w:rPr>
      </w:pPr>
    </w:p>
    <w:p w14:paraId="016BFB20" w14:textId="77777777" w:rsidR="00927822" w:rsidRDefault="00927822">
      <w:pPr>
        <w:widowControl w:val="0"/>
        <w:spacing w:after="0" w:line="360" w:lineRule="auto"/>
        <w:rPr>
          <w:color w:val="000000"/>
        </w:rPr>
      </w:pPr>
    </w:p>
    <w:p w14:paraId="268D99DF" w14:textId="77777777" w:rsidR="00927822" w:rsidRDefault="00927822">
      <w:pPr>
        <w:widowControl w:val="0"/>
        <w:spacing w:after="0" w:line="360" w:lineRule="auto"/>
        <w:rPr>
          <w:color w:val="000000"/>
        </w:rPr>
      </w:pPr>
    </w:p>
    <w:p w14:paraId="2154D00A" w14:textId="77777777" w:rsidR="00927822" w:rsidRDefault="00927822">
      <w:pPr>
        <w:widowControl w:val="0"/>
        <w:spacing w:after="0" w:line="360" w:lineRule="auto"/>
        <w:rPr>
          <w:color w:val="000000"/>
        </w:rPr>
      </w:pPr>
    </w:p>
    <w:p w14:paraId="4DBDCE4F" w14:textId="77777777" w:rsidR="00927822" w:rsidRDefault="00927822">
      <w:pPr>
        <w:widowControl w:val="0"/>
        <w:spacing w:after="0" w:line="360" w:lineRule="auto"/>
        <w:rPr>
          <w:color w:val="000000"/>
        </w:rPr>
      </w:pPr>
    </w:p>
    <w:p w14:paraId="05A09783" w14:textId="77777777" w:rsidR="00927822" w:rsidRDefault="00927822">
      <w:pPr>
        <w:widowControl w:val="0"/>
        <w:spacing w:after="0" w:line="360" w:lineRule="auto"/>
        <w:rPr>
          <w:color w:val="000000"/>
        </w:rPr>
      </w:pPr>
    </w:p>
    <w:p w14:paraId="7CE14079" w14:textId="77777777" w:rsidR="00927822" w:rsidRDefault="00927822">
      <w:pPr>
        <w:widowControl w:val="0"/>
        <w:spacing w:after="0" w:line="360" w:lineRule="auto"/>
        <w:rPr>
          <w:color w:val="000000"/>
        </w:rPr>
      </w:pPr>
    </w:p>
    <w:p w14:paraId="68735186" w14:textId="77777777" w:rsidR="00927822" w:rsidRDefault="00927822">
      <w:pPr>
        <w:widowControl w:val="0"/>
        <w:spacing w:after="0" w:line="360" w:lineRule="auto"/>
        <w:rPr>
          <w:color w:val="000000"/>
        </w:rPr>
      </w:pPr>
    </w:p>
    <w:p w14:paraId="2B0B6D5A" w14:textId="77777777" w:rsidR="00927822" w:rsidRDefault="00927822">
      <w:pPr>
        <w:widowControl w:val="0"/>
        <w:spacing w:after="0" w:line="360" w:lineRule="auto"/>
        <w:rPr>
          <w:color w:val="000000"/>
        </w:rPr>
      </w:pPr>
    </w:p>
    <w:p w14:paraId="706EF035" w14:textId="77777777" w:rsidR="00927822" w:rsidRDefault="00927822">
      <w:pPr>
        <w:spacing w:after="0" w:line="360" w:lineRule="auto"/>
        <w:rPr>
          <w:color w:val="000000"/>
        </w:rPr>
      </w:pPr>
    </w:p>
    <w:p w14:paraId="6B020B46" w14:textId="77777777" w:rsidR="00927822" w:rsidRDefault="00927822">
      <w:pPr>
        <w:spacing w:after="0" w:line="360" w:lineRule="auto"/>
        <w:rPr>
          <w:color w:val="000000"/>
        </w:rPr>
      </w:pPr>
    </w:p>
    <w:sectPr w:rsidR="00927822">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57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96B1" w14:textId="77777777" w:rsidR="002166C6" w:rsidRDefault="002166C6">
      <w:pPr>
        <w:spacing w:after="0" w:line="240" w:lineRule="auto"/>
      </w:pPr>
      <w:r>
        <w:separator/>
      </w:r>
    </w:p>
  </w:endnote>
  <w:endnote w:type="continuationSeparator" w:id="0">
    <w:p w14:paraId="65E25A59" w14:textId="77777777" w:rsidR="002166C6" w:rsidRDefault="0021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188A" w14:textId="34E88E31" w:rsidR="00927822" w:rsidRDefault="00DB165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C95B73">
      <w:rPr>
        <w:b/>
        <w:color w:val="000000"/>
        <w:sz w:val="24"/>
        <w:szCs w:val="24"/>
      </w:rPr>
      <w:fldChar w:fldCharType="separate"/>
    </w:r>
    <w:r w:rsidR="00C95B73">
      <w:rPr>
        <w:b/>
        <w:noProof/>
        <w:color w:val="000000"/>
        <w:sz w:val="24"/>
        <w:szCs w:val="24"/>
      </w:rPr>
      <w:t>17</w:t>
    </w:r>
    <w:r>
      <w:rPr>
        <w:b/>
        <w:color w:val="000000"/>
        <w:sz w:val="24"/>
        <w:szCs w:val="24"/>
      </w:rPr>
      <w:fldChar w:fldCharType="end"/>
    </w:r>
  </w:p>
  <w:p w14:paraId="21F26716" w14:textId="77777777" w:rsidR="00927822" w:rsidRDefault="0092782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672D" w14:textId="77777777" w:rsidR="00927822" w:rsidRDefault="00DB165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17477">
      <w:rPr>
        <w:b/>
        <w:noProof/>
        <w:color w:val="000000"/>
        <w:sz w:val="24"/>
        <w:szCs w:val="24"/>
      </w:rPr>
      <w:t>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7477">
      <w:rPr>
        <w:b/>
        <w:noProof/>
        <w:color w:val="000000"/>
        <w:sz w:val="24"/>
        <w:szCs w:val="24"/>
      </w:rPr>
      <w:t>17</w:t>
    </w:r>
    <w:r>
      <w:rPr>
        <w:b/>
        <w:color w:val="000000"/>
        <w:sz w:val="24"/>
        <w:szCs w:val="24"/>
      </w:rPr>
      <w:fldChar w:fldCharType="end"/>
    </w:r>
  </w:p>
  <w:p w14:paraId="4FFFF733" w14:textId="77777777" w:rsidR="00927822" w:rsidRDefault="0092782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0FE7" w14:textId="77777777" w:rsidR="00927822" w:rsidRDefault="00DB165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1747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7477">
      <w:rPr>
        <w:b/>
        <w:noProof/>
        <w:color w:val="000000"/>
        <w:sz w:val="24"/>
        <w:szCs w:val="24"/>
      </w:rPr>
      <w:t>17</w:t>
    </w:r>
    <w:r>
      <w:rPr>
        <w:b/>
        <w:color w:val="000000"/>
        <w:sz w:val="24"/>
        <w:szCs w:val="24"/>
      </w:rPr>
      <w:fldChar w:fldCharType="end"/>
    </w:r>
  </w:p>
  <w:p w14:paraId="6F56D147" w14:textId="77777777" w:rsidR="00927822" w:rsidRDefault="0092782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2CF7" w14:textId="77777777" w:rsidR="002166C6" w:rsidRDefault="002166C6">
      <w:pPr>
        <w:spacing w:after="0" w:line="240" w:lineRule="auto"/>
      </w:pPr>
      <w:r>
        <w:separator/>
      </w:r>
    </w:p>
  </w:footnote>
  <w:footnote w:type="continuationSeparator" w:id="0">
    <w:p w14:paraId="3738FDC5" w14:textId="77777777" w:rsidR="002166C6" w:rsidRDefault="00216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8D6A" w14:textId="77777777" w:rsidR="00927822" w:rsidRDefault="00927822">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27822" w14:paraId="6A3DB9B4" w14:textId="77777777">
      <w:trPr>
        <w:trHeight w:val="132"/>
      </w:trPr>
      <w:tc>
        <w:tcPr>
          <w:tcW w:w="2691" w:type="dxa"/>
        </w:tcPr>
        <w:p w14:paraId="5F2CF352" w14:textId="77777777" w:rsidR="00927822" w:rsidRDefault="00DB1659">
          <w:pPr>
            <w:tabs>
              <w:tab w:val="right" w:pos="8838"/>
            </w:tabs>
            <w:ind w:right="-105"/>
            <w:rPr>
              <w:b/>
            </w:rPr>
          </w:pPr>
          <w:r>
            <w:rPr>
              <w:b/>
            </w:rPr>
            <w:t>Recurso de Revisión:</w:t>
          </w:r>
        </w:p>
      </w:tc>
      <w:tc>
        <w:tcPr>
          <w:tcW w:w="3405" w:type="dxa"/>
        </w:tcPr>
        <w:p w14:paraId="5A7F8C7F" w14:textId="77777777" w:rsidR="00927822" w:rsidRDefault="00DB1659">
          <w:pPr>
            <w:tabs>
              <w:tab w:val="right" w:pos="8838"/>
            </w:tabs>
            <w:ind w:left="-28" w:right="-32"/>
          </w:pPr>
          <w:r>
            <w:t>03846/INFOEM/IP/RR/2020</w:t>
          </w:r>
        </w:p>
      </w:tc>
    </w:tr>
    <w:tr w:rsidR="00927822" w14:paraId="36DD65ED" w14:textId="77777777">
      <w:trPr>
        <w:trHeight w:val="261"/>
      </w:trPr>
      <w:tc>
        <w:tcPr>
          <w:tcW w:w="2691" w:type="dxa"/>
        </w:tcPr>
        <w:p w14:paraId="5D0A18DD" w14:textId="77777777" w:rsidR="00927822" w:rsidRDefault="00DB1659">
          <w:pPr>
            <w:tabs>
              <w:tab w:val="right" w:pos="8838"/>
            </w:tabs>
            <w:ind w:right="-105"/>
            <w:rPr>
              <w:b/>
            </w:rPr>
          </w:pPr>
          <w:r>
            <w:rPr>
              <w:b/>
            </w:rPr>
            <w:t>Sujeto Obligado:</w:t>
          </w:r>
        </w:p>
      </w:tc>
      <w:tc>
        <w:tcPr>
          <w:tcW w:w="3405" w:type="dxa"/>
        </w:tcPr>
        <w:p w14:paraId="6768B465" w14:textId="77777777" w:rsidR="00927822" w:rsidRDefault="00DB1659">
          <w:pPr>
            <w:tabs>
              <w:tab w:val="right" w:pos="8838"/>
            </w:tabs>
            <w:ind w:right="-32"/>
          </w:pPr>
          <w:r>
            <w:t>Ayuntamiento de Valle de Chalco Solidaridad</w:t>
          </w:r>
        </w:p>
      </w:tc>
    </w:tr>
    <w:tr w:rsidR="00927822" w14:paraId="3978ECDB" w14:textId="77777777">
      <w:trPr>
        <w:trHeight w:val="261"/>
      </w:trPr>
      <w:tc>
        <w:tcPr>
          <w:tcW w:w="2691" w:type="dxa"/>
        </w:tcPr>
        <w:p w14:paraId="669C09C4" w14:textId="77777777" w:rsidR="00927822" w:rsidRDefault="00DB1659">
          <w:pPr>
            <w:tabs>
              <w:tab w:val="right" w:pos="8838"/>
            </w:tabs>
            <w:ind w:right="-105"/>
            <w:rPr>
              <w:b/>
            </w:rPr>
          </w:pPr>
          <w:r>
            <w:rPr>
              <w:b/>
            </w:rPr>
            <w:t>Comisionado Ponente:</w:t>
          </w:r>
        </w:p>
      </w:tc>
      <w:tc>
        <w:tcPr>
          <w:tcW w:w="3405" w:type="dxa"/>
        </w:tcPr>
        <w:p w14:paraId="0B2F87C9" w14:textId="77777777" w:rsidR="00927822" w:rsidRDefault="00DB1659">
          <w:pPr>
            <w:tabs>
              <w:tab w:val="right" w:pos="8838"/>
            </w:tabs>
            <w:ind w:right="-32"/>
            <w:rPr>
              <w:b/>
            </w:rPr>
          </w:pPr>
          <w:r>
            <w:t>Luis Gustavo Parra Noriega</w:t>
          </w:r>
        </w:p>
      </w:tc>
    </w:tr>
  </w:tbl>
  <w:p w14:paraId="6F23684B" w14:textId="77777777" w:rsidR="00927822"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ED89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00CD" w14:textId="77777777" w:rsidR="00927822" w:rsidRDefault="00000000">
    <w:r>
      <w:pict w14:anchorId="76EFA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MARCA DE AGUA - HOJA RESOLUCIÓN" style="position:absolute;left:0;text-align:left;margin-left:-76.05pt;margin-top:-120.8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6219" w:type="dxa"/>
      <w:tblInd w:w="2830" w:type="dxa"/>
      <w:tblBorders>
        <w:top w:val="nil"/>
        <w:left w:val="nil"/>
        <w:bottom w:val="nil"/>
        <w:right w:val="nil"/>
        <w:insideH w:val="nil"/>
        <w:insideV w:val="nil"/>
      </w:tblBorders>
      <w:tblLayout w:type="fixed"/>
      <w:tblLook w:val="0400" w:firstRow="0" w:lastRow="0" w:firstColumn="0" w:lastColumn="0" w:noHBand="0" w:noVBand="1"/>
    </w:tblPr>
    <w:tblGrid>
      <w:gridCol w:w="2552"/>
      <w:gridCol w:w="3667"/>
    </w:tblGrid>
    <w:tr w:rsidR="00927822" w14:paraId="0348C3AB" w14:textId="77777777">
      <w:trPr>
        <w:trHeight w:val="154"/>
      </w:trPr>
      <w:tc>
        <w:tcPr>
          <w:tcW w:w="2552" w:type="dxa"/>
          <w:vAlign w:val="center"/>
        </w:tcPr>
        <w:p w14:paraId="535172C4" w14:textId="77777777" w:rsidR="00927822" w:rsidRDefault="00927822">
          <w:pPr>
            <w:tabs>
              <w:tab w:val="right" w:pos="8838"/>
            </w:tabs>
            <w:ind w:right="-105"/>
            <w:jc w:val="left"/>
            <w:rPr>
              <w:b/>
            </w:rPr>
          </w:pPr>
        </w:p>
        <w:p w14:paraId="76ACAF2D" w14:textId="77777777" w:rsidR="00927822" w:rsidRDefault="00DB1659">
          <w:pPr>
            <w:tabs>
              <w:tab w:val="right" w:pos="8838"/>
            </w:tabs>
            <w:ind w:right="-105"/>
            <w:jc w:val="left"/>
            <w:rPr>
              <w:b/>
            </w:rPr>
          </w:pPr>
          <w:r>
            <w:rPr>
              <w:b/>
            </w:rPr>
            <w:t>Recurso de Revisión:</w:t>
          </w:r>
        </w:p>
      </w:tc>
      <w:tc>
        <w:tcPr>
          <w:tcW w:w="3667" w:type="dxa"/>
        </w:tcPr>
        <w:p w14:paraId="59C959B7" w14:textId="77777777" w:rsidR="00927822" w:rsidRDefault="00927822">
          <w:pPr>
            <w:tabs>
              <w:tab w:val="right" w:pos="8838"/>
            </w:tabs>
            <w:ind w:right="-32"/>
          </w:pPr>
        </w:p>
        <w:p w14:paraId="1C83B1CD" w14:textId="77777777" w:rsidR="00927822" w:rsidRDefault="00DB1659">
          <w:pPr>
            <w:tabs>
              <w:tab w:val="right" w:pos="8838"/>
            </w:tabs>
            <w:ind w:right="-32"/>
          </w:pPr>
          <w:r>
            <w:t>07901/INFOEM/IP/RR/2025</w:t>
          </w:r>
        </w:p>
      </w:tc>
    </w:tr>
    <w:tr w:rsidR="00927822" w14:paraId="63009458" w14:textId="77777777">
      <w:trPr>
        <w:trHeight w:val="305"/>
      </w:trPr>
      <w:tc>
        <w:tcPr>
          <w:tcW w:w="2552" w:type="dxa"/>
        </w:tcPr>
        <w:p w14:paraId="19872175" w14:textId="77777777" w:rsidR="00927822" w:rsidRDefault="00DB1659">
          <w:pPr>
            <w:tabs>
              <w:tab w:val="right" w:pos="8838"/>
            </w:tabs>
            <w:ind w:right="-105"/>
            <w:rPr>
              <w:b/>
            </w:rPr>
          </w:pPr>
          <w:r>
            <w:rPr>
              <w:b/>
            </w:rPr>
            <w:t>Sujeto Obligado:</w:t>
          </w:r>
        </w:p>
      </w:tc>
      <w:tc>
        <w:tcPr>
          <w:tcW w:w="3667" w:type="dxa"/>
        </w:tcPr>
        <w:p w14:paraId="701B5108" w14:textId="77777777" w:rsidR="00927822" w:rsidRDefault="00DB1659">
          <w:pPr>
            <w:tabs>
              <w:tab w:val="left" w:pos="3730"/>
              <w:tab w:val="right" w:pos="8838"/>
            </w:tabs>
            <w:ind w:right="597"/>
          </w:pPr>
          <w:r>
            <w:t>Universidad Tecnológica del Valle de Toluca</w:t>
          </w:r>
        </w:p>
      </w:tc>
    </w:tr>
    <w:tr w:rsidR="00927822" w14:paraId="6019E018" w14:textId="77777777">
      <w:trPr>
        <w:trHeight w:val="305"/>
      </w:trPr>
      <w:tc>
        <w:tcPr>
          <w:tcW w:w="2552" w:type="dxa"/>
        </w:tcPr>
        <w:p w14:paraId="2847D84D" w14:textId="77777777" w:rsidR="00927822" w:rsidRDefault="00DB1659">
          <w:pPr>
            <w:tabs>
              <w:tab w:val="right" w:pos="8838"/>
            </w:tabs>
            <w:ind w:right="-105"/>
            <w:rPr>
              <w:b/>
            </w:rPr>
          </w:pPr>
          <w:r>
            <w:rPr>
              <w:b/>
            </w:rPr>
            <w:t>Comisionado Ponente:</w:t>
          </w:r>
        </w:p>
      </w:tc>
      <w:tc>
        <w:tcPr>
          <w:tcW w:w="3667" w:type="dxa"/>
        </w:tcPr>
        <w:p w14:paraId="6741BDC3" w14:textId="77777777" w:rsidR="00927822" w:rsidRDefault="00DB1659">
          <w:pPr>
            <w:tabs>
              <w:tab w:val="right" w:pos="8838"/>
            </w:tabs>
            <w:ind w:left="-28" w:right="-32"/>
          </w:pPr>
          <w:r>
            <w:t>Luis Gustavo Parra Noriega</w:t>
          </w:r>
        </w:p>
      </w:tc>
    </w:tr>
  </w:tbl>
  <w:p w14:paraId="5BB6D507" w14:textId="77777777" w:rsidR="00927822" w:rsidRDefault="00927822">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4F0F" w14:textId="77777777" w:rsidR="00927822" w:rsidRDefault="00927822"/>
  <w:tbl>
    <w:tblPr>
      <w:tblStyle w:val="a1"/>
      <w:tblW w:w="6369"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3686"/>
      <w:gridCol w:w="132"/>
    </w:tblGrid>
    <w:tr w:rsidR="00927822" w14:paraId="0A6C576A" w14:textId="77777777">
      <w:trPr>
        <w:trHeight w:val="158"/>
      </w:trPr>
      <w:tc>
        <w:tcPr>
          <w:tcW w:w="2551" w:type="dxa"/>
        </w:tcPr>
        <w:p w14:paraId="3988AB19" w14:textId="77777777" w:rsidR="00927822" w:rsidRDefault="00DB1659">
          <w:pPr>
            <w:tabs>
              <w:tab w:val="right" w:pos="8838"/>
            </w:tabs>
            <w:ind w:right="-105"/>
            <w:rPr>
              <w:b/>
            </w:rPr>
          </w:pPr>
          <w:r>
            <w:rPr>
              <w:b/>
            </w:rPr>
            <w:t>Recurso de Revisión:</w:t>
          </w:r>
        </w:p>
      </w:tc>
      <w:tc>
        <w:tcPr>
          <w:tcW w:w="3818" w:type="dxa"/>
          <w:gridSpan w:val="2"/>
        </w:tcPr>
        <w:p w14:paraId="4B189DD8" w14:textId="77777777" w:rsidR="00927822" w:rsidRDefault="00DB1659">
          <w:pPr>
            <w:tabs>
              <w:tab w:val="right" w:pos="8838"/>
            </w:tabs>
            <w:ind w:right="21"/>
            <w:rPr>
              <w:b/>
            </w:rPr>
          </w:pPr>
          <w:r>
            <w:rPr>
              <w:b/>
            </w:rPr>
            <w:t>07901/INFOEM/IP/RR/2025</w:t>
          </w:r>
        </w:p>
      </w:tc>
    </w:tr>
    <w:tr w:rsidR="00927822" w14:paraId="725DA5F5" w14:textId="77777777">
      <w:trPr>
        <w:trHeight w:val="158"/>
      </w:trPr>
      <w:tc>
        <w:tcPr>
          <w:tcW w:w="2551" w:type="dxa"/>
        </w:tcPr>
        <w:p w14:paraId="79623F37" w14:textId="77777777" w:rsidR="00927822" w:rsidRDefault="00DB1659">
          <w:pPr>
            <w:tabs>
              <w:tab w:val="left" w:pos="1875"/>
            </w:tabs>
            <w:ind w:right="-105"/>
            <w:rPr>
              <w:b/>
            </w:rPr>
          </w:pPr>
          <w:r>
            <w:rPr>
              <w:b/>
            </w:rPr>
            <w:t>Recurrente:</w:t>
          </w:r>
          <w:r>
            <w:rPr>
              <w:b/>
            </w:rPr>
            <w:tab/>
          </w:r>
        </w:p>
      </w:tc>
      <w:tc>
        <w:tcPr>
          <w:tcW w:w="3818" w:type="dxa"/>
          <w:gridSpan w:val="2"/>
        </w:tcPr>
        <w:p w14:paraId="49202CA6" w14:textId="77777777" w:rsidR="00927822" w:rsidRDefault="00927822">
          <w:pPr>
            <w:tabs>
              <w:tab w:val="right" w:pos="8838"/>
            </w:tabs>
            <w:ind w:right="21"/>
          </w:pPr>
        </w:p>
      </w:tc>
    </w:tr>
    <w:tr w:rsidR="00927822" w14:paraId="5C6FC644" w14:textId="77777777">
      <w:trPr>
        <w:gridAfter w:val="1"/>
        <w:wAfter w:w="132" w:type="dxa"/>
        <w:trHeight w:val="314"/>
      </w:trPr>
      <w:tc>
        <w:tcPr>
          <w:tcW w:w="2551" w:type="dxa"/>
        </w:tcPr>
        <w:p w14:paraId="0DB4970D" w14:textId="77777777" w:rsidR="00927822" w:rsidRDefault="00DB1659">
          <w:pPr>
            <w:tabs>
              <w:tab w:val="right" w:pos="8838"/>
            </w:tabs>
            <w:ind w:right="-105"/>
            <w:rPr>
              <w:b/>
            </w:rPr>
          </w:pPr>
          <w:r>
            <w:rPr>
              <w:b/>
            </w:rPr>
            <w:t>Sujeto Obligado:</w:t>
          </w:r>
        </w:p>
      </w:tc>
      <w:tc>
        <w:tcPr>
          <w:tcW w:w="3686" w:type="dxa"/>
        </w:tcPr>
        <w:p w14:paraId="641388B0" w14:textId="77777777" w:rsidR="00927822" w:rsidRDefault="00DB1659">
          <w:pPr>
            <w:ind w:right="21"/>
          </w:pPr>
          <w:r>
            <w:t>Universidad Tecnológica del Valle de Toluca</w:t>
          </w:r>
        </w:p>
      </w:tc>
    </w:tr>
    <w:tr w:rsidR="00927822" w14:paraId="4BF06F3C" w14:textId="77777777">
      <w:trPr>
        <w:trHeight w:val="314"/>
      </w:trPr>
      <w:tc>
        <w:tcPr>
          <w:tcW w:w="2551" w:type="dxa"/>
        </w:tcPr>
        <w:p w14:paraId="471601FC" w14:textId="77777777" w:rsidR="00927822" w:rsidRDefault="00DB1659">
          <w:pPr>
            <w:tabs>
              <w:tab w:val="right" w:pos="8838"/>
            </w:tabs>
            <w:ind w:right="-105"/>
            <w:rPr>
              <w:b/>
            </w:rPr>
          </w:pPr>
          <w:r>
            <w:rPr>
              <w:b/>
            </w:rPr>
            <w:t>Comisionado Ponente:</w:t>
          </w:r>
        </w:p>
      </w:tc>
      <w:tc>
        <w:tcPr>
          <w:tcW w:w="3818" w:type="dxa"/>
          <w:gridSpan w:val="2"/>
        </w:tcPr>
        <w:p w14:paraId="3256EDE0" w14:textId="77777777" w:rsidR="00927822" w:rsidRDefault="00DB1659">
          <w:pPr>
            <w:tabs>
              <w:tab w:val="right" w:pos="8838"/>
            </w:tabs>
            <w:ind w:right="21"/>
            <w:rPr>
              <w:b/>
            </w:rPr>
          </w:pPr>
          <w:r>
            <w:t>Luis Gustavo Parra Noriega</w:t>
          </w:r>
        </w:p>
      </w:tc>
    </w:tr>
  </w:tbl>
  <w:p w14:paraId="61E827DD" w14:textId="77777777" w:rsidR="00927822"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6423F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8.95pt;margin-top:-117.9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A7B4B"/>
    <w:multiLevelType w:val="multilevel"/>
    <w:tmpl w:val="7EB8D7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6F7EA7"/>
    <w:multiLevelType w:val="multilevel"/>
    <w:tmpl w:val="5CF8072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2528768">
    <w:abstractNumId w:val="1"/>
  </w:num>
  <w:num w:numId="2" w16cid:durableId="30088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22"/>
    <w:rsid w:val="00017477"/>
    <w:rsid w:val="002166C6"/>
    <w:rsid w:val="00881406"/>
    <w:rsid w:val="00927822"/>
    <w:rsid w:val="00A85604"/>
    <w:rsid w:val="00AE6124"/>
    <w:rsid w:val="00C8371B"/>
    <w:rsid w:val="00C95B73"/>
    <w:rsid w:val="00D668E4"/>
    <w:rsid w:val="00DB1659"/>
    <w:rsid w:val="00DF67AD"/>
    <w:rsid w:val="00E63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E085"/>
  <w15:docId w15:val="{0139D4E6-BFA7-444B-885D-5C4766DF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uiPriority w:val="9"/>
    <w:unhideWhenUsed/>
    <w:qFormat/>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5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qFormat/>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customStyle="1" w:styleId="Mencinsinresolver2">
    <w:name w:val="Mención sin resolver2"/>
    <w:basedOn w:val="Fuentedeprrafopredeter"/>
    <w:uiPriority w:val="99"/>
    <w:semiHidden/>
    <w:unhideWhenUsed/>
    <w:rsid w:val="00C13E00"/>
    <w:rPr>
      <w:color w:val="605E5C"/>
      <w:shd w:val="clear" w:color="auto" w:fill="E1DFDD"/>
    </w:rPr>
  </w:style>
  <w:style w:type="character" w:customStyle="1" w:styleId="Mencinsinresolver3">
    <w:name w:val="Mención sin resolver3"/>
    <w:basedOn w:val="Fuentedeprrafopredeter"/>
    <w:uiPriority w:val="99"/>
    <w:semiHidden/>
    <w:unhideWhenUsed/>
    <w:rsid w:val="009B568A"/>
    <w:rPr>
      <w:color w:val="605E5C"/>
      <w:shd w:val="clear" w:color="auto" w:fill="E1DFDD"/>
    </w:rPr>
  </w:style>
  <w:style w:type="character" w:customStyle="1" w:styleId="Ttulo2Car">
    <w:name w:val="Título 2 Car"/>
    <w:basedOn w:val="Fuentedeprrafopredeter"/>
    <w:uiPriority w:val="9"/>
    <w:rsid w:val="004A40F2"/>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uiPriority w:val="9"/>
    <w:rsid w:val="004A40F2"/>
    <w:rPr>
      <w:rFonts w:asciiTheme="majorHAnsi" w:eastAsiaTheme="majorEastAsia" w:hAnsiTheme="majorHAnsi" w:cstheme="majorBidi"/>
      <w:color w:val="2F5496" w:themeColor="accent1" w:themeShade="BF"/>
      <w:sz w:val="32"/>
      <w:szCs w:val="32"/>
    </w:rPr>
  </w:style>
  <w:style w:type="paragraph" w:styleId="TtuloTDC">
    <w:name w:val="TOC Heading"/>
    <w:next w:val="Normal"/>
    <w:uiPriority w:val="39"/>
    <w:unhideWhenUsed/>
    <w:qFormat/>
    <w:rsid w:val="004A40F2"/>
    <w:pPr>
      <w:jc w:val="left"/>
    </w:pPr>
  </w:style>
  <w:style w:type="paragraph" w:styleId="TDC1">
    <w:name w:val="toc 1"/>
    <w:basedOn w:val="Normal"/>
    <w:next w:val="Normal"/>
    <w:autoRedefine/>
    <w:uiPriority w:val="39"/>
    <w:unhideWhenUsed/>
    <w:rsid w:val="004A40F2"/>
    <w:pPr>
      <w:spacing w:after="100"/>
    </w:pPr>
  </w:style>
  <w:style w:type="paragraph" w:styleId="TDC2">
    <w:name w:val="toc 2"/>
    <w:basedOn w:val="Normal"/>
    <w:next w:val="Normal"/>
    <w:autoRedefine/>
    <w:uiPriority w:val="39"/>
    <w:unhideWhenUsed/>
    <w:rsid w:val="004A40F2"/>
    <w:pPr>
      <w:spacing w:after="100"/>
      <w:ind w:left="220"/>
    </w:pPr>
  </w:style>
  <w:style w:type="table" w:customStyle="1" w:styleId="2">
    <w:name w:val="2"/>
    <w:basedOn w:val="Tablanormal"/>
    <w:rsid w:val="0006411D"/>
    <w:pPr>
      <w:spacing w:after="0" w:line="240" w:lineRule="auto"/>
    </w:pPr>
    <w:tblPr>
      <w:tblStyleRowBandSize w:val="1"/>
      <w:tblStyleColBandSize w:val="1"/>
      <w:tblInd w:w="0" w:type="nil"/>
    </w:tblPr>
  </w:style>
  <w:style w:type="character" w:customStyle="1" w:styleId="Mencinsinresolver4">
    <w:name w:val="Mención sin resolver4"/>
    <w:basedOn w:val="Fuentedeprrafopredeter"/>
    <w:uiPriority w:val="99"/>
    <w:semiHidden/>
    <w:unhideWhenUsed/>
    <w:rsid w:val="00687594"/>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7y5h3nQ0UD3y0vk60nv3cLVug==">CgMxLjAyDmguOXNlbGRybTk5dnBwMg5oLm5zdGM5MTFsMW4yZDIOaC5zbHlyNHR3bzhlaWIyDmgudXN5MDRobW5tbm5qMg5oLnNwOWZoazZtbjI3ajIOaC4xZXcyNHV1czR4M2cyDmgudjdmajFzZnlnaTN4Mg5oLjd1NTh4eGMzZTg2djIOaC4yZmQ4bzdtbjBqd3cyDmguZHIzM2ZtYzg0bjk2Mg5oLnJvMjhjejFrdmtrNzIOaC55M2ppcjkzM2d5OTAyDmguaHg3YWdrNjZicWh1Mg5oLm0yYWJlZ2l0dHdqZzIOaC5kbm93M3Nzb2t1NWwyDmguOHBseXJvanRyOGp3OAByITFRV3Z2RmJpWnRJcy15SHhYMFozVFJ2bzdjZDV2WGZC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3767</Words>
  <Characters>20719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Office</cp:lastModifiedBy>
  <cp:revision>3</cp:revision>
  <cp:lastPrinted>2025-08-15T05:28:00Z</cp:lastPrinted>
  <dcterms:created xsi:type="dcterms:W3CDTF">2025-08-15T05:28:00Z</dcterms:created>
  <dcterms:modified xsi:type="dcterms:W3CDTF">2025-08-15T05:29:00Z</dcterms:modified>
</cp:coreProperties>
</file>