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34AA" w14:textId="77777777" w:rsidR="00A31E3E" w:rsidRPr="00CC0C52" w:rsidRDefault="00A31E3E">
      <w:pPr>
        <w:widowControl w:val="0"/>
        <w:pBdr>
          <w:top w:val="nil"/>
          <w:left w:val="nil"/>
          <w:bottom w:val="nil"/>
          <w:right w:val="nil"/>
          <w:between w:val="nil"/>
        </w:pBdr>
        <w:spacing w:line="276" w:lineRule="auto"/>
      </w:pPr>
    </w:p>
    <w:p w14:paraId="54030971" w14:textId="77777777" w:rsidR="00A31E3E" w:rsidRPr="00C50A21" w:rsidRDefault="006C4AA6">
      <w:pPr>
        <w:spacing w:line="360" w:lineRule="auto"/>
        <w:jc w:val="both"/>
        <w:rPr>
          <w:rFonts w:ascii="Palatino Linotype" w:eastAsia="Palatino Linotype" w:hAnsi="Palatino Linotype" w:cs="Palatino Linotype"/>
          <w:sz w:val="22"/>
          <w:szCs w:val="22"/>
        </w:rPr>
      </w:pPr>
      <w:bookmarkStart w:id="0" w:name="_heading=h.30j0zll" w:colFirst="0" w:colLast="0"/>
      <w:bookmarkEnd w:id="0"/>
      <w:r w:rsidRPr="00C50A2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C50A21">
        <w:rPr>
          <w:rFonts w:ascii="Palatino Linotype" w:eastAsia="Palatino Linotype" w:hAnsi="Palatino Linotype" w:cs="Palatino Linotype"/>
          <w:b/>
          <w:sz w:val="22"/>
          <w:szCs w:val="22"/>
        </w:rPr>
        <w:t>once de junio de dos mil veinticinco.</w:t>
      </w:r>
    </w:p>
    <w:p w14:paraId="138E09EC"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4B1F6ABD" w14:textId="41AF0240" w:rsidR="00A31E3E" w:rsidRPr="00C50A21" w:rsidRDefault="006C4AA6">
      <w:pPr>
        <w:spacing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Visto</w:t>
      </w:r>
      <w:r w:rsidRPr="00C50A21">
        <w:rPr>
          <w:rFonts w:ascii="Palatino Linotype" w:eastAsia="Palatino Linotype" w:hAnsi="Palatino Linotype" w:cs="Palatino Linotype"/>
          <w:sz w:val="22"/>
          <w:szCs w:val="22"/>
        </w:rPr>
        <w:t xml:space="preserve"> el expediente formado con motivo del recurso de revisión </w:t>
      </w:r>
      <w:r w:rsidRPr="00C50A21">
        <w:rPr>
          <w:rFonts w:ascii="Palatino Linotype" w:eastAsia="Palatino Linotype" w:hAnsi="Palatino Linotype" w:cs="Palatino Linotype"/>
          <w:b/>
          <w:sz w:val="22"/>
          <w:szCs w:val="22"/>
        </w:rPr>
        <w:t>02964/INFOEM/IP/RR/2025</w:t>
      </w:r>
      <w:r w:rsidRPr="00C50A21">
        <w:rPr>
          <w:rFonts w:ascii="Palatino Linotype" w:eastAsia="Palatino Linotype" w:hAnsi="Palatino Linotype" w:cs="Palatino Linotype"/>
          <w:sz w:val="22"/>
          <w:szCs w:val="22"/>
        </w:rPr>
        <w:t xml:space="preserve">, promovido por </w:t>
      </w:r>
      <w:r w:rsidR="00DF2BD0" w:rsidRPr="00DF2BD0">
        <w:rPr>
          <w:rFonts w:ascii="Palatino Linotype" w:eastAsia="Palatino Linotype" w:hAnsi="Palatino Linotype" w:cs="Palatino Linotype"/>
          <w:b/>
          <w:sz w:val="22"/>
          <w:szCs w:val="22"/>
        </w:rPr>
        <w:t>XXXXXXXXX XXXX XX XXXXX</w:t>
      </w:r>
      <w:r w:rsidRPr="00C50A21">
        <w:rPr>
          <w:rFonts w:ascii="Palatino Linotype" w:eastAsia="Palatino Linotype" w:hAnsi="Palatino Linotype" w:cs="Palatino Linotype"/>
          <w:b/>
          <w:sz w:val="22"/>
          <w:szCs w:val="22"/>
        </w:rPr>
        <w:t xml:space="preserve">, </w:t>
      </w:r>
      <w:r w:rsidRPr="00C50A21">
        <w:rPr>
          <w:rFonts w:ascii="Palatino Linotype" w:eastAsia="Palatino Linotype" w:hAnsi="Palatino Linotype" w:cs="Palatino Linotype"/>
          <w:sz w:val="22"/>
          <w:szCs w:val="22"/>
        </w:rPr>
        <w:t xml:space="preserve">en lo sucesivo </w:t>
      </w:r>
      <w:r w:rsidRPr="00C50A21">
        <w:rPr>
          <w:rFonts w:ascii="Palatino Linotype" w:eastAsia="Palatino Linotype" w:hAnsi="Palatino Linotype" w:cs="Palatino Linotype"/>
          <w:b/>
          <w:sz w:val="22"/>
          <w:szCs w:val="22"/>
        </w:rPr>
        <w:t>la parte Recurrente,</w:t>
      </w:r>
      <w:r w:rsidRPr="00C50A21">
        <w:rPr>
          <w:rFonts w:ascii="Palatino Linotype" w:eastAsia="Palatino Linotype" w:hAnsi="Palatino Linotype" w:cs="Palatino Linotype"/>
          <w:sz w:val="22"/>
          <w:szCs w:val="22"/>
        </w:rPr>
        <w:t xml:space="preserve"> en contra de la respuesta por parte del</w:t>
      </w:r>
      <w:r w:rsidRPr="00C50A21">
        <w:rPr>
          <w:rFonts w:ascii="Palatino Linotype" w:eastAsia="Palatino Linotype" w:hAnsi="Palatino Linotype" w:cs="Palatino Linotype"/>
          <w:b/>
          <w:sz w:val="22"/>
          <w:szCs w:val="22"/>
        </w:rPr>
        <w:t xml:space="preserve"> Colegio de Bachilleres del Estado de México</w:t>
      </w:r>
      <w:r w:rsidRPr="00C50A21">
        <w:rPr>
          <w:rFonts w:ascii="Palatino Linotype" w:eastAsia="Palatino Linotype" w:hAnsi="Palatino Linotype" w:cs="Palatino Linotype"/>
          <w:sz w:val="22"/>
          <w:szCs w:val="22"/>
        </w:rPr>
        <w:t xml:space="preserve"> en lo sucesivo </w:t>
      </w:r>
      <w:r w:rsidRPr="00C50A21">
        <w:rPr>
          <w:rFonts w:ascii="Palatino Linotype" w:eastAsia="Palatino Linotype" w:hAnsi="Palatino Linotype" w:cs="Palatino Linotype"/>
          <w:b/>
          <w:sz w:val="22"/>
          <w:szCs w:val="22"/>
        </w:rPr>
        <w:t>el Sujeto Obligado o Responsable</w:t>
      </w:r>
      <w:r w:rsidRPr="00C50A21">
        <w:rPr>
          <w:rFonts w:ascii="Palatino Linotype" w:eastAsia="Palatino Linotype" w:hAnsi="Palatino Linotype" w:cs="Palatino Linotype"/>
          <w:sz w:val="22"/>
          <w:szCs w:val="22"/>
        </w:rPr>
        <w:t xml:space="preserve">, se procede a dictar la presente resolución con base en los siguientes: </w:t>
      </w:r>
    </w:p>
    <w:p w14:paraId="0F4EC3DB"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5BBC7150" w14:textId="77777777" w:rsidR="00A31E3E" w:rsidRPr="00C50A21" w:rsidRDefault="006C4AA6">
      <w:pPr>
        <w:numPr>
          <w:ilvl w:val="0"/>
          <w:numId w:val="2"/>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A N T E C E D E N T E S:</w:t>
      </w:r>
    </w:p>
    <w:p w14:paraId="6753F236" w14:textId="77777777" w:rsidR="00A31E3E" w:rsidRPr="00C50A21" w:rsidRDefault="00A31E3E">
      <w:pPr>
        <w:pBdr>
          <w:top w:val="nil"/>
          <w:left w:val="nil"/>
          <w:bottom w:val="nil"/>
          <w:right w:val="nil"/>
          <w:between w:val="nil"/>
        </w:pBdr>
        <w:spacing w:line="360" w:lineRule="auto"/>
        <w:ind w:left="567" w:right="332"/>
        <w:rPr>
          <w:rFonts w:ascii="Palatino Linotype" w:eastAsia="Palatino Linotype" w:hAnsi="Palatino Linotype" w:cs="Palatino Linotype"/>
          <w:b/>
          <w:sz w:val="22"/>
          <w:szCs w:val="22"/>
        </w:rPr>
      </w:pPr>
    </w:p>
    <w:p w14:paraId="1A7FEDE4" w14:textId="77777777" w:rsidR="00A31E3E" w:rsidRPr="00C50A21" w:rsidRDefault="006C4AA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 xml:space="preserve">1. Solicitud. </w:t>
      </w:r>
      <w:r w:rsidRPr="00C50A21">
        <w:rPr>
          <w:rFonts w:ascii="Palatino Linotype" w:eastAsia="Palatino Linotype" w:hAnsi="Palatino Linotype" w:cs="Palatino Linotype"/>
          <w:sz w:val="22"/>
          <w:szCs w:val="22"/>
        </w:rPr>
        <w:t xml:space="preserve">El </w:t>
      </w:r>
      <w:r w:rsidRPr="00C50A21">
        <w:rPr>
          <w:rFonts w:ascii="Palatino Linotype" w:eastAsia="Palatino Linotype" w:hAnsi="Palatino Linotype" w:cs="Palatino Linotype"/>
          <w:b/>
          <w:sz w:val="22"/>
          <w:szCs w:val="22"/>
        </w:rPr>
        <w:t>dieciséis de febrero de dos mil veinticinco</w:t>
      </w:r>
      <w:r w:rsidRPr="00C50A21">
        <w:rPr>
          <w:rFonts w:ascii="Palatino Linotype" w:eastAsia="Palatino Linotype" w:hAnsi="Palatino Linotype" w:cs="Palatino Linotype"/>
          <w:sz w:val="22"/>
          <w:szCs w:val="22"/>
        </w:rPr>
        <w:t xml:space="preserve">, </w:t>
      </w:r>
      <w:r w:rsidRPr="00C50A21">
        <w:rPr>
          <w:rFonts w:ascii="Palatino Linotype" w:eastAsia="Palatino Linotype" w:hAnsi="Palatino Linotype" w:cs="Palatino Linotype"/>
          <w:b/>
          <w:sz w:val="22"/>
          <w:szCs w:val="22"/>
        </w:rPr>
        <w:t>la parte Recurrente</w:t>
      </w:r>
      <w:r w:rsidRPr="00C50A21">
        <w:rPr>
          <w:rFonts w:ascii="Palatino Linotype" w:eastAsia="Palatino Linotype" w:hAnsi="Palatino Linotype" w:cs="Palatino Linotype"/>
          <w:sz w:val="22"/>
          <w:szCs w:val="22"/>
        </w:rPr>
        <w:t xml:space="preserve"> presentó a través del Sistema de Acceso a la Información Mexiquense (SAIMEX), ante </w:t>
      </w:r>
      <w:r w:rsidRPr="00C50A21">
        <w:rPr>
          <w:rFonts w:ascii="Palatino Linotype" w:eastAsia="Palatino Linotype" w:hAnsi="Palatino Linotype" w:cs="Palatino Linotype"/>
          <w:b/>
          <w:sz w:val="22"/>
          <w:szCs w:val="22"/>
        </w:rPr>
        <w:t>el Sujeto Obligado</w:t>
      </w:r>
      <w:r w:rsidRPr="00C50A21">
        <w:rPr>
          <w:rFonts w:ascii="Palatino Linotype" w:eastAsia="Palatino Linotype" w:hAnsi="Palatino Linotype" w:cs="Palatino Linotype"/>
          <w:sz w:val="22"/>
          <w:szCs w:val="22"/>
        </w:rPr>
        <w:t xml:space="preserve">, la solicitud de acceso a datos personales, a la que se le asignó el número de folio </w:t>
      </w:r>
      <w:r w:rsidRPr="00C50A21">
        <w:rPr>
          <w:rFonts w:ascii="Palatino Linotype" w:eastAsia="Palatino Linotype" w:hAnsi="Palatino Linotype" w:cs="Palatino Linotype"/>
          <w:b/>
          <w:sz w:val="22"/>
          <w:szCs w:val="22"/>
        </w:rPr>
        <w:t>00032/COBAEM/IP/2025</w:t>
      </w:r>
      <w:r w:rsidRPr="00C50A21">
        <w:rPr>
          <w:rFonts w:ascii="Palatino Linotype" w:eastAsia="Palatino Linotype" w:hAnsi="Palatino Linotype" w:cs="Palatino Linotype"/>
          <w:sz w:val="22"/>
          <w:szCs w:val="22"/>
        </w:rPr>
        <w:t xml:space="preserve">, sin embargo al ser día inhábil se tuvo por presentado el diecisiete de febrero de dos mil veinticinco, en la que requirió lo siguiente: </w:t>
      </w:r>
    </w:p>
    <w:p w14:paraId="38D6095D" w14:textId="77777777" w:rsidR="00A31E3E" w:rsidRPr="00C50A21" w:rsidRDefault="006C4AA6">
      <w:pPr>
        <w:spacing w:before="240" w:after="240" w:line="360" w:lineRule="auto"/>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sz w:val="22"/>
          <w:szCs w:val="22"/>
        </w:rPr>
        <w:t xml:space="preserve">En su calidad de servidor público,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p>
    <w:p w14:paraId="0631FDD8" w14:textId="77777777" w:rsidR="00A31E3E" w:rsidRPr="00C50A21" w:rsidRDefault="006C4AA6">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Monto total individualizado asignado a la plaza del servidor público, como ingreso bruto, que debí y debo percibir en el ejercicio 2024;</w:t>
      </w:r>
    </w:p>
    <w:p w14:paraId="46E3FEC4" w14:textId="77777777" w:rsidR="00A31E3E" w:rsidRPr="00C50A21" w:rsidRDefault="006C4AA6">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lastRenderedPageBreak/>
        <w:t>Monto detallado anual que debió aplicarse por concepto tanto de percepciones como de deducciones -cuyos conceptos se precisaron en cada caso, respecto del ejercicio 2024-.</w:t>
      </w:r>
    </w:p>
    <w:p w14:paraId="33B180FE" w14:textId="77777777" w:rsidR="00A31E3E" w:rsidRPr="00C50A21" w:rsidRDefault="006C4AA6">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En caso de que exista diferencia salarial entre lo autorizado en el Anexo de Ejecución y lo que realmente se ha pagado en 2024, se informe el monto que dejó de percibir el servidor público y los conceptos, en los cuales se aplicó la deducción.</w:t>
      </w:r>
    </w:p>
    <w:p w14:paraId="3BAE574E" w14:textId="77777777" w:rsidR="00A31E3E" w:rsidRPr="00C50A21" w:rsidRDefault="00A31E3E">
      <w:pPr>
        <w:pBdr>
          <w:top w:val="nil"/>
          <w:left w:val="nil"/>
          <w:bottom w:val="nil"/>
          <w:right w:val="nil"/>
          <w:between w:val="nil"/>
        </w:pBdr>
        <w:tabs>
          <w:tab w:val="left" w:pos="411"/>
        </w:tabs>
        <w:spacing w:after="120" w:line="360" w:lineRule="auto"/>
        <w:ind w:left="771"/>
        <w:jc w:val="both"/>
        <w:rPr>
          <w:rFonts w:ascii="Palatino Linotype" w:eastAsia="Palatino Linotype" w:hAnsi="Palatino Linotype" w:cs="Palatino Linotype"/>
          <w:i/>
          <w:sz w:val="22"/>
          <w:szCs w:val="22"/>
        </w:rPr>
      </w:pPr>
    </w:p>
    <w:p w14:paraId="2A582CAB" w14:textId="77777777" w:rsidR="00A31E3E" w:rsidRPr="00C50A21" w:rsidRDefault="006C4AA6">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El Recurrente adjuntó a la solicitud los siguientes documentos:</w:t>
      </w:r>
    </w:p>
    <w:p w14:paraId="13B67417" w14:textId="77777777" w:rsidR="00A31E3E" w:rsidRPr="00C50A21" w:rsidRDefault="00A31E3E">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p>
    <w:p w14:paraId="59905345" w14:textId="77777777" w:rsidR="00A31E3E" w:rsidRPr="00C50A21" w:rsidRDefault="006C4AA6">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ANEXO DE EJECUCIÓN.pdf</w:t>
      </w:r>
      <w:r w:rsidRPr="00C50A21">
        <w:rPr>
          <w:rFonts w:ascii="Palatino Linotype" w:eastAsia="Palatino Linotype" w:hAnsi="Palatino Linotype" w:cs="Palatino Linotype"/>
          <w:sz w:val="22"/>
          <w:szCs w:val="22"/>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Bachilleres del Estado de México;</w:t>
      </w:r>
    </w:p>
    <w:p w14:paraId="10D771C2" w14:textId="77777777" w:rsidR="00A31E3E" w:rsidRPr="00C50A21" w:rsidRDefault="006C4AA6">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09 INE GIJ</w:t>
      </w:r>
      <w:r w:rsidRPr="00C50A21">
        <w:rPr>
          <w:rFonts w:ascii="Palatino Linotype" w:eastAsia="Palatino Linotype" w:hAnsi="Palatino Linotype" w:cs="Palatino Linotype"/>
          <w:sz w:val="22"/>
          <w:szCs w:val="22"/>
        </w:rPr>
        <w:t>: Contiene la Credencial de elector emitida por el Instituto Nacional Electoral de lado anverso y reverso del Recurrente,</w:t>
      </w:r>
    </w:p>
    <w:p w14:paraId="3433E456" w14:textId="77777777" w:rsidR="00A31E3E" w:rsidRPr="00C50A21" w:rsidRDefault="00A31E3E">
      <w:pPr>
        <w:pBdr>
          <w:top w:val="nil"/>
          <w:left w:val="nil"/>
          <w:bottom w:val="nil"/>
          <w:right w:val="nil"/>
          <w:between w:val="nil"/>
        </w:pBdr>
        <w:spacing w:line="276" w:lineRule="auto"/>
        <w:ind w:left="567" w:right="1183"/>
        <w:jc w:val="both"/>
        <w:rPr>
          <w:rFonts w:ascii="Palatino Linotype" w:eastAsia="Palatino Linotype" w:hAnsi="Palatino Linotype" w:cs="Palatino Linotype"/>
          <w:i/>
          <w:sz w:val="22"/>
          <w:szCs w:val="22"/>
        </w:rPr>
      </w:pPr>
    </w:p>
    <w:p w14:paraId="45CB8E4F" w14:textId="77777777" w:rsidR="00A31E3E" w:rsidRPr="00C50A21" w:rsidRDefault="006C4AA6">
      <w:pPr>
        <w:pBdr>
          <w:top w:val="nil"/>
          <w:left w:val="nil"/>
          <w:bottom w:val="nil"/>
          <w:right w:val="nil"/>
          <w:between w:val="nil"/>
        </w:pBdr>
        <w:spacing w:line="276" w:lineRule="auto"/>
        <w:ind w:right="1183"/>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b/>
          <w:sz w:val="22"/>
          <w:szCs w:val="22"/>
        </w:rPr>
        <w:t>Modalidad de acceso:</w:t>
      </w:r>
      <w:r w:rsidRPr="00C50A21">
        <w:rPr>
          <w:rFonts w:ascii="Palatino Linotype" w:eastAsia="Palatino Linotype" w:hAnsi="Palatino Linotype" w:cs="Palatino Linotype"/>
          <w:sz w:val="22"/>
          <w:szCs w:val="22"/>
        </w:rPr>
        <w:t xml:space="preserve"> A través de SAIMEX</w:t>
      </w:r>
    </w:p>
    <w:p w14:paraId="2D1F4916" w14:textId="77777777" w:rsidR="00A31E3E" w:rsidRPr="00C50A21" w:rsidRDefault="00A31E3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443A969" w14:textId="77777777" w:rsidR="00A31E3E" w:rsidRPr="00C50A21" w:rsidRDefault="006C4AA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2.</w:t>
      </w:r>
      <w:r w:rsidRPr="00C50A21">
        <w:rPr>
          <w:rFonts w:ascii="Palatino Linotype" w:eastAsia="Palatino Linotype" w:hAnsi="Palatino Linotype" w:cs="Palatino Linotype"/>
          <w:sz w:val="22"/>
          <w:szCs w:val="22"/>
        </w:rPr>
        <w:t xml:space="preserve"> </w:t>
      </w:r>
      <w:r w:rsidRPr="00C50A21">
        <w:rPr>
          <w:rFonts w:ascii="Palatino Linotype" w:eastAsia="Palatino Linotype" w:hAnsi="Palatino Linotype" w:cs="Palatino Linotype"/>
          <w:b/>
          <w:sz w:val="22"/>
          <w:szCs w:val="22"/>
        </w:rPr>
        <w:t>Respuesta.</w:t>
      </w:r>
      <w:r w:rsidRPr="00C50A21">
        <w:rPr>
          <w:rFonts w:ascii="Palatino Linotype" w:eastAsia="Palatino Linotype" w:hAnsi="Palatino Linotype" w:cs="Palatino Linotype"/>
          <w:sz w:val="22"/>
          <w:szCs w:val="22"/>
        </w:rPr>
        <w:t xml:space="preserve"> El </w:t>
      </w:r>
      <w:r w:rsidRPr="00C50A21">
        <w:rPr>
          <w:rFonts w:ascii="Palatino Linotype" w:eastAsia="Palatino Linotype" w:hAnsi="Palatino Linotype" w:cs="Palatino Linotype"/>
          <w:b/>
          <w:sz w:val="22"/>
          <w:szCs w:val="22"/>
        </w:rPr>
        <w:t>diez de marzo de dos mil veinticinco</w:t>
      </w:r>
      <w:r w:rsidRPr="00C50A21">
        <w:rPr>
          <w:rFonts w:ascii="Palatino Linotype" w:eastAsia="Palatino Linotype" w:hAnsi="Palatino Linotype" w:cs="Palatino Linotype"/>
          <w:sz w:val="22"/>
          <w:szCs w:val="22"/>
        </w:rPr>
        <w:t xml:space="preserve"> dio respuesta a la solicitud en los siguientes términos:</w:t>
      </w:r>
    </w:p>
    <w:p w14:paraId="52C6E182" w14:textId="77777777" w:rsidR="00A31E3E" w:rsidRPr="00C50A21" w:rsidRDefault="00A31E3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2C61331" w14:textId="77777777" w:rsidR="00A31E3E" w:rsidRPr="00C50A21" w:rsidRDefault="006C4AA6">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DB05E8" w14:textId="77777777" w:rsidR="00A31E3E" w:rsidRPr="00C50A21" w:rsidRDefault="006C4AA6">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Se anexa oficio 228C0701040001L/482/2025, a través del cual se da respuesta a la solicitud</w:t>
      </w:r>
    </w:p>
    <w:p w14:paraId="347E7D95" w14:textId="77777777" w:rsidR="00A31E3E" w:rsidRPr="00C50A21" w:rsidRDefault="006C4AA6">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ATENTAMENTE</w:t>
      </w:r>
    </w:p>
    <w:p w14:paraId="73A490F9" w14:textId="77777777" w:rsidR="00A31E3E" w:rsidRPr="00C50A21" w:rsidRDefault="006C4AA6">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lastRenderedPageBreak/>
        <w:t>Ing. Carlos Andrés Hernández Monroy</w:t>
      </w:r>
    </w:p>
    <w:p w14:paraId="0B5A841D" w14:textId="77777777" w:rsidR="00A31E3E" w:rsidRPr="00C50A21" w:rsidRDefault="00A31E3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A8B167E" w14:textId="77777777" w:rsidR="00A31E3E" w:rsidRPr="00C50A21" w:rsidRDefault="006C4AA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El Sujeto Obligado adjuntó el documento electrónico denominado </w:t>
      </w:r>
      <w:r w:rsidRPr="00C50A21">
        <w:rPr>
          <w:rFonts w:ascii="Palatino Linotype" w:eastAsia="Palatino Linotype" w:hAnsi="Palatino Linotype" w:cs="Palatino Linotype"/>
          <w:b/>
          <w:sz w:val="22"/>
          <w:szCs w:val="22"/>
        </w:rPr>
        <w:t>482.pdf</w:t>
      </w:r>
      <w:r w:rsidRPr="00C50A21">
        <w:rPr>
          <w:rFonts w:ascii="Palatino Linotype" w:eastAsia="Palatino Linotype" w:hAnsi="Palatino Linotype" w:cs="Palatino Linotype"/>
          <w:sz w:val="22"/>
          <w:szCs w:val="22"/>
        </w:rPr>
        <w:t xml:space="preserve"> que contiene el oficio 228C0701040001L/482/2025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14:paraId="34EA9DF7" w14:textId="77777777" w:rsidR="00A31E3E" w:rsidRPr="00C50A21" w:rsidRDefault="00A31E3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BADD6E" w14:textId="77777777" w:rsidR="00A31E3E" w:rsidRPr="00C50A21" w:rsidRDefault="006C4AA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 xml:space="preserve">3. Interposición del recurso de revisión. </w:t>
      </w:r>
      <w:r w:rsidRPr="00C50A21">
        <w:rPr>
          <w:rFonts w:ascii="Palatino Linotype" w:eastAsia="Palatino Linotype" w:hAnsi="Palatino Linotype" w:cs="Palatino Linotype"/>
          <w:sz w:val="22"/>
          <w:szCs w:val="22"/>
        </w:rPr>
        <w:t xml:space="preserve">Inconforme con la respuesta, el </w:t>
      </w:r>
      <w:r w:rsidRPr="00C50A21">
        <w:rPr>
          <w:rFonts w:ascii="Palatino Linotype" w:eastAsia="Palatino Linotype" w:hAnsi="Palatino Linotype" w:cs="Palatino Linotype"/>
          <w:b/>
          <w:sz w:val="22"/>
          <w:szCs w:val="22"/>
        </w:rPr>
        <w:t>catorce de marzo</w:t>
      </w:r>
      <w:r w:rsidRPr="00C50A21">
        <w:rPr>
          <w:rFonts w:ascii="Palatino Linotype" w:eastAsia="Palatino Linotype" w:hAnsi="Palatino Linotype" w:cs="Palatino Linotype"/>
          <w:sz w:val="22"/>
          <w:szCs w:val="22"/>
        </w:rPr>
        <w:t xml:space="preserve"> </w:t>
      </w:r>
      <w:r w:rsidRPr="00C50A21">
        <w:rPr>
          <w:rFonts w:ascii="Palatino Linotype" w:eastAsia="Palatino Linotype" w:hAnsi="Palatino Linotype" w:cs="Palatino Linotype"/>
          <w:b/>
          <w:sz w:val="22"/>
          <w:szCs w:val="22"/>
        </w:rPr>
        <w:t>de dos mil veinticinco</w:t>
      </w:r>
      <w:r w:rsidRPr="00C50A21">
        <w:rPr>
          <w:rFonts w:ascii="Palatino Linotype" w:eastAsia="Palatino Linotype" w:hAnsi="Palatino Linotype" w:cs="Palatino Linotype"/>
          <w:sz w:val="22"/>
          <w:szCs w:val="22"/>
        </w:rPr>
        <w:t xml:space="preserve">, </w:t>
      </w:r>
      <w:r w:rsidRPr="00C50A21">
        <w:rPr>
          <w:rFonts w:ascii="Palatino Linotype" w:eastAsia="Palatino Linotype" w:hAnsi="Palatino Linotype" w:cs="Palatino Linotype"/>
          <w:b/>
          <w:sz w:val="22"/>
          <w:szCs w:val="22"/>
        </w:rPr>
        <w:t>la parte Recurrente</w:t>
      </w:r>
      <w:r w:rsidRPr="00C50A21">
        <w:rPr>
          <w:rFonts w:ascii="Palatino Linotype" w:eastAsia="Palatino Linotype" w:hAnsi="Palatino Linotype" w:cs="Palatino Linotype"/>
          <w:sz w:val="22"/>
          <w:szCs w:val="22"/>
        </w:rPr>
        <w:t xml:space="preserve"> interpuso el recurso de revisión objeto del presente estudio, en el cual expresó las siguientes manifestaciones:</w:t>
      </w:r>
    </w:p>
    <w:p w14:paraId="46CD907D" w14:textId="77777777" w:rsidR="00A31E3E" w:rsidRPr="00C50A21" w:rsidRDefault="00A31E3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72CE8D8" w14:textId="77777777" w:rsidR="00A31E3E" w:rsidRPr="00C50A21" w:rsidRDefault="006C4AA6">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 xml:space="preserve">Acto impugnado: </w:t>
      </w:r>
      <w:r w:rsidRPr="00C50A21">
        <w:rPr>
          <w:rFonts w:ascii="Palatino Linotype" w:eastAsia="Palatino Linotype" w:hAnsi="Palatino Linotype" w:cs="Palatino Linotype"/>
          <w:i/>
          <w:sz w:val="22"/>
          <w:szCs w:val="22"/>
        </w:rPr>
        <w:t>“Oficio de respuesta suscrito por Blanca Sánchez Soto, Encargada del Despacho del Departamento de Recursos Humanos que recayó a esta solicitud y por el cual se está presentando el presente Recurso de Revisión EN TIEMPO Y FORMA.</w:t>
      </w:r>
      <w:r w:rsidRPr="00C50A21">
        <w:rPr>
          <w:rFonts w:ascii="Palatino Linotype" w:eastAsia="Palatino Linotype" w:hAnsi="Palatino Linotype" w:cs="Palatino Linotype"/>
          <w:b/>
          <w:i/>
          <w:sz w:val="22"/>
          <w:szCs w:val="22"/>
          <w:u w:val="single"/>
        </w:rPr>
        <w:t>”</w:t>
      </w:r>
      <w:r w:rsidRPr="00C50A21">
        <w:rPr>
          <w:rFonts w:ascii="Palatino Linotype" w:eastAsia="Palatino Linotype" w:hAnsi="Palatino Linotype" w:cs="Palatino Linotype"/>
          <w:i/>
          <w:sz w:val="22"/>
          <w:szCs w:val="22"/>
        </w:rPr>
        <w:t xml:space="preserve"> (Sic) </w:t>
      </w:r>
    </w:p>
    <w:p w14:paraId="70ED93B6" w14:textId="77777777" w:rsidR="00A31E3E" w:rsidRPr="00C50A21" w:rsidRDefault="00A31E3E">
      <w:pPr>
        <w:ind w:left="567" w:right="49"/>
        <w:jc w:val="both"/>
        <w:rPr>
          <w:rFonts w:ascii="Palatino Linotype" w:eastAsia="Palatino Linotype" w:hAnsi="Palatino Linotype" w:cs="Palatino Linotype"/>
          <w:i/>
          <w:sz w:val="22"/>
          <w:szCs w:val="22"/>
        </w:rPr>
      </w:pPr>
    </w:p>
    <w:p w14:paraId="6548A6E0" w14:textId="77777777" w:rsidR="00A31E3E" w:rsidRPr="00C50A21" w:rsidRDefault="006C4AA6">
      <w:pPr>
        <w:numPr>
          <w:ilvl w:val="0"/>
          <w:numId w:val="1"/>
        </w:numPr>
        <w:pBdr>
          <w:top w:val="nil"/>
          <w:left w:val="nil"/>
          <w:bottom w:val="nil"/>
          <w:right w:val="nil"/>
          <w:between w:val="nil"/>
        </w:pBdr>
        <w:ind w:right="49"/>
        <w:jc w:val="both"/>
        <w:rPr>
          <w:rFonts w:ascii="Palatino Linotype" w:eastAsia="Palatino Linotype" w:hAnsi="Palatino Linotype" w:cs="Palatino Linotype"/>
          <w:b/>
          <w:i/>
          <w:sz w:val="22"/>
          <w:szCs w:val="22"/>
        </w:rPr>
      </w:pPr>
      <w:bookmarkStart w:id="1" w:name="_heading=h.3znysh7" w:colFirst="0" w:colLast="0"/>
      <w:bookmarkEnd w:id="1"/>
      <w:r w:rsidRPr="00C50A21">
        <w:rPr>
          <w:rFonts w:ascii="Palatino Linotype" w:eastAsia="Palatino Linotype" w:hAnsi="Palatino Linotype" w:cs="Palatino Linotype"/>
          <w:b/>
          <w:sz w:val="22"/>
          <w:szCs w:val="22"/>
        </w:rPr>
        <w:t xml:space="preserve">Razones o motivos de inconformidad: </w:t>
      </w:r>
      <w:r w:rsidRPr="00C50A21">
        <w:rPr>
          <w:rFonts w:ascii="Palatino Linotype" w:eastAsia="Palatino Linotype" w:hAnsi="Palatino Linotype" w:cs="Palatino Linotype"/>
          <w:i/>
          <w:sz w:val="22"/>
          <w:szCs w:val="22"/>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w:t>
      </w:r>
      <w:r w:rsidRPr="00C50A21">
        <w:rPr>
          <w:rFonts w:ascii="Palatino Linotype" w:eastAsia="Palatino Linotype" w:hAnsi="Palatino Linotype" w:cs="Palatino Linotype"/>
          <w:i/>
          <w:sz w:val="22"/>
          <w:szCs w:val="22"/>
        </w:rPr>
        <w:lastRenderedPageBreak/>
        <w:t xml:space="preserve">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(Sic) </w:t>
      </w:r>
    </w:p>
    <w:p w14:paraId="2F36BFA9" w14:textId="77777777" w:rsidR="00A31E3E" w:rsidRPr="00C50A21" w:rsidRDefault="00A31E3E">
      <w:pPr>
        <w:pBdr>
          <w:top w:val="nil"/>
          <w:left w:val="nil"/>
          <w:bottom w:val="nil"/>
          <w:right w:val="nil"/>
          <w:between w:val="nil"/>
        </w:pBdr>
        <w:ind w:left="720"/>
        <w:rPr>
          <w:rFonts w:ascii="Palatino Linotype" w:eastAsia="Palatino Linotype" w:hAnsi="Palatino Linotype" w:cs="Palatino Linotype"/>
          <w:b/>
          <w:i/>
          <w:sz w:val="22"/>
          <w:szCs w:val="22"/>
        </w:rPr>
      </w:pPr>
    </w:p>
    <w:p w14:paraId="62637987" w14:textId="77777777" w:rsidR="00A31E3E" w:rsidRPr="00C50A21" w:rsidRDefault="006C4AA6">
      <w:pPr>
        <w:numPr>
          <w:ilvl w:val="0"/>
          <w:numId w:val="3"/>
        </w:num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sz w:val="22"/>
          <w:szCs w:val="22"/>
        </w:rPr>
        <w:t xml:space="preserve">El Recurrente adjuntó los mismos documentos que adjuntó a la solicitud. </w:t>
      </w:r>
    </w:p>
    <w:p w14:paraId="1D3A26A8" w14:textId="77777777" w:rsidR="00A31E3E" w:rsidRPr="00C50A21" w:rsidRDefault="00A31E3E">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5AE9C31C" w14:textId="77777777" w:rsidR="00A31E3E" w:rsidRPr="00C50A21" w:rsidRDefault="006C4AA6">
      <w:pPr>
        <w:tabs>
          <w:tab w:val="left" w:pos="4667"/>
        </w:tabs>
        <w:spacing w:line="360" w:lineRule="auto"/>
        <w:jc w:val="both"/>
      </w:pPr>
      <w:r w:rsidRPr="00C50A21">
        <w:rPr>
          <w:rFonts w:ascii="Palatino Linotype" w:eastAsia="Palatino Linotype" w:hAnsi="Palatino Linotype" w:cs="Palatino Linotype"/>
          <w:b/>
          <w:sz w:val="22"/>
          <w:szCs w:val="22"/>
        </w:rPr>
        <w:t xml:space="preserve">4. Turno. </w:t>
      </w:r>
      <w:r w:rsidRPr="00C50A2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supletoria de la Ley de Protección de Datos vigente en la Entidad,  el recurso de revisión </w:t>
      </w:r>
      <w:r w:rsidRPr="00C50A21">
        <w:rPr>
          <w:rFonts w:ascii="Palatino Linotype" w:eastAsia="Palatino Linotype" w:hAnsi="Palatino Linotype" w:cs="Palatino Linotype"/>
          <w:b/>
          <w:sz w:val="22"/>
          <w:szCs w:val="22"/>
        </w:rPr>
        <w:t xml:space="preserve">02964/INFOEM/IP/RR/2025 </w:t>
      </w:r>
      <w:r w:rsidRPr="00C50A21">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C50A21">
        <w:rPr>
          <w:rFonts w:ascii="Palatino Linotype" w:eastAsia="Palatino Linotype" w:hAnsi="Palatino Linotype" w:cs="Palatino Linotype"/>
          <w:b/>
          <w:sz w:val="22"/>
          <w:szCs w:val="22"/>
        </w:rPr>
        <w:t>Comisionada</w:t>
      </w:r>
      <w:r w:rsidRPr="00C50A21">
        <w:rPr>
          <w:rFonts w:ascii="Palatino Linotype" w:eastAsia="Palatino Linotype" w:hAnsi="Palatino Linotype" w:cs="Palatino Linotype"/>
          <w:sz w:val="22"/>
          <w:szCs w:val="22"/>
        </w:rPr>
        <w:t xml:space="preserve"> </w:t>
      </w:r>
      <w:r w:rsidRPr="00C50A21">
        <w:rPr>
          <w:rFonts w:ascii="Palatino Linotype" w:eastAsia="Palatino Linotype" w:hAnsi="Palatino Linotype" w:cs="Palatino Linotype"/>
          <w:b/>
          <w:sz w:val="22"/>
          <w:szCs w:val="22"/>
        </w:rPr>
        <w:t xml:space="preserve">Guadalupe Ramírez Peña, </w:t>
      </w:r>
      <w:r w:rsidRPr="00C50A21">
        <w:rPr>
          <w:rFonts w:ascii="Palatino Linotype" w:eastAsia="Palatino Linotype" w:hAnsi="Palatino Linotype" w:cs="Palatino Linotype"/>
          <w:sz w:val="22"/>
          <w:szCs w:val="22"/>
        </w:rPr>
        <w:t>a efecto de que analizara sobre su admisión o su desechamiento.</w:t>
      </w:r>
    </w:p>
    <w:p w14:paraId="54EEFF55" w14:textId="77777777" w:rsidR="00A31E3E" w:rsidRPr="00C50A21" w:rsidRDefault="00A31E3E">
      <w:pPr>
        <w:spacing w:line="360" w:lineRule="auto"/>
        <w:ind w:right="51"/>
        <w:jc w:val="both"/>
        <w:rPr>
          <w:rFonts w:ascii="Palatino Linotype" w:eastAsia="Palatino Linotype" w:hAnsi="Palatino Linotype" w:cs="Palatino Linotype"/>
          <w:sz w:val="22"/>
          <w:szCs w:val="22"/>
        </w:rPr>
      </w:pPr>
    </w:p>
    <w:p w14:paraId="6FC64AE0"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5. Admisión del Recurso de revisión.</w:t>
      </w:r>
      <w:r w:rsidRPr="00C50A21">
        <w:rPr>
          <w:rFonts w:ascii="Palatino Linotype" w:eastAsia="Palatino Linotype" w:hAnsi="Palatino Linotype" w:cs="Palatino Linotype"/>
          <w:sz w:val="22"/>
          <w:szCs w:val="22"/>
        </w:rPr>
        <w:t xml:space="preserve"> El </w:t>
      </w:r>
      <w:r w:rsidRPr="00C50A21">
        <w:rPr>
          <w:rFonts w:ascii="Palatino Linotype" w:eastAsia="Palatino Linotype" w:hAnsi="Palatino Linotype" w:cs="Palatino Linotype"/>
          <w:b/>
          <w:sz w:val="22"/>
          <w:szCs w:val="22"/>
        </w:rPr>
        <w:t xml:space="preserve">veinte de marzo de dos mil veinticinco, </w:t>
      </w:r>
      <w:r w:rsidRPr="00C50A2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50A21">
        <w:rPr>
          <w:rFonts w:ascii="Palatino Linotype" w:eastAsia="Palatino Linotype" w:hAnsi="Palatino Linotype" w:cs="Palatino Linotype"/>
          <w:b/>
          <w:sz w:val="22"/>
          <w:szCs w:val="22"/>
        </w:rPr>
        <w:t xml:space="preserve">Sujeto Obligado </w:t>
      </w:r>
      <w:r w:rsidRPr="00C50A21">
        <w:rPr>
          <w:rFonts w:ascii="Palatino Linotype" w:eastAsia="Palatino Linotype" w:hAnsi="Palatino Linotype" w:cs="Palatino Linotype"/>
          <w:sz w:val="22"/>
          <w:szCs w:val="22"/>
        </w:rPr>
        <w:t>presentara su informe justificado.</w:t>
      </w:r>
    </w:p>
    <w:p w14:paraId="25335BE7" w14:textId="77777777" w:rsidR="00A31E3E" w:rsidRPr="00C50A21" w:rsidRDefault="00A31E3E">
      <w:p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p>
    <w:p w14:paraId="3E596F61"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6.</w:t>
      </w:r>
      <w:r w:rsidRPr="00C50A21">
        <w:rPr>
          <w:rFonts w:ascii="Palatino Linotype" w:eastAsia="Palatino Linotype" w:hAnsi="Palatino Linotype" w:cs="Palatino Linotype"/>
          <w:sz w:val="22"/>
          <w:szCs w:val="22"/>
        </w:rPr>
        <w:t xml:space="preserve"> </w:t>
      </w:r>
      <w:r w:rsidRPr="00C50A21">
        <w:rPr>
          <w:rFonts w:ascii="Palatino Linotype" w:eastAsia="Palatino Linotype" w:hAnsi="Palatino Linotype" w:cs="Palatino Linotype"/>
          <w:b/>
          <w:sz w:val="22"/>
          <w:szCs w:val="22"/>
        </w:rPr>
        <w:t xml:space="preserve">Manifestaciones. </w:t>
      </w:r>
      <w:r w:rsidRPr="00C50A21">
        <w:rPr>
          <w:rFonts w:ascii="Palatino Linotype" w:eastAsia="Palatino Linotype" w:hAnsi="Palatino Linotype" w:cs="Palatino Linotype"/>
          <w:sz w:val="22"/>
          <w:szCs w:val="22"/>
        </w:rPr>
        <w:t xml:space="preserve">El Sujeto Obligado el </w:t>
      </w:r>
      <w:r w:rsidRPr="00C50A21">
        <w:rPr>
          <w:rFonts w:ascii="Palatino Linotype" w:eastAsia="Palatino Linotype" w:hAnsi="Palatino Linotype" w:cs="Palatino Linotype"/>
          <w:b/>
          <w:sz w:val="22"/>
          <w:szCs w:val="22"/>
        </w:rPr>
        <w:t>treinta y uno de marzo de dos mil veinticinco</w:t>
      </w:r>
      <w:r w:rsidRPr="00C50A21">
        <w:rPr>
          <w:rFonts w:ascii="Palatino Linotype" w:eastAsia="Palatino Linotype" w:hAnsi="Palatino Linotype" w:cs="Palatino Linotype"/>
          <w:sz w:val="22"/>
          <w:szCs w:val="22"/>
        </w:rPr>
        <w:t xml:space="preserve">, rindió su informe justificado a través del documento electrónico denominado </w:t>
      </w:r>
      <w:r w:rsidRPr="00C50A21">
        <w:rPr>
          <w:rFonts w:ascii="Palatino Linotype" w:eastAsia="Palatino Linotype" w:hAnsi="Palatino Linotype" w:cs="Palatino Linotype"/>
          <w:b/>
          <w:sz w:val="22"/>
          <w:szCs w:val="22"/>
        </w:rPr>
        <w:t>182.pdf</w:t>
      </w:r>
      <w:r w:rsidRPr="00C50A21">
        <w:rPr>
          <w:rFonts w:ascii="Palatino Linotype" w:eastAsia="Palatino Linotype" w:hAnsi="Palatino Linotype" w:cs="Palatino Linotype"/>
          <w:sz w:val="22"/>
          <w:szCs w:val="22"/>
        </w:rPr>
        <w:t xml:space="preserve"> el cual contiene lo siguiente:</w:t>
      </w:r>
    </w:p>
    <w:p w14:paraId="0812BA80"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5189874E" w14:textId="77777777" w:rsidR="00A31E3E" w:rsidRPr="00C50A21" w:rsidRDefault="006C4AA6">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lastRenderedPageBreak/>
        <w:t>Oficio 228C0701020001L/182/2025 suscrito por el Jefe del Departamento de Planeación y Programación y Titular de la Unidad de Transparencia mediante el cual refiere que la Encargada del Despacho del Departamento de Recursos humanos rinde su informe justificado.</w:t>
      </w:r>
    </w:p>
    <w:p w14:paraId="2418AE21" w14:textId="77777777" w:rsidR="00A31E3E" w:rsidRPr="00C50A21" w:rsidRDefault="006C4AA6">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Oficio 228C0701040001L/727/2025 suscrito por la Encargada del Despacho del Departamento de Recursos Humanos mediante el cual refiere que se ha dado puntual respuesta a la solicitud, informando las percepciones y deducciones totales del servidor público durante el ejercicio fiscal 2024.</w:t>
      </w:r>
    </w:p>
    <w:p w14:paraId="61DCE5F4" w14:textId="77777777" w:rsidR="00A31E3E" w:rsidRPr="00C50A21" w:rsidRDefault="006C4AA6">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Oficio 228C0701040001L/0033/2025 suscrito por la Encargada del Despacho del Departamento de Recursos Humanos mediante el cual se le proporciona el total de percepciones y el total de deducciones del ejercicio 2024, del Servidor Público señalado en la solicitud.</w:t>
      </w:r>
    </w:p>
    <w:p w14:paraId="726EA3CB"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198EA101"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Documentos que se pusieron a la vista del particular para que manifestara lo que considerara conveniente. </w:t>
      </w:r>
    </w:p>
    <w:p w14:paraId="0FC35964" w14:textId="77777777" w:rsidR="00A31E3E" w:rsidRPr="00C50A21" w:rsidRDefault="00A31E3E">
      <w:pPr>
        <w:spacing w:line="360" w:lineRule="auto"/>
        <w:jc w:val="both"/>
        <w:rPr>
          <w:rFonts w:ascii="Palatino Linotype" w:eastAsia="Palatino Linotype" w:hAnsi="Palatino Linotype" w:cs="Palatino Linotype"/>
          <w:b/>
          <w:sz w:val="22"/>
          <w:szCs w:val="22"/>
        </w:rPr>
      </w:pPr>
    </w:p>
    <w:p w14:paraId="54490361"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Por su parte, el Recurrente adjuntó los documentos siguientes:</w:t>
      </w:r>
    </w:p>
    <w:p w14:paraId="101386F8"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582D8CB1" w14:textId="77777777" w:rsidR="00A31E3E" w:rsidRPr="00C50A21" w:rsidRDefault="006C4AA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Alegato COBAEM Recurso Revision.pdf:</w:t>
      </w:r>
      <w:r w:rsidRPr="00C50A21">
        <w:rPr>
          <w:rFonts w:ascii="Palatino Linotype" w:eastAsia="Palatino Linotype" w:hAnsi="Palatino Linotype" w:cs="Palatino Linotype"/>
          <w:sz w:val="22"/>
          <w:szCs w:val="22"/>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667B4FC5" w14:textId="77777777" w:rsidR="00A31E3E" w:rsidRPr="00C50A21" w:rsidRDefault="006C4AA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 xml:space="preserve">09 INE GIJ.pdf: </w:t>
      </w:r>
      <w:r w:rsidRPr="00C50A21">
        <w:rPr>
          <w:rFonts w:ascii="Palatino Linotype" w:eastAsia="Palatino Linotype" w:hAnsi="Palatino Linotype" w:cs="Palatino Linotype"/>
          <w:sz w:val="22"/>
          <w:szCs w:val="22"/>
        </w:rPr>
        <w:t>Contiene la credencial de elector del Recurrente, expedida por el Instituto Nacional Electoral.</w:t>
      </w:r>
    </w:p>
    <w:p w14:paraId="23B020DE" w14:textId="77777777" w:rsidR="00A31E3E" w:rsidRPr="00C50A21" w:rsidRDefault="006C4AA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 xml:space="preserve">FINANZAS Respuesta.pdf: </w:t>
      </w:r>
      <w:r w:rsidRPr="00C50A21">
        <w:rPr>
          <w:rFonts w:ascii="Palatino Linotype" w:eastAsia="Palatino Linotype" w:hAnsi="Palatino Linotype" w:cs="Palatino Linotype"/>
          <w:sz w:val="22"/>
          <w:szCs w:val="22"/>
        </w:rPr>
        <w:t xml:space="preserve">Oficio No. 20704001L-0285/2025 suscrito por el Director General de la Dirección General de Planeación y Gasto Público de la Secretaría de </w:t>
      </w:r>
      <w:r w:rsidRPr="00C50A21">
        <w:rPr>
          <w:rFonts w:ascii="Palatino Linotype" w:eastAsia="Palatino Linotype" w:hAnsi="Palatino Linotype" w:cs="Palatino Linotype"/>
          <w:sz w:val="22"/>
          <w:szCs w:val="22"/>
        </w:rPr>
        <w:lastRenderedPageBreak/>
        <w:t>Finanzas, en el que medularmente refiere</w:t>
      </w:r>
      <w:r w:rsidRPr="00C50A21">
        <w:rPr>
          <w:rFonts w:ascii="Palatino Linotype" w:eastAsia="Palatino Linotype" w:hAnsi="Palatino Linotype" w:cs="Palatino Linotype"/>
          <w:b/>
          <w:sz w:val="22"/>
          <w:szCs w:val="22"/>
        </w:rPr>
        <w:t xml:space="preserve"> que el Gobierno del Estado de México cubrió la aportación paritaria estatal de los instrumentos jurídicos firmados por la Titular del Ejecutivo Estatal en el ejercicio fiscal 2024.</w:t>
      </w:r>
    </w:p>
    <w:p w14:paraId="36E9B87E" w14:textId="77777777" w:rsidR="00A31E3E" w:rsidRPr="00C50A21" w:rsidRDefault="006C4AA6">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noProof/>
          <w:sz w:val="22"/>
          <w:szCs w:val="22"/>
          <w:lang w:val="es-MX"/>
        </w:rPr>
        <w:drawing>
          <wp:inline distT="0" distB="0" distL="0" distR="0" wp14:anchorId="5D66CD5D" wp14:editId="4BE15FB2">
            <wp:extent cx="5791835" cy="3838575"/>
            <wp:effectExtent l="0" t="0" r="0" b="0"/>
            <wp:docPr id="19092458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91835" cy="3838575"/>
                    </a:xfrm>
                    <a:prstGeom prst="rect">
                      <a:avLst/>
                    </a:prstGeom>
                    <a:ln/>
                  </pic:spPr>
                </pic:pic>
              </a:graphicData>
            </a:graphic>
          </wp:inline>
        </w:drawing>
      </w:r>
    </w:p>
    <w:p w14:paraId="3F579D6E" w14:textId="77777777" w:rsidR="00A31E3E" w:rsidRPr="00C50A21" w:rsidRDefault="006C4AA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 xml:space="preserve">ANEXO DE EJECUCION COBAEM 2024 RR.pdf: </w:t>
      </w:r>
      <w:r w:rsidRPr="00C50A21">
        <w:rPr>
          <w:rFonts w:ascii="Palatino Linotype" w:eastAsia="Palatino Linotype" w:hAnsi="Palatino Linotype" w:cs="Palatino Linotype"/>
          <w:sz w:val="22"/>
          <w:szCs w:val="22"/>
        </w:rPr>
        <w:t>Contiene el anexo de ejecución que adjuntó el Recurrente tanto a la solicitud, como al escrito del recurso de revisión.</w:t>
      </w:r>
    </w:p>
    <w:p w14:paraId="1F3F4EC5" w14:textId="77777777" w:rsidR="00A31E3E" w:rsidRPr="00C50A21" w:rsidRDefault="00A31E3E">
      <w:pPr>
        <w:spacing w:line="360" w:lineRule="auto"/>
        <w:jc w:val="both"/>
        <w:rPr>
          <w:rFonts w:ascii="Palatino Linotype" w:eastAsia="Palatino Linotype" w:hAnsi="Palatino Linotype" w:cs="Palatino Linotype"/>
          <w:b/>
          <w:sz w:val="22"/>
          <w:szCs w:val="22"/>
        </w:rPr>
      </w:pPr>
    </w:p>
    <w:p w14:paraId="5ABD8BD2"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 xml:space="preserve">7. Reconducción de vía y conciliación a las partes. El veintiuno de abril de dos mil veinticinco </w:t>
      </w:r>
      <w:r w:rsidRPr="00C50A21">
        <w:rPr>
          <w:rFonts w:ascii="Palatino Linotype" w:eastAsia="Palatino Linotype" w:hAnsi="Palatino Linotype" w:cs="Palatino Linotype"/>
          <w:sz w:val="22"/>
          <w:szCs w:val="22"/>
        </w:rPr>
        <w:t xml:space="preserve">este Organismo Garante, vía SAIMEX notificó a la parte </w:t>
      </w:r>
      <w:r w:rsidRPr="00C50A21">
        <w:rPr>
          <w:rFonts w:ascii="Palatino Linotype" w:eastAsia="Palatino Linotype" w:hAnsi="Palatino Linotype" w:cs="Palatino Linotype"/>
          <w:b/>
          <w:sz w:val="22"/>
          <w:szCs w:val="22"/>
        </w:rPr>
        <w:t xml:space="preserve">Recurrente </w:t>
      </w:r>
      <w:r w:rsidRPr="00C50A21">
        <w:rPr>
          <w:rFonts w:ascii="Palatino Linotype" w:eastAsia="Palatino Linotype" w:hAnsi="Palatino Linotype" w:cs="Palatino Linotype"/>
          <w:sz w:val="22"/>
          <w:szCs w:val="22"/>
        </w:rPr>
        <w:t>la reconducción de la</w:t>
      </w:r>
      <w:r w:rsidRPr="00C50A21">
        <w:rPr>
          <w:rFonts w:ascii="Palatino Linotype" w:eastAsia="Palatino Linotype" w:hAnsi="Palatino Linotype" w:cs="Palatino Linotype"/>
          <w:b/>
          <w:sz w:val="22"/>
          <w:szCs w:val="22"/>
        </w:rPr>
        <w:t xml:space="preserve"> </w:t>
      </w:r>
      <w:r w:rsidRPr="00C50A21">
        <w:rPr>
          <w:rFonts w:ascii="Palatino Linotype" w:eastAsia="Palatino Linotype" w:hAnsi="Palatino Linotype" w:cs="Palatino Linotype"/>
          <w:sz w:val="22"/>
          <w:szCs w:val="22"/>
        </w:rPr>
        <w:t xml:space="preserve">vía, al ejercicio de Derechos ARCO (Acceso, Rectificación, Cancelación y Oposición de datos personales), en términos del artículo 112, párrafo segundo de la Ley de Protección de Datos Personales en Posesión de Sujetos Obligados del Estado de México y Municipios, al advertir que pretende ejercer el derecho de acceso a datos personales en </w:t>
      </w:r>
      <w:r w:rsidRPr="00C50A21">
        <w:rPr>
          <w:rFonts w:ascii="Palatino Linotype" w:eastAsia="Palatino Linotype" w:hAnsi="Palatino Linotype" w:cs="Palatino Linotype"/>
          <w:sz w:val="22"/>
          <w:szCs w:val="22"/>
        </w:rPr>
        <w:lastRenderedPageBreak/>
        <w:t>términos de lo contemplado en el artículo 98 de la Ley de Protección de Datos Personales en Posesión de Sujetos Obligados del Estado de México y Municipios.</w:t>
      </w:r>
    </w:p>
    <w:p w14:paraId="34A9D03B"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71A63236"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En el mismo sentido, se les dio un plazo de siete días hábiles para que manifestaran su voluntad para conciliar.</w:t>
      </w:r>
    </w:p>
    <w:p w14:paraId="0FE12619"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4B7F56E3" w14:textId="77777777" w:rsidR="00A31E3E" w:rsidRPr="00C50A21" w:rsidRDefault="006C4AA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El veintinueve de abril de dos mil veinticinco, el Recurrente manifestó su voluntad para conciliar.</w:t>
      </w:r>
    </w:p>
    <w:p w14:paraId="6F351914" w14:textId="77777777" w:rsidR="00A31E3E" w:rsidRPr="00C50A21" w:rsidRDefault="006C4AA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Por su parte, el Sujeto Obligado fue omiso en manifestar su voluntad para conciliar.</w:t>
      </w:r>
    </w:p>
    <w:p w14:paraId="63101391" w14:textId="77777777" w:rsidR="00A31E3E" w:rsidRPr="00C50A21" w:rsidRDefault="00A31E3E">
      <w:pPr>
        <w:spacing w:line="360" w:lineRule="auto"/>
        <w:jc w:val="both"/>
        <w:rPr>
          <w:rFonts w:ascii="Palatino Linotype" w:eastAsia="Palatino Linotype" w:hAnsi="Palatino Linotype" w:cs="Palatino Linotype"/>
          <w:b/>
          <w:sz w:val="22"/>
          <w:szCs w:val="22"/>
        </w:rPr>
      </w:pPr>
    </w:p>
    <w:p w14:paraId="7ACB92E4"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8. Requerimiento de información adicional.</w:t>
      </w:r>
      <w:r w:rsidRPr="00C50A21">
        <w:rPr>
          <w:rFonts w:ascii="Palatino Linotype" w:eastAsia="Palatino Linotype" w:hAnsi="Palatino Linotype" w:cs="Palatino Linotype"/>
          <w:sz w:val="22"/>
          <w:szCs w:val="22"/>
        </w:rPr>
        <w:t xml:space="preserve"> El veintitrés de mayo de dos mil veinticinco, vía correo electrónico se notificó el acuerdo mediante el cual se requirió información adicional al Sujeto Obligado, para que proporcionara mayores elementos, en los siguientes términos:</w:t>
      </w:r>
    </w:p>
    <w:p w14:paraId="6ECF2046"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1B16098E" w14:textId="77777777" w:rsidR="00A31E3E" w:rsidRPr="00C50A21" w:rsidRDefault="006C4AA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De las percepciones enlistadas en respuesta a la solicitud ¿Cuáles conceptos se integran con recursos provenientes de la Secretaría de Educación Pública respecto al Anexo de Ejecución/Apoyo Financiero 2024 SEMS-ELCOBAEM/MÉXICO?;</w:t>
      </w:r>
    </w:p>
    <w:p w14:paraId="37794442" w14:textId="77777777" w:rsidR="00A31E3E" w:rsidRPr="00C50A21" w:rsidRDefault="00A31E3E">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423C703E" w14:textId="77777777" w:rsidR="00A31E3E" w:rsidRPr="00C50A21" w:rsidRDefault="006C4AA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Monto del recurso público proveniente de la Secretaría de Educación Pública con base al Anexo de Ejecución/Apoyo Financiero 2024 SEMS-ELCOBAEM/MÉXICO, de cada una de las percepciones enlistadas en respuesta a la solicitud;</w:t>
      </w:r>
    </w:p>
    <w:p w14:paraId="23AAD351" w14:textId="77777777" w:rsidR="00A31E3E" w:rsidRPr="00C50A21" w:rsidRDefault="00A31E3E">
      <w:pPr>
        <w:pBdr>
          <w:top w:val="nil"/>
          <w:left w:val="nil"/>
          <w:bottom w:val="nil"/>
          <w:right w:val="nil"/>
          <w:between w:val="nil"/>
        </w:pBdr>
        <w:ind w:left="720"/>
        <w:rPr>
          <w:rFonts w:ascii="Palatino Linotype" w:eastAsia="Palatino Linotype" w:hAnsi="Palatino Linotype" w:cs="Palatino Linotype"/>
          <w:i/>
          <w:sz w:val="22"/>
          <w:szCs w:val="22"/>
        </w:rPr>
      </w:pPr>
    </w:p>
    <w:p w14:paraId="6B798744" w14:textId="77777777" w:rsidR="00A31E3E" w:rsidRPr="00C50A21" w:rsidRDefault="006C4AA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¿Cada Servidor Público de manera individual tiene su propio cálculo de percepciones y sus respectivas deducciones, basado en situación particular (puesto, nivel salarial o categoría) ?;</w:t>
      </w:r>
    </w:p>
    <w:p w14:paraId="3047286D" w14:textId="77777777" w:rsidR="00A31E3E" w:rsidRPr="00C50A21" w:rsidRDefault="00A31E3E">
      <w:pPr>
        <w:rPr>
          <w:rFonts w:ascii="Palatino Linotype" w:eastAsia="Palatino Linotype" w:hAnsi="Palatino Linotype" w:cs="Palatino Linotype"/>
          <w:i/>
          <w:sz w:val="22"/>
          <w:szCs w:val="22"/>
        </w:rPr>
      </w:pPr>
    </w:p>
    <w:p w14:paraId="34E6A6A7" w14:textId="77777777" w:rsidR="00A31E3E" w:rsidRPr="00C50A21" w:rsidRDefault="006C4AA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 xml:space="preserve">¿Se formalizó convenio modificatorio en el que se consideraron ajustes compensatorios entre montos señalados en el apartado B Anexo de Ejecución/Apoyo Financiero 2024 SEMS-ELCOBAEM/MÉXICO, como lo establece el inciso d) de la Clausula Quinta? </w:t>
      </w:r>
    </w:p>
    <w:p w14:paraId="0F943255" w14:textId="77777777" w:rsidR="00A31E3E" w:rsidRPr="00C50A21" w:rsidRDefault="00A31E3E">
      <w:pPr>
        <w:pBdr>
          <w:top w:val="nil"/>
          <w:left w:val="nil"/>
          <w:bottom w:val="nil"/>
          <w:right w:val="nil"/>
          <w:between w:val="nil"/>
        </w:pBdr>
        <w:ind w:left="720"/>
        <w:rPr>
          <w:rFonts w:ascii="Palatino Linotype" w:eastAsia="Palatino Linotype" w:hAnsi="Palatino Linotype" w:cs="Palatino Linotype"/>
          <w:i/>
          <w:sz w:val="22"/>
          <w:szCs w:val="22"/>
        </w:rPr>
      </w:pPr>
    </w:p>
    <w:p w14:paraId="435B9C4E" w14:textId="77777777" w:rsidR="00A31E3E" w:rsidRPr="00C50A21" w:rsidRDefault="006C4AA6">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De ser afirmativa la respuesta, adjuntar convenio modificatorio</w:t>
      </w:r>
    </w:p>
    <w:p w14:paraId="2C88235F" w14:textId="77777777" w:rsidR="00A31E3E" w:rsidRPr="00C50A21" w:rsidRDefault="00A31E3E">
      <w:pPr>
        <w:pBdr>
          <w:top w:val="nil"/>
          <w:left w:val="nil"/>
          <w:bottom w:val="nil"/>
          <w:right w:val="nil"/>
          <w:between w:val="nil"/>
        </w:pBdr>
        <w:ind w:left="720"/>
        <w:rPr>
          <w:rFonts w:ascii="Palatino Linotype" w:eastAsia="Palatino Linotype" w:hAnsi="Palatino Linotype" w:cs="Palatino Linotype"/>
          <w:i/>
          <w:sz w:val="22"/>
          <w:szCs w:val="22"/>
        </w:rPr>
      </w:pPr>
    </w:p>
    <w:p w14:paraId="7DC1AE7A" w14:textId="77777777" w:rsidR="00A31E3E" w:rsidRPr="00C50A21" w:rsidRDefault="006C4AA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Copia del último informe trimestral que establece el inciso f) de la Clausula Quinta del Anexo de Ejecución/Apoyo Financiero 2024 SEMS-ELCOBAEM/MÉXICO.</w:t>
      </w:r>
    </w:p>
    <w:p w14:paraId="0A4F7CA7" w14:textId="77777777" w:rsidR="00A31E3E" w:rsidRPr="00C50A21" w:rsidRDefault="00A31E3E">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266DCFBD" w14:textId="77777777" w:rsidR="00A31E3E" w:rsidRPr="00C50A21" w:rsidRDefault="006C4AA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Conforme al segundo párrafo del inciso f) de la Clausula Quinta del Anexo de Ejecución/Apoyo Financiero 2024 SEMS-ELCOBAEM/MÉXICO, copia de los documentos de trabajo de los tres meses que contemplan el último informe trimestral remitido a la SEP y al Gobierno del Estado de México.</w:t>
      </w:r>
    </w:p>
    <w:p w14:paraId="5DC73A8F" w14:textId="77777777" w:rsidR="00A31E3E" w:rsidRPr="00C50A21" w:rsidRDefault="00A31E3E">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3F1E62EE" w14:textId="77777777" w:rsidR="00A31E3E" w:rsidRPr="00C50A21" w:rsidRDefault="006C4AA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Metodología utilizada para el cálculo de las percepciones y deducciones enlistadas en la solicitud con el presupuesto asignado tanto estatal como federal, conforme al Anexo de Ejecución/Apoyo Financiero 2024 SEMS-ELCOBAEM/MÉXICO.</w:t>
      </w:r>
    </w:p>
    <w:p w14:paraId="0BC61C48"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4A37A523"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Por su parte, el Sujeto Obligado el veintiocho de mayo de dos mil veinticinco, vía correo electrónico dio atención al Requerimiento de Información Adicional, a través del documento electrónico denominado </w:t>
      </w:r>
      <w:r w:rsidRPr="00C50A21">
        <w:rPr>
          <w:rFonts w:ascii="Palatino Linotype" w:eastAsia="Palatino Linotype" w:hAnsi="Palatino Linotype" w:cs="Palatino Linotype"/>
          <w:b/>
          <w:i/>
          <w:sz w:val="22"/>
          <w:szCs w:val="22"/>
        </w:rPr>
        <w:t>O.1151 RR. 2964 2969.pdf</w:t>
      </w:r>
      <w:r w:rsidRPr="00C50A21">
        <w:rPr>
          <w:rFonts w:ascii="Palatino Linotype" w:eastAsia="Palatino Linotype" w:hAnsi="Palatino Linotype" w:cs="Palatino Linotype"/>
          <w:sz w:val="22"/>
          <w:szCs w:val="22"/>
        </w:rPr>
        <w:t>, el cual se hizo de conocimiento del Recurrente el veintinueve de mayo de la misma anualidad; sin embargo, se describe su contenido medular:</w:t>
      </w:r>
    </w:p>
    <w:p w14:paraId="53C70548"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152285A2"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 xml:space="preserve">O.1151 RR. 2964 2969.pdf: </w:t>
      </w:r>
      <w:r w:rsidRPr="00C50A21">
        <w:rPr>
          <w:rFonts w:ascii="Palatino Linotype" w:eastAsia="Palatino Linotype" w:hAnsi="Palatino Linotype" w:cs="Palatino Linotype"/>
          <w:sz w:val="22"/>
          <w:szCs w:val="22"/>
        </w:rPr>
        <w:t>Oficio 228C0701040001L/1151/2025 suscrito por la Encargada del Despacho del Departamento de Recursos humanos mediante el cual contestó lo siguiente:</w:t>
      </w:r>
    </w:p>
    <w:p w14:paraId="686D4F99"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44937FD1" w14:textId="77777777" w:rsidR="00A31E3E" w:rsidRPr="00C50A21" w:rsidRDefault="006C4AA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Sobre las percepciones enlistadas, los conceptos que se aplican, con participación federal son las siguientes:</w:t>
      </w:r>
    </w:p>
    <w:p w14:paraId="699B4998" w14:textId="77777777" w:rsidR="00A31E3E" w:rsidRPr="00C50A21" w:rsidRDefault="00A31E3E">
      <w:pPr>
        <w:spacing w:line="360" w:lineRule="auto"/>
        <w:ind w:left="426" w:right="332"/>
        <w:jc w:val="both"/>
        <w:rPr>
          <w:rFonts w:ascii="Palatino Linotype" w:eastAsia="Palatino Linotype" w:hAnsi="Palatino Linotype" w:cs="Palatino Linotype"/>
          <w:i/>
          <w:sz w:val="22"/>
          <w:szCs w:val="22"/>
        </w:rPr>
      </w:pPr>
    </w:p>
    <w:p w14:paraId="05632FCD" w14:textId="77777777" w:rsidR="00A31E3E" w:rsidRPr="00C50A21" w:rsidRDefault="006C4AA6">
      <w:pPr>
        <w:spacing w:line="360" w:lineRule="auto"/>
        <w:ind w:left="426" w:right="332"/>
        <w:jc w:val="both"/>
        <w:rPr>
          <w:rFonts w:ascii="Palatino Linotype" w:eastAsia="Palatino Linotype" w:hAnsi="Palatino Linotype" w:cs="Palatino Linotype"/>
          <w:b/>
          <w:i/>
          <w:sz w:val="22"/>
          <w:szCs w:val="22"/>
        </w:rPr>
      </w:pPr>
      <w:r w:rsidRPr="00C50A21">
        <w:rPr>
          <w:rFonts w:ascii="Palatino Linotype" w:eastAsia="Palatino Linotype" w:hAnsi="Palatino Linotype" w:cs="Palatino Linotype"/>
          <w:b/>
          <w:i/>
          <w:noProof/>
          <w:sz w:val="22"/>
          <w:szCs w:val="22"/>
          <w:lang w:val="es-MX"/>
        </w:rPr>
        <w:drawing>
          <wp:inline distT="0" distB="0" distL="0" distR="0" wp14:anchorId="2021139F" wp14:editId="2FFA7A14">
            <wp:extent cx="5791835" cy="950595"/>
            <wp:effectExtent l="0" t="0" r="0" b="0"/>
            <wp:docPr id="19092458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91835" cy="950595"/>
                    </a:xfrm>
                    <a:prstGeom prst="rect">
                      <a:avLst/>
                    </a:prstGeom>
                    <a:ln/>
                  </pic:spPr>
                </pic:pic>
              </a:graphicData>
            </a:graphic>
          </wp:inline>
        </w:drawing>
      </w:r>
    </w:p>
    <w:p w14:paraId="492D8E4F" w14:textId="77777777" w:rsidR="00A31E3E" w:rsidRPr="00C50A21" w:rsidRDefault="006C4AA6">
      <w:pPr>
        <w:spacing w:line="360" w:lineRule="auto"/>
        <w:ind w:left="426" w:right="332"/>
        <w:jc w:val="both"/>
        <w:rPr>
          <w:rFonts w:ascii="Palatino Linotype" w:eastAsia="Palatino Linotype" w:hAnsi="Palatino Linotype" w:cs="Palatino Linotype"/>
          <w:b/>
          <w:i/>
          <w:sz w:val="22"/>
          <w:szCs w:val="22"/>
        </w:rPr>
      </w:pPr>
      <w:r w:rsidRPr="00C50A21">
        <w:rPr>
          <w:rFonts w:ascii="Palatino Linotype" w:eastAsia="Palatino Linotype" w:hAnsi="Palatino Linotype" w:cs="Palatino Linotype"/>
          <w:b/>
          <w:i/>
          <w:sz w:val="22"/>
          <w:szCs w:val="22"/>
        </w:rPr>
        <w:t>El resto son pagadas con recurso estatal.</w:t>
      </w:r>
    </w:p>
    <w:p w14:paraId="73B9476F" w14:textId="77777777" w:rsidR="00A31E3E" w:rsidRPr="00C50A21" w:rsidRDefault="00A31E3E">
      <w:pPr>
        <w:spacing w:line="360" w:lineRule="auto"/>
        <w:ind w:left="426" w:right="332"/>
        <w:jc w:val="both"/>
        <w:rPr>
          <w:rFonts w:ascii="Palatino Linotype" w:eastAsia="Palatino Linotype" w:hAnsi="Palatino Linotype" w:cs="Palatino Linotype"/>
          <w:b/>
          <w:i/>
          <w:sz w:val="22"/>
          <w:szCs w:val="22"/>
        </w:rPr>
      </w:pPr>
    </w:p>
    <w:p w14:paraId="25F66C41" w14:textId="77777777" w:rsidR="00A31E3E" w:rsidRPr="00C50A21" w:rsidRDefault="006C4AA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lastRenderedPageBreak/>
        <w:t>Sobre el monto del recurso público proveniente de la Secretaría de Educación Pública, se adjuntan los montos autorizados conforme a las percepciones con participación Federal y Estatal Global:</w:t>
      </w:r>
    </w:p>
    <w:p w14:paraId="79A3C80F" w14:textId="77777777" w:rsidR="00A31E3E" w:rsidRPr="00C50A21" w:rsidRDefault="006C4AA6">
      <w:pPr>
        <w:spacing w:line="360" w:lineRule="auto"/>
        <w:ind w:left="426" w:right="332"/>
        <w:jc w:val="center"/>
        <w:rPr>
          <w:rFonts w:ascii="Palatino Linotype" w:eastAsia="Palatino Linotype" w:hAnsi="Palatino Linotype" w:cs="Palatino Linotype"/>
          <w:b/>
          <w:i/>
          <w:sz w:val="22"/>
          <w:szCs w:val="22"/>
        </w:rPr>
      </w:pPr>
      <w:r w:rsidRPr="00C50A21">
        <w:rPr>
          <w:i/>
          <w:noProof/>
          <w:lang w:val="es-MX"/>
        </w:rPr>
        <w:drawing>
          <wp:inline distT="0" distB="0" distL="0" distR="0" wp14:anchorId="372A1766" wp14:editId="64D07E7E">
            <wp:extent cx="4201111" cy="1028844"/>
            <wp:effectExtent l="0" t="0" r="0" b="0"/>
            <wp:docPr id="19092458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201111" cy="1028844"/>
                    </a:xfrm>
                    <a:prstGeom prst="rect">
                      <a:avLst/>
                    </a:prstGeom>
                    <a:ln/>
                  </pic:spPr>
                </pic:pic>
              </a:graphicData>
            </a:graphic>
          </wp:inline>
        </w:drawing>
      </w:r>
    </w:p>
    <w:p w14:paraId="1B3EEE79" w14:textId="77777777" w:rsidR="00A31E3E" w:rsidRPr="00C50A21" w:rsidRDefault="00A31E3E">
      <w:pPr>
        <w:spacing w:line="360" w:lineRule="auto"/>
        <w:ind w:left="426" w:right="332"/>
        <w:jc w:val="both"/>
        <w:rPr>
          <w:rFonts w:ascii="Palatino Linotype" w:eastAsia="Palatino Linotype" w:hAnsi="Palatino Linotype" w:cs="Palatino Linotype"/>
          <w:b/>
          <w:i/>
          <w:sz w:val="22"/>
          <w:szCs w:val="22"/>
        </w:rPr>
      </w:pPr>
    </w:p>
    <w:p w14:paraId="584F57B8" w14:textId="77777777" w:rsidR="00A31E3E" w:rsidRPr="00C50A21" w:rsidRDefault="006C4AA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 xml:space="preserve">Sobre el cálculo de las percepciones y deducciones aplicables a cada servidor público, </w:t>
      </w:r>
      <w:r w:rsidRPr="00C50A21">
        <w:rPr>
          <w:rFonts w:ascii="Palatino Linotype" w:eastAsia="Palatino Linotype" w:hAnsi="Palatino Linotype" w:cs="Palatino Linotype"/>
          <w:b/>
          <w:i/>
          <w:sz w:val="22"/>
          <w:szCs w:val="22"/>
          <w:u w:val="single"/>
        </w:rPr>
        <w:t xml:space="preserve">le comento que </w:t>
      </w:r>
      <w:proofErr w:type="spellStart"/>
      <w:r w:rsidRPr="00C50A21">
        <w:rPr>
          <w:rFonts w:ascii="Palatino Linotype" w:eastAsia="Palatino Linotype" w:hAnsi="Palatino Linotype" w:cs="Palatino Linotype"/>
          <w:b/>
          <w:i/>
          <w:sz w:val="22"/>
          <w:szCs w:val="22"/>
          <w:u w:val="single"/>
        </w:rPr>
        <w:t>de</w:t>
      </w:r>
      <w:proofErr w:type="spellEnd"/>
      <w:r w:rsidRPr="00C50A21">
        <w:rPr>
          <w:rFonts w:ascii="Palatino Linotype" w:eastAsia="Palatino Linotype" w:hAnsi="Palatino Linotype" w:cs="Palatino Linotype"/>
          <w:b/>
          <w:i/>
          <w:sz w:val="22"/>
          <w:szCs w:val="22"/>
          <w:u w:val="single"/>
        </w:rPr>
        <w:t xml:space="preserve"> realizan mediante un sistema de nómina</w:t>
      </w:r>
      <w:r w:rsidRPr="00C50A21">
        <w:rPr>
          <w:rFonts w:ascii="Palatino Linotype" w:eastAsia="Palatino Linotype" w:hAnsi="Palatino Linotype" w:cs="Palatino Linotype"/>
          <w:i/>
          <w:sz w:val="22"/>
          <w:szCs w:val="22"/>
        </w:rPr>
        <w:t xml:space="preserve">, </w:t>
      </w:r>
      <w:r w:rsidRPr="00C50A21">
        <w:rPr>
          <w:rFonts w:ascii="Palatino Linotype" w:eastAsia="Palatino Linotype" w:hAnsi="Palatino Linotype" w:cs="Palatino Linotype"/>
          <w:b/>
          <w:i/>
          <w:sz w:val="22"/>
          <w:szCs w:val="22"/>
          <w:u w:val="single"/>
        </w:rPr>
        <w:t>en el cual se encuentran parametrizadas conforme a los montos autorizados</w:t>
      </w:r>
      <w:r w:rsidRPr="00C50A21">
        <w:rPr>
          <w:rFonts w:ascii="Palatino Linotype" w:eastAsia="Palatino Linotype" w:hAnsi="Palatino Linotype" w:cs="Palatino Linotype"/>
          <w:i/>
          <w:sz w:val="22"/>
          <w:szCs w:val="22"/>
        </w:rPr>
        <w:t xml:space="preserve"> por parte de la normatividad del COBAEM y la Dirección General de Personal del Estado de México, así como las deducciones correspondientes.</w:t>
      </w:r>
    </w:p>
    <w:p w14:paraId="76E51DC9" w14:textId="77777777" w:rsidR="00A31E3E" w:rsidRPr="00C50A21" w:rsidRDefault="006C4AA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Referente al Convenio Modificatorio, fue formalizado, atendiendo los ajustes a la plantilla, derivada del proceso de homologación y renivelación docente, lo cual quiere decir, que solo impactó a la cantidad de plazas autorizadas para personal docente de horas y jornadas, derivado de los Criterios para aplicar la homologación y renivelación docente. (se adjunta documento)</w:t>
      </w:r>
    </w:p>
    <w:p w14:paraId="4EB49018" w14:textId="77777777" w:rsidR="00A31E3E" w:rsidRPr="00C50A21" w:rsidRDefault="006C4AA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 xml:space="preserve">Se remite copia del oficio No. 228C07010/034/2025, en el cual se envía a la Coordinación Sectorial de Planeación en el cual se dan a conocer la información correspondiente al cuarto trimestre del ejercicio 2024, así como su archivo en formato Excel adjunto. </w:t>
      </w:r>
    </w:p>
    <w:p w14:paraId="0008CE1A" w14:textId="77777777" w:rsidR="00A31E3E" w:rsidRPr="00C50A21" w:rsidRDefault="006C4AA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Respecto a lo documentos de trabajo que se utilizan para nutrir el informe antes citado, le comento que se realizan mediamente el sistema del Programa Presupuestario U006 Subsidios para Organismos Descentralizados Estatales, el cual es operado por la Subsecretaría de Educación Media Superior de la Secretaría de Educación Pública.</w:t>
      </w:r>
    </w:p>
    <w:p w14:paraId="6CD765B4" w14:textId="77777777" w:rsidR="00A31E3E" w:rsidRPr="00C50A21" w:rsidRDefault="006C4AA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Sobre la metodología utilizada para el cálculo de percepciones y deducciones, reitero lo dispuesto en el punto No. 3 de este documento, ya que todos los conceptos se encuentran parametrizados en el sistema de nómina.</w:t>
      </w:r>
    </w:p>
    <w:p w14:paraId="1E659551" w14:textId="77777777" w:rsidR="00A31E3E" w:rsidRPr="00C50A21" w:rsidRDefault="00A31E3E">
      <w:p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p>
    <w:p w14:paraId="3A1E0D55" w14:textId="77777777" w:rsidR="00A31E3E" w:rsidRPr="00C50A21" w:rsidRDefault="006C4AA6">
      <w:pPr>
        <w:spacing w:line="360" w:lineRule="auto"/>
        <w:ind w:left="426"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No omito mencionar que cada una de las percepciones aplicadas al personal que labora en el Colegio de Bachilleres del Estado de México, es con base a lo establecido en la normatividad de este Organismo, (Convenio de Sueldos y Prestaciones y otras), respecto a los sueldos y percepciones tabulares, se aplican conforme a lo autorizado por la Dirección General de Personal del Estado de México, lo anterior, atendiendo lo establecido en el Art. 1º de la Ley que Crea el Organismo Público Descentralizado Denominado Colegio de Bachilleres del Estado de México, que a la letra refiere: "Se crea el Colegio de Bachilleres del Estado de México, como Organismo Público descentralizado de Carácter Estatal, con personalidad jurídica y patrimonio propio."</w:t>
      </w:r>
    </w:p>
    <w:p w14:paraId="2DF2459B" w14:textId="77777777" w:rsidR="00A31E3E" w:rsidRPr="00C50A21" w:rsidRDefault="00A31E3E">
      <w:pPr>
        <w:spacing w:line="360" w:lineRule="auto"/>
        <w:ind w:left="426" w:right="332"/>
        <w:jc w:val="both"/>
        <w:rPr>
          <w:rFonts w:ascii="Palatino Linotype" w:eastAsia="Palatino Linotype" w:hAnsi="Palatino Linotype" w:cs="Palatino Linotype"/>
          <w:i/>
          <w:sz w:val="22"/>
          <w:szCs w:val="22"/>
        </w:rPr>
      </w:pPr>
    </w:p>
    <w:p w14:paraId="426508FA" w14:textId="77777777" w:rsidR="00A31E3E" w:rsidRPr="00C50A21" w:rsidRDefault="006C4AA6">
      <w:pPr>
        <w:spacing w:line="360" w:lineRule="auto"/>
        <w:ind w:left="426"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Motivo por el cual estamos obligados a atender las disposiciones Estales; no omito mencionar que sobre el recurso Federal que se utiliza de acuerdo con el Anexo de Ejecución, se aplica en el porcentaje asignado a por la Federación (50%), sobre los montos autorizados por el Estado, por lo cual el remanente de dicho recurso es devuelto conforme a las políticas establecidas por la SEMS.</w:t>
      </w:r>
    </w:p>
    <w:p w14:paraId="3916251B" w14:textId="77777777" w:rsidR="00A31E3E" w:rsidRPr="00C50A21" w:rsidRDefault="00A31E3E">
      <w:pPr>
        <w:spacing w:line="360" w:lineRule="auto"/>
        <w:jc w:val="both"/>
        <w:rPr>
          <w:rFonts w:ascii="Palatino Linotype" w:eastAsia="Palatino Linotype" w:hAnsi="Palatino Linotype" w:cs="Palatino Linotype"/>
          <w:b/>
          <w:sz w:val="22"/>
          <w:szCs w:val="22"/>
        </w:rPr>
      </w:pPr>
    </w:p>
    <w:p w14:paraId="219A3ED3" w14:textId="77777777" w:rsidR="00A31E3E" w:rsidRPr="00C50A21" w:rsidRDefault="006C4AA6">
      <w:pPr>
        <w:spacing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Los documentos adjuntos al oficio de respuesta son los siguientes:</w:t>
      </w:r>
    </w:p>
    <w:p w14:paraId="3568D91A" w14:textId="77777777" w:rsidR="00A31E3E" w:rsidRPr="00C50A21" w:rsidRDefault="00A31E3E">
      <w:pPr>
        <w:spacing w:line="360" w:lineRule="auto"/>
        <w:ind w:left="567" w:right="332"/>
        <w:jc w:val="both"/>
        <w:rPr>
          <w:rFonts w:ascii="Palatino Linotype" w:eastAsia="Palatino Linotype" w:hAnsi="Palatino Linotype" w:cs="Palatino Linotype"/>
          <w:b/>
          <w:i/>
          <w:sz w:val="22"/>
          <w:szCs w:val="22"/>
        </w:rPr>
      </w:pPr>
    </w:p>
    <w:p w14:paraId="125D99FB" w14:textId="77777777" w:rsidR="00A31E3E" w:rsidRPr="00C50A21" w:rsidRDefault="006C4AA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El Sujeto Obligado adjuntó el convenio modificatorio al anexo de ejecución y sus anexos como apartado A y apartado B.</w:t>
      </w:r>
    </w:p>
    <w:p w14:paraId="2BE8FC5D" w14:textId="77777777" w:rsidR="00A31E3E" w:rsidRPr="00C50A21" w:rsidRDefault="006C4AA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Programas a los que se destinan los recursos y cumplimiento de las metas correspondientes;</w:t>
      </w:r>
    </w:p>
    <w:p w14:paraId="24264EE2" w14:textId="77777777" w:rsidR="00A31E3E" w:rsidRPr="00C50A21" w:rsidRDefault="006C4AA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Costo de la nómina del personal docente, no docente, administrativo y manual.</w:t>
      </w:r>
    </w:p>
    <w:p w14:paraId="6CACF86F" w14:textId="77777777" w:rsidR="00A31E3E" w:rsidRPr="00C50A21" w:rsidRDefault="006C4AA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Desglose del gasto corriente;</w:t>
      </w:r>
    </w:p>
    <w:p w14:paraId="42C3AD57" w14:textId="77777777" w:rsidR="00A31E3E" w:rsidRPr="00C50A21" w:rsidRDefault="006C4AA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Estado de Situación Financiera de 31 de octubre de 2024;</w:t>
      </w:r>
    </w:p>
    <w:p w14:paraId="67DDB58D" w14:textId="77777777" w:rsidR="00A31E3E" w:rsidRPr="00C50A21" w:rsidRDefault="006C4AA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Estado de Situación Financiera de 30 de noviembre de 2024;</w:t>
      </w:r>
    </w:p>
    <w:p w14:paraId="3F8ABEFC" w14:textId="77777777" w:rsidR="00A31E3E" w:rsidRPr="00C50A21" w:rsidRDefault="006C4AA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Estado de Situación Financiera de 31 de diciembre de 2024;</w:t>
      </w:r>
    </w:p>
    <w:p w14:paraId="48CD9E71" w14:textId="77777777" w:rsidR="00A31E3E" w:rsidRPr="00C50A21" w:rsidRDefault="006C4AA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lastRenderedPageBreak/>
        <w:t>Estado de avance presupuestal de egresos (GLOBAL) del uno de enero al treinta y uno de diciembre de 2024;</w:t>
      </w:r>
    </w:p>
    <w:p w14:paraId="1344272D" w14:textId="77777777" w:rsidR="00A31E3E" w:rsidRPr="00C50A21" w:rsidRDefault="006C4AA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Información sobre la matrícula de inicio y fin de cada ciclo escolar.</w:t>
      </w:r>
    </w:p>
    <w:p w14:paraId="389F9FD2" w14:textId="77777777" w:rsidR="00A31E3E" w:rsidRPr="00C50A21" w:rsidRDefault="00A31E3E">
      <w:pPr>
        <w:spacing w:line="360" w:lineRule="auto"/>
        <w:ind w:left="426"/>
        <w:jc w:val="both"/>
        <w:rPr>
          <w:rFonts w:ascii="Palatino Linotype" w:eastAsia="Palatino Linotype" w:hAnsi="Palatino Linotype" w:cs="Palatino Linotype"/>
          <w:sz w:val="22"/>
          <w:szCs w:val="22"/>
        </w:rPr>
      </w:pPr>
    </w:p>
    <w:p w14:paraId="5EC31726"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9. Ampliación de plazo. El veintiocho de mayo de dos mil veinticinco</w:t>
      </w:r>
      <w:r w:rsidRPr="00C50A21">
        <w:rPr>
          <w:rFonts w:ascii="Palatino Linotype" w:eastAsia="Palatino Linotype" w:hAnsi="Palatino Linotype" w:cs="Palatino Linotype"/>
          <w:sz w:val="22"/>
          <w:szCs w:val="22"/>
        </w:rPr>
        <w:t>, este Instituto con fundamento en el artículo 133 Ley de Protección de Datos Personales en Posesión de Sujetos Obligados del Estado de México y Municipios, determinó mediante el acuerdo respectivo, ampliar por veinte días hábiles adicionales el plazo para emitir la presente resolución a fin de realizar un mejor estudio del asunto.</w:t>
      </w:r>
    </w:p>
    <w:p w14:paraId="7D5C012A"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 xml:space="preserve">10. Preclusión a la conciliación y Cierre de instrucción. </w:t>
      </w:r>
      <w:r w:rsidRPr="00C50A21">
        <w:rPr>
          <w:rFonts w:ascii="Palatino Linotype" w:eastAsia="Palatino Linotype" w:hAnsi="Palatino Linotype" w:cs="Palatino Linotype"/>
          <w:sz w:val="22"/>
          <w:szCs w:val="22"/>
        </w:rPr>
        <w:t xml:space="preserve">Al no existir voluntad del Sujeto Obligado para llevar a cabo la audiencia de conciliación, en el plazo previamente establecido para tal efecto, se tuvo por precluida esta etapa procesal el once de junio de dos mil veinticinco. De igual manera, una vez transcurrido el periodo otorgado a las partes para realizar sus manifestaciones y no habiendo documentos que integrar al expediente, con fecha </w:t>
      </w:r>
      <w:r w:rsidRPr="00C50A21">
        <w:rPr>
          <w:rFonts w:ascii="Palatino Linotype" w:eastAsia="Palatino Linotype" w:hAnsi="Palatino Linotype" w:cs="Palatino Linotype"/>
          <w:b/>
          <w:sz w:val="22"/>
          <w:szCs w:val="22"/>
        </w:rPr>
        <w:t>once de junio de dos mil veinticinco,</w:t>
      </w:r>
      <w:r w:rsidRPr="00C50A21">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14:paraId="4DA5ABD5"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de acuerdo con los siguientes:</w:t>
      </w:r>
    </w:p>
    <w:p w14:paraId="67BDE2B8"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7AAF8C99" w14:textId="77777777" w:rsidR="00A31E3E" w:rsidRPr="00C50A21" w:rsidRDefault="006C4AA6">
      <w:pPr>
        <w:jc w:val="center"/>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CONSIDERANDO</w:t>
      </w:r>
    </w:p>
    <w:p w14:paraId="3BB1CF08" w14:textId="77777777" w:rsidR="00A31E3E" w:rsidRPr="00C50A21" w:rsidRDefault="00A31E3E">
      <w:pPr>
        <w:rPr>
          <w:rFonts w:ascii="Palatino Linotype" w:eastAsia="Palatino Linotype" w:hAnsi="Palatino Linotype" w:cs="Palatino Linotype"/>
          <w:b/>
          <w:sz w:val="22"/>
          <w:szCs w:val="22"/>
        </w:rPr>
      </w:pPr>
    </w:p>
    <w:p w14:paraId="2F602CB7" w14:textId="77777777" w:rsidR="00A31E3E" w:rsidRPr="00C50A21" w:rsidRDefault="00A31E3E">
      <w:pPr>
        <w:jc w:val="center"/>
        <w:rPr>
          <w:rFonts w:ascii="Palatino Linotype" w:eastAsia="Palatino Linotype" w:hAnsi="Palatino Linotype" w:cs="Palatino Linotype"/>
          <w:b/>
          <w:sz w:val="22"/>
          <w:szCs w:val="22"/>
        </w:rPr>
      </w:pPr>
    </w:p>
    <w:p w14:paraId="17A034E9"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lastRenderedPageBreak/>
        <w:t>Primero. Competencia</w:t>
      </w:r>
      <w:r w:rsidRPr="00C50A2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781A8C9B"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2D911ED4" w14:textId="77777777" w:rsidR="00A31E3E" w:rsidRPr="00C50A21" w:rsidRDefault="006C4AA6">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 xml:space="preserve">Segundo. Oportunidad. </w:t>
      </w:r>
      <w:r w:rsidRPr="00C50A21">
        <w:rPr>
          <w:rFonts w:ascii="Palatino Linotype" w:eastAsia="Palatino Linotype" w:hAnsi="Palatino Linotype" w:cs="Palatino Linotype"/>
          <w:sz w:val="22"/>
          <w:szCs w:val="22"/>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3358830F" w14:textId="77777777" w:rsidR="00A31E3E" w:rsidRPr="00C50A21" w:rsidRDefault="00A31E3E">
      <w:pPr>
        <w:rPr>
          <w:rFonts w:ascii="Palatino Linotype" w:eastAsia="Palatino Linotype" w:hAnsi="Palatino Linotype" w:cs="Palatino Linotype"/>
          <w:sz w:val="22"/>
          <w:szCs w:val="22"/>
        </w:rPr>
      </w:pPr>
    </w:p>
    <w:p w14:paraId="65A89A55" w14:textId="77777777" w:rsidR="00A31E3E" w:rsidRPr="00C50A21" w:rsidRDefault="006C4AA6">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i/>
          <w:sz w:val="22"/>
          <w:szCs w:val="22"/>
        </w:rPr>
        <w:t>“</w:t>
      </w:r>
      <w:r w:rsidRPr="00C50A21">
        <w:rPr>
          <w:rFonts w:ascii="Palatino Linotype" w:eastAsia="Palatino Linotype" w:hAnsi="Palatino Linotype" w:cs="Palatino Linotype"/>
          <w:b/>
          <w:i/>
          <w:sz w:val="22"/>
          <w:szCs w:val="22"/>
        </w:rPr>
        <w:t xml:space="preserve">Artículo 128. </w:t>
      </w:r>
      <w:r w:rsidRPr="00C50A21">
        <w:rPr>
          <w:rFonts w:ascii="Palatino Linotype" w:eastAsia="Palatino Linotype" w:hAnsi="Palatino Linotype" w:cs="Palatino Linotype"/>
          <w:i/>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10359E73" w14:textId="77777777" w:rsidR="00A31E3E" w:rsidRPr="00C50A21" w:rsidRDefault="006C4AA6">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14:paraId="740C6702" w14:textId="77777777" w:rsidR="00A31E3E" w:rsidRPr="00C50A21" w:rsidRDefault="00A31E3E">
      <w:pPr>
        <w:rPr>
          <w:rFonts w:ascii="Palatino Linotype" w:eastAsia="Palatino Linotype" w:hAnsi="Palatino Linotype" w:cs="Palatino Linotype"/>
          <w:sz w:val="22"/>
          <w:szCs w:val="22"/>
        </w:rPr>
      </w:pPr>
    </w:p>
    <w:p w14:paraId="1AD8B1A3" w14:textId="77777777" w:rsidR="00A31E3E" w:rsidRPr="00C50A21" w:rsidRDefault="006C4AA6">
      <w:pPr>
        <w:widowControl w:val="0"/>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En esa tesitura, atendiendo a que el</w:t>
      </w:r>
      <w:r w:rsidRPr="00C50A21">
        <w:rPr>
          <w:rFonts w:ascii="Palatino Linotype" w:eastAsia="Palatino Linotype" w:hAnsi="Palatino Linotype" w:cs="Palatino Linotype"/>
          <w:b/>
          <w:sz w:val="22"/>
          <w:szCs w:val="22"/>
        </w:rPr>
        <w:t xml:space="preserve"> Sujeto Obligado</w:t>
      </w:r>
      <w:r w:rsidRPr="00C50A21">
        <w:rPr>
          <w:rFonts w:ascii="Palatino Linotype" w:eastAsia="Palatino Linotype" w:hAnsi="Palatino Linotype" w:cs="Palatino Linotype"/>
          <w:sz w:val="22"/>
          <w:szCs w:val="22"/>
        </w:rPr>
        <w:t xml:space="preserve"> notificó la respuesta a la solicitud de acceso a datos personales el día </w:t>
      </w:r>
      <w:r w:rsidRPr="00C50A21">
        <w:rPr>
          <w:rFonts w:ascii="Palatino Linotype" w:eastAsia="Palatino Linotype" w:hAnsi="Palatino Linotype" w:cs="Palatino Linotype"/>
          <w:b/>
          <w:sz w:val="22"/>
          <w:szCs w:val="22"/>
        </w:rPr>
        <w:t>diez de marzo de dos mil veinticinco</w:t>
      </w:r>
      <w:r w:rsidRPr="00C50A21">
        <w:rPr>
          <w:rFonts w:ascii="Palatino Linotype" w:eastAsia="Palatino Linotype" w:hAnsi="Palatino Linotype" w:cs="Palatino Linotype"/>
          <w:sz w:val="22"/>
          <w:szCs w:val="22"/>
        </w:rPr>
        <w:t xml:space="preserve">; así, el plazo de quince días hábiles que el artículo 128 de la Ley de Protección de Datos Personales en Posesión de Sujetos Obligados del Estado de México y Municipios, mientras que el recurso de revisión se interpuso el </w:t>
      </w:r>
      <w:r w:rsidRPr="00C50A21">
        <w:rPr>
          <w:rFonts w:ascii="Palatino Linotype" w:eastAsia="Palatino Linotype" w:hAnsi="Palatino Linotype" w:cs="Palatino Linotype"/>
          <w:b/>
          <w:sz w:val="22"/>
          <w:szCs w:val="22"/>
        </w:rPr>
        <w:t>catorce de marzo de dos mil veinticinco</w:t>
      </w:r>
      <w:r w:rsidRPr="00C50A21">
        <w:rPr>
          <w:rFonts w:ascii="Palatino Linotype" w:eastAsia="Palatino Linotype" w:hAnsi="Palatino Linotype" w:cs="Palatino Linotype"/>
          <w:sz w:val="22"/>
          <w:szCs w:val="22"/>
        </w:rPr>
        <w:t xml:space="preserve">, esto es al cuarto día de conocer la respuesta; por lo que se encuentra dentro de los márgenes temporales previstos en el artículo 128 de la Ley de Protección de Datos Personales en Posesión de Sujetos Obligados del Estado de México y Municipios y, por tanto, </w:t>
      </w:r>
      <w:r w:rsidRPr="00C50A21">
        <w:rPr>
          <w:rFonts w:ascii="Palatino Linotype" w:eastAsia="Palatino Linotype" w:hAnsi="Palatino Linotype" w:cs="Palatino Linotype"/>
          <w:b/>
          <w:sz w:val="22"/>
          <w:szCs w:val="22"/>
          <w:u w:val="single"/>
        </w:rPr>
        <w:t>su interposición se considera oportuna</w:t>
      </w:r>
      <w:r w:rsidRPr="00C50A21">
        <w:rPr>
          <w:rFonts w:ascii="Palatino Linotype" w:eastAsia="Palatino Linotype" w:hAnsi="Palatino Linotype" w:cs="Palatino Linotype"/>
          <w:sz w:val="22"/>
          <w:szCs w:val="22"/>
        </w:rPr>
        <w:t>.</w:t>
      </w:r>
    </w:p>
    <w:p w14:paraId="06238213" w14:textId="77777777" w:rsidR="00A31E3E" w:rsidRPr="00C50A21" w:rsidRDefault="00A31E3E">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B41CDCC" w14:textId="77777777" w:rsidR="00A31E3E" w:rsidRPr="00C50A21" w:rsidRDefault="006C4AA6">
      <w:pPr>
        <w:spacing w:before="280" w:after="28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Tercero. Materia de Revisión</w:t>
      </w:r>
      <w:r w:rsidRPr="00C50A21">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C50A21">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datos personales </w:t>
      </w:r>
      <w:r w:rsidRPr="00C50A21">
        <w:rPr>
          <w:rFonts w:ascii="Palatino Linotype" w:eastAsia="Palatino Linotype" w:hAnsi="Palatino Linotype" w:cs="Palatino Linotype"/>
          <w:sz w:val="22"/>
          <w:szCs w:val="22"/>
        </w:rPr>
        <w:t xml:space="preserve">del </w:t>
      </w:r>
      <w:r w:rsidRPr="00C50A21">
        <w:rPr>
          <w:rFonts w:ascii="Palatino Linotype" w:eastAsia="Palatino Linotype" w:hAnsi="Palatino Linotype" w:cs="Palatino Linotype"/>
          <w:b/>
          <w:sz w:val="22"/>
          <w:szCs w:val="22"/>
        </w:rPr>
        <w:t>RECURRENTE</w:t>
      </w:r>
      <w:r w:rsidRPr="00C50A21">
        <w:rPr>
          <w:rFonts w:ascii="Palatino Linotype" w:eastAsia="Palatino Linotype" w:hAnsi="Palatino Linotype" w:cs="Palatino Linotype"/>
          <w:sz w:val="22"/>
          <w:szCs w:val="22"/>
        </w:rPr>
        <w:t>, o en su defecto, en caso de ser procedente, ordenar la entrega de información.</w:t>
      </w:r>
    </w:p>
    <w:p w14:paraId="4680DC1B" w14:textId="77777777" w:rsidR="00A31E3E" w:rsidRPr="00C50A21" w:rsidRDefault="006C4AA6">
      <w:pPr>
        <w:spacing w:before="240" w:after="240"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 xml:space="preserve">Cuarto. Estudio de fondo del asunto. </w:t>
      </w:r>
    </w:p>
    <w:p w14:paraId="5888DF35" w14:textId="77777777" w:rsidR="00A31E3E" w:rsidRPr="00C50A21" w:rsidRDefault="006C4AA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De previo y especial pronunciamiento.</w:t>
      </w:r>
    </w:p>
    <w:p w14:paraId="15E7E792" w14:textId="77777777" w:rsidR="00A31E3E" w:rsidRPr="00C50A21" w:rsidRDefault="006C4AA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disponen que cualquier persona puede ejercer el derecho de acceso a la información pública y la protección a sus datos personales respectivamente.</w:t>
      </w:r>
    </w:p>
    <w:p w14:paraId="7CAB946B" w14:textId="77777777" w:rsidR="00A31E3E" w:rsidRPr="00C50A21" w:rsidRDefault="00A31E3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D69B88B" w14:textId="77777777" w:rsidR="00A31E3E" w:rsidRPr="00C50A21" w:rsidRDefault="006C4AA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lastRenderedPageBreak/>
        <w:t xml:space="preserve">De la interpretación de los preceptos legales en cito, se deduce que ambas legislaciones coinciden en que los particulares pueden interponer la solicitud y posteriormente recurso de revisión </w:t>
      </w:r>
      <w:r w:rsidRPr="00C50A21">
        <w:rPr>
          <w:rFonts w:ascii="Palatino Linotype" w:eastAsia="Palatino Linotype" w:hAnsi="Palatino Linotype" w:cs="Palatino Linotype"/>
          <w:b/>
          <w:sz w:val="22"/>
          <w:szCs w:val="22"/>
        </w:rPr>
        <w:t xml:space="preserve">por sí mismos o a través de un representante; </w:t>
      </w:r>
      <w:r w:rsidRPr="00C50A21">
        <w:rPr>
          <w:rFonts w:ascii="Palatino Linotype" w:eastAsia="Palatino Linotype" w:hAnsi="Palatino Linotype" w:cs="Palatino Linotype"/>
          <w:sz w:val="22"/>
          <w:szCs w:val="22"/>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14:paraId="3BD98716" w14:textId="77777777" w:rsidR="00A31E3E" w:rsidRPr="00C50A21" w:rsidRDefault="00A31E3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320219F" w14:textId="77777777" w:rsidR="00A31E3E" w:rsidRPr="00C50A21" w:rsidRDefault="006C4AA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14:paraId="22B6A74E" w14:textId="77777777" w:rsidR="00A31E3E" w:rsidRPr="00C50A21" w:rsidRDefault="00A31E3E">
      <w:pPr>
        <w:pBdr>
          <w:top w:val="nil"/>
          <w:left w:val="nil"/>
          <w:bottom w:val="nil"/>
          <w:right w:val="nil"/>
          <w:between w:val="nil"/>
        </w:pBdr>
        <w:ind w:left="720"/>
        <w:rPr>
          <w:rFonts w:ascii="Palatino Linotype" w:eastAsia="Palatino Linotype" w:hAnsi="Palatino Linotype" w:cs="Palatino Linotype"/>
          <w:sz w:val="22"/>
          <w:szCs w:val="22"/>
        </w:rPr>
      </w:pPr>
    </w:p>
    <w:p w14:paraId="543D2D4E" w14:textId="77777777" w:rsidR="00A31E3E" w:rsidRPr="00C50A21" w:rsidRDefault="00A31E3E">
      <w:pPr>
        <w:pBdr>
          <w:top w:val="nil"/>
          <w:left w:val="nil"/>
          <w:bottom w:val="nil"/>
          <w:right w:val="nil"/>
          <w:between w:val="nil"/>
        </w:pBdr>
        <w:ind w:left="720"/>
        <w:rPr>
          <w:rFonts w:ascii="Palatino Linotype" w:eastAsia="Palatino Linotype" w:hAnsi="Palatino Linotype" w:cs="Palatino Linotype"/>
          <w:sz w:val="22"/>
          <w:szCs w:val="22"/>
        </w:rPr>
      </w:pPr>
    </w:p>
    <w:p w14:paraId="49FFFE99" w14:textId="77777777" w:rsidR="00A31E3E" w:rsidRPr="00C50A21" w:rsidRDefault="006C4AA6">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Lo anterior encuentra sustento en el criterio </w:t>
      </w:r>
      <w:proofErr w:type="spellStart"/>
      <w:r w:rsidRPr="00C50A21">
        <w:rPr>
          <w:rFonts w:ascii="Palatino Linotype" w:eastAsia="Palatino Linotype" w:hAnsi="Palatino Linotype" w:cs="Palatino Linotype"/>
          <w:sz w:val="22"/>
          <w:szCs w:val="22"/>
        </w:rPr>
        <w:t>histótico</w:t>
      </w:r>
      <w:proofErr w:type="spellEnd"/>
      <w:r w:rsidRPr="00C50A21">
        <w:rPr>
          <w:rFonts w:ascii="Palatino Linotype" w:eastAsia="Palatino Linotype" w:hAnsi="Palatino Linotype" w:cs="Palatino Linotype"/>
          <w:sz w:val="22"/>
          <w:szCs w:val="22"/>
        </w:rPr>
        <w:t xml:space="preserve"> 0008/2009 emitido por el entonces Instituto Federal de Acceso a la Información y Protección de Datos (IFAI), del cual su contenido literal, es el siguiente: </w:t>
      </w:r>
    </w:p>
    <w:p w14:paraId="7CD717AF" w14:textId="77777777" w:rsidR="00A31E3E" w:rsidRPr="00C50A21" w:rsidRDefault="006C4AA6">
      <w:pPr>
        <w:spacing w:before="240" w:after="360"/>
        <w:ind w:left="567" w:right="567"/>
        <w:jc w:val="both"/>
        <w:rPr>
          <w:rFonts w:ascii="Palatino Linotype" w:eastAsia="Palatino Linotype" w:hAnsi="Palatino Linotype" w:cs="Palatino Linotype"/>
          <w:b/>
          <w:i/>
          <w:sz w:val="22"/>
          <w:szCs w:val="22"/>
        </w:rPr>
      </w:pPr>
      <w:r w:rsidRPr="00C50A21">
        <w:rPr>
          <w:rFonts w:ascii="Palatino Linotype" w:eastAsia="Palatino Linotype" w:hAnsi="Palatino Linotype" w:cs="Palatino Linotype"/>
          <w:b/>
          <w:i/>
          <w:sz w:val="22"/>
          <w:szCs w:val="22"/>
        </w:rPr>
        <w:t xml:space="preserve">“CRITERIO 008/2009. </w:t>
      </w:r>
      <w:r w:rsidRPr="00C50A21">
        <w:rPr>
          <w:rFonts w:ascii="Palatino Linotype" w:eastAsia="Palatino Linotype" w:hAnsi="Palatino Linotype" w:cs="Palatino Linotype"/>
          <w:b/>
          <w:i/>
          <w:sz w:val="22"/>
          <w:szCs w:val="22"/>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C50A21">
        <w:rPr>
          <w:rFonts w:ascii="Palatino Linotype" w:eastAsia="Palatino Linotype" w:hAnsi="Palatino Linotype" w:cs="Palatino Linotype"/>
          <w:i/>
          <w:sz w:val="22"/>
          <w:szCs w:val="22"/>
        </w:rPr>
        <w:t xml:space="preserve">.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w:t>
      </w:r>
      <w:r w:rsidRPr="00C50A21">
        <w:rPr>
          <w:rFonts w:ascii="Palatino Linotype" w:eastAsia="Palatino Linotype" w:hAnsi="Palatino Linotype" w:cs="Palatino Linotype"/>
          <w:i/>
          <w:sz w:val="22"/>
          <w:szCs w:val="22"/>
        </w:rPr>
        <w:lastRenderedPageBreak/>
        <w:t>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62B48830" w14:textId="77777777" w:rsidR="00A31E3E" w:rsidRPr="00C50A21" w:rsidRDefault="006C4AA6">
      <w:pPr>
        <w:spacing w:before="120" w:after="120"/>
        <w:ind w:left="567" w:right="567"/>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Expedientes:</w:t>
      </w:r>
    </w:p>
    <w:p w14:paraId="42D97DC4" w14:textId="77777777" w:rsidR="00A31E3E" w:rsidRPr="00C50A21" w:rsidRDefault="006C4AA6">
      <w:pPr>
        <w:spacing w:before="120" w:after="120"/>
        <w:ind w:left="567" w:right="567"/>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1620/07 Secretaría de la Función Pública - Alonso Lujambio Irazábal</w:t>
      </w:r>
    </w:p>
    <w:p w14:paraId="2CBAAA5C" w14:textId="77777777" w:rsidR="00A31E3E" w:rsidRPr="00C50A21" w:rsidRDefault="006C4AA6">
      <w:pPr>
        <w:spacing w:before="120" w:after="120"/>
        <w:ind w:left="567" w:right="567"/>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2350/07 Secretaría de la Función Pública - Alonso Lujambio Irazábal</w:t>
      </w:r>
    </w:p>
    <w:p w14:paraId="10266351" w14:textId="77777777" w:rsidR="00A31E3E" w:rsidRPr="00C50A21" w:rsidRDefault="006C4AA6">
      <w:pPr>
        <w:spacing w:before="120" w:after="120"/>
        <w:ind w:left="567" w:right="567"/>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1856/08 Pemex Refinación – Alonso Gómez-Robledo V.</w:t>
      </w:r>
    </w:p>
    <w:p w14:paraId="2BBCD060" w14:textId="77777777" w:rsidR="00A31E3E" w:rsidRPr="00C50A21" w:rsidRDefault="006C4AA6">
      <w:pPr>
        <w:spacing w:before="120" w:after="120"/>
        <w:ind w:left="567" w:right="567"/>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 xml:space="preserve">4585/08 Instituto Mexicano del Seguro Social – Jacqueline </w:t>
      </w:r>
      <w:proofErr w:type="spellStart"/>
      <w:r w:rsidRPr="00C50A21">
        <w:rPr>
          <w:rFonts w:ascii="Palatino Linotype" w:eastAsia="Palatino Linotype" w:hAnsi="Palatino Linotype" w:cs="Palatino Linotype"/>
          <w:i/>
          <w:sz w:val="22"/>
          <w:szCs w:val="22"/>
        </w:rPr>
        <w:t>Peschard</w:t>
      </w:r>
      <w:proofErr w:type="spellEnd"/>
      <w:r w:rsidRPr="00C50A21">
        <w:rPr>
          <w:rFonts w:ascii="Palatino Linotype" w:eastAsia="Palatino Linotype" w:hAnsi="Palatino Linotype" w:cs="Palatino Linotype"/>
          <w:i/>
          <w:sz w:val="22"/>
          <w:szCs w:val="22"/>
        </w:rPr>
        <w:t xml:space="preserve"> Mariscal</w:t>
      </w:r>
    </w:p>
    <w:p w14:paraId="0592C453" w14:textId="77777777" w:rsidR="00A31E3E" w:rsidRPr="00C50A21" w:rsidRDefault="006C4AA6">
      <w:pPr>
        <w:ind w:left="567" w:right="567"/>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2593/09 Instituto Mexicano del Seguro Social – Alonso Gómez-Robledo V.</w:t>
      </w:r>
    </w:p>
    <w:p w14:paraId="6A8268A2" w14:textId="77777777" w:rsidR="00A31E3E" w:rsidRPr="00C50A21" w:rsidRDefault="00A31E3E">
      <w:pPr>
        <w:ind w:left="567" w:right="567"/>
        <w:jc w:val="both"/>
        <w:rPr>
          <w:rFonts w:ascii="Palatino Linotype" w:eastAsia="Palatino Linotype" w:hAnsi="Palatino Linotype" w:cs="Palatino Linotype"/>
          <w:i/>
          <w:sz w:val="22"/>
          <w:szCs w:val="22"/>
        </w:rPr>
      </w:pPr>
    </w:p>
    <w:p w14:paraId="27F50FCE" w14:textId="77777777" w:rsidR="00A31E3E" w:rsidRPr="00C50A21" w:rsidRDefault="006C4AA6">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14:paraId="7F6C1C76" w14:textId="77777777" w:rsidR="00A31E3E" w:rsidRPr="00C50A21" w:rsidRDefault="006C4AA6">
      <w:pPr>
        <w:pBdr>
          <w:top w:val="nil"/>
          <w:left w:val="nil"/>
          <w:bottom w:val="nil"/>
          <w:right w:val="nil"/>
          <w:between w:val="nil"/>
        </w:pBdr>
        <w:spacing w:after="240" w:line="360" w:lineRule="auto"/>
        <w:ind w:right="49"/>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De los Derechos ARCO.</w:t>
      </w:r>
    </w:p>
    <w:p w14:paraId="718CD7C5"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Ahora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w:t>
      </w:r>
      <w:r w:rsidRPr="00C50A21">
        <w:rPr>
          <w:rFonts w:ascii="Palatino Linotype" w:eastAsia="Palatino Linotype" w:hAnsi="Palatino Linotype" w:cs="Palatino Linotype"/>
          <w:sz w:val="22"/>
          <w:szCs w:val="22"/>
        </w:rPr>
        <w:lastRenderedPageBreak/>
        <w:t>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433E98FA"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537F84C3"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5E1513CA"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69A51C40"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C50A21">
        <w:rPr>
          <w:rFonts w:ascii="Palatino Linotype" w:eastAsia="Palatino Linotype" w:hAnsi="Palatino Linotype" w:cs="Palatino Linotype"/>
          <w:b/>
          <w:sz w:val="22"/>
          <w:szCs w:val="22"/>
        </w:rPr>
        <w:t>Sujeto Obligado</w:t>
      </w:r>
      <w:r w:rsidRPr="00C50A21">
        <w:rPr>
          <w:rFonts w:ascii="Palatino Linotype" w:eastAsia="Palatino Linotype" w:hAnsi="Palatino Linotype" w:cs="Palatino Linotype"/>
          <w:sz w:val="22"/>
          <w:szCs w:val="22"/>
        </w:rPr>
        <w:t xml:space="preserve"> que esté en posesión de los mismos.</w:t>
      </w:r>
    </w:p>
    <w:p w14:paraId="7E39A45B"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0463207D"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Es importante señalar que, la procedencia de los derechos de acceso, rectificación, cancelación y oposición de datos personales, ARCO, es efectiva una vez que el titular o su representante legal acrediten su identidad o representación, respectivamente.</w:t>
      </w:r>
    </w:p>
    <w:p w14:paraId="69E1FE66" w14:textId="77777777" w:rsidR="00A31E3E" w:rsidRPr="00C50A21" w:rsidRDefault="006C4AA6">
      <w:pPr>
        <w:spacing w:before="240" w:after="240"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Del Acceso a Datos Personales.</w:t>
      </w:r>
    </w:p>
    <w:p w14:paraId="1DE98897"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lastRenderedPageBreak/>
        <w:t xml:space="preserve">En el presente asunto en particular, el Recurrente solicitó acceso a los siguientes datos personales,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w:t>
      </w:r>
    </w:p>
    <w:p w14:paraId="2329D429" w14:textId="77777777" w:rsidR="00A31E3E" w:rsidRPr="00C50A21" w:rsidRDefault="006C4AA6">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Monto anual individualizado asignado a la plaza del servidor público referido en la solicitud, en el ejercicio 2024,</w:t>
      </w:r>
    </w:p>
    <w:p w14:paraId="16BCF16E" w14:textId="77777777" w:rsidR="00A31E3E" w:rsidRPr="00C50A21" w:rsidRDefault="006C4AA6">
      <w:pPr>
        <w:numPr>
          <w:ilvl w:val="0"/>
          <w:numId w:val="6"/>
        </w:num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Monto anual individualizado ejercido a la plaza del servidor público referido en la solicitud, en el ejercicio 2024,</w:t>
      </w:r>
    </w:p>
    <w:p w14:paraId="6986B5D7"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Adjunto a la solicitud, la persona solicitante adjuntó el Anexo “B” del Anexo de Ejecución / Apoyo Financiero 2024 SEMS-EL COBAEM-MÉXICO 0236/24, relativo al Analítico de servicios personales 2024, plazas, horas y sueldos autorizados, a que se hace referencia en la solicitud.</w:t>
      </w:r>
    </w:p>
    <w:p w14:paraId="6FFAF1BD"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Dicho lo anterior, es necesario referir que la solicitud del Recurrente va encaminada a conocer información respecto a sus percepciones. En ese sentido, el Sujeto Obligado turnó la solicitud a la Jefa del Departamento de Recursos Humanos, como se muestra en el apartado de requerimientos del Sistema de Acceso a la Información Mexiquense:</w:t>
      </w:r>
    </w:p>
    <w:p w14:paraId="0918CA70"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noProof/>
          <w:sz w:val="22"/>
          <w:szCs w:val="22"/>
          <w:lang w:val="es-MX"/>
        </w:rPr>
        <w:drawing>
          <wp:inline distT="0" distB="0" distL="0" distR="0" wp14:anchorId="2D918AD5" wp14:editId="4387C5CD">
            <wp:extent cx="5791835" cy="771525"/>
            <wp:effectExtent l="0" t="0" r="0" b="0"/>
            <wp:docPr id="19092458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91835" cy="771525"/>
                    </a:xfrm>
                    <a:prstGeom prst="rect">
                      <a:avLst/>
                    </a:prstGeom>
                    <a:ln/>
                  </pic:spPr>
                </pic:pic>
              </a:graphicData>
            </a:graphic>
          </wp:inline>
        </w:drawing>
      </w:r>
    </w:p>
    <w:p w14:paraId="171AD806"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El Departamento de Recursos Humanos depende de la Dirección de Administración y Finanzas, como se aprecia en el Manual General de Organización del Sujeto Obligado: </w:t>
      </w:r>
    </w:p>
    <w:p w14:paraId="7BDE0D88"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noProof/>
          <w:sz w:val="22"/>
          <w:szCs w:val="22"/>
          <w:lang w:val="es-MX"/>
        </w:rPr>
        <w:lastRenderedPageBreak/>
        <w:drawing>
          <wp:inline distT="0" distB="0" distL="0" distR="0" wp14:anchorId="4ABC1AB2" wp14:editId="2D58F49C">
            <wp:extent cx="4077269" cy="771633"/>
            <wp:effectExtent l="0" t="0" r="0" b="0"/>
            <wp:docPr id="19092458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077269" cy="771633"/>
                    </a:xfrm>
                    <a:prstGeom prst="rect">
                      <a:avLst/>
                    </a:prstGeom>
                    <a:ln/>
                  </pic:spPr>
                </pic:pic>
              </a:graphicData>
            </a:graphic>
          </wp:inline>
        </w:drawing>
      </w:r>
      <w:r w:rsidRPr="00C50A21">
        <w:rPr>
          <w:noProof/>
          <w:lang w:val="es-MX"/>
        </w:rPr>
        <mc:AlternateContent>
          <mc:Choice Requires="wps">
            <w:drawing>
              <wp:anchor distT="0" distB="0" distL="114300" distR="114300" simplePos="0" relativeHeight="251658240" behindDoc="0" locked="0" layoutInCell="1" hidden="0" allowOverlap="1" wp14:anchorId="48ACC543" wp14:editId="271864D9">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9525" cy="25400"/>
                <wp:effectExtent b="0" l="0" r="0" t="0"/>
                <wp:wrapNone/>
                <wp:docPr id="1909245877"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p>
    <w:p w14:paraId="10BA12D2"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El Departamento de Recursos Humanos</w:t>
      </w:r>
      <w:r w:rsidRPr="00C50A21">
        <w:rPr>
          <w:rFonts w:ascii="Palatino Linotype" w:eastAsia="Palatino Linotype" w:hAnsi="Palatino Linotype" w:cs="Palatino Linotype"/>
          <w:sz w:val="22"/>
          <w:szCs w:val="22"/>
        </w:rPr>
        <w:t xml:space="preserve"> 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14:paraId="4D70B1DE" w14:textId="77777777" w:rsidR="00A31E3E" w:rsidRPr="00C50A21" w:rsidRDefault="006C4AA6">
      <w:pPr>
        <w:spacing w:before="240" w:after="240"/>
        <w:ind w:left="567"/>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w:t>
      </w:r>
    </w:p>
    <w:p w14:paraId="77647899" w14:textId="77777777" w:rsidR="00A31E3E" w:rsidRPr="00C50A21" w:rsidRDefault="006C4AA6">
      <w:pPr>
        <w:spacing w:before="240" w:after="240"/>
        <w:ind w:left="567" w:right="899"/>
        <w:jc w:val="both"/>
        <w:rPr>
          <w:rFonts w:ascii="Palatino Linotype" w:eastAsia="Palatino Linotype" w:hAnsi="Palatino Linotype" w:cs="Palatino Linotype"/>
          <w:i/>
          <w:sz w:val="22"/>
          <w:szCs w:val="22"/>
        </w:rPr>
      </w:pPr>
      <w:r w:rsidRPr="00C50A21">
        <w:rPr>
          <w:rFonts w:ascii="Symbol" w:eastAsia="Symbol" w:hAnsi="Symbol" w:cs="Symbol"/>
          <w:i/>
          <w:sz w:val="22"/>
          <w:szCs w:val="22"/>
        </w:rPr>
        <w:t>−</w:t>
      </w:r>
      <w:r w:rsidRPr="00C50A21">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w:t>
      </w:r>
      <w:r w:rsidRPr="00C50A21">
        <w:rPr>
          <w:rFonts w:ascii="Palatino Linotype" w:eastAsia="Palatino Linotype" w:hAnsi="Palatino Linotype" w:cs="Palatino Linotype"/>
          <w:b/>
          <w:i/>
          <w:sz w:val="22"/>
          <w:szCs w:val="22"/>
        </w:rPr>
        <w:t>y verificar que la asignación de puestos y de sueldos se ajusten a las plazas y a los tabuladores autorizados para el Estado, de acuerdo con la normatividad vigente en la materia.</w:t>
      </w:r>
    </w:p>
    <w:p w14:paraId="64737573" w14:textId="77777777" w:rsidR="00A31E3E" w:rsidRPr="00C50A21" w:rsidRDefault="006C4AA6">
      <w:pPr>
        <w:spacing w:before="240" w:after="240"/>
        <w:ind w:left="567" w:right="899"/>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w:t>
      </w:r>
    </w:p>
    <w:p w14:paraId="3C6D9DF6" w14:textId="77777777" w:rsidR="00A31E3E" w:rsidRPr="00C50A21" w:rsidRDefault="006C4AA6">
      <w:pPr>
        <w:spacing w:before="240" w:after="240"/>
        <w:ind w:left="567" w:right="899"/>
        <w:jc w:val="both"/>
        <w:rPr>
          <w:rFonts w:ascii="Palatino Linotype" w:eastAsia="Palatino Linotype" w:hAnsi="Palatino Linotype" w:cs="Palatino Linotype"/>
          <w:i/>
          <w:sz w:val="22"/>
          <w:szCs w:val="22"/>
        </w:rPr>
      </w:pPr>
      <w:r w:rsidRPr="00C50A21">
        <w:rPr>
          <w:rFonts w:ascii="Palatino Linotype" w:eastAsia="Palatino Linotype" w:hAnsi="Palatino Linotype" w:cs="Palatino Linotype"/>
          <w:i/>
          <w:sz w:val="22"/>
          <w:szCs w:val="22"/>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5451B065"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Entonces, al ser el área encargada de elaborar las nóminas y pagar oportunamente las remuneraciones del personal, aplicar descuentos y derechos a los servidores públicos y verificar que la asignación de puestos y de sueldos se ajusten a las plazas y a los tabuladores autorizados para el Estado, se determina que es el Servidor Público Competente para generar la información de interés para el particular.</w:t>
      </w:r>
    </w:p>
    <w:p w14:paraId="5CE8FE36" w14:textId="77777777" w:rsidR="00A31E3E" w:rsidRPr="00C50A21" w:rsidRDefault="006C4AA6">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Entonces, al haber turnado la solicitud al Departamento de Recursos Humanos se advierte que el Sujeto Obligado cumpliendo con lo que disponen los artículos 151, 160, 162, 164, 165 y 166, de la Ley de Transparencia y Acceso a la Información Pública del Estado de México y Municipios de aplicación supletoria:</w:t>
      </w:r>
    </w:p>
    <w:p w14:paraId="716D508E" w14:textId="77777777" w:rsidR="00A31E3E" w:rsidRPr="00C50A21" w:rsidRDefault="00A31E3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9B849DB" w14:textId="77777777" w:rsidR="00A31E3E" w:rsidRPr="00C50A21" w:rsidRDefault="006C4AA6">
      <w:pPr>
        <w:spacing w:line="360" w:lineRule="auto"/>
        <w:ind w:left="284" w:right="191"/>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DF60A2E" w14:textId="77777777" w:rsidR="00A31E3E" w:rsidRPr="00C50A21" w:rsidRDefault="006C4AA6">
      <w:pPr>
        <w:spacing w:line="360" w:lineRule="auto"/>
        <w:ind w:left="284" w:right="191"/>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2F18CAE" w14:textId="77777777" w:rsidR="00A31E3E" w:rsidRPr="00C50A21" w:rsidRDefault="006C4AA6">
      <w:pPr>
        <w:spacing w:line="360" w:lineRule="auto"/>
        <w:ind w:left="284" w:right="191"/>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7AEE6B8" w14:textId="77777777" w:rsidR="00A31E3E" w:rsidRPr="00C50A21" w:rsidRDefault="006C4AA6">
      <w:pPr>
        <w:spacing w:line="360" w:lineRule="auto"/>
        <w:ind w:left="284" w:right="191"/>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BD6162F" w14:textId="77777777" w:rsidR="00A31E3E" w:rsidRPr="00C50A21" w:rsidRDefault="00A31E3E">
      <w:pPr>
        <w:spacing w:line="360" w:lineRule="auto"/>
        <w:ind w:left="284" w:right="191"/>
        <w:jc w:val="both"/>
        <w:rPr>
          <w:rFonts w:ascii="Palatino Linotype" w:eastAsia="Palatino Linotype" w:hAnsi="Palatino Linotype" w:cs="Palatino Linotype"/>
          <w:sz w:val="22"/>
          <w:szCs w:val="22"/>
        </w:rPr>
      </w:pPr>
    </w:p>
    <w:p w14:paraId="1F1DCDC9" w14:textId="77777777" w:rsidR="00A31E3E" w:rsidRPr="00C50A21" w:rsidRDefault="006C4AA6">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En este orden de ideas, se reitera que la Unidad de Transparencia siguió el procedimiento que establece el artículo 162 de la Ley de Transparencia Local de aplicación supletoria, ya que no turnó la solicitud de información a la Unidad Administrativa competente para generar la documentación requerida por el particular, como lo es el Departamento de Recursos Humanos.</w:t>
      </w:r>
    </w:p>
    <w:p w14:paraId="556C6126" w14:textId="77777777" w:rsidR="00A31E3E" w:rsidRPr="00C50A21" w:rsidRDefault="00A31E3E">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39D7D36F" w14:textId="77777777" w:rsidR="00A31E3E" w:rsidRPr="00C50A21" w:rsidRDefault="006C4AA6">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Ahora bien, cabe reiterar que en respuesta a la solicitud de acceso a datos personales, el </w:t>
      </w:r>
      <w:r w:rsidRPr="00C50A21">
        <w:rPr>
          <w:rFonts w:ascii="Palatino Linotype" w:eastAsia="Palatino Linotype" w:hAnsi="Palatino Linotype" w:cs="Palatino Linotype"/>
          <w:b/>
          <w:sz w:val="22"/>
          <w:szCs w:val="22"/>
        </w:rPr>
        <w:t xml:space="preserve">Sujeto Obligado, a través de la </w:t>
      </w:r>
      <w:r w:rsidRPr="00C50A21">
        <w:rPr>
          <w:rFonts w:ascii="Palatino Linotype" w:eastAsia="Palatino Linotype" w:hAnsi="Palatino Linotype" w:cs="Palatino Linotype"/>
          <w:sz w:val="22"/>
          <w:szCs w:val="22"/>
        </w:rPr>
        <w:t>Jefa del Departamento de Recursos Humanos informó, que con relación a la solicitud y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la solicitud; proporcionando en dos tablas de contenido, conceptos y montos de las percepciones y deducciones acumulados respecto del servidor público en el ejercicio 2024.</w:t>
      </w:r>
    </w:p>
    <w:p w14:paraId="27D720FE" w14:textId="77777777" w:rsidR="00A31E3E" w:rsidRPr="00C50A21" w:rsidRDefault="006C4AA6">
      <w:pPr>
        <w:spacing w:before="240" w:after="240" w:line="360" w:lineRule="auto"/>
        <w:ind w:right="49"/>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Una vez conocida la respuesta por la persona solicitante, esta presentó el recurso de revisión que se resuelve, donde se agravió en lo medular porque la respuesta no da contestación a lo requerido, ya que a su consideración el </w:t>
      </w:r>
      <w:r w:rsidRPr="00C50A21">
        <w:rPr>
          <w:rFonts w:ascii="Palatino Linotype" w:eastAsia="Palatino Linotype" w:hAnsi="Palatino Linotype" w:cs="Palatino Linotype"/>
          <w:b/>
          <w:sz w:val="22"/>
          <w:szCs w:val="22"/>
        </w:rPr>
        <w:t>Sujeto Obligado</w:t>
      </w:r>
      <w:r w:rsidRPr="00C50A21">
        <w:rPr>
          <w:rFonts w:ascii="Palatino Linotype" w:eastAsia="Palatino Linotype" w:hAnsi="Palatino Linotype" w:cs="Palatino Linotype"/>
          <w:sz w:val="22"/>
          <w:szCs w:val="22"/>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14:paraId="031977AF"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En atención a ello, mediante informe justificado el </w:t>
      </w:r>
      <w:r w:rsidRPr="00C50A21">
        <w:rPr>
          <w:rFonts w:ascii="Palatino Linotype" w:eastAsia="Palatino Linotype" w:hAnsi="Palatino Linotype" w:cs="Palatino Linotype"/>
          <w:b/>
          <w:sz w:val="22"/>
          <w:szCs w:val="22"/>
        </w:rPr>
        <w:t xml:space="preserve">Sujeto Obligado, </w:t>
      </w:r>
      <w:r w:rsidRPr="00C50A21">
        <w:rPr>
          <w:rFonts w:ascii="Palatino Linotype" w:eastAsia="Palatino Linotype" w:hAnsi="Palatino Linotype" w:cs="Palatino Linotype"/>
          <w:sz w:val="22"/>
          <w:szCs w:val="22"/>
        </w:rPr>
        <w:t>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deducciones acumulados recibidas por el servidor público señalado en la solicitud de información, respecto del ejercicio 2024.</w:t>
      </w:r>
    </w:p>
    <w:p w14:paraId="03112C06"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Establecido lo anterior, es necesario analizar el documento remitido por el solicitante desde el escrito inicial, para lo que se puede ver que el objeto de este es una aportación por la Secretaría </w:t>
      </w:r>
      <w:r w:rsidRPr="00C50A21">
        <w:rPr>
          <w:rFonts w:ascii="Palatino Linotype" w:eastAsia="Palatino Linotype" w:hAnsi="Palatino Linotype" w:cs="Palatino Linotype"/>
          <w:sz w:val="22"/>
          <w:szCs w:val="22"/>
        </w:rPr>
        <w:lastRenderedPageBreak/>
        <w:t>de Educación Pública y por el Gobierno del Estado de México, a efecto de subsidiar el pago del COBAEM encaminado a los gastos de operación de servicios personales, como se advierte en la cláusula segunda:</w:t>
      </w:r>
    </w:p>
    <w:p w14:paraId="44D2A58B" w14:textId="77777777" w:rsidR="00A31E3E" w:rsidRPr="00C50A21" w:rsidRDefault="006C4AA6">
      <w:pPr>
        <w:spacing w:before="240" w:after="240" w:line="360" w:lineRule="auto"/>
        <w:jc w:val="center"/>
        <w:rPr>
          <w:rFonts w:ascii="Palatino Linotype" w:eastAsia="Palatino Linotype" w:hAnsi="Palatino Linotype" w:cs="Palatino Linotype"/>
          <w:sz w:val="22"/>
          <w:szCs w:val="22"/>
        </w:rPr>
      </w:pPr>
      <w:r w:rsidRPr="00C50A21">
        <w:rPr>
          <w:noProof/>
          <w:lang w:val="es-MX"/>
        </w:rPr>
        <w:drawing>
          <wp:inline distT="0" distB="0" distL="0" distR="0" wp14:anchorId="6DE19393" wp14:editId="01E757D5">
            <wp:extent cx="4918988" cy="1412013"/>
            <wp:effectExtent l="0" t="0" r="0" b="0"/>
            <wp:docPr id="19092458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4850" t="23616" r="5643" b="56063"/>
                    <a:stretch>
                      <a:fillRect/>
                    </a:stretch>
                  </pic:blipFill>
                  <pic:spPr>
                    <a:xfrm>
                      <a:off x="0" y="0"/>
                      <a:ext cx="4918988" cy="1412013"/>
                    </a:xfrm>
                    <a:prstGeom prst="rect">
                      <a:avLst/>
                    </a:prstGeom>
                    <a:ln/>
                  </pic:spPr>
                </pic:pic>
              </a:graphicData>
            </a:graphic>
          </wp:inline>
        </w:drawing>
      </w:r>
    </w:p>
    <w:p w14:paraId="60259B48"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14:paraId="1DC310E5"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Como se visualiza del convenio referido, este resulta ser multilateral en donde se identifican tres partes, la SEP, el Gobierno del Estado de México, asistido por dos Secretarías y el COBAEM, en calidad de beneficiario de los recursos. </w:t>
      </w:r>
    </w:p>
    <w:p w14:paraId="5F6BDEB5"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Las obligaciones del COBAEM, se reproducen a la literalidad.</w:t>
      </w:r>
    </w:p>
    <w:p w14:paraId="484BA477" w14:textId="77777777" w:rsidR="00A31E3E" w:rsidRPr="00C50A21" w:rsidRDefault="00A31E3E">
      <w:pPr>
        <w:spacing w:before="240" w:after="240" w:line="360" w:lineRule="auto"/>
        <w:jc w:val="both"/>
        <w:rPr>
          <w:rFonts w:ascii="Palatino Linotype" w:eastAsia="Palatino Linotype" w:hAnsi="Palatino Linotype" w:cs="Palatino Linotype"/>
          <w:sz w:val="22"/>
          <w:szCs w:val="22"/>
        </w:rPr>
      </w:pPr>
    </w:p>
    <w:p w14:paraId="18F1337D"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noProof/>
          <w:lang w:val="es-MX"/>
        </w:rPr>
        <w:lastRenderedPageBreak/>
        <w:drawing>
          <wp:inline distT="0" distB="0" distL="0" distR="0" wp14:anchorId="2321295F" wp14:editId="4A3CF4AF">
            <wp:extent cx="5760720" cy="7591425"/>
            <wp:effectExtent l="0" t="0" r="0" b="0"/>
            <wp:docPr id="19092458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60720" cy="7591425"/>
                    </a:xfrm>
                    <a:prstGeom prst="rect">
                      <a:avLst/>
                    </a:prstGeom>
                    <a:ln/>
                  </pic:spPr>
                </pic:pic>
              </a:graphicData>
            </a:graphic>
          </wp:inline>
        </w:drawing>
      </w:r>
    </w:p>
    <w:p w14:paraId="7850F61C"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lastRenderedPageBreak/>
        <w:t xml:space="preserve"> </w:t>
      </w:r>
      <w:r w:rsidRPr="00C50A21">
        <w:rPr>
          <w:b/>
          <w:noProof/>
          <w:lang w:val="es-MX"/>
        </w:rPr>
        <w:drawing>
          <wp:inline distT="0" distB="0" distL="0" distR="0" wp14:anchorId="1F83BFE2" wp14:editId="1C650091">
            <wp:extent cx="5760720" cy="4732655"/>
            <wp:effectExtent l="0" t="0" r="0" b="0"/>
            <wp:docPr id="19092458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60720" cy="4732655"/>
                    </a:xfrm>
                    <a:prstGeom prst="rect">
                      <a:avLst/>
                    </a:prstGeom>
                    <a:ln/>
                  </pic:spPr>
                </pic:pic>
              </a:graphicData>
            </a:graphic>
          </wp:inline>
        </w:drawing>
      </w:r>
    </w:p>
    <w:p w14:paraId="54FE76BF"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C50A21">
        <w:rPr>
          <w:rFonts w:ascii="Palatino Linotype" w:eastAsia="Palatino Linotype" w:hAnsi="Palatino Linotype" w:cs="Palatino Linotype"/>
          <w:b/>
          <w:sz w:val="22"/>
          <w:szCs w:val="22"/>
          <w:u w:val="single"/>
        </w:rPr>
        <w:t xml:space="preserve">. Sin embargo, este convenio no especifica que el COBAEM deba proporcionar un desglose detallado de la nómina de cada servidor público que recibe recursos. </w:t>
      </w:r>
      <w:r w:rsidRPr="00C50A21">
        <w:rPr>
          <w:rFonts w:ascii="Palatino Linotype" w:eastAsia="Palatino Linotype" w:hAnsi="Palatino Linotype" w:cs="Palatino Linotype"/>
          <w:sz w:val="22"/>
          <w:szCs w:val="22"/>
        </w:rPr>
        <w:t>Por lo tanto, la obligación se limita a informar sobre la aplicación general de los recursos, sin entrar en detalles individuales.</w:t>
      </w:r>
    </w:p>
    <w:p w14:paraId="411E70DA" w14:textId="77777777" w:rsidR="00A31E3E" w:rsidRPr="00C50A21" w:rsidRDefault="00A31E3E">
      <w:pPr>
        <w:spacing w:before="240" w:after="240" w:line="360" w:lineRule="auto"/>
        <w:jc w:val="both"/>
        <w:rPr>
          <w:rFonts w:ascii="Palatino Linotype" w:eastAsia="Palatino Linotype" w:hAnsi="Palatino Linotype" w:cs="Palatino Linotype"/>
          <w:sz w:val="22"/>
          <w:szCs w:val="22"/>
        </w:rPr>
      </w:pPr>
    </w:p>
    <w:p w14:paraId="47DC3183"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65645205"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14:paraId="54AB6514"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14:paraId="4E51933F" w14:textId="77777777" w:rsidR="00A31E3E" w:rsidRPr="00C50A21" w:rsidRDefault="006C4AA6">
      <w:pPr>
        <w:spacing w:before="240" w:after="240" w:line="360" w:lineRule="auto"/>
        <w:ind w:left="851" w:right="899"/>
        <w:jc w:val="both"/>
        <w:rPr>
          <w:rFonts w:ascii="Palatino Linotype" w:eastAsia="Palatino Linotype" w:hAnsi="Palatino Linotype" w:cs="Palatino Linotype"/>
          <w:sz w:val="22"/>
          <w:szCs w:val="22"/>
        </w:rPr>
      </w:pPr>
      <w:r w:rsidRPr="00C50A21">
        <w:rPr>
          <w:i/>
          <w:sz w:val="20"/>
          <w:szCs w:val="20"/>
        </w:rPr>
        <w:t>No existe obligación de elaborar documentos ad hoc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2A8AAFB4"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Es entonces, que el derecho solicitado por el Particular, no es atendible ni como un derecho de acceso a datos personales, pues no existe fuente obligacional de generar el documento solicitado y tampoco conforme al derecho de acceso a la información pública.</w:t>
      </w:r>
    </w:p>
    <w:p w14:paraId="258361BC" w14:textId="77777777" w:rsidR="00A31E3E" w:rsidRPr="00C50A21" w:rsidRDefault="006C4AA6">
      <w:pPr>
        <w:spacing w:before="240" w:after="240"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sz w:val="22"/>
          <w:szCs w:val="22"/>
        </w:rPr>
        <w:t>Por ello, se confirma la respuesta aportada por el Colegio de Bachilleres del Estado de México, que consiste en que no cuenta con más información de la que ya entregó en respuesta.</w:t>
      </w:r>
    </w:p>
    <w:p w14:paraId="3C493EDE" w14:textId="77777777" w:rsidR="00A31E3E" w:rsidRPr="00C50A21" w:rsidRDefault="00A31E3E">
      <w:pPr>
        <w:spacing w:before="240" w:after="240" w:line="360" w:lineRule="auto"/>
        <w:jc w:val="both"/>
        <w:rPr>
          <w:rFonts w:ascii="Palatino Linotype" w:eastAsia="Palatino Linotype" w:hAnsi="Palatino Linotype" w:cs="Palatino Linotype"/>
          <w:sz w:val="22"/>
          <w:szCs w:val="22"/>
        </w:rPr>
      </w:pPr>
    </w:p>
    <w:p w14:paraId="60FD8EC2" w14:textId="77777777" w:rsidR="00A31E3E" w:rsidRPr="00C50A21" w:rsidRDefault="006C4AA6">
      <w:pPr>
        <w:spacing w:line="360" w:lineRule="auto"/>
        <w:ind w:right="49"/>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sz w:val="22"/>
          <w:szCs w:val="22"/>
        </w:rPr>
        <w:lastRenderedPageBreak/>
        <w:t xml:space="preserve">Es así como, en mérito de lo expuesto en líneas anteriores, resultan infundadas las razones o motivos de inconformidad hechos valer por la parte </w:t>
      </w:r>
      <w:r w:rsidRPr="00C50A21">
        <w:rPr>
          <w:rFonts w:ascii="Palatino Linotype" w:eastAsia="Palatino Linotype" w:hAnsi="Palatino Linotype" w:cs="Palatino Linotype"/>
          <w:b/>
          <w:sz w:val="22"/>
          <w:szCs w:val="22"/>
        </w:rPr>
        <w:t>RECURRENTE</w:t>
      </w:r>
      <w:r w:rsidRPr="00C50A21">
        <w:rPr>
          <w:rFonts w:ascii="Palatino Linotype" w:eastAsia="Palatino Linotype" w:hAnsi="Palatino Linotype" w:cs="Palatino Linotype"/>
          <w:sz w:val="22"/>
          <w:szCs w:val="22"/>
        </w:rPr>
        <w:t xml:space="preserve"> dentro del recurso de revisión </w:t>
      </w:r>
      <w:r w:rsidRPr="00C50A21">
        <w:rPr>
          <w:rFonts w:ascii="Palatino Linotype" w:eastAsia="Palatino Linotype" w:hAnsi="Palatino Linotype" w:cs="Palatino Linotype"/>
          <w:b/>
          <w:sz w:val="22"/>
          <w:szCs w:val="22"/>
        </w:rPr>
        <w:t>02964/INFOEM/IP/RR/2025,</w:t>
      </w:r>
      <w:r w:rsidRPr="00C50A21">
        <w:rPr>
          <w:rFonts w:ascii="Palatino Linotype" w:eastAsia="Palatino Linotype" w:hAnsi="Palatino Linotype" w:cs="Palatino Linotype"/>
          <w:sz w:val="22"/>
          <w:szCs w:val="22"/>
        </w:rPr>
        <w:t xml:space="preserve"> por ello, y con fundamento en la fracción II del numeral 137 de la Ley de Protección de Datos Personales en Posesión de los Sujetos Obligados del Estado de México y Municipios, por lo que se </w:t>
      </w:r>
      <w:r w:rsidRPr="00C50A21">
        <w:rPr>
          <w:rFonts w:ascii="Palatino Linotype" w:eastAsia="Palatino Linotype" w:hAnsi="Palatino Linotype" w:cs="Palatino Linotype"/>
          <w:b/>
          <w:sz w:val="22"/>
          <w:szCs w:val="22"/>
        </w:rPr>
        <w:t xml:space="preserve">CONFIRMA </w:t>
      </w:r>
      <w:r w:rsidRPr="00C50A21">
        <w:rPr>
          <w:rFonts w:ascii="Palatino Linotype" w:eastAsia="Palatino Linotype" w:hAnsi="Palatino Linotype" w:cs="Palatino Linotype"/>
          <w:sz w:val="22"/>
          <w:szCs w:val="22"/>
        </w:rPr>
        <w:t xml:space="preserve">la respuesta del </w:t>
      </w:r>
      <w:r w:rsidRPr="00C50A21">
        <w:rPr>
          <w:rFonts w:ascii="Palatino Linotype" w:eastAsia="Palatino Linotype" w:hAnsi="Palatino Linotype" w:cs="Palatino Linotype"/>
          <w:b/>
          <w:sz w:val="22"/>
          <w:szCs w:val="22"/>
        </w:rPr>
        <w:t xml:space="preserve">SUJETO OBLIGADO </w:t>
      </w:r>
      <w:r w:rsidRPr="00C50A21">
        <w:rPr>
          <w:rFonts w:ascii="Palatino Linotype" w:eastAsia="Palatino Linotype" w:hAnsi="Palatino Linotype" w:cs="Palatino Linotype"/>
          <w:sz w:val="22"/>
          <w:szCs w:val="22"/>
        </w:rPr>
        <w:t xml:space="preserve">a la solicitud de información </w:t>
      </w:r>
      <w:r w:rsidRPr="00C50A21">
        <w:rPr>
          <w:rFonts w:ascii="Palatino Linotype" w:eastAsia="Palatino Linotype" w:hAnsi="Palatino Linotype" w:cs="Palatino Linotype"/>
          <w:b/>
          <w:sz w:val="22"/>
          <w:szCs w:val="22"/>
        </w:rPr>
        <w:t>00032/COBAEM/IP/2025.</w:t>
      </w:r>
    </w:p>
    <w:p w14:paraId="7A5A8695" w14:textId="77777777" w:rsidR="00A31E3E" w:rsidRPr="00C50A21" w:rsidRDefault="006C4AA6">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C50A21">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7DEA07B9" w14:textId="77777777" w:rsidR="00A31E3E" w:rsidRPr="00C50A21" w:rsidRDefault="006C4AA6">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C50A21">
        <w:rPr>
          <w:rFonts w:ascii="Palatino Linotype" w:eastAsia="Palatino Linotype" w:hAnsi="Palatino Linotype" w:cs="Palatino Linotype"/>
          <w:b/>
          <w:sz w:val="22"/>
          <w:szCs w:val="22"/>
        </w:rPr>
        <w:t>III. R E S U E L V E</w:t>
      </w:r>
    </w:p>
    <w:p w14:paraId="16373F51"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 xml:space="preserve">Primero. </w:t>
      </w:r>
      <w:r w:rsidRPr="00C50A21">
        <w:rPr>
          <w:rFonts w:ascii="Palatino Linotype" w:eastAsia="Palatino Linotype" w:hAnsi="Palatino Linotype" w:cs="Palatino Linotype"/>
          <w:sz w:val="22"/>
          <w:szCs w:val="22"/>
        </w:rPr>
        <w:t xml:space="preserve">Resultan </w:t>
      </w:r>
      <w:r w:rsidRPr="00C50A21">
        <w:rPr>
          <w:rFonts w:ascii="Palatino Linotype" w:eastAsia="Palatino Linotype" w:hAnsi="Palatino Linotype" w:cs="Palatino Linotype"/>
          <w:b/>
          <w:sz w:val="22"/>
          <w:szCs w:val="22"/>
        </w:rPr>
        <w:t>INFUNDADOS</w:t>
      </w:r>
      <w:r w:rsidRPr="00C50A21">
        <w:rPr>
          <w:rFonts w:ascii="Palatino Linotype" w:eastAsia="Palatino Linotype" w:hAnsi="Palatino Linotype" w:cs="Palatino Linotype"/>
          <w:sz w:val="22"/>
          <w:szCs w:val="22"/>
        </w:rPr>
        <w:t xml:space="preserve"> los motivos de inconformidad hechos valer por la parte </w:t>
      </w:r>
      <w:r w:rsidRPr="00C50A21">
        <w:rPr>
          <w:rFonts w:ascii="Palatino Linotype" w:eastAsia="Palatino Linotype" w:hAnsi="Palatino Linotype" w:cs="Palatino Linotype"/>
          <w:b/>
          <w:sz w:val="22"/>
          <w:szCs w:val="22"/>
        </w:rPr>
        <w:t>RECURRENTE</w:t>
      </w:r>
      <w:r w:rsidRPr="00C50A21">
        <w:rPr>
          <w:rFonts w:ascii="Palatino Linotype" w:eastAsia="Palatino Linotype" w:hAnsi="Palatino Linotype" w:cs="Palatino Linotype"/>
          <w:sz w:val="22"/>
          <w:szCs w:val="22"/>
        </w:rPr>
        <w:t xml:space="preserve"> en el Recurso de Revisión </w:t>
      </w:r>
      <w:r w:rsidRPr="00C50A21">
        <w:rPr>
          <w:rFonts w:ascii="Palatino Linotype" w:eastAsia="Palatino Linotype" w:hAnsi="Palatino Linotype" w:cs="Palatino Linotype"/>
          <w:b/>
          <w:sz w:val="22"/>
          <w:szCs w:val="22"/>
        </w:rPr>
        <w:t xml:space="preserve">02964/INFOEM/IP/RR/2025, </w:t>
      </w:r>
      <w:r w:rsidRPr="00C50A21">
        <w:rPr>
          <w:rFonts w:ascii="Palatino Linotype" w:eastAsia="Palatino Linotype" w:hAnsi="Palatino Linotype" w:cs="Palatino Linotype"/>
          <w:sz w:val="22"/>
          <w:szCs w:val="22"/>
        </w:rPr>
        <w:t>por lo que, en términos del</w:t>
      </w:r>
      <w:r w:rsidRPr="00C50A21">
        <w:rPr>
          <w:rFonts w:ascii="Palatino Linotype" w:eastAsia="Palatino Linotype" w:hAnsi="Palatino Linotype" w:cs="Palatino Linotype"/>
          <w:b/>
          <w:sz w:val="22"/>
          <w:szCs w:val="22"/>
        </w:rPr>
        <w:t xml:space="preserve"> Considerando Cuarto </w:t>
      </w:r>
      <w:r w:rsidRPr="00C50A21">
        <w:rPr>
          <w:rFonts w:ascii="Palatino Linotype" w:eastAsia="Palatino Linotype" w:hAnsi="Palatino Linotype" w:cs="Palatino Linotype"/>
          <w:sz w:val="22"/>
          <w:szCs w:val="22"/>
        </w:rPr>
        <w:t xml:space="preserve">de esta resolución, se </w:t>
      </w:r>
      <w:r w:rsidRPr="00C50A21">
        <w:rPr>
          <w:rFonts w:ascii="Palatino Linotype" w:eastAsia="Palatino Linotype" w:hAnsi="Palatino Linotype" w:cs="Palatino Linotype"/>
          <w:b/>
          <w:sz w:val="22"/>
          <w:szCs w:val="22"/>
        </w:rPr>
        <w:t xml:space="preserve">CONFIRMA </w:t>
      </w:r>
      <w:r w:rsidRPr="00C50A21">
        <w:rPr>
          <w:rFonts w:ascii="Palatino Linotype" w:eastAsia="Palatino Linotype" w:hAnsi="Palatino Linotype" w:cs="Palatino Linotype"/>
          <w:sz w:val="22"/>
          <w:szCs w:val="22"/>
        </w:rPr>
        <w:t xml:space="preserve">la respuesta emitida por el </w:t>
      </w:r>
      <w:r w:rsidRPr="00C50A21">
        <w:rPr>
          <w:rFonts w:ascii="Palatino Linotype" w:eastAsia="Palatino Linotype" w:hAnsi="Palatino Linotype" w:cs="Palatino Linotype"/>
          <w:b/>
          <w:sz w:val="22"/>
          <w:szCs w:val="22"/>
        </w:rPr>
        <w:t>SUJETO OBLIGADO</w:t>
      </w:r>
      <w:r w:rsidRPr="00C50A21">
        <w:rPr>
          <w:rFonts w:ascii="Palatino Linotype" w:eastAsia="Palatino Linotype" w:hAnsi="Palatino Linotype" w:cs="Palatino Linotype"/>
          <w:sz w:val="22"/>
          <w:szCs w:val="22"/>
        </w:rPr>
        <w:t>.</w:t>
      </w:r>
    </w:p>
    <w:p w14:paraId="6084CAAF"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6160879E"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Segundo. Notifíquese vía Sistema de Acceso a la Información Mexiquense (SAIMEX)</w:t>
      </w:r>
      <w:r w:rsidRPr="00C50A21">
        <w:rPr>
          <w:rFonts w:ascii="Palatino Linotype" w:eastAsia="Palatino Linotype" w:hAnsi="Palatino Linotype" w:cs="Palatino Linotype"/>
          <w:sz w:val="22"/>
          <w:szCs w:val="22"/>
        </w:rPr>
        <w:t>, al Titular de la Unidad de Transparencia del Sujeto Obligado, para su conocimiento.</w:t>
      </w:r>
    </w:p>
    <w:p w14:paraId="4F3FB5C1" w14:textId="77777777" w:rsidR="00A31E3E" w:rsidRPr="00C50A21" w:rsidRDefault="00A31E3E">
      <w:pPr>
        <w:spacing w:line="360" w:lineRule="auto"/>
        <w:jc w:val="both"/>
        <w:rPr>
          <w:rFonts w:ascii="Palatino Linotype" w:eastAsia="Palatino Linotype" w:hAnsi="Palatino Linotype" w:cs="Palatino Linotype"/>
          <w:sz w:val="22"/>
          <w:szCs w:val="22"/>
        </w:rPr>
      </w:pPr>
    </w:p>
    <w:p w14:paraId="5A2C8288" w14:textId="77777777" w:rsidR="00A31E3E" w:rsidRPr="00C50A21" w:rsidRDefault="006C4AA6">
      <w:pPr>
        <w:spacing w:line="360" w:lineRule="auto"/>
        <w:jc w:val="both"/>
        <w:rPr>
          <w:rFonts w:ascii="Palatino Linotype" w:eastAsia="Palatino Linotype" w:hAnsi="Palatino Linotype" w:cs="Palatino Linotype"/>
          <w:sz w:val="22"/>
          <w:szCs w:val="22"/>
        </w:rPr>
      </w:pPr>
      <w:r w:rsidRPr="00C50A21">
        <w:rPr>
          <w:rFonts w:ascii="Palatino Linotype" w:eastAsia="Palatino Linotype" w:hAnsi="Palatino Linotype" w:cs="Palatino Linotype"/>
          <w:b/>
          <w:sz w:val="22"/>
          <w:szCs w:val="22"/>
        </w:rPr>
        <w:t>Tercero. Notifíquese</w:t>
      </w:r>
      <w:r w:rsidRPr="00C50A21">
        <w:rPr>
          <w:rFonts w:ascii="Palatino Linotype" w:eastAsia="Palatino Linotype" w:hAnsi="Palatino Linotype" w:cs="Palatino Linotype"/>
          <w:sz w:val="22"/>
          <w:szCs w:val="22"/>
        </w:rPr>
        <w:t xml:space="preserve"> a </w:t>
      </w:r>
      <w:r w:rsidRPr="00C50A21">
        <w:rPr>
          <w:rFonts w:ascii="Palatino Linotype" w:eastAsia="Palatino Linotype" w:hAnsi="Palatino Linotype" w:cs="Palatino Linotype"/>
          <w:b/>
          <w:sz w:val="22"/>
          <w:szCs w:val="22"/>
        </w:rPr>
        <w:t>LA PARTE RECURRENTE</w:t>
      </w:r>
      <w:r w:rsidRPr="00C50A21">
        <w:rPr>
          <w:rFonts w:ascii="Palatino Linotype" w:eastAsia="Palatino Linotype" w:hAnsi="Palatino Linotype" w:cs="Palatino Linotype"/>
          <w:sz w:val="22"/>
          <w:szCs w:val="22"/>
        </w:rPr>
        <w:t xml:space="preserve"> la presente resolución vía SAIMEX que en caso de que considere que le causa algún perjuicio la presente, podrá promover el Juicio de Amparo en los términos de las leyes aplicables, de acuerdo a lo estipulado por el artículo 142, </w:t>
      </w:r>
      <w:r w:rsidRPr="00C50A21">
        <w:rPr>
          <w:rFonts w:ascii="Palatino Linotype" w:eastAsia="Palatino Linotype" w:hAnsi="Palatino Linotype" w:cs="Palatino Linotype"/>
          <w:sz w:val="22"/>
          <w:szCs w:val="22"/>
        </w:rPr>
        <w:lastRenderedPageBreak/>
        <w:t>de la Ley de Protección de Datos Personales en Posesión de Sujetos Obligados del Estado de México y Municipios.</w:t>
      </w:r>
    </w:p>
    <w:p w14:paraId="789877F1" w14:textId="77777777" w:rsidR="00A31E3E" w:rsidRPr="00C50A21" w:rsidRDefault="00A31E3E">
      <w:pPr>
        <w:spacing w:line="360" w:lineRule="auto"/>
        <w:jc w:val="both"/>
        <w:rPr>
          <w:rFonts w:ascii="Palatino Linotype" w:eastAsia="Palatino Linotype" w:hAnsi="Palatino Linotype" w:cs="Palatino Linotype"/>
          <w:b/>
          <w:sz w:val="22"/>
          <w:szCs w:val="22"/>
        </w:rPr>
      </w:pPr>
    </w:p>
    <w:p w14:paraId="0C3E3EE8" w14:textId="77777777" w:rsidR="00A31E3E" w:rsidRPr="00CC0C52" w:rsidRDefault="00CC0C52">
      <w:pPr>
        <w:spacing w:after="240" w:line="360" w:lineRule="auto"/>
        <w:ind w:right="49"/>
        <w:jc w:val="both"/>
        <w:rPr>
          <w:rFonts w:ascii="Palatino Linotype" w:eastAsia="Palatino Linotype" w:hAnsi="Palatino Linotype" w:cs="Palatino Linotype"/>
          <w:sz w:val="22"/>
          <w:szCs w:val="22"/>
        </w:rPr>
        <w:sectPr w:rsidR="00A31E3E" w:rsidRPr="00CC0C52">
          <w:headerReference w:type="default" r:id="rId17"/>
          <w:footerReference w:type="default" r:id="rId18"/>
          <w:headerReference w:type="first" r:id="rId19"/>
          <w:footerReference w:type="first" r:id="rId20"/>
          <w:pgSz w:w="12240" w:h="15840"/>
          <w:pgMar w:top="1418" w:right="1418" w:bottom="1418" w:left="1701" w:header="709" w:footer="709" w:gutter="0"/>
          <w:pgNumType w:start="1"/>
          <w:cols w:space="720"/>
          <w:titlePg/>
        </w:sectPr>
      </w:pPr>
      <w:r w:rsidRPr="00C50A21">
        <w:rPr>
          <w:rFonts w:ascii="Palatino Linotype" w:eastAsia="Palatino Linotype" w:hAnsi="Palatino Linotype" w:cs="Palatino Linotype"/>
          <w:sz w:val="22"/>
          <w:szCs w:val="22"/>
        </w:rPr>
        <w:t>ASÍ LO RESUELVE</w:t>
      </w:r>
      <w:r w:rsidR="006C4AA6" w:rsidRPr="00C50A21">
        <w:rPr>
          <w:rFonts w:ascii="Palatino Linotype" w:eastAsia="Palatino Linotype" w:hAnsi="Palatino Linotype" w:cs="Palatino Linotype"/>
          <w:sz w:val="22"/>
          <w:szCs w:val="22"/>
        </w:rPr>
        <w:t xml:space="preserve"> POR </w:t>
      </w:r>
      <w:r w:rsidRPr="00C50A21">
        <w:rPr>
          <w:rFonts w:ascii="Palatino Linotype" w:eastAsia="Palatino Linotype" w:hAnsi="Palatino Linotype" w:cs="Palatino Linotype"/>
          <w:sz w:val="22"/>
          <w:szCs w:val="22"/>
        </w:rPr>
        <w:t>MAYORÍA</w:t>
      </w:r>
      <w:r w:rsidR="006C4AA6" w:rsidRPr="00C50A21">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506E84" w:rsidRPr="00C50A21">
        <w:rPr>
          <w:rFonts w:ascii="Palatino Linotype" w:eastAsia="Palatino Linotype" w:hAnsi="Palatino Linotype" w:cs="Palatino Linotype"/>
          <w:sz w:val="22"/>
          <w:szCs w:val="22"/>
        </w:rPr>
        <w:t xml:space="preserve"> (EMITIENDO VOTO </w:t>
      </w:r>
      <w:r w:rsidRPr="00C50A21">
        <w:rPr>
          <w:rFonts w:ascii="Palatino Linotype" w:eastAsia="Palatino Linotype" w:hAnsi="Palatino Linotype" w:cs="Palatino Linotype"/>
          <w:sz w:val="22"/>
          <w:szCs w:val="22"/>
        </w:rPr>
        <w:t>DISIDENTE</w:t>
      </w:r>
      <w:r w:rsidR="00506E84" w:rsidRPr="00C50A21">
        <w:rPr>
          <w:rFonts w:ascii="Palatino Linotype" w:eastAsia="Palatino Linotype" w:hAnsi="Palatino Linotype" w:cs="Palatino Linotype"/>
          <w:sz w:val="22"/>
          <w:szCs w:val="22"/>
        </w:rPr>
        <w:t>)</w:t>
      </w:r>
      <w:r w:rsidR="006C4AA6" w:rsidRPr="00C50A21">
        <w:rPr>
          <w:rFonts w:ascii="Palatino Linotype" w:eastAsia="Palatino Linotype" w:hAnsi="Palatino Linotype" w:cs="Palatino Linotype"/>
          <w:sz w:val="22"/>
          <w:szCs w:val="22"/>
        </w:rPr>
        <w:t>; EN LA VIGÉSIMA PRIMERA SESIÓN ORDINARIA CELEBRADA EL CUATRO DE JUNIO DE DOS MIL VEINTICINCO, ANTE EL SECRETARIO TÉCNICO DEL PLENO ALEXIS TAPIA RAMÍREZ.</w:t>
      </w:r>
    </w:p>
    <w:p w14:paraId="4B00028D" w14:textId="77777777" w:rsidR="00A31E3E" w:rsidRPr="00CC0C52" w:rsidRDefault="00A31E3E">
      <w:pPr>
        <w:spacing w:line="360" w:lineRule="auto"/>
        <w:jc w:val="both"/>
        <w:rPr>
          <w:rFonts w:ascii="Palatino Linotype" w:eastAsia="Palatino Linotype" w:hAnsi="Palatino Linotype" w:cs="Palatino Linotype"/>
          <w:sz w:val="22"/>
          <w:szCs w:val="22"/>
        </w:rPr>
      </w:pPr>
      <w:bookmarkStart w:id="3" w:name="_heading=h.gjdgxs" w:colFirst="0" w:colLast="0"/>
      <w:bookmarkEnd w:id="3"/>
    </w:p>
    <w:p w14:paraId="5A6EC4DF" w14:textId="77777777" w:rsidR="00A31E3E" w:rsidRPr="00CC0C52" w:rsidRDefault="00A31E3E">
      <w:pPr>
        <w:spacing w:line="360" w:lineRule="auto"/>
        <w:ind w:right="-93"/>
        <w:jc w:val="both"/>
        <w:rPr>
          <w:rFonts w:ascii="Palatino Linotype" w:eastAsia="Palatino Linotype" w:hAnsi="Palatino Linotype" w:cs="Palatino Linotype"/>
          <w:sz w:val="22"/>
          <w:szCs w:val="22"/>
        </w:rPr>
      </w:pPr>
    </w:p>
    <w:p w14:paraId="66837D32" w14:textId="77777777" w:rsidR="00A31E3E" w:rsidRPr="00CC0C52" w:rsidRDefault="00A31E3E">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sz w:val="22"/>
          <w:szCs w:val="22"/>
        </w:rPr>
      </w:pPr>
    </w:p>
    <w:sectPr w:rsidR="00A31E3E" w:rsidRPr="00CC0C52">
      <w:head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0E30D" w14:textId="77777777" w:rsidR="006555D7" w:rsidRDefault="006555D7">
      <w:r>
        <w:separator/>
      </w:r>
    </w:p>
  </w:endnote>
  <w:endnote w:type="continuationSeparator" w:id="0">
    <w:p w14:paraId="3D7DFD3E" w14:textId="77777777" w:rsidR="006555D7" w:rsidRDefault="00655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DA7B" w14:textId="77777777" w:rsidR="00A31E3E" w:rsidRDefault="006C4AA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63522">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63522">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3904A1F0" w14:textId="77777777" w:rsidR="00A31E3E" w:rsidRDefault="00A31E3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2F5A" w14:textId="77777777" w:rsidR="00A31E3E" w:rsidRDefault="006C4AA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CC0C52">
      <w:rPr>
        <w:rFonts w:ascii="Palatino Linotype" w:eastAsia="Palatino Linotype" w:hAnsi="Palatino Linotype" w:cs="Palatino Linotype"/>
        <w:b/>
        <w:color w:val="000000"/>
        <w:sz w:val="20"/>
        <w:szCs w:val="20"/>
      </w:rPr>
      <w:t>27</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63522">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3CFB925F" w14:textId="77777777" w:rsidR="00A31E3E" w:rsidRDefault="00A31E3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38EBE" w14:textId="77777777" w:rsidR="006555D7" w:rsidRDefault="006555D7">
      <w:r>
        <w:separator/>
      </w:r>
    </w:p>
  </w:footnote>
  <w:footnote w:type="continuationSeparator" w:id="0">
    <w:p w14:paraId="58E7C2EF" w14:textId="77777777" w:rsidR="006555D7" w:rsidRDefault="00655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6D02" w14:textId="77777777" w:rsidR="00A31E3E" w:rsidRDefault="00DF2BD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w14:anchorId="3076F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69.3pt;margin-top:-128.2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PHOTO-2020-08-13-10-14-39"/>
          <w10:wrap anchorx="margin" anchory="margin"/>
        </v:shape>
      </w:pict>
    </w:r>
    <w:r w:rsidR="006C4AA6">
      <w:rPr>
        <w:rFonts w:ascii="Cambria" w:eastAsia="Cambria" w:hAnsi="Cambria" w:cs="Cambria"/>
        <w:color w:val="000000"/>
      </w:rPr>
      <w:t xml:space="preserve">              </w:t>
    </w:r>
  </w:p>
  <w:tbl>
    <w:tblPr>
      <w:tblStyle w:val="af1"/>
      <w:tblW w:w="6237" w:type="dxa"/>
      <w:tblInd w:w="2977" w:type="dxa"/>
      <w:tblLayout w:type="fixed"/>
      <w:tblLook w:val="0400" w:firstRow="0" w:lastRow="0" w:firstColumn="0" w:lastColumn="0" w:noHBand="0" w:noVBand="1"/>
    </w:tblPr>
    <w:tblGrid>
      <w:gridCol w:w="2552"/>
      <w:gridCol w:w="3685"/>
    </w:tblGrid>
    <w:tr w:rsidR="00A31E3E" w14:paraId="32F02100" w14:textId="77777777">
      <w:trPr>
        <w:trHeight w:val="266"/>
      </w:trPr>
      <w:tc>
        <w:tcPr>
          <w:tcW w:w="2552" w:type="dxa"/>
          <w:shd w:val="clear" w:color="auto" w:fill="auto"/>
          <w:vAlign w:val="center"/>
        </w:tcPr>
        <w:p w14:paraId="5A2BB885" w14:textId="77777777" w:rsidR="00A31E3E" w:rsidRDefault="006C4A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5A52BB81" w14:textId="77777777" w:rsidR="00A31E3E" w:rsidRDefault="006C4A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02964/INFOEM/IP/RR/2025</w:t>
          </w:r>
        </w:p>
      </w:tc>
    </w:tr>
    <w:tr w:rsidR="00A31E3E" w14:paraId="688C3909" w14:textId="77777777">
      <w:trPr>
        <w:trHeight w:val="228"/>
      </w:trPr>
      <w:tc>
        <w:tcPr>
          <w:tcW w:w="2552" w:type="dxa"/>
          <w:shd w:val="clear" w:color="auto" w:fill="auto"/>
          <w:vAlign w:val="center"/>
        </w:tcPr>
        <w:p w14:paraId="412ECE5F" w14:textId="77777777" w:rsidR="00A31E3E" w:rsidRDefault="006C4A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3BAFF664" w14:textId="77777777" w:rsidR="00A31E3E" w:rsidRDefault="006C4AA6">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A31E3E" w14:paraId="437D359F" w14:textId="77777777">
      <w:tc>
        <w:tcPr>
          <w:tcW w:w="2552" w:type="dxa"/>
          <w:shd w:val="clear" w:color="auto" w:fill="auto"/>
          <w:vAlign w:val="center"/>
        </w:tcPr>
        <w:p w14:paraId="6674FEE2" w14:textId="77777777" w:rsidR="00A31E3E" w:rsidRDefault="006C4A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31632488" w14:textId="77777777" w:rsidR="00A31E3E" w:rsidRDefault="006C4AA6">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7EE1CA" w14:textId="77777777" w:rsidR="00A31E3E" w:rsidRDefault="006C4AA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4094" w14:textId="77777777" w:rsidR="00A31E3E" w:rsidRDefault="00DF2BD0">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color w:val="000000"/>
        <w:sz w:val="22"/>
        <w:szCs w:val="22"/>
      </w:rPr>
      <w:pict w14:anchorId="5FAAF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75.3pt;margin-top:-137pt;width:663.5pt;height:12in;z-index:-251659264;mso-position-horizontal:absolute;mso-position-horizontal-relative:margin;mso-position-vertical:absolute;mso-position-vertical-relative:margin">
          <v:imagedata r:id="rId1" o:title="image7"/>
          <w10:wrap anchorx="margin" anchory="margin"/>
        </v:shape>
      </w:pict>
    </w:r>
  </w:p>
  <w:tbl>
    <w:tblPr>
      <w:tblStyle w:val="af2"/>
      <w:tblW w:w="6379" w:type="dxa"/>
      <w:tblInd w:w="2977" w:type="dxa"/>
      <w:tblLayout w:type="fixed"/>
      <w:tblLook w:val="0400" w:firstRow="0" w:lastRow="0" w:firstColumn="0" w:lastColumn="0" w:noHBand="0" w:noVBand="1"/>
    </w:tblPr>
    <w:tblGrid>
      <w:gridCol w:w="2552"/>
      <w:gridCol w:w="3827"/>
    </w:tblGrid>
    <w:tr w:rsidR="00A31E3E" w14:paraId="031F6049" w14:textId="77777777">
      <w:tc>
        <w:tcPr>
          <w:tcW w:w="2552" w:type="dxa"/>
          <w:shd w:val="clear" w:color="auto" w:fill="auto"/>
          <w:vAlign w:val="center"/>
        </w:tcPr>
        <w:p w14:paraId="7E3B1ADF" w14:textId="77777777" w:rsidR="00A31E3E" w:rsidRDefault="006C4A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3C82DB2F" w14:textId="77777777" w:rsidR="00A31E3E" w:rsidRDefault="006C4A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02964/INFOEM/IP/RR/2025</w:t>
          </w:r>
        </w:p>
      </w:tc>
    </w:tr>
    <w:tr w:rsidR="00A31E3E" w14:paraId="1A1D510D" w14:textId="77777777">
      <w:tc>
        <w:tcPr>
          <w:tcW w:w="2552" w:type="dxa"/>
          <w:shd w:val="clear" w:color="auto" w:fill="auto"/>
          <w:vAlign w:val="center"/>
        </w:tcPr>
        <w:p w14:paraId="65BD8B90" w14:textId="77777777" w:rsidR="00A31E3E" w:rsidRDefault="006C4A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339FF240" w14:textId="7A635061" w:rsidR="00A31E3E" w:rsidRDefault="00DF2BD0">
          <w:pPr>
            <w:jc w:val="both"/>
            <w:rPr>
              <w:rFonts w:ascii="Palatino Linotype" w:eastAsia="Palatino Linotype" w:hAnsi="Palatino Linotype" w:cs="Palatino Linotype"/>
              <w:b/>
              <w:sz w:val="22"/>
              <w:szCs w:val="22"/>
            </w:rPr>
          </w:pPr>
          <w:bookmarkStart w:id="2" w:name="_Hlk201908187"/>
          <w:r>
            <w:rPr>
              <w:rFonts w:ascii="Palatino Linotype" w:eastAsia="Palatino Linotype" w:hAnsi="Palatino Linotype" w:cs="Palatino Linotype"/>
              <w:b/>
              <w:sz w:val="22"/>
              <w:szCs w:val="22"/>
            </w:rPr>
            <w:t xml:space="preserve">XXXXXXXXX XXXX XX XXXXX </w:t>
          </w:r>
          <w:bookmarkEnd w:id="2"/>
        </w:p>
      </w:tc>
    </w:tr>
    <w:tr w:rsidR="00A31E3E" w14:paraId="35ECFFF4" w14:textId="77777777">
      <w:trPr>
        <w:trHeight w:val="228"/>
      </w:trPr>
      <w:tc>
        <w:tcPr>
          <w:tcW w:w="2552" w:type="dxa"/>
          <w:shd w:val="clear" w:color="auto" w:fill="auto"/>
          <w:vAlign w:val="center"/>
        </w:tcPr>
        <w:p w14:paraId="71BB245B" w14:textId="77777777" w:rsidR="00A31E3E" w:rsidRDefault="006C4A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336E9F96" w14:textId="77777777" w:rsidR="00A31E3E" w:rsidRDefault="006C4AA6">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A31E3E" w14:paraId="501658FF" w14:textId="77777777">
      <w:trPr>
        <w:trHeight w:val="210"/>
      </w:trPr>
      <w:tc>
        <w:tcPr>
          <w:tcW w:w="2552" w:type="dxa"/>
          <w:shd w:val="clear" w:color="auto" w:fill="auto"/>
          <w:vAlign w:val="center"/>
        </w:tcPr>
        <w:p w14:paraId="602411E6" w14:textId="77777777" w:rsidR="00A31E3E" w:rsidRDefault="006C4A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62CF91B9" w14:textId="77777777" w:rsidR="00A31E3E" w:rsidRDefault="006C4AA6">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6112F8" w14:textId="77777777" w:rsidR="00A31E3E" w:rsidRDefault="00A31E3E">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FCDB" w14:textId="77777777" w:rsidR="00A31E3E" w:rsidRDefault="00A31E3E">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5EEB11C8" w14:textId="77777777" w:rsidR="00A31E3E" w:rsidRDefault="00A31E3E">
    <w:pPr>
      <w:pBdr>
        <w:top w:val="nil"/>
        <w:left w:val="nil"/>
        <w:bottom w:val="nil"/>
        <w:right w:val="nil"/>
        <w:between w:val="nil"/>
      </w:pBdr>
      <w:tabs>
        <w:tab w:val="center" w:pos="4252"/>
        <w:tab w:val="right" w:pos="8504"/>
      </w:tabs>
      <w:rPr>
        <w:rFonts w:ascii="Cambria" w:eastAsia="Cambria" w:hAnsi="Cambria" w:cs="Cambria"/>
        <w:color w:val="000000"/>
      </w:rPr>
    </w:pPr>
  </w:p>
  <w:p w14:paraId="7B1616A6" w14:textId="77777777" w:rsidR="00A31E3E" w:rsidRDefault="00A31E3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CC4"/>
    <w:multiLevelType w:val="multilevel"/>
    <w:tmpl w:val="BA6A03F6"/>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124F7A"/>
    <w:multiLevelType w:val="multilevel"/>
    <w:tmpl w:val="6EF87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9F21DB"/>
    <w:multiLevelType w:val="multilevel"/>
    <w:tmpl w:val="ECA61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79162A"/>
    <w:multiLevelType w:val="multilevel"/>
    <w:tmpl w:val="18803E6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451D2F42"/>
    <w:multiLevelType w:val="multilevel"/>
    <w:tmpl w:val="83748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F63117"/>
    <w:multiLevelType w:val="multilevel"/>
    <w:tmpl w:val="FDDC8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45118F"/>
    <w:multiLevelType w:val="multilevel"/>
    <w:tmpl w:val="AA7008C6"/>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03D6C34"/>
    <w:multiLevelType w:val="multilevel"/>
    <w:tmpl w:val="9F2E4522"/>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num w:numId="1">
    <w:abstractNumId w:val="6"/>
  </w:num>
  <w:num w:numId="2">
    <w:abstractNumId w:val="0"/>
  </w:num>
  <w:num w:numId="3">
    <w:abstractNumId w:val="3"/>
  </w:num>
  <w:num w:numId="4">
    <w:abstractNumId w:val="2"/>
  </w:num>
  <w:num w:numId="5">
    <w:abstractNumId w:val="1"/>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E3E"/>
    <w:rsid w:val="00063522"/>
    <w:rsid w:val="00193C3E"/>
    <w:rsid w:val="00506E84"/>
    <w:rsid w:val="006555D7"/>
    <w:rsid w:val="006C4AA6"/>
    <w:rsid w:val="00A31E3E"/>
    <w:rsid w:val="00C50A21"/>
    <w:rsid w:val="00CC0C52"/>
    <w:rsid w:val="00DF2B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4E07DA2C"/>
  <w15:docId w15:val="{567EFBC5-AC1F-46B9-892C-37FD38E1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1DiR2yOLRa0S65UYfHgn4aYiA==">CgMxLjAyCWguMzBqMHpsbDIJaC4zem55c2g3MghoLmdqZGd4czgAciExTUFFSVhLQU1iUkl0Y1hkZ2E3VnZ6NGFWT1hkY2pTOVQ=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6467</Words>
  <Characters>35571</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2025-06-13T18:36:00Z</cp:lastPrinted>
  <dcterms:created xsi:type="dcterms:W3CDTF">2025-06-27T15:21:00Z</dcterms:created>
  <dcterms:modified xsi:type="dcterms:W3CDTF">2025-06-27T15:21:00Z</dcterms:modified>
</cp:coreProperties>
</file>