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B934B" w14:textId="77777777" w:rsidR="00FC6949" w:rsidRPr="00143F90" w:rsidRDefault="00697A38">
      <w:pPr>
        <w:spacing w:line="360" w:lineRule="auto"/>
        <w:jc w:val="both"/>
        <w:rPr>
          <w:rFonts w:ascii="Palatino Linotype" w:eastAsia="Palatino Linotype" w:hAnsi="Palatino Linotype" w:cs="Palatino Linotype"/>
          <w:sz w:val="22"/>
          <w:szCs w:val="22"/>
        </w:rPr>
      </w:pPr>
      <w:bookmarkStart w:id="0" w:name="_GoBack"/>
      <w:bookmarkEnd w:id="0"/>
      <w:r w:rsidRPr="00143F9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primero de octubre de dos mil veinticinco. </w:t>
      </w:r>
    </w:p>
    <w:p w14:paraId="512E6668"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C1B8C87"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Visto</w:t>
      </w:r>
      <w:r w:rsidRPr="00143F90">
        <w:rPr>
          <w:rFonts w:ascii="Palatino Linotype" w:eastAsia="Palatino Linotype" w:hAnsi="Palatino Linotype" w:cs="Palatino Linotype"/>
          <w:sz w:val="22"/>
          <w:szCs w:val="22"/>
        </w:rPr>
        <w:t xml:space="preserve"> el expediente relativo al recurso de revisión </w:t>
      </w:r>
      <w:r w:rsidRPr="00143F90">
        <w:rPr>
          <w:rFonts w:ascii="Palatino Linotype" w:eastAsia="Palatino Linotype" w:hAnsi="Palatino Linotype" w:cs="Palatino Linotype"/>
          <w:b/>
          <w:sz w:val="22"/>
          <w:szCs w:val="22"/>
        </w:rPr>
        <w:t>09299/INFOEM/IP/RR/2025</w:t>
      </w:r>
      <w:r w:rsidRPr="00143F90">
        <w:rPr>
          <w:rFonts w:ascii="Palatino Linotype" w:eastAsia="Palatino Linotype" w:hAnsi="Palatino Linotype" w:cs="Palatino Linotype"/>
          <w:sz w:val="22"/>
          <w:szCs w:val="22"/>
        </w:rPr>
        <w:t xml:space="preserve">, interpuesto por </w:t>
      </w:r>
      <w:r w:rsidRPr="00143F90">
        <w:rPr>
          <w:rFonts w:ascii="Palatino Linotype" w:eastAsia="Palatino Linotype" w:hAnsi="Palatino Linotype" w:cs="Palatino Linotype"/>
          <w:b/>
          <w:sz w:val="22"/>
          <w:szCs w:val="22"/>
        </w:rPr>
        <w:t xml:space="preserve">un particular que no proporcionó nombre o seudónimo, </w:t>
      </w:r>
      <w:r w:rsidRPr="00143F90">
        <w:rPr>
          <w:rFonts w:ascii="Palatino Linotype" w:eastAsia="Palatino Linotype" w:hAnsi="Palatino Linotype" w:cs="Palatino Linotype"/>
          <w:sz w:val="22"/>
          <w:szCs w:val="22"/>
        </w:rPr>
        <w:t>en lo sucesivo se le denominará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en contra de la respuesta a su solicitud de información con número de folio</w:t>
      </w:r>
      <w:r w:rsidRPr="00143F90">
        <w:rPr>
          <w:rFonts w:ascii="Palatino Linotype" w:eastAsia="Palatino Linotype" w:hAnsi="Palatino Linotype" w:cs="Palatino Linotype"/>
          <w:b/>
          <w:sz w:val="22"/>
          <w:szCs w:val="22"/>
        </w:rPr>
        <w:t xml:space="preserve"> 03407/TOLUCA/IP/2025</w:t>
      </w:r>
      <w:r w:rsidRPr="00143F90">
        <w:rPr>
          <w:rFonts w:ascii="Palatino Linotype" w:eastAsia="Palatino Linotype" w:hAnsi="Palatino Linotype" w:cs="Palatino Linotype"/>
          <w:sz w:val="22"/>
          <w:szCs w:val="22"/>
        </w:rPr>
        <w:t xml:space="preserve">, por parte del </w:t>
      </w:r>
      <w:r w:rsidRPr="00143F90">
        <w:rPr>
          <w:rFonts w:ascii="Palatino Linotype" w:eastAsia="Palatino Linotype" w:hAnsi="Palatino Linotype" w:cs="Palatino Linotype"/>
          <w:b/>
          <w:sz w:val="22"/>
          <w:szCs w:val="22"/>
        </w:rPr>
        <w:t xml:space="preserve">Ayuntamiento de Toluca </w:t>
      </w:r>
      <w:r w:rsidRPr="00143F90">
        <w:rPr>
          <w:rFonts w:ascii="Palatino Linotype" w:eastAsia="Palatino Linotype" w:hAnsi="Palatino Linotype" w:cs="Palatino Linotype"/>
          <w:sz w:val="22"/>
          <w:szCs w:val="22"/>
        </w:rPr>
        <w:t xml:space="preserve">en lo sucesivo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w:t>
      </w:r>
      <w:r w:rsidRPr="00143F90">
        <w:rPr>
          <w:rFonts w:ascii="Palatino Linotype" w:eastAsia="Palatino Linotype" w:hAnsi="Palatino Linotype" w:cs="Palatino Linotype"/>
          <w:b/>
          <w:sz w:val="22"/>
          <w:szCs w:val="22"/>
        </w:rPr>
        <w:t xml:space="preserve"> </w:t>
      </w:r>
      <w:r w:rsidRPr="00143F90">
        <w:rPr>
          <w:rFonts w:ascii="Palatino Linotype" w:eastAsia="Palatino Linotype" w:hAnsi="Palatino Linotype" w:cs="Palatino Linotype"/>
          <w:sz w:val="22"/>
          <w:szCs w:val="22"/>
        </w:rPr>
        <w:t>se procede a dictar la presente resolución, con base en los siguientes:</w:t>
      </w:r>
    </w:p>
    <w:p w14:paraId="47EB14B3" w14:textId="77777777" w:rsidR="00FC6949" w:rsidRPr="00143F90" w:rsidRDefault="00697A38">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A N T E C E D E N T E S:</w:t>
      </w:r>
    </w:p>
    <w:p w14:paraId="2085E208" w14:textId="77777777" w:rsidR="00FC6949" w:rsidRPr="00143F90" w:rsidRDefault="00FC694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B3D1FED" w14:textId="77777777" w:rsidR="00FC6949" w:rsidRPr="00143F90" w:rsidRDefault="00697A3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 xml:space="preserve">Solicitud de acceso a la información. </w:t>
      </w:r>
      <w:r w:rsidRPr="00143F90">
        <w:rPr>
          <w:rFonts w:ascii="Palatino Linotype" w:eastAsia="Palatino Linotype" w:hAnsi="Palatino Linotype" w:cs="Palatino Linotype"/>
          <w:sz w:val="22"/>
          <w:szCs w:val="22"/>
        </w:rPr>
        <w:t xml:space="preserve">Con fecha </w:t>
      </w:r>
      <w:r w:rsidRPr="00143F90">
        <w:rPr>
          <w:rFonts w:ascii="Palatino Linotype" w:eastAsia="Palatino Linotype" w:hAnsi="Palatino Linotype" w:cs="Palatino Linotype"/>
          <w:b/>
          <w:sz w:val="22"/>
          <w:szCs w:val="22"/>
        </w:rPr>
        <w:t>doce de junio de dos mil veinticinco</w:t>
      </w:r>
      <w:r w:rsidRPr="00143F90">
        <w:rPr>
          <w:rFonts w:ascii="Palatino Linotype" w:eastAsia="Palatino Linotype" w:hAnsi="Palatino Linotype" w:cs="Palatino Linotype"/>
          <w:sz w:val="22"/>
          <w:szCs w:val="22"/>
        </w:rPr>
        <w:t xml:space="preserve">, 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formuló solicitud de acceso a información pública al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a través del Sistema de Acceso a la Información Mexiquense, en adelante </w:t>
      </w:r>
      <w:r w:rsidRPr="00143F90">
        <w:rPr>
          <w:rFonts w:ascii="Palatino Linotype" w:eastAsia="Palatino Linotype" w:hAnsi="Palatino Linotype" w:cs="Palatino Linotype"/>
          <w:b/>
          <w:sz w:val="22"/>
          <w:szCs w:val="22"/>
        </w:rPr>
        <w:t>SAIMEX</w:t>
      </w:r>
      <w:r w:rsidRPr="00143F90">
        <w:rPr>
          <w:rFonts w:ascii="Palatino Linotype" w:eastAsia="Palatino Linotype" w:hAnsi="Palatino Linotype" w:cs="Palatino Linotype"/>
          <w:sz w:val="22"/>
          <w:szCs w:val="22"/>
        </w:rPr>
        <w:t>, requiriéndole lo siguiente:</w:t>
      </w:r>
    </w:p>
    <w:p w14:paraId="02FEAAD5" w14:textId="77777777" w:rsidR="00FC6949" w:rsidRPr="00143F90" w:rsidRDefault="00FC694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EEC57C9"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“Del uno de enero al doce de abril de dos mil </w:t>
      </w:r>
      <w:proofErr w:type="gramStart"/>
      <w:r w:rsidRPr="00143F90">
        <w:rPr>
          <w:rFonts w:ascii="Palatino Linotype" w:eastAsia="Palatino Linotype" w:hAnsi="Palatino Linotype" w:cs="Palatino Linotype"/>
          <w:i/>
          <w:sz w:val="22"/>
          <w:szCs w:val="22"/>
        </w:rPr>
        <w:t>cinco ,</w:t>
      </w:r>
      <w:proofErr w:type="gramEnd"/>
      <w:r w:rsidRPr="00143F90">
        <w:rPr>
          <w:rFonts w:ascii="Palatino Linotype" w:eastAsia="Palatino Linotype" w:hAnsi="Palatino Linotype" w:cs="Palatino Linotype"/>
          <w:i/>
          <w:sz w:val="22"/>
          <w:szCs w:val="22"/>
        </w:rPr>
        <w:t xml:space="preserve"> solicito me informen cuántas solicitudes de petición se han ingresado en ese H. Ayuntamiento, relacionadas con la pavimentación de calles en cualquier colonia del municipio y su respuesta a casa petición.”</w:t>
      </w:r>
    </w:p>
    <w:p w14:paraId="4BF0B2E1" w14:textId="77777777" w:rsidR="00FC6949" w:rsidRPr="00143F90" w:rsidRDefault="00FC6949">
      <w:pPr>
        <w:spacing w:line="360" w:lineRule="auto"/>
        <w:ind w:left="709" w:right="900"/>
        <w:jc w:val="both"/>
        <w:rPr>
          <w:rFonts w:ascii="Palatino Linotype" w:eastAsia="Palatino Linotype" w:hAnsi="Palatino Linotype" w:cs="Palatino Linotype"/>
          <w:b/>
          <w:i/>
          <w:sz w:val="22"/>
          <w:szCs w:val="22"/>
        </w:rPr>
      </w:pPr>
    </w:p>
    <w:p w14:paraId="6C0B520E"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Modalidad elegida para la entrega de la información: </w:t>
      </w:r>
      <w:r w:rsidRPr="00143F90">
        <w:rPr>
          <w:rFonts w:ascii="Palatino Linotype" w:eastAsia="Palatino Linotype" w:hAnsi="Palatino Linotype" w:cs="Palatino Linotype"/>
          <w:sz w:val="22"/>
          <w:szCs w:val="22"/>
        </w:rPr>
        <w:t xml:space="preserve">a través del Sistema de Acceso a la Información Mexiquense. </w:t>
      </w:r>
    </w:p>
    <w:p w14:paraId="0957C7A5" w14:textId="77777777" w:rsidR="00FC6949" w:rsidRPr="00143F90" w:rsidRDefault="00FC694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92AF6E" w14:textId="77777777" w:rsidR="00FC6949" w:rsidRPr="00143F90" w:rsidRDefault="00697A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lastRenderedPageBreak/>
        <w:t xml:space="preserve">Respuesta. </w:t>
      </w:r>
      <w:r w:rsidRPr="00143F90">
        <w:rPr>
          <w:rFonts w:ascii="Palatino Linotype" w:eastAsia="Palatino Linotype" w:hAnsi="Palatino Linotype" w:cs="Palatino Linotype"/>
          <w:sz w:val="22"/>
          <w:szCs w:val="22"/>
        </w:rPr>
        <w:t xml:space="preserve">Con fecha </w:t>
      </w:r>
      <w:r w:rsidRPr="00143F90">
        <w:rPr>
          <w:rFonts w:ascii="Palatino Linotype" w:eastAsia="Palatino Linotype" w:hAnsi="Palatino Linotype" w:cs="Palatino Linotype"/>
          <w:b/>
          <w:sz w:val="22"/>
          <w:szCs w:val="22"/>
        </w:rPr>
        <w:t>tres de julio de dos mil veinticinco</w:t>
      </w:r>
      <w:r w:rsidRPr="00143F90">
        <w:rPr>
          <w:rFonts w:ascii="Palatino Linotype" w:eastAsia="Palatino Linotype" w:hAnsi="Palatino Linotype" w:cs="Palatino Linotype"/>
          <w:sz w:val="22"/>
          <w:szCs w:val="22"/>
        </w:rPr>
        <w:t xml:space="preserv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160C210" w14:textId="77777777" w:rsidR="00FC6949" w:rsidRPr="00143F90" w:rsidRDefault="00FC6949">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1801B502" w14:textId="77777777" w:rsidR="00FC6949" w:rsidRPr="00143F90" w:rsidRDefault="00697A38">
      <w:pPr>
        <w:tabs>
          <w:tab w:val="left" w:pos="737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89D55C" w14:textId="77777777" w:rsidR="00FC6949" w:rsidRPr="00143F90" w:rsidRDefault="00697A38">
      <w:pPr>
        <w:tabs>
          <w:tab w:val="left" w:pos="737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En atención a la solicitud con folio 03407/TOLUCA/IP/2025, me permito adjuntar al presente la respuesta correspondiente, Sin más por el momento, reciba un saludo.</w:t>
      </w:r>
    </w:p>
    <w:p w14:paraId="06CAF6C7" w14:textId="77777777" w:rsidR="00FC6949" w:rsidRPr="00143F90" w:rsidRDefault="00697A38">
      <w:pPr>
        <w:tabs>
          <w:tab w:val="left" w:pos="737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ATENTAMENTE</w:t>
      </w:r>
    </w:p>
    <w:p w14:paraId="3369E74B" w14:textId="77777777" w:rsidR="00FC6949" w:rsidRPr="00143F90" w:rsidRDefault="00697A38">
      <w:pPr>
        <w:tabs>
          <w:tab w:val="left" w:pos="737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Dr. Nahum Miguel Mendoza Morales” (Sic)</w:t>
      </w:r>
    </w:p>
    <w:p w14:paraId="00DAE82A"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69094469"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Del mismo modo,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adjuntó a su respuesta lo siguiente: </w:t>
      </w:r>
    </w:p>
    <w:p w14:paraId="23924FFB" w14:textId="77777777" w:rsidR="00FC6949" w:rsidRPr="00143F90" w:rsidRDefault="00697A38">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 xml:space="preserve">Respuesta </w:t>
      </w:r>
      <w:proofErr w:type="spellStart"/>
      <w:r w:rsidRPr="00143F90">
        <w:rPr>
          <w:rFonts w:ascii="Palatino Linotype" w:eastAsia="Palatino Linotype" w:hAnsi="Palatino Linotype" w:cs="Palatino Linotype"/>
          <w:b/>
          <w:i/>
          <w:sz w:val="22"/>
          <w:szCs w:val="22"/>
        </w:rPr>
        <w:t>Saimex</w:t>
      </w:r>
      <w:proofErr w:type="spellEnd"/>
      <w:r w:rsidRPr="00143F90">
        <w:rPr>
          <w:rFonts w:ascii="Palatino Linotype" w:eastAsia="Palatino Linotype" w:hAnsi="Palatino Linotype" w:cs="Palatino Linotype"/>
          <w:b/>
          <w:i/>
          <w:sz w:val="22"/>
          <w:szCs w:val="22"/>
        </w:rPr>
        <w:t xml:space="preserve"> 03407.pdf: </w:t>
      </w:r>
      <w:r w:rsidRPr="00143F90">
        <w:rPr>
          <w:rFonts w:ascii="Palatino Linotype" w:eastAsia="Palatino Linotype" w:hAnsi="Palatino Linotype" w:cs="Palatino Linotype"/>
          <w:sz w:val="22"/>
          <w:szCs w:val="22"/>
        </w:rPr>
        <w:t xml:space="preserve">Oficio número UT/DGOP/00231/2025 de fecha diecinueve de junio de dos mil veinticinco, signado por el Director General de Obras Públicas, mediante el cual informó que realizó una búsqueda exhaustiva y razonable en los archivos que se encuentran bajo su resguardo y custodia, búsqueda de la que se concluyó que no se localizó expresión documental que dé cuenta de las solicitudes de petición ni de respuesta a cada petición solicitada, atendiendo al periodo comprendido del uno de enero al doce de abril de dos mil cinco, por no haberse generado ni administrado. </w:t>
      </w:r>
    </w:p>
    <w:p w14:paraId="3F131B56" w14:textId="77777777" w:rsidR="00FC6949" w:rsidRPr="00143F90" w:rsidRDefault="00697A38">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R. 03407. 2025.pdf</w:t>
      </w:r>
      <w:r w:rsidRPr="00143F90">
        <w:rPr>
          <w:rFonts w:ascii="Palatino Linotype" w:eastAsia="Palatino Linotype" w:hAnsi="Palatino Linotype" w:cs="Palatino Linotype"/>
          <w:sz w:val="22"/>
          <w:szCs w:val="22"/>
        </w:rPr>
        <w:t>: Documento de fecha tres de julio de dos mil veinticinco, signado por el Titular de la Unidad de Transparencia en el que hizo del conocimiento que la Secretaría del Ayuntamiento informó que, del uno de enero al doce de abril del año dos mil veinticinco, se cuenta con el registro de ingreso de 338 peticiones ciudadanas en las que solicitan pavimentación de diferentes calles del Municipio de Toluca y 307 respuestas a dichas solicitudes.</w:t>
      </w:r>
    </w:p>
    <w:p w14:paraId="5B0C9333" w14:textId="77777777" w:rsidR="00FC6949" w:rsidRPr="00143F90" w:rsidRDefault="00FC6949">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0C77E705" w14:textId="77777777" w:rsidR="00FC6949" w:rsidRPr="00143F90" w:rsidRDefault="00697A3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Interposición del recurso de revisión. </w:t>
      </w:r>
      <w:r w:rsidRPr="00143F90">
        <w:rPr>
          <w:rFonts w:ascii="Palatino Linotype" w:eastAsia="Palatino Linotype" w:hAnsi="Palatino Linotype" w:cs="Palatino Linotype"/>
          <w:sz w:val="22"/>
          <w:szCs w:val="22"/>
        </w:rPr>
        <w:t xml:space="preserve">Inconforme con la respuesta del </w:t>
      </w:r>
      <w:r w:rsidRPr="00143F90">
        <w:rPr>
          <w:rFonts w:ascii="Palatino Linotype" w:eastAsia="Palatino Linotype" w:hAnsi="Palatino Linotype" w:cs="Palatino Linotype"/>
          <w:b/>
          <w:sz w:val="22"/>
          <w:szCs w:val="22"/>
        </w:rPr>
        <w:t xml:space="preserve">Sujeto Obligado, </w:t>
      </w:r>
      <w:r w:rsidRPr="00143F90">
        <w:rPr>
          <w:rFonts w:ascii="Palatino Linotype" w:eastAsia="Palatino Linotype" w:hAnsi="Palatino Linotype" w:cs="Palatino Linotype"/>
          <w:sz w:val="22"/>
          <w:szCs w:val="22"/>
        </w:rPr>
        <w:t>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xml:space="preserve"> interpuso recurso de revisión a través del SAIMEX en fecha </w:t>
      </w:r>
      <w:r w:rsidRPr="00143F90">
        <w:rPr>
          <w:rFonts w:ascii="Palatino Linotype" w:eastAsia="Palatino Linotype" w:hAnsi="Palatino Linotype" w:cs="Palatino Linotype"/>
          <w:b/>
          <w:sz w:val="22"/>
          <w:szCs w:val="22"/>
        </w:rPr>
        <w:t>siete de agosto de dos mil veinticinco</w:t>
      </w:r>
      <w:r w:rsidRPr="00143F90">
        <w:rPr>
          <w:rFonts w:ascii="Palatino Linotype" w:eastAsia="Palatino Linotype" w:hAnsi="Palatino Linotype" w:cs="Palatino Linotype"/>
          <w:sz w:val="22"/>
          <w:szCs w:val="22"/>
        </w:rPr>
        <w:t>, a través del cual expresó lo siguiente:</w:t>
      </w:r>
    </w:p>
    <w:p w14:paraId="6EE655F9" w14:textId="77777777" w:rsidR="00FC6949" w:rsidRPr="00143F90" w:rsidRDefault="00FC694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57D2347" w14:textId="77777777" w:rsidR="00FC6949" w:rsidRPr="00143F90" w:rsidRDefault="00697A38">
      <w:pPr>
        <w:spacing w:line="360" w:lineRule="auto"/>
        <w:ind w:left="851" w:right="616"/>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 xml:space="preserve">Acto impugnado. </w:t>
      </w:r>
    </w:p>
    <w:p w14:paraId="7CBF0AF8"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“Solo saber negar la información no entrega los solicitado son el municipio más opaco” </w:t>
      </w:r>
    </w:p>
    <w:p w14:paraId="4814C46E" w14:textId="77777777" w:rsidR="00FC6949" w:rsidRPr="00143F90" w:rsidRDefault="00FC6949">
      <w:pPr>
        <w:spacing w:line="276" w:lineRule="auto"/>
        <w:ind w:left="851" w:right="616"/>
        <w:rPr>
          <w:rFonts w:ascii="Palatino Linotype" w:eastAsia="Palatino Linotype" w:hAnsi="Palatino Linotype" w:cs="Palatino Linotype"/>
          <w:sz w:val="22"/>
          <w:szCs w:val="22"/>
        </w:rPr>
      </w:pPr>
    </w:p>
    <w:p w14:paraId="5FC07F02" w14:textId="77777777" w:rsidR="00FC6949" w:rsidRPr="00143F90" w:rsidRDefault="00697A38">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 xml:space="preserve">Motivos de inconformidad. </w:t>
      </w:r>
    </w:p>
    <w:p w14:paraId="76D561C4"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143F90">
        <w:rPr>
          <w:rFonts w:ascii="Palatino Linotype" w:eastAsia="Palatino Linotype" w:hAnsi="Palatino Linotype" w:cs="Palatino Linotype"/>
          <w:sz w:val="22"/>
          <w:szCs w:val="22"/>
        </w:rPr>
        <w:t>“</w:t>
      </w:r>
      <w:r w:rsidRPr="00143F90">
        <w:rPr>
          <w:rFonts w:ascii="Palatino Linotype" w:eastAsia="Palatino Linotype" w:hAnsi="Palatino Linotype" w:cs="Palatino Linotype"/>
          <w:i/>
          <w:sz w:val="22"/>
          <w:szCs w:val="22"/>
        </w:rPr>
        <w:t>Solo saber negar la información no entrega los solicitado son el municipio más opaco”</w:t>
      </w:r>
    </w:p>
    <w:p w14:paraId="73148793" w14:textId="77777777" w:rsidR="00FC6949" w:rsidRPr="00143F90" w:rsidRDefault="00FC6949">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75A1F77A" w14:textId="77777777" w:rsidR="00FC6949" w:rsidRPr="00143F90" w:rsidRDefault="00697A3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Turno. </w:t>
      </w:r>
      <w:r w:rsidRPr="00143F9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143F90">
        <w:rPr>
          <w:rFonts w:ascii="Palatino Linotype" w:eastAsia="Palatino Linotype" w:hAnsi="Palatino Linotype" w:cs="Palatino Linotype"/>
          <w:b/>
          <w:sz w:val="22"/>
          <w:szCs w:val="22"/>
        </w:rPr>
        <w:t>09299/INFOEM/IP/RR/2025</w:t>
      </w:r>
      <w:r w:rsidRPr="00143F9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143F90">
        <w:rPr>
          <w:rFonts w:ascii="Palatino Linotype" w:eastAsia="Palatino Linotype" w:hAnsi="Palatino Linotype" w:cs="Palatino Linotype"/>
          <w:b/>
          <w:sz w:val="22"/>
          <w:szCs w:val="22"/>
        </w:rPr>
        <w:t>Guadalupe Ramírez Peña</w:t>
      </w:r>
      <w:r w:rsidRPr="00143F90">
        <w:rPr>
          <w:rFonts w:ascii="Palatino Linotype" w:eastAsia="Palatino Linotype" w:hAnsi="Palatino Linotype" w:cs="Palatino Linotype"/>
          <w:sz w:val="22"/>
          <w:szCs w:val="22"/>
        </w:rPr>
        <w:t>, para su análisis, estudio, elaboración del proyecto y presentación ante el Pleno de este Instituto.</w:t>
      </w:r>
    </w:p>
    <w:p w14:paraId="61A004DF" w14:textId="77777777" w:rsidR="00FC6949" w:rsidRPr="00143F90" w:rsidRDefault="00FC694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2E7BB19" w14:textId="77777777" w:rsidR="00FC6949" w:rsidRPr="00143F90" w:rsidRDefault="00697A3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143F90">
        <w:rPr>
          <w:rFonts w:ascii="Palatino Linotype" w:eastAsia="Palatino Linotype" w:hAnsi="Palatino Linotype" w:cs="Palatino Linotype"/>
          <w:b/>
          <w:sz w:val="22"/>
          <w:szCs w:val="22"/>
        </w:rPr>
        <w:t xml:space="preserve">Admisión del recurso de revisión: </w:t>
      </w:r>
      <w:r w:rsidRPr="00143F90">
        <w:rPr>
          <w:rFonts w:ascii="Palatino Linotype" w:eastAsia="Palatino Linotype" w:hAnsi="Palatino Linotype" w:cs="Palatino Linotype"/>
          <w:sz w:val="22"/>
          <w:szCs w:val="22"/>
        </w:rPr>
        <w:t xml:space="preserve">En fecha </w:t>
      </w:r>
      <w:r w:rsidRPr="00143F90">
        <w:rPr>
          <w:rFonts w:ascii="Palatino Linotype" w:eastAsia="Palatino Linotype" w:hAnsi="Palatino Linotype" w:cs="Palatino Linotype"/>
          <w:b/>
          <w:sz w:val="22"/>
          <w:szCs w:val="22"/>
        </w:rPr>
        <w:t>doce de agosto de dos mil veinticinco</w:t>
      </w:r>
      <w:r w:rsidRPr="00143F9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presentara su informe justificado.</w:t>
      </w:r>
    </w:p>
    <w:p w14:paraId="1F0190FD" w14:textId="77777777" w:rsidR="00FC6949" w:rsidRPr="00143F90" w:rsidRDefault="00FC694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A240AC3" w14:textId="77777777" w:rsidR="00FC6949" w:rsidRPr="00143F90" w:rsidRDefault="00697A38">
      <w:pPr>
        <w:numPr>
          <w:ilvl w:val="0"/>
          <w:numId w:val="1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Manifestaciones</w:t>
      </w:r>
      <w:r w:rsidRPr="00143F90">
        <w:rPr>
          <w:rFonts w:ascii="Palatino Linotype" w:eastAsia="Palatino Linotype" w:hAnsi="Palatino Linotype" w:cs="Palatino Linotype"/>
          <w:sz w:val="22"/>
          <w:szCs w:val="22"/>
        </w:rPr>
        <w:t xml:space="preserve">: De las constancias que obran en el expediente electrónico del </w:t>
      </w:r>
      <w:r w:rsidRPr="00143F90">
        <w:rPr>
          <w:rFonts w:ascii="Palatino Linotype" w:eastAsia="Palatino Linotype" w:hAnsi="Palatino Linotype" w:cs="Palatino Linotype"/>
          <w:b/>
          <w:sz w:val="22"/>
          <w:szCs w:val="22"/>
        </w:rPr>
        <w:t>SAIMEX</w:t>
      </w:r>
      <w:r w:rsidRPr="00143F90">
        <w:rPr>
          <w:rFonts w:ascii="Palatino Linotype" w:eastAsia="Palatino Linotype" w:hAnsi="Palatino Linotype" w:cs="Palatino Linotype"/>
          <w:sz w:val="22"/>
          <w:szCs w:val="22"/>
        </w:rPr>
        <w:t xml:space="preserve"> se desprende que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en fecha </w:t>
      </w:r>
      <w:r w:rsidRPr="00143F90">
        <w:rPr>
          <w:rFonts w:ascii="Palatino Linotype" w:eastAsia="Palatino Linotype" w:hAnsi="Palatino Linotype" w:cs="Palatino Linotype"/>
          <w:b/>
          <w:sz w:val="22"/>
          <w:szCs w:val="22"/>
        </w:rPr>
        <w:t>veintiuno de agosto de dos mil veinticinco</w:t>
      </w:r>
      <w:r w:rsidRPr="00143F90">
        <w:rPr>
          <w:rFonts w:ascii="Palatino Linotype" w:eastAsia="Palatino Linotype" w:hAnsi="Palatino Linotype" w:cs="Palatino Linotype"/>
          <w:sz w:val="22"/>
          <w:szCs w:val="22"/>
        </w:rPr>
        <w:t xml:space="preserve">, rindió su informe justificado a través de los archivos electrónicos denominados </w:t>
      </w:r>
      <w:r w:rsidRPr="00143F90">
        <w:rPr>
          <w:rFonts w:ascii="Palatino Linotype" w:eastAsia="Palatino Linotype" w:hAnsi="Palatino Linotype" w:cs="Palatino Linotype"/>
          <w:b/>
          <w:i/>
          <w:sz w:val="22"/>
          <w:szCs w:val="22"/>
        </w:rPr>
        <w:t xml:space="preserve">“Ratificación 09299.pdf </w:t>
      </w:r>
      <w:r w:rsidRPr="00143F90">
        <w:rPr>
          <w:rFonts w:ascii="Palatino Linotype" w:eastAsia="Palatino Linotype" w:hAnsi="Palatino Linotype" w:cs="Palatino Linotype"/>
          <w:sz w:val="22"/>
          <w:szCs w:val="22"/>
        </w:rPr>
        <w:t xml:space="preserve">y </w:t>
      </w:r>
      <w:r w:rsidRPr="00143F90">
        <w:rPr>
          <w:rFonts w:ascii="Palatino Linotype" w:eastAsia="Palatino Linotype" w:hAnsi="Palatino Linotype" w:cs="Palatino Linotype"/>
          <w:b/>
          <w:i/>
          <w:sz w:val="22"/>
          <w:szCs w:val="22"/>
        </w:rPr>
        <w:t>ANEXOS 09299-2025.pdf”</w:t>
      </w:r>
      <w:r w:rsidRPr="00143F90">
        <w:rPr>
          <w:rFonts w:ascii="Palatino Linotype" w:eastAsia="Palatino Linotype" w:hAnsi="Palatino Linotype" w:cs="Palatino Linotype"/>
          <w:sz w:val="22"/>
          <w:szCs w:val="22"/>
        </w:rPr>
        <w:t xml:space="preserve">, mismos que fueron hechos del conocimiento de la parte </w:t>
      </w:r>
      <w:r w:rsidRPr="00143F90">
        <w:rPr>
          <w:rFonts w:ascii="Palatino Linotype" w:eastAsia="Palatino Linotype" w:hAnsi="Palatino Linotype" w:cs="Palatino Linotype"/>
          <w:b/>
          <w:sz w:val="22"/>
          <w:szCs w:val="22"/>
        </w:rPr>
        <w:t xml:space="preserve">Recurrente </w:t>
      </w:r>
      <w:r w:rsidRPr="00143F90">
        <w:rPr>
          <w:rFonts w:ascii="Palatino Linotype" w:eastAsia="Palatino Linotype" w:hAnsi="Palatino Linotype" w:cs="Palatino Linotype"/>
          <w:sz w:val="22"/>
          <w:szCs w:val="22"/>
        </w:rPr>
        <w:t xml:space="preserve">en fecha </w:t>
      </w:r>
      <w:r w:rsidRPr="00143F90">
        <w:rPr>
          <w:rFonts w:ascii="Palatino Linotype" w:eastAsia="Palatino Linotype" w:hAnsi="Palatino Linotype" w:cs="Palatino Linotype"/>
          <w:b/>
          <w:sz w:val="22"/>
          <w:szCs w:val="22"/>
        </w:rPr>
        <w:t>veinticinco de septiembre de dos mil veinticinco</w:t>
      </w:r>
      <w:r w:rsidRPr="00143F90">
        <w:rPr>
          <w:rFonts w:ascii="Palatino Linotype" w:eastAsia="Palatino Linotype" w:hAnsi="Palatino Linotype" w:cs="Palatino Linotype"/>
          <w:sz w:val="22"/>
          <w:szCs w:val="22"/>
        </w:rPr>
        <w:t xml:space="preserve">, en los cuales ratificó su respuesta inicial, a efecto de que manifestara lo que a su derecho resultara conveniente. </w:t>
      </w:r>
    </w:p>
    <w:p w14:paraId="73BD8DF0" w14:textId="77777777" w:rsidR="00FC6949" w:rsidRPr="00143F90" w:rsidRDefault="00FC694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9FB2BBE" w14:textId="77777777" w:rsidR="00FC6949" w:rsidRPr="00143F90" w:rsidRDefault="00697A38">
      <w:pPr>
        <w:numPr>
          <w:ilvl w:val="0"/>
          <w:numId w:val="13"/>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Ampliación de plazo:</w:t>
      </w:r>
      <w:r w:rsidRPr="00143F90">
        <w:rPr>
          <w:rFonts w:ascii="Palatino Linotype" w:eastAsia="Palatino Linotype" w:hAnsi="Palatino Linotype" w:cs="Palatino Linotype"/>
          <w:sz w:val="22"/>
          <w:szCs w:val="22"/>
        </w:rPr>
        <w:t xml:space="preserve"> El</w:t>
      </w:r>
      <w:r w:rsidRPr="00143F90">
        <w:rPr>
          <w:rFonts w:ascii="Palatino Linotype" w:eastAsia="Palatino Linotype" w:hAnsi="Palatino Linotype" w:cs="Palatino Linotype"/>
          <w:b/>
          <w:sz w:val="22"/>
          <w:szCs w:val="22"/>
        </w:rPr>
        <w:t xml:space="preserve"> veinticinco de septiembre de dos mil veinticinco</w:t>
      </w:r>
      <w:r w:rsidRPr="00143F90">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3CA0618" w14:textId="77777777" w:rsidR="00FC6949" w:rsidRPr="00143F90" w:rsidRDefault="00FC69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8589A0A" w14:textId="77777777" w:rsidR="00FC6949" w:rsidRPr="00143F90" w:rsidRDefault="00697A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A1A4AE0" w14:textId="77777777" w:rsidR="00FC6949" w:rsidRPr="00143F90" w:rsidRDefault="00FC694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DB733AA" w14:textId="00430913" w:rsidR="00FC6949" w:rsidRPr="00143F90" w:rsidRDefault="00697A38">
      <w:pPr>
        <w:numPr>
          <w:ilvl w:val="0"/>
          <w:numId w:val="1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Cierre de instrucción. </w:t>
      </w:r>
      <w:r w:rsidRPr="00143F90">
        <w:rPr>
          <w:rFonts w:ascii="Palatino Linotype" w:eastAsia="Palatino Linotype" w:hAnsi="Palatino Linotype" w:cs="Palatino Linotype"/>
          <w:sz w:val="22"/>
          <w:szCs w:val="22"/>
        </w:rPr>
        <w:t xml:space="preserve">El </w:t>
      </w:r>
      <w:r w:rsidRPr="00143F90">
        <w:rPr>
          <w:rFonts w:ascii="Palatino Linotype" w:eastAsia="Palatino Linotype" w:hAnsi="Palatino Linotype" w:cs="Palatino Linotype"/>
          <w:b/>
          <w:sz w:val="22"/>
          <w:szCs w:val="22"/>
        </w:rPr>
        <w:t>primero de octubre de dos mil veinticinco</w:t>
      </w:r>
      <w:r w:rsidRPr="00143F9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335CF1" w:rsidRPr="00143F90">
        <w:rPr>
          <w:rFonts w:ascii="Palatino Linotype" w:eastAsia="Palatino Linotype" w:hAnsi="Palatino Linotype" w:cs="Palatino Linotype"/>
          <w:sz w:val="22"/>
          <w:szCs w:val="22"/>
        </w:rPr>
        <w:t xml:space="preserve">, notificado el dos de octubre del mismo año. </w:t>
      </w:r>
    </w:p>
    <w:p w14:paraId="1845D4C1" w14:textId="77777777" w:rsidR="00FC6949" w:rsidRPr="00143F90" w:rsidRDefault="00FC694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9FFBB57"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2C2E087" w14:textId="77777777" w:rsidR="00FC6949" w:rsidRPr="00143F90" w:rsidRDefault="00697A3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143F90">
        <w:rPr>
          <w:rFonts w:ascii="Palatino Linotype" w:eastAsia="Palatino Linotype" w:hAnsi="Palatino Linotype" w:cs="Palatino Linotype"/>
          <w:b/>
          <w:sz w:val="22"/>
          <w:szCs w:val="22"/>
        </w:rPr>
        <w:t>C O N S I D E R A N D O:</w:t>
      </w:r>
    </w:p>
    <w:p w14:paraId="392C98C6" w14:textId="77777777" w:rsidR="00FC6949" w:rsidRPr="00143F90" w:rsidRDefault="00FC694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EEDB5F9"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Primero. Competencia. </w:t>
      </w:r>
      <w:r w:rsidRPr="00143F90">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06B0DB1" w14:textId="77777777" w:rsidR="00FC6949" w:rsidRPr="00143F90" w:rsidRDefault="00FC6949">
      <w:pPr>
        <w:spacing w:line="360" w:lineRule="auto"/>
        <w:jc w:val="both"/>
        <w:rPr>
          <w:rFonts w:ascii="Palatino Linotype" w:eastAsia="Palatino Linotype" w:hAnsi="Palatino Linotype" w:cs="Palatino Linotype"/>
          <w:b/>
          <w:sz w:val="22"/>
          <w:szCs w:val="22"/>
        </w:rPr>
      </w:pPr>
    </w:p>
    <w:p w14:paraId="25F8F913"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Segundo. Oportunidad y Procedibilidad del Recurso de Revisión</w:t>
      </w:r>
      <w:r w:rsidRPr="00143F9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B78031A"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261BE070"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proporcionó su respuesta a la solicitud de información el </w:t>
      </w:r>
      <w:r w:rsidRPr="00143F90">
        <w:rPr>
          <w:rFonts w:ascii="Palatino Linotype" w:eastAsia="Palatino Linotype" w:hAnsi="Palatino Linotype" w:cs="Palatino Linotype"/>
          <w:b/>
          <w:sz w:val="22"/>
          <w:szCs w:val="22"/>
        </w:rPr>
        <w:t>tres de julio de dos mil veinticinco</w:t>
      </w:r>
      <w:r w:rsidRPr="00143F90">
        <w:rPr>
          <w:rFonts w:ascii="Palatino Linotype" w:eastAsia="Palatino Linotype" w:hAnsi="Palatino Linotype" w:cs="Palatino Linotype"/>
          <w:sz w:val="22"/>
          <w:szCs w:val="22"/>
        </w:rPr>
        <w:t xml:space="preserve">, y 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presentó su recurso de revisión el </w:t>
      </w:r>
      <w:r w:rsidRPr="00143F90">
        <w:rPr>
          <w:rFonts w:ascii="Palatino Linotype" w:eastAsia="Palatino Linotype" w:hAnsi="Palatino Linotype" w:cs="Palatino Linotype"/>
          <w:b/>
          <w:sz w:val="22"/>
          <w:szCs w:val="22"/>
        </w:rPr>
        <w:t>siete de agosto de dos mil veinticinco</w:t>
      </w:r>
      <w:r w:rsidRPr="00143F90">
        <w:rPr>
          <w:rFonts w:ascii="Palatino Linotype" w:eastAsia="Palatino Linotype" w:hAnsi="Palatino Linotype" w:cs="Palatino Linotype"/>
          <w:sz w:val="22"/>
          <w:szCs w:val="22"/>
        </w:rPr>
        <w:t>;</w:t>
      </w:r>
      <w:r w:rsidRPr="00143F90">
        <w:rPr>
          <w:rFonts w:ascii="Palatino Linotype" w:eastAsia="Palatino Linotype" w:hAnsi="Palatino Linotype" w:cs="Palatino Linotype"/>
          <w:b/>
          <w:sz w:val="22"/>
          <w:szCs w:val="22"/>
        </w:rPr>
        <w:t xml:space="preserve"> </w:t>
      </w:r>
      <w:r w:rsidRPr="00143F90">
        <w:rPr>
          <w:rFonts w:ascii="Palatino Linotype" w:eastAsia="Palatino Linotype" w:hAnsi="Palatino Linotype" w:cs="Palatino Linotype"/>
          <w:sz w:val="22"/>
          <w:szCs w:val="22"/>
        </w:rPr>
        <w:t xml:space="preserve">esto es al décimo quinto día hábil en que tuvo conocimiento de la respuesta. </w:t>
      </w:r>
    </w:p>
    <w:p w14:paraId="167DFEB5"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7AA12D4F"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Asimismo, por cuanto hace a la procedibilidad del recurso de revisión, es de suma importancia señalar que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541B73"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Las solicitudes anónimas</w:t>
      </w:r>
      <w:r w:rsidRPr="00143F90">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9ADC60B" w14:textId="77777777" w:rsidR="00FC6949" w:rsidRPr="00143F90" w:rsidRDefault="00FC6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A9387D6"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w:t>
      </w:r>
      <w:r w:rsidRPr="00143F90">
        <w:rPr>
          <w:rFonts w:ascii="Palatino Linotype" w:eastAsia="Palatino Linotype" w:hAnsi="Palatino Linotype" w:cs="Palatino Linotype"/>
          <w:b/>
          <w:sz w:val="22"/>
          <w:szCs w:val="22"/>
        </w:rPr>
        <w:t>SAIMEX.</w:t>
      </w:r>
    </w:p>
    <w:p w14:paraId="28CEEFB1"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25CE0FB3"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6D3D1AEB" w14:textId="77777777" w:rsidR="00FC6949" w:rsidRPr="00143F90" w:rsidRDefault="00FC6949">
      <w:pPr>
        <w:spacing w:line="276" w:lineRule="auto"/>
        <w:ind w:left="851" w:right="616"/>
        <w:jc w:val="both"/>
        <w:rPr>
          <w:rFonts w:ascii="Palatino Linotype" w:eastAsia="Palatino Linotype" w:hAnsi="Palatino Linotype" w:cs="Palatino Linotype"/>
          <w:i/>
          <w:sz w:val="22"/>
          <w:szCs w:val="22"/>
        </w:rPr>
      </w:pPr>
    </w:p>
    <w:p w14:paraId="5C3EA1DB"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 xml:space="preserve">Artículo 179. </w:t>
      </w:r>
      <w:r w:rsidRPr="00143F9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9D42B64" w14:textId="77777777" w:rsidR="00FC6949" w:rsidRPr="00143F90" w:rsidRDefault="00FC6949">
      <w:pPr>
        <w:spacing w:line="276" w:lineRule="auto"/>
        <w:ind w:left="851" w:right="616"/>
        <w:jc w:val="both"/>
        <w:rPr>
          <w:rFonts w:ascii="Palatino Linotype" w:eastAsia="Palatino Linotype" w:hAnsi="Palatino Linotype" w:cs="Palatino Linotype"/>
          <w:i/>
          <w:sz w:val="22"/>
          <w:szCs w:val="22"/>
        </w:rPr>
      </w:pPr>
    </w:p>
    <w:p w14:paraId="0B919D8F" w14:textId="77777777" w:rsidR="00FC6949" w:rsidRPr="00143F90" w:rsidRDefault="00697A38">
      <w:pPr>
        <w:tabs>
          <w:tab w:val="left" w:pos="1134"/>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 La negativa a la información solicitada;…” </w:t>
      </w:r>
    </w:p>
    <w:p w14:paraId="6C561E95" w14:textId="77777777" w:rsidR="00FC6949" w:rsidRPr="00143F90" w:rsidRDefault="00FC6949">
      <w:pPr>
        <w:spacing w:line="360" w:lineRule="auto"/>
        <w:ind w:left="567" w:right="616"/>
        <w:jc w:val="both"/>
        <w:rPr>
          <w:rFonts w:ascii="Palatino Linotype" w:eastAsia="Palatino Linotype" w:hAnsi="Palatino Linotype" w:cs="Palatino Linotype"/>
          <w:i/>
          <w:sz w:val="22"/>
          <w:szCs w:val="22"/>
        </w:rPr>
      </w:pPr>
    </w:p>
    <w:p w14:paraId="3EE03DB4"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Tercero. Materia de Revisión</w:t>
      </w:r>
      <w:r w:rsidRPr="00143F9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3BABFABB"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4FBEB7B1"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Cuarto. Estudio de fondo del asunto. </w:t>
      </w:r>
      <w:r w:rsidRPr="00143F90">
        <w:rPr>
          <w:rFonts w:ascii="Palatino Linotype" w:eastAsia="Palatino Linotype" w:hAnsi="Palatino Linotype" w:cs="Palatino Linotype"/>
          <w:sz w:val="22"/>
          <w:szCs w:val="22"/>
        </w:rPr>
        <w:t>Es conveniente analizar si la respuesta del Sujeto Obligado</w:t>
      </w:r>
      <w:r w:rsidRPr="00143F90">
        <w:rPr>
          <w:rFonts w:ascii="Palatino Linotype" w:eastAsia="Palatino Linotype" w:hAnsi="Palatino Linotype" w:cs="Palatino Linotype"/>
          <w:b/>
          <w:sz w:val="22"/>
          <w:szCs w:val="22"/>
        </w:rPr>
        <w:t xml:space="preserve"> </w:t>
      </w:r>
      <w:r w:rsidRPr="00143F90">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299E062"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4441FCB2"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4</w:t>
      </w:r>
      <w:r w:rsidRPr="00143F9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88247D"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3F9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BEC9180"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43F90">
        <w:rPr>
          <w:rFonts w:ascii="Palatino Linotype" w:eastAsia="Palatino Linotype" w:hAnsi="Palatino Linotype" w:cs="Palatino Linotype"/>
          <w:i/>
          <w:sz w:val="22"/>
          <w:szCs w:val="22"/>
        </w:rPr>
        <w:t>.”(Sic)</w:t>
      </w:r>
    </w:p>
    <w:p w14:paraId="2D9696EB"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052890CA"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Esto es, que los Sujetos Obligados tiene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473994" w14:textId="77777777" w:rsidR="00FC6949" w:rsidRPr="00143F90" w:rsidRDefault="00FC6949">
      <w:pPr>
        <w:spacing w:line="276" w:lineRule="auto"/>
        <w:ind w:left="567" w:right="616"/>
        <w:jc w:val="both"/>
        <w:rPr>
          <w:rFonts w:ascii="Palatino Linotype" w:eastAsia="Palatino Linotype" w:hAnsi="Palatino Linotype" w:cs="Palatino Linotype"/>
          <w:sz w:val="22"/>
          <w:szCs w:val="22"/>
        </w:rPr>
      </w:pPr>
    </w:p>
    <w:p w14:paraId="47788BFA"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12.-</w:t>
      </w:r>
      <w:r w:rsidRPr="00143F9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9ECBE9" w14:textId="77777777" w:rsidR="00FC6949" w:rsidRPr="00143F90" w:rsidRDefault="00FC6949">
      <w:pPr>
        <w:spacing w:line="276" w:lineRule="auto"/>
        <w:ind w:left="851" w:right="616"/>
        <w:jc w:val="both"/>
        <w:rPr>
          <w:rFonts w:ascii="Palatino Linotype" w:eastAsia="Palatino Linotype" w:hAnsi="Palatino Linotype" w:cs="Palatino Linotype"/>
          <w:i/>
          <w:sz w:val="22"/>
          <w:szCs w:val="22"/>
        </w:rPr>
      </w:pPr>
    </w:p>
    <w:p w14:paraId="4501ACEB"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143F90">
        <w:rPr>
          <w:rFonts w:ascii="Palatino Linotype" w:eastAsia="Palatino Linotype" w:hAnsi="Palatino Linotype" w:cs="Palatino Linotype"/>
          <w:i/>
          <w:sz w:val="22"/>
          <w:szCs w:val="22"/>
        </w:rPr>
        <w:t xml:space="preserve">.” </w:t>
      </w:r>
    </w:p>
    <w:p w14:paraId="6C539633" w14:textId="77777777" w:rsidR="00FC6949" w:rsidRPr="00143F90" w:rsidRDefault="00FC6949">
      <w:pPr>
        <w:spacing w:line="360" w:lineRule="auto"/>
        <w:ind w:right="-93"/>
        <w:jc w:val="both"/>
        <w:rPr>
          <w:rFonts w:ascii="Palatino Linotype" w:eastAsia="Palatino Linotype" w:hAnsi="Palatino Linotype" w:cs="Palatino Linotype"/>
          <w:sz w:val="22"/>
          <w:szCs w:val="22"/>
        </w:rPr>
      </w:pPr>
    </w:p>
    <w:p w14:paraId="5DB612C5" w14:textId="77777777" w:rsidR="00FC6949" w:rsidRPr="00143F90" w:rsidRDefault="00697A38">
      <w:pPr>
        <w:spacing w:line="360" w:lineRule="auto"/>
        <w:ind w:right="-93"/>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CFAED4E" w14:textId="77777777" w:rsidR="00FC6949" w:rsidRPr="00143F90" w:rsidRDefault="00FC6949">
      <w:pPr>
        <w:spacing w:line="360" w:lineRule="auto"/>
        <w:ind w:right="-93"/>
        <w:jc w:val="both"/>
        <w:rPr>
          <w:rFonts w:ascii="Palatino Linotype" w:eastAsia="Palatino Linotype" w:hAnsi="Palatino Linotype" w:cs="Palatino Linotype"/>
          <w:sz w:val="22"/>
          <w:szCs w:val="22"/>
        </w:rPr>
      </w:pPr>
    </w:p>
    <w:p w14:paraId="316E85BB" w14:textId="77777777" w:rsidR="00FC6949" w:rsidRPr="00143F90" w:rsidRDefault="00697A38">
      <w:pPr>
        <w:spacing w:line="360" w:lineRule="auto"/>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43F90">
        <w:rPr>
          <w:rFonts w:ascii="Palatino Linotype" w:eastAsia="Palatino Linotype" w:hAnsi="Palatino Linotype" w:cs="Palatino Linotype"/>
          <w:b/>
          <w:sz w:val="22"/>
          <w:szCs w:val="22"/>
        </w:rPr>
        <w:t xml:space="preserve"> </w:t>
      </w:r>
    </w:p>
    <w:p w14:paraId="780D19D7"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No existe obligación de elaborar documentos ad hoc para atender las solicitudes de acceso a la información.</w:t>
      </w:r>
      <w:r w:rsidRPr="00143F9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9A5552D" w14:textId="77777777" w:rsidR="00FC6949" w:rsidRPr="00143F90" w:rsidRDefault="00FC6949">
      <w:pPr>
        <w:spacing w:line="276" w:lineRule="auto"/>
        <w:ind w:left="567" w:right="616"/>
        <w:jc w:val="both"/>
        <w:rPr>
          <w:rFonts w:ascii="Palatino Linotype" w:eastAsia="Palatino Linotype" w:hAnsi="Palatino Linotype" w:cs="Palatino Linotype"/>
          <w:i/>
          <w:sz w:val="22"/>
          <w:szCs w:val="22"/>
        </w:rPr>
      </w:pPr>
    </w:p>
    <w:p w14:paraId="46C173CB"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84016D"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11375B70"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3BB8AF1"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1CCDFC52"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 xml:space="preserve">Artículo 3. </w:t>
      </w:r>
      <w:r w:rsidRPr="00143F90">
        <w:rPr>
          <w:rFonts w:ascii="Palatino Linotype" w:eastAsia="Palatino Linotype" w:hAnsi="Palatino Linotype" w:cs="Palatino Linotype"/>
          <w:i/>
          <w:sz w:val="22"/>
          <w:szCs w:val="22"/>
        </w:rPr>
        <w:t>Para los efectos de la presente Ley se entenderá por:</w:t>
      </w:r>
    </w:p>
    <w:p w14:paraId="2555952E"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5F48D2D0"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XI. Documento:</w:t>
      </w:r>
      <w:r w:rsidRPr="00143F90">
        <w:rPr>
          <w:rFonts w:ascii="Palatino Linotype" w:eastAsia="Palatino Linotype" w:hAnsi="Palatino Linotype" w:cs="Palatino Linotype"/>
          <w:i/>
          <w:sz w:val="22"/>
          <w:szCs w:val="22"/>
        </w:rPr>
        <w:t xml:space="preserve"> Los expedientes, reportes, estudios, actas</w:t>
      </w:r>
      <w:r w:rsidRPr="00143F90">
        <w:rPr>
          <w:rFonts w:ascii="Palatino Linotype" w:eastAsia="Palatino Linotype" w:hAnsi="Palatino Linotype" w:cs="Palatino Linotype"/>
          <w:b/>
          <w:i/>
          <w:sz w:val="22"/>
          <w:szCs w:val="22"/>
        </w:rPr>
        <w:t>,</w:t>
      </w:r>
      <w:r w:rsidRPr="00143F9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7CC4BE2" w14:textId="77777777" w:rsidR="00FC6949" w:rsidRPr="00143F90" w:rsidRDefault="00FC6949">
      <w:pPr>
        <w:spacing w:line="360" w:lineRule="auto"/>
        <w:ind w:left="851" w:right="899"/>
        <w:jc w:val="both"/>
        <w:rPr>
          <w:rFonts w:ascii="Palatino Linotype" w:eastAsia="Palatino Linotype" w:hAnsi="Palatino Linotype" w:cs="Palatino Linotype"/>
          <w:sz w:val="22"/>
          <w:szCs w:val="22"/>
        </w:rPr>
      </w:pPr>
    </w:p>
    <w:p w14:paraId="4387DA2B"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C97EE2" w14:textId="77777777" w:rsidR="00FC6949" w:rsidRPr="00143F90" w:rsidRDefault="00FC6949">
      <w:pPr>
        <w:spacing w:line="360" w:lineRule="auto"/>
        <w:ind w:left="851" w:right="899"/>
        <w:jc w:val="both"/>
        <w:rPr>
          <w:rFonts w:ascii="Palatino Linotype" w:eastAsia="Palatino Linotype" w:hAnsi="Palatino Linotype" w:cs="Palatino Linotype"/>
          <w:sz w:val="22"/>
          <w:szCs w:val="22"/>
        </w:rPr>
      </w:pPr>
    </w:p>
    <w:p w14:paraId="46158715"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sz w:val="22"/>
          <w:szCs w:val="22"/>
        </w:rPr>
        <w:t>“</w:t>
      </w:r>
      <w:r w:rsidRPr="00143F9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43F9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EC0872"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40CD2C1"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AFE320C"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4D2BA9E"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34E2B72"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8E58B8D"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927A9F2"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21AF56FF"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EA9434F"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1E882344" w14:textId="77777777" w:rsidR="00FC6949" w:rsidRPr="00143F90" w:rsidRDefault="00697A38">
      <w:pPr>
        <w:spacing w:line="360" w:lineRule="auto"/>
        <w:ind w:right="51"/>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requirió al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w:t>
      </w:r>
    </w:p>
    <w:p w14:paraId="67BD9AF4" w14:textId="77777777" w:rsidR="00FC6949" w:rsidRPr="00143F90" w:rsidRDefault="00FC6949">
      <w:pPr>
        <w:spacing w:line="360" w:lineRule="auto"/>
        <w:ind w:right="51"/>
        <w:jc w:val="both"/>
        <w:rPr>
          <w:rFonts w:ascii="Palatino Linotype" w:eastAsia="Palatino Linotype" w:hAnsi="Palatino Linotype" w:cs="Palatino Linotype"/>
          <w:sz w:val="22"/>
          <w:szCs w:val="22"/>
        </w:rPr>
      </w:pPr>
    </w:p>
    <w:p w14:paraId="6FEE65C5" w14:textId="77777777" w:rsidR="00FC6949" w:rsidRPr="00143F90" w:rsidRDefault="00697A38">
      <w:pPr>
        <w:numPr>
          <w:ilvl w:val="0"/>
          <w:numId w:val="11"/>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bookmarkStart w:id="4" w:name="_heading=h.q7dr35x26l4h" w:colFirst="0" w:colLast="0"/>
      <w:bookmarkEnd w:id="4"/>
      <w:r w:rsidRPr="00143F90">
        <w:rPr>
          <w:rFonts w:ascii="Palatino Linotype" w:eastAsia="Palatino Linotype" w:hAnsi="Palatino Linotype" w:cs="Palatino Linotype"/>
          <w:b/>
          <w:sz w:val="22"/>
          <w:szCs w:val="22"/>
        </w:rPr>
        <w:t xml:space="preserve">Cuántas solicitudes de petición se han ingresado en ese H. Ayuntamiento, relacionadas con la pavimentación de calles en cualquier colonia del municipio y su respuesta a cada petición, del uno de enero al doce de abril de dos mil cinco. </w:t>
      </w:r>
    </w:p>
    <w:p w14:paraId="27C31C52" w14:textId="77777777" w:rsidR="00FC6949" w:rsidRPr="00143F90" w:rsidRDefault="00FC6949">
      <w:pPr>
        <w:pBdr>
          <w:top w:val="nil"/>
          <w:left w:val="nil"/>
          <w:bottom w:val="nil"/>
          <w:right w:val="nil"/>
          <w:between w:val="nil"/>
        </w:pBdr>
        <w:spacing w:line="360" w:lineRule="auto"/>
        <w:ind w:left="720" w:right="616"/>
        <w:jc w:val="both"/>
        <w:rPr>
          <w:rFonts w:ascii="Palatino Linotype" w:eastAsia="Palatino Linotype" w:hAnsi="Palatino Linotype" w:cs="Palatino Linotype"/>
          <w:b/>
          <w:sz w:val="22"/>
          <w:szCs w:val="22"/>
        </w:rPr>
      </w:pPr>
    </w:p>
    <w:p w14:paraId="0322430B"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En tal sentido, el </w:t>
      </w:r>
      <w:r w:rsidRPr="00143F90">
        <w:rPr>
          <w:rFonts w:ascii="Palatino Linotype" w:eastAsia="Palatino Linotype" w:hAnsi="Palatino Linotype" w:cs="Palatino Linotype"/>
          <w:b/>
          <w:sz w:val="22"/>
          <w:szCs w:val="22"/>
        </w:rPr>
        <w:t xml:space="preserve">Sujeto Obligado </w:t>
      </w:r>
      <w:r w:rsidRPr="00143F90">
        <w:rPr>
          <w:rFonts w:ascii="Palatino Linotype" w:eastAsia="Palatino Linotype" w:hAnsi="Palatino Linotype" w:cs="Palatino Linotype"/>
          <w:sz w:val="22"/>
          <w:szCs w:val="22"/>
        </w:rPr>
        <w:t xml:space="preserve">a través del Director General de Obras Públicas, informó que realizó una búsqueda exhaustiva y razonable en los archivos que se encuentran bajo su resguardo y custodia, búsqueda de la que se concluyó que no se localizó expresión documental que dé cuenta de las solicitudes de petición ni de respuesta a cada petición solicitada, atendiendo al periodo comprendido del uno de enero al doce de abril de dos mil cinco, por no haberse generado ni administrado. </w:t>
      </w:r>
    </w:p>
    <w:p w14:paraId="5472BAE3"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507871A7" w14:textId="77777777" w:rsidR="00FC6949" w:rsidRPr="00143F90" w:rsidRDefault="00697A38">
      <w:pPr>
        <w:tabs>
          <w:tab w:val="left" w:pos="7797"/>
        </w:tabs>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Aunado a ello, la Secretaría del Ayuntamiento informó que del uno de enero al doce de abril del año </w:t>
      </w:r>
      <w:r w:rsidRPr="00143F90">
        <w:rPr>
          <w:rFonts w:ascii="Palatino Linotype" w:eastAsia="Palatino Linotype" w:hAnsi="Palatino Linotype" w:cs="Palatino Linotype"/>
          <w:b/>
          <w:sz w:val="22"/>
          <w:szCs w:val="22"/>
        </w:rPr>
        <w:t>dos mil veinticinco</w:t>
      </w:r>
      <w:r w:rsidRPr="00143F90">
        <w:rPr>
          <w:rFonts w:ascii="Palatino Linotype" w:eastAsia="Palatino Linotype" w:hAnsi="Palatino Linotype" w:cs="Palatino Linotype"/>
          <w:sz w:val="22"/>
          <w:szCs w:val="22"/>
        </w:rPr>
        <w:t xml:space="preserve">, se cuenta con el registro de ingreso de </w:t>
      </w:r>
      <w:r w:rsidRPr="00143F90">
        <w:rPr>
          <w:rFonts w:ascii="Palatino Linotype" w:eastAsia="Palatino Linotype" w:hAnsi="Palatino Linotype" w:cs="Palatino Linotype"/>
          <w:b/>
          <w:sz w:val="22"/>
          <w:szCs w:val="22"/>
        </w:rPr>
        <w:t>338 peticiones</w:t>
      </w:r>
      <w:r w:rsidRPr="00143F90">
        <w:rPr>
          <w:rFonts w:ascii="Palatino Linotype" w:eastAsia="Palatino Linotype" w:hAnsi="Palatino Linotype" w:cs="Palatino Linotype"/>
          <w:sz w:val="22"/>
          <w:szCs w:val="22"/>
        </w:rPr>
        <w:t xml:space="preserve"> ciudadanas en las que solicitan pavimentación de diferentes calles del Municipio de Toluca y </w:t>
      </w:r>
      <w:r w:rsidRPr="00143F90">
        <w:rPr>
          <w:rFonts w:ascii="Palatino Linotype" w:eastAsia="Palatino Linotype" w:hAnsi="Palatino Linotype" w:cs="Palatino Linotype"/>
          <w:b/>
          <w:sz w:val="22"/>
          <w:szCs w:val="22"/>
        </w:rPr>
        <w:t>307 respuestas</w:t>
      </w:r>
      <w:r w:rsidRPr="00143F90">
        <w:rPr>
          <w:rFonts w:ascii="Palatino Linotype" w:eastAsia="Palatino Linotype" w:hAnsi="Palatino Linotype" w:cs="Palatino Linotype"/>
          <w:sz w:val="22"/>
          <w:szCs w:val="22"/>
        </w:rPr>
        <w:t xml:space="preserve"> a dichas solicitudes.</w:t>
      </w:r>
    </w:p>
    <w:p w14:paraId="37AD06AF" w14:textId="77777777" w:rsidR="00FC6949" w:rsidRPr="00143F90" w:rsidRDefault="00FC6949">
      <w:pPr>
        <w:tabs>
          <w:tab w:val="left" w:pos="7797"/>
        </w:tabs>
        <w:spacing w:line="360" w:lineRule="auto"/>
        <w:ind w:right="49"/>
        <w:jc w:val="both"/>
        <w:rPr>
          <w:rFonts w:ascii="Palatino Linotype" w:eastAsia="Palatino Linotype" w:hAnsi="Palatino Linotype" w:cs="Palatino Linotype"/>
          <w:sz w:val="22"/>
          <w:szCs w:val="22"/>
        </w:rPr>
      </w:pPr>
    </w:p>
    <w:p w14:paraId="03E63A73"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Conocida la respuesta por el particular y al no estar conforme con los términos de la misma, presentó el recurso de revisión que nos ocupa, mediante el cual se inconformó medularmente por la negativa a la información solicitada. </w:t>
      </w:r>
    </w:p>
    <w:p w14:paraId="325CFD35"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346AB345"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Es así que, el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no realizó manifestaciones, alegatos o pruebas que a su derecho convinieran; por su parte el </w:t>
      </w:r>
      <w:r w:rsidRPr="00143F90">
        <w:rPr>
          <w:rFonts w:ascii="Palatino Linotype" w:eastAsia="Palatino Linotype" w:hAnsi="Palatino Linotype" w:cs="Palatino Linotype"/>
          <w:b/>
          <w:sz w:val="22"/>
          <w:szCs w:val="22"/>
        </w:rPr>
        <w:t xml:space="preserve">Sujeto Obligado </w:t>
      </w:r>
      <w:r w:rsidRPr="00143F90">
        <w:rPr>
          <w:rFonts w:ascii="Palatino Linotype" w:eastAsia="Palatino Linotype" w:hAnsi="Palatino Linotype" w:cs="Palatino Linotype"/>
          <w:sz w:val="22"/>
          <w:szCs w:val="22"/>
        </w:rPr>
        <w:t xml:space="preserve">rindió su informe justificado en el que medularmente ratificó su respuesta. </w:t>
      </w:r>
    </w:p>
    <w:p w14:paraId="7C6C2FCF"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5D731EEB"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Aclarado lo anterior, se procede al análisis de la respuesta proporcionada por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a efecto de determinar si es suficiente para tener por colmado el derecho de acceso a la información de 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o en su defecto ordenar la entrega del o los documentos que lo satisfagan.</w:t>
      </w:r>
    </w:p>
    <w:p w14:paraId="24760DFE" w14:textId="77777777" w:rsidR="00FC6949" w:rsidRPr="00143F90" w:rsidRDefault="00FC694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tbl>
      <w:tblPr>
        <w:tblStyle w:val="a"/>
        <w:tblW w:w="86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3"/>
        <w:gridCol w:w="3028"/>
        <w:gridCol w:w="2890"/>
      </w:tblGrid>
      <w:tr w:rsidR="00335CF1" w:rsidRPr="00143F90" w14:paraId="4BD99BF6" w14:textId="77777777">
        <w:trPr>
          <w:trHeight w:val="239"/>
        </w:trPr>
        <w:tc>
          <w:tcPr>
            <w:tcW w:w="2753" w:type="dxa"/>
            <w:shd w:val="clear" w:color="auto" w:fill="E2EFD9"/>
          </w:tcPr>
          <w:p w14:paraId="60037CF9" w14:textId="77777777" w:rsidR="00FC6949" w:rsidRPr="00143F90" w:rsidRDefault="00697A38">
            <w:pPr>
              <w:ind w:firstLine="114"/>
              <w:jc w:val="center"/>
              <w:rPr>
                <w:rFonts w:ascii="Palatino Linotype" w:eastAsia="Palatino Linotype" w:hAnsi="Palatino Linotype" w:cs="Palatino Linotype"/>
                <w:b/>
                <w:sz w:val="20"/>
                <w:szCs w:val="20"/>
              </w:rPr>
            </w:pPr>
            <w:r w:rsidRPr="00143F90">
              <w:rPr>
                <w:rFonts w:ascii="Palatino Linotype" w:eastAsia="Palatino Linotype" w:hAnsi="Palatino Linotype" w:cs="Palatino Linotype"/>
                <w:b/>
                <w:sz w:val="20"/>
                <w:szCs w:val="20"/>
              </w:rPr>
              <w:t>Información requerida.</w:t>
            </w:r>
          </w:p>
        </w:tc>
        <w:tc>
          <w:tcPr>
            <w:tcW w:w="3028" w:type="dxa"/>
            <w:shd w:val="clear" w:color="auto" w:fill="E2EFD9"/>
          </w:tcPr>
          <w:p w14:paraId="00DE430A" w14:textId="77777777" w:rsidR="00FC6949" w:rsidRPr="00143F90" w:rsidRDefault="00697A38">
            <w:pPr>
              <w:ind w:firstLine="114"/>
              <w:jc w:val="center"/>
              <w:rPr>
                <w:rFonts w:ascii="Palatino Linotype" w:eastAsia="Palatino Linotype" w:hAnsi="Palatino Linotype" w:cs="Palatino Linotype"/>
                <w:b/>
                <w:sz w:val="20"/>
                <w:szCs w:val="20"/>
              </w:rPr>
            </w:pPr>
            <w:r w:rsidRPr="00143F90">
              <w:rPr>
                <w:rFonts w:ascii="Palatino Linotype" w:eastAsia="Palatino Linotype" w:hAnsi="Palatino Linotype" w:cs="Palatino Linotype"/>
                <w:b/>
                <w:sz w:val="20"/>
                <w:szCs w:val="20"/>
              </w:rPr>
              <w:t>Respuesta</w:t>
            </w:r>
          </w:p>
        </w:tc>
        <w:tc>
          <w:tcPr>
            <w:tcW w:w="2890" w:type="dxa"/>
            <w:shd w:val="clear" w:color="auto" w:fill="E2EFD9"/>
          </w:tcPr>
          <w:p w14:paraId="69BE7D4B" w14:textId="77777777" w:rsidR="00FC6949" w:rsidRPr="00143F90" w:rsidRDefault="00697A38">
            <w:pPr>
              <w:ind w:firstLine="114"/>
              <w:jc w:val="center"/>
              <w:rPr>
                <w:rFonts w:ascii="Palatino Linotype" w:eastAsia="Palatino Linotype" w:hAnsi="Palatino Linotype" w:cs="Palatino Linotype"/>
                <w:b/>
                <w:sz w:val="20"/>
                <w:szCs w:val="20"/>
              </w:rPr>
            </w:pPr>
            <w:r w:rsidRPr="00143F90">
              <w:rPr>
                <w:rFonts w:ascii="Palatino Linotype" w:eastAsia="Palatino Linotype" w:hAnsi="Palatino Linotype" w:cs="Palatino Linotype"/>
                <w:b/>
                <w:sz w:val="20"/>
                <w:szCs w:val="20"/>
              </w:rPr>
              <w:t>¿Colma?</w:t>
            </w:r>
          </w:p>
        </w:tc>
      </w:tr>
      <w:tr w:rsidR="00335CF1" w:rsidRPr="00143F90" w14:paraId="2BB5AE1A" w14:textId="77777777">
        <w:trPr>
          <w:trHeight w:val="2127"/>
        </w:trPr>
        <w:tc>
          <w:tcPr>
            <w:tcW w:w="2753" w:type="dxa"/>
          </w:tcPr>
          <w:p w14:paraId="7640F904" w14:textId="77777777" w:rsidR="00FC6949" w:rsidRPr="00143F90" w:rsidRDefault="00697A38">
            <w:pPr>
              <w:jc w:val="both"/>
              <w:rPr>
                <w:rFonts w:ascii="Palatino Linotype" w:eastAsia="Palatino Linotype" w:hAnsi="Palatino Linotype" w:cs="Palatino Linotype"/>
                <w:b/>
                <w:sz w:val="20"/>
                <w:szCs w:val="20"/>
              </w:rPr>
            </w:pPr>
            <w:r w:rsidRPr="00143F90">
              <w:rPr>
                <w:rFonts w:ascii="Palatino Linotype" w:eastAsia="Palatino Linotype" w:hAnsi="Palatino Linotype" w:cs="Palatino Linotype"/>
                <w:b/>
                <w:sz w:val="20"/>
                <w:szCs w:val="20"/>
              </w:rPr>
              <w:t>-Cuántas solicitudes de petición se han ingresado en ese H. Ayuntamiento, relacionadas con la pavimentación de calles en cualquier colonia del municipio</w:t>
            </w:r>
          </w:p>
        </w:tc>
        <w:tc>
          <w:tcPr>
            <w:tcW w:w="3028" w:type="dxa"/>
            <w:vAlign w:val="center"/>
          </w:tcPr>
          <w:p w14:paraId="359E07B0" w14:textId="77777777" w:rsidR="00FC6949" w:rsidRPr="00143F90" w:rsidRDefault="00697A38">
            <w:pPr>
              <w:jc w:val="both"/>
              <w:rPr>
                <w:rFonts w:ascii="Palatino Linotype" w:eastAsia="Palatino Linotype" w:hAnsi="Palatino Linotype" w:cs="Palatino Linotype"/>
                <w:sz w:val="20"/>
                <w:szCs w:val="20"/>
              </w:rPr>
            </w:pPr>
            <w:r w:rsidRPr="00143F90">
              <w:rPr>
                <w:rFonts w:ascii="Palatino Linotype" w:eastAsia="Palatino Linotype" w:hAnsi="Palatino Linotype" w:cs="Palatino Linotype"/>
                <w:sz w:val="20"/>
                <w:szCs w:val="20"/>
              </w:rPr>
              <w:t xml:space="preserve">La Secretaría del Ayuntamiento informó que del uno de enero al doce de abril del año 2025, se cuenta con el registro de ingreso de </w:t>
            </w:r>
            <w:r w:rsidRPr="00143F90">
              <w:rPr>
                <w:rFonts w:ascii="Palatino Linotype" w:eastAsia="Palatino Linotype" w:hAnsi="Palatino Linotype" w:cs="Palatino Linotype"/>
                <w:b/>
                <w:sz w:val="20"/>
                <w:szCs w:val="20"/>
              </w:rPr>
              <w:t xml:space="preserve">338 peticiones ciudadanas </w:t>
            </w:r>
            <w:r w:rsidRPr="00143F90">
              <w:rPr>
                <w:rFonts w:ascii="Palatino Linotype" w:eastAsia="Palatino Linotype" w:hAnsi="Palatino Linotype" w:cs="Palatino Linotype"/>
                <w:sz w:val="20"/>
                <w:szCs w:val="20"/>
              </w:rPr>
              <w:t>en las que solicitan pavimentación de diferentes calles del Municipio de Toluca.</w:t>
            </w:r>
          </w:p>
          <w:p w14:paraId="0A99C0E2" w14:textId="77777777" w:rsidR="00FC6949" w:rsidRPr="00143F90" w:rsidRDefault="00697A38">
            <w:pPr>
              <w:jc w:val="both"/>
              <w:rPr>
                <w:rFonts w:ascii="Palatino Linotype" w:eastAsia="Palatino Linotype" w:hAnsi="Palatino Linotype" w:cs="Palatino Linotype"/>
                <w:sz w:val="20"/>
                <w:szCs w:val="20"/>
              </w:rPr>
            </w:pPr>
            <w:r w:rsidRPr="00143F90">
              <w:rPr>
                <w:rFonts w:ascii="Palatino Linotype" w:eastAsia="Palatino Linotype" w:hAnsi="Palatino Linotype" w:cs="Palatino Linotype"/>
                <w:sz w:val="20"/>
                <w:szCs w:val="20"/>
              </w:rPr>
              <w:t>El Director General de Obras Públicas informó que realizó una búsqueda exhaustiva y razonable en sus archivos, búsqueda de la que se concluyó que no se localizó expresión documental que dé cuenta de las solicitudes de petición ni de respuesta a cada petición solicitada, atendiendo al periodo comprendido del uno de enero al doce de abril de dos mil cinco, por no haberse generado ni administrado.</w:t>
            </w:r>
          </w:p>
        </w:tc>
        <w:tc>
          <w:tcPr>
            <w:tcW w:w="2890" w:type="dxa"/>
            <w:vAlign w:val="center"/>
          </w:tcPr>
          <w:p w14:paraId="47895EB1" w14:textId="77777777" w:rsidR="00FC6949" w:rsidRPr="00143F90" w:rsidRDefault="00697A38">
            <w:pPr>
              <w:jc w:val="center"/>
              <w:rPr>
                <w:rFonts w:ascii="Palatino Linotype" w:eastAsia="Palatino Linotype" w:hAnsi="Palatino Linotype" w:cs="Palatino Linotype"/>
                <w:b/>
                <w:sz w:val="20"/>
                <w:szCs w:val="20"/>
              </w:rPr>
            </w:pPr>
            <w:r w:rsidRPr="00143F90">
              <w:rPr>
                <w:rFonts w:ascii="Palatino Linotype" w:eastAsia="Palatino Linotype" w:hAnsi="Palatino Linotype" w:cs="Palatino Linotype"/>
                <w:b/>
                <w:sz w:val="20"/>
                <w:szCs w:val="20"/>
              </w:rPr>
              <w:t>No</w:t>
            </w:r>
          </w:p>
          <w:p w14:paraId="7C0275CD" w14:textId="77777777" w:rsidR="00FC6949" w:rsidRPr="00143F90" w:rsidRDefault="00697A38">
            <w:pPr>
              <w:jc w:val="both"/>
              <w:rPr>
                <w:rFonts w:ascii="Palatino Linotype" w:eastAsia="Palatino Linotype" w:hAnsi="Palatino Linotype" w:cs="Palatino Linotype"/>
                <w:sz w:val="20"/>
                <w:szCs w:val="20"/>
              </w:rPr>
            </w:pPr>
            <w:r w:rsidRPr="00143F90">
              <w:rPr>
                <w:rFonts w:ascii="Palatino Linotype" w:eastAsia="Palatino Linotype" w:hAnsi="Palatino Linotype" w:cs="Palatino Linotype"/>
                <w:sz w:val="20"/>
                <w:szCs w:val="20"/>
              </w:rPr>
              <w:t xml:space="preserve">Si bien es cierto que la Dirección General de Obras Públicas informó que después de realizar la búsqueda de la información dentro de sus archivos, no se localizó expresión documental que dé cuenta de lo solicitado, atendiendo al periodo comprendido del uno de enero al doce de abril de dos mil cinco, por no haberse generado ni administrado, lo cierto es que, quien cuenta con atribuciones para generar poseer y/o administrar la información es la Secretaría del Ayuntamiento. </w:t>
            </w:r>
          </w:p>
          <w:p w14:paraId="056E40F2" w14:textId="77777777" w:rsidR="00FC6949" w:rsidRPr="00143F90" w:rsidRDefault="00FC6949">
            <w:pPr>
              <w:jc w:val="both"/>
              <w:rPr>
                <w:rFonts w:ascii="Palatino Linotype" w:eastAsia="Palatino Linotype" w:hAnsi="Palatino Linotype" w:cs="Palatino Linotype"/>
                <w:sz w:val="20"/>
                <w:szCs w:val="20"/>
              </w:rPr>
            </w:pPr>
          </w:p>
          <w:p w14:paraId="71BE46F9" w14:textId="77777777" w:rsidR="00FC6949" w:rsidRPr="00143F90" w:rsidRDefault="00697A38">
            <w:pPr>
              <w:jc w:val="both"/>
              <w:rPr>
                <w:rFonts w:ascii="Palatino Linotype" w:eastAsia="Palatino Linotype" w:hAnsi="Palatino Linotype" w:cs="Palatino Linotype"/>
                <w:sz w:val="20"/>
                <w:szCs w:val="20"/>
              </w:rPr>
            </w:pPr>
            <w:r w:rsidRPr="00143F90">
              <w:rPr>
                <w:rFonts w:ascii="Palatino Linotype" w:eastAsia="Palatino Linotype" w:hAnsi="Palatino Linotype" w:cs="Palatino Linotype"/>
                <w:sz w:val="20"/>
                <w:szCs w:val="20"/>
              </w:rPr>
              <w:t>Ahora bien, del mismo modo se advierte que la Secretaría del Ayuntamiento informó el número de peticiones</w:t>
            </w:r>
            <w:r w:rsidRPr="00143F90">
              <w:t xml:space="preserve"> </w:t>
            </w:r>
            <w:r w:rsidRPr="00143F90">
              <w:rPr>
                <w:rFonts w:ascii="Palatino Linotype" w:eastAsia="Palatino Linotype" w:hAnsi="Palatino Linotype" w:cs="Palatino Linotype"/>
                <w:sz w:val="20"/>
                <w:szCs w:val="20"/>
              </w:rPr>
              <w:t xml:space="preserve">ciudadanas en las que solicitan pavimentación de diferentes calles del Municipio de Toluca, sin embargo, informó de un periodo diverso al solicitado, toda vez que su búsqueda se centró en el ejercicio fiscal 2025 y la temporalidad solicitada por el particular es del </w:t>
            </w:r>
            <w:r w:rsidRPr="00143F90">
              <w:rPr>
                <w:rFonts w:ascii="Palatino Linotype" w:eastAsia="Palatino Linotype" w:hAnsi="Palatino Linotype" w:cs="Palatino Linotype"/>
                <w:b/>
                <w:sz w:val="20"/>
                <w:szCs w:val="20"/>
                <w:u w:val="single"/>
              </w:rPr>
              <w:t>01 de enero al 12 de abril de 2005.</w:t>
            </w:r>
            <w:r w:rsidRPr="00143F90">
              <w:rPr>
                <w:rFonts w:ascii="Palatino Linotype" w:eastAsia="Palatino Linotype" w:hAnsi="Palatino Linotype" w:cs="Palatino Linotype"/>
                <w:sz w:val="20"/>
                <w:szCs w:val="20"/>
              </w:rPr>
              <w:t xml:space="preserve"> </w:t>
            </w:r>
          </w:p>
        </w:tc>
      </w:tr>
      <w:tr w:rsidR="00335CF1" w:rsidRPr="00143F90" w14:paraId="360653A9" w14:textId="77777777">
        <w:trPr>
          <w:trHeight w:val="1901"/>
        </w:trPr>
        <w:tc>
          <w:tcPr>
            <w:tcW w:w="2753" w:type="dxa"/>
          </w:tcPr>
          <w:p w14:paraId="73E4E7CB" w14:textId="77777777" w:rsidR="00FC6949" w:rsidRPr="00143F90" w:rsidRDefault="00FC6949">
            <w:pPr>
              <w:jc w:val="both"/>
              <w:rPr>
                <w:rFonts w:ascii="Palatino Linotype" w:eastAsia="Palatino Linotype" w:hAnsi="Palatino Linotype" w:cs="Palatino Linotype"/>
                <w:b/>
                <w:sz w:val="20"/>
                <w:szCs w:val="20"/>
              </w:rPr>
            </w:pPr>
          </w:p>
          <w:p w14:paraId="2F9D5A79" w14:textId="77777777" w:rsidR="00FC6949" w:rsidRPr="00143F90" w:rsidRDefault="00697A38">
            <w:pPr>
              <w:jc w:val="both"/>
              <w:rPr>
                <w:rFonts w:ascii="Palatino Linotype" w:eastAsia="Palatino Linotype" w:hAnsi="Palatino Linotype" w:cs="Palatino Linotype"/>
                <w:b/>
                <w:sz w:val="20"/>
                <w:szCs w:val="20"/>
              </w:rPr>
            </w:pPr>
            <w:r w:rsidRPr="00143F90">
              <w:rPr>
                <w:rFonts w:ascii="Palatino Linotype" w:eastAsia="Palatino Linotype" w:hAnsi="Palatino Linotype" w:cs="Palatino Linotype"/>
                <w:b/>
                <w:sz w:val="20"/>
                <w:szCs w:val="20"/>
              </w:rPr>
              <w:t>Respuesta a cada petición</w:t>
            </w:r>
          </w:p>
        </w:tc>
        <w:tc>
          <w:tcPr>
            <w:tcW w:w="3028" w:type="dxa"/>
            <w:vAlign w:val="center"/>
          </w:tcPr>
          <w:p w14:paraId="42A49405" w14:textId="77777777" w:rsidR="00FC6949" w:rsidRPr="00143F90" w:rsidRDefault="00697A38">
            <w:pPr>
              <w:jc w:val="both"/>
              <w:rPr>
                <w:rFonts w:ascii="Palatino Linotype" w:eastAsia="Palatino Linotype" w:hAnsi="Palatino Linotype" w:cs="Palatino Linotype"/>
                <w:sz w:val="20"/>
                <w:szCs w:val="20"/>
              </w:rPr>
            </w:pPr>
            <w:r w:rsidRPr="00143F90">
              <w:rPr>
                <w:rFonts w:ascii="Palatino Linotype" w:eastAsia="Palatino Linotype" w:hAnsi="Palatino Linotype" w:cs="Palatino Linotype"/>
                <w:sz w:val="20"/>
                <w:szCs w:val="20"/>
              </w:rPr>
              <w:t>La Secretaría del Ayuntamiento informó que, del uno de enero al doce de abril del año 2025, se cuenta con 307 respuestas a dichas peticiones.</w:t>
            </w:r>
          </w:p>
        </w:tc>
        <w:tc>
          <w:tcPr>
            <w:tcW w:w="2890" w:type="dxa"/>
            <w:vAlign w:val="center"/>
          </w:tcPr>
          <w:p w14:paraId="3ECF6945" w14:textId="77777777" w:rsidR="00FC6949" w:rsidRPr="00143F90" w:rsidRDefault="00697A38">
            <w:pPr>
              <w:jc w:val="both"/>
              <w:rPr>
                <w:rFonts w:ascii="Palatino Linotype" w:eastAsia="Palatino Linotype" w:hAnsi="Palatino Linotype" w:cs="Palatino Linotype"/>
                <w:sz w:val="20"/>
                <w:szCs w:val="20"/>
              </w:rPr>
            </w:pPr>
            <w:r w:rsidRPr="00143F90">
              <w:rPr>
                <w:rFonts w:ascii="Palatino Linotype" w:eastAsia="Palatino Linotype" w:hAnsi="Palatino Linotype" w:cs="Palatino Linotype"/>
                <w:b/>
                <w:sz w:val="20"/>
                <w:szCs w:val="20"/>
              </w:rPr>
              <w:t>NO</w:t>
            </w:r>
            <w:r w:rsidRPr="00143F90">
              <w:rPr>
                <w:rFonts w:ascii="Palatino Linotype" w:eastAsia="Palatino Linotype" w:hAnsi="Palatino Linotype" w:cs="Palatino Linotype"/>
                <w:sz w:val="20"/>
                <w:szCs w:val="20"/>
              </w:rPr>
              <w:t xml:space="preserve">, si bien es cierto que hizo entrega del número de respuestas, estas no corresponden al periodo solicitado. </w:t>
            </w:r>
          </w:p>
        </w:tc>
      </w:tr>
    </w:tbl>
    <w:p w14:paraId="2BC43AD6"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2211DF50"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Determinado lo anterior, en primera instancia es de señalar que de conformidad con el Manual de Organización de la Secretaría del Ayuntamiento, dicha unidad administrativa cuenta con las siguientes atribuciones:</w:t>
      </w:r>
    </w:p>
    <w:p w14:paraId="22B0C30D" w14:textId="77777777" w:rsidR="00FC6949" w:rsidRPr="00143F90" w:rsidRDefault="00FC6949">
      <w:pPr>
        <w:spacing w:line="276" w:lineRule="auto"/>
        <w:ind w:left="851" w:right="616"/>
        <w:jc w:val="both"/>
        <w:rPr>
          <w:rFonts w:ascii="Palatino Linotype" w:eastAsia="Palatino Linotype" w:hAnsi="Palatino Linotype" w:cs="Palatino Linotype"/>
          <w:i/>
          <w:sz w:val="22"/>
          <w:szCs w:val="22"/>
        </w:rPr>
      </w:pPr>
    </w:p>
    <w:p w14:paraId="72378C08"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2010A0000 Secretaría del Ayuntamiento</w:t>
      </w:r>
    </w:p>
    <w:p w14:paraId="58040597"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Funciones:</w:t>
      </w:r>
    </w:p>
    <w:p w14:paraId="2D576745"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0D218DBF"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27. Coadyuvar, fungir como enlace permanente entre las Autoridades</w:t>
      </w:r>
      <w:r w:rsidRPr="00143F90">
        <w:rPr>
          <w:rFonts w:ascii="Palatino Linotype" w:eastAsia="Palatino Linotype" w:hAnsi="Palatino Linotype" w:cs="Palatino Linotype"/>
          <w:i/>
          <w:sz w:val="22"/>
          <w:szCs w:val="22"/>
        </w:rPr>
        <w:t xml:space="preserve"> Auxiliares, Comités de Participación Ciudadana </w:t>
      </w:r>
      <w:r w:rsidRPr="00143F90">
        <w:rPr>
          <w:rFonts w:ascii="Palatino Linotype" w:eastAsia="Palatino Linotype" w:hAnsi="Palatino Linotype" w:cs="Palatino Linotype"/>
          <w:b/>
          <w:i/>
          <w:sz w:val="22"/>
          <w:szCs w:val="22"/>
        </w:rPr>
        <w:t>y el Ayuntamiento, para</w:t>
      </w:r>
      <w:r w:rsidRPr="00143F90">
        <w:rPr>
          <w:rFonts w:ascii="Palatino Linotype" w:eastAsia="Palatino Linotype" w:hAnsi="Palatino Linotype" w:cs="Palatino Linotype"/>
          <w:i/>
          <w:sz w:val="22"/>
          <w:szCs w:val="22"/>
        </w:rPr>
        <w:t xml:space="preserve"> la ejecución de sus planes de trabajo, </w:t>
      </w:r>
      <w:r w:rsidRPr="00143F90">
        <w:rPr>
          <w:rFonts w:ascii="Palatino Linotype" w:eastAsia="Palatino Linotype" w:hAnsi="Palatino Linotype" w:cs="Palatino Linotype"/>
          <w:b/>
          <w:i/>
          <w:sz w:val="22"/>
          <w:szCs w:val="22"/>
        </w:rPr>
        <w:t>seguimiento a las peticiones o solicitudes presentadas</w:t>
      </w:r>
      <w:r w:rsidRPr="00143F90">
        <w:rPr>
          <w:rFonts w:ascii="Palatino Linotype" w:eastAsia="Palatino Linotype" w:hAnsi="Palatino Linotype" w:cs="Palatino Linotype"/>
          <w:i/>
          <w:sz w:val="22"/>
          <w:szCs w:val="22"/>
        </w:rPr>
        <w:t xml:space="preserve"> y promover que se rinda cuenta de los mismos, a través de los informes anuales;</w:t>
      </w:r>
    </w:p>
    <w:p w14:paraId="5B479D65"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656E10B1"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u w:val="single"/>
        </w:rPr>
        <w:t xml:space="preserve">30. Coordinar y vigilar el adecuado seguimiento a las peticiones o solicitudes presentadas </w:t>
      </w:r>
      <w:r w:rsidRPr="00143F90">
        <w:rPr>
          <w:rFonts w:ascii="Palatino Linotype" w:eastAsia="Palatino Linotype" w:hAnsi="Palatino Linotype" w:cs="Palatino Linotype"/>
          <w:b/>
          <w:i/>
          <w:sz w:val="22"/>
          <w:szCs w:val="22"/>
        </w:rPr>
        <w:t>por las delegaciones, subdelegaciones municipales y consejos de participación ciudadana ante las dependencias del gobierno municipal</w:t>
      </w:r>
      <w:r w:rsidRPr="00143F90">
        <w:rPr>
          <w:rFonts w:ascii="Palatino Linotype" w:eastAsia="Palatino Linotype" w:hAnsi="Palatino Linotype" w:cs="Palatino Linotype"/>
          <w:i/>
          <w:sz w:val="22"/>
          <w:szCs w:val="22"/>
        </w:rPr>
        <w:t>; y</w:t>
      </w:r>
    </w:p>
    <w:p w14:paraId="4A8350CF" w14:textId="77777777" w:rsidR="00FC6949" w:rsidRPr="00143F90" w:rsidRDefault="00FC6949">
      <w:pPr>
        <w:spacing w:line="276" w:lineRule="auto"/>
        <w:ind w:left="851" w:right="616"/>
        <w:jc w:val="both"/>
        <w:rPr>
          <w:rFonts w:ascii="Palatino Linotype" w:eastAsia="Palatino Linotype" w:hAnsi="Palatino Linotype" w:cs="Palatino Linotype"/>
          <w:i/>
          <w:sz w:val="22"/>
          <w:szCs w:val="22"/>
        </w:rPr>
      </w:pPr>
    </w:p>
    <w:p w14:paraId="2ABFEE5E"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2010A1003 Departamento de Correspondencia</w:t>
      </w:r>
    </w:p>
    <w:p w14:paraId="20284579"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w:t>
      </w:r>
    </w:p>
    <w:p w14:paraId="43FDE4B6"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4</w:t>
      </w:r>
      <w:r w:rsidRPr="00143F90">
        <w:rPr>
          <w:rFonts w:ascii="Palatino Linotype" w:eastAsia="Palatino Linotype" w:hAnsi="Palatino Linotype" w:cs="Palatino Linotype"/>
          <w:b/>
          <w:i/>
          <w:sz w:val="22"/>
          <w:szCs w:val="22"/>
          <w:u w:val="single"/>
        </w:rPr>
        <w:t>. Registrar y capturar las peticiones ciudadanas en el Sistema Integral de Gestión Municipal</w:t>
      </w:r>
      <w:r w:rsidRPr="00143F90">
        <w:rPr>
          <w:rFonts w:ascii="Palatino Linotype" w:eastAsia="Palatino Linotype" w:hAnsi="Palatino Linotype" w:cs="Palatino Linotype"/>
          <w:b/>
          <w:i/>
          <w:sz w:val="22"/>
          <w:szCs w:val="22"/>
        </w:rPr>
        <w:t xml:space="preserve"> para su seguimiento;</w:t>
      </w:r>
    </w:p>
    <w:p w14:paraId="7E3BE4F8"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u w:val="single"/>
        </w:rPr>
        <w:t>5. Canalizar las peticiones de la ciudadanía a las dependencias responsables de su atención</w:t>
      </w:r>
      <w:r w:rsidRPr="00143F90">
        <w:rPr>
          <w:rFonts w:ascii="Palatino Linotype" w:eastAsia="Palatino Linotype" w:hAnsi="Palatino Linotype" w:cs="Palatino Linotype"/>
          <w:b/>
          <w:i/>
          <w:sz w:val="22"/>
          <w:szCs w:val="22"/>
        </w:rPr>
        <w:t>;</w:t>
      </w:r>
      <w:r w:rsidRPr="00143F90">
        <w:rPr>
          <w:rFonts w:ascii="Palatino Linotype" w:eastAsia="Palatino Linotype" w:hAnsi="Palatino Linotype" w:cs="Palatino Linotype"/>
          <w:i/>
          <w:sz w:val="22"/>
          <w:szCs w:val="22"/>
        </w:rPr>
        <w:t>…”</w:t>
      </w:r>
    </w:p>
    <w:p w14:paraId="5ACBE98A"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(Énfasis Añadido)</w:t>
      </w:r>
    </w:p>
    <w:p w14:paraId="5BCB3F41"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1F467E93"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Bajo esas líneas argumentativas se afirma que la </w:t>
      </w:r>
      <w:r w:rsidRPr="00143F90">
        <w:rPr>
          <w:rFonts w:ascii="Palatino Linotype" w:eastAsia="Palatino Linotype" w:hAnsi="Palatino Linotype" w:cs="Palatino Linotype"/>
          <w:b/>
          <w:sz w:val="22"/>
          <w:szCs w:val="22"/>
        </w:rPr>
        <w:t>Secretaría del Ayuntamiento</w:t>
      </w:r>
      <w:r w:rsidRPr="00143F90">
        <w:rPr>
          <w:rFonts w:ascii="Palatino Linotype" w:eastAsia="Palatino Linotype" w:hAnsi="Palatino Linotype" w:cs="Palatino Linotype"/>
          <w:sz w:val="22"/>
          <w:szCs w:val="22"/>
        </w:rPr>
        <w:t>,</w:t>
      </w:r>
      <w:r w:rsidRPr="00143F90">
        <w:rPr>
          <w:rFonts w:ascii="Palatino Linotype" w:eastAsia="Palatino Linotype" w:hAnsi="Palatino Linotype" w:cs="Palatino Linotype"/>
          <w:b/>
          <w:sz w:val="22"/>
          <w:szCs w:val="22"/>
        </w:rPr>
        <w:t xml:space="preserve"> </w:t>
      </w:r>
      <w:r w:rsidRPr="00143F90">
        <w:rPr>
          <w:rFonts w:ascii="Palatino Linotype" w:eastAsia="Palatino Linotype" w:hAnsi="Palatino Linotype" w:cs="Palatino Linotype"/>
          <w:sz w:val="22"/>
          <w:szCs w:val="22"/>
        </w:rPr>
        <w:t xml:space="preserve">es quien cuenta con las atribuciones necesarias para conocer de las peticiones o solicitudes presentadas ante las dependencias del gobierno municipal, a través del Departamento de Correspondencia, pues dentro de sus atribuciones se encarga de registrar y capturar las peticiones ciudadanas; mientras que la Secretaría se encarga de darles seguimiento. </w:t>
      </w:r>
    </w:p>
    <w:p w14:paraId="6E729EB2"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3E3F15F0" w14:textId="77777777" w:rsidR="00FC6949" w:rsidRPr="00143F90" w:rsidRDefault="00697A38">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Por lo tanto, en el presente asunto, se dio cabal cumplimiento con el requisito de turnar la solicitud de información al área competente que puede poseer, generar y/o administrar la información requerida. </w:t>
      </w:r>
    </w:p>
    <w:p w14:paraId="15397B05" w14:textId="77777777" w:rsidR="00FC6949" w:rsidRPr="00143F90" w:rsidRDefault="00FC6949">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93138B2"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058E240" w14:textId="77777777" w:rsidR="00FC6949" w:rsidRPr="00143F90" w:rsidRDefault="00FC6949">
      <w:pPr>
        <w:spacing w:line="360" w:lineRule="auto"/>
        <w:rPr>
          <w:rFonts w:ascii="Palatino Linotype" w:eastAsia="Palatino Linotype" w:hAnsi="Palatino Linotype" w:cs="Palatino Linotype"/>
          <w:sz w:val="22"/>
          <w:szCs w:val="22"/>
        </w:rPr>
      </w:pPr>
    </w:p>
    <w:p w14:paraId="7CEC8611" w14:textId="77777777" w:rsidR="00FC6949" w:rsidRPr="00143F90" w:rsidRDefault="00697A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8E02BB2" w14:textId="77777777" w:rsidR="00FC6949" w:rsidRPr="00143F90" w:rsidRDefault="00FC6949">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6AF90655" w14:textId="77777777" w:rsidR="00FC6949" w:rsidRPr="00143F90" w:rsidRDefault="00697A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E74CD55" w14:textId="77777777" w:rsidR="00FC6949" w:rsidRPr="00143F90" w:rsidRDefault="00FC6949">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11F629CC" w14:textId="77777777" w:rsidR="00FC6949" w:rsidRPr="00143F90" w:rsidRDefault="00697A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143F90">
        <w:rPr>
          <w:rFonts w:ascii="Palatino Linotype" w:eastAsia="Palatino Linotype" w:hAnsi="Palatino Linotype" w:cs="Palatino Linotype"/>
          <w:b/>
          <w:sz w:val="22"/>
          <w:szCs w:val="22"/>
        </w:rPr>
        <w:t>quince días, contados a partir del día siguiente a la presentación de ésta.</w:t>
      </w:r>
      <w:r w:rsidRPr="00143F90">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2BAE2A96" w14:textId="77777777" w:rsidR="00FC6949" w:rsidRPr="00143F90" w:rsidRDefault="00FC6949">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53A48E2A" w14:textId="77777777" w:rsidR="00FC6949" w:rsidRPr="00143F90" w:rsidRDefault="00697A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143F90">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AEEBAA5" w14:textId="77777777" w:rsidR="00FC6949" w:rsidRPr="00143F90" w:rsidRDefault="00FC6949">
      <w:pPr>
        <w:pBdr>
          <w:top w:val="nil"/>
          <w:left w:val="nil"/>
          <w:bottom w:val="nil"/>
          <w:right w:val="nil"/>
          <w:between w:val="nil"/>
        </w:pBdr>
        <w:spacing w:line="360" w:lineRule="auto"/>
        <w:ind w:left="720"/>
        <w:rPr>
          <w:rFonts w:ascii="Palatino Linotype" w:eastAsia="Palatino Linotype" w:hAnsi="Palatino Linotype" w:cs="Palatino Linotype"/>
          <w:b/>
          <w:sz w:val="22"/>
          <w:szCs w:val="22"/>
          <w:u w:val="single"/>
        </w:rPr>
      </w:pPr>
    </w:p>
    <w:p w14:paraId="637B4087" w14:textId="77777777" w:rsidR="00FC6949" w:rsidRPr="00143F90" w:rsidRDefault="00697A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A676D2A" w14:textId="77777777" w:rsidR="00FC6949" w:rsidRPr="00143F90" w:rsidRDefault="00FC6949">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3CD389DF" w14:textId="77777777" w:rsidR="00FC6949" w:rsidRPr="00143F90" w:rsidRDefault="00697A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1A5D10E6" w14:textId="77777777" w:rsidR="00FC6949" w:rsidRPr="00143F90" w:rsidRDefault="00FC6949">
      <w:pPr>
        <w:spacing w:line="360" w:lineRule="auto"/>
        <w:rPr>
          <w:rFonts w:ascii="Palatino Linotype" w:eastAsia="Palatino Linotype" w:hAnsi="Palatino Linotype" w:cs="Palatino Linotype"/>
          <w:sz w:val="22"/>
          <w:szCs w:val="22"/>
        </w:rPr>
      </w:pPr>
    </w:p>
    <w:p w14:paraId="7F5DF5B5" w14:textId="77777777" w:rsidR="00FC6949" w:rsidRPr="00143F90" w:rsidRDefault="00697A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En virtud de lo anterior, se insiste que, la Unidad de Transparencia turnó la solicitud a la unidad administrativa competente. </w:t>
      </w:r>
    </w:p>
    <w:p w14:paraId="52A81CC2"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16642FFF"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Acotado lo anterior, en el presente asunto es de recordar que el </w:t>
      </w:r>
      <w:r w:rsidRPr="00143F90">
        <w:rPr>
          <w:rFonts w:ascii="Palatino Linotype" w:eastAsia="Palatino Linotype" w:hAnsi="Palatino Linotype" w:cs="Palatino Linotype"/>
          <w:b/>
          <w:sz w:val="22"/>
          <w:szCs w:val="22"/>
        </w:rPr>
        <w:t xml:space="preserve">Sujeto Obligado </w:t>
      </w:r>
      <w:r w:rsidRPr="00143F90">
        <w:rPr>
          <w:rFonts w:ascii="Palatino Linotype" w:eastAsia="Palatino Linotype" w:hAnsi="Palatino Linotype" w:cs="Palatino Linotype"/>
          <w:sz w:val="22"/>
          <w:szCs w:val="22"/>
        </w:rPr>
        <w:t xml:space="preserve">en respuesta procedió a informar que </w:t>
      </w:r>
      <w:r w:rsidRPr="00143F90">
        <w:rPr>
          <w:rFonts w:ascii="Palatino Linotype" w:eastAsia="Palatino Linotype" w:hAnsi="Palatino Linotype" w:cs="Palatino Linotype"/>
          <w:b/>
          <w:sz w:val="22"/>
          <w:szCs w:val="22"/>
        </w:rPr>
        <w:t>del uno de enero al doce de abril del dos mil veinticinco</w:t>
      </w:r>
      <w:r w:rsidRPr="00143F90">
        <w:rPr>
          <w:rFonts w:ascii="Palatino Linotype" w:eastAsia="Palatino Linotype" w:hAnsi="Palatino Linotype" w:cs="Palatino Linotype"/>
          <w:sz w:val="22"/>
          <w:szCs w:val="22"/>
        </w:rPr>
        <w:t xml:space="preserve">, se cuenta con el registro de ingreso de 338 peticiones ciudadanas en las que solicitan pavimentación de diferentes calles del Municipio de Toluca y 307 respuestas a dichas solicitudes; sin embargo, este Instituto advierte que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no realizó una correcta búsqueda de la información, toda vez que la búsqueda se </w:t>
      </w:r>
      <w:proofErr w:type="spellStart"/>
      <w:r w:rsidRPr="00143F90">
        <w:rPr>
          <w:rFonts w:ascii="Palatino Linotype" w:eastAsia="Palatino Linotype" w:hAnsi="Palatino Linotype" w:cs="Palatino Linotype"/>
          <w:sz w:val="22"/>
          <w:szCs w:val="22"/>
        </w:rPr>
        <w:t>centro</w:t>
      </w:r>
      <w:proofErr w:type="spellEnd"/>
      <w:r w:rsidRPr="00143F90">
        <w:rPr>
          <w:rFonts w:ascii="Palatino Linotype" w:eastAsia="Palatino Linotype" w:hAnsi="Palatino Linotype" w:cs="Palatino Linotype"/>
          <w:sz w:val="22"/>
          <w:szCs w:val="22"/>
        </w:rPr>
        <w:t xml:space="preserve"> en un periodo distinto al solicitado; es decir, 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solicitó conocer información del ejercicio fiscal </w:t>
      </w:r>
      <w:r w:rsidRPr="00143F90">
        <w:rPr>
          <w:rFonts w:ascii="Palatino Linotype" w:eastAsia="Palatino Linotype" w:hAnsi="Palatino Linotype" w:cs="Palatino Linotype"/>
          <w:b/>
          <w:sz w:val="22"/>
          <w:szCs w:val="22"/>
          <w:u w:val="single"/>
        </w:rPr>
        <w:t>2005,</w:t>
      </w:r>
      <w:r w:rsidRPr="00143F90">
        <w:rPr>
          <w:rFonts w:ascii="Palatino Linotype" w:eastAsia="Palatino Linotype" w:hAnsi="Palatino Linotype" w:cs="Palatino Linotype"/>
          <w:sz w:val="22"/>
          <w:szCs w:val="22"/>
        </w:rPr>
        <w:t xml:space="preserve"> mientras que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centro la búsqueda de la información en el presente ejercicio fiscal, es decir en el año </w:t>
      </w:r>
      <w:r w:rsidRPr="00143F90">
        <w:rPr>
          <w:rFonts w:ascii="Palatino Linotype" w:eastAsia="Palatino Linotype" w:hAnsi="Palatino Linotype" w:cs="Palatino Linotype"/>
          <w:b/>
          <w:sz w:val="22"/>
          <w:szCs w:val="22"/>
          <w:u w:val="single"/>
        </w:rPr>
        <w:t>2025</w:t>
      </w:r>
      <w:r w:rsidRPr="00143F90">
        <w:rPr>
          <w:rFonts w:ascii="Palatino Linotype" w:eastAsia="Palatino Linotype" w:hAnsi="Palatino Linotype" w:cs="Palatino Linotype"/>
          <w:sz w:val="22"/>
          <w:szCs w:val="22"/>
        </w:rPr>
        <w:t xml:space="preserve">; por lo que, se colige que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no observó lo que dispone el Criterio 02/2017 emitido por el Instituto Nacional de Transparencia, Acceso a la Información y Protección de Datos Personales se establece que: </w:t>
      </w:r>
    </w:p>
    <w:p w14:paraId="1C92043C" w14:textId="77777777" w:rsidR="00FC6949" w:rsidRPr="00143F90" w:rsidRDefault="00FC6949">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p>
    <w:p w14:paraId="28B926EC" w14:textId="77777777" w:rsidR="00FC6949" w:rsidRPr="00143F90" w:rsidRDefault="00697A38">
      <w:pPr>
        <w:shd w:val="clear" w:color="auto" w:fill="FFFFFF"/>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 xml:space="preserve">Congruencia y exhaustividad. Sus alcances para garantizar el derecho de acceso a la información. </w:t>
      </w:r>
      <w:r w:rsidRPr="00143F90">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216FD41" w14:textId="77777777" w:rsidR="00FC6949" w:rsidRPr="00143F90" w:rsidRDefault="00FC6949">
      <w:pPr>
        <w:shd w:val="clear" w:color="auto" w:fill="FFFFFF"/>
        <w:spacing w:line="360" w:lineRule="auto"/>
        <w:ind w:right="49"/>
        <w:jc w:val="both"/>
        <w:rPr>
          <w:rFonts w:ascii="Palatino Linotype" w:eastAsia="Palatino Linotype" w:hAnsi="Palatino Linotype" w:cs="Palatino Linotype"/>
          <w:sz w:val="22"/>
          <w:szCs w:val="22"/>
        </w:rPr>
      </w:pPr>
    </w:p>
    <w:p w14:paraId="26FE986E"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bookmarkStart w:id="5" w:name="_heading=h.3bt4j0jw0mlv" w:colFirst="0" w:colLast="0"/>
      <w:bookmarkEnd w:id="5"/>
      <w:r w:rsidRPr="00143F90">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143F90">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143F90">
        <w:rPr>
          <w:rFonts w:ascii="Palatino Linotype" w:eastAsia="Palatino Linotype" w:hAnsi="Palatino Linotype" w:cs="Palatino Linotype"/>
          <w:sz w:val="22"/>
          <w:szCs w:val="22"/>
        </w:rPr>
        <w:t xml:space="preserve">, mientras que la exhaustividad establece que el sujeto obligado </w:t>
      </w:r>
      <w:r w:rsidRPr="00143F90">
        <w:rPr>
          <w:rFonts w:ascii="Palatino Linotype" w:eastAsia="Palatino Linotype" w:hAnsi="Palatino Linotype" w:cs="Palatino Linotype"/>
          <w:b/>
          <w:sz w:val="22"/>
          <w:szCs w:val="22"/>
        </w:rPr>
        <w:t>deberá atender de manera expresa cada uno de los puntos solicitados</w:t>
      </w:r>
      <w:r w:rsidRPr="00143F90">
        <w:rPr>
          <w:rFonts w:ascii="Palatino Linotype" w:eastAsia="Palatino Linotype" w:hAnsi="Palatino Linotype" w:cs="Palatino Linotype"/>
          <w:sz w:val="22"/>
          <w:szCs w:val="22"/>
        </w:rPr>
        <w:t xml:space="preserve">, situación que en el presente caso </w:t>
      </w:r>
      <w:r w:rsidRPr="00143F90">
        <w:rPr>
          <w:rFonts w:ascii="Palatino Linotype" w:eastAsia="Palatino Linotype" w:hAnsi="Palatino Linotype" w:cs="Palatino Linotype"/>
          <w:b/>
          <w:sz w:val="22"/>
          <w:szCs w:val="22"/>
          <w:u w:val="single"/>
        </w:rPr>
        <w:t>no aconteció</w:t>
      </w:r>
      <w:r w:rsidRPr="00143F90">
        <w:rPr>
          <w:rFonts w:ascii="Palatino Linotype" w:eastAsia="Palatino Linotype" w:hAnsi="Palatino Linotype" w:cs="Palatino Linotype"/>
          <w:sz w:val="22"/>
          <w:szCs w:val="22"/>
        </w:rPr>
        <w:t xml:space="preserve">, pues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no fue congruente en proporcionar la información que requirió específicamente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xml:space="preserve">; por lo que este Organismo Garante considera oportuno ordenar la entrega, de ser procedente en versión pública, del documento en donde conste el número de peticiones ciudadanas en la que se solicitó la pavimentación de calles dentro del Municipio de Toluca; así como, las respuestas realizadas a dichas peticiones, del primero de enero al doce de abril de dos mil cinco. </w:t>
      </w:r>
    </w:p>
    <w:p w14:paraId="102A8A6E"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4B0D68F7"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Ahora bien, no debe dejarse de lado que, por la temporalidad de la información solicitada, es posible que los documentos por tener más de seis años el más antiguo no obrara en los archivos por haberse realizado la baja documental; por lo que, lo procedente es emitir una declaratoria formal de la inexistencia, acompañada del acta de la baja documental que acredite la legal destrucción de la información solicitada.</w:t>
      </w:r>
    </w:p>
    <w:p w14:paraId="5C809EC0"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4D570F7B"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Lo anterior, en términos de lo que señala el artículo 19, tercer párrafo, 49, fracciones II y XIII; 169 y 170 de la Ley de Transparencia y Acceso a la Información Pública del Estado de México y Municipios, que se leen como sigue:</w:t>
      </w:r>
    </w:p>
    <w:p w14:paraId="1FF9B275" w14:textId="77777777" w:rsidR="00FC6949" w:rsidRPr="00143F90" w:rsidRDefault="00FC6949">
      <w:pPr>
        <w:spacing w:line="360" w:lineRule="auto"/>
        <w:ind w:right="49"/>
        <w:jc w:val="both"/>
        <w:rPr>
          <w:rFonts w:ascii="Palatino Linotype" w:eastAsia="Palatino Linotype" w:hAnsi="Palatino Linotype" w:cs="Palatino Linotype"/>
          <w:i/>
          <w:sz w:val="22"/>
          <w:szCs w:val="22"/>
        </w:rPr>
      </w:pPr>
    </w:p>
    <w:p w14:paraId="49400500"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19.</w:t>
      </w:r>
      <w:r w:rsidRPr="00143F90">
        <w:rPr>
          <w:rFonts w:ascii="Palatino Linotype" w:eastAsia="Palatino Linotype" w:hAnsi="Palatino Linotype" w:cs="Palatino Linotype"/>
          <w:i/>
          <w:sz w:val="22"/>
          <w:szCs w:val="22"/>
        </w:rPr>
        <w:t xml:space="preserve"> (…)</w:t>
      </w:r>
    </w:p>
    <w:p w14:paraId="380CAA51"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143F90">
        <w:rPr>
          <w:rFonts w:ascii="Palatino Linotype" w:eastAsia="Palatino Linotype" w:hAnsi="Palatino Linotype" w:cs="Palatino Linotype"/>
          <w:i/>
          <w:sz w:val="22"/>
          <w:szCs w:val="22"/>
        </w:rPr>
        <w:t>, debidamente fundado y motivado, en el que detalle las razones del por qué no obra en sus archivos.”</w:t>
      </w:r>
    </w:p>
    <w:p w14:paraId="58EEACAE"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49.</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Los Comités de Transparencia</w:t>
      </w:r>
      <w:r w:rsidRPr="00143F90">
        <w:rPr>
          <w:rFonts w:ascii="Palatino Linotype" w:eastAsia="Palatino Linotype" w:hAnsi="Palatino Linotype" w:cs="Palatino Linotype"/>
          <w:i/>
          <w:sz w:val="22"/>
          <w:szCs w:val="22"/>
        </w:rPr>
        <w:t xml:space="preserve"> tendrán las siguientes </w:t>
      </w:r>
      <w:r w:rsidRPr="00143F90">
        <w:rPr>
          <w:rFonts w:ascii="Palatino Linotype" w:eastAsia="Palatino Linotype" w:hAnsi="Palatino Linotype" w:cs="Palatino Linotype"/>
          <w:b/>
          <w:i/>
          <w:sz w:val="22"/>
          <w:szCs w:val="22"/>
        </w:rPr>
        <w:t>atribuciones</w:t>
      </w:r>
      <w:r w:rsidRPr="00143F90">
        <w:rPr>
          <w:rFonts w:ascii="Palatino Linotype" w:eastAsia="Palatino Linotype" w:hAnsi="Palatino Linotype" w:cs="Palatino Linotype"/>
          <w:i/>
          <w:sz w:val="22"/>
          <w:szCs w:val="22"/>
        </w:rPr>
        <w:t>:</w:t>
      </w:r>
    </w:p>
    <w:p w14:paraId="57638572"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II.</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Confirmar, modificar o revocar las determinaciones que en materia de</w:t>
      </w:r>
      <w:r w:rsidRPr="00143F90">
        <w:rPr>
          <w:rFonts w:ascii="Palatino Linotype" w:eastAsia="Palatino Linotype" w:hAnsi="Palatino Linotype" w:cs="Palatino Linotype"/>
          <w:i/>
          <w:sz w:val="22"/>
          <w:szCs w:val="22"/>
        </w:rPr>
        <w:t xml:space="preserve"> ampliación del plazo de respuesta, clasificación de la información y </w:t>
      </w:r>
      <w:r w:rsidRPr="00143F90">
        <w:rPr>
          <w:rFonts w:ascii="Palatino Linotype" w:eastAsia="Palatino Linotype" w:hAnsi="Palatino Linotype" w:cs="Palatino Linotype"/>
          <w:b/>
          <w:i/>
          <w:sz w:val="22"/>
          <w:szCs w:val="22"/>
        </w:rPr>
        <w:t>declaración de inexistencia</w:t>
      </w:r>
      <w:r w:rsidRPr="00143F90">
        <w:rPr>
          <w:rFonts w:ascii="Palatino Linotype" w:eastAsia="Palatino Linotype" w:hAnsi="Palatino Linotype" w:cs="Palatino Linotype"/>
          <w:i/>
          <w:sz w:val="22"/>
          <w:szCs w:val="22"/>
        </w:rPr>
        <w:t xml:space="preserve"> o de incompetencia realicen los titulares de las áreas de los sujetos obligados;</w:t>
      </w:r>
    </w:p>
    <w:p w14:paraId="20035862"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XIII</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Dictaminar las declaratorias de inexistencia de la información</w:t>
      </w:r>
      <w:r w:rsidRPr="00143F90">
        <w:rPr>
          <w:rFonts w:ascii="Palatino Linotype" w:eastAsia="Palatino Linotype" w:hAnsi="Palatino Linotype" w:cs="Palatino Linotype"/>
          <w:i/>
          <w:sz w:val="22"/>
          <w:szCs w:val="22"/>
        </w:rPr>
        <w:t xml:space="preserve"> que les remitan las unidades administrativas y resolver en consecuencia…”</w:t>
      </w:r>
    </w:p>
    <w:p w14:paraId="3B6265A5"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169</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Cuando la información no se encuentre en los archivos del sujeto obligado, el Comité de Transparencia</w:t>
      </w:r>
      <w:r w:rsidRPr="00143F90">
        <w:rPr>
          <w:rFonts w:ascii="Palatino Linotype" w:eastAsia="Palatino Linotype" w:hAnsi="Palatino Linotype" w:cs="Palatino Linotype"/>
          <w:i/>
          <w:sz w:val="22"/>
          <w:szCs w:val="22"/>
        </w:rPr>
        <w:t>: </w:t>
      </w:r>
    </w:p>
    <w:p w14:paraId="48E22DB4"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I.</w:t>
      </w:r>
      <w:r w:rsidRPr="00143F90">
        <w:rPr>
          <w:rFonts w:ascii="Palatino Linotype" w:eastAsia="Palatino Linotype" w:hAnsi="Palatino Linotype" w:cs="Palatino Linotype"/>
          <w:i/>
          <w:sz w:val="22"/>
          <w:szCs w:val="22"/>
        </w:rPr>
        <w:t xml:space="preserve"> Analizará el caso y tomará las medidas necesarias para localizar la información; </w:t>
      </w:r>
    </w:p>
    <w:p w14:paraId="2800262A"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II</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Expedirá una resolución que confirme la inexistencia del documento</w:t>
      </w:r>
      <w:r w:rsidRPr="00143F90">
        <w:rPr>
          <w:rFonts w:ascii="Palatino Linotype" w:eastAsia="Palatino Linotype" w:hAnsi="Palatino Linotype" w:cs="Palatino Linotype"/>
          <w:i/>
          <w:sz w:val="22"/>
          <w:szCs w:val="22"/>
        </w:rPr>
        <w:t>; </w:t>
      </w:r>
    </w:p>
    <w:p w14:paraId="28C4CF95"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III.</w:t>
      </w:r>
      <w:r w:rsidRPr="00143F90">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15C550E"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IV.</w:t>
      </w:r>
      <w:r w:rsidRPr="00143F90">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6E37D053"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 </w:t>
      </w:r>
    </w:p>
    <w:p w14:paraId="6E4002FA"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8BF105B"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170.</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que permitan al solicitante tener la certeza de que se utilizó un criterio de búsqueda exhaustivo</w:t>
      </w:r>
      <w:r w:rsidRPr="00143F90">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44E33D50"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5CB40020"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Asimismo, el entonces Instituto Nacional de Transparencia, Acceso a la Información y Protección de Datos Personales en su criterio orientador SO/014/2019, señala lo siguiente respecto a la baja documental:</w:t>
      </w:r>
    </w:p>
    <w:p w14:paraId="0075B235"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3E4241EB" w14:textId="77777777" w:rsidR="00FC6949" w:rsidRPr="00143F90" w:rsidRDefault="00697A38">
      <w:pPr>
        <w:tabs>
          <w:tab w:val="left" w:pos="1134"/>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 xml:space="preserve">“Baja documental. Las dependencias y entidades deben proporcionar los particulares el documento que acredite dicha situación. </w:t>
      </w:r>
      <w:r w:rsidRPr="00143F90">
        <w:rPr>
          <w:rFonts w:ascii="Palatino Linotype" w:eastAsia="Palatino Linotype" w:hAnsi="Palatino Linotype" w:cs="Palatino Linotype"/>
          <w:i/>
          <w:sz w:val="22"/>
          <w:szCs w:val="22"/>
        </w:rPr>
        <w:t>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 </w:t>
      </w:r>
    </w:p>
    <w:p w14:paraId="0EE7A3BA" w14:textId="77777777" w:rsidR="00FC6949" w:rsidRPr="00143F90" w:rsidRDefault="00FC6949">
      <w:pPr>
        <w:tabs>
          <w:tab w:val="left" w:pos="1134"/>
        </w:tabs>
        <w:spacing w:line="276" w:lineRule="auto"/>
        <w:ind w:left="851" w:right="616"/>
        <w:jc w:val="both"/>
        <w:rPr>
          <w:rFonts w:ascii="Palatino Linotype" w:eastAsia="Palatino Linotype" w:hAnsi="Palatino Linotype" w:cs="Palatino Linotype"/>
          <w:i/>
          <w:sz w:val="22"/>
          <w:szCs w:val="22"/>
        </w:rPr>
      </w:pPr>
    </w:p>
    <w:p w14:paraId="6780BCDB" w14:textId="77777777" w:rsidR="00FC6949" w:rsidRPr="00143F90" w:rsidRDefault="00697A38">
      <w:pPr>
        <w:tabs>
          <w:tab w:val="left" w:pos="1134"/>
        </w:tabs>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Precedentes:</w:t>
      </w:r>
    </w:p>
    <w:p w14:paraId="50DA16CB" w14:textId="77777777" w:rsidR="00FC6949" w:rsidRPr="00143F90" w:rsidRDefault="00697A38">
      <w:pPr>
        <w:numPr>
          <w:ilvl w:val="0"/>
          <w:numId w:val="7"/>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Acceso a la información pública. 4650/07. Sesión del 06 de febrero de 2008. Votación por unanimidad. Sin votos disidentes o particulares. Instituto de Seguridad y Servicios Sociales de los Trabajadores del Estado. Comisionado Ponente Alonso Lujambio Irazábal.</w:t>
      </w:r>
    </w:p>
    <w:p w14:paraId="59A93F8A" w14:textId="77777777" w:rsidR="00FC6949" w:rsidRPr="00143F90" w:rsidRDefault="00697A38">
      <w:pPr>
        <w:numPr>
          <w:ilvl w:val="0"/>
          <w:numId w:val="7"/>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Acceso a la información pública. 0908/08. Sesión del 14 de mayo de 2008. Votación por unanimidad. Sin votos disidentes o particulares. Instituto Mexicano del Seguro Social. Comisionado Ponente Alonso Lujambio Irazábal.</w:t>
      </w:r>
    </w:p>
    <w:p w14:paraId="4CF76A26" w14:textId="77777777" w:rsidR="00FC6949" w:rsidRPr="00143F90" w:rsidRDefault="00697A38">
      <w:pPr>
        <w:numPr>
          <w:ilvl w:val="0"/>
          <w:numId w:val="7"/>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Acceso a la información pública. 4961/08. Sesión del 04 de febrero de 2009. Votación por unanimidad. Sin votos disidentes o particulares. Instituto Mexicano del Seguro Social. Comisionado Ponente Alonso Gómez-Robledo V. </w:t>
      </w:r>
    </w:p>
    <w:p w14:paraId="4AB0058D" w14:textId="77777777" w:rsidR="00FC6949" w:rsidRPr="00143F90" w:rsidRDefault="00697A38">
      <w:pPr>
        <w:numPr>
          <w:ilvl w:val="0"/>
          <w:numId w:val="7"/>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Acceso a la información pública. 0820/09. Sesión del 25 de marzo de 2009. Votación por unanimidad. Sin votos disidentes o particulares. Secretaría de Agricultura, Ganadería, Desarrollo Rural, Pesca y Alimentación. Comisionada Ponente Jacqueline </w:t>
      </w:r>
      <w:proofErr w:type="spellStart"/>
      <w:r w:rsidRPr="00143F90">
        <w:rPr>
          <w:rFonts w:ascii="Palatino Linotype" w:eastAsia="Palatino Linotype" w:hAnsi="Palatino Linotype" w:cs="Palatino Linotype"/>
          <w:i/>
          <w:sz w:val="22"/>
          <w:szCs w:val="22"/>
        </w:rPr>
        <w:t>Peschard</w:t>
      </w:r>
      <w:proofErr w:type="spellEnd"/>
      <w:r w:rsidRPr="00143F90">
        <w:rPr>
          <w:rFonts w:ascii="Palatino Linotype" w:eastAsia="Palatino Linotype" w:hAnsi="Palatino Linotype" w:cs="Palatino Linotype"/>
          <w:i/>
          <w:sz w:val="22"/>
          <w:szCs w:val="22"/>
        </w:rPr>
        <w:t xml:space="preserve"> Mariscal.</w:t>
      </w:r>
    </w:p>
    <w:p w14:paraId="5DD1D294" w14:textId="77777777" w:rsidR="00FC6949" w:rsidRPr="00143F90" w:rsidRDefault="00697A38">
      <w:pPr>
        <w:numPr>
          <w:ilvl w:val="0"/>
          <w:numId w:val="7"/>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Acceso a la información pública. 3928/09. Sesión del 14 de octubre de 2009. Votación por unanimidad. Sin votos disidentes o particulares. Administración Federal de Servicios Educativos en el Distrito Federal. Comisionada Ponente María </w:t>
      </w:r>
      <w:proofErr w:type="spellStart"/>
      <w:r w:rsidRPr="00143F90">
        <w:rPr>
          <w:rFonts w:ascii="Palatino Linotype" w:eastAsia="Palatino Linotype" w:hAnsi="Palatino Linotype" w:cs="Palatino Linotype"/>
          <w:i/>
          <w:sz w:val="22"/>
          <w:szCs w:val="22"/>
        </w:rPr>
        <w:t>Marván</w:t>
      </w:r>
      <w:proofErr w:type="spellEnd"/>
      <w:r w:rsidRPr="00143F90">
        <w:rPr>
          <w:rFonts w:ascii="Palatino Linotype" w:eastAsia="Palatino Linotype" w:hAnsi="Palatino Linotype" w:cs="Palatino Linotype"/>
          <w:i/>
          <w:sz w:val="22"/>
          <w:szCs w:val="22"/>
        </w:rPr>
        <w:t xml:space="preserve"> Laborde.”</w:t>
      </w:r>
    </w:p>
    <w:p w14:paraId="5588683B" w14:textId="77777777" w:rsidR="00FC6949" w:rsidRPr="00143F90" w:rsidRDefault="00FC6949">
      <w:pPr>
        <w:spacing w:line="360" w:lineRule="auto"/>
        <w:ind w:right="49"/>
        <w:jc w:val="both"/>
        <w:rPr>
          <w:rFonts w:ascii="Palatino Linotype" w:eastAsia="Palatino Linotype" w:hAnsi="Palatino Linotype" w:cs="Palatino Linotype"/>
          <w:i/>
          <w:sz w:val="22"/>
          <w:szCs w:val="22"/>
        </w:rPr>
      </w:pPr>
    </w:p>
    <w:p w14:paraId="6D1391EC"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Dicho de otro modo, deberá procederse a la emisión de una resolución que confirme la inexistencia de la información solicitada por parte del Comité de Transparencia del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debidamente fundado y motivado en el que se detallen las razones por las que la información no obra en sus archivos, misma que deberá ser acompañada de los actos que comprueben que se ordenó la realización de una búsqueda exhaustiva, a fin de generar certeza a 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y comprobar la inexistencia de la información.</w:t>
      </w:r>
    </w:p>
    <w:p w14:paraId="22D1F98E"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6C5F88EF"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Tiene aplicación al respecto el criterio de interpretación en el orden administrativo número 0004-11 emitido por este Instituto, cuyo contenido es del tenor literal siguiente:</w:t>
      </w:r>
    </w:p>
    <w:p w14:paraId="28153C8D"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51C0AD49"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INEXISTENCIA. DECLARATORIA DE LA. ALCANCES Y PROCEDIMIENTOS</w:t>
      </w:r>
      <w:r w:rsidRPr="00143F90">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67C4AEF8"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Bajo el entendido de que dicha búsqueda exhaustiva permitirá dos determinaciones: </w:t>
      </w:r>
    </w:p>
    <w:p w14:paraId="7F795E0B"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1ª)</w:t>
      </w:r>
      <w:r w:rsidRPr="00143F90">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6E19D929"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i/>
          <w:sz w:val="22"/>
          <w:szCs w:val="22"/>
        </w:rPr>
        <w:t>2ª)</w:t>
      </w:r>
      <w:r w:rsidRPr="00143F90">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70ACDBD3"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27A1714"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10D423A0"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debió de haber generado, administrado o poseído la información pero en incumplimiento a la norma no lo llevo a cabo. Tal como se lee del criterio que para mayor referencia se transcribe a continuación:</w:t>
      </w:r>
    </w:p>
    <w:p w14:paraId="35675DEF"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598B6520"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INEXISTENCIA, CONCEPTO DE, EN MATERIA DE TRANSPARENCIA</w:t>
      </w:r>
      <w:r w:rsidRPr="00143F90">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143F90">
        <w:rPr>
          <w:rFonts w:ascii="Palatino Linotype" w:eastAsia="Palatino Linotype" w:hAnsi="Palatino Linotype" w:cs="Palatino Linotype"/>
          <w:b/>
          <w:i/>
          <w:sz w:val="22"/>
          <w:szCs w:val="22"/>
        </w:rPr>
        <w:t>supuestos:</w:t>
      </w:r>
      <w:r w:rsidRPr="00143F90">
        <w:rPr>
          <w:rFonts w:ascii="Palatino Linotype" w:eastAsia="Palatino Linotype" w:hAnsi="Palatino Linotype" w:cs="Palatino Linotype"/>
          <w:i/>
          <w:sz w:val="22"/>
          <w:szCs w:val="22"/>
        </w:rPr>
        <w:t> </w:t>
      </w:r>
    </w:p>
    <w:p w14:paraId="53B36B85"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530A090" w14:textId="77777777" w:rsidR="00FC6949" w:rsidRPr="00143F90" w:rsidRDefault="00697A38">
      <w:pPr>
        <w:numPr>
          <w:ilvl w:val="0"/>
          <w:numId w:val="8"/>
        </w:num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En los casos en que por las atribuciones conferidas al Sujeto Obligado éste debió generar, administrar o poseer la información, pero en incumplimiento a la normatividad respectiva no llevó a cabo ninguna de esas acciones. </w:t>
      </w:r>
    </w:p>
    <w:p w14:paraId="558C8695" w14:textId="77777777" w:rsidR="00FC6949" w:rsidRPr="00143F90" w:rsidRDefault="00697A38">
      <w:pPr>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B13ECE8"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16742D8A"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Por tanto, la declaratoria de inexistencia no es un mero trámite por el cual de manera mecánica o simple manifieste que la información no existe en sus archivos</w:t>
      </w:r>
      <w:r w:rsidRPr="00143F90">
        <w:rPr>
          <w:rFonts w:ascii="Palatino Linotype" w:eastAsia="Palatino Linotype" w:hAnsi="Palatino Linotype" w:cs="Palatino Linotype"/>
          <w:b/>
          <w:sz w:val="22"/>
          <w:szCs w:val="22"/>
        </w:rPr>
        <w:t xml:space="preserve">, </w:t>
      </w:r>
      <w:r w:rsidRPr="00143F90">
        <w:rPr>
          <w:rFonts w:ascii="Palatino Linotype" w:eastAsia="Palatino Linotype" w:hAnsi="Palatino Linotype" w:cs="Palatino Linotype"/>
          <w:sz w:val="22"/>
          <w:szCs w:val="22"/>
        </w:rPr>
        <w:t xml:space="preserve">cuando la misma por disposición legal debería de obrar, sino que su contenido y alcance implica la responsabilidad y atribución del Comité de Transparencia del </w:t>
      </w:r>
      <w:r w:rsidRPr="00143F90">
        <w:rPr>
          <w:rFonts w:ascii="Palatino Linotype" w:eastAsia="Palatino Linotype" w:hAnsi="Palatino Linotype" w:cs="Palatino Linotype"/>
          <w:b/>
          <w:sz w:val="22"/>
          <w:szCs w:val="22"/>
        </w:rPr>
        <w:t xml:space="preserve">Sujeto Obligado, </w:t>
      </w:r>
      <w:r w:rsidRPr="00143F90">
        <w:rPr>
          <w:rFonts w:ascii="Palatino Linotype" w:eastAsia="Palatino Linotype" w:hAnsi="Palatino Linotype" w:cs="Palatino Linotype"/>
          <w:sz w:val="22"/>
          <w:szCs w:val="22"/>
        </w:rPr>
        <w:t>de instruir una búsqueda exhaustiva a todas y cada una de las áreas administrativas de las que se compone, que permitirá:</w:t>
      </w:r>
    </w:p>
    <w:p w14:paraId="0203D5E3"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68311544" w14:textId="77777777" w:rsidR="00FC6949" w:rsidRPr="00143F90" w:rsidRDefault="00697A38">
      <w:pPr>
        <w:numPr>
          <w:ilvl w:val="0"/>
          <w:numId w:val="9"/>
        </w:num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3E09CD90" w14:textId="77777777" w:rsidR="00FC6949" w:rsidRPr="00143F90" w:rsidRDefault="00FC6949">
      <w:pPr>
        <w:spacing w:line="360" w:lineRule="auto"/>
        <w:ind w:right="49"/>
        <w:jc w:val="both"/>
        <w:rPr>
          <w:rFonts w:ascii="Palatino Linotype" w:eastAsia="Palatino Linotype" w:hAnsi="Palatino Linotype" w:cs="Palatino Linotype"/>
          <w:sz w:val="22"/>
          <w:szCs w:val="22"/>
        </w:rPr>
      </w:pPr>
    </w:p>
    <w:p w14:paraId="191FE176"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De actualizarse esta primera hipótesis, la información debe entregarse a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xml:space="preserve"> a través del o los documentos fuente.</w:t>
      </w:r>
    </w:p>
    <w:p w14:paraId="77191EAA" w14:textId="77777777" w:rsidR="00FC6949" w:rsidRPr="00143F90" w:rsidRDefault="00FC6949">
      <w:pPr>
        <w:spacing w:line="360" w:lineRule="auto"/>
        <w:ind w:left="720" w:right="49"/>
        <w:jc w:val="both"/>
        <w:rPr>
          <w:rFonts w:ascii="Palatino Linotype" w:eastAsia="Palatino Linotype" w:hAnsi="Palatino Linotype" w:cs="Palatino Linotype"/>
          <w:sz w:val="22"/>
          <w:szCs w:val="22"/>
        </w:rPr>
      </w:pPr>
    </w:p>
    <w:p w14:paraId="19BA65CF" w14:textId="77777777" w:rsidR="00FC6949" w:rsidRPr="00143F90" w:rsidRDefault="00697A38">
      <w:pPr>
        <w:numPr>
          <w:ilvl w:val="0"/>
          <w:numId w:val="9"/>
        </w:num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Que no se localice documento alguno que contenga la información requerida, en este supuesto, el Comité de Transparencia deberá resolver la declaratoria de inexistencia de la información y notificarla a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xml:space="preserve"> y a este Pleno.</w:t>
      </w:r>
    </w:p>
    <w:p w14:paraId="1EE06807" w14:textId="77777777" w:rsidR="00FC6949" w:rsidRPr="00143F90" w:rsidRDefault="00697A38">
      <w:pPr>
        <w:numPr>
          <w:ilvl w:val="0"/>
          <w:numId w:val="9"/>
        </w:num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Que se ordene siempre que sea materialmente posible, que se genere o reponga la información en caso de que ésta tuviera que existir, derivado del ejercicio de sus facultades.</w:t>
      </w:r>
    </w:p>
    <w:p w14:paraId="2203A65E"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0112251E" w14:textId="77777777" w:rsidR="00FC6949" w:rsidRPr="00143F90" w:rsidRDefault="00FC6949">
      <w:pPr>
        <w:spacing w:line="360" w:lineRule="auto"/>
        <w:ind w:right="49"/>
        <w:jc w:val="both"/>
        <w:rPr>
          <w:rFonts w:ascii="Palatino Linotype" w:eastAsia="Palatino Linotype" w:hAnsi="Palatino Linotype" w:cs="Palatino Linotype"/>
          <w:b/>
          <w:sz w:val="22"/>
          <w:szCs w:val="22"/>
        </w:rPr>
      </w:pPr>
    </w:p>
    <w:p w14:paraId="30268F85" w14:textId="77777777" w:rsidR="00FC6949" w:rsidRPr="00143F90" w:rsidRDefault="00697A38">
      <w:pPr>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Quinto. Versión Pública. </w:t>
      </w:r>
      <w:r w:rsidRPr="00143F9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25CADD2"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488521B9"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En ese sentido,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366BA2DB"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5A536D92" w14:textId="77777777" w:rsidR="00FC6949" w:rsidRPr="00143F90" w:rsidRDefault="00697A38">
      <w:pPr>
        <w:numPr>
          <w:ilvl w:val="0"/>
          <w:numId w:val="4"/>
        </w:num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Nombre de persona física </w:t>
      </w:r>
    </w:p>
    <w:p w14:paraId="4D9F54DA" w14:textId="77777777" w:rsidR="00FC6949" w:rsidRPr="00143F90" w:rsidRDefault="00697A38">
      <w:pPr>
        <w:spacing w:line="360" w:lineRule="auto"/>
        <w:ind w:right="-93"/>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por lo que es confidencial, en términos del artículo 143, fracción I de la Ley de Transparencia y Acceso a la Información Pública del Estado de México y Municipios. </w:t>
      </w:r>
    </w:p>
    <w:p w14:paraId="74870EBA"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C4CE61C" w14:textId="77777777" w:rsidR="00FC6949" w:rsidRPr="00143F90" w:rsidRDefault="00697A3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Por lo que corresponde al CURP, dicho dato personal es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D24B9C8" w14:textId="77777777" w:rsidR="00FC6949" w:rsidRPr="00143F90" w:rsidRDefault="00FC6949">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sz w:val="22"/>
          <w:szCs w:val="22"/>
        </w:rPr>
      </w:pPr>
    </w:p>
    <w:p w14:paraId="74F80000" w14:textId="77777777" w:rsidR="00FC6949" w:rsidRPr="00143F90" w:rsidRDefault="00697A38">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Ante ello, resulta aplicable el Criterio 18/17 emitido por el Instituto Nacional de Transparencia, Acceso a la Información y Protección de Datos Personales, que a la literalidad señala: </w:t>
      </w:r>
    </w:p>
    <w:p w14:paraId="6924F1BD" w14:textId="77777777" w:rsidR="00FC6949" w:rsidRPr="00143F90" w:rsidRDefault="00FC6949">
      <w:pPr>
        <w:pBdr>
          <w:top w:val="nil"/>
          <w:left w:val="nil"/>
          <w:bottom w:val="nil"/>
          <w:right w:val="nil"/>
          <w:between w:val="nil"/>
        </w:pBdr>
        <w:spacing w:line="360" w:lineRule="auto"/>
        <w:ind w:left="567" w:right="616"/>
        <w:rPr>
          <w:rFonts w:ascii="Palatino Linotype" w:eastAsia="Palatino Linotype" w:hAnsi="Palatino Linotype" w:cs="Palatino Linotype"/>
          <w:i/>
          <w:sz w:val="22"/>
          <w:szCs w:val="22"/>
        </w:rPr>
      </w:pPr>
    </w:p>
    <w:p w14:paraId="495AD5AC" w14:textId="77777777" w:rsidR="00FC6949" w:rsidRPr="00143F90" w:rsidRDefault="00697A38">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 xml:space="preserve">Clave Única de Registro de Población (CURP). </w:t>
      </w:r>
      <w:r w:rsidRPr="00143F9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3CC4048C" w14:textId="77777777" w:rsidR="00FC6949" w:rsidRPr="00143F90" w:rsidRDefault="00FC694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6EF3943" w14:textId="77777777" w:rsidR="00FC6949" w:rsidRPr="00143F90" w:rsidRDefault="00697A3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Por lo que corresponde al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274A757" w14:textId="77777777" w:rsidR="00FC6949" w:rsidRPr="00143F90" w:rsidRDefault="00FC694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4492F1"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143F90">
        <w:rPr>
          <w:rFonts w:ascii="Palatino Linotype" w:eastAsia="Palatino Linotype" w:hAnsi="Palatino Linotype" w:cs="Palatino Linotype"/>
          <w:sz w:val="22"/>
          <w:szCs w:val="22"/>
        </w:rPr>
        <w:t>homoclave</w:t>
      </w:r>
      <w:proofErr w:type="spellEnd"/>
      <w:r w:rsidRPr="00143F90">
        <w:rPr>
          <w:rFonts w:ascii="Palatino Linotype" w:eastAsia="Palatino Linotype" w:hAnsi="Palatino Linotype" w:cs="Palatino Linotype"/>
          <w:sz w:val="22"/>
          <w:szCs w:val="22"/>
        </w:rPr>
        <w:t xml:space="preserve"> que establece el sistema automático del Servicio de Administración Tributaria.</w:t>
      </w:r>
    </w:p>
    <w:p w14:paraId="51C5F553" w14:textId="77777777" w:rsidR="00FC6949" w:rsidRPr="00143F90" w:rsidRDefault="00FC6949">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32615FD3"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CA5DFFE" w14:textId="77777777" w:rsidR="00FC6949" w:rsidRPr="00143F90" w:rsidRDefault="00FC6949">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628EF1E8"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0E33AEF" w14:textId="77777777" w:rsidR="00FC6949" w:rsidRPr="00143F90" w:rsidRDefault="00FC6949">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48589AA5"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Lo anterior, resulta congruente con el Criterio 19/17 emitido por el Instituto Nacional de Transparencia, Acceso a la Información y Protección de Datos Personales, en el cual se señala lo siguiente:</w:t>
      </w:r>
    </w:p>
    <w:p w14:paraId="0A319226"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2AC065FE" w14:textId="77777777" w:rsidR="00FC6949" w:rsidRPr="00143F90" w:rsidRDefault="00697A38">
      <w:pPr>
        <w:spacing w:line="276" w:lineRule="auto"/>
        <w:ind w:left="851" w:right="616"/>
        <w:jc w:val="both"/>
        <w:rPr>
          <w:rFonts w:ascii="Palatino Linotype" w:eastAsia="Palatino Linotype" w:hAnsi="Palatino Linotype" w:cs="Palatino Linotype"/>
          <w:b/>
          <w:i/>
          <w:sz w:val="22"/>
          <w:szCs w:val="22"/>
        </w:rPr>
      </w:pPr>
      <w:r w:rsidRPr="00143F90">
        <w:rPr>
          <w:rFonts w:ascii="Palatino Linotype" w:eastAsia="Palatino Linotype" w:hAnsi="Palatino Linotype" w:cs="Palatino Linotype"/>
          <w:b/>
          <w:i/>
          <w:sz w:val="22"/>
          <w:szCs w:val="22"/>
        </w:rPr>
        <w:t xml:space="preserve">Registro Federal de Contribuyentes (RFC) de personas físicas. </w:t>
      </w:r>
    </w:p>
    <w:p w14:paraId="32157EDE"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w:t>
      </w:r>
    </w:p>
    <w:p w14:paraId="7DB0C9F6" w14:textId="77777777" w:rsidR="00FC6949" w:rsidRPr="00143F90" w:rsidRDefault="00FC6949">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p>
    <w:p w14:paraId="0240CEDE"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De tal suerte, el Registro Federal de Contribuyentes de las personas físicas no guarda relación con la transparencia de los recursos públicos, así como tampoco con el desempeño laboral que pueda tener una persona.</w:t>
      </w:r>
    </w:p>
    <w:p w14:paraId="0B4CCEBA"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1CA37244" w14:textId="77777777" w:rsidR="00FC6949" w:rsidRPr="00143F90" w:rsidRDefault="00697A38">
      <w:pPr>
        <w:numPr>
          <w:ilvl w:val="0"/>
          <w:numId w:val="5"/>
        </w:numPr>
        <w:pBdr>
          <w:top w:val="nil"/>
          <w:left w:val="nil"/>
          <w:bottom w:val="nil"/>
          <w:right w:val="nil"/>
          <w:between w:val="nil"/>
        </w:pBdr>
        <w:spacing w:line="360" w:lineRule="auto"/>
        <w:ind w:left="567" w:hanging="141"/>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Número telefónico</w:t>
      </w:r>
    </w:p>
    <w:p w14:paraId="45636A1E"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Por lo que corresponde al número telefónico, éste es asignado a un teléfono particular y/o celular, y permite localizar a una persona física o moral identificada o identificable, por lo que se considera como un dato personal y, consecuentemente, de carácter confidencial; por ello, se estima procedente considerarlo como confidencial. Lo anterior de conformidad con lo dispuesto en el artículo 143 fracción I de la Ley de Transparencia y Acceso a la Información Pública local.</w:t>
      </w:r>
    </w:p>
    <w:p w14:paraId="11EAE02C"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AA6BCEA" w14:textId="77777777" w:rsidR="00FC6949" w:rsidRPr="00143F90" w:rsidRDefault="00697A38">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Correo electrónico</w:t>
      </w:r>
    </w:p>
    <w:p w14:paraId="69AA6167"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El correo electrónico se puede asimilar al teléfono o domicilio particular, cuyo número o ubicación, respectivamente, se considera como un dato personal, toda vez que es otro medio para comunicarse con la persona titular del mismo y la hace localizable. Así también, Así también, se trata de información de una persona física identificada o identificable que, al darse a conocer, afectaría la intimidad de la persona.</w:t>
      </w:r>
    </w:p>
    <w:p w14:paraId="4867AB1F"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4C1CA405"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En virtud de lo anterior, el correo electrónico de un particular constituye un dato personal confidencial, conforme a lo dispuesto en el artículo 143 fracción I de la Ley de Transparencia Local.</w:t>
      </w:r>
    </w:p>
    <w:p w14:paraId="01CD32E8"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38268EA7" w14:textId="77777777" w:rsidR="00FC6949" w:rsidRPr="00143F90" w:rsidRDefault="00697A38">
      <w:pPr>
        <w:spacing w:line="360" w:lineRule="auto"/>
        <w:ind w:right="5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A3B6221" w14:textId="77777777" w:rsidR="00FC6949" w:rsidRPr="00143F90" w:rsidRDefault="00FC6949">
      <w:pPr>
        <w:ind w:left="567" w:right="616"/>
        <w:jc w:val="both"/>
        <w:rPr>
          <w:rFonts w:ascii="Palatino Linotype" w:eastAsia="Palatino Linotype" w:hAnsi="Palatino Linotype" w:cs="Palatino Linotype"/>
          <w:i/>
          <w:sz w:val="22"/>
          <w:szCs w:val="22"/>
        </w:rPr>
      </w:pPr>
    </w:p>
    <w:p w14:paraId="13306515"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Artículo 3.</w:t>
      </w:r>
      <w:r w:rsidRPr="00143F90">
        <w:rPr>
          <w:rFonts w:ascii="Palatino Linotype" w:eastAsia="Palatino Linotype" w:hAnsi="Palatino Linotype" w:cs="Palatino Linotype"/>
          <w:i/>
          <w:sz w:val="22"/>
          <w:szCs w:val="22"/>
        </w:rPr>
        <w:t xml:space="preserve"> Para los efectos de la presente Ley se entenderá por:</w:t>
      </w:r>
    </w:p>
    <w:p w14:paraId="42A288FB"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706DE16B"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26DB6B7"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XX. Información clasificada: Aquella considerada por la presente Ley como reservada o confidencial;</w:t>
      </w:r>
    </w:p>
    <w:p w14:paraId="0607533D"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110CF2"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32A8C30"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5250D2F8"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Artículo 91.</w:t>
      </w:r>
      <w:r w:rsidRPr="00143F9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1BA6384"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Artículo 132.</w:t>
      </w:r>
      <w:r w:rsidRPr="00143F90">
        <w:rPr>
          <w:rFonts w:ascii="Palatino Linotype" w:eastAsia="Palatino Linotype" w:hAnsi="Palatino Linotype" w:cs="Palatino Linotype"/>
          <w:i/>
          <w:sz w:val="22"/>
          <w:szCs w:val="22"/>
        </w:rPr>
        <w:t xml:space="preserve"> La clasificación de la información se llevará a cabo en el momento en que:</w:t>
      </w:r>
    </w:p>
    <w:p w14:paraId="66887640" w14:textId="77777777" w:rsidR="00FC6949" w:rsidRPr="00143F90" w:rsidRDefault="00697A38">
      <w:pPr>
        <w:tabs>
          <w:tab w:val="left" w:pos="851"/>
          <w:tab w:val="left" w:pos="1134"/>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 Se reciba una solicitud de acceso a la información;</w:t>
      </w:r>
    </w:p>
    <w:p w14:paraId="1C2D510B" w14:textId="77777777" w:rsidR="00FC6949" w:rsidRPr="00143F90" w:rsidRDefault="00697A38">
      <w:pPr>
        <w:tabs>
          <w:tab w:val="left" w:pos="851"/>
          <w:tab w:val="left" w:pos="1134"/>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 Se determine mediante resolución de autoridad competente; o</w:t>
      </w:r>
    </w:p>
    <w:p w14:paraId="118ACAAC" w14:textId="77777777" w:rsidR="00FC6949" w:rsidRPr="00143F90" w:rsidRDefault="00697A38">
      <w:pPr>
        <w:tabs>
          <w:tab w:val="left" w:pos="851"/>
          <w:tab w:val="left" w:pos="1134"/>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48DDA64"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20FFE0C2"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Artículo 143</w:t>
      </w:r>
      <w:r w:rsidRPr="00143F9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35E2F52"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F4A2326"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A3331C8"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909C2B7"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67FA01A"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92DD313" w14:textId="77777777" w:rsidR="00FC6949" w:rsidRPr="00143F90" w:rsidRDefault="00FC6949">
      <w:pPr>
        <w:spacing w:line="360" w:lineRule="auto"/>
        <w:ind w:left="567" w:right="616"/>
        <w:jc w:val="both"/>
        <w:rPr>
          <w:rFonts w:ascii="Palatino Linotype" w:eastAsia="Palatino Linotype" w:hAnsi="Palatino Linotype" w:cs="Palatino Linotype"/>
          <w:i/>
          <w:sz w:val="22"/>
          <w:szCs w:val="22"/>
        </w:rPr>
      </w:pPr>
    </w:p>
    <w:p w14:paraId="3E073A46"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535603" w14:textId="77777777" w:rsidR="00FC6949" w:rsidRPr="00143F90" w:rsidRDefault="00FC6949">
      <w:pPr>
        <w:jc w:val="both"/>
        <w:rPr>
          <w:rFonts w:ascii="Palatino Linotype" w:eastAsia="Palatino Linotype" w:hAnsi="Palatino Linotype" w:cs="Palatino Linotype"/>
          <w:sz w:val="22"/>
          <w:szCs w:val="22"/>
        </w:rPr>
      </w:pPr>
    </w:p>
    <w:p w14:paraId="36178EFA"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0D4D726"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404EADD6"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 “</w:t>
      </w:r>
      <w:r w:rsidRPr="00143F90">
        <w:rPr>
          <w:rFonts w:ascii="Palatino Linotype" w:eastAsia="Palatino Linotype" w:hAnsi="Palatino Linotype" w:cs="Palatino Linotype"/>
          <w:b/>
          <w:i/>
          <w:sz w:val="22"/>
          <w:szCs w:val="22"/>
        </w:rPr>
        <w:t>Quincuagésimo</w:t>
      </w:r>
      <w:r w:rsidRPr="00143F9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56FCD33"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Quincuagésimo primero.</w:t>
      </w:r>
      <w:r w:rsidRPr="00143F90">
        <w:rPr>
          <w:rFonts w:ascii="Palatino Linotype" w:eastAsia="Palatino Linotype" w:hAnsi="Palatino Linotype" w:cs="Palatino Linotype"/>
          <w:i/>
          <w:sz w:val="22"/>
          <w:szCs w:val="22"/>
        </w:rPr>
        <w:t xml:space="preserve"> Toda acta del Comité de Transparencia deberá contener: </w:t>
      </w:r>
    </w:p>
    <w:p w14:paraId="4D1FEAEE"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 El número de sesión y fecha; </w:t>
      </w:r>
    </w:p>
    <w:p w14:paraId="5C847849"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II. El nombre del área que solicitó la clasificación de información; </w:t>
      </w:r>
    </w:p>
    <w:p w14:paraId="610781D4"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III. La fundamentación legal y motivación correspondiente; </w:t>
      </w:r>
    </w:p>
    <w:p w14:paraId="780C7EC6"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IV. La resolución o resoluciones aprobadas; y </w:t>
      </w:r>
    </w:p>
    <w:p w14:paraId="12686D31"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V. La rúbrica o firma digital de cada integrante del Comité de Transparencia. </w:t>
      </w:r>
    </w:p>
    <w:p w14:paraId="4B319CA2"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952D6A8"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 Los motivos y razonamientos que sustenten la confirmación o modificación de la prueba de daño;</w:t>
      </w:r>
    </w:p>
    <w:p w14:paraId="0A01C2C7"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II. Descripción de las partes o secciones reservadas, en caso de clasificación parcial; </w:t>
      </w:r>
    </w:p>
    <w:p w14:paraId="0099F44F"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III. El periodo por el que mantendrá su clasificación y fecha de expiración; y </w:t>
      </w:r>
    </w:p>
    <w:p w14:paraId="2D3E2E07"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5788648"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BC43EED"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2AEE642"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Quincuagésimo segundo.</w:t>
      </w:r>
      <w:r w:rsidRPr="00143F9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C45BDA"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A048700"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ABBC572"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09273F7"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III. Señalar las personas o instancias autorizadas a acceder a la información clasificada.</w:t>
      </w:r>
    </w:p>
    <w:p w14:paraId="1D77A47F"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EE66D8"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01EC239F"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De igual forma, deberá observar los Lineamientos vigentes a la fecha de la solicitud Quincuagésimo cuarto, Quincuagésimo quinto, Quincuagésimo séptimo y Quincuagésimo octavo, establecen lo siguiente:</w:t>
      </w:r>
    </w:p>
    <w:p w14:paraId="5B1F323F"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56D79087" w14:textId="77777777" w:rsidR="00FC6949" w:rsidRPr="00143F90" w:rsidRDefault="00697A3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r w:rsidRPr="00143F90">
        <w:rPr>
          <w:rFonts w:ascii="Palatino Linotype" w:eastAsia="Palatino Linotype" w:hAnsi="Palatino Linotype" w:cs="Palatino Linotype"/>
          <w:b/>
          <w:i/>
          <w:sz w:val="22"/>
          <w:szCs w:val="22"/>
        </w:rPr>
        <w:t>Quincuagésimo cuarto.</w:t>
      </w:r>
      <w:r w:rsidRPr="00143F9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6D05C44"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Quincuagésimo quinto.</w:t>
      </w:r>
      <w:r w:rsidRPr="00143F90">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143F90">
        <w:rPr>
          <w:rFonts w:ascii="Palatino Linotype" w:eastAsia="Palatino Linotype" w:hAnsi="Palatino Linotype" w:cs="Palatino Linotype"/>
          <w:i/>
          <w:sz w:val="22"/>
          <w:szCs w:val="22"/>
        </w:rPr>
        <w:t>testado</w:t>
      </w:r>
      <w:proofErr w:type="spellEnd"/>
      <w:r w:rsidRPr="00143F9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27072A6"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w:t>
      </w:r>
    </w:p>
    <w:p w14:paraId="4EEB0AE4"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b/>
          <w:i/>
          <w:sz w:val="22"/>
          <w:szCs w:val="22"/>
        </w:rPr>
        <w:t>Quincuagésimo séptimo.</w:t>
      </w:r>
      <w:r w:rsidRPr="00143F9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A0DBCB3"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C0CD9C5"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40B43FE"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F3C30A0"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32263A9" w14:textId="77777777" w:rsidR="00FC6949" w:rsidRPr="00143F90" w:rsidRDefault="00697A38">
      <w:pPr>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95615DA"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1690FC4D"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32BE0FA"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5562A9D7" w14:textId="5139D2A8"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325360AE" w14:textId="77777777" w:rsidR="00335CF1" w:rsidRPr="00143F90" w:rsidRDefault="00335CF1">
      <w:pPr>
        <w:spacing w:line="360" w:lineRule="auto"/>
        <w:jc w:val="both"/>
        <w:rPr>
          <w:rFonts w:ascii="Palatino Linotype" w:eastAsia="Palatino Linotype" w:hAnsi="Palatino Linotype" w:cs="Palatino Linotype"/>
          <w:sz w:val="22"/>
          <w:szCs w:val="22"/>
        </w:rPr>
      </w:pPr>
    </w:p>
    <w:p w14:paraId="451A80D6" w14:textId="77777777" w:rsidR="00FC6949" w:rsidRPr="00143F90" w:rsidRDefault="00697A38">
      <w:pPr>
        <w:numPr>
          <w:ilvl w:val="0"/>
          <w:numId w:val="12"/>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R E S U E L V E:</w:t>
      </w:r>
    </w:p>
    <w:p w14:paraId="24CD6284" w14:textId="77777777" w:rsidR="00FC6949" w:rsidRPr="00143F90" w:rsidRDefault="00697A38">
      <w:pPr>
        <w:spacing w:line="360" w:lineRule="auto"/>
        <w:jc w:val="both"/>
        <w:rPr>
          <w:rFonts w:ascii="Palatino Linotype" w:eastAsia="Palatino Linotype" w:hAnsi="Palatino Linotype" w:cs="Palatino Linotype"/>
          <w:b/>
          <w:sz w:val="22"/>
          <w:szCs w:val="22"/>
        </w:rPr>
      </w:pPr>
      <w:r w:rsidRPr="00143F90">
        <w:rPr>
          <w:rFonts w:ascii="Palatino Linotype" w:eastAsia="Palatino Linotype" w:hAnsi="Palatino Linotype" w:cs="Palatino Linotype"/>
          <w:b/>
          <w:sz w:val="22"/>
          <w:szCs w:val="22"/>
        </w:rPr>
        <w:t xml:space="preserve">Primero. </w:t>
      </w:r>
      <w:r w:rsidRPr="00143F90">
        <w:rPr>
          <w:rFonts w:ascii="Palatino Linotype" w:eastAsia="Palatino Linotype" w:hAnsi="Palatino Linotype" w:cs="Palatino Linotype"/>
          <w:sz w:val="22"/>
          <w:szCs w:val="22"/>
        </w:rPr>
        <w:t xml:space="preserve">Resultan </w:t>
      </w:r>
      <w:r w:rsidRPr="00143F90">
        <w:rPr>
          <w:rFonts w:ascii="Palatino Linotype" w:eastAsia="Palatino Linotype" w:hAnsi="Palatino Linotype" w:cs="Palatino Linotype"/>
          <w:b/>
          <w:sz w:val="22"/>
          <w:szCs w:val="22"/>
        </w:rPr>
        <w:t>parcialmente</w:t>
      </w:r>
      <w:r w:rsidRPr="00143F90">
        <w:rPr>
          <w:rFonts w:ascii="Palatino Linotype" w:eastAsia="Palatino Linotype" w:hAnsi="Palatino Linotype" w:cs="Palatino Linotype"/>
          <w:sz w:val="22"/>
          <w:szCs w:val="22"/>
        </w:rPr>
        <w:t xml:space="preserve"> </w:t>
      </w:r>
      <w:r w:rsidRPr="00143F90">
        <w:rPr>
          <w:rFonts w:ascii="Palatino Linotype" w:eastAsia="Palatino Linotype" w:hAnsi="Palatino Linotype" w:cs="Palatino Linotype"/>
          <w:b/>
          <w:sz w:val="22"/>
          <w:szCs w:val="22"/>
        </w:rPr>
        <w:t>fundadas</w:t>
      </w:r>
      <w:r w:rsidRPr="00143F90">
        <w:rPr>
          <w:rFonts w:ascii="Palatino Linotype" w:eastAsia="Palatino Linotype" w:hAnsi="Palatino Linotype" w:cs="Palatino Linotype"/>
          <w:sz w:val="22"/>
          <w:szCs w:val="22"/>
        </w:rPr>
        <w:t xml:space="preserve"> las razones o motivos de inconformidad hechos valer por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xml:space="preserve"> en el recurso de revisión </w:t>
      </w:r>
      <w:r w:rsidRPr="00143F90">
        <w:rPr>
          <w:rFonts w:ascii="Palatino Linotype" w:eastAsia="Palatino Linotype" w:hAnsi="Palatino Linotype" w:cs="Palatino Linotype"/>
          <w:b/>
          <w:sz w:val="22"/>
          <w:szCs w:val="22"/>
        </w:rPr>
        <w:t>09299/INFOEM/IP/RR/2025</w:t>
      </w:r>
      <w:r w:rsidRPr="00143F90">
        <w:rPr>
          <w:rFonts w:ascii="Palatino Linotype" w:eastAsia="Palatino Linotype" w:hAnsi="Palatino Linotype" w:cs="Palatino Linotype"/>
          <w:sz w:val="22"/>
          <w:szCs w:val="22"/>
        </w:rPr>
        <w:t xml:space="preserve">; por lo que, en términos del </w:t>
      </w:r>
      <w:r w:rsidRPr="00143F90">
        <w:rPr>
          <w:rFonts w:ascii="Palatino Linotype" w:eastAsia="Palatino Linotype" w:hAnsi="Palatino Linotype" w:cs="Palatino Linotype"/>
          <w:b/>
          <w:sz w:val="22"/>
          <w:szCs w:val="22"/>
        </w:rPr>
        <w:t>Considerando</w:t>
      </w:r>
      <w:r w:rsidRPr="00143F90">
        <w:rPr>
          <w:rFonts w:ascii="Palatino Linotype" w:eastAsia="Palatino Linotype" w:hAnsi="Palatino Linotype" w:cs="Palatino Linotype"/>
          <w:sz w:val="22"/>
          <w:szCs w:val="22"/>
        </w:rPr>
        <w:t xml:space="preserve"> </w:t>
      </w:r>
      <w:r w:rsidRPr="00143F90">
        <w:rPr>
          <w:rFonts w:ascii="Palatino Linotype" w:eastAsia="Palatino Linotype" w:hAnsi="Palatino Linotype" w:cs="Palatino Linotype"/>
          <w:b/>
          <w:sz w:val="22"/>
          <w:szCs w:val="22"/>
        </w:rPr>
        <w:t xml:space="preserve">Cuarto </w:t>
      </w:r>
      <w:r w:rsidRPr="00143F90">
        <w:rPr>
          <w:rFonts w:ascii="Palatino Linotype" w:eastAsia="Palatino Linotype" w:hAnsi="Palatino Linotype" w:cs="Palatino Linotype"/>
          <w:sz w:val="22"/>
          <w:szCs w:val="22"/>
        </w:rPr>
        <w:t xml:space="preserve">de esta resolución, se </w:t>
      </w:r>
      <w:r w:rsidRPr="00143F90">
        <w:rPr>
          <w:rFonts w:ascii="Palatino Linotype" w:eastAsia="Palatino Linotype" w:hAnsi="Palatino Linotype" w:cs="Palatino Linotype"/>
          <w:b/>
          <w:sz w:val="22"/>
          <w:szCs w:val="22"/>
        </w:rPr>
        <w:t xml:space="preserve">Revoca </w:t>
      </w:r>
      <w:r w:rsidRPr="00143F90">
        <w:rPr>
          <w:rFonts w:ascii="Palatino Linotype" w:eastAsia="Palatino Linotype" w:hAnsi="Palatino Linotype" w:cs="Palatino Linotype"/>
          <w:sz w:val="22"/>
          <w:szCs w:val="22"/>
        </w:rPr>
        <w:t xml:space="preserve">la respuesta emitida por el </w:t>
      </w:r>
      <w:r w:rsidRPr="00143F90">
        <w:rPr>
          <w:rFonts w:ascii="Palatino Linotype" w:eastAsia="Palatino Linotype" w:hAnsi="Palatino Linotype" w:cs="Palatino Linotype"/>
          <w:b/>
          <w:sz w:val="22"/>
          <w:szCs w:val="22"/>
        </w:rPr>
        <w:t>Sujeto Obligado.</w:t>
      </w:r>
    </w:p>
    <w:p w14:paraId="76493472"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16DF917" w14:textId="77777777" w:rsidR="00FC6949" w:rsidRPr="00143F90" w:rsidRDefault="00697A38">
      <w:pPr>
        <w:spacing w:line="360" w:lineRule="auto"/>
        <w:ind w:right="49"/>
        <w:jc w:val="both"/>
        <w:rPr>
          <w:rFonts w:ascii="Palatino Linotype" w:eastAsia="Palatino Linotype" w:hAnsi="Palatino Linotype" w:cs="Palatino Linotype"/>
          <w:i/>
          <w:sz w:val="22"/>
          <w:szCs w:val="22"/>
        </w:rPr>
      </w:pPr>
      <w:bookmarkStart w:id="6" w:name="_heading=h.1fob9te" w:colFirst="0" w:colLast="0"/>
      <w:bookmarkEnd w:id="6"/>
      <w:r w:rsidRPr="00143F90">
        <w:rPr>
          <w:rFonts w:ascii="Palatino Linotype" w:eastAsia="Palatino Linotype" w:hAnsi="Palatino Linotype" w:cs="Palatino Linotype"/>
          <w:b/>
          <w:sz w:val="22"/>
          <w:szCs w:val="22"/>
        </w:rPr>
        <w:t xml:space="preserve">Segundo. </w:t>
      </w:r>
      <w:r w:rsidRPr="00143F90">
        <w:rPr>
          <w:rFonts w:ascii="Palatino Linotype" w:eastAsia="Palatino Linotype" w:hAnsi="Palatino Linotype" w:cs="Palatino Linotype"/>
          <w:sz w:val="22"/>
          <w:szCs w:val="22"/>
        </w:rPr>
        <w:t xml:space="preserve">Se </w:t>
      </w:r>
      <w:r w:rsidRPr="00143F90">
        <w:rPr>
          <w:rFonts w:ascii="Palatino Linotype" w:eastAsia="Palatino Linotype" w:hAnsi="Palatino Linotype" w:cs="Palatino Linotype"/>
          <w:b/>
          <w:sz w:val="22"/>
          <w:szCs w:val="22"/>
        </w:rPr>
        <w:t xml:space="preserve">ordena </w:t>
      </w:r>
      <w:r w:rsidRPr="00143F90">
        <w:rPr>
          <w:rFonts w:ascii="Palatino Linotype" w:eastAsia="Palatino Linotype" w:hAnsi="Palatino Linotype" w:cs="Palatino Linotype"/>
          <w:sz w:val="22"/>
          <w:szCs w:val="22"/>
        </w:rPr>
        <w:t xml:space="preserve">al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entregue, a</w:t>
      </w:r>
      <w:r w:rsidRPr="00143F90">
        <w:rPr>
          <w:rFonts w:ascii="Palatino Linotype" w:eastAsia="Palatino Linotype" w:hAnsi="Palatino Linotype" w:cs="Palatino Linotype"/>
          <w:b/>
          <w:sz w:val="22"/>
          <w:szCs w:val="22"/>
        </w:rPr>
        <w:t xml:space="preserve"> </w:t>
      </w:r>
      <w:r w:rsidRPr="00143F90">
        <w:rPr>
          <w:rFonts w:ascii="Palatino Linotype" w:eastAsia="Palatino Linotype" w:hAnsi="Palatino Linotype" w:cs="Palatino Linotype"/>
          <w:sz w:val="22"/>
          <w:szCs w:val="22"/>
        </w:rPr>
        <w:t xml:space="preserve">la parte </w:t>
      </w:r>
      <w:r w:rsidRPr="00143F90">
        <w:rPr>
          <w:rFonts w:ascii="Palatino Linotype" w:eastAsia="Palatino Linotype" w:hAnsi="Palatino Linotype" w:cs="Palatino Linotype"/>
          <w:b/>
          <w:sz w:val="22"/>
          <w:szCs w:val="22"/>
        </w:rPr>
        <w:t>Recurrente</w:t>
      </w:r>
      <w:r w:rsidRPr="00143F90">
        <w:rPr>
          <w:rFonts w:ascii="Palatino Linotype" w:eastAsia="Palatino Linotype" w:hAnsi="Palatino Linotype" w:cs="Palatino Linotype"/>
          <w:sz w:val="22"/>
          <w:szCs w:val="22"/>
        </w:rPr>
        <w:t xml:space="preserve">, </w:t>
      </w:r>
      <w:r w:rsidRPr="00143F90">
        <w:rPr>
          <w:rFonts w:ascii="Palatino Linotype" w:eastAsia="Palatino Linotype" w:hAnsi="Palatino Linotype" w:cs="Palatino Linotype"/>
          <w:b/>
          <w:sz w:val="22"/>
          <w:szCs w:val="22"/>
        </w:rPr>
        <w:t xml:space="preserve">vía SAIMEX, </w:t>
      </w:r>
      <w:r w:rsidRPr="00143F90">
        <w:rPr>
          <w:rFonts w:ascii="Palatino Linotype" w:eastAsia="Palatino Linotype" w:hAnsi="Palatino Linotype" w:cs="Palatino Linotype"/>
          <w:sz w:val="22"/>
          <w:szCs w:val="22"/>
        </w:rPr>
        <w:t>en términos de</w:t>
      </w:r>
      <w:r w:rsidRPr="00143F90">
        <w:rPr>
          <w:rFonts w:ascii="Palatino Linotype" w:eastAsia="Palatino Linotype" w:hAnsi="Palatino Linotype" w:cs="Palatino Linotype"/>
          <w:b/>
          <w:sz w:val="22"/>
          <w:szCs w:val="22"/>
        </w:rPr>
        <w:t>l Considerando</w:t>
      </w:r>
      <w:r w:rsidRPr="00143F90">
        <w:rPr>
          <w:rFonts w:ascii="Palatino Linotype" w:eastAsia="Palatino Linotype" w:hAnsi="Palatino Linotype" w:cs="Palatino Linotype"/>
          <w:sz w:val="22"/>
          <w:szCs w:val="22"/>
        </w:rPr>
        <w:t xml:space="preserve"> </w:t>
      </w:r>
      <w:r w:rsidRPr="00143F90">
        <w:rPr>
          <w:rFonts w:ascii="Palatino Linotype" w:eastAsia="Palatino Linotype" w:hAnsi="Palatino Linotype" w:cs="Palatino Linotype"/>
          <w:b/>
          <w:sz w:val="22"/>
          <w:szCs w:val="22"/>
        </w:rPr>
        <w:t>Cuarto y Quinto</w:t>
      </w:r>
      <w:r w:rsidRPr="00143F90">
        <w:rPr>
          <w:rFonts w:ascii="Palatino Linotype" w:eastAsia="Palatino Linotype" w:hAnsi="Palatino Linotype" w:cs="Palatino Linotype"/>
          <w:sz w:val="22"/>
          <w:szCs w:val="22"/>
        </w:rPr>
        <w:t>, de ser procedente en versión pública, de lo siguiente:</w:t>
      </w:r>
    </w:p>
    <w:p w14:paraId="22F9D4FA" w14:textId="77777777" w:rsidR="00FC6949" w:rsidRPr="00143F90" w:rsidRDefault="00697A38">
      <w:pPr>
        <w:numPr>
          <w:ilvl w:val="0"/>
          <w:numId w:val="10"/>
        </w:numPr>
        <w:pBdr>
          <w:top w:val="nil"/>
          <w:left w:val="nil"/>
          <w:bottom w:val="nil"/>
          <w:right w:val="nil"/>
          <w:between w:val="nil"/>
        </w:pBdr>
        <w:tabs>
          <w:tab w:val="left" w:pos="851"/>
        </w:tabs>
        <w:spacing w:line="360" w:lineRule="auto"/>
        <w:ind w:left="851" w:right="616" w:firstLine="0"/>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sz w:val="22"/>
          <w:szCs w:val="22"/>
        </w:rPr>
        <w:t>El documento en donde conste el número de peticiones ciudadanas en las que se solicita la pavimentación de las diferentes calles del Municipio de Toluca; del primero de enero al doce de abril de dos mil cinco.</w:t>
      </w:r>
    </w:p>
    <w:p w14:paraId="656C4AC4" w14:textId="77777777" w:rsidR="00FC6949" w:rsidRPr="00143F90" w:rsidRDefault="00697A38">
      <w:pPr>
        <w:numPr>
          <w:ilvl w:val="0"/>
          <w:numId w:val="10"/>
        </w:numPr>
        <w:pBdr>
          <w:top w:val="nil"/>
          <w:left w:val="nil"/>
          <w:bottom w:val="nil"/>
          <w:right w:val="nil"/>
          <w:between w:val="nil"/>
        </w:pBdr>
        <w:tabs>
          <w:tab w:val="left" w:pos="851"/>
        </w:tabs>
        <w:spacing w:line="360" w:lineRule="auto"/>
        <w:ind w:left="851" w:right="616" w:firstLine="0"/>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sz w:val="22"/>
          <w:szCs w:val="22"/>
        </w:rPr>
        <w:t xml:space="preserve">Las respuestas otorgadas a las peticiones ciudadanas ordenadas en el inciso anterior, del primero de enero al doce de abril de dos mil cinco. </w:t>
      </w:r>
    </w:p>
    <w:p w14:paraId="067D3A24" w14:textId="77777777" w:rsidR="00FC6949" w:rsidRPr="00143F90" w:rsidRDefault="00FC6949">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i/>
          <w:sz w:val="22"/>
          <w:szCs w:val="22"/>
        </w:rPr>
      </w:pPr>
    </w:p>
    <w:p w14:paraId="0D2C3100"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43F90">
        <w:rPr>
          <w:rFonts w:ascii="Palatino Linotype" w:eastAsia="Palatino Linotype" w:hAnsi="Palatino Linotype" w:cs="Palatino Linotype"/>
          <w:b/>
          <w:i/>
          <w:sz w:val="22"/>
          <w:szCs w:val="22"/>
        </w:rPr>
        <w:t>Recurrente</w:t>
      </w:r>
      <w:r w:rsidRPr="00143F90">
        <w:rPr>
          <w:rFonts w:ascii="Palatino Linotype" w:eastAsia="Palatino Linotype" w:hAnsi="Palatino Linotype" w:cs="Palatino Linotype"/>
          <w:i/>
          <w:sz w:val="22"/>
          <w:szCs w:val="22"/>
        </w:rPr>
        <w:t>.</w:t>
      </w:r>
    </w:p>
    <w:p w14:paraId="73609022" w14:textId="77777777" w:rsidR="00FC6949" w:rsidRPr="00143F90" w:rsidRDefault="00FC6949">
      <w:pPr>
        <w:tabs>
          <w:tab w:val="left" w:pos="851"/>
        </w:tabs>
        <w:spacing w:line="276" w:lineRule="auto"/>
        <w:ind w:left="851" w:right="616"/>
        <w:jc w:val="both"/>
        <w:rPr>
          <w:rFonts w:ascii="Palatino Linotype" w:eastAsia="Palatino Linotype" w:hAnsi="Palatino Linotype" w:cs="Palatino Linotype"/>
          <w:i/>
          <w:sz w:val="22"/>
          <w:szCs w:val="22"/>
        </w:rPr>
      </w:pPr>
    </w:p>
    <w:p w14:paraId="5A865EF6" w14:textId="77777777" w:rsidR="00FC6949" w:rsidRPr="00143F90" w:rsidRDefault="00697A38">
      <w:pPr>
        <w:tabs>
          <w:tab w:val="left" w:pos="851"/>
        </w:tabs>
        <w:spacing w:line="276" w:lineRule="auto"/>
        <w:ind w:left="851" w:right="616"/>
        <w:jc w:val="both"/>
        <w:rPr>
          <w:rFonts w:ascii="Palatino Linotype" w:eastAsia="Palatino Linotype" w:hAnsi="Palatino Linotype" w:cs="Palatino Linotype"/>
          <w:i/>
          <w:sz w:val="22"/>
          <w:szCs w:val="22"/>
        </w:rPr>
      </w:pPr>
      <w:r w:rsidRPr="00143F90">
        <w:rPr>
          <w:rFonts w:ascii="Palatino Linotype" w:eastAsia="Palatino Linotype" w:hAnsi="Palatino Linotype" w:cs="Palatino Linotype"/>
          <w:i/>
          <w:sz w:val="22"/>
          <w:szCs w:val="22"/>
        </w:rPr>
        <w:t>Para el caso de que la información que se ordena se hubiera generado, pero no obre en sus archivos por haber causado baja documental o por cualquier otra circunstancia, deberá entregar el acuerdo de inexistencia de conformidad con lo establecido en los artículos 19, párrafo tercero y 169 de la Ley de Transparencia y Acceso a la Información Pública del Estado de México y Municipios.</w:t>
      </w:r>
    </w:p>
    <w:p w14:paraId="6FF5F1E2" w14:textId="77777777" w:rsidR="00FC6949" w:rsidRPr="00143F90" w:rsidRDefault="00FC6949">
      <w:pPr>
        <w:pBdr>
          <w:top w:val="nil"/>
          <w:left w:val="nil"/>
          <w:bottom w:val="nil"/>
          <w:right w:val="nil"/>
          <w:between w:val="nil"/>
        </w:pBdr>
        <w:tabs>
          <w:tab w:val="left" w:pos="851"/>
        </w:tabs>
        <w:ind w:left="927" w:right="616"/>
        <w:jc w:val="both"/>
        <w:rPr>
          <w:rFonts w:ascii="Palatino Linotype" w:eastAsia="Palatino Linotype" w:hAnsi="Palatino Linotype" w:cs="Palatino Linotype"/>
          <w:i/>
          <w:sz w:val="22"/>
          <w:szCs w:val="22"/>
        </w:rPr>
      </w:pPr>
    </w:p>
    <w:p w14:paraId="494D683B"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Tercero. Notifíquese </w:t>
      </w:r>
      <w:r w:rsidRPr="00143F90">
        <w:rPr>
          <w:rFonts w:ascii="Palatino Linotype" w:eastAsia="Palatino Linotype" w:hAnsi="Palatino Linotype" w:cs="Palatino Linotype"/>
          <w:sz w:val="22"/>
          <w:szCs w:val="22"/>
        </w:rPr>
        <w:t>vía</w:t>
      </w:r>
      <w:r w:rsidRPr="00143F90">
        <w:rPr>
          <w:rFonts w:ascii="Palatino Linotype" w:eastAsia="Palatino Linotype" w:hAnsi="Palatino Linotype" w:cs="Palatino Linotype"/>
          <w:b/>
          <w:sz w:val="22"/>
          <w:szCs w:val="22"/>
        </w:rPr>
        <w:t xml:space="preserve"> SAIMEX, </w:t>
      </w:r>
      <w:r w:rsidRPr="00143F9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A48676"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7C72D56" w14:textId="77777777" w:rsidR="00FC6949" w:rsidRPr="00143F90" w:rsidRDefault="00697A38">
      <w:pP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Cuarto. </w:t>
      </w:r>
      <w:r w:rsidRPr="00143F90">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143F90">
        <w:rPr>
          <w:rFonts w:ascii="Palatino Linotype" w:eastAsia="Palatino Linotype" w:hAnsi="Palatino Linotype" w:cs="Palatino Linotype"/>
          <w:b/>
          <w:sz w:val="22"/>
          <w:szCs w:val="22"/>
        </w:rPr>
        <w:t>Sujeto Obligado</w:t>
      </w:r>
      <w:r w:rsidRPr="00143F9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F233F98" w14:textId="77777777" w:rsidR="00FC6949" w:rsidRPr="00143F90" w:rsidRDefault="00FC6949">
      <w:pPr>
        <w:spacing w:line="360" w:lineRule="auto"/>
        <w:jc w:val="both"/>
        <w:rPr>
          <w:rFonts w:ascii="Palatino Linotype" w:eastAsia="Palatino Linotype" w:hAnsi="Palatino Linotype" w:cs="Palatino Linotype"/>
          <w:sz w:val="22"/>
          <w:szCs w:val="22"/>
        </w:rPr>
      </w:pPr>
    </w:p>
    <w:p w14:paraId="764B6DBA" w14:textId="77777777" w:rsidR="00FC6949" w:rsidRPr="00143F90" w:rsidRDefault="00697A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3F90">
        <w:rPr>
          <w:rFonts w:ascii="Palatino Linotype" w:eastAsia="Palatino Linotype" w:hAnsi="Palatino Linotype" w:cs="Palatino Linotype"/>
          <w:b/>
          <w:sz w:val="22"/>
          <w:szCs w:val="22"/>
        </w:rPr>
        <w:t xml:space="preserve">Quinto. Notifíquese, </w:t>
      </w:r>
      <w:r w:rsidRPr="00143F90">
        <w:rPr>
          <w:rFonts w:ascii="Palatino Linotype" w:eastAsia="Palatino Linotype" w:hAnsi="Palatino Linotype" w:cs="Palatino Linotype"/>
          <w:sz w:val="22"/>
          <w:szCs w:val="22"/>
        </w:rPr>
        <w:t xml:space="preserve">vía </w:t>
      </w:r>
      <w:r w:rsidRPr="00143F90">
        <w:rPr>
          <w:rFonts w:ascii="Palatino Linotype" w:eastAsia="Palatino Linotype" w:hAnsi="Palatino Linotype" w:cs="Palatino Linotype"/>
          <w:b/>
          <w:sz w:val="22"/>
          <w:szCs w:val="22"/>
        </w:rPr>
        <w:t>SAIMEX</w:t>
      </w:r>
      <w:r w:rsidRPr="00143F90">
        <w:rPr>
          <w:rFonts w:ascii="Palatino Linotype" w:eastAsia="Palatino Linotype" w:hAnsi="Palatino Linotype" w:cs="Palatino Linotype"/>
          <w:sz w:val="22"/>
          <w:szCs w:val="22"/>
        </w:rPr>
        <w:t>, a la parte</w:t>
      </w:r>
      <w:r w:rsidRPr="00143F90">
        <w:rPr>
          <w:rFonts w:ascii="Palatino Linotype" w:eastAsia="Palatino Linotype" w:hAnsi="Palatino Linotype" w:cs="Palatino Linotype"/>
          <w:b/>
          <w:sz w:val="22"/>
          <w:szCs w:val="22"/>
        </w:rPr>
        <w:t xml:space="preserve"> Recurrente</w:t>
      </w:r>
      <w:r w:rsidRPr="00143F9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6BD6BA9" w14:textId="77777777" w:rsidR="00FC6949" w:rsidRPr="00143F90" w:rsidRDefault="00FC694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D80C3B" w14:textId="77777777" w:rsidR="00FC6949" w:rsidRPr="00335CF1" w:rsidRDefault="00697A38">
      <w:pPr>
        <w:spacing w:line="360" w:lineRule="auto"/>
        <w:jc w:val="both"/>
        <w:rPr>
          <w:rFonts w:ascii="Palatino Linotype" w:eastAsia="Palatino Linotype" w:hAnsi="Palatino Linotype" w:cs="Palatino Linotype"/>
          <w:sz w:val="22"/>
          <w:szCs w:val="22"/>
        </w:rPr>
        <w:sectPr w:rsidR="00FC6949" w:rsidRPr="00335CF1">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143F9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Pr="00335CF1">
        <w:rPr>
          <w:rFonts w:ascii="Palatino Linotype" w:eastAsia="Palatino Linotype" w:hAnsi="Palatino Linotype" w:cs="Palatino Linotype"/>
          <w:sz w:val="22"/>
          <w:szCs w:val="22"/>
        </w:rPr>
        <w:t xml:space="preserve">                              </w:t>
      </w:r>
    </w:p>
    <w:p w14:paraId="5A5A2B78" w14:textId="77777777" w:rsidR="00FC6949" w:rsidRPr="00335CF1" w:rsidRDefault="00FC6949">
      <w:pPr>
        <w:spacing w:line="360" w:lineRule="auto"/>
        <w:jc w:val="both"/>
        <w:rPr>
          <w:rFonts w:ascii="Palatino Linotype" w:eastAsia="Palatino Linotype" w:hAnsi="Palatino Linotype" w:cs="Palatino Linotype"/>
          <w:sz w:val="22"/>
          <w:szCs w:val="22"/>
        </w:rPr>
      </w:pPr>
    </w:p>
    <w:sectPr w:rsidR="00FC6949" w:rsidRPr="00335CF1">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AA1CB" w14:textId="77777777" w:rsidR="005E0773" w:rsidRDefault="005E0773">
      <w:r>
        <w:separator/>
      </w:r>
    </w:p>
  </w:endnote>
  <w:endnote w:type="continuationSeparator" w:id="0">
    <w:p w14:paraId="16A24386" w14:textId="77777777" w:rsidR="005E0773" w:rsidRDefault="005E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E7DB" w14:textId="52C6380F" w:rsidR="00FC6949" w:rsidRDefault="00697A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55BC">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55BC">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7E7089E2" w14:textId="77777777" w:rsidR="00FC6949" w:rsidRDefault="00FC6949">
    <w:pPr>
      <w:pBdr>
        <w:top w:val="nil"/>
        <w:left w:val="nil"/>
        <w:bottom w:val="nil"/>
        <w:right w:val="nil"/>
        <w:between w:val="nil"/>
      </w:pBdr>
      <w:tabs>
        <w:tab w:val="center" w:pos="4252"/>
        <w:tab w:val="right" w:pos="8504"/>
      </w:tabs>
      <w:rPr>
        <w:color w:val="000000"/>
      </w:rPr>
    </w:pPr>
  </w:p>
  <w:p w14:paraId="3E668E53" w14:textId="77777777" w:rsidR="00FC6949" w:rsidRDefault="00FC694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2934" w14:textId="310A71F9" w:rsidR="00FC6949" w:rsidRDefault="00697A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55B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55BC">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5DE0920C" w14:textId="77777777" w:rsidR="00FC6949" w:rsidRDefault="00FC694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39EE" w14:textId="77777777" w:rsidR="005E0773" w:rsidRDefault="005E0773">
      <w:r>
        <w:separator/>
      </w:r>
    </w:p>
  </w:footnote>
  <w:footnote w:type="continuationSeparator" w:id="0">
    <w:p w14:paraId="5C96BDD1" w14:textId="77777777" w:rsidR="005E0773" w:rsidRDefault="005E07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9C922" w14:textId="77777777" w:rsidR="00FC6949" w:rsidRDefault="00697A38">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6CEBCA7" wp14:editId="34282936">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528" w:type="dxa"/>
      <w:tblInd w:w="3261" w:type="dxa"/>
      <w:tblLayout w:type="fixed"/>
      <w:tblLook w:val="0400" w:firstRow="0" w:lastRow="0" w:firstColumn="0" w:lastColumn="0" w:noHBand="0" w:noVBand="1"/>
    </w:tblPr>
    <w:tblGrid>
      <w:gridCol w:w="2551"/>
      <w:gridCol w:w="2977"/>
    </w:tblGrid>
    <w:tr w:rsidR="00FC6949" w14:paraId="5FA5B22F" w14:textId="77777777">
      <w:tc>
        <w:tcPr>
          <w:tcW w:w="2551" w:type="dxa"/>
          <w:vAlign w:val="center"/>
        </w:tcPr>
        <w:p w14:paraId="59360C8B" w14:textId="77777777" w:rsidR="00FC6949" w:rsidRDefault="00697A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98C1F9E" w14:textId="77777777" w:rsidR="00FC6949" w:rsidRDefault="00697A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09299/INFOEM/IP/RR/2025</w:t>
          </w:r>
        </w:p>
      </w:tc>
    </w:tr>
    <w:tr w:rsidR="00FC6949" w14:paraId="240045B5" w14:textId="77777777">
      <w:trPr>
        <w:trHeight w:val="228"/>
      </w:trPr>
      <w:tc>
        <w:tcPr>
          <w:tcW w:w="2551" w:type="dxa"/>
          <w:vAlign w:val="center"/>
        </w:tcPr>
        <w:p w14:paraId="72B1A158" w14:textId="77777777" w:rsidR="00FC6949" w:rsidRDefault="00697A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38798DE" w14:textId="77777777" w:rsidR="00FC6949" w:rsidRDefault="00697A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C6949" w14:paraId="100166A0" w14:textId="77777777">
      <w:tc>
        <w:tcPr>
          <w:tcW w:w="2551" w:type="dxa"/>
          <w:vAlign w:val="center"/>
        </w:tcPr>
        <w:p w14:paraId="397EE80D" w14:textId="77777777" w:rsidR="00FC6949" w:rsidRDefault="00697A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4991682" w14:textId="77777777" w:rsidR="00FC6949" w:rsidRDefault="00697A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CAC319" w14:textId="77777777" w:rsidR="00FC6949" w:rsidRDefault="00697A3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C699A" w14:textId="77777777" w:rsidR="00FC6949" w:rsidRDefault="00697A3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3C1CE98" wp14:editId="3D1F45C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FC6949" w14:paraId="02A6E991" w14:textId="77777777">
      <w:tc>
        <w:tcPr>
          <w:tcW w:w="2551" w:type="dxa"/>
          <w:vAlign w:val="center"/>
        </w:tcPr>
        <w:p w14:paraId="51DC0D64" w14:textId="77777777" w:rsidR="00FC6949" w:rsidRDefault="00697A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1FA8402" w14:textId="77777777" w:rsidR="00FC6949" w:rsidRDefault="00697A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09299/INFOEM/IP/RR/2025</w:t>
          </w:r>
        </w:p>
      </w:tc>
    </w:tr>
    <w:tr w:rsidR="00FC6949" w14:paraId="38326E1D" w14:textId="77777777">
      <w:tc>
        <w:tcPr>
          <w:tcW w:w="2551" w:type="dxa"/>
          <w:vAlign w:val="center"/>
        </w:tcPr>
        <w:p w14:paraId="585B12EE" w14:textId="77777777" w:rsidR="00FC6949" w:rsidRDefault="00697A3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8F2083A" w14:textId="77777777" w:rsidR="00FC6949" w:rsidRDefault="00FC6949">
          <w:pPr>
            <w:ind w:right="-533"/>
            <w:jc w:val="both"/>
            <w:rPr>
              <w:rFonts w:ascii="Palatino Linotype" w:eastAsia="Palatino Linotype" w:hAnsi="Palatino Linotype" w:cs="Palatino Linotype"/>
              <w:b/>
              <w:sz w:val="22"/>
              <w:szCs w:val="22"/>
            </w:rPr>
          </w:pPr>
        </w:p>
      </w:tc>
    </w:tr>
    <w:tr w:rsidR="00FC6949" w14:paraId="27E6752E" w14:textId="77777777">
      <w:trPr>
        <w:trHeight w:val="228"/>
      </w:trPr>
      <w:tc>
        <w:tcPr>
          <w:tcW w:w="2551" w:type="dxa"/>
          <w:vAlign w:val="center"/>
        </w:tcPr>
        <w:p w14:paraId="01B72E99" w14:textId="77777777" w:rsidR="00FC6949" w:rsidRDefault="00697A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B8351CF" w14:textId="77777777" w:rsidR="00FC6949" w:rsidRDefault="00697A3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C6949" w14:paraId="6CB1ED70" w14:textId="77777777">
      <w:tc>
        <w:tcPr>
          <w:tcW w:w="2551" w:type="dxa"/>
          <w:vAlign w:val="center"/>
        </w:tcPr>
        <w:p w14:paraId="4F2A1D62" w14:textId="77777777" w:rsidR="00FC6949" w:rsidRDefault="00697A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DB610DF" w14:textId="77777777" w:rsidR="00FC6949" w:rsidRDefault="00697A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EEC4E6" w14:textId="77777777" w:rsidR="00FC6949" w:rsidRDefault="00FC694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A991" w14:textId="77777777" w:rsidR="00FC6949" w:rsidRDefault="00FC694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E61CAC2" w14:textId="77777777" w:rsidR="00FC6949" w:rsidRDefault="00FC694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4EB"/>
    <w:multiLevelType w:val="multilevel"/>
    <w:tmpl w:val="0250FF8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05A15"/>
    <w:multiLevelType w:val="multilevel"/>
    <w:tmpl w:val="4AB6A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E3E9A"/>
    <w:multiLevelType w:val="multilevel"/>
    <w:tmpl w:val="D84A1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6701C0"/>
    <w:multiLevelType w:val="multilevel"/>
    <w:tmpl w:val="C76ADE14"/>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DE146B"/>
    <w:multiLevelType w:val="multilevel"/>
    <w:tmpl w:val="051A1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FE33C3"/>
    <w:multiLevelType w:val="multilevel"/>
    <w:tmpl w:val="03484368"/>
    <w:lvl w:ilvl="0">
      <w:start w:val="1"/>
      <w:numFmt w:val="lowerLetter"/>
      <w:lvlText w:val="%1)"/>
      <w:lvlJc w:val="left"/>
      <w:pPr>
        <w:ind w:left="927" w:hanging="360"/>
      </w:pPr>
      <w:rPr>
        <w:i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4F315CBF"/>
    <w:multiLevelType w:val="multilevel"/>
    <w:tmpl w:val="8A323208"/>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7" w15:restartNumberingAfterBreak="0">
    <w:nsid w:val="5B4642E6"/>
    <w:multiLevelType w:val="multilevel"/>
    <w:tmpl w:val="862A57B0"/>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5D154BCB"/>
    <w:multiLevelType w:val="multilevel"/>
    <w:tmpl w:val="DB909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FA65BE"/>
    <w:multiLevelType w:val="multilevel"/>
    <w:tmpl w:val="CBB6804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EB32B4"/>
    <w:multiLevelType w:val="multilevel"/>
    <w:tmpl w:val="B7F8125A"/>
    <w:lvl w:ilvl="0">
      <w:start w:val="1"/>
      <w:numFmt w:val="bullet"/>
      <w:pStyle w:val="Listaconvietas3"/>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748D0E24"/>
    <w:multiLevelType w:val="multilevel"/>
    <w:tmpl w:val="75E65A58"/>
    <w:lvl w:ilvl="0">
      <w:start w:val="6"/>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A40177"/>
    <w:multiLevelType w:val="multilevel"/>
    <w:tmpl w:val="A8880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43499"/>
    <w:multiLevelType w:val="multilevel"/>
    <w:tmpl w:val="029C8588"/>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10"/>
  </w:num>
  <w:num w:numId="4">
    <w:abstractNumId w:val="4"/>
  </w:num>
  <w:num w:numId="5">
    <w:abstractNumId w:val="12"/>
  </w:num>
  <w:num w:numId="6">
    <w:abstractNumId w:val="7"/>
  </w:num>
  <w:num w:numId="7">
    <w:abstractNumId w:val="2"/>
  </w:num>
  <w:num w:numId="8">
    <w:abstractNumId w:val="6"/>
  </w:num>
  <w:num w:numId="9">
    <w:abstractNumId w:val="13"/>
  </w:num>
  <w:num w:numId="10">
    <w:abstractNumId w:val="5"/>
  </w:num>
  <w:num w:numId="11">
    <w:abstractNumId w:val="8"/>
  </w:num>
  <w:num w:numId="12">
    <w:abstractNumId w:val="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49"/>
    <w:rsid w:val="00143F90"/>
    <w:rsid w:val="00335CF1"/>
    <w:rsid w:val="005E0773"/>
    <w:rsid w:val="006555BC"/>
    <w:rsid w:val="00697A38"/>
    <w:rsid w:val="00FC6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EE98"/>
  <w15:docId w15:val="{267BC22D-EE09-413B-B4A2-0B9EB902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FC4A7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XaSeeALtNofH4ca0ZpGmwjsNQ==">CgMxLjAyCWguM3pueXNoNzIIaC5namRneHMyCWguMzBqMHpsbDIOaC5xN2RyMzV4MjZsNGgyDmguM2J0NGowancwbWx2MgloLjFmb2I5dGU4AHIhMVR6cU1vUHJUZ0NsampVcXVlX0FFcmhINl8tZVJDS2F6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9563</Words>
  <Characters>52599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2025-10-03T20:05:00Z</cp:lastPrinted>
  <dcterms:created xsi:type="dcterms:W3CDTF">2025-11-12T18:00:00Z</dcterms:created>
  <dcterms:modified xsi:type="dcterms:W3CDTF">2025-11-12T18:00:00Z</dcterms:modified>
</cp:coreProperties>
</file>