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356" w:rsidRDefault="00B40356">
      <w:pPr>
        <w:widowControl w:val="0"/>
        <w:pBdr>
          <w:top w:val="nil"/>
          <w:left w:val="nil"/>
          <w:bottom w:val="nil"/>
          <w:right w:val="nil"/>
          <w:between w:val="nil"/>
        </w:pBdr>
        <w:spacing w:after="0" w:line="276" w:lineRule="auto"/>
        <w:jc w:val="left"/>
      </w:pPr>
    </w:p>
    <w:p w:rsidR="00B40356" w:rsidRDefault="00B40356">
      <w:pPr>
        <w:widowControl w:val="0"/>
        <w:pBdr>
          <w:top w:val="nil"/>
          <w:left w:val="nil"/>
          <w:bottom w:val="nil"/>
          <w:right w:val="nil"/>
          <w:between w:val="nil"/>
        </w:pBdr>
        <w:spacing w:after="0" w:line="360" w:lineRule="auto"/>
        <w:jc w:val="left"/>
      </w:pPr>
    </w:p>
    <w:p w:rsidR="00B40356" w:rsidRDefault="00B40356">
      <w:pPr>
        <w:widowControl w:val="0"/>
        <w:pBdr>
          <w:top w:val="nil"/>
          <w:left w:val="nil"/>
          <w:bottom w:val="nil"/>
          <w:right w:val="nil"/>
          <w:between w:val="nil"/>
        </w:pBdr>
        <w:spacing w:after="0" w:line="360" w:lineRule="auto"/>
        <w:jc w:val="left"/>
      </w:pPr>
    </w:p>
    <w:p w:rsidR="004B3879" w:rsidRPr="00063B6A" w:rsidRDefault="005F4EE9" w:rsidP="004B3879">
      <w:pPr>
        <w:keepNext/>
        <w:keepLines/>
        <w:pBdr>
          <w:top w:val="nil"/>
          <w:left w:val="nil"/>
          <w:bottom w:val="nil"/>
          <w:right w:val="nil"/>
          <w:between w:val="nil"/>
        </w:pBdr>
        <w:spacing w:after="0" w:line="360" w:lineRule="auto"/>
        <w:jc w:val="center"/>
        <w:rPr>
          <w:color w:val="000000"/>
        </w:rPr>
      </w:pPr>
      <w:r w:rsidRPr="00063B6A">
        <w:rPr>
          <w:color w:val="000000"/>
        </w:rPr>
        <w:t>RESOLUCIÓN DEL RECURSO DE REVISIÓN 038</w:t>
      </w:r>
      <w:r w:rsidR="004B3879" w:rsidRPr="00063B6A">
        <w:rPr>
          <w:color w:val="000000"/>
        </w:rPr>
        <w:t>41/INFOEM/IP/RR/2025 Y ACUMULADO</w:t>
      </w:r>
    </w:p>
    <w:sdt>
      <w:sdtPr>
        <w:rPr>
          <w:rFonts w:ascii="Palatino Linotype" w:eastAsia="Palatino Linotype" w:hAnsi="Palatino Linotype" w:cs="Palatino Linotype"/>
          <w:color w:val="auto"/>
          <w:sz w:val="22"/>
          <w:szCs w:val="22"/>
          <w:lang w:val="es-ES"/>
        </w:rPr>
        <w:id w:val="-1438676753"/>
        <w:docPartObj>
          <w:docPartGallery w:val="Table of Contents"/>
          <w:docPartUnique/>
        </w:docPartObj>
      </w:sdtPr>
      <w:sdtEndPr>
        <w:rPr>
          <w:b/>
          <w:bCs/>
        </w:rPr>
      </w:sdtEndPr>
      <w:sdtContent>
        <w:p w:rsidR="004B3879" w:rsidRPr="00063B6A" w:rsidRDefault="004B3879">
          <w:pPr>
            <w:pStyle w:val="TtulodeTDC"/>
          </w:pPr>
        </w:p>
        <w:p w:rsidR="00063B6A" w:rsidRDefault="004B3879">
          <w:pPr>
            <w:pStyle w:val="TDC1"/>
            <w:tabs>
              <w:tab w:val="right" w:leader="dot" w:pos="8921"/>
            </w:tabs>
            <w:rPr>
              <w:rFonts w:asciiTheme="minorHAnsi" w:eastAsiaTheme="minorEastAsia" w:hAnsiTheme="minorHAnsi" w:cstheme="minorBidi"/>
              <w:noProof/>
            </w:rPr>
          </w:pPr>
          <w:r w:rsidRPr="00063B6A">
            <w:rPr>
              <w:b/>
              <w:bCs/>
              <w:lang w:val="es-ES"/>
            </w:rPr>
            <w:fldChar w:fldCharType="begin"/>
          </w:r>
          <w:r w:rsidRPr="00063B6A">
            <w:rPr>
              <w:b/>
              <w:bCs/>
              <w:lang w:val="es-ES"/>
            </w:rPr>
            <w:instrText xml:space="preserve"> TOC \o "1-3" \h \z \u </w:instrText>
          </w:r>
          <w:r w:rsidRPr="00063B6A">
            <w:rPr>
              <w:b/>
              <w:bCs/>
              <w:lang w:val="es-ES"/>
            </w:rPr>
            <w:fldChar w:fldCharType="separate"/>
          </w:r>
          <w:hyperlink w:anchor="_Toc209098818" w:history="1">
            <w:r w:rsidR="00063B6A" w:rsidRPr="00536940">
              <w:rPr>
                <w:rStyle w:val="Hipervnculo"/>
                <w:noProof/>
              </w:rPr>
              <w:t>A N T E C E D E N T E S</w:t>
            </w:r>
            <w:r w:rsidR="00063B6A">
              <w:rPr>
                <w:noProof/>
                <w:webHidden/>
              </w:rPr>
              <w:tab/>
            </w:r>
            <w:r w:rsidR="00063B6A">
              <w:rPr>
                <w:noProof/>
                <w:webHidden/>
              </w:rPr>
              <w:fldChar w:fldCharType="begin"/>
            </w:r>
            <w:r w:rsidR="00063B6A">
              <w:rPr>
                <w:noProof/>
                <w:webHidden/>
              </w:rPr>
              <w:instrText xml:space="preserve"> PAGEREF _Toc209098818 \h </w:instrText>
            </w:r>
            <w:r w:rsidR="00063B6A">
              <w:rPr>
                <w:noProof/>
                <w:webHidden/>
              </w:rPr>
            </w:r>
            <w:r w:rsidR="00063B6A">
              <w:rPr>
                <w:noProof/>
                <w:webHidden/>
              </w:rPr>
              <w:fldChar w:fldCharType="separate"/>
            </w:r>
            <w:r w:rsidR="008B6AA7">
              <w:rPr>
                <w:noProof/>
                <w:webHidden/>
              </w:rPr>
              <w:t>2</w:t>
            </w:r>
            <w:r w:rsidR="00063B6A">
              <w:rPr>
                <w:noProof/>
                <w:webHidden/>
              </w:rPr>
              <w:fldChar w:fldCharType="end"/>
            </w:r>
          </w:hyperlink>
        </w:p>
        <w:p w:rsidR="00063B6A" w:rsidRDefault="00A95113">
          <w:pPr>
            <w:pStyle w:val="TDC2"/>
            <w:tabs>
              <w:tab w:val="right" w:leader="dot" w:pos="8921"/>
            </w:tabs>
            <w:rPr>
              <w:rFonts w:asciiTheme="minorHAnsi" w:eastAsiaTheme="minorEastAsia" w:hAnsiTheme="minorHAnsi" w:cstheme="minorBidi"/>
              <w:noProof/>
            </w:rPr>
          </w:pPr>
          <w:hyperlink w:anchor="_Toc209098819" w:history="1">
            <w:r w:rsidR="00063B6A" w:rsidRPr="00536940">
              <w:rPr>
                <w:rStyle w:val="Hipervnculo"/>
                <w:noProof/>
              </w:rPr>
              <w:t>I. Presentación de las solicitudes de información</w:t>
            </w:r>
            <w:r w:rsidR="00063B6A">
              <w:rPr>
                <w:noProof/>
                <w:webHidden/>
              </w:rPr>
              <w:tab/>
            </w:r>
            <w:r w:rsidR="00063B6A">
              <w:rPr>
                <w:noProof/>
                <w:webHidden/>
              </w:rPr>
              <w:fldChar w:fldCharType="begin"/>
            </w:r>
            <w:r w:rsidR="00063B6A">
              <w:rPr>
                <w:noProof/>
                <w:webHidden/>
              </w:rPr>
              <w:instrText xml:space="preserve"> PAGEREF _Toc209098819 \h </w:instrText>
            </w:r>
            <w:r w:rsidR="00063B6A">
              <w:rPr>
                <w:noProof/>
                <w:webHidden/>
              </w:rPr>
            </w:r>
            <w:r w:rsidR="00063B6A">
              <w:rPr>
                <w:noProof/>
                <w:webHidden/>
              </w:rPr>
              <w:fldChar w:fldCharType="separate"/>
            </w:r>
            <w:r w:rsidR="008B6AA7">
              <w:rPr>
                <w:noProof/>
                <w:webHidden/>
              </w:rPr>
              <w:t>2</w:t>
            </w:r>
            <w:r w:rsidR="00063B6A">
              <w:rPr>
                <w:noProof/>
                <w:webHidden/>
              </w:rPr>
              <w:fldChar w:fldCharType="end"/>
            </w:r>
          </w:hyperlink>
        </w:p>
        <w:p w:rsidR="00063B6A" w:rsidRDefault="00A95113">
          <w:pPr>
            <w:pStyle w:val="TDC2"/>
            <w:tabs>
              <w:tab w:val="right" w:leader="dot" w:pos="8921"/>
            </w:tabs>
            <w:rPr>
              <w:rFonts w:asciiTheme="minorHAnsi" w:eastAsiaTheme="minorEastAsia" w:hAnsiTheme="minorHAnsi" w:cstheme="minorBidi"/>
              <w:noProof/>
            </w:rPr>
          </w:pPr>
          <w:hyperlink w:anchor="_Toc209098820" w:history="1">
            <w:r w:rsidR="00063B6A" w:rsidRPr="00536940">
              <w:rPr>
                <w:rStyle w:val="Hipervnculo"/>
                <w:noProof/>
              </w:rPr>
              <w:t>II. Respuesta del Sujeto Obligado</w:t>
            </w:r>
            <w:r w:rsidR="00063B6A">
              <w:rPr>
                <w:noProof/>
                <w:webHidden/>
              </w:rPr>
              <w:tab/>
            </w:r>
            <w:r w:rsidR="00063B6A">
              <w:rPr>
                <w:noProof/>
                <w:webHidden/>
              </w:rPr>
              <w:fldChar w:fldCharType="begin"/>
            </w:r>
            <w:r w:rsidR="00063B6A">
              <w:rPr>
                <w:noProof/>
                <w:webHidden/>
              </w:rPr>
              <w:instrText xml:space="preserve"> PAGEREF _Toc209098820 \h </w:instrText>
            </w:r>
            <w:r w:rsidR="00063B6A">
              <w:rPr>
                <w:noProof/>
                <w:webHidden/>
              </w:rPr>
            </w:r>
            <w:r w:rsidR="00063B6A">
              <w:rPr>
                <w:noProof/>
                <w:webHidden/>
              </w:rPr>
              <w:fldChar w:fldCharType="separate"/>
            </w:r>
            <w:r w:rsidR="008B6AA7">
              <w:rPr>
                <w:noProof/>
                <w:webHidden/>
              </w:rPr>
              <w:t>3</w:t>
            </w:r>
            <w:r w:rsidR="00063B6A">
              <w:rPr>
                <w:noProof/>
                <w:webHidden/>
              </w:rPr>
              <w:fldChar w:fldCharType="end"/>
            </w:r>
          </w:hyperlink>
        </w:p>
        <w:p w:rsidR="00063B6A" w:rsidRDefault="00A95113">
          <w:pPr>
            <w:pStyle w:val="TDC2"/>
            <w:tabs>
              <w:tab w:val="right" w:leader="dot" w:pos="8921"/>
            </w:tabs>
            <w:rPr>
              <w:rFonts w:asciiTheme="minorHAnsi" w:eastAsiaTheme="minorEastAsia" w:hAnsiTheme="minorHAnsi" w:cstheme="minorBidi"/>
              <w:noProof/>
            </w:rPr>
          </w:pPr>
          <w:hyperlink w:anchor="_Toc209098821" w:history="1">
            <w:r w:rsidR="00063B6A" w:rsidRPr="00536940">
              <w:rPr>
                <w:rStyle w:val="Hipervnculo"/>
                <w:noProof/>
              </w:rPr>
              <w:t>III. Interposición del Recurso de Revisión</w:t>
            </w:r>
            <w:r w:rsidR="00063B6A">
              <w:rPr>
                <w:noProof/>
                <w:webHidden/>
              </w:rPr>
              <w:tab/>
            </w:r>
            <w:r w:rsidR="00063B6A">
              <w:rPr>
                <w:noProof/>
                <w:webHidden/>
              </w:rPr>
              <w:fldChar w:fldCharType="begin"/>
            </w:r>
            <w:r w:rsidR="00063B6A">
              <w:rPr>
                <w:noProof/>
                <w:webHidden/>
              </w:rPr>
              <w:instrText xml:space="preserve"> PAGEREF _Toc209098821 \h </w:instrText>
            </w:r>
            <w:r w:rsidR="00063B6A">
              <w:rPr>
                <w:noProof/>
                <w:webHidden/>
              </w:rPr>
            </w:r>
            <w:r w:rsidR="00063B6A">
              <w:rPr>
                <w:noProof/>
                <w:webHidden/>
              </w:rPr>
              <w:fldChar w:fldCharType="separate"/>
            </w:r>
            <w:r w:rsidR="008B6AA7">
              <w:rPr>
                <w:noProof/>
                <w:webHidden/>
              </w:rPr>
              <w:t>4</w:t>
            </w:r>
            <w:r w:rsidR="00063B6A">
              <w:rPr>
                <w:noProof/>
                <w:webHidden/>
              </w:rPr>
              <w:fldChar w:fldCharType="end"/>
            </w:r>
          </w:hyperlink>
        </w:p>
        <w:p w:rsidR="00063B6A" w:rsidRDefault="00A95113">
          <w:pPr>
            <w:pStyle w:val="TDC2"/>
            <w:tabs>
              <w:tab w:val="right" w:leader="dot" w:pos="8921"/>
            </w:tabs>
            <w:rPr>
              <w:rFonts w:asciiTheme="minorHAnsi" w:eastAsiaTheme="minorEastAsia" w:hAnsiTheme="minorHAnsi" w:cstheme="minorBidi"/>
              <w:noProof/>
            </w:rPr>
          </w:pPr>
          <w:hyperlink w:anchor="_Toc209098822" w:history="1">
            <w:r w:rsidR="00063B6A" w:rsidRPr="00536940">
              <w:rPr>
                <w:rStyle w:val="Hipervnculo"/>
                <w:noProof/>
              </w:rPr>
              <w:t>IV. Trámite del Recurso de Revisión ante este Instituto</w:t>
            </w:r>
            <w:r w:rsidR="00063B6A">
              <w:rPr>
                <w:noProof/>
                <w:webHidden/>
              </w:rPr>
              <w:tab/>
            </w:r>
            <w:r w:rsidR="00063B6A">
              <w:rPr>
                <w:noProof/>
                <w:webHidden/>
              </w:rPr>
              <w:fldChar w:fldCharType="begin"/>
            </w:r>
            <w:r w:rsidR="00063B6A">
              <w:rPr>
                <w:noProof/>
                <w:webHidden/>
              </w:rPr>
              <w:instrText xml:space="preserve"> PAGEREF _Toc209098822 \h </w:instrText>
            </w:r>
            <w:r w:rsidR="00063B6A">
              <w:rPr>
                <w:noProof/>
                <w:webHidden/>
              </w:rPr>
            </w:r>
            <w:r w:rsidR="00063B6A">
              <w:rPr>
                <w:noProof/>
                <w:webHidden/>
              </w:rPr>
              <w:fldChar w:fldCharType="separate"/>
            </w:r>
            <w:r w:rsidR="008B6AA7">
              <w:rPr>
                <w:noProof/>
                <w:webHidden/>
              </w:rPr>
              <w:t>5</w:t>
            </w:r>
            <w:r w:rsidR="00063B6A">
              <w:rPr>
                <w:noProof/>
                <w:webHidden/>
              </w:rPr>
              <w:fldChar w:fldCharType="end"/>
            </w:r>
          </w:hyperlink>
        </w:p>
        <w:p w:rsidR="00063B6A" w:rsidRDefault="00A95113">
          <w:pPr>
            <w:pStyle w:val="TDC1"/>
            <w:tabs>
              <w:tab w:val="right" w:leader="dot" w:pos="8921"/>
            </w:tabs>
            <w:rPr>
              <w:rFonts w:asciiTheme="minorHAnsi" w:eastAsiaTheme="minorEastAsia" w:hAnsiTheme="minorHAnsi" w:cstheme="minorBidi"/>
              <w:noProof/>
            </w:rPr>
          </w:pPr>
          <w:hyperlink w:anchor="_Toc209098823" w:history="1">
            <w:r w:rsidR="00063B6A" w:rsidRPr="00536940">
              <w:rPr>
                <w:rStyle w:val="Hipervnculo"/>
                <w:noProof/>
              </w:rPr>
              <w:t>C O N S I D E R A N D O S</w:t>
            </w:r>
            <w:r w:rsidR="00063B6A">
              <w:rPr>
                <w:noProof/>
                <w:webHidden/>
              </w:rPr>
              <w:tab/>
            </w:r>
            <w:r w:rsidR="00063B6A">
              <w:rPr>
                <w:noProof/>
                <w:webHidden/>
              </w:rPr>
              <w:fldChar w:fldCharType="begin"/>
            </w:r>
            <w:r w:rsidR="00063B6A">
              <w:rPr>
                <w:noProof/>
                <w:webHidden/>
              </w:rPr>
              <w:instrText xml:space="preserve"> PAGEREF _Toc209098823 \h </w:instrText>
            </w:r>
            <w:r w:rsidR="00063B6A">
              <w:rPr>
                <w:noProof/>
                <w:webHidden/>
              </w:rPr>
            </w:r>
            <w:r w:rsidR="00063B6A">
              <w:rPr>
                <w:noProof/>
                <w:webHidden/>
              </w:rPr>
              <w:fldChar w:fldCharType="separate"/>
            </w:r>
            <w:r w:rsidR="008B6AA7">
              <w:rPr>
                <w:noProof/>
                <w:webHidden/>
              </w:rPr>
              <w:t>7</w:t>
            </w:r>
            <w:r w:rsidR="00063B6A">
              <w:rPr>
                <w:noProof/>
                <w:webHidden/>
              </w:rPr>
              <w:fldChar w:fldCharType="end"/>
            </w:r>
          </w:hyperlink>
        </w:p>
        <w:p w:rsidR="00063B6A" w:rsidRDefault="00A95113">
          <w:pPr>
            <w:pStyle w:val="TDC2"/>
            <w:tabs>
              <w:tab w:val="right" w:leader="dot" w:pos="8921"/>
            </w:tabs>
            <w:rPr>
              <w:rFonts w:asciiTheme="minorHAnsi" w:eastAsiaTheme="minorEastAsia" w:hAnsiTheme="minorHAnsi" w:cstheme="minorBidi"/>
              <w:noProof/>
            </w:rPr>
          </w:pPr>
          <w:hyperlink w:anchor="_Toc209098824" w:history="1">
            <w:r w:rsidR="00063B6A" w:rsidRPr="00536940">
              <w:rPr>
                <w:rStyle w:val="Hipervnculo"/>
                <w:noProof/>
              </w:rPr>
              <w:t>PRIMERO. Competencia</w:t>
            </w:r>
            <w:r w:rsidR="00063B6A">
              <w:rPr>
                <w:noProof/>
                <w:webHidden/>
              </w:rPr>
              <w:tab/>
            </w:r>
            <w:r w:rsidR="00063B6A">
              <w:rPr>
                <w:noProof/>
                <w:webHidden/>
              </w:rPr>
              <w:fldChar w:fldCharType="begin"/>
            </w:r>
            <w:r w:rsidR="00063B6A">
              <w:rPr>
                <w:noProof/>
                <w:webHidden/>
              </w:rPr>
              <w:instrText xml:space="preserve"> PAGEREF _Toc209098824 \h </w:instrText>
            </w:r>
            <w:r w:rsidR="00063B6A">
              <w:rPr>
                <w:noProof/>
                <w:webHidden/>
              </w:rPr>
            </w:r>
            <w:r w:rsidR="00063B6A">
              <w:rPr>
                <w:noProof/>
                <w:webHidden/>
              </w:rPr>
              <w:fldChar w:fldCharType="separate"/>
            </w:r>
            <w:r w:rsidR="008B6AA7">
              <w:rPr>
                <w:noProof/>
                <w:webHidden/>
              </w:rPr>
              <w:t>7</w:t>
            </w:r>
            <w:r w:rsidR="00063B6A">
              <w:rPr>
                <w:noProof/>
                <w:webHidden/>
              </w:rPr>
              <w:fldChar w:fldCharType="end"/>
            </w:r>
          </w:hyperlink>
        </w:p>
        <w:p w:rsidR="00063B6A" w:rsidRDefault="00A95113">
          <w:pPr>
            <w:pStyle w:val="TDC2"/>
            <w:tabs>
              <w:tab w:val="right" w:leader="dot" w:pos="8921"/>
            </w:tabs>
            <w:rPr>
              <w:rFonts w:asciiTheme="minorHAnsi" w:eastAsiaTheme="minorEastAsia" w:hAnsiTheme="minorHAnsi" w:cstheme="minorBidi"/>
              <w:noProof/>
            </w:rPr>
          </w:pPr>
          <w:hyperlink w:anchor="_Toc209098825" w:history="1">
            <w:r w:rsidR="00063B6A" w:rsidRPr="00536940">
              <w:rPr>
                <w:rStyle w:val="Hipervnculo"/>
                <w:noProof/>
              </w:rPr>
              <w:t>SEGUNDO. Causales de improcedencia y sobreseimiento</w:t>
            </w:r>
            <w:r w:rsidR="00063B6A">
              <w:rPr>
                <w:noProof/>
                <w:webHidden/>
              </w:rPr>
              <w:tab/>
            </w:r>
            <w:r w:rsidR="00063B6A">
              <w:rPr>
                <w:noProof/>
                <w:webHidden/>
              </w:rPr>
              <w:fldChar w:fldCharType="begin"/>
            </w:r>
            <w:r w:rsidR="00063B6A">
              <w:rPr>
                <w:noProof/>
                <w:webHidden/>
              </w:rPr>
              <w:instrText xml:space="preserve"> PAGEREF _Toc209098825 \h </w:instrText>
            </w:r>
            <w:r w:rsidR="00063B6A">
              <w:rPr>
                <w:noProof/>
                <w:webHidden/>
              </w:rPr>
            </w:r>
            <w:r w:rsidR="00063B6A">
              <w:rPr>
                <w:noProof/>
                <w:webHidden/>
              </w:rPr>
              <w:fldChar w:fldCharType="separate"/>
            </w:r>
            <w:r w:rsidR="008B6AA7">
              <w:rPr>
                <w:noProof/>
                <w:webHidden/>
              </w:rPr>
              <w:t>8</w:t>
            </w:r>
            <w:r w:rsidR="00063B6A">
              <w:rPr>
                <w:noProof/>
                <w:webHidden/>
              </w:rPr>
              <w:fldChar w:fldCharType="end"/>
            </w:r>
          </w:hyperlink>
        </w:p>
        <w:p w:rsidR="00063B6A" w:rsidRDefault="00A95113">
          <w:pPr>
            <w:pStyle w:val="TDC2"/>
            <w:tabs>
              <w:tab w:val="right" w:leader="dot" w:pos="8921"/>
            </w:tabs>
            <w:rPr>
              <w:rFonts w:asciiTheme="minorHAnsi" w:eastAsiaTheme="minorEastAsia" w:hAnsiTheme="minorHAnsi" w:cstheme="minorBidi"/>
              <w:noProof/>
            </w:rPr>
          </w:pPr>
          <w:hyperlink w:anchor="_Toc209098826" w:history="1">
            <w:r w:rsidR="00063B6A" w:rsidRPr="00536940">
              <w:rPr>
                <w:rStyle w:val="Hipervnculo"/>
                <w:noProof/>
              </w:rPr>
              <w:t>TERCERO. Determinación de la Controversia</w:t>
            </w:r>
            <w:r w:rsidR="00063B6A">
              <w:rPr>
                <w:noProof/>
                <w:webHidden/>
              </w:rPr>
              <w:tab/>
            </w:r>
            <w:r w:rsidR="00063B6A">
              <w:rPr>
                <w:noProof/>
                <w:webHidden/>
              </w:rPr>
              <w:fldChar w:fldCharType="begin"/>
            </w:r>
            <w:r w:rsidR="00063B6A">
              <w:rPr>
                <w:noProof/>
                <w:webHidden/>
              </w:rPr>
              <w:instrText xml:space="preserve"> PAGEREF _Toc209098826 \h </w:instrText>
            </w:r>
            <w:r w:rsidR="00063B6A">
              <w:rPr>
                <w:noProof/>
                <w:webHidden/>
              </w:rPr>
            </w:r>
            <w:r w:rsidR="00063B6A">
              <w:rPr>
                <w:noProof/>
                <w:webHidden/>
              </w:rPr>
              <w:fldChar w:fldCharType="separate"/>
            </w:r>
            <w:r w:rsidR="008B6AA7">
              <w:rPr>
                <w:noProof/>
                <w:webHidden/>
              </w:rPr>
              <w:t>9</w:t>
            </w:r>
            <w:r w:rsidR="00063B6A">
              <w:rPr>
                <w:noProof/>
                <w:webHidden/>
              </w:rPr>
              <w:fldChar w:fldCharType="end"/>
            </w:r>
          </w:hyperlink>
        </w:p>
        <w:p w:rsidR="00063B6A" w:rsidRDefault="00A95113">
          <w:pPr>
            <w:pStyle w:val="TDC2"/>
            <w:tabs>
              <w:tab w:val="right" w:leader="dot" w:pos="8921"/>
            </w:tabs>
            <w:rPr>
              <w:rFonts w:asciiTheme="minorHAnsi" w:eastAsiaTheme="minorEastAsia" w:hAnsiTheme="minorHAnsi" w:cstheme="minorBidi"/>
              <w:noProof/>
            </w:rPr>
          </w:pPr>
          <w:hyperlink w:anchor="_Toc209098827" w:history="1">
            <w:r w:rsidR="00063B6A" w:rsidRPr="00536940">
              <w:rPr>
                <w:rStyle w:val="Hipervnculo"/>
                <w:noProof/>
              </w:rPr>
              <w:t>CUARTO. Marco normativo aplicable en materia de transparencia y acceso a la información pública</w:t>
            </w:r>
            <w:r w:rsidR="00063B6A">
              <w:rPr>
                <w:noProof/>
                <w:webHidden/>
              </w:rPr>
              <w:tab/>
            </w:r>
            <w:r w:rsidR="00063B6A">
              <w:rPr>
                <w:noProof/>
                <w:webHidden/>
              </w:rPr>
              <w:fldChar w:fldCharType="begin"/>
            </w:r>
            <w:r w:rsidR="00063B6A">
              <w:rPr>
                <w:noProof/>
                <w:webHidden/>
              </w:rPr>
              <w:instrText xml:space="preserve"> PAGEREF _Toc209098827 \h </w:instrText>
            </w:r>
            <w:r w:rsidR="00063B6A">
              <w:rPr>
                <w:noProof/>
                <w:webHidden/>
              </w:rPr>
            </w:r>
            <w:r w:rsidR="00063B6A">
              <w:rPr>
                <w:noProof/>
                <w:webHidden/>
              </w:rPr>
              <w:fldChar w:fldCharType="separate"/>
            </w:r>
            <w:r w:rsidR="008B6AA7">
              <w:rPr>
                <w:noProof/>
                <w:webHidden/>
              </w:rPr>
              <w:t>12</w:t>
            </w:r>
            <w:r w:rsidR="00063B6A">
              <w:rPr>
                <w:noProof/>
                <w:webHidden/>
              </w:rPr>
              <w:fldChar w:fldCharType="end"/>
            </w:r>
          </w:hyperlink>
        </w:p>
        <w:p w:rsidR="00063B6A" w:rsidRDefault="00A95113">
          <w:pPr>
            <w:pStyle w:val="TDC2"/>
            <w:tabs>
              <w:tab w:val="right" w:leader="dot" w:pos="8921"/>
            </w:tabs>
            <w:rPr>
              <w:rFonts w:asciiTheme="minorHAnsi" w:eastAsiaTheme="minorEastAsia" w:hAnsiTheme="minorHAnsi" w:cstheme="minorBidi"/>
              <w:noProof/>
            </w:rPr>
          </w:pPr>
          <w:hyperlink w:anchor="_Toc209098828" w:history="1">
            <w:r w:rsidR="00063B6A" w:rsidRPr="00536940">
              <w:rPr>
                <w:rStyle w:val="Hipervnculo"/>
                <w:noProof/>
              </w:rPr>
              <w:t>QUINTO. Estudio de Fondo</w:t>
            </w:r>
            <w:r w:rsidR="00063B6A">
              <w:rPr>
                <w:noProof/>
                <w:webHidden/>
              </w:rPr>
              <w:tab/>
            </w:r>
            <w:r w:rsidR="00063B6A">
              <w:rPr>
                <w:noProof/>
                <w:webHidden/>
              </w:rPr>
              <w:fldChar w:fldCharType="begin"/>
            </w:r>
            <w:r w:rsidR="00063B6A">
              <w:rPr>
                <w:noProof/>
                <w:webHidden/>
              </w:rPr>
              <w:instrText xml:space="preserve"> PAGEREF _Toc209098828 \h </w:instrText>
            </w:r>
            <w:r w:rsidR="00063B6A">
              <w:rPr>
                <w:noProof/>
                <w:webHidden/>
              </w:rPr>
            </w:r>
            <w:r w:rsidR="00063B6A">
              <w:rPr>
                <w:noProof/>
                <w:webHidden/>
              </w:rPr>
              <w:fldChar w:fldCharType="separate"/>
            </w:r>
            <w:r w:rsidR="008B6AA7">
              <w:rPr>
                <w:noProof/>
                <w:webHidden/>
              </w:rPr>
              <w:t>13</w:t>
            </w:r>
            <w:r w:rsidR="00063B6A">
              <w:rPr>
                <w:noProof/>
                <w:webHidden/>
              </w:rPr>
              <w:fldChar w:fldCharType="end"/>
            </w:r>
          </w:hyperlink>
        </w:p>
        <w:p w:rsidR="00063B6A" w:rsidRDefault="00A95113">
          <w:pPr>
            <w:pStyle w:val="TDC2"/>
            <w:tabs>
              <w:tab w:val="right" w:leader="dot" w:pos="8921"/>
            </w:tabs>
            <w:rPr>
              <w:rFonts w:asciiTheme="minorHAnsi" w:eastAsiaTheme="minorEastAsia" w:hAnsiTheme="minorHAnsi" w:cstheme="minorBidi"/>
              <w:noProof/>
            </w:rPr>
          </w:pPr>
          <w:hyperlink w:anchor="_Toc209098829" w:history="1">
            <w:r w:rsidR="00063B6A" w:rsidRPr="00536940">
              <w:rPr>
                <w:rStyle w:val="Hipervnculo"/>
                <w:noProof/>
              </w:rPr>
              <w:t>SEXTO. Decisión</w:t>
            </w:r>
            <w:r w:rsidR="00063B6A">
              <w:rPr>
                <w:noProof/>
                <w:webHidden/>
              </w:rPr>
              <w:tab/>
            </w:r>
            <w:r w:rsidR="00063B6A">
              <w:rPr>
                <w:noProof/>
                <w:webHidden/>
              </w:rPr>
              <w:fldChar w:fldCharType="begin"/>
            </w:r>
            <w:r w:rsidR="00063B6A">
              <w:rPr>
                <w:noProof/>
                <w:webHidden/>
              </w:rPr>
              <w:instrText xml:space="preserve"> PAGEREF _Toc209098829 \h </w:instrText>
            </w:r>
            <w:r w:rsidR="00063B6A">
              <w:rPr>
                <w:noProof/>
                <w:webHidden/>
              </w:rPr>
            </w:r>
            <w:r w:rsidR="00063B6A">
              <w:rPr>
                <w:noProof/>
                <w:webHidden/>
              </w:rPr>
              <w:fldChar w:fldCharType="separate"/>
            </w:r>
            <w:r w:rsidR="008B6AA7">
              <w:rPr>
                <w:noProof/>
                <w:webHidden/>
              </w:rPr>
              <w:t>47</w:t>
            </w:r>
            <w:r w:rsidR="00063B6A">
              <w:rPr>
                <w:noProof/>
                <w:webHidden/>
              </w:rPr>
              <w:fldChar w:fldCharType="end"/>
            </w:r>
          </w:hyperlink>
        </w:p>
        <w:p w:rsidR="00063B6A" w:rsidRDefault="00A95113">
          <w:pPr>
            <w:pStyle w:val="TDC1"/>
            <w:tabs>
              <w:tab w:val="right" w:leader="dot" w:pos="8921"/>
            </w:tabs>
            <w:rPr>
              <w:rFonts w:asciiTheme="minorHAnsi" w:eastAsiaTheme="minorEastAsia" w:hAnsiTheme="minorHAnsi" w:cstheme="minorBidi"/>
              <w:noProof/>
            </w:rPr>
          </w:pPr>
          <w:hyperlink w:anchor="_Toc209098830" w:history="1">
            <w:r w:rsidR="00063B6A" w:rsidRPr="00536940">
              <w:rPr>
                <w:rStyle w:val="Hipervnculo"/>
                <w:noProof/>
              </w:rPr>
              <w:t>R E S U E L V E</w:t>
            </w:r>
            <w:r w:rsidR="00063B6A">
              <w:rPr>
                <w:noProof/>
                <w:webHidden/>
              </w:rPr>
              <w:tab/>
            </w:r>
            <w:r w:rsidR="00063B6A">
              <w:rPr>
                <w:noProof/>
                <w:webHidden/>
              </w:rPr>
              <w:fldChar w:fldCharType="begin"/>
            </w:r>
            <w:r w:rsidR="00063B6A">
              <w:rPr>
                <w:noProof/>
                <w:webHidden/>
              </w:rPr>
              <w:instrText xml:space="preserve"> PAGEREF _Toc209098830 \h </w:instrText>
            </w:r>
            <w:r w:rsidR="00063B6A">
              <w:rPr>
                <w:noProof/>
                <w:webHidden/>
              </w:rPr>
            </w:r>
            <w:r w:rsidR="00063B6A">
              <w:rPr>
                <w:noProof/>
                <w:webHidden/>
              </w:rPr>
              <w:fldChar w:fldCharType="separate"/>
            </w:r>
            <w:r w:rsidR="008B6AA7">
              <w:rPr>
                <w:noProof/>
                <w:webHidden/>
              </w:rPr>
              <w:t>48</w:t>
            </w:r>
            <w:r w:rsidR="00063B6A">
              <w:rPr>
                <w:noProof/>
                <w:webHidden/>
              </w:rPr>
              <w:fldChar w:fldCharType="end"/>
            </w:r>
          </w:hyperlink>
        </w:p>
        <w:p w:rsidR="004B3879" w:rsidRPr="00063B6A" w:rsidRDefault="004B3879">
          <w:r w:rsidRPr="00063B6A">
            <w:rPr>
              <w:b/>
              <w:bCs/>
              <w:lang w:val="es-ES"/>
            </w:rPr>
            <w:fldChar w:fldCharType="end"/>
          </w:r>
        </w:p>
      </w:sdtContent>
    </w:sdt>
    <w:p w:rsidR="004B3879" w:rsidRPr="00063B6A" w:rsidRDefault="004B3879">
      <w:pPr>
        <w:tabs>
          <w:tab w:val="left" w:pos="8931"/>
        </w:tabs>
        <w:spacing w:after="0" w:line="360" w:lineRule="auto"/>
      </w:pPr>
    </w:p>
    <w:p w:rsidR="004B3879" w:rsidRPr="00063B6A" w:rsidRDefault="004B3879">
      <w:pPr>
        <w:tabs>
          <w:tab w:val="left" w:pos="8931"/>
        </w:tabs>
        <w:spacing w:after="0" w:line="360" w:lineRule="auto"/>
      </w:pPr>
    </w:p>
    <w:p w:rsidR="004B3879" w:rsidRPr="00063B6A" w:rsidRDefault="004B3879">
      <w:pPr>
        <w:tabs>
          <w:tab w:val="left" w:pos="8931"/>
        </w:tabs>
        <w:spacing w:after="0" w:line="360" w:lineRule="auto"/>
      </w:pPr>
    </w:p>
    <w:p w:rsidR="00B40356" w:rsidRPr="00063B6A" w:rsidRDefault="00B40356">
      <w:pPr>
        <w:tabs>
          <w:tab w:val="left" w:pos="8931"/>
        </w:tabs>
        <w:spacing w:after="0" w:line="360" w:lineRule="auto"/>
      </w:pPr>
    </w:p>
    <w:p w:rsidR="004B3879" w:rsidRPr="00063B6A" w:rsidRDefault="004B3879">
      <w:pPr>
        <w:tabs>
          <w:tab w:val="left" w:pos="8931"/>
        </w:tabs>
        <w:spacing w:after="0" w:line="360" w:lineRule="auto"/>
      </w:pPr>
    </w:p>
    <w:p w:rsidR="004B3879" w:rsidRPr="00063B6A" w:rsidRDefault="004B3879">
      <w:pPr>
        <w:tabs>
          <w:tab w:val="left" w:pos="8931"/>
        </w:tabs>
        <w:spacing w:after="0" w:line="360" w:lineRule="auto"/>
      </w:pPr>
    </w:p>
    <w:p w:rsidR="004B3879" w:rsidRPr="00063B6A" w:rsidRDefault="004B3879">
      <w:pPr>
        <w:tabs>
          <w:tab w:val="left" w:pos="8931"/>
        </w:tabs>
        <w:spacing w:after="0" w:line="360" w:lineRule="auto"/>
      </w:pPr>
    </w:p>
    <w:p w:rsidR="00B40356" w:rsidRPr="00063B6A" w:rsidRDefault="005F4EE9">
      <w:pPr>
        <w:tabs>
          <w:tab w:val="left" w:pos="8931"/>
        </w:tabs>
        <w:spacing w:after="0" w:line="360" w:lineRule="auto"/>
      </w:pPr>
      <w:r w:rsidRPr="00063B6A">
        <w:lastRenderedPageBreak/>
        <w:t xml:space="preserve">Resolución del Pleno del Instituto de Transparencia, Acceso a la Información Pública y Protección de Datos Personales del Estado de México y Municipios, con domicilio en Metepec, Estado de México, de fecha dieciocho de septiembre de dos mil veinticinco. </w:t>
      </w:r>
    </w:p>
    <w:p w:rsidR="00B40356" w:rsidRPr="00063B6A" w:rsidRDefault="00B40356">
      <w:pPr>
        <w:spacing w:after="0" w:line="360" w:lineRule="auto"/>
        <w:rPr>
          <w:b/>
        </w:rPr>
      </w:pPr>
    </w:p>
    <w:p w:rsidR="00B40356" w:rsidRPr="00063B6A" w:rsidRDefault="005F4EE9">
      <w:pPr>
        <w:spacing w:after="0" w:line="360" w:lineRule="auto"/>
        <w:rPr>
          <w:color w:val="0D0D0D"/>
        </w:rPr>
      </w:pPr>
      <w:r w:rsidRPr="00063B6A">
        <w:rPr>
          <w:b/>
        </w:rPr>
        <w:t xml:space="preserve">VISTO </w:t>
      </w:r>
      <w:r w:rsidRPr="00063B6A">
        <w:t xml:space="preserve">el expediente electrónico conformado con motivo de los Recursos de Revisión </w:t>
      </w:r>
      <w:bookmarkStart w:id="0" w:name="_GoBack"/>
      <w:bookmarkEnd w:id="0"/>
      <w:r w:rsidRPr="00AE3A0B">
        <w:rPr>
          <w:b/>
        </w:rPr>
        <w:t>03841/INFOEM/IP/RR/2025 y 04545/INFOEM/IP/RR/2025,</w:t>
      </w:r>
      <w:r w:rsidRPr="00063B6A">
        <w:t xml:space="preserve"> interpuesto en lo sucesivo la persona </w:t>
      </w:r>
      <w:r w:rsidRPr="00063B6A">
        <w:rPr>
          <w:color w:val="0D0D0D"/>
        </w:rPr>
        <w:t xml:space="preserve">Recurrente o Particular, en contra de las respuestas del Sujeto Obligado, </w:t>
      </w:r>
      <w:r w:rsidRPr="00AE3A0B">
        <w:rPr>
          <w:b/>
        </w:rPr>
        <w:t xml:space="preserve">Ayuntamiento de </w:t>
      </w:r>
      <w:proofErr w:type="spellStart"/>
      <w:r w:rsidRPr="00AE3A0B">
        <w:rPr>
          <w:b/>
        </w:rPr>
        <w:t>Otzolotepec</w:t>
      </w:r>
      <w:proofErr w:type="spellEnd"/>
      <w:r w:rsidRPr="00AE3A0B">
        <w:rPr>
          <w:b/>
        </w:rPr>
        <w:t>,</w:t>
      </w:r>
      <w:r w:rsidRPr="00063B6A">
        <w:rPr>
          <w:color w:val="0D0D0D"/>
        </w:rPr>
        <w:t xml:space="preserve"> a las solicitudes de acceso a la información pública </w:t>
      </w:r>
      <w:r w:rsidRPr="00063B6A">
        <w:t>00141/OTZOLOTE/IP/2025</w:t>
      </w:r>
      <w:r w:rsidRPr="00063B6A">
        <w:rPr>
          <w:color w:val="000000"/>
        </w:rPr>
        <w:t xml:space="preserve"> y  00161/OTZOLOTE/IP/2025, </w:t>
      </w:r>
      <w:r w:rsidRPr="00063B6A">
        <w:rPr>
          <w:color w:val="0D0D0D"/>
        </w:rPr>
        <w:t>se emite la presente Resolución, con base en los Antecedentes y Considerandos que se exponen a continuación:</w:t>
      </w:r>
    </w:p>
    <w:p w:rsidR="00B40356" w:rsidRPr="00063B6A" w:rsidRDefault="00B40356">
      <w:pPr>
        <w:spacing w:after="0" w:line="360" w:lineRule="auto"/>
        <w:rPr>
          <w:b/>
        </w:rPr>
      </w:pPr>
    </w:p>
    <w:p w:rsidR="00B40356" w:rsidRPr="00063B6A" w:rsidRDefault="005F4EE9">
      <w:pPr>
        <w:pStyle w:val="Ttulo1"/>
        <w:spacing w:before="0" w:after="0" w:line="360" w:lineRule="auto"/>
        <w:jc w:val="center"/>
        <w:rPr>
          <w:sz w:val="22"/>
          <w:szCs w:val="22"/>
        </w:rPr>
      </w:pPr>
      <w:bookmarkStart w:id="1" w:name="_heading=h.p3nj7hjh0s89" w:colFirst="0" w:colLast="0"/>
      <w:bookmarkStart w:id="2" w:name="_Toc209098818"/>
      <w:bookmarkEnd w:id="1"/>
      <w:r w:rsidRPr="00063B6A">
        <w:rPr>
          <w:sz w:val="22"/>
          <w:szCs w:val="22"/>
        </w:rPr>
        <w:t>A N T E C E D E N T E S</w:t>
      </w:r>
      <w:bookmarkEnd w:id="2"/>
    </w:p>
    <w:p w:rsidR="00B40356" w:rsidRPr="00063B6A" w:rsidRDefault="00B40356">
      <w:pPr>
        <w:spacing w:after="0" w:line="360" w:lineRule="auto"/>
        <w:jc w:val="center"/>
        <w:rPr>
          <w:b/>
        </w:rPr>
      </w:pPr>
    </w:p>
    <w:p w:rsidR="00B40356" w:rsidRPr="00063B6A" w:rsidRDefault="005F4EE9">
      <w:pPr>
        <w:pStyle w:val="Ttulo2"/>
        <w:spacing w:before="0" w:after="0" w:line="360" w:lineRule="auto"/>
        <w:rPr>
          <w:sz w:val="22"/>
          <w:szCs w:val="22"/>
        </w:rPr>
      </w:pPr>
      <w:bookmarkStart w:id="3" w:name="_heading=h.627yww5qzo2u" w:colFirst="0" w:colLast="0"/>
      <w:bookmarkStart w:id="4" w:name="_Toc209098819"/>
      <w:bookmarkEnd w:id="3"/>
      <w:r w:rsidRPr="00063B6A">
        <w:rPr>
          <w:sz w:val="22"/>
          <w:szCs w:val="22"/>
        </w:rPr>
        <w:t>I. Presentación de las solicitudes de información</w:t>
      </w:r>
      <w:bookmarkEnd w:id="4"/>
    </w:p>
    <w:p w:rsidR="00B40356" w:rsidRPr="00063B6A" w:rsidRDefault="00B40356">
      <w:pPr>
        <w:tabs>
          <w:tab w:val="left" w:pos="567"/>
        </w:tabs>
        <w:spacing w:after="0" w:line="360" w:lineRule="auto"/>
      </w:pPr>
    </w:p>
    <w:p w:rsidR="00B40356" w:rsidRPr="00063B6A" w:rsidRDefault="005F4EE9">
      <w:pPr>
        <w:spacing w:after="0" w:line="360" w:lineRule="auto"/>
      </w:pPr>
      <w:r w:rsidRPr="00063B6A">
        <w:t xml:space="preserve">El dieciséis y veintiséis de marzo de dos mil veinticinco, el Particular presentó dos solicitudes de acceso a la información pública, a través del Sistema de Acceso a la Información Mexiquense (SAIMEX), ante el Ayuntamiento de </w:t>
      </w:r>
      <w:proofErr w:type="spellStart"/>
      <w:r w:rsidRPr="00063B6A">
        <w:t>Otzolotepec</w:t>
      </w:r>
      <w:proofErr w:type="spellEnd"/>
      <w:r w:rsidRPr="00063B6A">
        <w:rPr>
          <w:color w:val="000000"/>
        </w:rPr>
        <w:t>,</w:t>
      </w:r>
      <w:r w:rsidRPr="00063B6A">
        <w:t xml:space="preserve"> en los siguientes términos: </w:t>
      </w:r>
    </w:p>
    <w:p w:rsidR="00B40356" w:rsidRPr="00063B6A" w:rsidRDefault="00B40356">
      <w:pPr>
        <w:pBdr>
          <w:top w:val="nil"/>
          <w:left w:val="nil"/>
          <w:bottom w:val="nil"/>
          <w:right w:val="nil"/>
          <w:between w:val="nil"/>
        </w:pBdr>
        <w:tabs>
          <w:tab w:val="left" w:pos="567"/>
        </w:tabs>
        <w:spacing w:after="0" w:line="360" w:lineRule="auto"/>
        <w:rPr>
          <w:color w:val="FF0000"/>
        </w:rPr>
      </w:pPr>
    </w:p>
    <w:tbl>
      <w:tblPr>
        <w:tblStyle w:val="a8"/>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9"/>
        <w:gridCol w:w="6287"/>
      </w:tblGrid>
      <w:tr w:rsidR="00B40356" w:rsidRPr="00063B6A">
        <w:tc>
          <w:tcPr>
            <w:tcW w:w="2639" w:type="dxa"/>
            <w:tcBorders>
              <w:top w:val="single" w:sz="4" w:space="0" w:color="000000"/>
              <w:left w:val="single" w:sz="4" w:space="0" w:color="000000"/>
              <w:bottom w:val="single" w:sz="4" w:space="0" w:color="000000"/>
              <w:right w:val="single" w:sz="4" w:space="0" w:color="000000"/>
            </w:tcBorders>
            <w:shd w:val="clear" w:color="auto" w:fill="DDD9C4"/>
          </w:tcPr>
          <w:p w:rsidR="00B40356" w:rsidRPr="00063B6A" w:rsidRDefault="005F4EE9">
            <w:pPr>
              <w:tabs>
                <w:tab w:val="left" w:pos="567"/>
              </w:tabs>
              <w:spacing w:line="360" w:lineRule="auto"/>
              <w:ind w:right="-28"/>
              <w:rPr>
                <w:b/>
                <w:color w:val="000000"/>
                <w:sz w:val="20"/>
                <w:szCs w:val="20"/>
              </w:rPr>
            </w:pPr>
            <w:r w:rsidRPr="00063B6A">
              <w:rPr>
                <w:b/>
                <w:color w:val="000000"/>
                <w:sz w:val="20"/>
                <w:szCs w:val="20"/>
              </w:rPr>
              <w:t>FOLIO DE SOLICITUD</w:t>
            </w:r>
          </w:p>
        </w:tc>
        <w:tc>
          <w:tcPr>
            <w:tcW w:w="6287" w:type="dxa"/>
            <w:tcBorders>
              <w:top w:val="single" w:sz="4" w:space="0" w:color="000000"/>
              <w:left w:val="single" w:sz="4" w:space="0" w:color="000000"/>
              <w:bottom w:val="single" w:sz="4" w:space="0" w:color="000000"/>
              <w:right w:val="single" w:sz="4" w:space="0" w:color="000000"/>
            </w:tcBorders>
            <w:shd w:val="clear" w:color="auto" w:fill="DDD9C4"/>
          </w:tcPr>
          <w:p w:rsidR="00B40356" w:rsidRPr="00063B6A" w:rsidRDefault="005F4EE9">
            <w:pPr>
              <w:tabs>
                <w:tab w:val="left" w:pos="567"/>
              </w:tabs>
              <w:spacing w:line="360" w:lineRule="auto"/>
              <w:rPr>
                <w:b/>
                <w:color w:val="000000"/>
                <w:sz w:val="20"/>
                <w:szCs w:val="20"/>
              </w:rPr>
            </w:pPr>
            <w:r w:rsidRPr="00063B6A">
              <w:rPr>
                <w:b/>
                <w:color w:val="000000"/>
                <w:sz w:val="20"/>
                <w:szCs w:val="20"/>
              </w:rPr>
              <w:t>‘’DESCRIPCIÓN CLARA Y PRECISA DE LA INFORMACIÓN SOLICITADA</w:t>
            </w:r>
          </w:p>
        </w:tc>
      </w:tr>
      <w:tr w:rsidR="00B40356" w:rsidRPr="00063B6A">
        <w:tc>
          <w:tcPr>
            <w:tcW w:w="2639" w:type="dxa"/>
            <w:tcBorders>
              <w:top w:val="single" w:sz="4" w:space="0" w:color="000000"/>
              <w:left w:val="single" w:sz="4" w:space="0" w:color="000000"/>
              <w:bottom w:val="single" w:sz="4" w:space="0" w:color="000000"/>
              <w:right w:val="single" w:sz="4" w:space="0" w:color="000000"/>
            </w:tcBorders>
          </w:tcPr>
          <w:p w:rsidR="00B40356" w:rsidRPr="00063B6A" w:rsidRDefault="005F4EE9">
            <w:pPr>
              <w:spacing w:line="360" w:lineRule="auto"/>
              <w:rPr>
                <w:b/>
                <w:i/>
                <w:color w:val="FF0000"/>
                <w:sz w:val="20"/>
                <w:szCs w:val="20"/>
              </w:rPr>
            </w:pPr>
            <w:r w:rsidRPr="00063B6A">
              <w:rPr>
                <w:b/>
                <w:i/>
                <w:color w:val="000000"/>
                <w:sz w:val="20"/>
                <w:szCs w:val="20"/>
              </w:rPr>
              <w:t>00141/OTZOLOTE/IP/2025</w:t>
            </w:r>
          </w:p>
        </w:tc>
        <w:tc>
          <w:tcPr>
            <w:tcW w:w="6287" w:type="dxa"/>
            <w:tcBorders>
              <w:top w:val="single" w:sz="4" w:space="0" w:color="000000"/>
              <w:left w:val="single" w:sz="4" w:space="0" w:color="000000"/>
              <w:bottom w:val="single" w:sz="4" w:space="0" w:color="000000"/>
              <w:right w:val="single" w:sz="4" w:space="0" w:color="000000"/>
            </w:tcBorders>
          </w:tcPr>
          <w:p w:rsidR="00B40356" w:rsidRPr="00063B6A" w:rsidRDefault="005F4EE9">
            <w:pPr>
              <w:spacing w:line="360" w:lineRule="auto"/>
              <w:rPr>
                <w:i/>
                <w:color w:val="FF0000"/>
                <w:sz w:val="20"/>
                <w:szCs w:val="20"/>
              </w:rPr>
            </w:pPr>
            <w:r w:rsidRPr="00063B6A">
              <w:rPr>
                <w:i/>
                <w:color w:val="000000"/>
                <w:sz w:val="20"/>
                <w:szCs w:val="20"/>
              </w:rPr>
              <w:t>Requiero el recibo de nómina en versión pública del Director de Gobernación, o en su caso, el link donde pueda consultar información en torno a ello.” (Sic.)</w:t>
            </w:r>
          </w:p>
        </w:tc>
      </w:tr>
      <w:tr w:rsidR="00B40356" w:rsidRPr="00063B6A">
        <w:tc>
          <w:tcPr>
            <w:tcW w:w="2639" w:type="dxa"/>
            <w:tcBorders>
              <w:top w:val="single" w:sz="4" w:space="0" w:color="000000"/>
              <w:left w:val="single" w:sz="4" w:space="0" w:color="000000"/>
              <w:bottom w:val="single" w:sz="4" w:space="0" w:color="000000"/>
              <w:right w:val="single" w:sz="4" w:space="0" w:color="000000"/>
            </w:tcBorders>
          </w:tcPr>
          <w:p w:rsidR="00B40356" w:rsidRPr="00063B6A" w:rsidRDefault="005F4EE9">
            <w:pPr>
              <w:spacing w:line="360" w:lineRule="auto"/>
              <w:rPr>
                <w:b/>
                <w:i/>
                <w:color w:val="FF0000"/>
                <w:sz w:val="20"/>
                <w:szCs w:val="20"/>
              </w:rPr>
            </w:pPr>
            <w:r w:rsidRPr="00063B6A">
              <w:rPr>
                <w:b/>
                <w:i/>
                <w:color w:val="000000"/>
                <w:sz w:val="20"/>
                <w:szCs w:val="20"/>
              </w:rPr>
              <w:lastRenderedPageBreak/>
              <w:t>00161/OTZOLOTE/IP/2025</w:t>
            </w:r>
          </w:p>
        </w:tc>
        <w:tc>
          <w:tcPr>
            <w:tcW w:w="6287" w:type="dxa"/>
            <w:tcBorders>
              <w:top w:val="single" w:sz="4" w:space="0" w:color="000000"/>
              <w:left w:val="single" w:sz="4" w:space="0" w:color="000000"/>
              <w:bottom w:val="single" w:sz="4" w:space="0" w:color="000000"/>
              <w:right w:val="single" w:sz="4" w:space="0" w:color="000000"/>
            </w:tcBorders>
          </w:tcPr>
          <w:p w:rsidR="00B40356" w:rsidRPr="00063B6A" w:rsidRDefault="005F4EE9">
            <w:pPr>
              <w:spacing w:line="360" w:lineRule="auto"/>
              <w:rPr>
                <w:color w:val="FF0000"/>
                <w:sz w:val="20"/>
                <w:szCs w:val="20"/>
              </w:rPr>
            </w:pPr>
            <w:r w:rsidRPr="00063B6A">
              <w:rPr>
                <w:i/>
                <w:color w:val="000000"/>
                <w:sz w:val="20"/>
                <w:szCs w:val="20"/>
              </w:rPr>
              <w:t>Solicitó el Recibo de Nómina en Versión pública de la actual Directora de Gobierno Digital, o algún comprobante que me demuestre el salario que percibe actualmente” (Sic.)</w:t>
            </w:r>
          </w:p>
        </w:tc>
      </w:tr>
    </w:tbl>
    <w:p w:rsidR="00B40356" w:rsidRPr="00063B6A" w:rsidRDefault="00B40356">
      <w:pPr>
        <w:spacing w:after="0" w:line="360" w:lineRule="auto"/>
      </w:pPr>
    </w:p>
    <w:p w:rsidR="00B40356" w:rsidRPr="00063B6A" w:rsidRDefault="005F4EE9">
      <w:pPr>
        <w:tabs>
          <w:tab w:val="left" w:pos="4667"/>
        </w:tabs>
        <w:spacing w:after="0" w:line="360" w:lineRule="auto"/>
        <w:rPr>
          <w:i/>
          <w:color w:val="000000"/>
        </w:rPr>
      </w:pPr>
      <w:r w:rsidRPr="00063B6A">
        <w:rPr>
          <w:color w:val="000000"/>
        </w:rPr>
        <w:t xml:space="preserve">Es de señalar que en las dos solicitudes de acceso a la información el ahora Recurrente eligió como modalidad de entrega de la información </w:t>
      </w:r>
      <w:r w:rsidRPr="00063B6A">
        <w:rPr>
          <w:i/>
          <w:color w:val="000000"/>
        </w:rPr>
        <w:t>“A través del SAIMEX”.</w:t>
      </w:r>
    </w:p>
    <w:p w:rsidR="00B40356" w:rsidRPr="00063B6A" w:rsidRDefault="00B40356">
      <w:pPr>
        <w:spacing w:after="0" w:line="360" w:lineRule="auto"/>
        <w:ind w:right="567"/>
      </w:pPr>
    </w:p>
    <w:p w:rsidR="00B40356" w:rsidRPr="00063B6A" w:rsidRDefault="005F4EE9">
      <w:pPr>
        <w:pStyle w:val="Ttulo2"/>
        <w:spacing w:before="0" w:after="0" w:line="360" w:lineRule="auto"/>
        <w:rPr>
          <w:sz w:val="22"/>
          <w:szCs w:val="22"/>
        </w:rPr>
      </w:pPr>
      <w:bookmarkStart w:id="5" w:name="_heading=h.jxjrh2d4p0jh" w:colFirst="0" w:colLast="0"/>
      <w:bookmarkStart w:id="6" w:name="_Toc209098820"/>
      <w:bookmarkEnd w:id="5"/>
      <w:r w:rsidRPr="00063B6A">
        <w:rPr>
          <w:sz w:val="22"/>
          <w:szCs w:val="22"/>
        </w:rPr>
        <w:t>II. Respuesta del Sujeto Obligado</w:t>
      </w:r>
      <w:bookmarkEnd w:id="6"/>
    </w:p>
    <w:p w:rsidR="00B40356" w:rsidRPr="00063B6A" w:rsidRDefault="00B40356">
      <w:pPr>
        <w:spacing w:after="0" w:line="360" w:lineRule="auto"/>
        <w:rPr>
          <w:b/>
        </w:rPr>
      </w:pPr>
    </w:p>
    <w:p w:rsidR="00B40356" w:rsidRPr="00063B6A" w:rsidRDefault="005F4EE9">
      <w:pPr>
        <w:spacing w:after="0" w:line="360" w:lineRule="auto"/>
      </w:pPr>
      <w:r w:rsidRPr="00063B6A">
        <w:t>El primero de abril de dos mil veinticinco, el Sujeto Obligado notificó, a través del Sistema de Acceso a la Información Mexiquense (SAIMEX), la respuesta a la solicitud de acceso a la información pública, por medio de la digitalización de los siguientes documentos:</w:t>
      </w:r>
    </w:p>
    <w:p w:rsidR="00B40356" w:rsidRPr="00063B6A" w:rsidRDefault="00B40356">
      <w:pPr>
        <w:spacing w:after="0" w:line="360" w:lineRule="auto"/>
      </w:pPr>
    </w:p>
    <w:tbl>
      <w:tblPr>
        <w:tblStyle w:val="a9"/>
        <w:tblW w:w="99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9"/>
        <w:gridCol w:w="7332"/>
      </w:tblGrid>
      <w:tr w:rsidR="00B40356" w:rsidRPr="00063B6A">
        <w:tc>
          <w:tcPr>
            <w:tcW w:w="2639" w:type="dxa"/>
            <w:tcBorders>
              <w:top w:val="single" w:sz="4" w:space="0" w:color="000000"/>
              <w:left w:val="single" w:sz="4" w:space="0" w:color="000000"/>
              <w:bottom w:val="single" w:sz="4" w:space="0" w:color="000000"/>
              <w:right w:val="single" w:sz="4" w:space="0" w:color="000000"/>
            </w:tcBorders>
            <w:shd w:val="clear" w:color="auto" w:fill="DDD9C4"/>
          </w:tcPr>
          <w:p w:rsidR="00B40356" w:rsidRPr="00063B6A" w:rsidRDefault="005F4EE9">
            <w:pPr>
              <w:tabs>
                <w:tab w:val="left" w:pos="567"/>
              </w:tabs>
              <w:spacing w:line="360" w:lineRule="auto"/>
              <w:ind w:right="-28"/>
              <w:rPr>
                <w:b/>
                <w:color w:val="000000"/>
                <w:sz w:val="18"/>
                <w:szCs w:val="18"/>
              </w:rPr>
            </w:pPr>
            <w:r w:rsidRPr="00063B6A">
              <w:rPr>
                <w:b/>
                <w:color w:val="000000"/>
                <w:sz w:val="18"/>
                <w:szCs w:val="18"/>
              </w:rPr>
              <w:t>FOLIO DE SOLICITUD</w:t>
            </w:r>
          </w:p>
        </w:tc>
        <w:tc>
          <w:tcPr>
            <w:tcW w:w="7332" w:type="dxa"/>
            <w:tcBorders>
              <w:top w:val="single" w:sz="4" w:space="0" w:color="000000"/>
              <w:left w:val="single" w:sz="4" w:space="0" w:color="000000"/>
              <w:bottom w:val="single" w:sz="4" w:space="0" w:color="000000"/>
              <w:right w:val="single" w:sz="4" w:space="0" w:color="000000"/>
            </w:tcBorders>
            <w:shd w:val="clear" w:color="auto" w:fill="DDD9C4"/>
          </w:tcPr>
          <w:p w:rsidR="00B40356" w:rsidRPr="00063B6A" w:rsidRDefault="005F4EE9">
            <w:pPr>
              <w:tabs>
                <w:tab w:val="left" w:pos="567"/>
              </w:tabs>
              <w:spacing w:line="360" w:lineRule="auto"/>
              <w:rPr>
                <w:b/>
                <w:color w:val="000000"/>
                <w:sz w:val="18"/>
                <w:szCs w:val="18"/>
              </w:rPr>
            </w:pPr>
            <w:r w:rsidRPr="00063B6A">
              <w:rPr>
                <w:b/>
                <w:color w:val="000000"/>
                <w:sz w:val="18"/>
                <w:szCs w:val="18"/>
              </w:rPr>
              <w:t>RESPUESTA</w:t>
            </w:r>
          </w:p>
        </w:tc>
      </w:tr>
      <w:tr w:rsidR="00B40356" w:rsidRPr="00063B6A">
        <w:tc>
          <w:tcPr>
            <w:tcW w:w="2639" w:type="dxa"/>
            <w:tcBorders>
              <w:top w:val="single" w:sz="4" w:space="0" w:color="000000"/>
              <w:left w:val="single" w:sz="4" w:space="0" w:color="000000"/>
              <w:bottom w:val="single" w:sz="4" w:space="0" w:color="000000"/>
              <w:right w:val="single" w:sz="4" w:space="0" w:color="000000"/>
            </w:tcBorders>
          </w:tcPr>
          <w:p w:rsidR="00B40356" w:rsidRPr="00063B6A" w:rsidRDefault="005F4EE9">
            <w:pPr>
              <w:spacing w:line="360" w:lineRule="auto"/>
              <w:rPr>
                <w:b/>
                <w:i/>
                <w:color w:val="FF0000"/>
                <w:sz w:val="18"/>
                <w:szCs w:val="18"/>
              </w:rPr>
            </w:pPr>
            <w:r w:rsidRPr="00063B6A">
              <w:rPr>
                <w:b/>
                <w:i/>
                <w:color w:val="000000"/>
                <w:sz w:val="18"/>
                <w:szCs w:val="18"/>
              </w:rPr>
              <w:t>00141/OTZOLOTE/IP/2025</w:t>
            </w:r>
          </w:p>
        </w:tc>
        <w:tc>
          <w:tcPr>
            <w:tcW w:w="7332" w:type="dxa"/>
            <w:tcBorders>
              <w:top w:val="single" w:sz="4" w:space="0" w:color="000000"/>
              <w:left w:val="single" w:sz="4" w:space="0" w:color="000000"/>
              <w:bottom w:val="single" w:sz="4" w:space="0" w:color="000000"/>
              <w:right w:val="single" w:sz="4" w:space="0" w:color="000000"/>
            </w:tcBorders>
          </w:tcPr>
          <w:p w:rsidR="00B40356" w:rsidRPr="00063B6A" w:rsidRDefault="005F4EE9">
            <w:pPr>
              <w:pBdr>
                <w:top w:val="nil"/>
                <w:left w:val="nil"/>
                <w:bottom w:val="nil"/>
                <w:right w:val="nil"/>
                <w:between w:val="nil"/>
              </w:pBdr>
              <w:tabs>
                <w:tab w:val="left" w:pos="567"/>
              </w:tabs>
              <w:spacing w:line="360" w:lineRule="auto"/>
              <w:rPr>
                <w:sz w:val="18"/>
                <w:szCs w:val="18"/>
              </w:rPr>
            </w:pPr>
            <w:r w:rsidRPr="00063B6A">
              <w:rPr>
                <w:color w:val="000000"/>
                <w:sz w:val="18"/>
                <w:szCs w:val="18"/>
              </w:rPr>
              <w:t>Oficio número OTZ/TM/710/2025, de fecha veinticuatro de marzo de dos mil veinticinco, suscrito por el Tesorero Municipal y dirigido al Titular de la Unidad de Transparencia que refiere lo siguiente:</w:t>
            </w:r>
          </w:p>
          <w:p w:rsidR="00B40356" w:rsidRPr="00063B6A" w:rsidRDefault="00B40356">
            <w:pPr>
              <w:tabs>
                <w:tab w:val="left" w:pos="567"/>
              </w:tabs>
              <w:spacing w:line="360" w:lineRule="auto"/>
              <w:rPr>
                <w:sz w:val="18"/>
                <w:szCs w:val="18"/>
              </w:rPr>
            </w:pPr>
          </w:p>
          <w:p w:rsidR="00B40356" w:rsidRPr="00063B6A" w:rsidRDefault="005F4EE9">
            <w:pPr>
              <w:spacing w:line="360" w:lineRule="auto"/>
              <w:ind w:right="567"/>
              <w:rPr>
                <w:i/>
                <w:sz w:val="18"/>
                <w:szCs w:val="18"/>
              </w:rPr>
            </w:pPr>
            <w:r w:rsidRPr="00063B6A">
              <w:rPr>
                <w:i/>
                <w:sz w:val="18"/>
                <w:szCs w:val="18"/>
              </w:rPr>
              <w:t>“Al respecto con la solicitud, se remite únicamente la información que compete a esta Tesorería Municipal, la cual corresponde al recibo de nómina; así mismo se solicita que se clasifique la información como confidencial, y se proporcione en versión publica, conforme al artículo 143 fracción I de la Ley de Transparencia y Acceso a la Información Pública del Estado de México y Municipio…”</w:t>
            </w:r>
          </w:p>
          <w:p w:rsidR="00B40356" w:rsidRPr="00063B6A" w:rsidRDefault="005F4EE9">
            <w:pPr>
              <w:spacing w:line="360" w:lineRule="auto"/>
              <w:rPr>
                <w:sz w:val="18"/>
                <w:szCs w:val="18"/>
              </w:rPr>
            </w:pPr>
            <w:r w:rsidRPr="00063B6A">
              <w:rPr>
                <w:sz w:val="18"/>
                <w:szCs w:val="18"/>
              </w:rPr>
              <w:t>ii) Recibo de nómina del Director de Gobernación de la segunda quincena de febrero de dos mil veinticinco.</w:t>
            </w:r>
          </w:p>
          <w:p w:rsidR="00B40356" w:rsidRPr="00063B6A" w:rsidRDefault="005F4EE9">
            <w:pPr>
              <w:spacing w:line="360" w:lineRule="auto"/>
              <w:rPr>
                <w:sz w:val="18"/>
                <w:szCs w:val="18"/>
              </w:rPr>
            </w:pPr>
            <w:r w:rsidRPr="00063B6A">
              <w:rPr>
                <w:sz w:val="18"/>
                <w:szCs w:val="18"/>
              </w:rPr>
              <w:t>iii) Acta de la Trigésima Primera Sesión donde se aprueba la clasificación de la información confidencial en los recibos de nómina.</w:t>
            </w:r>
          </w:p>
        </w:tc>
      </w:tr>
      <w:tr w:rsidR="00B40356" w:rsidRPr="00063B6A">
        <w:tc>
          <w:tcPr>
            <w:tcW w:w="2639" w:type="dxa"/>
            <w:tcBorders>
              <w:top w:val="single" w:sz="4" w:space="0" w:color="000000"/>
              <w:left w:val="single" w:sz="4" w:space="0" w:color="000000"/>
              <w:bottom w:val="single" w:sz="4" w:space="0" w:color="000000"/>
              <w:right w:val="single" w:sz="4" w:space="0" w:color="000000"/>
            </w:tcBorders>
          </w:tcPr>
          <w:p w:rsidR="00B40356" w:rsidRPr="00063B6A" w:rsidRDefault="005F4EE9">
            <w:pPr>
              <w:spacing w:line="360" w:lineRule="auto"/>
              <w:rPr>
                <w:b/>
                <w:i/>
                <w:color w:val="FF0000"/>
                <w:sz w:val="18"/>
                <w:szCs w:val="18"/>
              </w:rPr>
            </w:pPr>
            <w:r w:rsidRPr="00063B6A">
              <w:rPr>
                <w:b/>
                <w:i/>
                <w:color w:val="000000"/>
                <w:sz w:val="18"/>
                <w:szCs w:val="18"/>
              </w:rPr>
              <w:lastRenderedPageBreak/>
              <w:t>00161/OTZOLOTE/IP/2025</w:t>
            </w:r>
          </w:p>
        </w:tc>
        <w:tc>
          <w:tcPr>
            <w:tcW w:w="7332" w:type="dxa"/>
            <w:tcBorders>
              <w:top w:val="single" w:sz="4" w:space="0" w:color="000000"/>
              <w:left w:val="single" w:sz="4" w:space="0" w:color="000000"/>
              <w:bottom w:val="single" w:sz="4" w:space="0" w:color="000000"/>
              <w:right w:val="single" w:sz="4" w:space="0" w:color="000000"/>
            </w:tcBorders>
          </w:tcPr>
          <w:p w:rsidR="00B40356" w:rsidRPr="00063B6A" w:rsidRDefault="005F4EE9">
            <w:pPr>
              <w:pBdr>
                <w:top w:val="nil"/>
                <w:left w:val="nil"/>
                <w:bottom w:val="nil"/>
                <w:right w:val="nil"/>
                <w:between w:val="nil"/>
              </w:pBdr>
              <w:tabs>
                <w:tab w:val="left" w:pos="567"/>
              </w:tabs>
              <w:spacing w:line="360" w:lineRule="auto"/>
              <w:rPr>
                <w:color w:val="000000"/>
                <w:sz w:val="18"/>
                <w:szCs w:val="18"/>
              </w:rPr>
            </w:pPr>
            <w:r w:rsidRPr="00063B6A">
              <w:rPr>
                <w:color w:val="000000"/>
                <w:sz w:val="18"/>
                <w:szCs w:val="18"/>
              </w:rPr>
              <w:t>Oficio número OTZ/TM/760/2025, de fecha siete de abril de dos mil veinticinco, suscrito por el Tesorero Municipal, y dirigido al Titular de la Unidad de Transparencia en donde remite lo siguiente:</w:t>
            </w:r>
          </w:p>
          <w:p w:rsidR="00B40356" w:rsidRPr="00063B6A" w:rsidRDefault="00B40356">
            <w:pPr>
              <w:pBdr>
                <w:top w:val="nil"/>
                <w:left w:val="nil"/>
                <w:bottom w:val="nil"/>
                <w:right w:val="nil"/>
                <w:between w:val="nil"/>
              </w:pBdr>
              <w:tabs>
                <w:tab w:val="left" w:pos="567"/>
              </w:tabs>
              <w:spacing w:line="360" w:lineRule="auto"/>
              <w:rPr>
                <w:color w:val="000000"/>
                <w:sz w:val="18"/>
                <w:szCs w:val="18"/>
              </w:rPr>
            </w:pPr>
          </w:p>
          <w:p w:rsidR="00B40356" w:rsidRPr="00063B6A" w:rsidRDefault="005F4EE9">
            <w:pPr>
              <w:tabs>
                <w:tab w:val="left" w:pos="567"/>
              </w:tabs>
              <w:spacing w:line="360" w:lineRule="auto"/>
              <w:rPr>
                <w:i/>
                <w:color w:val="000000"/>
                <w:sz w:val="18"/>
                <w:szCs w:val="18"/>
              </w:rPr>
            </w:pPr>
            <w:r w:rsidRPr="00063B6A">
              <w:rPr>
                <w:color w:val="000000"/>
                <w:sz w:val="18"/>
                <w:szCs w:val="18"/>
              </w:rPr>
              <w:t xml:space="preserve">-- </w:t>
            </w:r>
            <w:r w:rsidRPr="00063B6A">
              <w:rPr>
                <w:i/>
                <w:color w:val="000000"/>
                <w:sz w:val="18"/>
                <w:szCs w:val="18"/>
              </w:rPr>
              <w:t>Anexa liga en formato cerrado para visualizar lo siguiente:</w:t>
            </w:r>
          </w:p>
          <w:p w:rsidR="00B40356" w:rsidRPr="00063B6A" w:rsidRDefault="00A95113">
            <w:pPr>
              <w:tabs>
                <w:tab w:val="left" w:pos="567"/>
              </w:tabs>
              <w:spacing w:line="360" w:lineRule="auto"/>
              <w:rPr>
                <w:color w:val="000000"/>
                <w:sz w:val="18"/>
                <w:szCs w:val="18"/>
              </w:rPr>
            </w:pPr>
            <w:hyperlink r:id="rId9">
              <w:r w:rsidR="005F4EE9" w:rsidRPr="00063B6A">
                <w:rPr>
                  <w:color w:val="0000FF"/>
                  <w:sz w:val="18"/>
                  <w:szCs w:val="18"/>
                  <w:u w:val="single"/>
                </w:rPr>
                <w:t>https://www.otzolotepec.go.mx/contenidos/otzolotepec/docs/334_gaceta-municipal-ano-1-publicacion-mensual-2_2542173803.pdf</w:t>
              </w:r>
            </w:hyperlink>
          </w:p>
          <w:p w:rsidR="00B40356" w:rsidRPr="00063B6A" w:rsidRDefault="00B40356">
            <w:pPr>
              <w:tabs>
                <w:tab w:val="left" w:pos="567"/>
              </w:tabs>
              <w:spacing w:line="360" w:lineRule="auto"/>
              <w:rPr>
                <w:color w:val="FF0000"/>
                <w:sz w:val="18"/>
                <w:szCs w:val="18"/>
              </w:rPr>
            </w:pPr>
          </w:p>
        </w:tc>
      </w:tr>
    </w:tbl>
    <w:p w:rsidR="00B40356" w:rsidRPr="00063B6A" w:rsidRDefault="00B40356">
      <w:pPr>
        <w:spacing w:after="0" w:line="360" w:lineRule="auto"/>
      </w:pPr>
    </w:p>
    <w:p w:rsidR="00B40356" w:rsidRPr="00063B6A" w:rsidRDefault="005F4EE9">
      <w:pPr>
        <w:pStyle w:val="Ttulo2"/>
        <w:spacing w:before="0" w:after="0" w:line="360" w:lineRule="auto"/>
        <w:rPr>
          <w:sz w:val="22"/>
          <w:szCs w:val="22"/>
        </w:rPr>
      </w:pPr>
      <w:bookmarkStart w:id="7" w:name="_heading=h.32kcviz8p6r5" w:colFirst="0" w:colLast="0"/>
      <w:bookmarkStart w:id="8" w:name="_Toc209098821"/>
      <w:bookmarkEnd w:id="7"/>
      <w:r w:rsidRPr="00063B6A">
        <w:rPr>
          <w:sz w:val="22"/>
          <w:szCs w:val="22"/>
        </w:rPr>
        <w:t>III. Interposición del Recurso de Revisión</w:t>
      </w:r>
      <w:bookmarkEnd w:id="8"/>
    </w:p>
    <w:p w:rsidR="00B40356" w:rsidRPr="00063B6A" w:rsidRDefault="00B40356">
      <w:pPr>
        <w:spacing w:after="0" w:line="360" w:lineRule="auto"/>
        <w:rPr>
          <w:b/>
        </w:rPr>
      </w:pPr>
    </w:p>
    <w:p w:rsidR="00B40356" w:rsidRPr="00063B6A" w:rsidRDefault="005F4EE9">
      <w:pPr>
        <w:spacing w:after="0" w:line="360" w:lineRule="auto"/>
      </w:pPr>
      <w:r w:rsidRPr="00063B6A">
        <w:t>El primero y veintiuno de abril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rsidR="00B40356" w:rsidRPr="00063B6A" w:rsidRDefault="00B40356">
      <w:pPr>
        <w:spacing w:after="0" w:line="360" w:lineRule="auto"/>
      </w:pPr>
    </w:p>
    <w:p w:rsidR="00B40356" w:rsidRPr="00063B6A" w:rsidRDefault="005F4EE9">
      <w:pPr>
        <w:spacing w:after="0" w:line="360" w:lineRule="auto"/>
        <w:ind w:left="567" w:right="567"/>
        <w:rPr>
          <w:b/>
          <w:i/>
          <w:sz w:val="20"/>
          <w:szCs w:val="20"/>
        </w:rPr>
      </w:pPr>
      <w:r w:rsidRPr="00063B6A">
        <w:rPr>
          <w:b/>
          <w:i/>
          <w:sz w:val="20"/>
          <w:szCs w:val="20"/>
        </w:rPr>
        <w:t>Folio de la Solicitud: 00141/OTZOLOTE/IP/2025</w:t>
      </w:r>
    </w:p>
    <w:p w:rsidR="00B40356" w:rsidRPr="00063B6A" w:rsidRDefault="005F4EE9">
      <w:pPr>
        <w:spacing w:after="0" w:line="360" w:lineRule="auto"/>
        <w:ind w:left="567" w:right="567"/>
        <w:rPr>
          <w:b/>
          <w:i/>
          <w:sz w:val="20"/>
          <w:szCs w:val="20"/>
        </w:rPr>
      </w:pPr>
      <w:r w:rsidRPr="00063B6A">
        <w:rPr>
          <w:b/>
          <w:i/>
          <w:sz w:val="20"/>
          <w:szCs w:val="20"/>
        </w:rPr>
        <w:t>‘’ACTO IMPUGNADO</w:t>
      </w:r>
    </w:p>
    <w:p w:rsidR="00B40356" w:rsidRPr="00063B6A" w:rsidRDefault="005F4EE9">
      <w:pPr>
        <w:spacing w:after="0" w:line="360" w:lineRule="auto"/>
        <w:ind w:left="567" w:right="567"/>
        <w:rPr>
          <w:i/>
          <w:sz w:val="20"/>
          <w:szCs w:val="20"/>
        </w:rPr>
      </w:pPr>
      <w:r w:rsidRPr="00063B6A">
        <w:rPr>
          <w:i/>
          <w:sz w:val="20"/>
          <w:szCs w:val="20"/>
        </w:rPr>
        <w:t>Deficiencia en la redacción del Acta Extraordinaria, puesto que esta de manera revuelta, y no se entiende claramente lo que dice.” (Sic.)</w:t>
      </w:r>
    </w:p>
    <w:p w:rsidR="00B40356" w:rsidRPr="00063B6A" w:rsidRDefault="00B40356">
      <w:pPr>
        <w:spacing w:after="0" w:line="360" w:lineRule="auto"/>
        <w:ind w:left="567" w:right="567"/>
        <w:rPr>
          <w:i/>
          <w:sz w:val="20"/>
          <w:szCs w:val="20"/>
        </w:rPr>
      </w:pPr>
    </w:p>
    <w:p w:rsidR="00B40356" w:rsidRPr="00063B6A" w:rsidRDefault="005F4EE9">
      <w:pPr>
        <w:spacing w:after="0" w:line="360" w:lineRule="auto"/>
        <w:ind w:left="567" w:right="567"/>
        <w:rPr>
          <w:b/>
          <w:i/>
          <w:sz w:val="20"/>
          <w:szCs w:val="20"/>
        </w:rPr>
      </w:pPr>
      <w:r w:rsidRPr="00063B6A">
        <w:rPr>
          <w:b/>
          <w:i/>
          <w:sz w:val="20"/>
          <w:szCs w:val="20"/>
        </w:rPr>
        <w:t>‘’RAZONES O MOTIVOS DE LA INCONFORMIDAD</w:t>
      </w:r>
    </w:p>
    <w:p w:rsidR="00B40356" w:rsidRPr="00063B6A" w:rsidRDefault="005F4EE9">
      <w:pPr>
        <w:spacing w:after="0" w:line="360" w:lineRule="auto"/>
        <w:ind w:left="567" w:right="567"/>
        <w:rPr>
          <w:i/>
          <w:sz w:val="20"/>
          <w:szCs w:val="20"/>
        </w:rPr>
      </w:pPr>
      <w:r w:rsidRPr="00063B6A">
        <w:rPr>
          <w:i/>
          <w:sz w:val="20"/>
          <w:szCs w:val="20"/>
        </w:rPr>
        <w:t>El acta extraordinaria que se me presenta no es clara, ya que en esa misma involucra puntos que yo no solicite, además de que la redacción, esta incorrecta. Solicitó se me entregue de manera correcta el Acta Extraordinaria mediante la cual el Sujeto Obligado está realizando la clasificación de la información que le solicite.”</w:t>
      </w:r>
    </w:p>
    <w:p w:rsidR="00B40356" w:rsidRPr="00063B6A" w:rsidRDefault="00B40356">
      <w:pPr>
        <w:spacing w:after="0" w:line="360" w:lineRule="auto"/>
        <w:ind w:left="567" w:right="567"/>
        <w:rPr>
          <w:i/>
          <w:sz w:val="20"/>
          <w:szCs w:val="20"/>
        </w:rPr>
      </w:pPr>
    </w:p>
    <w:p w:rsidR="00B40356" w:rsidRPr="00063B6A" w:rsidRDefault="005F4EE9">
      <w:pPr>
        <w:spacing w:after="0" w:line="360" w:lineRule="auto"/>
        <w:ind w:left="567" w:right="567"/>
        <w:rPr>
          <w:b/>
          <w:i/>
          <w:sz w:val="20"/>
          <w:szCs w:val="20"/>
        </w:rPr>
      </w:pPr>
      <w:r w:rsidRPr="00063B6A">
        <w:rPr>
          <w:b/>
          <w:i/>
          <w:sz w:val="20"/>
          <w:szCs w:val="20"/>
        </w:rPr>
        <w:t>Folio de la Solicitud: 00161/OTZOLOTE/IP/2025</w:t>
      </w:r>
    </w:p>
    <w:p w:rsidR="00B40356" w:rsidRPr="00063B6A" w:rsidRDefault="005F4EE9">
      <w:pPr>
        <w:spacing w:after="0" w:line="360" w:lineRule="auto"/>
        <w:ind w:left="567" w:right="567"/>
        <w:rPr>
          <w:b/>
          <w:i/>
          <w:sz w:val="20"/>
          <w:szCs w:val="20"/>
        </w:rPr>
      </w:pPr>
      <w:r w:rsidRPr="00063B6A">
        <w:rPr>
          <w:b/>
          <w:i/>
          <w:sz w:val="20"/>
          <w:szCs w:val="20"/>
        </w:rPr>
        <w:t>‘’ACTO IMPUGNADO</w:t>
      </w:r>
    </w:p>
    <w:p w:rsidR="00B40356" w:rsidRPr="00063B6A" w:rsidRDefault="005F4EE9">
      <w:pPr>
        <w:spacing w:after="0" w:line="360" w:lineRule="auto"/>
        <w:ind w:left="567" w:right="567"/>
        <w:rPr>
          <w:i/>
          <w:sz w:val="20"/>
          <w:szCs w:val="20"/>
        </w:rPr>
      </w:pPr>
      <w:r w:rsidRPr="00063B6A">
        <w:rPr>
          <w:i/>
          <w:sz w:val="20"/>
          <w:szCs w:val="20"/>
        </w:rPr>
        <w:lastRenderedPageBreak/>
        <w:t>La información proporcionada no corresponde con lo solicitado.” (Sic.)</w:t>
      </w:r>
    </w:p>
    <w:p w:rsidR="00B40356" w:rsidRPr="00063B6A" w:rsidRDefault="00B40356">
      <w:pPr>
        <w:spacing w:after="0" w:line="360" w:lineRule="auto"/>
        <w:ind w:left="567" w:right="567"/>
        <w:rPr>
          <w:i/>
          <w:sz w:val="20"/>
          <w:szCs w:val="20"/>
        </w:rPr>
      </w:pPr>
    </w:p>
    <w:p w:rsidR="00B40356" w:rsidRPr="00063B6A" w:rsidRDefault="005F4EE9">
      <w:pPr>
        <w:spacing w:after="0" w:line="360" w:lineRule="auto"/>
        <w:ind w:left="567" w:right="567"/>
        <w:rPr>
          <w:b/>
          <w:i/>
          <w:sz w:val="20"/>
          <w:szCs w:val="20"/>
        </w:rPr>
      </w:pPr>
      <w:r w:rsidRPr="00063B6A">
        <w:rPr>
          <w:b/>
          <w:i/>
          <w:sz w:val="20"/>
          <w:szCs w:val="20"/>
        </w:rPr>
        <w:t>‘’RAZONES O MOTIVOS DE LA INCONFORMIDAD</w:t>
      </w:r>
    </w:p>
    <w:p w:rsidR="00B40356" w:rsidRPr="00063B6A" w:rsidRDefault="005F4EE9">
      <w:pPr>
        <w:spacing w:after="0" w:line="360" w:lineRule="auto"/>
        <w:ind w:left="567" w:right="567"/>
        <w:rPr>
          <w:i/>
          <w:sz w:val="20"/>
          <w:szCs w:val="20"/>
        </w:rPr>
      </w:pPr>
      <w:r w:rsidRPr="00063B6A">
        <w:rPr>
          <w:i/>
          <w:sz w:val="20"/>
          <w:szCs w:val="20"/>
        </w:rPr>
        <w:t>El link es incorrecto, ya que no me arroja ningún tipo de información que se relacione con la información solicitada...”</w:t>
      </w:r>
    </w:p>
    <w:p w:rsidR="00B40356" w:rsidRPr="00063B6A" w:rsidRDefault="00B40356">
      <w:pPr>
        <w:pStyle w:val="Ttulo2"/>
        <w:spacing w:before="0" w:after="0" w:line="360" w:lineRule="auto"/>
        <w:rPr>
          <w:sz w:val="22"/>
          <w:szCs w:val="22"/>
        </w:rPr>
      </w:pPr>
    </w:p>
    <w:p w:rsidR="00B40356" w:rsidRPr="00063B6A" w:rsidRDefault="005F4EE9">
      <w:pPr>
        <w:pStyle w:val="Ttulo2"/>
        <w:spacing w:before="0" w:after="0" w:line="360" w:lineRule="auto"/>
        <w:rPr>
          <w:sz w:val="22"/>
          <w:szCs w:val="22"/>
        </w:rPr>
      </w:pPr>
      <w:bookmarkStart w:id="9" w:name="_heading=h.2j31tevsgjxn" w:colFirst="0" w:colLast="0"/>
      <w:bookmarkStart w:id="10" w:name="_Toc209098822"/>
      <w:bookmarkEnd w:id="9"/>
      <w:r w:rsidRPr="00063B6A">
        <w:rPr>
          <w:sz w:val="22"/>
          <w:szCs w:val="22"/>
        </w:rPr>
        <w:t>IV. Trámite del Recurso de Revisión ante este Instituto</w:t>
      </w:r>
      <w:bookmarkEnd w:id="10"/>
    </w:p>
    <w:p w:rsidR="00B40356" w:rsidRPr="00063B6A" w:rsidRDefault="00B40356">
      <w:pPr>
        <w:spacing w:after="0" w:line="360" w:lineRule="auto"/>
        <w:rPr>
          <w:b/>
        </w:rPr>
      </w:pPr>
    </w:p>
    <w:p w:rsidR="00B40356" w:rsidRPr="00063B6A" w:rsidRDefault="005F4EE9">
      <w:pPr>
        <w:spacing w:after="0" w:line="360" w:lineRule="auto"/>
      </w:pPr>
      <w:r w:rsidRPr="00063B6A">
        <w:rPr>
          <w:b/>
        </w:rPr>
        <w:t>a) Turno del Medio de Impugnación.</w:t>
      </w:r>
      <w:r w:rsidRPr="00063B6A">
        <w:t xml:space="preserve"> El primero y veintiuno de abril de dos mil veinticinco, el Sistema de Acceso a la Información Mexiquense (SAIMEX), asignó el número de expediente </w:t>
      </w:r>
      <w:r w:rsidRPr="00063B6A">
        <w:rPr>
          <w:b/>
        </w:rPr>
        <w:t>03841/INFOEM/IP/RR/2025 y 04545/INFOEM/IP/RR/2025</w:t>
      </w:r>
      <w:r w:rsidRPr="00063B6A">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rsidR="00B40356" w:rsidRPr="00063B6A" w:rsidRDefault="00B40356">
      <w:pPr>
        <w:spacing w:after="0" w:line="360" w:lineRule="auto"/>
        <w:rPr>
          <w:b/>
        </w:rPr>
      </w:pPr>
    </w:p>
    <w:p w:rsidR="00B40356" w:rsidRPr="00063B6A" w:rsidRDefault="005F4EE9">
      <w:pPr>
        <w:spacing w:after="0" w:line="360" w:lineRule="auto"/>
      </w:pPr>
      <w:r w:rsidRPr="00063B6A">
        <w:rPr>
          <w:b/>
        </w:rPr>
        <w:t xml:space="preserve">b) Admisión del Recurso de Revisión. </w:t>
      </w:r>
      <w:r w:rsidRPr="00063B6A">
        <w:t>El cuatro y veinticinco de abril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 lo que a su derecho conviniera y formularán alegatos.</w:t>
      </w:r>
    </w:p>
    <w:p w:rsidR="00B40356" w:rsidRPr="00063B6A" w:rsidRDefault="00B40356">
      <w:pPr>
        <w:spacing w:after="0" w:line="360" w:lineRule="auto"/>
      </w:pPr>
    </w:p>
    <w:p w:rsidR="00B40356" w:rsidRPr="00063B6A" w:rsidRDefault="005F4EE9">
      <w:pPr>
        <w:spacing w:after="0" w:line="360" w:lineRule="auto"/>
        <w:rPr>
          <w:rFonts w:ascii="Times New Roman" w:eastAsia="Times New Roman" w:hAnsi="Times New Roman" w:cs="Times New Roman"/>
          <w:sz w:val="24"/>
          <w:szCs w:val="24"/>
        </w:rPr>
      </w:pPr>
      <w:r w:rsidRPr="00063B6A">
        <w:rPr>
          <w:b/>
          <w:color w:val="000000"/>
        </w:rPr>
        <w:t>c) Informe Justificado. </w:t>
      </w:r>
      <w:r w:rsidRPr="00063B6A">
        <w:rPr>
          <w:color w:val="000000"/>
        </w:rPr>
        <w:t xml:space="preserve">El veintidós de mayo de dos mil veinticinco, se recibió, a través del Sistema de Acceso a la Información Mexiquense (SAIMEX), el Informe Justificado del Sujeto </w:t>
      </w:r>
      <w:r w:rsidRPr="00063B6A">
        <w:rPr>
          <w:color w:val="000000"/>
        </w:rPr>
        <w:lastRenderedPageBreak/>
        <w:t>Obligado, por medio del oficio</w:t>
      </w:r>
      <w:r w:rsidRPr="00063B6A">
        <w:rPr>
          <w:rFonts w:ascii="Times New Roman" w:eastAsia="Times New Roman" w:hAnsi="Times New Roman" w:cs="Times New Roman"/>
          <w:sz w:val="24"/>
          <w:szCs w:val="24"/>
        </w:rPr>
        <w:t xml:space="preserve"> </w:t>
      </w:r>
      <w:r w:rsidRPr="00063B6A">
        <w:rPr>
          <w:color w:val="000000"/>
        </w:rPr>
        <w:t>número OTZ/UTAI/494/2025, de fecha veintiuno de mayo de dos mil veinticinco, suscrito por el Tesorero Municipal y dirigido al Titular de la Unidad de Transparencia, por medio del cual proporciona de nueva cuenta la liga electrónica y señala que remite al Tabulador de puestos.</w:t>
      </w:r>
    </w:p>
    <w:p w:rsidR="00B40356" w:rsidRPr="00063B6A" w:rsidRDefault="00B40356">
      <w:pPr>
        <w:spacing w:after="0" w:line="360" w:lineRule="auto"/>
      </w:pPr>
    </w:p>
    <w:p w:rsidR="00B40356" w:rsidRPr="00063B6A" w:rsidRDefault="005F4EE9">
      <w:pPr>
        <w:spacing w:after="0" w:line="360" w:lineRule="auto"/>
        <w:rPr>
          <w:b/>
        </w:rPr>
      </w:pPr>
      <w:r w:rsidRPr="00063B6A">
        <w:rPr>
          <w:b/>
        </w:rPr>
        <w:t>d) Acumulación de los asuntos.</w:t>
      </w:r>
      <w:r w:rsidRPr="00063B6A">
        <w:t xml:space="preserve"> El treinta de abril de dos mil veinticinco, el Pleno del Instituto de Transparencia, Acceso a la Información Pública y Protección de Datos Personales del Estado de México y Municipios,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Recursos de Revisión 03841/INFOEM/IP/RR/2025, al diverso 04545/INFOEM/IP/RR/2025, por ser este último el más antiguo, sustanciado bajo el índice de esta Ponencia, al advertir conexidad entre estos, ya que fueron promovidos por la misma persona, en los que señaló como Sujeto Obligado al Ayuntamiento de </w:t>
      </w:r>
      <w:proofErr w:type="spellStart"/>
      <w:r w:rsidRPr="00063B6A">
        <w:t>Otzolotepec</w:t>
      </w:r>
      <w:proofErr w:type="spellEnd"/>
      <w:r w:rsidRPr="00063B6A">
        <w:t>.</w:t>
      </w:r>
    </w:p>
    <w:p w:rsidR="00B40356" w:rsidRPr="00063B6A" w:rsidRDefault="00B40356">
      <w:pPr>
        <w:spacing w:after="0" w:line="360" w:lineRule="auto"/>
        <w:rPr>
          <w:b/>
          <w:color w:val="000000"/>
        </w:rPr>
      </w:pPr>
    </w:p>
    <w:p w:rsidR="00B40356" w:rsidRPr="00063B6A" w:rsidRDefault="005F4EE9">
      <w:pPr>
        <w:spacing w:after="0" w:line="360" w:lineRule="auto"/>
        <w:rPr>
          <w:rFonts w:ascii="Times New Roman" w:eastAsia="Times New Roman" w:hAnsi="Times New Roman" w:cs="Times New Roman"/>
          <w:sz w:val="24"/>
          <w:szCs w:val="24"/>
        </w:rPr>
      </w:pPr>
      <w:r w:rsidRPr="00063B6A">
        <w:rPr>
          <w:b/>
          <w:color w:val="000000"/>
        </w:rPr>
        <w:t>e) Vista del Informe Justificado. </w:t>
      </w:r>
      <w:r w:rsidRPr="00063B6A">
        <w:rPr>
          <w:rFonts w:ascii="Times New Roman" w:eastAsia="Times New Roman" w:hAnsi="Times New Roman" w:cs="Times New Roman"/>
          <w:sz w:val="24"/>
          <w:szCs w:val="24"/>
        </w:rPr>
        <w:t> </w:t>
      </w:r>
      <w:r w:rsidRPr="00063B6A">
        <w:rPr>
          <w:color w:val="000000"/>
        </w:rPr>
        <w:t>El once de septiembre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rsidR="00B40356" w:rsidRPr="00063B6A" w:rsidRDefault="00B40356">
      <w:pPr>
        <w:spacing w:after="0" w:line="360" w:lineRule="auto"/>
        <w:rPr>
          <w:b/>
        </w:rPr>
      </w:pPr>
    </w:p>
    <w:p w:rsidR="00B40356" w:rsidRPr="00063B6A" w:rsidRDefault="005F4EE9">
      <w:pPr>
        <w:spacing w:after="0" w:line="360" w:lineRule="auto"/>
      </w:pPr>
      <w:r w:rsidRPr="00063B6A">
        <w:rPr>
          <w:b/>
        </w:rPr>
        <w:t xml:space="preserve">f) Ampliación de Plazo para resolver. </w:t>
      </w:r>
      <w:r w:rsidRPr="00063B6A">
        <w:t xml:space="preserve">El quince de mayo y once de septiembre de dos mil veinticinco, el Comisionado Ponente, con fundamento en lo dispuesto por el artículo 181, párrafo tercero, de la Ley de Transparencia y Acceso a la Información Pública del Estado de </w:t>
      </w:r>
      <w:r w:rsidRPr="00063B6A">
        <w:lastRenderedPageBreak/>
        <w:t>México y Municipios, acordó ampliar por un periodo razonable, el plazo para resolver el Recurso de Revisión que nos ocupa; acto que fue notificado a las partes, mediante el Sistema de Acceso a la Información Mexiquense (SAIMEX).</w:t>
      </w:r>
    </w:p>
    <w:p w:rsidR="00B40356" w:rsidRPr="00063B6A" w:rsidRDefault="00B40356">
      <w:pPr>
        <w:spacing w:after="0" w:line="360" w:lineRule="auto"/>
      </w:pPr>
    </w:p>
    <w:p w:rsidR="00B40356" w:rsidRPr="00063B6A" w:rsidRDefault="005F4EE9">
      <w:pPr>
        <w:spacing w:after="0" w:line="360" w:lineRule="auto"/>
        <w:rPr>
          <w:color w:val="000000"/>
        </w:rPr>
      </w:pPr>
      <w:r w:rsidRPr="00063B6A">
        <w:rPr>
          <w:b/>
        </w:rPr>
        <w:t>g) Cierre de instrucción.</w:t>
      </w:r>
      <w:r w:rsidRPr="00063B6A">
        <w:t xml:space="preserve"> El trece de mayo y dieciocho de septiembre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En razón de que fue debidamente sustanciado e integrado el expediente electrónico y no existe diligencia pendiente de desahogo, se emite la resolución que conforme a Derecho proceda, de acuerdo a los siguientes:</w:t>
      </w:r>
    </w:p>
    <w:p w:rsidR="00B40356" w:rsidRPr="00063B6A" w:rsidRDefault="00B40356">
      <w:pPr>
        <w:spacing w:after="0" w:line="360" w:lineRule="auto"/>
        <w:rPr>
          <w:color w:val="000000"/>
        </w:rPr>
      </w:pPr>
    </w:p>
    <w:p w:rsidR="00B40356" w:rsidRPr="00063B6A" w:rsidRDefault="005F4EE9">
      <w:pPr>
        <w:pStyle w:val="Ttulo1"/>
        <w:spacing w:before="0" w:after="0" w:line="360" w:lineRule="auto"/>
        <w:jc w:val="center"/>
        <w:rPr>
          <w:sz w:val="22"/>
          <w:szCs w:val="22"/>
        </w:rPr>
      </w:pPr>
      <w:bookmarkStart w:id="11" w:name="_heading=h.k33340xy9abg" w:colFirst="0" w:colLast="0"/>
      <w:bookmarkStart w:id="12" w:name="_Toc209098823"/>
      <w:bookmarkEnd w:id="11"/>
      <w:r w:rsidRPr="00063B6A">
        <w:rPr>
          <w:sz w:val="22"/>
          <w:szCs w:val="22"/>
        </w:rPr>
        <w:t>C O N S I D E R A N D O S</w:t>
      </w:r>
      <w:bookmarkEnd w:id="12"/>
    </w:p>
    <w:p w:rsidR="00B40356" w:rsidRPr="00063B6A" w:rsidRDefault="00B40356">
      <w:pPr>
        <w:spacing w:after="0" w:line="360" w:lineRule="auto"/>
        <w:rPr>
          <w:b/>
          <w:color w:val="000000"/>
        </w:rPr>
      </w:pPr>
    </w:p>
    <w:p w:rsidR="00B40356" w:rsidRPr="00063B6A" w:rsidRDefault="005F4EE9">
      <w:pPr>
        <w:pStyle w:val="Ttulo2"/>
        <w:spacing w:before="0" w:after="0" w:line="360" w:lineRule="auto"/>
        <w:rPr>
          <w:sz w:val="22"/>
          <w:szCs w:val="22"/>
        </w:rPr>
      </w:pPr>
      <w:bookmarkStart w:id="13" w:name="_heading=h.1hkr9lvjrouk" w:colFirst="0" w:colLast="0"/>
      <w:bookmarkStart w:id="14" w:name="_Toc209098824"/>
      <w:bookmarkEnd w:id="13"/>
      <w:r w:rsidRPr="00063B6A">
        <w:rPr>
          <w:sz w:val="22"/>
          <w:szCs w:val="22"/>
        </w:rPr>
        <w:t>PRIMERO. Competencia</w:t>
      </w:r>
      <w:bookmarkEnd w:id="14"/>
    </w:p>
    <w:p w:rsidR="00B40356" w:rsidRPr="00063B6A" w:rsidRDefault="00B40356">
      <w:pPr>
        <w:spacing w:after="0" w:line="360" w:lineRule="auto"/>
      </w:pPr>
      <w:bookmarkStart w:id="15" w:name="_heading=h.30j0zll" w:colFirst="0" w:colLast="0"/>
      <w:bookmarkEnd w:id="15"/>
    </w:p>
    <w:p w:rsidR="00B40356" w:rsidRPr="00063B6A" w:rsidRDefault="005F4EE9">
      <w:pPr>
        <w:spacing w:after="0" w:line="360" w:lineRule="auto"/>
      </w:pPr>
      <w:r w:rsidRPr="00063B6A">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w:t>
      </w:r>
      <w:r w:rsidRPr="00063B6A">
        <w:lastRenderedPageBreak/>
        <w:t>Municipios: 7°, 9°, fracciones I y XXIII y 11 del Reglamento Interior del Instituto de Transparencia, Acceso a la Información Pública y Protección de Datos Personales del Estado de México y Municipios.</w:t>
      </w:r>
    </w:p>
    <w:p w:rsidR="00B40356" w:rsidRPr="00063B6A" w:rsidRDefault="00B40356">
      <w:pPr>
        <w:spacing w:after="0" w:line="360" w:lineRule="auto"/>
      </w:pPr>
    </w:p>
    <w:p w:rsidR="00B40356" w:rsidRPr="00063B6A" w:rsidRDefault="00B40356">
      <w:pPr>
        <w:spacing w:after="0" w:line="360" w:lineRule="auto"/>
        <w:rPr>
          <w:b/>
          <w:color w:val="000000"/>
        </w:rPr>
      </w:pPr>
    </w:p>
    <w:p w:rsidR="00B40356" w:rsidRPr="00063B6A" w:rsidRDefault="005F4EE9">
      <w:pPr>
        <w:pStyle w:val="Ttulo2"/>
        <w:spacing w:before="0" w:after="0" w:line="360" w:lineRule="auto"/>
        <w:rPr>
          <w:sz w:val="22"/>
          <w:szCs w:val="22"/>
        </w:rPr>
      </w:pPr>
      <w:bookmarkStart w:id="16" w:name="_heading=h.40vctvv4p9v4" w:colFirst="0" w:colLast="0"/>
      <w:bookmarkStart w:id="17" w:name="_Toc209098825"/>
      <w:bookmarkEnd w:id="16"/>
      <w:r w:rsidRPr="00063B6A">
        <w:rPr>
          <w:sz w:val="22"/>
          <w:szCs w:val="22"/>
        </w:rPr>
        <w:t>SEGUNDO. Causales de improcedencia y sobreseimiento</w:t>
      </w:r>
      <w:bookmarkEnd w:id="17"/>
    </w:p>
    <w:p w:rsidR="00B40356" w:rsidRPr="00063B6A" w:rsidRDefault="00B40356">
      <w:pPr>
        <w:spacing w:after="0" w:line="360" w:lineRule="auto"/>
      </w:pPr>
    </w:p>
    <w:p w:rsidR="00B40356" w:rsidRPr="00063B6A" w:rsidRDefault="005F4EE9">
      <w:pPr>
        <w:spacing w:after="0" w:line="360" w:lineRule="auto"/>
        <w:rPr>
          <w:color w:val="000000"/>
        </w:rPr>
      </w:pPr>
      <w:r w:rsidRPr="00063B6A">
        <w:rPr>
          <w:color w:val="000000"/>
        </w:rPr>
        <w:t xml:space="preserve">De las constancias que forma parte del Recurso de Revisión que se analiza, se advierte que previo al estudio del fondo de la </w:t>
      </w:r>
      <w:proofErr w:type="spellStart"/>
      <w:r w:rsidRPr="00063B6A">
        <w:rPr>
          <w:i/>
          <w:color w:val="000000"/>
        </w:rPr>
        <w:t>litis</w:t>
      </w:r>
      <w:proofErr w:type="spellEnd"/>
      <w:r w:rsidRPr="00063B6A">
        <w:rPr>
          <w:color w:val="000000"/>
        </w:rPr>
        <w:t>, es necesario estudiar las causales de improcedencia y sobreseimiento que se adviertan, para determinar lo que en Derecho proceda.</w:t>
      </w:r>
    </w:p>
    <w:p w:rsidR="00B40356" w:rsidRPr="00063B6A" w:rsidRDefault="00B40356">
      <w:pPr>
        <w:spacing w:after="0" w:line="360" w:lineRule="auto"/>
        <w:rPr>
          <w:color w:val="000000"/>
        </w:rPr>
      </w:pPr>
    </w:p>
    <w:p w:rsidR="00B40356" w:rsidRPr="00063B6A" w:rsidRDefault="005F4EE9">
      <w:pPr>
        <w:spacing w:after="0" w:line="360" w:lineRule="auto"/>
        <w:rPr>
          <w:b/>
        </w:rPr>
      </w:pPr>
      <w:r w:rsidRPr="00063B6A">
        <w:rPr>
          <w:b/>
        </w:rPr>
        <w:t>Causales de improcedencia</w:t>
      </w:r>
    </w:p>
    <w:p w:rsidR="00B40356" w:rsidRPr="00063B6A" w:rsidRDefault="00B40356">
      <w:pPr>
        <w:spacing w:after="0" w:line="360" w:lineRule="auto"/>
        <w:rPr>
          <w:b/>
        </w:rPr>
      </w:pPr>
    </w:p>
    <w:p w:rsidR="00B40356" w:rsidRPr="00063B6A" w:rsidRDefault="005F4EE9">
      <w:pPr>
        <w:spacing w:after="0" w:line="360" w:lineRule="auto"/>
        <w:rPr>
          <w:color w:val="000000"/>
        </w:rPr>
      </w:pPr>
      <w:r w:rsidRPr="00063B6A">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En el presente caso, </w:t>
      </w:r>
      <w:r w:rsidRPr="00063B6A">
        <w:rPr>
          <w:b/>
          <w:color w:val="000000"/>
        </w:rPr>
        <w:t>no se actualiza ninguna de las causales de improcedencia</w:t>
      </w:r>
      <w:r w:rsidRPr="00063B6A">
        <w:rPr>
          <w:color w:val="000000"/>
        </w:rP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w:t>
      </w:r>
      <w:r w:rsidRPr="00063B6A">
        <w:rPr>
          <w:color w:val="000000"/>
        </w:rPr>
        <w:lastRenderedPageBreak/>
        <w:t>respuesta no formó parte del agravio; ni se realizó una consulta o ampliación a los alcances del requerimiento informativo.</w:t>
      </w:r>
    </w:p>
    <w:p w:rsidR="00B40356" w:rsidRPr="00063B6A" w:rsidRDefault="00B40356">
      <w:pPr>
        <w:spacing w:after="0" w:line="360" w:lineRule="auto"/>
        <w:rPr>
          <w:color w:val="000000"/>
        </w:rPr>
      </w:pPr>
    </w:p>
    <w:p w:rsidR="00B40356" w:rsidRPr="00063B6A" w:rsidRDefault="005F4EE9">
      <w:pPr>
        <w:spacing w:after="0" w:line="360" w:lineRule="auto"/>
      </w:pPr>
      <w:r w:rsidRPr="00063B6A">
        <w:t>Por lo cual, se actualiza la causal de procedencia del Recurso de Revisión señalada en el artículo 179, fracción II y VI, de la Ley en cita, pues la persona Recurrente se inconformó de la clasificación de la información y la entrega de información que no corresponda con lo solicitado.</w:t>
      </w:r>
    </w:p>
    <w:p w:rsidR="00B40356" w:rsidRPr="00063B6A" w:rsidRDefault="00B40356">
      <w:pPr>
        <w:spacing w:after="0" w:line="360" w:lineRule="auto"/>
      </w:pPr>
    </w:p>
    <w:p w:rsidR="00B40356" w:rsidRPr="00063B6A" w:rsidRDefault="005F4EE9">
      <w:pPr>
        <w:spacing w:after="0" w:line="360" w:lineRule="auto"/>
        <w:rPr>
          <w:color w:val="0D0D0D"/>
        </w:rPr>
      </w:pPr>
      <w:r w:rsidRPr="00063B6A">
        <w:rPr>
          <w:b/>
          <w:color w:val="0D0D0D"/>
        </w:rPr>
        <w:t>Causales de sobreseimiento</w:t>
      </w:r>
    </w:p>
    <w:p w:rsidR="00B40356" w:rsidRPr="00063B6A" w:rsidRDefault="00B40356">
      <w:pPr>
        <w:spacing w:after="0" w:line="360" w:lineRule="auto"/>
        <w:rPr>
          <w:color w:val="0D0D0D"/>
        </w:rPr>
      </w:pPr>
    </w:p>
    <w:p w:rsidR="00B40356" w:rsidRPr="00063B6A" w:rsidRDefault="005F4EE9">
      <w:pPr>
        <w:spacing w:after="0" w:line="360" w:lineRule="auto"/>
        <w:rPr>
          <w:color w:val="0D0D0D"/>
        </w:rPr>
      </w:pPr>
      <w:r w:rsidRPr="00063B6A">
        <w:rPr>
          <w:color w:val="0D0D0D"/>
        </w:rPr>
        <w:t>Por ser de previo y especial pronunciamiento, este Instituto analiza si se actualiza alguna causal de sobreseimiento.</w:t>
      </w:r>
    </w:p>
    <w:p w:rsidR="00B40356" w:rsidRPr="00063B6A" w:rsidRDefault="00B40356">
      <w:pPr>
        <w:spacing w:after="0" w:line="360" w:lineRule="auto"/>
        <w:rPr>
          <w:color w:val="0D0D0D"/>
        </w:rPr>
      </w:pPr>
    </w:p>
    <w:p w:rsidR="00B40356" w:rsidRPr="00063B6A" w:rsidRDefault="005F4EE9">
      <w:pPr>
        <w:spacing w:after="0" w:line="360" w:lineRule="auto"/>
        <w:rPr>
          <w:color w:val="000000"/>
        </w:rPr>
      </w:pPr>
      <w:r w:rsidRPr="00063B6A">
        <w:rPr>
          <w:color w:val="0D0D0D"/>
        </w:rPr>
        <w:t>Sobre el tema, e</w:t>
      </w:r>
      <w:r w:rsidRPr="00063B6A">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rsidR="00B40356" w:rsidRPr="00063B6A" w:rsidRDefault="00B40356">
      <w:pPr>
        <w:spacing w:after="0" w:line="360" w:lineRule="auto"/>
        <w:rPr>
          <w:color w:val="000000"/>
        </w:rPr>
      </w:pPr>
    </w:p>
    <w:p w:rsidR="00B40356" w:rsidRPr="00063B6A" w:rsidRDefault="005F4EE9">
      <w:pPr>
        <w:spacing w:after="0" w:line="360" w:lineRule="auto"/>
        <w:rPr>
          <w:color w:val="0D0D0D"/>
        </w:rPr>
      </w:pPr>
      <w:r w:rsidRPr="00063B6A">
        <w:rPr>
          <w:color w:val="0D0D0D"/>
        </w:rPr>
        <w:t xml:space="preserve">Por tales motivos, se considera procedente entrar al fondo del presente asunto. </w:t>
      </w:r>
    </w:p>
    <w:p w:rsidR="00B40356" w:rsidRPr="00063B6A" w:rsidRDefault="00B40356">
      <w:pPr>
        <w:spacing w:after="0" w:line="360" w:lineRule="auto"/>
        <w:rPr>
          <w:color w:val="0D0D0D"/>
        </w:rPr>
      </w:pPr>
    </w:p>
    <w:p w:rsidR="00B40356" w:rsidRPr="00063B6A" w:rsidRDefault="005F4EE9">
      <w:pPr>
        <w:pStyle w:val="Ttulo2"/>
        <w:spacing w:before="0" w:after="0" w:line="360" w:lineRule="auto"/>
        <w:rPr>
          <w:sz w:val="22"/>
          <w:szCs w:val="22"/>
        </w:rPr>
      </w:pPr>
      <w:bookmarkStart w:id="18" w:name="_heading=h.vjmu9hhpnjc7" w:colFirst="0" w:colLast="0"/>
      <w:bookmarkStart w:id="19" w:name="_Toc209098826"/>
      <w:bookmarkEnd w:id="18"/>
      <w:r w:rsidRPr="00063B6A">
        <w:rPr>
          <w:sz w:val="22"/>
          <w:szCs w:val="22"/>
        </w:rPr>
        <w:t>TERCERO. Determinación de la Controversia</w:t>
      </w:r>
      <w:bookmarkEnd w:id="19"/>
    </w:p>
    <w:p w:rsidR="00B40356" w:rsidRPr="00063B6A" w:rsidRDefault="00B40356">
      <w:pPr>
        <w:spacing w:after="0" w:line="360" w:lineRule="auto"/>
        <w:rPr>
          <w:b/>
          <w:color w:val="000000"/>
        </w:rPr>
      </w:pPr>
    </w:p>
    <w:p w:rsidR="00B40356" w:rsidRPr="00063B6A" w:rsidRDefault="005F4EE9">
      <w:pPr>
        <w:spacing w:after="0" w:line="360" w:lineRule="auto"/>
      </w:pPr>
      <w:r w:rsidRPr="00063B6A">
        <w:lastRenderedPageBreak/>
        <w:t>Con el objetivo de ilustrar la controversia planteada, resulta conveniente precisar, que una vez realizado el estudio de las constancias que integran el expediente en el que se actúa, se realiza un cuadro para tener claridad entre la información solicitada, la respuesta entregada y el agravio manifestado.</w:t>
      </w:r>
    </w:p>
    <w:p w:rsidR="00B40356" w:rsidRPr="00063B6A" w:rsidRDefault="00B40356">
      <w:pPr>
        <w:spacing w:after="0" w:line="360" w:lineRule="auto"/>
      </w:pPr>
    </w:p>
    <w:tbl>
      <w:tblPr>
        <w:tblStyle w:val="aa"/>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3"/>
        <w:gridCol w:w="2974"/>
        <w:gridCol w:w="2974"/>
      </w:tblGrid>
      <w:tr w:rsidR="00B40356" w:rsidRPr="00063B6A">
        <w:tc>
          <w:tcPr>
            <w:tcW w:w="2973" w:type="dxa"/>
            <w:shd w:val="clear" w:color="auto" w:fill="BFBFBF"/>
          </w:tcPr>
          <w:p w:rsidR="00B40356" w:rsidRPr="00063B6A" w:rsidRDefault="005F4EE9">
            <w:pPr>
              <w:spacing w:line="360" w:lineRule="auto"/>
              <w:jc w:val="center"/>
              <w:rPr>
                <w:b/>
                <w:sz w:val="18"/>
                <w:szCs w:val="18"/>
              </w:rPr>
            </w:pPr>
            <w:r w:rsidRPr="00063B6A">
              <w:rPr>
                <w:b/>
                <w:sz w:val="18"/>
                <w:szCs w:val="18"/>
              </w:rPr>
              <w:t>Solicitud</w:t>
            </w:r>
          </w:p>
        </w:tc>
        <w:tc>
          <w:tcPr>
            <w:tcW w:w="2974" w:type="dxa"/>
            <w:shd w:val="clear" w:color="auto" w:fill="BFBFBF"/>
          </w:tcPr>
          <w:p w:rsidR="00B40356" w:rsidRPr="00063B6A" w:rsidRDefault="005F4EE9">
            <w:pPr>
              <w:spacing w:line="360" w:lineRule="auto"/>
              <w:jc w:val="center"/>
              <w:rPr>
                <w:b/>
                <w:sz w:val="18"/>
                <w:szCs w:val="18"/>
              </w:rPr>
            </w:pPr>
            <w:r w:rsidRPr="00063B6A">
              <w:rPr>
                <w:b/>
                <w:sz w:val="18"/>
                <w:szCs w:val="18"/>
              </w:rPr>
              <w:t>Respuesta</w:t>
            </w:r>
          </w:p>
        </w:tc>
        <w:tc>
          <w:tcPr>
            <w:tcW w:w="2974" w:type="dxa"/>
            <w:shd w:val="clear" w:color="auto" w:fill="BFBFBF"/>
          </w:tcPr>
          <w:p w:rsidR="00B40356" w:rsidRPr="00063B6A" w:rsidRDefault="005F4EE9">
            <w:pPr>
              <w:spacing w:line="360" w:lineRule="auto"/>
              <w:jc w:val="center"/>
              <w:rPr>
                <w:b/>
                <w:sz w:val="18"/>
                <w:szCs w:val="18"/>
              </w:rPr>
            </w:pPr>
            <w:r w:rsidRPr="00063B6A">
              <w:rPr>
                <w:b/>
                <w:sz w:val="18"/>
                <w:szCs w:val="18"/>
              </w:rPr>
              <w:t>Agravio</w:t>
            </w:r>
          </w:p>
        </w:tc>
      </w:tr>
      <w:tr w:rsidR="00B40356" w:rsidRPr="00063B6A">
        <w:tc>
          <w:tcPr>
            <w:tcW w:w="2973" w:type="dxa"/>
          </w:tcPr>
          <w:p w:rsidR="00B40356" w:rsidRPr="00063B6A" w:rsidRDefault="005F4EE9">
            <w:pPr>
              <w:spacing w:line="360" w:lineRule="auto"/>
              <w:jc w:val="center"/>
              <w:rPr>
                <w:sz w:val="18"/>
                <w:szCs w:val="18"/>
              </w:rPr>
            </w:pPr>
            <w:r w:rsidRPr="00063B6A">
              <w:rPr>
                <w:sz w:val="18"/>
                <w:szCs w:val="18"/>
              </w:rPr>
              <w:t>1. Recibo de nómina del Director de Gobernación</w:t>
            </w:r>
          </w:p>
        </w:tc>
        <w:tc>
          <w:tcPr>
            <w:tcW w:w="2974" w:type="dxa"/>
          </w:tcPr>
          <w:p w:rsidR="00B40356" w:rsidRPr="00063B6A" w:rsidRDefault="005F4EE9">
            <w:pPr>
              <w:spacing w:line="360" w:lineRule="auto"/>
              <w:jc w:val="center"/>
              <w:rPr>
                <w:sz w:val="18"/>
                <w:szCs w:val="18"/>
              </w:rPr>
            </w:pPr>
            <w:r w:rsidRPr="00063B6A">
              <w:rPr>
                <w:sz w:val="18"/>
                <w:szCs w:val="18"/>
              </w:rPr>
              <w:t>Proporcionó la versión pública del recibo de nómina de la segunda quincena de febrero de dos mil veinticinco</w:t>
            </w:r>
          </w:p>
        </w:tc>
        <w:tc>
          <w:tcPr>
            <w:tcW w:w="2974" w:type="dxa"/>
          </w:tcPr>
          <w:p w:rsidR="00B40356" w:rsidRPr="00063B6A" w:rsidRDefault="005F4EE9">
            <w:pPr>
              <w:spacing w:line="360" w:lineRule="auto"/>
              <w:jc w:val="center"/>
              <w:rPr>
                <w:sz w:val="18"/>
                <w:szCs w:val="18"/>
              </w:rPr>
            </w:pPr>
            <w:r w:rsidRPr="00063B6A">
              <w:rPr>
                <w:sz w:val="18"/>
                <w:szCs w:val="18"/>
              </w:rPr>
              <w:t>Se inconformó del Acuerdo emitido por el Comité de Transparencia, lo cual se traduce en la clasificación de los datos testados, lo cual actualiza la causal de procedencia prevista en la fracción II, del artículo 179 de la Ley de Transparencia y Acceso a la Información Pública del Estado de México y Municipios.</w:t>
            </w:r>
          </w:p>
        </w:tc>
      </w:tr>
      <w:tr w:rsidR="00B40356" w:rsidRPr="00063B6A">
        <w:tc>
          <w:tcPr>
            <w:tcW w:w="2973" w:type="dxa"/>
          </w:tcPr>
          <w:p w:rsidR="00B40356" w:rsidRPr="00063B6A" w:rsidRDefault="005F4EE9">
            <w:pPr>
              <w:spacing w:line="360" w:lineRule="auto"/>
              <w:jc w:val="center"/>
              <w:rPr>
                <w:sz w:val="18"/>
                <w:szCs w:val="18"/>
              </w:rPr>
            </w:pPr>
            <w:r w:rsidRPr="00063B6A">
              <w:rPr>
                <w:sz w:val="18"/>
                <w:szCs w:val="18"/>
              </w:rPr>
              <w:t>2. Recibo de nómina de la Directora de Gobierno</w:t>
            </w:r>
          </w:p>
        </w:tc>
        <w:tc>
          <w:tcPr>
            <w:tcW w:w="2974" w:type="dxa"/>
          </w:tcPr>
          <w:p w:rsidR="00B40356" w:rsidRPr="00063B6A" w:rsidRDefault="005F4EE9">
            <w:pPr>
              <w:spacing w:line="360" w:lineRule="auto"/>
              <w:jc w:val="center"/>
              <w:rPr>
                <w:sz w:val="18"/>
                <w:szCs w:val="18"/>
              </w:rPr>
            </w:pPr>
            <w:r w:rsidRPr="00063B6A">
              <w:rPr>
                <w:sz w:val="18"/>
                <w:szCs w:val="18"/>
              </w:rPr>
              <w:t>Señaló que la información se localiza en un vínculo electrónico</w:t>
            </w:r>
          </w:p>
        </w:tc>
        <w:tc>
          <w:tcPr>
            <w:tcW w:w="2974" w:type="dxa"/>
          </w:tcPr>
          <w:p w:rsidR="00B40356" w:rsidRPr="00063B6A" w:rsidRDefault="005F4EE9">
            <w:pPr>
              <w:spacing w:line="360" w:lineRule="auto"/>
              <w:jc w:val="center"/>
              <w:rPr>
                <w:sz w:val="18"/>
                <w:szCs w:val="18"/>
              </w:rPr>
            </w:pPr>
            <w:r w:rsidRPr="00063B6A">
              <w:rPr>
                <w:sz w:val="18"/>
                <w:szCs w:val="18"/>
              </w:rPr>
              <w:t>Se agravió de la entrega de información que no corresponde con lo solicitado, lo cual actualiza la causal de procedencia prevista en la fracción VI, del artículo 179 de la Ley de Transparencia y Acceso a la Información Pública del Estado de México y Municipios.</w:t>
            </w:r>
          </w:p>
        </w:tc>
      </w:tr>
    </w:tbl>
    <w:p w:rsidR="00B40356" w:rsidRPr="00063B6A" w:rsidRDefault="00B40356">
      <w:pPr>
        <w:spacing w:after="0" w:line="360" w:lineRule="auto"/>
      </w:pPr>
    </w:p>
    <w:p w:rsidR="00B40356" w:rsidRPr="00063B6A" w:rsidRDefault="005F4EE9">
      <w:pPr>
        <w:spacing w:after="0" w:line="360" w:lineRule="auto"/>
        <w:rPr>
          <w:color w:val="000000"/>
        </w:rPr>
      </w:pPr>
      <w:r w:rsidRPr="00063B6A">
        <w:rPr>
          <w:color w:val="000000"/>
        </w:rPr>
        <w:t xml:space="preserve">Conforme a lo analizado, se puede advertir que el ahora Recurrente, respecto al numeral 1, no se inconformó del recibo de nómina entregado, sino del </w:t>
      </w:r>
      <w:proofErr w:type="spellStart"/>
      <w:r w:rsidRPr="00063B6A">
        <w:rPr>
          <w:color w:val="000000"/>
        </w:rPr>
        <w:t>testado</w:t>
      </w:r>
      <w:proofErr w:type="spellEnd"/>
      <w:r w:rsidRPr="00063B6A">
        <w:rPr>
          <w:color w:val="000000"/>
        </w:rPr>
        <w:t xml:space="preserve"> y clasificación de diversos datos contenidos en este;  por lo que no se hará pronunciamiento alguno respeto al documento entregado, de conformidad con el artículo 195 de la Ley de Transparencia y </w:t>
      </w:r>
      <w:r w:rsidRPr="00063B6A">
        <w:rPr>
          <w:color w:val="000000"/>
        </w:rPr>
        <w:lastRenderedPageBreak/>
        <w:t>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rsidR="00B40356" w:rsidRPr="00063B6A" w:rsidRDefault="005F4EE9">
      <w:pPr>
        <w:spacing w:after="0" w:line="360" w:lineRule="auto"/>
        <w:rPr>
          <w:color w:val="000000"/>
        </w:rPr>
      </w:pPr>
      <w:r w:rsidRPr="00063B6A">
        <w:rPr>
          <w:color w:val="000000"/>
        </w:rPr>
        <w:t> </w:t>
      </w:r>
    </w:p>
    <w:p w:rsidR="00B40356" w:rsidRPr="00063B6A" w:rsidRDefault="005F4EE9">
      <w:pPr>
        <w:spacing w:after="0" w:line="360" w:lineRule="auto"/>
        <w:rPr>
          <w:color w:val="000000"/>
        </w:rPr>
      </w:pPr>
      <w:r w:rsidRPr="00063B6A">
        <w:rPr>
          <w:color w:val="000000"/>
        </w:rPr>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00B40356" w:rsidRPr="00063B6A" w:rsidRDefault="005F4EE9">
      <w:pPr>
        <w:spacing w:after="0" w:line="360" w:lineRule="auto"/>
        <w:rPr>
          <w:color w:val="000000"/>
        </w:rPr>
      </w:pPr>
      <w:r w:rsidRPr="00063B6A">
        <w:rPr>
          <w:color w:val="000000"/>
        </w:rPr>
        <w:t> </w:t>
      </w:r>
    </w:p>
    <w:p w:rsidR="00B40356" w:rsidRPr="00063B6A" w:rsidRDefault="005F4EE9">
      <w:pPr>
        <w:spacing w:after="0" w:line="360" w:lineRule="auto"/>
        <w:rPr>
          <w:color w:val="000000"/>
        </w:rPr>
      </w:pPr>
      <w:r w:rsidRPr="00063B6A">
        <w:rPr>
          <w:color w:val="000000"/>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rsidR="00B40356" w:rsidRPr="00063B6A" w:rsidRDefault="005F4EE9">
      <w:pPr>
        <w:spacing w:after="0" w:line="360" w:lineRule="auto"/>
        <w:rPr>
          <w:color w:val="000000"/>
        </w:rPr>
      </w:pPr>
      <w:r w:rsidRPr="00063B6A">
        <w:rPr>
          <w:color w:val="000000"/>
        </w:rPr>
        <w:t> </w:t>
      </w:r>
    </w:p>
    <w:p w:rsidR="00B40356" w:rsidRPr="00063B6A" w:rsidRDefault="005F4EE9">
      <w:pPr>
        <w:spacing w:after="0" w:line="360" w:lineRule="auto"/>
        <w:rPr>
          <w:rFonts w:ascii="Times New Roman" w:eastAsia="Times New Roman" w:hAnsi="Times New Roman" w:cs="Times New Roman"/>
          <w:color w:val="222222"/>
        </w:rPr>
      </w:pPr>
      <w:r w:rsidRPr="00063B6A">
        <w:rPr>
          <w:color w:val="000000"/>
        </w:rPr>
        <w:t xml:space="preserve">Asimismo, resulta relevante traer a colación el Criterio de Interpretación, con clave de control SO/001/2020, de la Segunda Época, emitido por el Instituto Nacional de Transparencia, Acceso a la Información y Protección de Datos Personales, el cual establece que </w:t>
      </w:r>
      <w:r w:rsidRPr="00063B6A">
        <w:rPr>
          <w:color w:val="222222"/>
        </w:rPr>
        <w:t xml:space="preserve">es improcedente entrar al análisis de las partes de la respuesta del Sujeto Obligado que no fueron impugnadas por el Recurrente; por lo que, en el presente caso, se tiene por consentida </w:t>
      </w:r>
      <w:r w:rsidRPr="00063B6A">
        <w:rPr>
          <w:color w:val="222222"/>
        </w:rPr>
        <w:lastRenderedPageBreak/>
        <w:t>la información entregada por el Sujeto Obligado; y únicamente se entrará al análisis de la clasificación de datos testados y el Acuerdo de Clasificación.</w:t>
      </w:r>
    </w:p>
    <w:p w:rsidR="00B40356" w:rsidRPr="00063B6A" w:rsidRDefault="005F4EE9">
      <w:pPr>
        <w:shd w:val="clear" w:color="auto" w:fill="FFFFFF"/>
        <w:spacing w:after="0" w:line="360" w:lineRule="auto"/>
        <w:rPr>
          <w:rFonts w:ascii="Times New Roman" w:eastAsia="Times New Roman" w:hAnsi="Times New Roman" w:cs="Times New Roman"/>
          <w:color w:val="222222"/>
          <w:sz w:val="20"/>
          <w:szCs w:val="20"/>
        </w:rPr>
      </w:pPr>
      <w:r w:rsidRPr="00063B6A">
        <w:rPr>
          <w:color w:val="222222"/>
        </w:rPr>
        <w:t> </w:t>
      </w:r>
    </w:p>
    <w:p w:rsidR="00B40356" w:rsidRPr="00063B6A" w:rsidRDefault="005F4EE9">
      <w:pPr>
        <w:shd w:val="clear" w:color="auto" w:fill="FFFFFF"/>
        <w:spacing w:after="0" w:line="360" w:lineRule="auto"/>
        <w:rPr>
          <w:color w:val="222222"/>
        </w:rPr>
      </w:pPr>
      <w:r w:rsidRPr="00063B6A">
        <w:rPr>
          <w:color w:val="222222"/>
        </w:rPr>
        <w:t xml:space="preserve">Lo anterior, se desprende de las documentales que obran en el expediente de referencia, materia de la presente resolución, consistente en: la solicitud de acceso a la información; la respuesta entregada por el Sujeto Obligado, el escrito </w:t>
      </w:r>
      <w:proofErr w:type="spellStart"/>
      <w:r w:rsidRPr="00063B6A">
        <w:rPr>
          <w:color w:val="222222"/>
        </w:rPr>
        <w:t>recursal</w:t>
      </w:r>
      <w:proofErr w:type="spellEnd"/>
      <w:r w:rsidRPr="00063B6A">
        <w:rPr>
          <w:color w:val="222222"/>
        </w:rPr>
        <w:t xml:space="preserve"> en contra de dicha contestación y el informe justificado del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00B40356" w:rsidRPr="00063B6A" w:rsidRDefault="00B40356">
      <w:pPr>
        <w:shd w:val="clear" w:color="auto" w:fill="FFFFFF"/>
        <w:spacing w:after="0" w:line="360" w:lineRule="auto"/>
        <w:rPr>
          <w:rFonts w:ascii="Times New Roman" w:eastAsia="Times New Roman" w:hAnsi="Times New Roman" w:cs="Times New Roman"/>
          <w:color w:val="222222"/>
        </w:rPr>
      </w:pPr>
    </w:p>
    <w:p w:rsidR="00B40356" w:rsidRPr="00063B6A" w:rsidRDefault="005F4EE9">
      <w:pPr>
        <w:pStyle w:val="Ttulo2"/>
        <w:spacing w:before="0" w:after="0" w:line="360" w:lineRule="auto"/>
        <w:rPr>
          <w:sz w:val="22"/>
          <w:szCs w:val="22"/>
        </w:rPr>
      </w:pPr>
      <w:bookmarkStart w:id="20" w:name="_heading=h.3853xcb1ouxr" w:colFirst="0" w:colLast="0"/>
      <w:bookmarkStart w:id="21" w:name="_Toc209098827"/>
      <w:bookmarkEnd w:id="20"/>
      <w:r w:rsidRPr="00063B6A">
        <w:rPr>
          <w:sz w:val="22"/>
          <w:szCs w:val="22"/>
        </w:rPr>
        <w:t>CUARTO. Marco normativo aplicable en materia de transparencia y acceso a la información pública</w:t>
      </w:r>
      <w:bookmarkEnd w:id="21"/>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Por su parte, la Ley de Transparencia y Acceso a la Información Pública del Estado de México y Municipios (Reglamentaria del artículo 5° de la Constitución Local), establece lo siguiente:</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El artículo 12, que, quienes generen, recopilen, administren, manejen, procesen, archiven o conserven información pública serán responsables de la misma.</w:t>
      </w:r>
    </w:p>
    <w:p w:rsidR="00B40356" w:rsidRPr="00063B6A" w:rsidRDefault="00B40356">
      <w:pPr>
        <w:spacing w:after="0" w:line="360" w:lineRule="auto"/>
        <w:rPr>
          <w:color w:val="000000"/>
        </w:rPr>
      </w:pPr>
    </w:p>
    <w:p w:rsidR="00B40356" w:rsidRPr="00063B6A" w:rsidRDefault="005F4EE9">
      <w:pPr>
        <w:widowControl w:val="0"/>
        <w:spacing w:after="0" w:line="360" w:lineRule="auto"/>
        <w:rPr>
          <w:color w:val="000000"/>
        </w:rPr>
      </w:pPr>
      <w:r w:rsidRPr="00063B6A">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B40356" w:rsidRPr="00063B6A" w:rsidRDefault="00B40356">
      <w:pPr>
        <w:widowControl w:val="0"/>
        <w:spacing w:after="0" w:line="360" w:lineRule="auto"/>
        <w:rPr>
          <w:color w:val="000000"/>
        </w:rPr>
      </w:pPr>
    </w:p>
    <w:p w:rsidR="00B40356" w:rsidRPr="00063B6A" w:rsidRDefault="005F4EE9">
      <w:pPr>
        <w:spacing w:after="0" w:line="360" w:lineRule="auto"/>
        <w:rPr>
          <w:color w:val="000000"/>
        </w:rPr>
      </w:pPr>
      <w:r w:rsidRPr="00063B6A">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B40356" w:rsidRPr="00063B6A" w:rsidRDefault="00B40356">
      <w:pPr>
        <w:spacing w:after="0" w:line="360" w:lineRule="auto"/>
      </w:pPr>
    </w:p>
    <w:p w:rsidR="00B40356" w:rsidRPr="00063B6A" w:rsidRDefault="005F4EE9">
      <w:pPr>
        <w:pStyle w:val="Ttulo2"/>
        <w:spacing w:before="0" w:after="0" w:line="360" w:lineRule="auto"/>
        <w:rPr>
          <w:sz w:val="22"/>
          <w:szCs w:val="22"/>
        </w:rPr>
      </w:pPr>
      <w:bookmarkStart w:id="22" w:name="_heading=h.3alrr6vhp9t" w:colFirst="0" w:colLast="0"/>
      <w:bookmarkStart w:id="23" w:name="_Toc209098828"/>
      <w:bookmarkEnd w:id="22"/>
      <w:r w:rsidRPr="00063B6A">
        <w:rPr>
          <w:sz w:val="22"/>
          <w:szCs w:val="22"/>
        </w:rPr>
        <w:t>QUINTO. Estudio de Fondo</w:t>
      </w:r>
      <w:bookmarkEnd w:id="23"/>
    </w:p>
    <w:p w:rsidR="00B40356" w:rsidRPr="00063B6A" w:rsidRDefault="00B40356">
      <w:pPr>
        <w:spacing w:after="0" w:line="360" w:lineRule="auto"/>
        <w:rPr>
          <w:b/>
          <w:color w:val="000000"/>
        </w:rPr>
      </w:pPr>
    </w:p>
    <w:p w:rsidR="00B40356" w:rsidRPr="00063B6A" w:rsidRDefault="005F4EE9">
      <w:pPr>
        <w:spacing w:after="0" w:line="360" w:lineRule="auto"/>
      </w:pPr>
      <w:r w:rsidRPr="00063B6A">
        <w:rPr>
          <w:color w:val="000000"/>
        </w:rPr>
        <w:t xml:space="preserve">Expuestas las posturas de las partes, se procede </w:t>
      </w:r>
      <w:proofErr w:type="gramStart"/>
      <w:r w:rsidRPr="00063B6A">
        <w:rPr>
          <w:color w:val="000000"/>
        </w:rPr>
        <w:t>al análisis del agravio hechos</w:t>
      </w:r>
      <w:proofErr w:type="gramEnd"/>
      <w:r w:rsidRPr="00063B6A">
        <w:rPr>
          <w:color w:val="000000"/>
        </w:rPr>
        <w:t xml:space="preserve"> valer por la persona Recurrente, concerniente a la clasificación de la información y la entrega de información que no corresponde con lo solicitado</w:t>
      </w:r>
      <w:r w:rsidRPr="00063B6A">
        <w:t>; para lo cual primero contextualizaremos la solicitud de información.</w:t>
      </w:r>
    </w:p>
    <w:p w:rsidR="00B40356" w:rsidRPr="00063B6A" w:rsidRDefault="00B40356">
      <w:pPr>
        <w:spacing w:after="0" w:line="360" w:lineRule="auto"/>
      </w:pPr>
    </w:p>
    <w:p w:rsidR="00B40356" w:rsidRPr="00063B6A" w:rsidRDefault="005F4EE9">
      <w:pPr>
        <w:tabs>
          <w:tab w:val="left" w:pos="4962"/>
        </w:tabs>
        <w:spacing w:after="0" w:line="360" w:lineRule="auto"/>
      </w:pPr>
      <w:r w:rsidRPr="00063B6A">
        <w:t xml:space="preserve">Al respecto,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w:t>
      </w:r>
      <w:r w:rsidRPr="00063B6A">
        <w:lastRenderedPageBreak/>
        <w:t>del Estado Libre y Soberano de México, precisa que son servidores públicos a todas las personas que desempeñen un empleo, cargo o comisión en los Municipios.</w:t>
      </w:r>
    </w:p>
    <w:p w:rsidR="00B40356" w:rsidRPr="00063B6A" w:rsidRDefault="00B40356">
      <w:pPr>
        <w:tabs>
          <w:tab w:val="left" w:pos="4962"/>
        </w:tabs>
        <w:spacing w:after="0" w:line="360" w:lineRule="auto"/>
      </w:pPr>
    </w:p>
    <w:p w:rsidR="00B40356" w:rsidRPr="00063B6A" w:rsidRDefault="005F4EE9">
      <w:pPr>
        <w:tabs>
          <w:tab w:val="left" w:pos="4962"/>
        </w:tabs>
        <w:spacing w:after="0" w:line="360" w:lineRule="auto"/>
      </w:pPr>
      <w:r w:rsidRPr="00063B6A">
        <w:t>Además,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rsidR="00B40356" w:rsidRPr="00063B6A" w:rsidRDefault="00B40356">
      <w:pPr>
        <w:tabs>
          <w:tab w:val="left" w:pos="4962"/>
        </w:tabs>
        <w:spacing w:after="0" w:line="360" w:lineRule="auto"/>
      </w:pPr>
    </w:p>
    <w:p w:rsidR="00B40356" w:rsidRPr="00063B6A" w:rsidRDefault="005F4EE9">
      <w:pPr>
        <w:tabs>
          <w:tab w:val="left" w:pos="4962"/>
        </w:tabs>
        <w:spacing w:after="0" w:line="360" w:lineRule="auto"/>
      </w:pPr>
      <w:r w:rsidRPr="00063B6A">
        <w:t>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B40356" w:rsidRPr="00063B6A" w:rsidRDefault="00B40356">
      <w:pPr>
        <w:tabs>
          <w:tab w:val="left" w:pos="4962"/>
        </w:tabs>
        <w:spacing w:after="0" w:line="360" w:lineRule="auto"/>
      </w:pPr>
    </w:p>
    <w:p w:rsidR="00B40356" w:rsidRPr="00063B6A" w:rsidRDefault="005F4EE9">
      <w:pPr>
        <w:tabs>
          <w:tab w:val="left" w:pos="4962"/>
        </w:tabs>
        <w:spacing w:after="0" w:line="360" w:lineRule="auto"/>
      </w:pPr>
      <w:r w:rsidRPr="00063B6A">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rsidR="00B40356" w:rsidRPr="00063B6A" w:rsidRDefault="00B40356">
      <w:pPr>
        <w:tabs>
          <w:tab w:val="left" w:pos="4962"/>
        </w:tabs>
        <w:spacing w:after="0" w:line="360" w:lineRule="auto"/>
      </w:pPr>
    </w:p>
    <w:p w:rsidR="00B40356" w:rsidRPr="00063B6A" w:rsidRDefault="005F4EE9">
      <w:pPr>
        <w:tabs>
          <w:tab w:val="left" w:pos="4962"/>
        </w:tabs>
        <w:spacing w:after="0" w:line="360" w:lineRule="auto"/>
      </w:pPr>
      <w:r w:rsidRPr="00063B6A">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00B40356" w:rsidRPr="00063B6A" w:rsidRDefault="00B40356">
      <w:pPr>
        <w:tabs>
          <w:tab w:val="left" w:pos="4962"/>
        </w:tabs>
        <w:spacing w:after="0" w:line="360" w:lineRule="auto"/>
      </w:pPr>
    </w:p>
    <w:p w:rsidR="00B40356" w:rsidRPr="00063B6A" w:rsidRDefault="005F4EE9">
      <w:pPr>
        <w:tabs>
          <w:tab w:val="left" w:pos="4962"/>
        </w:tabs>
        <w:spacing w:after="0" w:line="360" w:lineRule="auto"/>
      </w:pPr>
      <w:r w:rsidRPr="00063B6A">
        <w:lastRenderedPageBreak/>
        <w:t>Además, el Anexo IV.2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aguinaldo, obligaciones laborales, entre otras.</w:t>
      </w:r>
    </w:p>
    <w:p w:rsidR="00B40356" w:rsidRPr="00063B6A" w:rsidRDefault="00B40356">
      <w:pPr>
        <w:tabs>
          <w:tab w:val="left" w:pos="4962"/>
        </w:tabs>
        <w:spacing w:after="0" w:line="360" w:lineRule="auto"/>
      </w:pPr>
    </w:p>
    <w:p w:rsidR="00B40356" w:rsidRPr="00063B6A" w:rsidRDefault="005F4EE9">
      <w:pPr>
        <w:tabs>
          <w:tab w:val="left" w:pos="4962"/>
        </w:tabs>
        <w:spacing w:after="0" w:line="360" w:lineRule="auto"/>
      </w:pPr>
      <w:r w:rsidRPr="00063B6A">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w:t>
      </w:r>
    </w:p>
    <w:p w:rsidR="00B40356" w:rsidRPr="00063B6A" w:rsidRDefault="00B40356">
      <w:pPr>
        <w:tabs>
          <w:tab w:val="left" w:pos="4962"/>
        </w:tabs>
        <w:spacing w:after="0" w:line="360" w:lineRule="auto"/>
      </w:pPr>
    </w:p>
    <w:p w:rsidR="00B40356" w:rsidRPr="00063B6A" w:rsidRDefault="005F4EE9">
      <w:pPr>
        <w:tabs>
          <w:tab w:val="left" w:pos="4962"/>
        </w:tabs>
        <w:spacing w:after="0" w:line="360" w:lineRule="auto"/>
      </w:pPr>
      <w:r w:rsidRPr="00063B6A">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00B40356" w:rsidRPr="00063B6A" w:rsidRDefault="00B40356">
      <w:pPr>
        <w:tabs>
          <w:tab w:val="left" w:pos="4962"/>
        </w:tabs>
        <w:spacing w:after="0" w:line="360" w:lineRule="auto"/>
        <w:rPr>
          <w:sz w:val="20"/>
          <w:szCs w:val="20"/>
        </w:rPr>
      </w:pPr>
    </w:p>
    <w:p w:rsidR="00B40356" w:rsidRPr="00063B6A" w:rsidRDefault="005F4EE9">
      <w:pPr>
        <w:tabs>
          <w:tab w:val="left" w:pos="4962"/>
        </w:tabs>
        <w:spacing w:after="0" w:line="360" w:lineRule="auto"/>
        <w:ind w:left="567" w:right="567"/>
        <w:rPr>
          <w:i/>
          <w:sz w:val="20"/>
          <w:szCs w:val="20"/>
        </w:rPr>
      </w:pPr>
      <w:r w:rsidRPr="00063B6A">
        <w:rPr>
          <w:i/>
          <w:sz w:val="20"/>
          <w:szCs w:val="20"/>
        </w:rPr>
        <w:t>“</w:t>
      </w:r>
      <w:r w:rsidRPr="00063B6A">
        <w:rPr>
          <w:b/>
          <w:i/>
          <w:sz w:val="20"/>
          <w:szCs w:val="20"/>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063B6A">
        <w:rPr>
          <w:i/>
          <w:sz w:val="20"/>
          <w:szCs w:val="20"/>
        </w:rPr>
        <w:t xml:space="preserve">. En materia burocrática los recibos de pago que se obtienen por medios electrónicos son válidos para acreditar los conceptos y montos que en ellos se insertan, en términos del artículo 776, fracciones II y VIII, de la Ley Federal del Trabajo, </w:t>
      </w:r>
      <w:r w:rsidRPr="00063B6A">
        <w:rPr>
          <w:i/>
          <w:sz w:val="20"/>
          <w:szCs w:val="20"/>
        </w:rPr>
        <w:lastRenderedPageBreak/>
        <w:t>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00B40356" w:rsidRPr="00063B6A" w:rsidRDefault="00B40356">
      <w:pPr>
        <w:tabs>
          <w:tab w:val="left" w:pos="4962"/>
        </w:tabs>
        <w:spacing w:after="0" w:line="360" w:lineRule="auto"/>
      </w:pPr>
    </w:p>
    <w:p w:rsidR="00B40356" w:rsidRPr="00063B6A" w:rsidRDefault="005F4EE9">
      <w:pPr>
        <w:tabs>
          <w:tab w:val="left" w:pos="4962"/>
        </w:tabs>
        <w:spacing w:after="0" w:line="360" w:lineRule="auto"/>
      </w:pPr>
      <w:r w:rsidRPr="00063B6A">
        <w:t>De la tesis transcrita, se desprende que en materia burocrática los recibos de pago acreditan los conceptos y montos que en ellos se insertan, y constituyen prueba para demostrar las percepciones y montos que reciben los servidores públicos.</w:t>
      </w:r>
    </w:p>
    <w:p w:rsidR="00B40356" w:rsidRPr="00063B6A" w:rsidRDefault="00B40356">
      <w:pPr>
        <w:tabs>
          <w:tab w:val="left" w:pos="4962"/>
        </w:tabs>
        <w:spacing w:after="0" w:line="360" w:lineRule="auto"/>
      </w:pPr>
    </w:p>
    <w:p w:rsidR="00B40356" w:rsidRPr="00063B6A" w:rsidRDefault="005F4EE9">
      <w:pPr>
        <w:tabs>
          <w:tab w:val="left" w:pos="4962"/>
        </w:tabs>
        <w:spacing w:after="0" w:line="360" w:lineRule="auto"/>
      </w:pPr>
      <w:r w:rsidRPr="00063B6A">
        <w:t xml:space="preserve">En ese orden de ideas, los Lineamientos para la integración y presentación de los Informes Trimestrales Estatales y Municipales del Ejercicio Fiscal 2025, establecen que el Sujeto Obligado deberá entregar al Órgano Superior de Fiscalización, los Comprobantes Fiscales Digitales por </w:t>
      </w:r>
      <w:proofErr w:type="spellStart"/>
      <w:r w:rsidRPr="00063B6A">
        <w:t>Internete</w:t>
      </w:r>
      <w:proofErr w:type="spellEnd"/>
      <w:r w:rsidRPr="00063B6A">
        <w:t xml:space="preserve"> por concepto de nómina; por lo que, al tener competencia el Sujeto Obligado, se procede analizar cada uno de los agravios realizados por la persona Solicitante, conforme a lo siguiente:</w:t>
      </w:r>
    </w:p>
    <w:p w:rsidR="00B40356" w:rsidRPr="00063B6A" w:rsidRDefault="00B40356">
      <w:pPr>
        <w:tabs>
          <w:tab w:val="left" w:pos="4962"/>
        </w:tabs>
        <w:spacing w:after="0" w:line="360" w:lineRule="auto"/>
      </w:pPr>
    </w:p>
    <w:p w:rsidR="00B40356" w:rsidRPr="00063B6A" w:rsidRDefault="005F4EE9">
      <w:pPr>
        <w:tabs>
          <w:tab w:val="left" w:pos="4962"/>
        </w:tabs>
        <w:spacing w:after="0" w:line="360" w:lineRule="auto"/>
        <w:rPr>
          <w:b/>
        </w:rPr>
      </w:pPr>
      <w:r w:rsidRPr="00063B6A">
        <w:rPr>
          <w:b/>
        </w:rPr>
        <w:t>Clasificación de datos</w:t>
      </w:r>
    </w:p>
    <w:p w:rsidR="00B40356" w:rsidRPr="00063B6A" w:rsidRDefault="00B40356">
      <w:pPr>
        <w:tabs>
          <w:tab w:val="left" w:pos="4962"/>
        </w:tabs>
        <w:spacing w:after="0" w:line="360" w:lineRule="auto"/>
      </w:pPr>
    </w:p>
    <w:p w:rsidR="00B40356" w:rsidRPr="00063B6A" w:rsidRDefault="005F4EE9">
      <w:pPr>
        <w:spacing w:after="0" w:line="360" w:lineRule="auto"/>
      </w:pPr>
      <w:r w:rsidRPr="00063B6A">
        <w:t xml:space="preserve">Ahora bien en el Acta de la Trigésima Primera Sesión Extraordinaria del Comité de Transparencia y Acceso a la Información del Ayuntamiento de </w:t>
      </w:r>
      <w:proofErr w:type="spellStart"/>
      <w:r w:rsidRPr="00063B6A">
        <w:t>Otzolotepec</w:t>
      </w:r>
      <w:proofErr w:type="spellEnd"/>
      <w:r w:rsidRPr="00063B6A">
        <w:t>, del veintiocho de marzo de dos mil veinticinco, se aprobó el Acuerdo número CTAIP/OTZ/EX/31/28/03/2025, en el cual se aprobó por unanimidad la clasificación como confidencial de los datos testados en el recibo de nómina, tal como se muestra a continuación:</w:t>
      </w:r>
    </w:p>
    <w:p w:rsidR="00B40356" w:rsidRPr="00063B6A" w:rsidRDefault="00B40356">
      <w:pPr>
        <w:spacing w:after="0" w:line="360" w:lineRule="auto"/>
      </w:pPr>
    </w:p>
    <w:p w:rsidR="00B40356" w:rsidRPr="00063B6A" w:rsidRDefault="005F4EE9">
      <w:pPr>
        <w:spacing w:after="0" w:line="360" w:lineRule="auto"/>
        <w:jc w:val="center"/>
      </w:pPr>
      <w:r w:rsidRPr="00063B6A">
        <w:rPr>
          <w:noProof/>
        </w:rPr>
        <w:drawing>
          <wp:inline distT="0" distB="0" distL="0" distR="0">
            <wp:extent cx="5268060" cy="1886213"/>
            <wp:effectExtent l="0" t="0" r="0" b="0"/>
            <wp:docPr id="20319818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268060" cy="1886213"/>
                    </a:xfrm>
                    <a:prstGeom prst="rect">
                      <a:avLst/>
                    </a:prstGeom>
                    <a:ln/>
                  </pic:spPr>
                </pic:pic>
              </a:graphicData>
            </a:graphic>
          </wp:inline>
        </w:drawing>
      </w:r>
    </w:p>
    <w:p w:rsidR="00B40356" w:rsidRPr="00063B6A" w:rsidRDefault="00B40356">
      <w:pPr>
        <w:spacing w:after="0" w:line="360" w:lineRule="auto"/>
      </w:pPr>
    </w:p>
    <w:p w:rsidR="00B40356" w:rsidRPr="00063B6A" w:rsidRDefault="005F4EE9">
      <w:pPr>
        <w:spacing w:after="0" w:line="360" w:lineRule="auto"/>
      </w:pPr>
      <w:r w:rsidRPr="00063B6A">
        <w:t>En ese contexto, este Instituto procedió a verificar los datos clasificados por el Comité de Transparencia y los testados en los recibos de nómina, lo cual se desarrolla en la siguiente tabla:</w:t>
      </w:r>
    </w:p>
    <w:p w:rsidR="00B40356" w:rsidRPr="00063B6A" w:rsidRDefault="00B40356">
      <w:pPr>
        <w:spacing w:after="0" w:line="360" w:lineRule="auto"/>
      </w:pPr>
    </w:p>
    <w:tbl>
      <w:tblPr>
        <w:tblStyle w:val="ab"/>
        <w:tblW w:w="60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3"/>
        <w:gridCol w:w="2127"/>
      </w:tblGrid>
      <w:tr w:rsidR="00B40356" w:rsidRPr="00063B6A">
        <w:trPr>
          <w:jc w:val="center"/>
        </w:trPr>
        <w:tc>
          <w:tcPr>
            <w:tcW w:w="3963" w:type="dxa"/>
            <w:shd w:val="clear" w:color="auto" w:fill="D9D9D9"/>
          </w:tcPr>
          <w:p w:rsidR="00B40356" w:rsidRPr="00063B6A" w:rsidRDefault="005F4EE9">
            <w:pPr>
              <w:spacing w:line="360" w:lineRule="auto"/>
              <w:jc w:val="center"/>
              <w:rPr>
                <w:b/>
                <w:sz w:val="20"/>
                <w:szCs w:val="20"/>
              </w:rPr>
            </w:pPr>
            <w:r w:rsidRPr="00063B6A">
              <w:rPr>
                <w:b/>
                <w:sz w:val="20"/>
                <w:szCs w:val="20"/>
              </w:rPr>
              <w:t>Acta del Comité de Transparencia</w:t>
            </w:r>
          </w:p>
        </w:tc>
        <w:tc>
          <w:tcPr>
            <w:tcW w:w="2127" w:type="dxa"/>
            <w:shd w:val="clear" w:color="auto" w:fill="D9D9D9"/>
          </w:tcPr>
          <w:p w:rsidR="00B40356" w:rsidRPr="00063B6A" w:rsidRDefault="005F4EE9">
            <w:pPr>
              <w:spacing w:line="360" w:lineRule="auto"/>
              <w:jc w:val="center"/>
              <w:rPr>
                <w:b/>
                <w:sz w:val="20"/>
                <w:szCs w:val="20"/>
              </w:rPr>
            </w:pPr>
            <w:r w:rsidRPr="00063B6A">
              <w:rPr>
                <w:b/>
                <w:sz w:val="20"/>
                <w:szCs w:val="20"/>
              </w:rPr>
              <w:t>Recibo de Nómina</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t>Número de trabajador</w:t>
            </w:r>
          </w:p>
        </w:tc>
        <w:tc>
          <w:tcPr>
            <w:tcW w:w="2127" w:type="dxa"/>
          </w:tcPr>
          <w:p w:rsidR="00B40356" w:rsidRPr="00063B6A" w:rsidRDefault="005F4EE9">
            <w:pPr>
              <w:spacing w:line="360" w:lineRule="auto"/>
              <w:jc w:val="center"/>
              <w:rPr>
                <w:sz w:val="20"/>
                <w:szCs w:val="20"/>
              </w:rPr>
            </w:pPr>
            <w:r w:rsidRPr="00063B6A">
              <w:rPr>
                <w:sz w:val="20"/>
                <w:szCs w:val="20"/>
              </w:rPr>
              <w:t>X</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t>Registro Federal de Contribuyentes</w:t>
            </w:r>
          </w:p>
        </w:tc>
        <w:tc>
          <w:tcPr>
            <w:tcW w:w="2127" w:type="dxa"/>
          </w:tcPr>
          <w:p w:rsidR="00B40356" w:rsidRPr="00063B6A" w:rsidRDefault="005F4EE9">
            <w:pPr>
              <w:spacing w:line="360" w:lineRule="auto"/>
              <w:jc w:val="center"/>
              <w:rPr>
                <w:sz w:val="20"/>
                <w:szCs w:val="20"/>
              </w:rPr>
            </w:pPr>
            <w:r w:rsidRPr="00063B6A">
              <w:rPr>
                <w:sz w:val="20"/>
                <w:szCs w:val="20"/>
              </w:rPr>
              <w:t>√</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t>Clave Única de Registro de Población</w:t>
            </w:r>
          </w:p>
        </w:tc>
        <w:tc>
          <w:tcPr>
            <w:tcW w:w="2127" w:type="dxa"/>
          </w:tcPr>
          <w:p w:rsidR="00B40356" w:rsidRPr="00063B6A" w:rsidRDefault="005F4EE9">
            <w:pPr>
              <w:spacing w:line="360" w:lineRule="auto"/>
              <w:jc w:val="center"/>
              <w:rPr>
                <w:sz w:val="20"/>
                <w:szCs w:val="20"/>
              </w:rPr>
            </w:pPr>
            <w:r w:rsidRPr="00063B6A">
              <w:rPr>
                <w:sz w:val="20"/>
                <w:szCs w:val="20"/>
              </w:rPr>
              <w:t>√</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t>Número de Seguridad Social</w:t>
            </w:r>
          </w:p>
        </w:tc>
        <w:tc>
          <w:tcPr>
            <w:tcW w:w="2127" w:type="dxa"/>
          </w:tcPr>
          <w:p w:rsidR="00B40356" w:rsidRPr="00063B6A" w:rsidRDefault="005F4EE9">
            <w:pPr>
              <w:spacing w:line="360" w:lineRule="auto"/>
              <w:jc w:val="center"/>
              <w:rPr>
                <w:sz w:val="20"/>
                <w:szCs w:val="20"/>
              </w:rPr>
            </w:pPr>
            <w:r w:rsidRPr="00063B6A">
              <w:rPr>
                <w:sz w:val="20"/>
                <w:szCs w:val="20"/>
              </w:rPr>
              <w:t>√</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t>Clave SAT</w:t>
            </w:r>
          </w:p>
        </w:tc>
        <w:tc>
          <w:tcPr>
            <w:tcW w:w="2127" w:type="dxa"/>
          </w:tcPr>
          <w:p w:rsidR="00B40356" w:rsidRPr="00063B6A" w:rsidRDefault="005F4EE9">
            <w:pPr>
              <w:spacing w:line="360" w:lineRule="auto"/>
              <w:jc w:val="center"/>
              <w:rPr>
                <w:sz w:val="20"/>
                <w:szCs w:val="20"/>
              </w:rPr>
            </w:pPr>
            <w:r w:rsidRPr="00063B6A">
              <w:rPr>
                <w:sz w:val="20"/>
                <w:szCs w:val="20"/>
              </w:rPr>
              <w:t>√</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t>Deducciones</w:t>
            </w:r>
          </w:p>
        </w:tc>
        <w:tc>
          <w:tcPr>
            <w:tcW w:w="2127" w:type="dxa"/>
          </w:tcPr>
          <w:p w:rsidR="00B40356" w:rsidRPr="00063B6A" w:rsidRDefault="005F4EE9">
            <w:pPr>
              <w:spacing w:line="360" w:lineRule="auto"/>
              <w:jc w:val="center"/>
              <w:rPr>
                <w:sz w:val="20"/>
                <w:szCs w:val="20"/>
              </w:rPr>
            </w:pPr>
            <w:r w:rsidRPr="00063B6A">
              <w:rPr>
                <w:sz w:val="20"/>
                <w:szCs w:val="20"/>
              </w:rPr>
              <w:t>√</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t>Método de pago</w:t>
            </w:r>
          </w:p>
        </w:tc>
        <w:tc>
          <w:tcPr>
            <w:tcW w:w="2127" w:type="dxa"/>
          </w:tcPr>
          <w:p w:rsidR="00B40356" w:rsidRPr="00063B6A" w:rsidRDefault="005F4EE9">
            <w:pPr>
              <w:spacing w:line="360" w:lineRule="auto"/>
              <w:jc w:val="center"/>
              <w:rPr>
                <w:sz w:val="20"/>
                <w:szCs w:val="20"/>
              </w:rPr>
            </w:pPr>
            <w:r w:rsidRPr="00063B6A">
              <w:rPr>
                <w:sz w:val="20"/>
                <w:szCs w:val="20"/>
              </w:rPr>
              <w:t>√</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t>Folio fiscal</w:t>
            </w:r>
          </w:p>
        </w:tc>
        <w:tc>
          <w:tcPr>
            <w:tcW w:w="2127" w:type="dxa"/>
          </w:tcPr>
          <w:p w:rsidR="00B40356" w:rsidRPr="00063B6A" w:rsidRDefault="005F4EE9">
            <w:pPr>
              <w:spacing w:line="360" w:lineRule="auto"/>
              <w:jc w:val="center"/>
              <w:rPr>
                <w:sz w:val="20"/>
                <w:szCs w:val="20"/>
              </w:rPr>
            </w:pPr>
            <w:r w:rsidRPr="00063B6A">
              <w:rPr>
                <w:sz w:val="20"/>
                <w:szCs w:val="20"/>
              </w:rPr>
              <w:t>√</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t>Cuenta bancaria</w:t>
            </w:r>
          </w:p>
        </w:tc>
        <w:tc>
          <w:tcPr>
            <w:tcW w:w="2127" w:type="dxa"/>
          </w:tcPr>
          <w:p w:rsidR="00B40356" w:rsidRPr="00063B6A" w:rsidRDefault="005F4EE9">
            <w:pPr>
              <w:spacing w:line="360" w:lineRule="auto"/>
              <w:jc w:val="center"/>
              <w:rPr>
                <w:sz w:val="20"/>
                <w:szCs w:val="20"/>
              </w:rPr>
            </w:pPr>
            <w:r w:rsidRPr="00063B6A">
              <w:rPr>
                <w:sz w:val="20"/>
                <w:szCs w:val="20"/>
              </w:rPr>
              <w:t>√</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t>Número de Certificado del Emisor</w:t>
            </w:r>
          </w:p>
        </w:tc>
        <w:tc>
          <w:tcPr>
            <w:tcW w:w="2127" w:type="dxa"/>
          </w:tcPr>
          <w:p w:rsidR="00B40356" w:rsidRPr="00063B6A" w:rsidRDefault="005F4EE9">
            <w:pPr>
              <w:spacing w:line="360" w:lineRule="auto"/>
              <w:jc w:val="center"/>
              <w:rPr>
                <w:sz w:val="20"/>
                <w:szCs w:val="20"/>
              </w:rPr>
            </w:pPr>
            <w:r w:rsidRPr="00063B6A">
              <w:rPr>
                <w:sz w:val="20"/>
                <w:szCs w:val="20"/>
              </w:rPr>
              <w:t>√</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t>Numero de Certificado SAT</w:t>
            </w:r>
          </w:p>
        </w:tc>
        <w:tc>
          <w:tcPr>
            <w:tcW w:w="2127" w:type="dxa"/>
          </w:tcPr>
          <w:p w:rsidR="00B40356" w:rsidRPr="00063B6A" w:rsidRDefault="005F4EE9">
            <w:pPr>
              <w:spacing w:line="360" w:lineRule="auto"/>
              <w:jc w:val="center"/>
              <w:rPr>
                <w:sz w:val="20"/>
                <w:szCs w:val="20"/>
              </w:rPr>
            </w:pPr>
            <w:r w:rsidRPr="00063B6A">
              <w:rPr>
                <w:sz w:val="20"/>
                <w:szCs w:val="20"/>
              </w:rPr>
              <w:t>√</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t>Sello Digital del Emisor</w:t>
            </w:r>
          </w:p>
        </w:tc>
        <w:tc>
          <w:tcPr>
            <w:tcW w:w="2127" w:type="dxa"/>
          </w:tcPr>
          <w:p w:rsidR="00B40356" w:rsidRPr="00063B6A" w:rsidRDefault="005F4EE9">
            <w:pPr>
              <w:spacing w:line="360" w:lineRule="auto"/>
              <w:jc w:val="center"/>
              <w:rPr>
                <w:sz w:val="20"/>
                <w:szCs w:val="20"/>
              </w:rPr>
            </w:pPr>
            <w:r w:rsidRPr="00063B6A">
              <w:rPr>
                <w:sz w:val="20"/>
                <w:szCs w:val="20"/>
              </w:rPr>
              <w:t>√</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t>Sello Digital del SAT</w:t>
            </w:r>
          </w:p>
        </w:tc>
        <w:tc>
          <w:tcPr>
            <w:tcW w:w="2127" w:type="dxa"/>
          </w:tcPr>
          <w:p w:rsidR="00B40356" w:rsidRPr="00063B6A" w:rsidRDefault="005F4EE9">
            <w:pPr>
              <w:spacing w:line="360" w:lineRule="auto"/>
              <w:jc w:val="center"/>
              <w:rPr>
                <w:sz w:val="20"/>
                <w:szCs w:val="20"/>
              </w:rPr>
            </w:pPr>
            <w:r w:rsidRPr="00063B6A">
              <w:rPr>
                <w:sz w:val="20"/>
                <w:szCs w:val="20"/>
              </w:rPr>
              <w:t>√</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lastRenderedPageBreak/>
              <w:t>Cadena original del complemento de certificación digital del SAT</w:t>
            </w:r>
          </w:p>
        </w:tc>
        <w:tc>
          <w:tcPr>
            <w:tcW w:w="2127" w:type="dxa"/>
          </w:tcPr>
          <w:p w:rsidR="00B40356" w:rsidRPr="00063B6A" w:rsidRDefault="005F4EE9">
            <w:pPr>
              <w:spacing w:line="360" w:lineRule="auto"/>
              <w:jc w:val="center"/>
              <w:rPr>
                <w:sz w:val="20"/>
                <w:szCs w:val="20"/>
              </w:rPr>
            </w:pPr>
            <w:r w:rsidRPr="00063B6A">
              <w:rPr>
                <w:sz w:val="20"/>
                <w:szCs w:val="20"/>
              </w:rPr>
              <w:t>√</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t>Código QR</w:t>
            </w:r>
          </w:p>
        </w:tc>
        <w:tc>
          <w:tcPr>
            <w:tcW w:w="2127" w:type="dxa"/>
          </w:tcPr>
          <w:p w:rsidR="00B40356" w:rsidRPr="00063B6A" w:rsidRDefault="005F4EE9">
            <w:pPr>
              <w:spacing w:line="360" w:lineRule="auto"/>
              <w:jc w:val="center"/>
              <w:rPr>
                <w:sz w:val="20"/>
                <w:szCs w:val="20"/>
              </w:rPr>
            </w:pPr>
            <w:r w:rsidRPr="00063B6A">
              <w:rPr>
                <w:sz w:val="20"/>
                <w:szCs w:val="20"/>
              </w:rPr>
              <w:t>√</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t>X</w:t>
            </w:r>
          </w:p>
        </w:tc>
        <w:tc>
          <w:tcPr>
            <w:tcW w:w="2127" w:type="dxa"/>
          </w:tcPr>
          <w:p w:rsidR="00B40356" w:rsidRPr="00063B6A" w:rsidRDefault="005F4EE9">
            <w:pPr>
              <w:spacing w:line="360" w:lineRule="auto"/>
              <w:jc w:val="center"/>
              <w:rPr>
                <w:sz w:val="20"/>
                <w:szCs w:val="20"/>
              </w:rPr>
            </w:pPr>
            <w:r w:rsidRPr="00063B6A">
              <w:rPr>
                <w:sz w:val="20"/>
                <w:szCs w:val="20"/>
              </w:rPr>
              <w:t>Tipo de jornada</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t>X</w:t>
            </w:r>
          </w:p>
        </w:tc>
        <w:tc>
          <w:tcPr>
            <w:tcW w:w="2127" w:type="dxa"/>
          </w:tcPr>
          <w:p w:rsidR="00B40356" w:rsidRPr="00063B6A" w:rsidRDefault="005F4EE9">
            <w:pPr>
              <w:spacing w:line="360" w:lineRule="auto"/>
              <w:jc w:val="center"/>
              <w:rPr>
                <w:sz w:val="20"/>
                <w:szCs w:val="20"/>
              </w:rPr>
            </w:pPr>
            <w:r w:rsidRPr="00063B6A">
              <w:rPr>
                <w:sz w:val="20"/>
                <w:szCs w:val="20"/>
              </w:rPr>
              <w:t>Fecha de ingreso</w:t>
            </w:r>
          </w:p>
        </w:tc>
      </w:tr>
      <w:tr w:rsidR="00B40356" w:rsidRPr="00063B6A">
        <w:trPr>
          <w:jc w:val="center"/>
        </w:trPr>
        <w:tc>
          <w:tcPr>
            <w:tcW w:w="3963" w:type="dxa"/>
          </w:tcPr>
          <w:p w:rsidR="00B40356" w:rsidRPr="00063B6A" w:rsidRDefault="005F4EE9">
            <w:pPr>
              <w:spacing w:line="360" w:lineRule="auto"/>
              <w:jc w:val="center"/>
              <w:rPr>
                <w:sz w:val="20"/>
                <w:szCs w:val="20"/>
              </w:rPr>
            </w:pPr>
            <w:r w:rsidRPr="00063B6A">
              <w:rPr>
                <w:sz w:val="20"/>
                <w:szCs w:val="20"/>
              </w:rPr>
              <w:t>X</w:t>
            </w:r>
          </w:p>
        </w:tc>
        <w:tc>
          <w:tcPr>
            <w:tcW w:w="2127" w:type="dxa"/>
          </w:tcPr>
          <w:p w:rsidR="00B40356" w:rsidRPr="00063B6A" w:rsidRDefault="005F4EE9">
            <w:pPr>
              <w:spacing w:line="360" w:lineRule="auto"/>
              <w:jc w:val="center"/>
              <w:rPr>
                <w:sz w:val="20"/>
                <w:szCs w:val="20"/>
              </w:rPr>
            </w:pPr>
            <w:r w:rsidRPr="00063B6A">
              <w:rPr>
                <w:sz w:val="20"/>
                <w:szCs w:val="20"/>
              </w:rPr>
              <w:t>Banco</w:t>
            </w:r>
          </w:p>
        </w:tc>
      </w:tr>
    </w:tbl>
    <w:p w:rsidR="00B40356" w:rsidRPr="00063B6A" w:rsidRDefault="00B40356">
      <w:pPr>
        <w:spacing w:after="0" w:line="360" w:lineRule="auto"/>
      </w:pPr>
    </w:p>
    <w:p w:rsidR="00B40356" w:rsidRPr="00063B6A" w:rsidRDefault="005F4EE9">
      <w:pPr>
        <w:spacing w:after="0" w:line="360" w:lineRule="auto"/>
        <w:rPr>
          <w:color w:val="000000"/>
        </w:rPr>
      </w:pPr>
      <w:r w:rsidRPr="00063B6A">
        <w:t>Conforme a lo anterior, se logra vislumbrar que la Tesorería Municipal clasificó datos no analizados por el Comité de Transparencia y este Órgano Colegiado analizó datos que no obran en el recibo; sobre el tema</w:t>
      </w:r>
      <w:r w:rsidRPr="00063B6A">
        <w:rPr>
          <w:color w:val="0D0D0D"/>
        </w:rPr>
        <w:t xml:space="preserve">, cabe precisar, que conforme al artículo 20 de la Ley de Transparencia y Acceso a la Información Pública del Estado de México y Municipios, </w:t>
      </w:r>
      <w:r w:rsidRPr="00063B6A">
        <w:rPr>
          <w:b/>
          <w:color w:val="0D0D0D"/>
        </w:rPr>
        <w:t>ante la negativa de acceso a la información o su inexistencia, el sujeto obligado deberá demostrar que encuentra en alguna de las excepciones establecidas en la normatividad aplicable.</w:t>
      </w:r>
    </w:p>
    <w:p w:rsidR="00B40356" w:rsidRPr="00063B6A" w:rsidRDefault="00B40356">
      <w:pPr>
        <w:spacing w:after="0" w:line="360" w:lineRule="auto"/>
        <w:rPr>
          <w:color w:val="0D0D0D"/>
        </w:rPr>
      </w:pPr>
    </w:p>
    <w:p w:rsidR="00B40356" w:rsidRPr="00063B6A" w:rsidRDefault="005F4EE9">
      <w:pPr>
        <w:spacing w:after="0" w:line="360" w:lineRule="auto"/>
        <w:rPr>
          <w:color w:val="0D0D0D"/>
        </w:rPr>
      </w:pPr>
      <w:r w:rsidRPr="00063B6A">
        <w:rPr>
          <w:color w:val="0D0D0D"/>
        </w:rPr>
        <w:t xml:space="preserve">En ese sentido, según Trujillo, Humberto (2019), en el “Diccionario de Transparencia y Acceso a la Información Pública” (p. 201), </w:t>
      </w:r>
      <w:r w:rsidRPr="00063B6A">
        <w:rPr>
          <w:b/>
          <w:color w:val="0D0D0D"/>
        </w:rPr>
        <w:t xml:space="preserve">la negativa de acceso a la información </w:t>
      </w:r>
      <w:r w:rsidRPr="00063B6A">
        <w:rPr>
          <w:color w:val="0D0D0D"/>
        </w:rPr>
        <w:t xml:space="preserve">ocurre cuanto de manera fundada y motivada, una autoridad la niega o la limita, por alguna de las siguientes razones: </w:t>
      </w:r>
    </w:p>
    <w:p w:rsidR="00B40356" w:rsidRPr="00063B6A" w:rsidRDefault="00B40356">
      <w:pPr>
        <w:spacing w:after="0" w:line="360" w:lineRule="auto"/>
        <w:rPr>
          <w:color w:val="0D0D0D"/>
        </w:rPr>
      </w:pPr>
    </w:p>
    <w:p w:rsidR="00B40356" w:rsidRPr="00063B6A" w:rsidRDefault="005F4EE9">
      <w:pPr>
        <w:numPr>
          <w:ilvl w:val="0"/>
          <w:numId w:val="7"/>
        </w:numPr>
        <w:spacing w:after="0" w:line="360" w:lineRule="auto"/>
        <w:jc w:val="left"/>
        <w:rPr>
          <w:b/>
          <w:color w:val="0D0D0D"/>
        </w:rPr>
      </w:pPr>
      <w:r w:rsidRPr="00063B6A">
        <w:rPr>
          <w:b/>
          <w:color w:val="0D0D0D"/>
        </w:rPr>
        <w:t xml:space="preserve">La inexistencia de la información (p. 171): </w:t>
      </w:r>
      <w:r w:rsidRPr="00063B6A">
        <w:rPr>
          <w:color w:val="0D0D0D"/>
        </w:rPr>
        <w:t>Sucede cuando la información solicitada no se encuentra en los archivos públicos o clasificados de los entes sujetos a las Leyes de Transparencia.</w:t>
      </w:r>
    </w:p>
    <w:p w:rsidR="00B40356" w:rsidRPr="00063B6A" w:rsidRDefault="00B40356">
      <w:pPr>
        <w:spacing w:after="0" w:line="360" w:lineRule="auto"/>
        <w:ind w:left="720"/>
        <w:rPr>
          <w:b/>
          <w:color w:val="0D0D0D"/>
        </w:rPr>
      </w:pPr>
    </w:p>
    <w:p w:rsidR="00B40356" w:rsidRPr="00063B6A" w:rsidRDefault="005F4EE9">
      <w:pPr>
        <w:numPr>
          <w:ilvl w:val="0"/>
          <w:numId w:val="7"/>
        </w:numPr>
        <w:spacing w:after="0" w:line="360" w:lineRule="auto"/>
        <w:jc w:val="left"/>
        <w:rPr>
          <w:b/>
          <w:color w:val="0D0D0D"/>
        </w:rPr>
      </w:pPr>
      <w:r w:rsidRPr="00063B6A">
        <w:rPr>
          <w:b/>
          <w:color w:val="0D0D0D"/>
        </w:rPr>
        <w:t xml:space="preserve">La incompetencia del Sujeto Obligado (p. 171): </w:t>
      </w:r>
      <w:r w:rsidRPr="00063B6A">
        <w:rPr>
          <w:color w:val="0D0D0D"/>
        </w:rPr>
        <w:t>Ocurre cuando el Sujeto Obligado carece de atribuciones para poseer la información peticionada.</w:t>
      </w:r>
    </w:p>
    <w:p w:rsidR="00B40356" w:rsidRPr="00063B6A" w:rsidRDefault="00B40356">
      <w:pPr>
        <w:spacing w:after="0" w:line="360" w:lineRule="auto"/>
        <w:ind w:left="720"/>
        <w:rPr>
          <w:b/>
          <w:color w:val="0D0D0D"/>
        </w:rPr>
      </w:pPr>
    </w:p>
    <w:p w:rsidR="00B40356" w:rsidRPr="00063B6A" w:rsidRDefault="005F4EE9">
      <w:pPr>
        <w:numPr>
          <w:ilvl w:val="0"/>
          <w:numId w:val="7"/>
        </w:numPr>
        <w:spacing w:after="0" w:line="360" w:lineRule="auto"/>
        <w:jc w:val="left"/>
        <w:rPr>
          <w:b/>
          <w:color w:val="0D0D0D"/>
        </w:rPr>
      </w:pPr>
      <w:r w:rsidRPr="00063B6A">
        <w:rPr>
          <w:b/>
          <w:color w:val="0D0D0D"/>
        </w:rPr>
        <w:lastRenderedPageBreak/>
        <w:t xml:space="preserve">La clasificación de la información (p. 70): </w:t>
      </w:r>
      <w:r w:rsidRPr="00063B6A">
        <w:rPr>
          <w:color w:val="0D0D0D"/>
        </w:rPr>
        <w:t>Es el proceso o conjunto de acciones que realizan los sujetos obligados para establecer que determinada información se encuentra en alguno de los supuestos de reserva o confidencialidad establecidos en la legislación en materia de transparencia.</w:t>
      </w:r>
    </w:p>
    <w:p w:rsidR="00B40356" w:rsidRPr="00063B6A" w:rsidRDefault="00B40356">
      <w:pPr>
        <w:spacing w:after="0" w:line="360" w:lineRule="auto"/>
        <w:rPr>
          <w:color w:val="0D0D0D"/>
        </w:rPr>
      </w:pPr>
    </w:p>
    <w:p w:rsidR="00B40356" w:rsidRPr="00063B6A" w:rsidRDefault="005F4EE9">
      <w:pPr>
        <w:spacing w:after="0" w:line="360" w:lineRule="auto"/>
        <w:rPr>
          <w:b/>
          <w:color w:val="0D0D0D"/>
        </w:rPr>
      </w:pPr>
      <w:r w:rsidRPr="00063B6A">
        <w:rPr>
          <w:color w:val="0D0D0D"/>
        </w:rPr>
        <w:t xml:space="preserve">En ese orden de ideas y en atención a lo anterior, es de señalar que las excepciones al derecho de acceso a la información, consisten en que la documentación sea inexistente, </w:t>
      </w:r>
      <w:r w:rsidRPr="00063B6A">
        <w:rPr>
          <w:b/>
          <w:color w:val="0D0D0D"/>
        </w:rPr>
        <w:t>se encuentre clasificada</w:t>
      </w:r>
      <w:r w:rsidRPr="00063B6A">
        <w:rPr>
          <w:color w:val="0D0D0D"/>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063B6A">
        <w:rPr>
          <w:b/>
          <w:color w:val="0D0D0D"/>
        </w:rPr>
        <w:t>confidenciales o reservados.</w:t>
      </w:r>
    </w:p>
    <w:p w:rsidR="00B40356" w:rsidRPr="00063B6A" w:rsidRDefault="00B40356">
      <w:pPr>
        <w:spacing w:after="0" w:line="360" w:lineRule="auto"/>
        <w:rPr>
          <w:color w:val="0D0D0D"/>
        </w:rPr>
      </w:pPr>
    </w:p>
    <w:p w:rsidR="00B40356" w:rsidRPr="00063B6A" w:rsidRDefault="005F4EE9">
      <w:pPr>
        <w:spacing w:after="0" w:line="360" w:lineRule="auto"/>
        <w:rPr>
          <w:color w:val="0D0D0D"/>
        </w:rPr>
      </w:pPr>
      <w:r w:rsidRPr="00063B6A">
        <w:rPr>
          <w:color w:val="0D0D0D"/>
        </w:rPr>
        <w:t xml:space="preserve">Así, en los artículos 122, 128 y 130 de la Ley Transparencia y Acceso a la Información Pública del Estado de México y Municipios, se prevé que </w:t>
      </w:r>
      <w:r w:rsidRPr="00063B6A">
        <w:rPr>
          <w:b/>
          <w:color w:val="0D0D0D"/>
        </w:rPr>
        <w:t xml:space="preserve">la clasificación </w:t>
      </w:r>
      <w:r w:rsidRPr="00063B6A">
        <w:rPr>
          <w:color w:val="0D0D0D"/>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rsidR="00B40356" w:rsidRPr="00063B6A" w:rsidRDefault="00B40356">
      <w:pPr>
        <w:spacing w:after="0" w:line="360" w:lineRule="auto"/>
        <w:rPr>
          <w:color w:val="0D0D0D"/>
        </w:rPr>
      </w:pPr>
    </w:p>
    <w:p w:rsidR="00B40356" w:rsidRPr="00063B6A" w:rsidRDefault="005F4EE9">
      <w:pPr>
        <w:spacing w:after="0" w:line="360" w:lineRule="auto"/>
        <w:rPr>
          <w:color w:val="000000"/>
        </w:rPr>
      </w:pPr>
      <w:r w:rsidRPr="00063B6A">
        <w:rPr>
          <w:color w:val="000000"/>
        </w:rPr>
        <w:t xml:space="preserve">Por lo cual, en los casos en que se niegue el acceso a la información, por actualizarse alguno de los supuestos de clasificación, </w:t>
      </w:r>
      <w:r w:rsidRPr="00063B6A">
        <w:rPr>
          <w:b/>
          <w:color w:val="000000"/>
        </w:rPr>
        <w:t xml:space="preserve">el Comité de Transparencia deberá confirmar, modificar o revocar la decisión; </w:t>
      </w:r>
      <w:r w:rsidRPr="00063B6A">
        <w:rPr>
          <w:color w:val="000000"/>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00B40356" w:rsidRPr="00063B6A" w:rsidRDefault="00B40356">
      <w:pPr>
        <w:spacing w:after="0" w:line="360" w:lineRule="auto"/>
        <w:rPr>
          <w:color w:val="000000"/>
        </w:rPr>
      </w:pPr>
    </w:p>
    <w:p w:rsidR="00B40356" w:rsidRPr="00063B6A" w:rsidRDefault="005F4EE9">
      <w:pPr>
        <w:spacing w:after="0" w:line="360" w:lineRule="auto"/>
        <w:rPr>
          <w:b/>
          <w:color w:val="000000"/>
        </w:rPr>
      </w:pPr>
      <w:r w:rsidRPr="00063B6A">
        <w:rPr>
          <w:color w:val="000000"/>
        </w:rPr>
        <w:lastRenderedPageBreak/>
        <w:t xml:space="preserve">En ese contexto, de la interpretación del artículo 134 de la Ley de Transparencia y Acceso a la Información Pública del Estado de México y Municipios, se logra observar que </w:t>
      </w:r>
      <w:r w:rsidRPr="00063B6A">
        <w:rPr>
          <w:b/>
          <w:color w:val="000000"/>
        </w:rPr>
        <w:t>la clasificación depende del contenido de los documentos, pues de su análisis se establece si corresponde a una clasificación total o parcial.</w:t>
      </w:r>
    </w:p>
    <w:p w:rsidR="00B40356" w:rsidRPr="00063B6A" w:rsidRDefault="00B40356">
      <w:pPr>
        <w:spacing w:after="0" w:line="360" w:lineRule="auto"/>
        <w:rPr>
          <w:color w:val="000000"/>
        </w:rPr>
      </w:pPr>
    </w:p>
    <w:p w:rsidR="00B40356" w:rsidRPr="00063B6A" w:rsidRDefault="005F4EE9">
      <w:pPr>
        <w:spacing w:after="0" w:line="360" w:lineRule="auto"/>
        <w:rPr>
          <w:b/>
          <w:color w:val="000000"/>
        </w:rPr>
      </w:pPr>
      <w:r w:rsidRPr="00063B6A">
        <w:rPr>
          <w:color w:val="000000"/>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rsidR="00B40356" w:rsidRPr="00063B6A" w:rsidRDefault="00B40356">
      <w:pPr>
        <w:widowControl w:val="0"/>
        <w:spacing w:after="0" w:line="360" w:lineRule="auto"/>
        <w:rPr>
          <w:color w:val="000000"/>
        </w:rPr>
      </w:pPr>
    </w:p>
    <w:p w:rsidR="00B40356" w:rsidRPr="00063B6A" w:rsidRDefault="005F4EE9">
      <w:pPr>
        <w:spacing w:after="0" w:line="360" w:lineRule="auto"/>
        <w:rPr>
          <w:b/>
          <w:color w:val="000000"/>
        </w:rPr>
      </w:pPr>
      <w:r w:rsidRPr="00063B6A">
        <w:rPr>
          <w:color w:val="000000"/>
        </w:rPr>
        <w:t xml:space="preserve">En ese contexto, según </w:t>
      </w:r>
      <w:proofErr w:type="spellStart"/>
      <w:r w:rsidRPr="00063B6A">
        <w:rPr>
          <w:color w:val="000000"/>
        </w:rPr>
        <w:t>Bonifaz</w:t>
      </w:r>
      <w:proofErr w:type="spellEnd"/>
      <w:r w:rsidRPr="00063B6A">
        <w:rPr>
          <w:color w:val="000000"/>
        </w:rPr>
        <w:t xml:space="preserve">, Leticia (2016), en la “Ley General de Transparencia y Acceso a la Información Pública Comentada” (p. 342), la </w:t>
      </w:r>
      <w:r w:rsidRPr="00063B6A">
        <w:rPr>
          <w:b/>
          <w:color w:val="000000"/>
        </w:rPr>
        <w:t>clasificación de la información</w:t>
      </w:r>
      <w:r w:rsidRPr="00063B6A">
        <w:rPr>
          <w:color w:val="000000"/>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063B6A">
        <w:rPr>
          <w:b/>
          <w:color w:val="000000"/>
        </w:rPr>
        <w:t>de manera adecuada la negativa de información.</w:t>
      </w:r>
    </w:p>
    <w:p w:rsidR="00B40356" w:rsidRPr="00063B6A" w:rsidRDefault="00B40356">
      <w:pPr>
        <w:spacing w:after="0" w:line="360" w:lineRule="auto"/>
        <w:rPr>
          <w:color w:val="000000"/>
        </w:rPr>
      </w:pPr>
    </w:p>
    <w:p w:rsidR="00B40356" w:rsidRPr="00063B6A" w:rsidRDefault="005F4EE9">
      <w:pPr>
        <w:spacing w:after="0" w:line="360" w:lineRule="auto"/>
        <w:rPr>
          <w:b/>
          <w:color w:val="000000"/>
        </w:rPr>
      </w:pPr>
      <w:r w:rsidRPr="00063B6A">
        <w:rPr>
          <w:color w:val="000000"/>
        </w:rPr>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063B6A">
        <w:rPr>
          <w:b/>
          <w:color w:val="000000"/>
        </w:rPr>
        <w:t>análisis caso por caso.</w:t>
      </w:r>
    </w:p>
    <w:p w:rsidR="00B40356" w:rsidRPr="00063B6A" w:rsidRDefault="00B40356">
      <w:pPr>
        <w:spacing w:after="0" w:line="360" w:lineRule="auto"/>
        <w:rPr>
          <w:b/>
          <w:color w:val="000000"/>
        </w:rPr>
      </w:pPr>
    </w:p>
    <w:p w:rsidR="00B40356" w:rsidRPr="00063B6A" w:rsidRDefault="005F4EE9">
      <w:pPr>
        <w:spacing w:after="0" w:line="360" w:lineRule="auto"/>
        <w:rPr>
          <w:color w:val="000000"/>
        </w:rPr>
      </w:pPr>
      <w:r w:rsidRPr="00063B6A">
        <w:rPr>
          <w:color w:val="000000"/>
        </w:rPr>
        <w:lastRenderedPageBreak/>
        <w:t xml:space="preserve">Sobre lo anterior, el artículo 131 de la Ley referida, así como el Quinto de los Lineamientos Generales, establecen que los sujetos obligados </w:t>
      </w:r>
      <w:r w:rsidRPr="00063B6A">
        <w:rPr>
          <w:b/>
          <w:color w:val="000000"/>
        </w:rPr>
        <w:t>deberán fundar y motivar</w:t>
      </w:r>
      <w:r w:rsidRPr="00063B6A">
        <w:rPr>
          <w:color w:val="000000"/>
        </w:rPr>
        <w:t xml:space="preserve"> debidamente la clasificación de la información.</w:t>
      </w:r>
    </w:p>
    <w:p w:rsidR="00B40356" w:rsidRPr="00063B6A" w:rsidRDefault="00B40356">
      <w:pPr>
        <w:spacing w:after="0" w:line="360" w:lineRule="auto"/>
        <w:rPr>
          <w:b/>
          <w:color w:val="000000"/>
        </w:rPr>
      </w:pPr>
    </w:p>
    <w:p w:rsidR="00B40356" w:rsidRPr="00063B6A" w:rsidRDefault="005F4EE9">
      <w:pPr>
        <w:spacing w:after="0" w:line="360" w:lineRule="auto"/>
        <w:rPr>
          <w:color w:val="000000"/>
        </w:rPr>
      </w:pPr>
      <w:r w:rsidRPr="00063B6A">
        <w:rPr>
          <w:color w:val="000000"/>
        </w:rPr>
        <w:t>Al respecto, el Octavo de los Lineamientos Generales, precisa lo siguiente:</w:t>
      </w:r>
    </w:p>
    <w:p w:rsidR="00B40356" w:rsidRPr="00063B6A" w:rsidRDefault="00B40356">
      <w:pPr>
        <w:spacing w:after="0" w:line="360" w:lineRule="auto"/>
        <w:rPr>
          <w:color w:val="000000"/>
        </w:rPr>
      </w:pPr>
    </w:p>
    <w:p w:rsidR="00B40356" w:rsidRPr="00063B6A" w:rsidRDefault="005F4EE9">
      <w:pPr>
        <w:numPr>
          <w:ilvl w:val="0"/>
          <w:numId w:val="8"/>
        </w:numPr>
        <w:spacing w:after="0" w:line="360" w:lineRule="auto"/>
        <w:rPr>
          <w:color w:val="000000"/>
          <w:u w:val="single"/>
        </w:rPr>
      </w:pPr>
      <w:r w:rsidRPr="00063B6A">
        <w:rPr>
          <w:b/>
          <w:color w:val="000000"/>
        </w:rPr>
        <w:t>Para fundar la clasificación</w:t>
      </w:r>
      <w:r w:rsidRPr="00063B6A">
        <w:rPr>
          <w:color w:val="000000"/>
        </w:rPr>
        <w:t xml:space="preserve"> de la información se deberán </w:t>
      </w:r>
      <w:r w:rsidRPr="00063B6A">
        <w:rPr>
          <w:color w:val="000000"/>
          <w:u w:val="single"/>
        </w:rPr>
        <w:t>señalar el artículo, fracción, inciso, párrafo o numeral de la Ley aplicable;</w:t>
      </w:r>
    </w:p>
    <w:p w:rsidR="00B40356" w:rsidRPr="00063B6A" w:rsidRDefault="00B40356">
      <w:pPr>
        <w:spacing w:after="0" w:line="360" w:lineRule="auto"/>
        <w:rPr>
          <w:color w:val="000000"/>
        </w:rPr>
      </w:pPr>
    </w:p>
    <w:p w:rsidR="00B40356" w:rsidRPr="00063B6A" w:rsidRDefault="005F4EE9">
      <w:pPr>
        <w:numPr>
          <w:ilvl w:val="0"/>
          <w:numId w:val="8"/>
        </w:numPr>
        <w:spacing w:after="0" w:line="360" w:lineRule="auto"/>
        <w:rPr>
          <w:color w:val="000000"/>
        </w:rPr>
      </w:pPr>
      <w:r w:rsidRPr="00063B6A">
        <w:rPr>
          <w:b/>
          <w:color w:val="000000"/>
        </w:rPr>
        <w:t>Para motivar la clasificación</w:t>
      </w:r>
      <w:r w:rsidRPr="00063B6A">
        <w:rPr>
          <w:color w:val="000000"/>
        </w:rPr>
        <w:t xml:space="preserve"> se deberán </w:t>
      </w:r>
      <w:r w:rsidRPr="00063B6A">
        <w:rPr>
          <w:color w:val="000000"/>
          <w:u w:val="single"/>
        </w:rPr>
        <w:t>indicar las razones y circunstancias</w:t>
      </w:r>
      <w:r w:rsidRPr="00063B6A">
        <w:rPr>
          <w:color w:val="000000"/>
        </w:rPr>
        <w:t xml:space="preserve"> especiales que lo llevaron a concluir que el caso particular se ajusta al supuesto previsto por la norma legal invocada.</w:t>
      </w:r>
    </w:p>
    <w:p w:rsidR="00B40356" w:rsidRPr="00063B6A" w:rsidRDefault="00B40356">
      <w:pPr>
        <w:spacing w:after="0" w:line="360" w:lineRule="auto"/>
        <w:ind w:left="720"/>
        <w:rPr>
          <w:color w:val="000000"/>
        </w:rPr>
      </w:pPr>
    </w:p>
    <w:p w:rsidR="00B40356" w:rsidRPr="00063B6A" w:rsidRDefault="005F4EE9">
      <w:pPr>
        <w:spacing w:after="0" w:line="360" w:lineRule="auto"/>
        <w:rPr>
          <w:color w:val="000000"/>
        </w:rPr>
      </w:pPr>
      <w:r w:rsidRPr="00063B6A">
        <w:rPr>
          <w:color w:val="000000"/>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rsidR="00B40356" w:rsidRPr="00063B6A" w:rsidRDefault="00B40356">
      <w:pPr>
        <w:spacing w:after="0" w:line="360" w:lineRule="auto"/>
        <w:rPr>
          <w:color w:val="000000"/>
        </w:rPr>
      </w:pPr>
    </w:p>
    <w:p w:rsidR="00B40356" w:rsidRPr="00063B6A" w:rsidRDefault="005F4EE9">
      <w:pPr>
        <w:spacing w:after="0" w:line="360" w:lineRule="auto"/>
        <w:ind w:left="567" w:right="567"/>
        <w:rPr>
          <w:i/>
          <w:color w:val="000000"/>
          <w:sz w:val="20"/>
          <w:szCs w:val="20"/>
        </w:rPr>
      </w:pPr>
      <w:r w:rsidRPr="00063B6A">
        <w:rPr>
          <w:b/>
          <w:i/>
          <w:color w:val="000000"/>
          <w:sz w:val="20"/>
          <w:szCs w:val="20"/>
        </w:rPr>
        <w:t xml:space="preserve">“FUNDAMENTACION Y MOTIVACION, CONCEPTO DE. </w:t>
      </w:r>
      <w:r w:rsidRPr="00063B6A">
        <w:rPr>
          <w:i/>
          <w:color w:val="000000"/>
          <w:sz w:val="20"/>
          <w:szCs w:val="20"/>
        </w:rPr>
        <w:t xml:space="preserve">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w:t>
      </w:r>
      <w:r w:rsidRPr="00063B6A">
        <w:rPr>
          <w:i/>
          <w:color w:val="000000"/>
          <w:sz w:val="20"/>
          <w:szCs w:val="20"/>
        </w:rPr>
        <w:lastRenderedPageBreak/>
        <w:t>determinación adoptada; y por lo segundo, que exprese una serie de razonamientos lógico-jurídicos sobre el por qué consideró que el caso concreto se ajusta a la hipótesis normativa.”</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Conforme a lo anterior, se advierte lo siguiente:</w:t>
      </w:r>
    </w:p>
    <w:p w:rsidR="00B40356" w:rsidRPr="00063B6A" w:rsidRDefault="00B40356">
      <w:pPr>
        <w:spacing w:after="0" w:line="360" w:lineRule="auto"/>
        <w:rPr>
          <w:color w:val="000000"/>
        </w:rPr>
      </w:pPr>
    </w:p>
    <w:p w:rsidR="00B40356" w:rsidRPr="00063B6A" w:rsidRDefault="005F4EE9">
      <w:pPr>
        <w:numPr>
          <w:ilvl w:val="0"/>
          <w:numId w:val="9"/>
        </w:numPr>
        <w:spacing w:after="0" w:line="360" w:lineRule="auto"/>
        <w:jc w:val="left"/>
        <w:rPr>
          <w:b/>
          <w:color w:val="000000"/>
        </w:rPr>
      </w:pPr>
      <w:r w:rsidRPr="00063B6A">
        <w:rPr>
          <w:b/>
          <w:color w:val="000000"/>
        </w:rPr>
        <w:t xml:space="preserve">Fundamentación: </w:t>
      </w:r>
      <w:r w:rsidRPr="00063B6A">
        <w:rPr>
          <w:color w:val="000000"/>
        </w:rPr>
        <w:t>Obligación de la autoridad que emite un acto, para citar los preceptos legales, sustantivos y adjetivos, en que se apoye para la determinación tomada.</w:t>
      </w:r>
    </w:p>
    <w:p w:rsidR="00B40356" w:rsidRPr="00063B6A" w:rsidRDefault="005F4EE9">
      <w:pPr>
        <w:numPr>
          <w:ilvl w:val="0"/>
          <w:numId w:val="9"/>
        </w:numPr>
        <w:spacing w:after="0" w:line="360" w:lineRule="auto"/>
        <w:jc w:val="left"/>
        <w:rPr>
          <w:b/>
          <w:color w:val="000000"/>
        </w:rPr>
      </w:pPr>
      <w:r w:rsidRPr="00063B6A">
        <w:rPr>
          <w:b/>
          <w:color w:val="000000"/>
        </w:rPr>
        <w:t xml:space="preserve">Motivación: </w:t>
      </w:r>
      <w:r w:rsidRPr="00063B6A">
        <w:rPr>
          <w:color w:val="000000"/>
        </w:rPr>
        <w:t>Razonamientos lógico-jurídicos sobre porque se consideró en el caso en concreto, que se ajusta a la hipótesis normativa.</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 por lo que, se procede analizar si los datos mencionados son clasificados o públicos.</w:t>
      </w:r>
    </w:p>
    <w:p w:rsidR="00B40356" w:rsidRPr="00063B6A" w:rsidRDefault="00B40356">
      <w:pPr>
        <w:spacing w:after="0" w:line="360" w:lineRule="auto"/>
        <w:rPr>
          <w:color w:val="000000"/>
        </w:rPr>
      </w:pPr>
    </w:p>
    <w:p w:rsidR="00B40356" w:rsidRPr="00063B6A" w:rsidRDefault="005F4EE9">
      <w:pPr>
        <w:spacing w:after="0" w:line="360" w:lineRule="auto"/>
        <w:ind w:right="-28"/>
        <w:rPr>
          <w:color w:val="000000"/>
        </w:rPr>
      </w:pPr>
      <w:r w:rsidRPr="00063B6A">
        <w:rPr>
          <w:color w:val="000000"/>
        </w:rPr>
        <w:t>Sobre el tema, el artículo 143, fracción I, de la Ley de Transparencia y Acceso a la Información Pública, establece que la información privada y los datos personales, concernientes a una persona física o jurídica colectiva identificada o identificable son confidenciales.</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w:t>
      </w:r>
      <w:r w:rsidRPr="00063B6A">
        <w:rPr>
          <w:color w:val="000000"/>
        </w:rPr>
        <w:lastRenderedPageBreak/>
        <w:t>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En términos de lo expuesto, la documentación y aquellos datos que se consideren confidenciales, serán una limitante del derecho de acceso a la información, siempre y cuando:</w:t>
      </w:r>
    </w:p>
    <w:p w:rsidR="00B40356" w:rsidRPr="00063B6A" w:rsidRDefault="00B40356">
      <w:pPr>
        <w:spacing w:after="0" w:line="360" w:lineRule="auto"/>
        <w:rPr>
          <w:color w:val="000000"/>
        </w:rPr>
      </w:pPr>
    </w:p>
    <w:p w:rsidR="00B40356" w:rsidRPr="00063B6A" w:rsidRDefault="005F4EE9">
      <w:pPr>
        <w:numPr>
          <w:ilvl w:val="0"/>
          <w:numId w:val="6"/>
        </w:numPr>
        <w:spacing w:after="0" w:line="360" w:lineRule="auto"/>
        <w:rPr>
          <w:color w:val="000000"/>
        </w:rPr>
      </w:pPr>
      <w:r w:rsidRPr="00063B6A">
        <w:rPr>
          <w:color w:val="000000"/>
        </w:rPr>
        <w:t xml:space="preserve">Se trate de datos personales o información privada; esto es, información concerniente a una persona física o jurídico colectiva y que esta sea identificada o identificable. </w:t>
      </w:r>
    </w:p>
    <w:p w:rsidR="00B40356" w:rsidRPr="00063B6A" w:rsidRDefault="005F4EE9">
      <w:pPr>
        <w:numPr>
          <w:ilvl w:val="0"/>
          <w:numId w:val="6"/>
        </w:numPr>
        <w:spacing w:after="0" w:line="360" w:lineRule="auto"/>
        <w:rPr>
          <w:color w:val="000000"/>
        </w:rPr>
      </w:pPr>
      <w:r w:rsidRPr="00063B6A">
        <w:rPr>
          <w:color w:val="000000"/>
        </w:rPr>
        <w:t xml:space="preserve">Para la difusión de los datos, se requiera el consentimiento del titular. </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Además, en el artículo 5° de dicho ordenamiento jurídico, establece que es la Ley aplicable para todo tratamiento de datos personales.</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 xml:space="preserve">En ese orden de ideas, los artículos 6°, 7°, 8° y 14 de la Ley de Protección de Datos Personales en Posesión de Sujetos Obligados del Estado de México y Municipios disponen que los </w:t>
      </w:r>
      <w:r w:rsidRPr="00063B6A">
        <w:rPr>
          <w:color w:val="000000"/>
        </w:rPr>
        <w:lastRenderedPageBreak/>
        <w:t>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rsidR="00B40356" w:rsidRPr="00063B6A" w:rsidRDefault="00B40356">
      <w:pPr>
        <w:spacing w:after="0" w:line="360" w:lineRule="auto"/>
        <w:ind w:right="-28"/>
        <w:rPr>
          <w:color w:val="000000"/>
        </w:rPr>
      </w:pPr>
    </w:p>
    <w:p w:rsidR="00B40356" w:rsidRPr="00063B6A" w:rsidRDefault="005F4EE9">
      <w:pPr>
        <w:numPr>
          <w:ilvl w:val="0"/>
          <w:numId w:val="1"/>
        </w:numPr>
        <w:spacing w:after="0" w:line="360" w:lineRule="auto"/>
        <w:rPr>
          <w:b/>
          <w:color w:val="000000"/>
        </w:rPr>
      </w:pPr>
      <w:r w:rsidRPr="00063B6A">
        <w:rPr>
          <w:b/>
          <w:color w:val="000000"/>
        </w:rPr>
        <w:t>Número de trabajador</w:t>
      </w:r>
    </w:p>
    <w:p w:rsidR="00B40356" w:rsidRPr="00063B6A" w:rsidRDefault="00B40356">
      <w:pPr>
        <w:spacing w:after="0" w:line="360" w:lineRule="auto"/>
        <w:rPr>
          <w:b/>
          <w:color w:val="000000"/>
        </w:rPr>
      </w:pPr>
    </w:p>
    <w:p w:rsidR="00B40356" w:rsidRPr="00063B6A" w:rsidRDefault="005F4EE9">
      <w:pPr>
        <w:spacing w:after="0" w:line="360" w:lineRule="auto"/>
      </w:pPr>
      <w:r w:rsidRPr="00063B6A">
        <w:t>En relación, con el número de empleado, clave de trabajo de los servidores públicos o su equivalente, independencia del nombre que reciba, constituye un instrumento de control interno que permite a las dependencias y entidades identificar a sus trabajadores y a estos les facilita la realización de gestiones en su carácter de empleado.</w:t>
      </w:r>
    </w:p>
    <w:p w:rsidR="00B40356" w:rsidRPr="00063B6A" w:rsidRDefault="00B40356">
      <w:pPr>
        <w:spacing w:after="0" w:line="360" w:lineRule="auto"/>
      </w:pPr>
    </w:p>
    <w:p w:rsidR="00B40356" w:rsidRPr="00063B6A" w:rsidRDefault="005F4EE9">
      <w:pPr>
        <w:spacing w:after="0" w:line="360" w:lineRule="auto"/>
      </w:pPr>
      <w:r w:rsidRPr="00063B6A">
        <w:t>En ese sentido, cuando el número de empleado se integre o de acceso a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00B40356" w:rsidRPr="00063B6A" w:rsidRDefault="00B40356">
      <w:pPr>
        <w:spacing w:after="0" w:line="360" w:lineRule="auto"/>
      </w:pPr>
    </w:p>
    <w:p w:rsidR="00B40356" w:rsidRPr="00063B6A" w:rsidRDefault="005F4EE9">
      <w:pPr>
        <w:spacing w:after="0" w:line="360" w:lineRule="auto"/>
      </w:pPr>
      <w:r w:rsidRPr="00063B6A">
        <w:lastRenderedPageBreak/>
        <w:t>Lo anterior, toma sustento en el Criterio Orientador, de la Segunda Época, con número de registro SO/006/2019, emitido por el entonces Instituto Nacional de Transparencia, Acceso a la Información y Protección de Datos Personales, el cual se encontraba vigente a la fecha de la solicitud y que establece lo siguiente:</w:t>
      </w:r>
    </w:p>
    <w:p w:rsidR="00B40356" w:rsidRPr="00063B6A" w:rsidRDefault="00B40356">
      <w:pPr>
        <w:spacing w:after="0" w:line="360" w:lineRule="auto"/>
      </w:pPr>
    </w:p>
    <w:p w:rsidR="00B40356" w:rsidRPr="00063B6A" w:rsidRDefault="005F4EE9">
      <w:pPr>
        <w:spacing w:after="0" w:line="360" w:lineRule="auto"/>
        <w:ind w:left="567" w:right="567" w:firstLine="32"/>
        <w:rPr>
          <w:i/>
          <w:color w:val="000000"/>
          <w:sz w:val="20"/>
          <w:szCs w:val="20"/>
        </w:rPr>
      </w:pPr>
      <w:r w:rsidRPr="00063B6A">
        <w:rPr>
          <w:b/>
          <w:i/>
          <w:color w:val="000000"/>
          <w:sz w:val="20"/>
          <w:szCs w:val="20"/>
        </w:rPr>
        <w:t xml:space="preserve">“Número de empleado. </w:t>
      </w:r>
      <w:r w:rsidRPr="00063B6A">
        <w:rPr>
          <w:i/>
          <w:color w:val="000000"/>
          <w:sz w:val="20"/>
          <w:szCs w:val="20"/>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B40356" w:rsidRPr="00063B6A" w:rsidRDefault="00B40356">
      <w:pPr>
        <w:spacing w:after="0" w:line="360" w:lineRule="auto"/>
        <w:rPr>
          <w:color w:val="FF0000"/>
        </w:rPr>
      </w:pPr>
    </w:p>
    <w:p w:rsidR="00B40356" w:rsidRPr="00063B6A" w:rsidRDefault="005F4EE9">
      <w:pPr>
        <w:spacing w:after="0" w:line="360" w:lineRule="auto"/>
      </w:pPr>
      <w:r w:rsidRPr="00063B6A">
        <w:t>Así, se colige que solamente procederá la clasificación del número de empleado, cuando se integre con datos personales de los servidores públicos o funcione como clave de acceso que no requiera una contraseña para ingresar a sistemas o bases de datos.</w:t>
      </w:r>
    </w:p>
    <w:p w:rsidR="00B40356" w:rsidRPr="00063B6A" w:rsidRDefault="00B40356">
      <w:pPr>
        <w:spacing w:after="0" w:line="360" w:lineRule="auto"/>
      </w:pPr>
    </w:p>
    <w:p w:rsidR="00B40356" w:rsidRPr="00063B6A" w:rsidRDefault="005F4EE9">
      <w:pPr>
        <w:spacing w:after="0" w:line="360" w:lineRule="auto"/>
      </w:pPr>
      <w:r w:rsidRPr="00063B6A">
        <w:t>En ese orden de ideas, en primer término, de la revisión del número de empleado localizado en el recibo de nómina, únicamente se conforma de una serie de números, que no guardan relación con el servidor público, por lo que, no se integra de datos personales, además que el Comité de Transparencia no refirió que el dato diera acceso a un sistema de datos.</w:t>
      </w:r>
    </w:p>
    <w:p w:rsidR="00B40356" w:rsidRPr="00063B6A" w:rsidRDefault="00B40356">
      <w:pPr>
        <w:spacing w:after="0" w:line="360" w:lineRule="auto"/>
      </w:pPr>
    </w:p>
    <w:p w:rsidR="00B40356" w:rsidRPr="00063B6A" w:rsidRDefault="005F4EE9">
      <w:pPr>
        <w:spacing w:after="0" w:line="360" w:lineRule="auto"/>
        <w:rPr>
          <w:b/>
          <w:color w:val="000000"/>
        </w:rPr>
      </w:pPr>
      <w:r w:rsidRPr="00063B6A">
        <w:t>Conforme a lo anterior, se logra vislumbrar que, en el presente caso, el número de empleado no se conforma de datos personales, ni da acceso a estos, por lo que, no procede su clasificación en términos del artículo 143, fracción I, de la Ley de Transparencia y Acceso a la Información Pública del Estado de México y Municipios.</w:t>
      </w:r>
    </w:p>
    <w:p w:rsidR="00B40356" w:rsidRPr="00063B6A" w:rsidRDefault="00B40356">
      <w:pPr>
        <w:spacing w:after="0" w:line="360" w:lineRule="auto"/>
        <w:rPr>
          <w:b/>
          <w:color w:val="000000"/>
        </w:rPr>
      </w:pPr>
    </w:p>
    <w:p w:rsidR="00B40356" w:rsidRPr="00063B6A" w:rsidRDefault="005F4EE9">
      <w:pPr>
        <w:numPr>
          <w:ilvl w:val="0"/>
          <w:numId w:val="1"/>
        </w:numPr>
        <w:spacing w:after="0" w:line="360" w:lineRule="auto"/>
        <w:rPr>
          <w:b/>
          <w:color w:val="000000"/>
        </w:rPr>
      </w:pPr>
      <w:r w:rsidRPr="00063B6A">
        <w:rPr>
          <w:b/>
          <w:color w:val="000000"/>
        </w:rPr>
        <w:t>Clave Única de Registro de Población (CURP)</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lastRenderedPageBreak/>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 xml:space="preserve">En ese orden de ideas, la Secretaría de Gobernación en las direcciones </w:t>
      </w:r>
      <w:hyperlink r:id="rId11">
        <w:r w:rsidRPr="00063B6A">
          <w:rPr>
            <w:color w:val="0563C1"/>
            <w:u w:val="single"/>
          </w:rPr>
          <w:t>https://consultas.curp.gob.mx/CurpSP/html/informacionecurpPS.html</w:t>
        </w:r>
      </w:hyperlink>
      <w:r w:rsidRPr="00063B6A">
        <w:rPr>
          <w:color w:val="000000"/>
        </w:rPr>
        <w:t xml:space="preserve"> y </w:t>
      </w:r>
      <w:hyperlink r:id="rId12">
        <w:r w:rsidRPr="00063B6A">
          <w:rPr>
            <w:color w:val="0563C1"/>
            <w:u w:val="single"/>
          </w:rPr>
          <w:t>https://www.gob.mx/segob/renapo/acciones-y-programas/clave-unica-de-registro-de-poblacion-curp-142226</w:t>
        </w:r>
      </w:hyperlink>
      <w:r w:rsidRPr="00063B6A">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063B6A">
        <w:rPr>
          <w:b/>
          <w:color w:val="000000"/>
        </w:rPr>
        <w:t>se generan a partir de los datos contenidos en el documento probatorio de la identidad</w:t>
      </w:r>
      <w:r w:rsidRPr="00063B6A">
        <w:rPr>
          <w:color w:val="000000"/>
        </w:rPr>
        <w:t xml:space="preserve"> </w:t>
      </w:r>
      <w:r w:rsidRPr="00063B6A">
        <w:rPr>
          <w:b/>
          <w:color w:val="000000"/>
        </w:rPr>
        <w:t xml:space="preserve">del interesado </w:t>
      </w:r>
      <w:r w:rsidRPr="00063B6A">
        <w:rPr>
          <w:color w:val="000000"/>
        </w:rPr>
        <w:t>(acta de nacimiento, carta de naturalización o documento migratorio) de la siguiente forma:</w:t>
      </w:r>
    </w:p>
    <w:p w:rsidR="00B40356" w:rsidRPr="00063B6A" w:rsidRDefault="00B40356">
      <w:pPr>
        <w:spacing w:after="0" w:line="360" w:lineRule="auto"/>
        <w:rPr>
          <w:color w:val="000000"/>
        </w:rPr>
      </w:pPr>
    </w:p>
    <w:p w:rsidR="00B40356" w:rsidRPr="00063B6A" w:rsidRDefault="005F4EE9">
      <w:pPr>
        <w:numPr>
          <w:ilvl w:val="0"/>
          <w:numId w:val="2"/>
        </w:numPr>
        <w:spacing w:after="0" w:line="360" w:lineRule="auto"/>
        <w:rPr>
          <w:color w:val="000000"/>
        </w:rPr>
      </w:pPr>
      <w:r w:rsidRPr="00063B6A">
        <w:rPr>
          <w:color w:val="000000"/>
        </w:rPr>
        <w:t>El primero y segundo apellidos, así como al nombre de pila;</w:t>
      </w:r>
    </w:p>
    <w:p w:rsidR="00B40356" w:rsidRPr="00063B6A" w:rsidRDefault="005F4EE9">
      <w:pPr>
        <w:numPr>
          <w:ilvl w:val="0"/>
          <w:numId w:val="2"/>
        </w:numPr>
        <w:spacing w:after="0" w:line="360" w:lineRule="auto"/>
        <w:rPr>
          <w:color w:val="000000"/>
        </w:rPr>
      </w:pPr>
      <w:r w:rsidRPr="00063B6A">
        <w:rPr>
          <w:color w:val="000000"/>
        </w:rPr>
        <w:t>La fecha de nacimiento;</w:t>
      </w:r>
    </w:p>
    <w:p w:rsidR="00B40356" w:rsidRPr="00063B6A" w:rsidRDefault="005F4EE9">
      <w:pPr>
        <w:numPr>
          <w:ilvl w:val="0"/>
          <w:numId w:val="2"/>
        </w:numPr>
        <w:spacing w:after="0" w:line="360" w:lineRule="auto"/>
        <w:rPr>
          <w:color w:val="000000"/>
        </w:rPr>
      </w:pPr>
      <w:r w:rsidRPr="00063B6A">
        <w:rPr>
          <w:color w:val="000000"/>
        </w:rPr>
        <w:t>El sexo, y</w:t>
      </w:r>
    </w:p>
    <w:p w:rsidR="00B40356" w:rsidRPr="00063B6A" w:rsidRDefault="005F4EE9">
      <w:pPr>
        <w:numPr>
          <w:ilvl w:val="0"/>
          <w:numId w:val="2"/>
        </w:numPr>
        <w:spacing w:after="0" w:line="360" w:lineRule="auto"/>
        <w:rPr>
          <w:color w:val="000000"/>
        </w:rPr>
      </w:pPr>
      <w:r w:rsidRPr="00063B6A">
        <w:rPr>
          <w:color w:val="000000"/>
        </w:rPr>
        <w:lastRenderedPageBreak/>
        <w:t>La entidad federativa de nacimiento.</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Los dos últimos elementos de la Clave Única de Registro de Población evitan la duplicidad de la Clave y garantizan su correcta integración.</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rsidR="00B40356" w:rsidRPr="00063B6A" w:rsidRDefault="00B40356">
      <w:pPr>
        <w:spacing w:after="0" w:line="360" w:lineRule="auto"/>
        <w:ind w:left="567" w:right="567"/>
        <w:rPr>
          <w:color w:val="000000"/>
          <w:sz w:val="20"/>
          <w:szCs w:val="20"/>
        </w:rPr>
      </w:pPr>
    </w:p>
    <w:p w:rsidR="00B40356" w:rsidRPr="00063B6A" w:rsidRDefault="005F4EE9">
      <w:pPr>
        <w:spacing w:after="0" w:line="360" w:lineRule="auto"/>
        <w:ind w:left="567" w:right="567"/>
        <w:rPr>
          <w:i/>
          <w:color w:val="000000"/>
          <w:sz w:val="20"/>
          <w:szCs w:val="20"/>
        </w:rPr>
      </w:pPr>
      <w:r w:rsidRPr="00063B6A">
        <w:rPr>
          <w:b/>
          <w:i/>
          <w:color w:val="000000"/>
          <w:sz w:val="20"/>
          <w:szCs w:val="20"/>
        </w:rPr>
        <w:t xml:space="preserve">“Clave Única de Registro de Población (CURP). </w:t>
      </w:r>
      <w:r w:rsidRPr="00063B6A">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rsidR="00B40356" w:rsidRPr="00063B6A" w:rsidRDefault="005F4EE9">
      <w:pPr>
        <w:numPr>
          <w:ilvl w:val="0"/>
          <w:numId w:val="1"/>
        </w:numPr>
        <w:spacing w:after="0" w:line="360" w:lineRule="auto"/>
        <w:rPr>
          <w:b/>
          <w:color w:val="000000"/>
        </w:rPr>
      </w:pPr>
      <w:r w:rsidRPr="00063B6A">
        <w:rPr>
          <w:b/>
          <w:color w:val="000000"/>
        </w:rPr>
        <w:lastRenderedPageBreak/>
        <w:t>Registro Federal de Contribuyentes (RFC)</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 xml:space="preserve">De acuerdo a lo establecido en el artículo en comento, esta clave se compone de trece caracteres alfanuméricos, con datos obtenidos de los apellidos, nombre(s), fecha de nacimiento del titular, más una </w:t>
      </w:r>
      <w:proofErr w:type="spellStart"/>
      <w:r w:rsidRPr="00063B6A">
        <w:rPr>
          <w:color w:val="000000"/>
        </w:rPr>
        <w:t>homoclave</w:t>
      </w:r>
      <w:proofErr w:type="spellEnd"/>
      <w:r w:rsidRPr="00063B6A">
        <w:rPr>
          <w:color w:val="000000"/>
        </w:rPr>
        <w:t xml:space="preserve"> que establece el sistema automático del Servicio de Administración Tributaria.</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B40356" w:rsidRPr="00063B6A" w:rsidRDefault="005F4EE9">
      <w:pPr>
        <w:spacing w:after="0" w:line="360" w:lineRule="auto"/>
        <w:rPr>
          <w:color w:val="000000"/>
        </w:rPr>
      </w:pPr>
      <w:r w:rsidRPr="00063B6A">
        <w:rPr>
          <w:color w:val="000000"/>
        </w:rPr>
        <w:lastRenderedPageBreak/>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rsidR="00B40356" w:rsidRPr="00063B6A" w:rsidRDefault="00B40356">
      <w:pPr>
        <w:spacing w:after="0" w:line="360" w:lineRule="auto"/>
        <w:rPr>
          <w:color w:val="000000"/>
        </w:rPr>
      </w:pPr>
    </w:p>
    <w:p w:rsidR="00B40356" w:rsidRPr="00063B6A" w:rsidRDefault="005F4EE9">
      <w:pPr>
        <w:spacing w:after="0" w:line="360" w:lineRule="auto"/>
        <w:ind w:left="567" w:right="567"/>
        <w:rPr>
          <w:i/>
          <w:color w:val="000000"/>
          <w:sz w:val="20"/>
          <w:szCs w:val="20"/>
        </w:rPr>
      </w:pPr>
      <w:r w:rsidRPr="00063B6A">
        <w:rPr>
          <w:b/>
          <w:i/>
          <w:color w:val="000000"/>
          <w:sz w:val="20"/>
          <w:szCs w:val="20"/>
        </w:rPr>
        <w:t>“Registro Federal de Contribuyentes (RFC) de personas físicas.</w:t>
      </w:r>
      <w:r w:rsidRPr="00063B6A">
        <w:rPr>
          <w:i/>
          <w:color w:val="000000"/>
          <w:sz w:val="20"/>
          <w:szCs w:val="20"/>
        </w:rPr>
        <w:t xml:space="preserve"> El RFC es una clave de carácter fiscal, única e irrepetible, que permite identificar al titular, su edad y fecha de nacimiento, por lo que es un dato personal de carácter confidencial.”</w:t>
      </w:r>
    </w:p>
    <w:p w:rsidR="00B40356" w:rsidRPr="00063B6A" w:rsidRDefault="00B40356">
      <w:pPr>
        <w:spacing w:after="0" w:line="360" w:lineRule="auto"/>
        <w:ind w:left="567" w:right="567"/>
        <w:rPr>
          <w:i/>
          <w:color w:val="000000"/>
          <w:sz w:val="20"/>
          <w:szCs w:val="20"/>
        </w:rPr>
      </w:pPr>
    </w:p>
    <w:p w:rsidR="00B40356" w:rsidRPr="00063B6A" w:rsidRDefault="005F4EE9">
      <w:pPr>
        <w:spacing w:after="0" w:line="360" w:lineRule="auto"/>
        <w:rPr>
          <w:color w:val="000000"/>
        </w:rPr>
      </w:pPr>
      <w:r w:rsidRPr="00063B6A">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B40356" w:rsidRPr="00063B6A" w:rsidRDefault="00B40356">
      <w:pPr>
        <w:tabs>
          <w:tab w:val="center" w:pos="4522"/>
        </w:tabs>
        <w:spacing w:after="0" w:line="360" w:lineRule="auto"/>
        <w:rPr>
          <w:color w:val="000000"/>
        </w:rPr>
      </w:pPr>
    </w:p>
    <w:p w:rsidR="00B40356" w:rsidRPr="00063B6A" w:rsidRDefault="005F4EE9">
      <w:pPr>
        <w:numPr>
          <w:ilvl w:val="0"/>
          <w:numId w:val="10"/>
        </w:numPr>
        <w:spacing w:after="0" w:line="360" w:lineRule="auto"/>
        <w:jc w:val="left"/>
        <w:rPr>
          <w:b/>
          <w:color w:val="000000"/>
        </w:rPr>
      </w:pPr>
      <w:r w:rsidRPr="00063B6A">
        <w:rPr>
          <w:b/>
          <w:color w:val="000000"/>
        </w:rPr>
        <w:t xml:space="preserve">Código bidimensional o </w:t>
      </w:r>
      <w:proofErr w:type="spellStart"/>
      <w:r w:rsidRPr="00063B6A">
        <w:rPr>
          <w:b/>
          <w:color w:val="000000"/>
        </w:rPr>
        <w:t>Qr</w:t>
      </w:r>
      <w:proofErr w:type="spellEnd"/>
    </w:p>
    <w:p w:rsidR="00B40356" w:rsidRPr="00063B6A" w:rsidRDefault="00B40356">
      <w:pPr>
        <w:spacing w:after="0" w:line="360" w:lineRule="auto"/>
        <w:rPr>
          <w:b/>
          <w:color w:val="000000"/>
        </w:rPr>
      </w:pPr>
    </w:p>
    <w:p w:rsidR="00B40356" w:rsidRPr="00063B6A" w:rsidRDefault="005F4EE9">
      <w:pPr>
        <w:spacing w:after="0" w:line="360" w:lineRule="auto"/>
        <w:rPr>
          <w:color w:val="000000"/>
        </w:rPr>
      </w:pPr>
      <w:r w:rsidRPr="00063B6A">
        <w:rPr>
          <w:color w:val="000000"/>
        </w:rPr>
        <w:t xml:space="preserve">En principio, resulta necesario señalar que los comprobantes fiscales digitales por Internet, deben de incluir un código bidimensional conforme al formato </w:t>
      </w:r>
      <w:r w:rsidRPr="00063B6A">
        <w:rPr>
          <w:i/>
          <w:color w:val="000000"/>
        </w:rPr>
        <w:t xml:space="preserve">QR </w:t>
      </w:r>
      <w:proofErr w:type="spellStart"/>
      <w:r w:rsidRPr="00063B6A">
        <w:rPr>
          <w:i/>
          <w:color w:val="000000"/>
        </w:rPr>
        <w:t>Code</w:t>
      </w:r>
      <w:proofErr w:type="spellEnd"/>
      <w:r w:rsidRPr="00063B6A">
        <w:rPr>
          <w:i/>
          <w:color w:val="000000"/>
        </w:rPr>
        <w:t xml:space="preserve"> (Quick Response </w:t>
      </w:r>
      <w:proofErr w:type="spellStart"/>
      <w:r w:rsidRPr="00063B6A">
        <w:rPr>
          <w:i/>
          <w:color w:val="000000"/>
        </w:rPr>
        <w:t>Code</w:t>
      </w:r>
      <w:proofErr w:type="spellEnd"/>
      <w:r w:rsidRPr="00063B6A">
        <w:rPr>
          <w:i/>
          <w:color w:val="000000"/>
        </w:rPr>
        <w:t>)</w:t>
      </w:r>
      <w:r w:rsidRPr="00063B6A">
        <w:rPr>
          <w:color w:val="000000"/>
        </w:rPr>
        <w:t>,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 los servidores públicos.</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lastRenderedPageBreak/>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B40356" w:rsidRPr="00063B6A" w:rsidRDefault="00B40356">
      <w:pPr>
        <w:tabs>
          <w:tab w:val="center" w:pos="4522"/>
        </w:tabs>
        <w:spacing w:after="0" w:line="360" w:lineRule="auto"/>
        <w:rPr>
          <w:color w:val="000000"/>
        </w:rPr>
      </w:pPr>
    </w:p>
    <w:p w:rsidR="00B40356" w:rsidRPr="00063B6A" w:rsidRDefault="005F4EE9">
      <w:pPr>
        <w:numPr>
          <w:ilvl w:val="0"/>
          <w:numId w:val="1"/>
        </w:numPr>
        <w:spacing w:after="0" w:line="360" w:lineRule="auto"/>
        <w:rPr>
          <w:b/>
          <w:color w:val="000000"/>
        </w:rPr>
      </w:pPr>
      <w:r w:rsidRPr="00063B6A">
        <w:rPr>
          <w:b/>
          <w:color w:val="000000"/>
        </w:rPr>
        <w:t>Número de seguridad social del Instituto de Seguridad Social del Estado de México y Municipios</w:t>
      </w:r>
    </w:p>
    <w:p w:rsidR="00B40356" w:rsidRPr="00063B6A" w:rsidRDefault="00B40356">
      <w:pPr>
        <w:spacing w:after="0" w:line="360" w:lineRule="auto"/>
        <w:rPr>
          <w:b/>
          <w:color w:val="000000"/>
        </w:rPr>
      </w:pPr>
    </w:p>
    <w:p w:rsidR="00B40356" w:rsidRPr="00063B6A" w:rsidRDefault="005F4EE9">
      <w:pPr>
        <w:spacing w:after="0" w:line="360" w:lineRule="auto"/>
        <w:rPr>
          <w:color w:val="000000"/>
        </w:rPr>
      </w:pPr>
      <w:r w:rsidRPr="00063B6A">
        <w:rPr>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00B40356" w:rsidRPr="00063B6A" w:rsidRDefault="00B40356">
      <w:pPr>
        <w:spacing w:after="0" w:line="360" w:lineRule="auto"/>
        <w:rPr>
          <w:color w:val="000000"/>
        </w:rPr>
      </w:pPr>
    </w:p>
    <w:p w:rsidR="00B40356" w:rsidRPr="00063B6A" w:rsidRDefault="005F4EE9">
      <w:pPr>
        <w:numPr>
          <w:ilvl w:val="0"/>
          <w:numId w:val="11"/>
        </w:numPr>
        <w:spacing w:after="0" w:line="360" w:lineRule="auto"/>
        <w:jc w:val="left"/>
        <w:rPr>
          <w:b/>
          <w:color w:val="000000"/>
        </w:rPr>
      </w:pPr>
      <w:r w:rsidRPr="00063B6A">
        <w:rPr>
          <w:b/>
          <w:color w:val="000000"/>
        </w:rPr>
        <w:t>Deducciones por Ley (monto y concepto)</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 xml:space="preserve">Conforme a lo anterior dichas deducciones, suelen ser obligatorias y dan cuenta, de que el Sujeto Obligado cumple con sus responsabilidades como patrón, relacionadas con la </w:t>
      </w:r>
      <w:r w:rsidRPr="00063B6A">
        <w:rPr>
          <w:color w:val="000000"/>
        </w:rPr>
        <w:lastRenderedPageBreak/>
        <w:t>retención de parte del ingreso de sus trabajadores, para cubrir las deducciones genéricas y obligatorias.</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Además, se advierte en el presente caso, que el servidor público si cuenta con estas deducciones, pues el Sujeto Obligado, clasificó de manera correcta, su número de seguridad social (régimen de trabajo).</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Por tal circunstancia y toda vez, que las deducciones por Ley, son de carácter obligatorio y ayuda a rendir cuentas, de que el Sujeto Obligado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 del monto y concepto de las deducciones por Ley.</w:t>
      </w:r>
    </w:p>
    <w:p w:rsidR="00B40356" w:rsidRPr="00063B6A" w:rsidRDefault="00B40356">
      <w:pPr>
        <w:spacing w:after="0" w:line="360" w:lineRule="auto"/>
        <w:rPr>
          <w:color w:val="000000"/>
        </w:rPr>
      </w:pPr>
    </w:p>
    <w:p w:rsidR="00B40356" w:rsidRPr="00063B6A" w:rsidRDefault="005F4EE9">
      <w:pPr>
        <w:numPr>
          <w:ilvl w:val="0"/>
          <w:numId w:val="4"/>
        </w:numPr>
        <w:spacing w:after="0" w:line="360" w:lineRule="auto"/>
        <w:jc w:val="left"/>
        <w:rPr>
          <w:b/>
        </w:rPr>
      </w:pPr>
      <w:r w:rsidRPr="00063B6A">
        <w:rPr>
          <w:b/>
        </w:rPr>
        <w:t>Descuentos personales (Monto y concepto).</w:t>
      </w:r>
    </w:p>
    <w:p w:rsidR="00B40356" w:rsidRPr="00063B6A" w:rsidRDefault="00B40356">
      <w:pPr>
        <w:spacing w:after="0" w:line="360" w:lineRule="auto"/>
        <w:ind w:left="720"/>
        <w:rPr>
          <w:b/>
        </w:rPr>
      </w:pPr>
    </w:p>
    <w:p w:rsidR="00B40356" w:rsidRPr="00063B6A" w:rsidRDefault="005F4EE9">
      <w:pPr>
        <w:spacing w:after="0" w:line="360" w:lineRule="auto"/>
      </w:pPr>
      <w:r w:rsidRPr="00063B6A">
        <w:t xml:space="preserve">Es necesario precisar que existen deducciones que se generan con motivo de una decisión libre y voluntaria de los servidores públicos, como son: créditos personales, cuotas sindicales y fondo de resistencia del Sindicato Único de Trabajadores de los Poderes, Municipios e </w:t>
      </w:r>
      <w:r w:rsidRPr="00063B6A">
        <w:lastRenderedPageBreak/>
        <w:t>Institución Descentralizadas del Estado de México, seguro de vida, accidentes y enfermedades, entre otros.</w:t>
      </w:r>
    </w:p>
    <w:p w:rsidR="00B40356" w:rsidRPr="00063B6A" w:rsidRDefault="00B40356">
      <w:pPr>
        <w:spacing w:after="0" w:line="360" w:lineRule="auto"/>
      </w:pPr>
    </w:p>
    <w:p w:rsidR="00B40356" w:rsidRPr="00063B6A" w:rsidRDefault="005F4EE9">
      <w:pPr>
        <w:spacing w:after="0" w:line="360" w:lineRule="auto"/>
      </w:pPr>
      <w:r w:rsidRPr="00063B6A">
        <w:t xml:space="preserve">Asimismo, hay otras que se generan con motivo de una sentencia judicial, como es la pensión alimenticia que periódicamente se retira de la cuenta de un empleado, a efecto de que sea entregado a un tercero.  </w:t>
      </w:r>
    </w:p>
    <w:p w:rsidR="00B40356" w:rsidRPr="00063B6A" w:rsidRDefault="00B40356">
      <w:pPr>
        <w:spacing w:after="0" w:line="360" w:lineRule="auto"/>
      </w:pPr>
    </w:p>
    <w:p w:rsidR="00B40356" w:rsidRPr="00063B6A" w:rsidRDefault="005F4EE9">
      <w:pPr>
        <w:spacing w:after="0" w:line="360" w:lineRule="auto"/>
      </w:pPr>
      <w:r w:rsidRPr="00063B6A">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B40356" w:rsidRPr="00063B6A" w:rsidRDefault="00B40356">
      <w:pPr>
        <w:spacing w:after="0" w:line="360" w:lineRule="auto"/>
      </w:pPr>
    </w:p>
    <w:p w:rsidR="00B40356" w:rsidRPr="00063B6A" w:rsidRDefault="005F4EE9">
      <w:pPr>
        <w:spacing w:after="0" w:line="360" w:lineRule="auto"/>
      </w:pPr>
      <w:r w:rsidRPr="00063B6A">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rsidR="00B40356" w:rsidRPr="00063B6A" w:rsidRDefault="00B40356">
      <w:pPr>
        <w:spacing w:after="0" w:line="360" w:lineRule="auto"/>
        <w:jc w:val="left"/>
        <w:rPr>
          <w:color w:val="000000"/>
        </w:rPr>
      </w:pPr>
    </w:p>
    <w:p w:rsidR="00B40356" w:rsidRPr="00063B6A" w:rsidRDefault="005F4EE9">
      <w:pPr>
        <w:numPr>
          <w:ilvl w:val="0"/>
          <w:numId w:val="10"/>
        </w:numPr>
        <w:spacing w:after="0" w:line="360" w:lineRule="auto"/>
        <w:rPr>
          <w:color w:val="000000"/>
        </w:rPr>
      </w:pPr>
      <w:r w:rsidRPr="00063B6A">
        <w:rPr>
          <w:b/>
          <w:color w:val="000000"/>
        </w:rPr>
        <w:t xml:space="preserve">Sellos digitales del emisor y del Servicio de Administración Tributaria y cadena original del complemento de certificación digital del órgano previamente señalado; así como los respectivos números de serie de los certificados de sellos digitales, folio fiscal y número de serie del emisor. </w:t>
      </w:r>
    </w:p>
    <w:p w:rsidR="00B40356" w:rsidRPr="00063B6A" w:rsidRDefault="00B40356">
      <w:pPr>
        <w:spacing w:after="0" w:line="360" w:lineRule="auto"/>
        <w:ind w:left="720"/>
        <w:rPr>
          <w:color w:val="000000"/>
        </w:rPr>
      </w:pPr>
    </w:p>
    <w:p w:rsidR="00B40356" w:rsidRPr="00063B6A" w:rsidRDefault="005F4EE9">
      <w:pPr>
        <w:spacing w:after="0" w:line="360" w:lineRule="auto"/>
        <w:rPr>
          <w:color w:val="000000"/>
        </w:rPr>
      </w:pPr>
      <w:r w:rsidRPr="00063B6A">
        <w:rPr>
          <w:color w:val="000000"/>
        </w:rPr>
        <w:t xml:space="preserve">Cuando, de la secuencia de números y letras, no se advierta un Registro Federal de Contribuyentes o una Clave Única de Registro de Población, que pueda hacer identificable </w:t>
      </w:r>
      <w:r w:rsidRPr="00063B6A">
        <w:rPr>
          <w:color w:val="000000"/>
        </w:rPr>
        <w:lastRenderedPageBreak/>
        <w:t>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B40356" w:rsidRPr="00063B6A" w:rsidRDefault="005F4EE9">
      <w:pPr>
        <w:spacing w:after="0" w:line="360" w:lineRule="auto"/>
        <w:rPr>
          <w:color w:val="000000"/>
        </w:rPr>
      </w:pPr>
      <w:r w:rsidRPr="00063B6A">
        <w:rPr>
          <w:color w:val="000000"/>
        </w:rPr>
        <w:t> </w:t>
      </w:r>
    </w:p>
    <w:p w:rsidR="00B40356" w:rsidRPr="00063B6A" w:rsidRDefault="005F4EE9">
      <w:pPr>
        <w:spacing w:after="0" w:line="360" w:lineRule="auto"/>
        <w:rPr>
          <w:color w:val="000000"/>
        </w:rPr>
      </w:pPr>
      <w:r w:rsidRPr="00063B6A">
        <w:rPr>
          <w:color w:val="000000"/>
        </w:rPr>
        <w:t>Las cadenas originales y sellos que se agregan a las facturas</w:t>
      </w:r>
      <w:r w:rsidRPr="00063B6A">
        <w:rPr>
          <w:b/>
          <w:color w:val="000000"/>
        </w:rPr>
        <w:t>,</w:t>
      </w:r>
      <w:r w:rsidRPr="00063B6A">
        <w:rPr>
          <w:color w:val="000000"/>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rsidR="00B40356" w:rsidRPr="00063B6A" w:rsidRDefault="005F4EE9">
      <w:pPr>
        <w:spacing w:after="0" w:line="360" w:lineRule="auto"/>
        <w:rPr>
          <w:color w:val="000000"/>
        </w:rPr>
      </w:pPr>
      <w:r w:rsidRPr="00063B6A">
        <w:rPr>
          <w:color w:val="000000"/>
        </w:rPr>
        <w:t> </w:t>
      </w:r>
    </w:p>
    <w:p w:rsidR="00B40356" w:rsidRPr="00063B6A" w:rsidRDefault="005F4EE9">
      <w:pPr>
        <w:spacing w:after="0" w:line="360" w:lineRule="auto"/>
        <w:ind w:left="567" w:right="539"/>
        <w:rPr>
          <w:i/>
          <w:color w:val="000000"/>
          <w:sz w:val="20"/>
          <w:szCs w:val="20"/>
        </w:rPr>
      </w:pPr>
      <w:r w:rsidRPr="00063B6A">
        <w:rPr>
          <w:i/>
          <w:color w:val="000000"/>
          <w:sz w:val="20"/>
          <w:szCs w:val="20"/>
        </w:rPr>
        <w:t>“…</w:t>
      </w:r>
    </w:p>
    <w:p w:rsidR="00B40356" w:rsidRPr="00063B6A" w:rsidRDefault="005F4EE9">
      <w:pPr>
        <w:spacing w:after="0" w:line="360" w:lineRule="auto"/>
        <w:ind w:left="567" w:right="539"/>
        <w:rPr>
          <w:i/>
          <w:color w:val="000000"/>
          <w:sz w:val="20"/>
          <w:szCs w:val="20"/>
        </w:rPr>
      </w:pPr>
      <w:r w:rsidRPr="00063B6A">
        <w:rPr>
          <w:i/>
          <w:color w:val="000000"/>
          <w:sz w:val="20"/>
          <w:szCs w:val="20"/>
        </w:rPr>
        <w:t>Elementos utilizados en la generación de Sellos Digitales:</w:t>
      </w:r>
    </w:p>
    <w:p w:rsidR="00B40356" w:rsidRPr="00063B6A" w:rsidRDefault="005F4EE9">
      <w:pPr>
        <w:spacing w:after="0" w:line="360" w:lineRule="auto"/>
        <w:ind w:left="567" w:right="539"/>
        <w:rPr>
          <w:i/>
          <w:color w:val="000000"/>
          <w:sz w:val="20"/>
          <w:szCs w:val="20"/>
        </w:rPr>
      </w:pPr>
      <w:r w:rsidRPr="00063B6A">
        <w:rPr>
          <w:i/>
          <w:color w:val="000000"/>
          <w:sz w:val="20"/>
          <w:szCs w:val="20"/>
        </w:rPr>
        <w:t>•</w:t>
      </w:r>
      <w:r w:rsidRPr="00063B6A">
        <w:rPr>
          <w:i/>
          <w:color w:val="000000"/>
          <w:sz w:val="20"/>
          <w:szCs w:val="20"/>
        </w:rPr>
        <w:tab/>
        <w:t>Cadena Original, el elemento a sellar, en este caso de un comprobante fiscal digital a través de Internet.</w:t>
      </w:r>
    </w:p>
    <w:p w:rsidR="00B40356" w:rsidRPr="00063B6A" w:rsidRDefault="005F4EE9">
      <w:pPr>
        <w:spacing w:after="0" w:line="360" w:lineRule="auto"/>
        <w:ind w:left="567" w:right="539"/>
        <w:rPr>
          <w:i/>
          <w:color w:val="000000"/>
          <w:sz w:val="20"/>
          <w:szCs w:val="20"/>
        </w:rPr>
      </w:pPr>
      <w:r w:rsidRPr="00063B6A">
        <w:rPr>
          <w:i/>
          <w:color w:val="000000"/>
          <w:sz w:val="20"/>
          <w:szCs w:val="20"/>
        </w:rPr>
        <w:t>•</w:t>
      </w:r>
      <w:r w:rsidRPr="00063B6A">
        <w:rPr>
          <w:i/>
          <w:color w:val="000000"/>
          <w:sz w:val="20"/>
          <w:szCs w:val="20"/>
        </w:rPr>
        <w:tab/>
        <w:t>Certificado de Sello Digital y su correspondiente clave privada.</w:t>
      </w:r>
    </w:p>
    <w:p w:rsidR="00B40356" w:rsidRPr="00063B6A" w:rsidRDefault="005F4EE9">
      <w:pPr>
        <w:spacing w:after="0" w:line="360" w:lineRule="auto"/>
        <w:ind w:left="567" w:right="539"/>
        <w:rPr>
          <w:i/>
          <w:color w:val="000000"/>
          <w:sz w:val="20"/>
          <w:szCs w:val="20"/>
        </w:rPr>
      </w:pPr>
      <w:r w:rsidRPr="00063B6A">
        <w:rPr>
          <w:i/>
          <w:color w:val="000000"/>
          <w:sz w:val="20"/>
          <w:szCs w:val="20"/>
        </w:rPr>
        <w:t>•</w:t>
      </w:r>
      <w:r w:rsidRPr="00063B6A">
        <w:rPr>
          <w:i/>
          <w:color w:val="000000"/>
          <w:sz w:val="20"/>
          <w:szCs w:val="20"/>
        </w:rPr>
        <w:tab/>
        <w:t>Algoritmos de criptografía de clave pública para firma electrónica avanzada.</w:t>
      </w:r>
    </w:p>
    <w:p w:rsidR="00B40356" w:rsidRPr="00063B6A" w:rsidRDefault="005F4EE9">
      <w:pPr>
        <w:spacing w:after="0" w:line="360" w:lineRule="auto"/>
        <w:ind w:left="567" w:right="539"/>
        <w:rPr>
          <w:i/>
          <w:color w:val="000000"/>
          <w:sz w:val="20"/>
          <w:szCs w:val="20"/>
        </w:rPr>
      </w:pPr>
      <w:r w:rsidRPr="00063B6A">
        <w:rPr>
          <w:i/>
          <w:color w:val="000000"/>
          <w:sz w:val="20"/>
          <w:szCs w:val="20"/>
        </w:rPr>
        <w:t>•</w:t>
      </w:r>
      <w:r w:rsidRPr="00063B6A">
        <w:rPr>
          <w:i/>
          <w:color w:val="000000"/>
          <w:sz w:val="20"/>
          <w:szCs w:val="20"/>
        </w:rPr>
        <w:tab/>
        <w:t>Especificaciones de conversión de la firma electrónica avanzada a Base 64.</w:t>
      </w:r>
    </w:p>
    <w:p w:rsidR="00B40356" w:rsidRPr="00063B6A" w:rsidRDefault="005F4EE9">
      <w:pPr>
        <w:spacing w:after="0" w:line="360" w:lineRule="auto"/>
        <w:ind w:left="567" w:right="539"/>
        <w:rPr>
          <w:i/>
          <w:color w:val="000000"/>
          <w:sz w:val="20"/>
          <w:szCs w:val="20"/>
        </w:rPr>
      </w:pPr>
      <w:r w:rsidRPr="00063B6A">
        <w:rPr>
          <w:i/>
          <w:color w:val="000000"/>
          <w:sz w:val="20"/>
          <w:szCs w:val="20"/>
        </w:rPr>
        <w:t>Para la generación de sellos digitales se utiliza criptografía de clave pública aplicada a una cadena original.</w:t>
      </w:r>
    </w:p>
    <w:p w:rsidR="00B40356" w:rsidRPr="00063B6A" w:rsidRDefault="005F4EE9">
      <w:pPr>
        <w:spacing w:after="0" w:line="360" w:lineRule="auto"/>
        <w:ind w:left="567" w:right="539"/>
        <w:rPr>
          <w:i/>
          <w:color w:val="000000"/>
          <w:sz w:val="20"/>
          <w:szCs w:val="20"/>
        </w:rPr>
      </w:pPr>
      <w:r w:rsidRPr="00063B6A">
        <w:rPr>
          <w:i/>
          <w:color w:val="000000"/>
          <w:sz w:val="20"/>
          <w:szCs w:val="20"/>
        </w:rPr>
        <w:t>Criptografía de la Clave Pública</w:t>
      </w:r>
    </w:p>
    <w:p w:rsidR="00B40356" w:rsidRPr="00063B6A" w:rsidRDefault="005F4EE9">
      <w:pPr>
        <w:spacing w:after="0" w:line="360" w:lineRule="auto"/>
        <w:ind w:left="567" w:right="539"/>
        <w:rPr>
          <w:i/>
          <w:color w:val="000000"/>
          <w:sz w:val="20"/>
          <w:szCs w:val="20"/>
        </w:rPr>
      </w:pPr>
      <w:r w:rsidRPr="00063B6A">
        <w:rPr>
          <w:i/>
          <w:color w:val="000000"/>
          <w:sz w:val="20"/>
          <w:szCs w:val="20"/>
        </w:rPr>
        <w:lastRenderedPageBreak/>
        <w:t xml:space="preserve">La criptografía de Clave Pública se basa en la generación de una pareja de números muy grandes relacionados íntimamente entre sí, de tal manera que una operación de </w:t>
      </w:r>
      <w:proofErr w:type="spellStart"/>
      <w:r w:rsidRPr="00063B6A">
        <w:rPr>
          <w:i/>
          <w:color w:val="000000"/>
          <w:sz w:val="20"/>
          <w:szCs w:val="20"/>
        </w:rPr>
        <w:t>encripción</w:t>
      </w:r>
      <w:proofErr w:type="spellEnd"/>
      <w:r w:rsidRPr="00063B6A">
        <w:rPr>
          <w:i/>
          <w:color w:val="000000"/>
          <w:sz w:val="20"/>
          <w:szCs w:val="20"/>
        </w:rPr>
        <w:t xml:space="preserve"> sobre un mensaje tomando como clave de </w:t>
      </w:r>
      <w:proofErr w:type="spellStart"/>
      <w:r w:rsidRPr="00063B6A">
        <w:rPr>
          <w:i/>
          <w:color w:val="000000"/>
          <w:sz w:val="20"/>
          <w:szCs w:val="20"/>
        </w:rPr>
        <w:t>encripción</w:t>
      </w:r>
      <w:proofErr w:type="spellEnd"/>
      <w:r w:rsidRPr="00063B6A">
        <w:rPr>
          <w:i/>
          <w:color w:val="000000"/>
          <w:sz w:val="20"/>
          <w:szCs w:val="20"/>
        </w:rPr>
        <w:t xml:space="preserve"> a uno de los dos números, produce un mensaje alterado en su significado que solo puede ser devuelto a su estado original mediante la operación de </w:t>
      </w:r>
      <w:proofErr w:type="spellStart"/>
      <w:r w:rsidRPr="00063B6A">
        <w:rPr>
          <w:i/>
          <w:color w:val="000000"/>
          <w:sz w:val="20"/>
          <w:szCs w:val="20"/>
        </w:rPr>
        <w:t>desencripción</w:t>
      </w:r>
      <w:proofErr w:type="spellEnd"/>
      <w:r w:rsidRPr="00063B6A">
        <w:rPr>
          <w:i/>
          <w:color w:val="000000"/>
          <w:sz w:val="20"/>
          <w:szCs w:val="20"/>
        </w:rPr>
        <w:t xml:space="preserve"> correspondiente tomando como clave de </w:t>
      </w:r>
      <w:proofErr w:type="spellStart"/>
      <w:r w:rsidRPr="00063B6A">
        <w:rPr>
          <w:i/>
          <w:color w:val="000000"/>
          <w:sz w:val="20"/>
          <w:szCs w:val="20"/>
        </w:rPr>
        <w:t>desencripción</w:t>
      </w:r>
      <w:proofErr w:type="spellEnd"/>
      <w:r w:rsidRPr="00063B6A">
        <w:rPr>
          <w:i/>
          <w:color w:val="000000"/>
          <w:sz w:val="20"/>
          <w:szCs w:val="20"/>
        </w:rPr>
        <w:t xml:space="preserve"> al otro número de la pareja.</w:t>
      </w:r>
    </w:p>
    <w:p w:rsidR="00B40356" w:rsidRPr="00063B6A" w:rsidRDefault="005F4EE9">
      <w:pPr>
        <w:spacing w:after="0" w:line="360" w:lineRule="auto"/>
        <w:ind w:left="567" w:right="539"/>
        <w:rPr>
          <w:i/>
          <w:color w:val="000000"/>
          <w:sz w:val="20"/>
          <w:szCs w:val="20"/>
        </w:rPr>
      </w:pPr>
      <w:r w:rsidRPr="00063B6A">
        <w:rPr>
          <w:i/>
          <w:color w:val="000000"/>
          <w:sz w:val="20"/>
          <w:szCs w:val="20"/>
        </w:rPr>
        <w:t>…”</w:t>
      </w:r>
    </w:p>
    <w:p w:rsidR="00B40356" w:rsidRPr="00063B6A" w:rsidRDefault="005F4EE9">
      <w:pPr>
        <w:spacing w:after="0" w:line="360" w:lineRule="auto"/>
        <w:rPr>
          <w:color w:val="000000"/>
        </w:rPr>
      </w:pPr>
      <w:r w:rsidRPr="00063B6A">
        <w:rPr>
          <w:color w:val="000000"/>
        </w:rPr>
        <w:t> </w:t>
      </w:r>
    </w:p>
    <w:p w:rsidR="00B40356" w:rsidRPr="00063B6A" w:rsidRDefault="005F4EE9">
      <w:pPr>
        <w:spacing w:after="0" w:line="360" w:lineRule="auto"/>
        <w:rPr>
          <w:color w:val="000000"/>
        </w:rPr>
      </w:pPr>
      <w:r w:rsidRPr="00063B6A">
        <w:rPr>
          <w:color w:val="000000"/>
        </w:rPr>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 </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 xml:space="preserve">Cabe precisar que existen ocasiones que los datos en análisis se conforman de datos personales, como el CURP, RFC, número de seguridad social, entre otros, por lo que, únicamente podrá clasificar las cadenas y sellos digitales, en el caso que se conformen de datos personales </w:t>
      </w:r>
      <w:proofErr w:type="spellStart"/>
      <w:r w:rsidRPr="00063B6A">
        <w:rPr>
          <w:color w:val="000000"/>
        </w:rPr>
        <w:t>confidenciles</w:t>
      </w:r>
      <w:proofErr w:type="spellEnd"/>
      <w:r w:rsidRPr="00063B6A">
        <w:rPr>
          <w:color w:val="000000"/>
        </w:rPr>
        <w:t>, en términos del artículo 143, fracción I, de la Ley de Transparencia y Acceso a la Información Pública del Estado de México y Municipios.</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 xml:space="preserve">Por otra parte, por lo que hace al número de serie de los certificados de Sello Digitales del emisor y del Servicio de Administración Tributaria, el ANEXO 20 de la Segunda Resolución de modificaciones a la Resolución Miscelánea Fiscal, precisa que dichos datos se conforman por veinte caracteres numéricos; dicha situación se robustece con el ejemplo localizado en el documento denominado “Cómo ubicar el Folio Fiscal en una factura”, emitido por el Instituto Nacional electoral (consultado en la página electrónica </w:t>
      </w:r>
      <w:hyperlink r:id="rId13">
        <w:r w:rsidRPr="00063B6A">
          <w:rPr>
            <w:color w:val="0563C1"/>
            <w:u w:val="single"/>
          </w:rPr>
          <w:t>https://portalanterior.ine.mx/archivos2/tutoriales/sistemas/ApoyoInstitucional/SIF/docs/can</w:t>
        </w:r>
        <w:r w:rsidRPr="00063B6A">
          <w:rPr>
            <w:color w:val="0563C1"/>
            <w:u w:val="single"/>
          </w:rPr>
          <w:lastRenderedPageBreak/>
          <w:t>didatos/folioFiscalFactura.pdf</w:t>
        </w:r>
      </w:hyperlink>
      <w:r w:rsidRPr="00063B6A">
        <w:rPr>
          <w:color w:val="000000"/>
        </w:rPr>
        <w:t>), en la cual se advierte que únicamente se encuentra conformado por números, se muestra a continuación:</w:t>
      </w:r>
    </w:p>
    <w:p w:rsidR="00B40356" w:rsidRPr="00063B6A" w:rsidRDefault="00B40356">
      <w:pPr>
        <w:spacing w:after="0" w:line="360" w:lineRule="auto"/>
        <w:rPr>
          <w:color w:val="000000"/>
        </w:rPr>
      </w:pPr>
    </w:p>
    <w:p w:rsidR="00B40356" w:rsidRPr="00063B6A" w:rsidRDefault="005F4EE9">
      <w:pPr>
        <w:spacing w:after="0" w:line="360" w:lineRule="auto"/>
        <w:jc w:val="center"/>
        <w:rPr>
          <w:color w:val="000000"/>
        </w:rPr>
      </w:pPr>
      <w:r w:rsidRPr="00063B6A">
        <w:rPr>
          <w:noProof/>
          <w:color w:val="000000"/>
        </w:rPr>
        <w:drawing>
          <wp:inline distT="0" distB="0" distL="0" distR="0">
            <wp:extent cx="4619659" cy="914407"/>
            <wp:effectExtent l="0" t="0" r="0" b="0"/>
            <wp:docPr id="2031981868" name="image2.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Texto&#10;&#10;Descripción generada automáticamente"/>
                    <pic:cNvPicPr preferRelativeResize="0"/>
                  </pic:nvPicPr>
                  <pic:blipFill>
                    <a:blip r:embed="rId14"/>
                    <a:srcRect/>
                    <a:stretch>
                      <a:fillRect/>
                    </a:stretch>
                  </pic:blipFill>
                  <pic:spPr>
                    <a:xfrm>
                      <a:off x="0" y="0"/>
                      <a:ext cx="4619659" cy="914407"/>
                    </a:xfrm>
                    <a:prstGeom prst="rect">
                      <a:avLst/>
                    </a:prstGeom>
                    <a:ln/>
                  </pic:spPr>
                </pic:pic>
              </a:graphicData>
            </a:graphic>
          </wp:inline>
        </w:drawing>
      </w:r>
    </w:p>
    <w:p w:rsidR="00B40356" w:rsidRPr="00063B6A" w:rsidRDefault="00B40356">
      <w:pPr>
        <w:tabs>
          <w:tab w:val="left" w:pos="4962"/>
        </w:tabs>
        <w:spacing w:after="0" w:line="360" w:lineRule="auto"/>
        <w:rPr>
          <w:color w:val="000000"/>
        </w:rPr>
      </w:pPr>
    </w:p>
    <w:p w:rsidR="00B40356" w:rsidRPr="00063B6A" w:rsidRDefault="005F4EE9">
      <w:pPr>
        <w:spacing w:after="0" w:line="360" w:lineRule="auto"/>
        <w:rPr>
          <w:color w:val="000000"/>
        </w:rPr>
      </w:pPr>
      <w:r w:rsidRPr="00063B6A">
        <w:rPr>
          <w:color w:val="000000"/>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 xml:space="preserve">Ahora bien, por lo que hace </w:t>
      </w:r>
      <w:r w:rsidRPr="00063B6A">
        <w:rPr>
          <w:b/>
          <w:color w:val="000000"/>
        </w:rPr>
        <w:t>Folio Fiscal,</w:t>
      </w:r>
      <w:r w:rsidRPr="00063B6A">
        <w:rPr>
          <w:color w:val="000000"/>
        </w:rPr>
        <w:t xml:space="preserve"> cabe precisar que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B40356" w:rsidRPr="00063B6A" w:rsidRDefault="005F4EE9">
      <w:pPr>
        <w:spacing w:after="0" w:line="360" w:lineRule="auto"/>
        <w:rPr>
          <w:color w:val="000000"/>
        </w:rPr>
      </w:pPr>
      <w:r w:rsidRPr="00063B6A">
        <w:rPr>
          <w:color w:val="000000"/>
        </w:rPr>
        <w:t xml:space="preserve"> </w:t>
      </w:r>
    </w:p>
    <w:p w:rsidR="00B40356" w:rsidRPr="00063B6A" w:rsidRDefault="005F4EE9">
      <w:pPr>
        <w:spacing w:after="0" w:line="360" w:lineRule="auto"/>
        <w:jc w:val="center"/>
        <w:rPr>
          <w:color w:val="000000"/>
        </w:rPr>
      </w:pPr>
      <w:r w:rsidRPr="00063B6A">
        <w:rPr>
          <w:noProof/>
          <w:color w:val="000000"/>
        </w:rPr>
        <w:lastRenderedPageBreak/>
        <w:drawing>
          <wp:inline distT="0" distB="0" distL="0" distR="0">
            <wp:extent cx="4438682" cy="1028708"/>
            <wp:effectExtent l="0" t="0" r="0" b="0"/>
            <wp:docPr id="2031981867" name="image6.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png" descr="Texto&#10;&#10;Descripción generada automáticamente"/>
                    <pic:cNvPicPr preferRelativeResize="0"/>
                  </pic:nvPicPr>
                  <pic:blipFill>
                    <a:blip r:embed="rId15"/>
                    <a:srcRect/>
                    <a:stretch>
                      <a:fillRect/>
                    </a:stretch>
                  </pic:blipFill>
                  <pic:spPr>
                    <a:xfrm>
                      <a:off x="0" y="0"/>
                      <a:ext cx="4438682" cy="1028708"/>
                    </a:xfrm>
                    <a:prstGeom prst="rect">
                      <a:avLst/>
                    </a:prstGeom>
                    <a:ln/>
                  </pic:spPr>
                </pic:pic>
              </a:graphicData>
            </a:graphic>
          </wp:inline>
        </w:drawing>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B40356" w:rsidRPr="00063B6A" w:rsidRDefault="00B40356">
      <w:pPr>
        <w:spacing w:after="0" w:line="360" w:lineRule="auto"/>
        <w:rPr>
          <w:color w:val="000000"/>
        </w:rPr>
      </w:pPr>
    </w:p>
    <w:p w:rsidR="00B40356" w:rsidRPr="00063B6A" w:rsidRDefault="005F4EE9">
      <w:pPr>
        <w:numPr>
          <w:ilvl w:val="0"/>
          <w:numId w:val="3"/>
        </w:numPr>
        <w:pBdr>
          <w:top w:val="nil"/>
          <w:left w:val="nil"/>
          <w:bottom w:val="nil"/>
          <w:right w:val="nil"/>
          <w:between w:val="nil"/>
        </w:pBdr>
        <w:spacing w:after="0" w:line="360" w:lineRule="auto"/>
        <w:jc w:val="left"/>
        <w:rPr>
          <w:b/>
          <w:color w:val="000000"/>
        </w:rPr>
      </w:pPr>
      <w:r w:rsidRPr="00063B6A">
        <w:rPr>
          <w:b/>
          <w:color w:val="000000"/>
        </w:rPr>
        <w:t>Método de Pago</w:t>
      </w:r>
    </w:p>
    <w:p w:rsidR="00B40356" w:rsidRPr="00063B6A" w:rsidRDefault="00B40356">
      <w:pPr>
        <w:spacing w:after="0" w:line="360" w:lineRule="auto"/>
        <w:jc w:val="left"/>
        <w:rPr>
          <w:b/>
        </w:rPr>
      </w:pPr>
    </w:p>
    <w:p w:rsidR="00B40356" w:rsidRPr="00063B6A" w:rsidRDefault="005F4EE9">
      <w:pPr>
        <w:spacing w:after="0" w:line="360" w:lineRule="auto"/>
      </w:pPr>
      <w:r w:rsidRPr="00063B6A">
        <w:t>Al respecto, el Servicio de Administración Tributaria emitió el documento “Factura conoce la diferencia entre Forma de pago VS. Método de pago”, el cual establece que el método de pago corresponde al momento en que la operación es liquidada “Pago en una sola exhibición” o “Pago en parcialidades o diferido”</w:t>
      </w:r>
    </w:p>
    <w:p w:rsidR="00B40356" w:rsidRPr="00063B6A" w:rsidRDefault="00B40356">
      <w:pPr>
        <w:spacing w:after="0" w:line="360" w:lineRule="auto"/>
      </w:pPr>
    </w:p>
    <w:p w:rsidR="00B40356" w:rsidRPr="00063B6A" w:rsidRDefault="005F4EE9">
      <w:pPr>
        <w:spacing w:after="0" w:line="360" w:lineRule="auto"/>
      </w:pPr>
      <w:r w:rsidRPr="00063B6A">
        <w:t xml:space="preserve">En ese orden de ideas, la Guía de llenado del </w:t>
      </w:r>
      <w:proofErr w:type="spellStart"/>
      <w:r w:rsidRPr="00063B6A">
        <w:t>del</w:t>
      </w:r>
      <w:proofErr w:type="spellEnd"/>
      <w:r w:rsidRPr="00063B6A">
        <w:t xml:space="preserve"> comprobante del recibo de pago de nómina y su complemento, emitido por el órgano previamente referido, establece que en los Comprobantes Fiscales Digitales por Internet que se emitan por concepto de nómina, se deberá señalar la clave “PUE” (Pago en una sola exhibición).</w:t>
      </w:r>
    </w:p>
    <w:p w:rsidR="00B40356" w:rsidRPr="00063B6A" w:rsidRDefault="00B40356">
      <w:pPr>
        <w:spacing w:after="0" w:line="360" w:lineRule="auto"/>
      </w:pPr>
    </w:p>
    <w:p w:rsidR="00B40356" w:rsidRPr="00063B6A" w:rsidRDefault="005F4EE9">
      <w:pPr>
        <w:spacing w:after="0" w:line="360" w:lineRule="auto"/>
      </w:pPr>
      <w:r w:rsidRPr="00063B6A">
        <w:lastRenderedPageBreak/>
        <w:t>Conforme a lo anterior, este Instituto considera que el dato en análisis no es confidencial, ya que no se conforma de datos personales, ni trata de la vida íntima o privada del servidor público, por lo que, no procede su clasificación en términos del artículo 143, fracción I, de la Ley de Transparencia y Acceso a la Información Pública del Estado de México y Municipios.</w:t>
      </w:r>
    </w:p>
    <w:p w:rsidR="00B40356" w:rsidRPr="00063B6A" w:rsidRDefault="00B40356">
      <w:pPr>
        <w:spacing w:after="0" w:line="360" w:lineRule="auto"/>
      </w:pPr>
    </w:p>
    <w:p w:rsidR="00B40356" w:rsidRPr="00063B6A" w:rsidRDefault="005F4EE9">
      <w:pPr>
        <w:numPr>
          <w:ilvl w:val="0"/>
          <w:numId w:val="3"/>
        </w:numPr>
        <w:pBdr>
          <w:top w:val="nil"/>
          <w:left w:val="nil"/>
          <w:bottom w:val="nil"/>
          <w:right w:val="nil"/>
          <w:between w:val="nil"/>
        </w:pBdr>
        <w:spacing w:after="0" w:line="360" w:lineRule="auto"/>
        <w:jc w:val="left"/>
        <w:rPr>
          <w:b/>
          <w:color w:val="000000"/>
        </w:rPr>
      </w:pPr>
      <w:r w:rsidRPr="00063B6A">
        <w:rPr>
          <w:b/>
          <w:color w:val="000000"/>
        </w:rPr>
        <w:t>Clave SAT</w:t>
      </w:r>
    </w:p>
    <w:p w:rsidR="00B40356" w:rsidRPr="00063B6A" w:rsidRDefault="005F4EE9">
      <w:pPr>
        <w:spacing w:after="0" w:line="360" w:lineRule="auto"/>
      </w:pPr>
      <w:r w:rsidRPr="00063B6A">
        <w:t xml:space="preserve">Este dato, corresponde a un código de ocho dígitos que identifica de manera precisa el servicio por el que se está emitiendo un factura, en el presente caso, para el pago de nómina; por lo que, dicho dato sirve únicamente para asegurar el registro correcto para fines fiscales; por lo que, no se logra advertir de que manera dicho dato actualizaría la causal de clasificación, pues no contiene datos personales y por </w:t>
      </w:r>
      <w:proofErr w:type="spellStart"/>
      <w:r w:rsidRPr="00063B6A">
        <w:t>si</w:t>
      </w:r>
      <w:proofErr w:type="spellEnd"/>
      <w:r w:rsidRPr="00063B6A">
        <w:t xml:space="preserve"> sola no da acceso a otros datos personales, por lo que, no actualiza la causal de clasificación prevista, en el artículo 143, fracción I, de la Ley de Transparencia y Acceso a la Información Pública del Estado de México y Municipios.</w:t>
      </w:r>
    </w:p>
    <w:p w:rsidR="00B40356" w:rsidRPr="00063B6A" w:rsidRDefault="00B40356">
      <w:pPr>
        <w:spacing w:after="0" w:line="360" w:lineRule="auto"/>
        <w:jc w:val="left"/>
        <w:rPr>
          <w:b/>
        </w:rPr>
      </w:pPr>
    </w:p>
    <w:p w:rsidR="00B40356" w:rsidRPr="00063B6A" w:rsidRDefault="005F4EE9">
      <w:pPr>
        <w:numPr>
          <w:ilvl w:val="0"/>
          <w:numId w:val="3"/>
        </w:numPr>
        <w:pBdr>
          <w:top w:val="nil"/>
          <w:left w:val="nil"/>
          <w:bottom w:val="nil"/>
          <w:right w:val="nil"/>
          <w:between w:val="nil"/>
        </w:pBdr>
        <w:spacing w:after="0" w:line="360" w:lineRule="auto"/>
        <w:jc w:val="left"/>
        <w:rPr>
          <w:b/>
          <w:color w:val="000000"/>
        </w:rPr>
      </w:pPr>
      <w:r w:rsidRPr="00063B6A">
        <w:rPr>
          <w:b/>
          <w:color w:val="000000"/>
        </w:rPr>
        <w:t>Tipo de Jornada Laboral y fecha de ingreso.</w:t>
      </w:r>
    </w:p>
    <w:p w:rsidR="00B40356" w:rsidRPr="00063B6A" w:rsidRDefault="00B40356">
      <w:pPr>
        <w:spacing w:after="0" w:line="360" w:lineRule="auto"/>
        <w:rPr>
          <w:b/>
        </w:rPr>
      </w:pPr>
    </w:p>
    <w:p w:rsidR="00B40356" w:rsidRPr="00063B6A" w:rsidRDefault="005F4EE9">
      <w:pPr>
        <w:spacing w:after="0" w:line="360" w:lineRule="auto"/>
      </w:pPr>
      <w:r w:rsidRPr="00063B6A">
        <w:t>Respecto al primer dato, es de señalar que el artículo 59 y 60 de la Ley de Trabajo de los Servidores Públicos del Estado de México y Municipios, precisa que la Jornada de trabajo, es el tiempo durante el cual el servidor público está a disposición de la institución pública para prestar sus servicios, la cual puede ser diurna, nocturna o mixta.</w:t>
      </w:r>
    </w:p>
    <w:p w:rsidR="00B40356" w:rsidRPr="00063B6A" w:rsidRDefault="00B40356">
      <w:pPr>
        <w:spacing w:after="0" w:line="360" w:lineRule="auto"/>
        <w:rPr>
          <w:b/>
        </w:rPr>
      </w:pPr>
    </w:p>
    <w:p w:rsidR="00B40356" w:rsidRPr="00063B6A" w:rsidRDefault="005F4EE9">
      <w:pPr>
        <w:spacing w:after="0" w:line="360" w:lineRule="auto"/>
        <w:rPr>
          <w:color w:val="000000"/>
        </w:rPr>
      </w:pPr>
      <w:r w:rsidRPr="00063B6A">
        <w:rPr>
          <w:color w:val="000000"/>
        </w:rPr>
        <w:t>Finalmente, la fecha de alta, corresponde a aquella en la cual inicia labores un servidor público, es decir, que a partir de esta brinda un servicio subordinado a una institución pública; en otras palabras, corresponde al día en que un trabajador gubernamental empieza a ocupar un puesto específico en una institución pública.</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Por lo tanto, se logra vislumbrar que dichos datos no contienen información personal o privada de los servidores públicos, sino que solamente se relacionan con la situación específica laboral de estos; aunado a que conforme al artículo 92, fracción VII, de la Ley de Transparencia y Acceso a la Información Pública del Estado de México y Municipios, estos datos guardan la naturaleza de públicos; por lo que, no procede su clasificación, en términos del artículo 143, fracción I, de la Ley de Transparencia y Acceso a la Información Pública del Estado de México y Municipios.</w:t>
      </w:r>
    </w:p>
    <w:p w:rsidR="00B40356" w:rsidRPr="00063B6A" w:rsidRDefault="00B40356">
      <w:pPr>
        <w:spacing w:after="0" w:line="360" w:lineRule="auto"/>
        <w:rPr>
          <w:b/>
        </w:rPr>
      </w:pPr>
    </w:p>
    <w:p w:rsidR="00B40356" w:rsidRPr="00063B6A" w:rsidRDefault="005F4EE9">
      <w:pPr>
        <w:numPr>
          <w:ilvl w:val="0"/>
          <w:numId w:val="13"/>
        </w:numPr>
        <w:spacing w:after="0" w:line="360" w:lineRule="auto"/>
        <w:rPr>
          <w:b/>
          <w:color w:val="000000"/>
        </w:rPr>
      </w:pPr>
      <w:r w:rsidRPr="00063B6A">
        <w:rPr>
          <w:b/>
          <w:color w:val="000000"/>
        </w:rPr>
        <w:t>Cuenta bancaria de servidores públicos</w:t>
      </w:r>
    </w:p>
    <w:p w:rsidR="00B40356" w:rsidRPr="00063B6A" w:rsidRDefault="00B40356">
      <w:pPr>
        <w:spacing w:after="0" w:line="360" w:lineRule="auto"/>
        <w:ind w:left="720"/>
        <w:rPr>
          <w:b/>
          <w:color w:val="000000"/>
        </w:rPr>
      </w:pPr>
    </w:p>
    <w:p w:rsidR="00B40356" w:rsidRPr="00063B6A" w:rsidRDefault="005F4EE9">
      <w:pPr>
        <w:spacing w:after="0" w:line="360" w:lineRule="auto"/>
        <w:rPr>
          <w:color w:val="000000"/>
        </w:rPr>
      </w:pPr>
      <w:r w:rsidRPr="00063B6A">
        <w:rPr>
          <w:color w:val="000000"/>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rsidR="00B40356" w:rsidRPr="00063B6A" w:rsidRDefault="005F4EE9">
      <w:pPr>
        <w:spacing w:after="0" w:line="360" w:lineRule="auto"/>
        <w:rPr>
          <w:color w:val="000000"/>
        </w:rPr>
      </w:pPr>
      <w:r w:rsidRPr="00063B6A">
        <w:rPr>
          <w:color w:val="000000"/>
        </w:rPr>
        <w:t> </w:t>
      </w:r>
    </w:p>
    <w:p w:rsidR="00B40356" w:rsidRPr="00063B6A" w:rsidRDefault="005F4EE9">
      <w:pPr>
        <w:spacing w:after="0" w:line="360" w:lineRule="auto"/>
        <w:rPr>
          <w:color w:val="000000"/>
        </w:rPr>
      </w:pPr>
      <w:r w:rsidRPr="00063B6A">
        <w:rPr>
          <w:color w:val="000000"/>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rsidR="00B40356" w:rsidRPr="00063B6A" w:rsidRDefault="00B40356">
      <w:pPr>
        <w:spacing w:after="0" w:line="360" w:lineRule="auto"/>
        <w:rPr>
          <w:color w:val="000000"/>
        </w:rPr>
      </w:pPr>
    </w:p>
    <w:p w:rsidR="00B40356" w:rsidRPr="00063B6A" w:rsidRDefault="005F4EE9">
      <w:pPr>
        <w:spacing w:after="0" w:line="360" w:lineRule="auto"/>
        <w:ind w:left="567" w:right="567"/>
        <w:rPr>
          <w:i/>
          <w:color w:val="000000"/>
          <w:sz w:val="20"/>
          <w:szCs w:val="20"/>
        </w:rPr>
      </w:pPr>
      <w:r w:rsidRPr="00063B6A">
        <w:rPr>
          <w:i/>
          <w:color w:val="000000"/>
          <w:sz w:val="20"/>
          <w:szCs w:val="20"/>
        </w:rPr>
        <w:lastRenderedPageBreak/>
        <w:t>“</w:t>
      </w:r>
      <w:r w:rsidRPr="00063B6A">
        <w:rPr>
          <w:b/>
          <w:i/>
          <w:color w:val="000000"/>
          <w:sz w:val="20"/>
          <w:szCs w:val="20"/>
        </w:rPr>
        <w:t>Cuentas bancarias y/o CLABE interbancaria de personas físicas y morales privadas.</w:t>
      </w:r>
      <w:r w:rsidRPr="00063B6A">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B40356" w:rsidRPr="00063B6A" w:rsidRDefault="00B40356">
      <w:pPr>
        <w:spacing w:after="0" w:line="360" w:lineRule="auto"/>
        <w:rPr>
          <w:b/>
        </w:rPr>
      </w:pPr>
    </w:p>
    <w:p w:rsidR="00B40356" w:rsidRPr="00063B6A" w:rsidRDefault="005F4EE9">
      <w:pPr>
        <w:numPr>
          <w:ilvl w:val="0"/>
          <w:numId w:val="12"/>
        </w:numPr>
        <w:spacing w:after="0" w:line="360" w:lineRule="auto"/>
        <w:jc w:val="left"/>
        <w:rPr>
          <w:b/>
          <w:color w:val="000000"/>
        </w:rPr>
      </w:pPr>
      <w:r w:rsidRPr="00063B6A">
        <w:rPr>
          <w:b/>
          <w:color w:val="000000"/>
        </w:rPr>
        <w:t>Nombre de institución bancaria utilizada por el servidor público</w:t>
      </w:r>
    </w:p>
    <w:p w:rsidR="00B40356" w:rsidRPr="00063B6A" w:rsidRDefault="00B40356">
      <w:pPr>
        <w:spacing w:after="0" w:line="360" w:lineRule="auto"/>
        <w:rPr>
          <w:b/>
          <w:color w:val="000000"/>
        </w:rPr>
      </w:pPr>
    </w:p>
    <w:p w:rsidR="00B40356" w:rsidRPr="00063B6A" w:rsidRDefault="005F4EE9">
      <w:pPr>
        <w:spacing w:after="0" w:line="360" w:lineRule="auto"/>
        <w:rPr>
          <w:color w:val="000000"/>
        </w:rPr>
      </w:pPr>
      <w:r w:rsidRPr="00063B6A">
        <w:rPr>
          <w:color w:val="000000"/>
        </w:rPr>
        <w:t xml:space="preserve">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w:t>
      </w:r>
      <w:r w:rsidRPr="00063B6A">
        <w:rPr>
          <w:color w:val="000000"/>
        </w:rPr>
        <w:lastRenderedPageBreak/>
        <w:t>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 xml:space="preserve">En ese orden de ideas, en el portal de la Comisión Nacional para la Protección y Defensa de los Usuarios de Servicios Financieros (consultado el veintisiete de noviembre de dos mil veinticuatro en </w:t>
      </w:r>
      <w:hyperlink r:id="rId16">
        <w:r w:rsidRPr="00063B6A">
          <w:rPr>
            <w:color w:val="0000FF"/>
            <w:u w:val="single"/>
          </w:rPr>
          <w:t>https://www.condusef.gob.mx/Revista/index.php/usuario-inteligente/condusef-responde/777-la-condusef-te-puede-ayudar</w:t>
        </w:r>
      </w:hyperlink>
      <w:r w:rsidRPr="00063B6A">
        <w:rPr>
          <w:color w:val="000000"/>
        </w:rPr>
        <w:t>), se establece que los bancos son instituciones financieras; conforme a lo anterior, se puede advertir que las instituciones bancarias, son personas morales.</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 xml:space="preserve">En ese orden de ideas, se considera que la denominación o razón social de una persona moral, es pública, pues dichos datos se encuentran inscritos en el Registro Público del Comercio; lo anterior, se robustece con el hecho de que existe el Sistema de Registro de Prestadores de Servicios Financieros (consultado el veintisiete de noviembre de dos mil veinticuatro, a las trece horas, en la liga https://webapps.condusef.gob.mx/SIPRES/jsp/pub/index.jsp), que es un registro de </w:t>
      </w:r>
      <w:r w:rsidRPr="00063B6A">
        <w:rPr>
          <w:b/>
          <w:color w:val="000000"/>
        </w:rPr>
        <w:t xml:space="preserve">carácter público, </w:t>
      </w:r>
      <w:r w:rsidRPr="00063B6A">
        <w:rPr>
          <w:color w:val="000000"/>
        </w:rPr>
        <w:t>cuyo objetivo principal, consiste en proporcionar información corporativa y general de las instituciones financieras</w:t>
      </w:r>
      <w:r w:rsidRPr="00063B6A">
        <w:rPr>
          <w:b/>
          <w:color w:val="000000"/>
        </w:rPr>
        <w:t xml:space="preserve">; además, que permite conocer al público general, información de dichos entes, </w:t>
      </w:r>
      <w:r w:rsidRPr="00063B6A">
        <w:rPr>
          <w:color w:val="000000"/>
        </w:rPr>
        <w:t xml:space="preserve">se muestra un ejemplo a continuación: </w:t>
      </w:r>
    </w:p>
    <w:p w:rsidR="00B40356" w:rsidRPr="00063B6A" w:rsidRDefault="00B40356">
      <w:pPr>
        <w:spacing w:after="0" w:line="360" w:lineRule="auto"/>
        <w:rPr>
          <w:color w:val="000000"/>
        </w:rPr>
      </w:pPr>
    </w:p>
    <w:p w:rsidR="00B40356" w:rsidRPr="00063B6A" w:rsidRDefault="005F4EE9">
      <w:pPr>
        <w:spacing w:after="0" w:line="360" w:lineRule="auto"/>
        <w:jc w:val="center"/>
        <w:rPr>
          <w:color w:val="000000"/>
        </w:rPr>
      </w:pPr>
      <w:r w:rsidRPr="00063B6A">
        <w:rPr>
          <w:noProof/>
          <w:color w:val="000000"/>
        </w:rPr>
        <w:drawing>
          <wp:inline distT="0" distB="0" distL="0" distR="0">
            <wp:extent cx="5295900" cy="1295400"/>
            <wp:effectExtent l="0" t="0" r="0" b="0"/>
            <wp:docPr id="2031981870" name="image1.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Escala de tiempo&#10;&#10;Descripción generada automáticamente"/>
                    <pic:cNvPicPr preferRelativeResize="0"/>
                  </pic:nvPicPr>
                  <pic:blipFill>
                    <a:blip r:embed="rId17"/>
                    <a:srcRect t="2" b="52956"/>
                    <a:stretch>
                      <a:fillRect/>
                    </a:stretch>
                  </pic:blipFill>
                  <pic:spPr>
                    <a:xfrm>
                      <a:off x="0" y="0"/>
                      <a:ext cx="5295900" cy="1295400"/>
                    </a:xfrm>
                    <a:prstGeom prst="rect">
                      <a:avLst/>
                    </a:prstGeom>
                    <a:ln/>
                  </pic:spPr>
                </pic:pic>
              </a:graphicData>
            </a:graphic>
          </wp:inline>
        </w:drawing>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Conforme a lo anterior, se logra vislumbrar que el nombre de las instituciones bancarias es de naturaleza pública; sin embargo, en el presente caso, se relacionada con el hecho de que corresponde al banco en el cual el servidor público decidió recibir el pago de remuneraciones; es decir, daría cuenta de la decisión voluntaria del servidor público de recibir el pago de sus servicios en una determinada institución.</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Además, revelaría el lugar en donde el trabajador es cliente para ocupar los servicios del banco, lo cual únicamente está relacionado a su vida íntima o privada; por lo que, este Instituto considera que el nombre de la institución bancaria, actualiza la causal de clasificación prevista en el artículo 143, fracción I, de la Ley de Transparencia y Acceso a la Información Pública del Estado de México y Municipios.</w:t>
      </w:r>
    </w:p>
    <w:p w:rsidR="00B40356" w:rsidRPr="00063B6A" w:rsidRDefault="00B40356">
      <w:pPr>
        <w:spacing w:after="0" w:line="360" w:lineRule="auto"/>
        <w:rPr>
          <w:b/>
        </w:rPr>
      </w:pPr>
    </w:p>
    <w:p w:rsidR="00B40356" w:rsidRPr="00063B6A" w:rsidRDefault="005F4EE9">
      <w:pPr>
        <w:spacing w:after="0" w:line="360" w:lineRule="auto"/>
      </w:pPr>
      <w:r w:rsidRPr="00063B6A">
        <w:t>Ahora bien, por lo que hace a conocer el horario de labores de las personas servidoras públicas, se hace del conocimiento de la persona solicitante que el artículo 123, párrafo primero, apartado B, fracciones I y II, de la Constitución Política de los Estados Unidos Mexicanos establece que la duración de la jornada máxima será de ocho horas y que, por cada seis días de trabajo, disfrutará el trabajador de un día de descanso, cuando menos con goce de salario íntegro. Por lo que se considera de carácter público al ser un dato de aplicación general.</w:t>
      </w:r>
    </w:p>
    <w:p w:rsidR="00B40356" w:rsidRPr="00063B6A" w:rsidRDefault="00B40356">
      <w:pPr>
        <w:pBdr>
          <w:top w:val="nil"/>
          <w:left w:val="nil"/>
          <w:bottom w:val="nil"/>
          <w:right w:val="nil"/>
          <w:between w:val="nil"/>
        </w:pBdr>
        <w:spacing w:after="0" w:line="360" w:lineRule="auto"/>
        <w:ind w:left="720"/>
        <w:jc w:val="left"/>
        <w:rPr>
          <w:b/>
          <w:color w:val="000000"/>
        </w:rPr>
      </w:pPr>
    </w:p>
    <w:p w:rsidR="00B40356" w:rsidRPr="00063B6A" w:rsidRDefault="005F4EE9">
      <w:pPr>
        <w:tabs>
          <w:tab w:val="center" w:pos="4522"/>
        </w:tabs>
        <w:spacing w:after="0" w:line="360" w:lineRule="auto"/>
        <w:rPr>
          <w:color w:val="000000"/>
        </w:rPr>
      </w:pPr>
      <w:r w:rsidRPr="00063B6A">
        <w:rPr>
          <w:color w:val="000000"/>
        </w:rPr>
        <w:t xml:space="preserve">Conforme a lo anterior, se logra vislumbrar que el Sujeto Obligado clasificó datos de naturaleza pública, por lo que, deberá entregar de nueva cuenta el recibo de nómina, en donde únicamente podrá clasificar en términos del artículo 143, fracción I, de la Ley de Transparencia y Acceso a la Información Pública del Estado de México y Municipios, el Registro Federal de Contribuyentes, la Clave Única de Registro de Población, el Número de </w:t>
      </w:r>
      <w:r w:rsidRPr="00063B6A">
        <w:rPr>
          <w:color w:val="000000"/>
        </w:rPr>
        <w:lastRenderedPageBreak/>
        <w:t>Seguridad Social,, código QR, las deducciones personales la cuenta bancaria, el banco utilizado por el servidor público y, en su caso, sellos digitales del emisor y del Servicio de Administración Tributaria y cadena original del complemento de certificación digital del órgano previamente señalado (para el supuesto que se conforme de datos personales como RFC o CURP).</w:t>
      </w:r>
    </w:p>
    <w:p w:rsidR="00B40356" w:rsidRPr="00063B6A" w:rsidRDefault="00B40356">
      <w:pPr>
        <w:spacing w:after="0" w:line="360" w:lineRule="auto"/>
        <w:rPr>
          <w:color w:val="000000"/>
        </w:rPr>
      </w:pPr>
    </w:p>
    <w:p w:rsidR="00B40356" w:rsidRPr="00063B6A" w:rsidRDefault="005F4EE9">
      <w:pPr>
        <w:spacing w:after="0" w:line="360" w:lineRule="auto"/>
        <w:rPr>
          <w:b/>
          <w:color w:val="000000"/>
        </w:rPr>
      </w:pPr>
      <w:r w:rsidRPr="00063B6A">
        <w:rPr>
          <w:b/>
          <w:color w:val="000000"/>
        </w:rPr>
        <w:t xml:space="preserve"> Liga de Acceso a la Información.</w:t>
      </w:r>
    </w:p>
    <w:p w:rsidR="00B40356" w:rsidRPr="00063B6A" w:rsidRDefault="00B40356">
      <w:pPr>
        <w:spacing w:after="0" w:line="360" w:lineRule="auto"/>
        <w:rPr>
          <w:b/>
          <w:color w:val="000000"/>
        </w:rPr>
      </w:pPr>
    </w:p>
    <w:p w:rsidR="00B40356" w:rsidRPr="00063B6A" w:rsidRDefault="005F4EE9">
      <w:pPr>
        <w:spacing w:after="0" w:line="360" w:lineRule="auto"/>
        <w:rPr>
          <w:color w:val="000000"/>
        </w:rPr>
      </w:pPr>
      <w:r w:rsidRPr="00063B6A">
        <w:rPr>
          <w:color w:val="000000"/>
        </w:rPr>
        <w:t>En principio, es necesario precisar que la pretensión de la persona Recurrente es obtener el último recibo de nómina pagado a la fecha de la solicitud, es decir, al veintiséis de marzo de dos mil veinticinco, lo cual se traduce a la primera quincena de dicho mes y año.</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 xml:space="preserve">Ahora bien, respecto a la Directora de Gobierno Digital, este Instituto realizó una búsqueda en el Portal de </w:t>
      </w:r>
      <w:proofErr w:type="spellStart"/>
      <w:r w:rsidRPr="00063B6A">
        <w:rPr>
          <w:color w:val="000000"/>
        </w:rPr>
        <w:t>Informacion</w:t>
      </w:r>
      <w:proofErr w:type="spellEnd"/>
      <w:r w:rsidRPr="00063B6A">
        <w:rPr>
          <w:color w:val="000000"/>
        </w:rPr>
        <w:t xml:space="preserve"> Pública de Oficio Mexiquense (SAIMEX) y localizó que la pretensión de la persona Solicitante, es obtener el recibo de nómina de Norma Leticia Portillo Albarrán, Coordinadora de Tecnologías de la Información y Gobierno Digital (área homóloga a la referida en el requerimiento de </w:t>
      </w:r>
      <w:proofErr w:type="spellStart"/>
      <w:r w:rsidRPr="00063B6A">
        <w:rPr>
          <w:color w:val="000000"/>
        </w:rPr>
        <w:t>informción</w:t>
      </w:r>
      <w:proofErr w:type="spellEnd"/>
      <w:r w:rsidRPr="00063B6A">
        <w:rPr>
          <w:color w:val="000000"/>
        </w:rPr>
        <w:t>).</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 xml:space="preserve">Ahora bien, el Sujeto Obligado turno la solicitud de información a la Tesorería Municipal, área competente para </w:t>
      </w:r>
      <w:proofErr w:type="spellStart"/>
      <w:r w:rsidRPr="00063B6A">
        <w:rPr>
          <w:color w:val="000000"/>
        </w:rPr>
        <w:t>concoer</w:t>
      </w:r>
      <w:proofErr w:type="spellEnd"/>
      <w:r w:rsidRPr="00063B6A">
        <w:rPr>
          <w:color w:val="000000"/>
        </w:rPr>
        <w:t xml:space="preserve"> de lo peticionado, pues como quedo verificado en el presente expediente, dicha área cuenta con los recibos de nómina de los servidores públicos; en ese contexto, el Sujeto Obligado, tanto en respuesta, como Informe Justificado, mencionó que la información se localizaba en una liga electrónica, la cual se logra vislumbrar que se encuentra en un formato cerrado, es decir, que no se puede copiar y pegar para tener acceso.</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lastRenderedPageBreak/>
        <w:t>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rsidR="00B40356" w:rsidRPr="00063B6A" w:rsidRDefault="00B40356">
      <w:pPr>
        <w:spacing w:after="0" w:line="360" w:lineRule="auto"/>
        <w:rPr>
          <w:color w:val="000000"/>
        </w:rPr>
      </w:pPr>
    </w:p>
    <w:p w:rsidR="00B40356" w:rsidRPr="00063B6A" w:rsidRDefault="005F4EE9">
      <w:pPr>
        <w:numPr>
          <w:ilvl w:val="0"/>
          <w:numId w:val="5"/>
        </w:numPr>
        <w:pBdr>
          <w:top w:val="nil"/>
          <w:left w:val="nil"/>
          <w:bottom w:val="nil"/>
          <w:right w:val="nil"/>
          <w:between w:val="nil"/>
        </w:pBdr>
        <w:spacing w:after="0" w:line="360" w:lineRule="auto"/>
        <w:rPr>
          <w:color w:val="000000"/>
        </w:rPr>
      </w:pPr>
      <w:r w:rsidRPr="00063B6A">
        <w:rPr>
          <w:b/>
          <w:color w:val="000000"/>
        </w:rPr>
        <w:t>Dato abierto:</w:t>
      </w:r>
      <w:r w:rsidRPr="00063B6A">
        <w:rPr>
          <w:color w:val="000000"/>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rsidR="00B40356" w:rsidRPr="00063B6A" w:rsidRDefault="00B40356">
      <w:pPr>
        <w:spacing w:after="0" w:line="360" w:lineRule="auto"/>
      </w:pPr>
    </w:p>
    <w:p w:rsidR="00B40356" w:rsidRPr="00063B6A" w:rsidRDefault="005F4EE9">
      <w:pPr>
        <w:numPr>
          <w:ilvl w:val="0"/>
          <w:numId w:val="5"/>
        </w:numPr>
        <w:pBdr>
          <w:top w:val="nil"/>
          <w:left w:val="nil"/>
          <w:bottom w:val="nil"/>
          <w:right w:val="nil"/>
          <w:between w:val="nil"/>
        </w:pBdr>
        <w:spacing w:after="0" w:line="360" w:lineRule="auto"/>
        <w:rPr>
          <w:color w:val="000000"/>
        </w:rPr>
      </w:pPr>
      <w:r w:rsidRPr="00063B6A">
        <w:rPr>
          <w:b/>
          <w:color w:val="000000"/>
        </w:rPr>
        <w:t>Formato accesible:</w:t>
      </w:r>
      <w:r w:rsidRPr="00063B6A">
        <w:rPr>
          <w:color w:val="000000"/>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rsidR="00B40356" w:rsidRPr="00063B6A" w:rsidRDefault="00B40356">
      <w:pPr>
        <w:spacing w:after="0" w:line="360" w:lineRule="auto"/>
        <w:rPr>
          <w:color w:val="000000"/>
        </w:rPr>
      </w:pPr>
    </w:p>
    <w:p w:rsidR="00B40356" w:rsidRPr="00063B6A" w:rsidRDefault="005F4EE9">
      <w:pPr>
        <w:spacing w:after="0" w:line="360" w:lineRule="auto"/>
      </w:pPr>
      <w:r w:rsidRPr="00063B6A">
        <w:rPr>
          <w:color w:val="000000"/>
        </w:rPr>
        <w:t xml:space="preserve">Como se logra observar, el Sujeto Obligado si bien señaló una liga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 además de que el Ayuntamiento de </w:t>
      </w:r>
      <w:proofErr w:type="spellStart"/>
      <w:r w:rsidRPr="00063B6A">
        <w:rPr>
          <w:color w:val="000000"/>
        </w:rPr>
        <w:t>Otzolotepec</w:t>
      </w:r>
      <w:proofErr w:type="spellEnd"/>
      <w:r w:rsidRPr="00063B6A">
        <w:rPr>
          <w:color w:val="000000"/>
        </w:rPr>
        <w:t xml:space="preserve">, no señaló el procedimiento para acceder a los documentos o registros para acceder a la información; por lo que, se considera que incumplió con lo establecido en el artículo 161 de la Ley de Transparencia y Acceso a la Información Pública del Estado de México y Municipios. </w:t>
      </w:r>
      <w:r w:rsidRPr="00063B6A">
        <w:t>Lo anterior, se robustece con el hecho de que se revisó la liga electrónica, la cual no remite a la información solicitada, tal como se muestra a continuación:</w:t>
      </w:r>
    </w:p>
    <w:p w:rsidR="00B40356" w:rsidRPr="00063B6A" w:rsidRDefault="00B40356">
      <w:pPr>
        <w:spacing w:after="0" w:line="360" w:lineRule="auto"/>
      </w:pPr>
    </w:p>
    <w:p w:rsidR="00B40356" w:rsidRPr="00063B6A" w:rsidRDefault="005F4EE9">
      <w:pPr>
        <w:spacing w:after="0" w:line="360" w:lineRule="auto"/>
        <w:ind w:left="720" w:hanging="720"/>
        <w:jc w:val="center"/>
      </w:pPr>
      <w:r w:rsidRPr="00063B6A">
        <w:rPr>
          <w:noProof/>
        </w:rPr>
        <w:lastRenderedPageBreak/>
        <w:drawing>
          <wp:inline distT="0" distB="0" distL="0" distR="0">
            <wp:extent cx="4144014" cy="1971294"/>
            <wp:effectExtent l="0" t="0" r="0" b="0"/>
            <wp:docPr id="203198186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4144014" cy="1971294"/>
                    </a:xfrm>
                    <a:prstGeom prst="rect">
                      <a:avLst/>
                    </a:prstGeom>
                    <a:ln/>
                  </pic:spPr>
                </pic:pic>
              </a:graphicData>
            </a:graphic>
          </wp:inline>
        </w:drawing>
      </w:r>
    </w:p>
    <w:p w:rsidR="00B40356" w:rsidRPr="00063B6A" w:rsidRDefault="00B40356">
      <w:pPr>
        <w:spacing w:after="0" w:line="360" w:lineRule="auto"/>
      </w:pPr>
    </w:p>
    <w:p w:rsidR="00B40356" w:rsidRPr="00063B6A" w:rsidRDefault="005F4EE9">
      <w:pPr>
        <w:spacing w:after="0" w:line="360" w:lineRule="auto"/>
        <w:rPr>
          <w:color w:val="000000"/>
        </w:rPr>
      </w:pPr>
      <w:r w:rsidRPr="00063B6A">
        <w:rPr>
          <w:color w:val="000000"/>
        </w:rPr>
        <w:t>Por lo que para atender el requerimiento el requerimiento de información, el Sujeto Obligado deberá realizar una búsqueda exhaustiva y razonable en los archivos de todas sus áreas competentes, a efecto que proporcione el recibo de nómina de la primera quincena de marzo de dos mil veinticinco, de la Coordinadora de Tecnologías de la Información y Gobierno Digital;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 xml:space="preserve">De esta manera, el derecho de acceso a la información pública se satisface en aquellos casos en que se entregue el soporte documental en el que conste la información solicitada, sin necesidad de elaborar documentos </w:t>
      </w:r>
      <w:r w:rsidRPr="00063B6A">
        <w:rPr>
          <w:i/>
          <w:color w:val="000000"/>
        </w:rPr>
        <w:t>ad hoc;</w:t>
      </w:r>
      <w:r w:rsidRPr="00063B6A">
        <w:rPr>
          <w:color w:val="000000"/>
        </w:rPr>
        <w:t xml:space="preserve"> lo cual, de conformidad con en el artículo 160 de la Ley de Transparencia y Acceso a la Información Pública del Estado de México y Municipios, el cual refiere que los sujetos obligados deberán entregar la información que obre en sus archivos.</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el recibo de nómina solicitado.</w:t>
      </w:r>
    </w:p>
    <w:p w:rsidR="00B40356" w:rsidRPr="00063B6A" w:rsidRDefault="00B40356">
      <w:pPr>
        <w:tabs>
          <w:tab w:val="center" w:pos="4522"/>
        </w:tabs>
        <w:spacing w:after="0" w:line="360" w:lineRule="auto"/>
        <w:rPr>
          <w:color w:val="000000"/>
        </w:rPr>
      </w:pPr>
    </w:p>
    <w:p w:rsidR="00B40356" w:rsidRPr="00063B6A" w:rsidRDefault="005F4EE9">
      <w:pPr>
        <w:spacing w:after="0" w:line="360" w:lineRule="auto"/>
        <w:rPr>
          <w:color w:val="000000"/>
        </w:rPr>
      </w:pPr>
      <w:r w:rsidRPr="00063B6A">
        <w:rPr>
          <w:color w:val="000000"/>
        </w:rPr>
        <w:t xml:space="preserve">Conforme a lo anterior, se considera que el Sujeto Obliga deberá entregar en versión pública los documentos, tomando en consideración los datos analizados en el presente Considerando; 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B40356" w:rsidRPr="00063B6A" w:rsidRDefault="00B40356">
      <w:pPr>
        <w:spacing w:after="0" w:line="360" w:lineRule="auto"/>
        <w:rPr>
          <w:color w:val="000000"/>
        </w:rPr>
      </w:pPr>
    </w:p>
    <w:p w:rsidR="00B40356" w:rsidRPr="00063B6A" w:rsidRDefault="005F4EE9">
      <w:pPr>
        <w:spacing w:after="0" w:line="360" w:lineRule="auto"/>
        <w:rPr>
          <w:color w:val="000000"/>
        </w:rPr>
      </w:pPr>
      <w:r w:rsidRPr="00063B6A">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B40356" w:rsidRPr="00063B6A" w:rsidRDefault="00B40356">
      <w:pPr>
        <w:tabs>
          <w:tab w:val="center" w:pos="4522"/>
        </w:tabs>
        <w:spacing w:after="0" w:line="360" w:lineRule="auto"/>
        <w:rPr>
          <w:color w:val="000000"/>
        </w:rPr>
      </w:pPr>
    </w:p>
    <w:p w:rsidR="00B40356" w:rsidRPr="00063B6A" w:rsidRDefault="005F4EE9">
      <w:pPr>
        <w:pStyle w:val="Ttulo2"/>
        <w:spacing w:before="0" w:after="0" w:line="360" w:lineRule="auto"/>
        <w:rPr>
          <w:sz w:val="22"/>
          <w:szCs w:val="22"/>
        </w:rPr>
      </w:pPr>
      <w:bookmarkStart w:id="24" w:name="_Toc209098829"/>
      <w:r w:rsidRPr="00063B6A">
        <w:rPr>
          <w:sz w:val="22"/>
          <w:szCs w:val="22"/>
        </w:rPr>
        <w:t>SEXTO. Decisión</w:t>
      </w:r>
      <w:bookmarkEnd w:id="24"/>
    </w:p>
    <w:p w:rsidR="00B40356" w:rsidRPr="00063B6A" w:rsidRDefault="00B40356">
      <w:pPr>
        <w:spacing w:after="0" w:line="360" w:lineRule="auto"/>
        <w:rPr>
          <w:b/>
        </w:rPr>
      </w:pPr>
    </w:p>
    <w:p w:rsidR="00B40356" w:rsidRPr="00063B6A" w:rsidRDefault="005F4EE9">
      <w:pPr>
        <w:spacing w:after="0" w:line="360" w:lineRule="auto"/>
      </w:pPr>
      <w:r w:rsidRPr="00063B6A">
        <w:t xml:space="preserve">De acuerdo con lo expuesto y, con fundamento en el artículo 186, fracción III, de la Ley de Transparencia y Acceso a la Información Pública del Estado de México y Municipios, este Instituto considera procedente </w:t>
      </w:r>
      <w:r w:rsidRPr="00063B6A">
        <w:rPr>
          <w:b/>
        </w:rPr>
        <w:t xml:space="preserve">REVOCA y MODIFICAR </w:t>
      </w:r>
      <w:r w:rsidRPr="00063B6A">
        <w:t xml:space="preserve">la respuesta del Ayuntamiento de </w:t>
      </w:r>
      <w:proofErr w:type="spellStart"/>
      <w:r w:rsidRPr="00063B6A">
        <w:lastRenderedPageBreak/>
        <w:t>Otzolotepec</w:t>
      </w:r>
      <w:proofErr w:type="spellEnd"/>
      <w:r w:rsidRPr="00063B6A">
        <w:rPr>
          <w:b/>
        </w:rPr>
        <w:t xml:space="preserve">, </w:t>
      </w:r>
      <w:r w:rsidRPr="00063B6A">
        <w:t>a efecto de que proporcione los recibos de nómina de las dos personas servidoras públicas.</w:t>
      </w:r>
    </w:p>
    <w:p w:rsidR="00B40356" w:rsidRPr="00063B6A" w:rsidRDefault="00B40356">
      <w:pPr>
        <w:spacing w:after="0" w:line="360" w:lineRule="auto"/>
      </w:pPr>
    </w:p>
    <w:p w:rsidR="00B40356" w:rsidRPr="00063B6A" w:rsidRDefault="005F4EE9">
      <w:pPr>
        <w:spacing w:after="0" w:line="360" w:lineRule="auto"/>
        <w:rPr>
          <w:b/>
        </w:rPr>
      </w:pPr>
      <w:r w:rsidRPr="00063B6A">
        <w:rPr>
          <w:b/>
        </w:rPr>
        <w:t>Términos de la Resolución para conocimiento del Particular</w:t>
      </w:r>
    </w:p>
    <w:p w:rsidR="00B40356" w:rsidRPr="00063B6A" w:rsidRDefault="00B40356">
      <w:pPr>
        <w:spacing w:after="0" w:line="360" w:lineRule="auto"/>
        <w:rPr>
          <w:b/>
        </w:rPr>
      </w:pPr>
    </w:p>
    <w:p w:rsidR="00B40356" w:rsidRPr="00063B6A" w:rsidRDefault="005F4EE9">
      <w:pPr>
        <w:spacing w:after="0" w:line="360" w:lineRule="auto"/>
      </w:pPr>
      <w:r w:rsidRPr="00063B6A">
        <w:t>Se le hace del conocimiento a la persona Recurrente que, en el presente asunto, se le da la razón, pues el Sujeto Obligado, omitió entregar la información de manera completa, por lo que, deberá hacer la entrega de la información solicitada.</w:t>
      </w:r>
    </w:p>
    <w:p w:rsidR="00B40356" w:rsidRPr="00063B6A" w:rsidRDefault="00B40356">
      <w:pPr>
        <w:spacing w:after="0" w:line="360" w:lineRule="auto"/>
      </w:pPr>
    </w:p>
    <w:p w:rsidR="00B40356" w:rsidRPr="00063B6A" w:rsidRDefault="005F4EE9">
      <w:pPr>
        <w:spacing w:after="0" w:line="360" w:lineRule="auto"/>
      </w:pPr>
      <w:r w:rsidRPr="00063B6A">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rsidR="00B40356" w:rsidRPr="00063B6A" w:rsidRDefault="00B40356">
      <w:pPr>
        <w:spacing w:after="0" w:line="360" w:lineRule="auto"/>
      </w:pPr>
    </w:p>
    <w:p w:rsidR="00B40356" w:rsidRPr="00063B6A" w:rsidRDefault="005F4EE9">
      <w:pPr>
        <w:spacing w:after="0" w:line="360" w:lineRule="auto"/>
      </w:pPr>
      <w:r w:rsidRPr="00063B6A">
        <w:t>Por lo expuesto y fundado, este Pleno:</w:t>
      </w:r>
    </w:p>
    <w:p w:rsidR="00B40356" w:rsidRPr="00063B6A" w:rsidRDefault="00B40356">
      <w:pPr>
        <w:spacing w:after="0" w:line="360" w:lineRule="auto"/>
      </w:pPr>
    </w:p>
    <w:p w:rsidR="00B40356" w:rsidRPr="00063B6A" w:rsidRDefault="005F4EE9">
      <w:pPr>
        <w:pStyle w:val="Ttulo1"/>
        <w:spacing w:before="0" w:after="0" w:line="360" w:lineRule="auto"/>
        <w:jc w:val="center"/>
        <w:rPr>
          <w:sz w:val="22"/>
          <w:szCs w:val="22"/>
        </w:rPr>
      </w:pPr>
      <w:bookmarkStart w:id="25" w:name="_heading=h.s9tva37pk0ys" w:colFirst="0" w:colLast="0"/>
      <w:bookmarkStart w:id="26" w:name="_Toc209098830"/>
      <w:bookmarkEnd w:id="25"/>
      <w:r w:rsidRPr="00063B6A">
        <w:rPr>
          <w:sz w:val="22"/>
          <w:szCs w:val="22"/>
        </w:rPr>
        <w:t>R E S U E L V E</w:t>
      </w:r>
      <w:bookmarkEnd w:id="26"/>
    </w:p>
    <w:p w:rsidR="00B40356" w:rsidRPr="00063B6A" w:rsidRDefault="00B40356">
      <w:pPr>
        <w:spacing w:after="0" w:line="360" w:lineRule="auto"/>
        <w:rPr>
          <w:b/>
        </w:rPr>
      </w:pPr>
    </w:p>
    <w:p w:rsidR="00B40356" w:rsidRPr="00063B6A" w:rsidRDefault="005F4EE9">
      <w:pPr>
        <w:spacing w:after="0" w:line="360" w:lineRule="auto"/>
      </w:pPr>
      <w:r w:rsidRPr="00063B6A">
        <w:rPr>
          <w:b/>
        </w:rPr>
        <w:t xml:space="preserve">PRIMERO. </w:t>
      </w:r>
      <w:r w:rsidRPr="00063B6A">
        <w:t xml:space="preserve">Se </w:t>
      </w:r>
      <w:r w:rsidRPr="00063B6A">
        <w:rPr>
          <w:b/>
        </w:rPr>
        <w:t xml:space="preserve">MODIFICA </w:t>
      </w:r>
      <w:r w:rsidRPr="00063B6A">
        <w:t xml:space="preserve">la respuesta entregada por el Ayuntamiento de </w:t>
      </w:r>
      <w:proofErr w:type="spellStart"/>
      <w:r w:rsidRPr="00063B6A">
        <w:t>Otzolotepec</w:t>
      </w:r>
      <w:proofErr w:type="spellEnd"/>
      <w:r w:rsidRPr="00063B6A">
        <w:t xml:space="preserve">, a la solicitud de información 00141/OTZOLOTE/IP/2025 por resultar </w:t>
      </w:r>
      <w:r w:rsidRPr="00063B6A">
        <w:rPr>
          <w:b/>
        </w:rPr>
        <w:t xml:space="preserve">FUNDADAS </w:t>
      </w:r>
      <w:r w:rsidRPr="00063B6A">
        <w:t>las razones o motivos de inconformidad hechos valer por el Recurrente, en términos de los considerandos QUINTO y SEXTO de la presente Resolución.</w:t>
      </w:r>
    </w:p>
    <w:p w:rsidR="00B40356" w:rsidRPr="00063B6A" w:rsidRDefault="00B40356">
      <w:pPr>
        <w:spacing w:after="0" w:line="360" w:lineRule="auto"/>
      </w:pPr>
    </w:p>
    <w:p w:rsidR="00B40356" w:rsidRPr="00063B6A" w:rsidRDefault="005F4EE9">
      <w:pPr>
        <w:spacing w:after="0" w:line="360" w:lineRule="auto"/>
      </w:pPr>
      <w:r w:rsidRPr="00063B6A">
        <w:t xml:space="preserve">Se </w:t>
      </w:r>
      <w:r w:rsidRPr="00063B6A">
        <w:rPr>
          <w:b/>
        </w:rPr>
        <w:t>ORDENA</w:t>
      </w:r>
      <w:r w:rsidRPr="00063B6A">
        <w:t xml:space="preserve"> al Ente Recurrido</w:t>
      </w:r>
      <w:r w:rsidRPr="00063B6A">
        <w:rPr>
          <w:b/>
        </w:rPr>
        <w:t xml:space="preserve">, </w:t>
      </w:r>
      <w:r w:rsidRPr="00063B6A">
        <w:t>a efecto de que entregue a través del Sistema de Acceso a la Información Mexiquense (SAIMEX), en versión pública, el recibo de nómina entregado en respuesta.</w:t>
      </w:r>
    </w:p>
    <w:p w:rsidR="00B40356" w:rsidRPr="00063B6A" w:rsidRDefault="00B40356">
      <w:pPr>
        <w:spacing w:after="0" w:line="360" w:lineRule="auto"/>
      </w:pPr>
    </w:p>
    <w:p w:rsidR="00B40356" w:rsidRPr="00063B6A" w:rsidRDefault="005F4EE9">
      <w:pPr>
        <w:spacing w:after="0" w:line="360" w:lineRule="auto"/>
      </w:pPr>
      <w:r w:rsidRPr="00063B6A">
        <w:rPr>
          <w:color w:val="000000"/>
        </w:rPr>
        <w:t xml:space="preserve">Además, </w:t>
      </w:r>
      <w:r w:rsidRPr="00063B6A">
        <w:t>deberá proporcionar el Acuerdo de Clasificación donde el Comité de Transparencia, confirme la eliminación de los datos, en términos del Considerando QUINTO, en la versión pública, de conformidad con los artículos 49, fracciones II y VIII y 132, fracción II de la Ley de Transparencia y Acceso a la Información Pública del Estado de México y Municipios.</w:t>
      </w:r>
    </w:p>
    <w:p w:rsidR="00B40356" w:rsidRPr="00063B6A" w:rsidRDefault="00B40356">
      <w:pPr>
        <w:spacing w:after="0" w:line="360" w:lineRule="auto"/>
      </w:pPr>
    </w:p>
    <w:p w:rsidR="00B40356" w:rsidRPr="00063B6A" w:rsidRDefault="005F4EE9">
      <w:pPr>
        <w:spacing w:after="0" w:line="360" w:lineRule="auto"/>
        <w:rPr>
          <w:b/>
        </w:rPr>
      </w:pPr>
      <w:r w:rsidRPr="00063B6A">
        <w:rPr>
          <w:b/>
        </w:rPr>
        <w:t xml:space="preserve">SEGUNDO. </w:t>
      </w:r>
      <w:r w:rsidRPr="00063B6A">
        <w:t xml:space="preserve">Se </w:t>
      </w:r>
      <w:r w:rsidRPr="00063B6A">
        <w:rPr>
          <w:b/>
        </w:rPr>
        <w:t xml:space="preserve">REVOCA </w:t>
      </w:r>
      <w:r w:rsidRPr="00063B6A">
        <w:t xml:space="preserve">la respuesta entregadas por el Ayuntamiento de </w:t>
      </w:r>
      <w:proofErr w:type="spellStart"/>
      <w:r w:rsidRPr="00063B6A">
        <w:t>Otzolotepec</w:t>
      </w:r>
      <w:proofErr w:type="spellEnd"/>
      <w:r w:rsidRPr="00063B6A">
        <w:t xml:space="preserve">, a la solicitud de información 00161/OTZOLOTE/IP/2025 por resultar </w:t>
      </w:r>
      <w:r w:rsidRPr="00063B6A">
        <w:rPr>
          <w:b/>
        </w:rPr>
        <w:t xml:space="preserve">FUNDADAS </w:t>
      </w:r>
      <w:r w:rsidRPr="00063B6A">
        <w:t>las razones o motivos de inconformidad hechos valer por el Recurrente, en términos de los considerandos QUINTO y SEXTO de la presente Resolución.</w:t>
      </w:r>
    </w:p>
    <w:p w:rsidR="00B40356" w:rsidRPr="00063B6A" w:rsidRDefault="00B40356">
      <w:pPr>
        <w:spacing w:after="0" w:line="360" w:lineRule="auto"/>
        <w:rPr>
          <w:b/>
        </w:rPr>
      </w:pPr>
    </w:p>
    <w:p w:rsidR="00B40356" w:rsidRPr="00063B6A" w:rsidRDefault="005F4EE9">
      <w:pPr>
        <w:spacing w:after="0" w:line="360" w:lineRule="auto"/>
        <w:rPr>
          <w:color w:val="000000"/>
        </w:rPr>
      </w:pPr>
      <w:r w:rsidRPr="00063B6A">
        <w:t xml:space="preserve">Se </w:t>
      </w:r>
      <w:r w:rsidRPr="00063B6A">
        <w:rPr>
          <w:b/>
        </w:rPr>
        <w:t>ORDENA</w:t>
      </w:r>
      <w:r w:rsidRPr="00063B6A">
        <w:t xml:space="preserve"> al Ente Recurrido</w:t>
      </w:r>
      <w:r w:rsidRPr="00063B6A">
        <w:rPr>
          <w:b/>
        </w:rPr>
        <w:t xml:space="preserve">, </w:t>
      </w:r>
      <w:r w:rsidRPr="00063B6A">
        <w:t xml:space="preserve">a efecto de que previa búsqueda exhaustiva y razonable en los archivos de las unidades administrativas competentes, entregue a través del Sistema de Acceso a la Información Mexiquense (SAIMEX), en versión pública, el recibo de nómina </w:t>
      </w:r>
      <w:r w:rsidRPr="00063B6A">
        <w:rPr>
          <w:color w:val="000000"/>
        </w:rPr>
        <w:t>de la primera quincena de marzo de dos mil veinticinco, de la Coordinadora de Tecnologías de la Información y Gobierno Digital referida en el Considerando QUINTO.</w:t>
      </w:r>
    </w:p>
    <w:p w:rsidR="00B40356" w:rsidRPr="00063B6A" w:rsidRDefault="00B40356">
      <w:pPr>
        <w:spacing w:after="0" w:line="360" w:lineRule="auto"/>
        <w:rPr>
          <w:color w:val="000000"/>
        </w:rPr>
      </w:pPr>
    </w:p>
    <w:p w:rsidR="00B40356" w:rsidRPr="00063B6A" w:rsidRDefault="005F4EE9">
      <w:pPr>
        <w:spacing w:after="0" w:line="360" w:lineRule="auto"/>
      </w:pPr>
      <w:r w:rsidRPr="00063B6A">
        <w:rPr>
          <w:color w:val="000000"/>
        </w:rPr>
        <w:t xml:space="preserve">Además, </w:t>
      </w:r>
      <w:r w:rsidRPr="00063B6A">
        <w:t>deberá proporcionar el Acuerdo de Clasificación donde el Comité de Transparencia, confirme la eliminación de los datos, en términos del Considerando QUINTO, en la versión pública, de conformidad con los artículos 49, fracciones II y VIII y 132, fracción II de la Ley de Transparencia y Acceso a la Información Pública del Estado de México y Municipios.</w:t>
      </w:r>
    </w:p>
    <w:p w:rsidR="00B40356" w:rsidRPr="00063B6A" w:rsidRDefault="00B40356">
      <w:pPr>
        <w:spacing w:after="0" w:line="360" w:lineRule="auto"/>
        <w:ind w:right="-91"/>
        <w:rPr>
          <w:b/>
        </w:rPr>
      </w:pPr>
    </w:p>
    <w:p w:rsidR="00B40356" w:rsidRPr="00063B6A" w:rsidRDefault="005F4EE9">
      <w:pPr>
        <w:spacing w:after="0" w:line="360" w:lineRule="auto"/>
        <w:ind w:right="-28"/>
        <w:rPr>
          <w:b/>
        </w:rPr>
      </w:pPr>
      <w:r w:rsidRPr="00063B6A">
        <w:rPr>
          <w:b/>
        </w:rPr>
        <w:t xml:space="preserve">TERCERO. NOTIFÍQUESE POR SAIMEX </w:t>
      </w:r>
      <w:r w:rsidRPr="00063B6A">
        <w:t xml:space="preserve">la presente resolución al Titular de la Unidad de Transparencia del Sujeto Obligado, para que conforme al artículo 186, último párrafo, 189, </w:t>
      </w:r>
      <w:r w:rsidRPr="00063B6A">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00B40356" w:rsidRPr="00063B6A" w:rsidRDefault="00B40356">
      <w:pPr>
        <w:spacing w:after="0" w:line="360" w:lineRule="auto"/>
        <w:ind w:right="-28"/>
        <w:rPr>
          <w:color w:val="000000"/>
        </w:rPr>
      </w:pPr>
    </w:p>
    <w:p w:rsidR="00B40356" w:rsidRPr="00063B6A" w:rsidRDefault="005F4EE9">
      <w:pPr>
        <w:spacing w:after="0" w:line="360" w:lineRule="auto"/>
        <w:rPr>
          <w:color w:val="000000"/>
        </w:rPr>
      </w:pPr>
      <w:r w:rsidRPr="00063B6A">
        <w:rPr>
          <w:color w:val="000000"/>
        </w:rPr>
        <w:t>De conformidad con el artículo 198 de la Ley de la materia, de considerarlo procedente, el Sujeto Obligado de manera fundada y motivada, podrá solicitar una ampliación de plazo para el cumplimiento de la presente resolución.</w:t>
      </w:r>
    </w:p>
    <w:p w:rsidR="00B40356" w:rsidRPr="00063B6A" w:rsidRDefault="00B40356">
      <w:pPr>
        <w:spacing w:after="0" w:line="360" w:lineRule="auto"/>
        <w:rPr>
          <w:color w:val="000000"/>
        </w:rPr>
      </w:pPr>
    </w:p>
    <w:p w:rsidR="00B40356" w:rsidRPr="00063B6A" w:rsidRDefault="005F4EE9">
      <w:pPr>
        <w:spacing w:after="0" w:line="360" w:lineRule="auto"/>
      </w:pPr>
      <w:r w:rsidRPr="00063B6A">
        <w:rPr>
          <w:b/>
        </w:rPr>
        <w:t>CUARTO. NOTIFÍQUESE POR SAIMEX</w:t>
      </w:r>
      <w:r w:rsidRPr="00063B6A">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B40356" w:rsidRPr="00063B6A" w:rsidRDefault="00B40356">
      <w:pPr>
        <w:spacing w:after="0" w:line="360" w:lineRule="auto"/>
        <w:rPr>
          <w:b/>
        </w:rPr>
      </w:pPr>
    </w:p>
    <w:p w:rsidR="00B40356" w:rsidRDefault="005F4EE9">
      <w:pPr>
        <w:spacing w:after="0" w:line="360" w:lineRule="auto"/>
        <w:rPr>
          <w:b/>
        </w:rPr>
      </w:pPr>
      <w:r w:rsidRPr="00063B6A">
        <w:t>ASÍ LO RESUELVE, POR </w:t>
      </w:r>
      <w:r w:rsidRPr="00063B6A">
        <w:rPr>
          <w:b/>
        </w:rPr>
        <w:t>UNANIMIDAD</w:t>
      </w:r>
      <w:r w:rsidRPr="00063B6A">
        <w:t> DE VOTOS EL PLENO DEL INSTITUTO DE TRANSPARENCIA, ACCESO A LA INFORMACIÓN PÚBLICA Y PROTECCIÓN DE DATOS PERSONALES DEL ESTADO DE MÉXICO Y MUNICIPIOS, CONFORMADO POR LOS COMISIONADOS JOSÉ MARTÍNEZ VILCHIS, MARÍA DEL ROSARIO MEJÍA AYALA, SHARON</w:t>
      </w:r>
      <w:r w:rsidR="00063B6A" w:rsidRPr="00063B6A">
        <w:t xml:space="preserve"> CRISTINA MORALES MARTÍNEZ (</w:t>
      </w:r>
      <w:r w:rsidRPr="00063B6A">
        <w:t>AUSENCIA JUSTIFICADA),  LUIS GUSTAVO PARRA NORIEGA Y GUADALUPE RAMÍREZ PEÑA, EN LA TRIGÉSIMA TERCERA SESIÓN ORDINARIA, CELEBRADA EL DIECIOCHO DE SEPTIEMBRE DE DOS MIL VEINTICINCO, ANTE EL SECRETARIO TÉCNICO DEL PLENO, ALEXIS TAPIA RAMÍREZ.</w:t>
      </w:r>
    </w:p>
    <w:p w:rsidR="00B40356" w:rsidRDefault="00B40356">
      <w:pPr>
        <w:spacing w:after="0" w:line="360" w:lineRule="auto"/>
        <w:ind w:right="-28"/>
        <w:rPr>
          <w:color w:val="000000"/>
        </w:rPr>
      </w:pPr>
    </w:p>
    <w:p w:rsidR="00B40356" w:rsidRDefault="00B40356">
      <w:pPr>
        <w:spacing w:after="0" w:line="360" w:lineRule="auto"/>
        <w:rPr>
          <w:b/>
        </w:rPr>
      </w:pPr>
    </w:p>
    <w:p w:rsidR="00B40356" w:rsidRDefault="00B40356">
      <w:pPr>
        <w:spacing w:after="0" w:line="360" w:lineRule="auto"/>
        <w:rPr>
          <w:b/>
        </w:rPr>
      </w:pPr>
    </w:p>
    <w:p w:rsidR="00B40356" w:rsidRDefault="00B40356">
      <w:pPr>
        <w:spacing w:after="0" w:line="360" w:lineRule="auto"/>
        <w:rPr>
          <w:color w:val="000000"/>
        </w:rPr>
      </w:pPr>
    </w:p>
    <w:p w:rsidR="00B40356" w:rsidRDefault="00B40356">
      <w:pPr>
        <w:spacing w:after="0" w:line="360" w:lineRule="auto"/>
        <w:rPr>
          <w:color w:val="000000"/>
        </w:rPr>
      </w:pPr>
    </w:p>
    <w:p w:rsidR="00B40356" w:rsidRDefault="00B40356">
      <w:pPr>
        <w:spacing w:after="0" w:line="360" w:lineRule="auto"/>
      </w:pPr>
    </w:p>
    <w:p w:rsidR="00B40356" w:rsidRDefault="00B40356">
      <w:pPr>
        <w:spacing w:after="0" w:line="360" w:lineRule="auto"/>
      </w:pPr>
    </w:p>
    <w:p w:rsidR="00B40356" w:rsidRDefault="00B40356">
      <w:pPr>
        <w:spacing w:after="0" w:line="360" w:lineRule="auto"/>
        <w:rPr>
          <w:color w:val="000000"/>
        </w:rPr>
      </w:pPr>
    </w:p>
    <w:p w:rsidR="00B40356" w:rsidRDefault="00B40356">
      <w:pPr>
        <w:spacing w:after="0" w:line="360" w:lineRule="auto"/>
        <w:rPr>
          <w:color w:val="000000"/>
        </w:rPr>
      </w:pPr>
    </w:p>
    <w:p w:rsidR="00B40356" w:rsidRDefault="00B40356">
      <w:pPr>
        <w:tabs>
          <w:tab w:val="right" w:pos="8931"/>
        </w:tabs>
        <w:spacing w:after="0" w:line="360" w:lineRule="auto"/>
      </w:pPr>
    </w:p>
    <w:p w:rsidR="00B40356" w:rsidRDefault="00B40356">
      <w:pPr>
        <w:tabs>
          <w:tab w:val="right" w:pos="8931"/>
        </w:tabs>
        <w:spacing w:after="0" w:line="360" w:lineRule="auto"/>
      </w:pPr>
    </w:p>
    <w:p w:rsidR="00B40356" w:rsidRDefault="00B40356">
      <w:pPr>
        <w:spacing w:after="0" w:line="360" w:lineRule="auto"/>
      </w:pPr>
    </w:p>
    <w:p w:rsidR="00B40356" w:rsidRDefault="00B40356">
      <w:pPr>
        <w:spacing w:after="0" w:line="360" w:lineRule="auto"/>
      </w:pPr>
    </w:p>
    <w:p w:rsidR="00B40356" w:rsidRDefault="00B40356">
      <w:pPr>
        <w:spacing w:after="0" w:line="360" w:lineRule="auto"/>
      </w:pPr>
    </w:p>
    <w:p w:rsidR="00B40356" w:rsidRDefault="00B40356">
      <w:pPr>
        <w:spacing w:after="0" w:line="360" w:lineRule="auto"/>
      </w:pPr>
    </w:p>
    <w:p w:rsidR="00B40356" w:rsidRDefault="00B40356">
      <w:pPr>
        <w:spacing w:after="0" w:line="360" w:lineRule="auto"/>
      </w:pPr>
    </w:p>
    <w:p w:rsidR="00B40356" w:rsidRDefault="00B40356">
      <w:pPr>
        <w:spacing w:after="0" w:line="360" w:lineRule="auto"/>
      </w:pPr>
    </w:p>
    <w:p w:rsidR="00B40356" w:rsidRDefault="00B40356">
      <w:pPr>
        <w:spacing w:after="0" w:line="360" w:lineRule="auto"/>
      </w:pPr>
    </w:p>
    <w:p w:rsidR="00B40356" w:rsidRDefault="00B40356">
      <w:pPr>
        <w:spacing w:after="0" w:line="360" w:lineRule="auto"/>
      </w:pPr>
    </w:p>
    <w:p w:rsidR="00B40356" w:rsidRDefault="00B40356">
      <w:pPr>
        <w:spacing w:after="0" w:line="360" w:lineRule="auto"/>
      </w:pPr>
      <w:bookmarkStart w:id="27" w:name="_heading=h.c48tx5pwm9it" w:colFirst="0" w:colLast="0"/>
      <w:bookmarkEnd w:id="27"/>
    </w:p>
    <w:sectPr w:rsidR="00B40356">
      <w:headerReference w:type="even" r:id="rId19"/>
      <w:headerReference w:type="default" r:id="rId20"/>
      <w:footerReference w:type="even" r:id="rId21"/>
      <w:footerReference w:type="default" r:id="rId22"/>
      <w:headerReference w:type="first" r:id="rId23"/>
      <w:footerReference w:type="first" r:id="rId2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113" w:rsidRDefault="00A95113">
      <w:pPr>
        <w:spacing w:after="0" w:line="240" w:lineRule="auto"/>
      </w:pPr>
      <w:r>
        <w:separator/>
      </w:r>
    </w:p>
  </w:endnote>
  <w:endnote w:type="continuationSeparator" w:id="0">
    <w:p w:rsidR="00A95113" w:rsidRDefault="00A9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356" w:rsidRDefault="005F4EE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8B6AA7">
      <w:rPr>
        <w:b/>
        <w:color w:val="000000"/>
        <w:sz w:val="24"/>
        <w:szCs w:val="24"/>
      </w:rPr>
      <w:fldChar w:fldCharType="separate"/>
    </w:r>
    <w:r w:rsidR="008B6AA7">
      <w:rPr>
        <w:b/>
        <w:noProof/>
        <w:color w:val="000000"/>
        <w:sz w:val="24"/>
        <w:szCs w:val="24"/>
      </w:rPr>
      <w:t>51</w:t>
    </w:r>
    <w:r>
      <w:rPr>
        <w:b/>
        <w:color w:val="000000"/>
        <w:sz w:val="24"/>
        <w:szCs w:val="24"/>
      </w:rPr>
      <w:fldChar w:fldCharType="end"/>
    </w:r>
  </w:p>
  <w:p w:rsidR="00B40356" w:rsidRDefault="00B4035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356" w:rsidRDefault="005F4EE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B6AA7">
      <w:rPr>
        <w:b/>
        <w:noProof/>
        <w:color w:val="000000"/>
        <w:sz w:val="24"/>
        <w:szCs w:val="24"/>
      </w:rPr>
      <w:t>50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B6AA7">
      <w:rPr>
        <w:b/>
        <w:noProof/>
        <w:color w:val="000000"/>
        <w:sz w:val="24"/>
        <w:szCs w:val="24"/>
      </w:rPr>
      <w:t>51</w:t>
    </w:r>
    <w:r>
      <w:rPr>
        <w:b/>
        <w:color w:val="000000"/>
        <w:sz w:val="24"/>
        <w:szCs w:val="24"/>
      </w:rPr>
      <w:fldChar w:fldCharType="end"/>
    </w:r>
  </w:p>
  <w:p w:rsidR="00B40356" w:rsidRDefault="00B40356">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356" w:rsidRDefault="005F4EE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B6AA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B6AA7">
      <w:rPr>
        <w:b/>
        <w:noProof/>
        <w:color w:val="000000"/>
        <w:sz w:val="24"/>
        <w:szCs w:val="24"/>
      </w:rPr>
      <w:t>51</w:t>
    </w:r>
    <w:r>
      <w:rPr>
        <w:b/>
        <w:color w:val="000000"/>
        <w:sz w:val="24"/>
        <w:szCs w:val="24"/>
      </w:rPr>
      <w:fldChar w:fldCharType="end"/>
    </w:r>
  </w:p>
  <w:p w:rsidR="00B40356" w:rsidRDefault="00B4035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113" w:rsidRDefault="00A95113">
      <w:pPr>
        <w:spacing w:after="0" w:line="240" w:lineRule="auto"/>
      </w:pPr>
      <w:r>
        <w:separator/>
      </w:r>
    </w:p>
  </w:footnote>
  <w:footnote w:type="continuationSeparator" w:id="0">
    <w:p w:rsidR="00A95113" w:rsidRDefault="00A95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356" w:rsidRDefault="00B40356">
    <w:pPr>
      <w:widowControl w:val="0"/>
      <w:pBdr>
        <w:top w:val="nil"/>
        <w:left w:val="nil"/>
        <w:bottom w:val="nil"/>
        <w:right w:val="nil"/>
        <w:between w:val="nil"/>
      </w:pBdr>
      <w:spacing w:after="0" w:line="276" w:lineRule="auto"/>
      <w:jc w:val="left"/>
      <w:rPr>
        <w:color w:val="000000"/>
      </w:rPr>
    </w:pPr>
  </w:p>
  <w:tbl>
    <w:tblPr>
      <w:tblStyle w:val="ac"/>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B40356">
      <w:trPr>
        <w:trHeight w:val="132"/>
      </w:trPr>
      <w:tc>
        <w:tcPr>
          <w:tcW w:w="0" w:type="auto"/>
        </w:tcPr>
        <w:p w:rsidR="00B40356" w:rsidRDefault="005F4EE9">
          <w:pPr>
            <w:tabs>
              <w:tab w:val="right" w:pos="8838"/>
            </w:tabs>
            <w:ind w:right="-105"/>
            <w:rPr>
              <w:b/>
            </w:rPr>
          </w:pPr>
          <w:r>
            <w:rPr>
              <w:b/>
            </w:rPr>
            <w:t>Recurso de Revisión:</w:t>
          </w:r>
        </w:p>
      </w:tc>
      <w:tc>
        <w:tcPr>
          <w:tcW w:w="0" w:type="auto"/>
        </w:tcPr>
        <w:p w:rsidR="00B40356" w:rsidRDefault="005F4EE9">
          <w:pPr>
            <w:tabs>
              <w:tab w:val="right" w:pos="8838"/>
            </w:tabs>
            <w:ind w:left="-28" w:right="-32"/>
          </w:pPr>
          <w:r>
            <w:t>03846/INFOEM/IP/RR/2020</w:t>
          </w:r>
        </w:p>
      </w:tc>
    </w:tr>
    <w:tr w:rsidR="00B40356">
      <w:trPr>
        <w:trHeight w:val="261"/>
      </w:trPr>
      <w:tc>
        <w:tcPr>
          <w:tcW w:w="0" w:type="auto"/>
        </w:tcPr>
        <w:p w:rsidR="00B40356" w:rsidRDefault="005F4EE9">
          <w:pPr>
            <w:tabs>
              <w:tab w:val="right" w:pos="8838"/>
            </w:tabs>
            <w:ind w:right="-105"/>
            <w:rPr>
              <w:b/>
            </w:rPr>
          </w:pPr>
          <w:r>
            <w:rPr>
              <w:b/>
            </w:rPr>
            <w:t>Sujeto Obligado:</w:t>
          </w:r>
        </w:p>
      </w:tc>
      <w:tc>
        <w:tcPr>
          <w:tcW w:w="0" w:type="auto"/>
        </w:tcPr>
        <w:p w:rsidR="00B40356" w:rsidRDefault="005F4EE9">
          <w:pPr>
            <w:tabs>
              <w:tab w:val="right" w:pos="8838"/>
            </w:tabs>
            <w:ind w:right="-32"/>
          </w:pPr>
          <w:r>
            <w:t xml:space="preserve">Ayuntamiento de </w:t>
          </w:r>
          <w:proofErr w:type="spellStart"/>
          <w:r>
            <w:t>Temascalcingo</w:t>
          </w:r>
          <w:proofErr w:type="spellEnd"/>
        </w:p>
      </w:tc>
    </w:tr>
    <w:tr w:rsidR="00B40356">
      <w:trPr>
        <w:trHeight w:val="261"/>
      </w:trPr>
      <w:tc>
        <w:tcPr>
          <w:tcW w:w="0" w:type="auto"/>
        </w:tcPr>
        <w:p w:rsidR="00B40356" w:rsidRDefault="005F4EE9">
          <w:pPr>
            <w:tabs>
              <w:tab w:val="right" w:pos="8838"/>
            </w:tabs>
            <w:ind w:right="-105"/>
            <w:rPr>
              <w:b/>
            </w:rPr>
          </w:pPr>
          <w:r>
            <w:rPr>
              <w:b/>
            </w:rPr>
            <w:t>Comisionado Ponente:</w:t>
          </w:r>
        </w:p>
      </w:tc>
      <w:tc>
        <w:tcPr>
          <w:tcW w:w="0" w:type="auto"/>
        </w:tcPr>
        <w:p w:rsidR="00B40356" w:rsidRDefault="005F4EE9">
          <w:pPr>
            <w:tabs>
              <w:tab w:val="right" w:pos="8838"/>
            </w:tabs>
            <w:ind w:right="-32"/>
            <w:rPr>
              <w:b/>
            </w:rPr>
          </w:pPr>
          <w:r>
            <w:t>Luis Gustavo Parra Noriega</w:t>
          </w:r>
        </w:p>
      </w:tc>
    </w:tr>
  </w:tbl>
  <w:p w:rsidR="00B40356" w:rsidRDefault="00A95113">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356" w:rsidRDefault="00A95113">
    <w:pPr>
      <w:widowControl w:val="0"/>
      <w:pBdr>
        <w:top w:val="nil"/>
        <w:left w:val="nil"/>
        <w:bottom w:val="nil"/>
        <w:right w:val="nil"/>
        <w:between w:val="nil"/>
      </w:pBdr>
      <w:spacing w:after="0" w:line="276" w:lineRule="auto"/>
      <w:jc w:val="left"/>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margin-left:-85.25pt;margin-top:-133.45pt;width:663.5pt;height:12in;z-index:-251659776;mso-position-horizontal:absolute;mso-position-horizontal-relative:margin;mso-position-vertical:absolute;mso-position-vertical-relative:margin">
          <v:imagedata r:id="rId1" o:title="image3"/>
          <w10:wrap anchorx="margin" anchory="margin"/>
        </v:shape>
      </w:pict>
    </w:r>
  </w:p>
  <w:tbl>
    <w:tblPr>
      <w:tblStyle w:val="ad"/>
      <w:tblW w:w="6662"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410"/>
      <w:gridCol w:w="4252"/>
    </w:tblGrid>
    <w:tr w:rsidR="00B40356">
      <w:trPr>
        <w:trHeight w:val="138"/>
      </w:trPr>
      <w:tc>
        <w:tcPr>
          <w:tcW w:w="2410" w:type="dxa"/>
          <w:vAlign w:val="center"/>
        </w:tcPr>
        <w:p w:rsidR="00B40356" w:rsidRDefault="00B40356">
          <w:pPr>
            <w:tabs>
              <w:tab w:val="right" w:pos="8838"/>
            </w:tabs>
            <w:ind w:left="-108" w:right="-105"/>
            <w:jc w:val="left"/>
            <w:rPr>
              <w:b/>
            </w:rPr>
          </w:pPr>
        </w:p>
        <w:p w:rsidR="00B40356" w:rsidRDefault="00B40356">
          <w:pPr>
            <w:tabs>
              <w:tab w:val="right" w:pos="8838"/>
            </w:tabs>
            <w:ind w:left="-108" w:right="-105"/>
            <w:jc w:val="left"/>
            <w:rPr>
              <w:b/>
            </w:rPr>
          </w:pPr>
        </w:p>
        <w:p w:rsidR="00B40356" w:rsidRDefault="005F4EE9">
          <w:pPr>
            <w:tabs>
              <w:tab w:val="right" w:pos="8838"/>
            </w:tabs>
            <w:ind w:left="-108" w:right="-105"/>
            <w:jc w:val="left"/>
            <w:rPr>
              <w:b/>
            </w:rPr>
          </w:pPr>
          <w:r>
            <w:rPr>
              <w:b/>
            </w:rPr>
            <w:t>Recurso de Revisión:</w:t>
          </w:r>
        </w:p>
      </w:tc>
      <w:tc>
        <w:tcPr>
          <w:tcW w:w="4252" w:type="dxa"/>
        </w:tcPr>
        <w:p w:rsidR="00B40356" w:rsidRDefault="00B40356">
          <w:pPr>
            <w:tabs>
              <w:tab w:val="right" w:pos="8838"/>
            </w:tabs>
            <w:ind w:left="-111" w:right="57"/>
          </w:pPr>
        </w:p>
        <w:p w:rsidR="00B40356" w:rsidRDefault="00B40356">
          <w:pPr>
            <w:tabs>
              <w:tab w:val="right" w:pos="8838"/>
            </w:tabs>
            <w:ind w:left="-111" w:right="57"/>
          </w:pPr>
        </w:p>
        <w:p w:rsidR="00B40356" w:rsidRDefault="005F4EE9">
          <w:pPr>
            <w:tabs>
              <w:tab w:val="right" w:pos="8838"/>
            </w:tabs>
            <w:ind w:left="-111" w:right="57"/>
          </w:pPr>
          <w:r>
            <w:t>03841/INFOEM/IP/RR/2025 y acumulado</w:t>
          </w:r>
        </w:p>
      </w:tc>
    </w:tr>
    <w:tr w:rsidR="00B40356">
      <w:trPr>
        <w:trHeight w:val="273"/>
      </w:trPr>
      <w:tc>
        <w:tcPr>
          <w:tcW w:w="2410" w:type="dxa"/>
        </w:tcPr>
        <w:p w:rsidR="00B40356" w:rsidRDefault="005F4EE9">
          <w:pPr>
            <w:tabs>
              <w:tab w:val="right" w:pos="8838"/>
            </w:tabs>
            <w:ind w:left="-108" w:right="-105"/>
            <w:rPr>
              <w:b/>
            </w:rPr>
          </w:pPr>
          <w:r>
            <w:rPr>
              <w:b/>
            </w:rPr>
            <w:t>Sujeto Obligado:</w:t>
          </w:r>
        </w:p>
      </w:tc>
      <w:tc>
        <w:tcPr>
          <w:tcW w:w="4252" w:type="dxa"/>
        </w:tcPr>
        <w:p w:rsidR="00B40356" w:rsidRDefault="005F4EE9">
          <w:pPr>
            <w:tabs>
              <w:tab w:val="right" w:pos="8838"/>
            </w:tabs>
            <w:ind w:left="-111" w:right="180"/>
          </w:pPr>
          <w:r>
            <w:t xml:space="preserve">Ayuntamiento de </w:t>
          </w:r>
          <w:proofErr w:type="spellStart"/>
          <w:r>
            <w:t>Otzolotepec</w:t>
          </w:r>
          <w:proofErr w:type="spellEnd"/>
        </w:p>
      </w:tc>
    </w:tr>
    <w:tr w:rsidR="00B40356">
      <w:trPr>
        <w:trHeight w:val="273"/>
      </w:trPr>
      <w:tc>
        <w:tcPr>
          <w:tcW w:w="2410" w:type="dxa"/>
        </w:tcPr>
        <w:p w:rsidR="00B40356" w:rsidRDefault="005F4EE9">
          <w:pPr>
            <w:tabs>
              <w:tab w:val="right" w:pos="8838"/>
            </w:tabs>
            <w:ind w:left="-108" w:right="-105"/>
            <w:rPr>
              <w:b/>
            </w:rPr>
          </w:pPr>
          <w:r>
            <w:rPr>
              <w:b/>
            </w:rPr>
            <w:t>Comisionado Ponente:</w:t>
          </w:r>
        </w:p>
      </w:tc>
      <w:tc>
        <w:tcPr>
          <w:tcW w:w="4252" w:type="dxa"/>
        </w:tcPr>
        <w:p w:rsidR="00B40356" w:rsidRDefault="005F4EE9">
          <w:pPr>
            <w:tabs>
              <w:tab w:val="right" w:pos="8838"/>
            </w:tabs>
            <w:ind w:left="-111" w:right="-170"/>
          </w:pPr>
          <w:r>
            <w:t>Luis Gustavo Parra Noriega</w:t>
          </w:r>
        </w:p>
        <w:p w:rsidR="00B40356" w:rsidRDefault="00B40356">
          <w:pPr>
            <w:tabs>
              <w:tab w:val="right" w:pos="8838"/>
            </w:tabs>
            <w:ind w:left="-111" w:right="-170"/>
            <w:rPr>
              <w:b/>
            </w:rPr>
          </w:pPr>
        </w:p>
      </w:tc>
    </w:tr>
  </w:tbl>
  <w:p w:rsidR="00B40356" w:rsidRDefault="00B40356">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356" w:rsidRDefault="00B40356">
    <w:pPr>
      <w:widowControl w:val="0"/>
      <w:pBdr>
        <w:top w:val="nil"/>
        <w:left w:val="nil"/>
        <w:bottom w:val="nil"/>
        <w:right w:val="nil"/>
        <w:between w:val="nil"/>
      </w:pBdr>
      <w:spacing w:after="0" w:line="276" w:lineRule="auto"/>
      <w:jc w:val="left"/>
      <w:rPr>
        <w:color w:val="000000"/>
      </w:rPr>
    </w:pPr>
  </w:p>
  <w:tbl>
    <w:tblPr>
      <w:tblStyle w:val="ae"/>
      <w:tblW w:w="7655"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410"/>
      <w:gridCol w:w="5245"/>
    </w:tblGrid>
    <w:tr w:rsidR="00B40356">
      <w:trPr>
        <w:trHeight w:val="132"/>
      </w:trPr>
      <w:tc>
        <w:tcPr>
          <w:tcW w:w="2410" w:type="dxa"/>
        </w:tcPr>
        <w:p w:rsidR="00B40356" w:rsidRDefault="00B40356">
          <w:pPr>
            <w:tabs>
              <w:tab w:val="right" w:pos="8838"/>
            </w:tabs>
            <w:ind w:right="-105"/>
            <w:rPr>
              <w:b/>
            </w:rPr>
          </w:pPr>
        </w:p>
        <w:p w:rsidR="00B40356" w:rsidRDefault="005F4EE9">
          <w:pPr>
            <w:tabs>
              <w:tab w:val="right" w:pos="8838"/>
            </w:tabs>
            <w:ind w:right="-105"/>
            <w:rPr>
              <w:b/>
            </w:rPr>
          </w:pPr>
          <w:r>
            <w:rPr>
              <w:b/>
            </w:rPr>
            <w:t>Recurso de Revisión:</w:t>
          </w:r>
        </w:p>
      </w:tc>
      <w:tc>
        <w:tcPr>
          <w:tcW w:w="5245" w:type="dxa"/>
        </w:tcPr>
        <w:p w:rsidR="00B40356" w:rsidRDefault="00B40356">
          <w:pPr>
            <w:ind w:left="-99"/>
          </w:pPr>
        </w:p>
        <w:p w:rsidR="00B40356" w:rsidRDefault="005F4EE9">
          <w:pPr>
            <w:ind w:left="-99" w:right="-243"/>
          </w:pPr>
          <w:r>
            <w:t>03841/INFOEM/IP/RR/2025 y acumulado</w:t>
          </w:r>
        </w:p>
      </w:tc>
    </w:tr>
    <w:tr w:rsidR="00B40356">
      <w:trPr>
        <w:trHeight w:val="132"/>
      </w:trPr>
      <w:tc>
        <w:tcPr>
          <w:tcW w:w="2410" w:type="dxa"/>
          <w:shd w:val="clear" w:color="auto" w:fill="auto"/>
        </w:tcPr>
        <w:p w:rsidR="00B40356" w:rsidRDefault="005F4EE9">
          <w:pPr>
            <w:tabs>
              <w:tab w:val="left" w:pos="1875"/>
            </w:tabs>
            <w:ind w:right="-105"/>
            <w:rPr>
              <w:b/>
            </w:rPr>
          </w:pPr>
          <w:r>
            <w:rPr>
              <w:b/>
            </w:rPr>
            <w:t>Recurrente:</w:t>
          </w:r>
          <w:r>
            <w:rPr>
              <w:b/>
            </w:rPr>
            <w:tab/>
          </w:r>
        </w:p>
      </w:tc>
      <w:tc>
        <w:tcPr>
          <w:tcW w:w="5245" w:type="dxa"/>
          <w:shd w:val="clear" w:color="auto" w:fill="auto"/>
        </w:tcPr>
        <w:p w:rsidR="00B40356" w:rsidRDefault="00B40356">
          <w:pPr>
            <w:tabs>
              <w:tab w:val="right" w:pos="8838"/>
            </w:tabs>
            <w:ind w:left="-99" w:right="-250"/>
          </w:pPr>
        </w:p>
      </w:tc>
    </w:tr>
    <w:tr w:rsidR="00B40356">
      <w:trPr>
        <w:trHeight w:val="261"/>
      </w:trPr>
      <w:tc>
        <w:tcPr>
          <w:tcW w:w="2410" w:type="dxa"/>
        </w:tcPr>
        <w:p w:rsidR="00B40356" w:rsidRDefault="005F4EE9">
          <w:pPr>
            <w:tabs>
              <w:tab w:val="right" w:pos="8838"/>
            </w:tabs>
            <w:ind w:right="-105"/>
            <w:rPr>
              <w:b/>
            </w:rPr>
          </w:pPr>
          <w:r>
            <w:rPr>
              <w:b/>
            </w:rPr>
            <w:t>Sujeto Obligado:</w:t>
          </w:r>
        </w:p>
      </w:tc>
      <w:tc>
        <w:tcPr>
          <w:tcW w:w="5245" w:type="dxa"/>
        </w:tcPr>
        <w:p w:rsidR="00B40356" w:rsidRDefault="005F4EE9">
          <w:pPr>
            <w:ind w:left="-99"/>
          </w:pPr>
          <w:r>
            <w:t xml:space="preserve">Ayuntamiento de </w:t>
          </w:r>
          <w:proofErr w:type="spellStart"/>
          <w:r>
            <w:t>Otzolotepec</w:t>
          </w:r>
          <w:proofErr w:type="spellEnd"/>
        </w:p>
      </w:tc>
    </w:tr>
    <w:tr w:rsidR="00B40356">
      <w:trPr>
        <w:trHeight w:val="261"/>
      </w:trPr>
      <w:tc>
        <w:tcPr>
          <w:tcW w:w="2410" w:type="dxa"/>
        </w:tcPr>
        <w:p w:rsidR="00B40356" w:rsidRDefault="005F4EE9">
          <w:pPr>
            <w:tabs>
              <w:tab w:val="right" w:pos="8838"/>
            </w:tabs>
            <w:ind w:right="-105"/>
            <w:rPr>
              <w:b/>
            </w:rPr>
          </w:pPr>
          <w:r>
            <w:rPr>
              <w:b/>
            </w:rPr>
            <w:t>Comisionado Ponente:</w:t>
          </w:r>
        </w:p>
      </w:tc>
      <w:tc>
        <w:tcPr>
          <w:tcW w:w="5245" w:type="dxa"/>
        </w:tcPr>
        <w:p w:rsidR="00B40356" w:rsidRDefault="005F4EE9">
          <w:pPr>
            <w:tabs>
              <w:tab w:val="right" w:pos="8838"/>
            </w:tabs>
            <w:ind w:left="-99" w:right="-32"/>
            <w:rPr>
              <w:b/>
            </w:rPr>
          </w:pPr>
          <w:r>
            <w:t>Luis Gustavo Parra Noriega</w:t>
          </w:r>
        </w:p>
      </w:tc>
    </w:tr>
  </w:tbl>
  <w:p w:rsidR="00B40356" w:rsidRDefault="00A95113">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627E3"/>
    <w:multiLevelType w:val="multilevel"/>
    <w:tmpl w:val="EE60957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051257"/>
    <w:multiLevelType w:val="multilevel"/>
    <w:tmpl w:val="813EB4F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437346"/>
    <w:multiLevelType w:val="multilevel"/>
    <w:tmpl w:val="2A86DEE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9845BF"/>
    <w:multiLevelType w:val="multilevel"/>
    <w:tmpl w:val="00CA8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AF2D47"/>
    <w:multiLevelType w:val="multilevel"/>
    <w:tmpl w:val="559CB68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0D660F"/>
    <w:multiLevelType w:val="multilevel"/>
    <w:tmpl w:val="11D436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360009"/>
    <w:multiLevelType w:val="multilevel"/>
    <w:tmpl w:val="029EDA1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46133E"/>
    <w:multiLevelType w:val="multilevel"/>
    <w:tmpl w:val="D8DC15A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B515EEA"/>
    <w:multiLevelType w:val="multilevel"/>
    <w:tmpl w:val="1646F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BFB4F2E"/>
    <w:multiLevelType w:val="multilevel"/>
    <w:tmpl w:val="D152B8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3194DCF"/>
    <w:multiLevelType w:val="multilevel"/>
    <w:tmpl w:val="882EB1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7194240"/>
    <w:multiLevelType w:val="multilevel"/>
    <w:tmpl w:val="87962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7042E1"/>
    <w:multiLevelType w:val="multilevel"/>
    <w:tmpl w:val="E98AD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9"/>
  </w:num>
  <w:num w:numId="3">
    <w:abstractNumId w:val="6"/>
  </w:num>
  <w:num w:numId="4">
    <w:abstractNumId w:val="4"/>
  </w:num>
  <w:num w:numId="5">
    <w:abstractNumId w:val="8"/>
  </w:num>
  <w:num w:numId="6">
    <w:abstractNumId w:val="5"/>
  </w:num>
  <w:num w:numId="7">
    <w:abstractNumId w:val="11"/>
  </w:num>
  <w:num w:numId="8">
    <w:abstractNumId w:val="3"/>
  </w:num>
  <w:num w:numId="9">
    <w:abstractNumId w:val="12"/>
  </w:num>
  <w:num w:numId="10">
    <w:abstractNumId w:val="1"/>
  </w:num>
  <w:num w:numId="11">
    <w:abstractNumId w:val="0"/>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56"/>
    <w:rsid w:val="00063B6A"/>
    <w:rsid w:val="004B3879"/>
    <w:rsid w:val="005F4EE9"/>
    <w:rsid w:val="008B6AA7"/>
    <w:rsid w:val="00A95113"/>
    <w:rsid w:val="00AE3A0B"/>
    <w:rsid w:val="00B40356"/>
    <w:rsid w:val="00DD4B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3356A38-6088-4C01-B10A-C1877C75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4">
    <w:name w:val="4"/>
    <w:basedOn w:val="TableNormal2"/>
    <w:pPr>
      <w:spacing w:after="0" w:line="240" w:lineRule="auto"/>
    </w:pPr>
    <w:tblPr>
      <w:tblStyleRowBandSize w:val="1"/>
      <w:tblStyleColBandSize w:val="1"/>
      <w:tblCellMar>
        <w:left w:w="108" w:type="dxa"/>
        <w:right w:w="108" w:type="dxa"/>
      </w:tblCellMar>
    </w:tblPr>
  </w:style>
  <w:style w:type="table" w:customStyle="1" w:styleId="3">
    <w:name w:val="3"/>
    <w:basedOn w:val="TableNormal2"/>
    <w:pPr>
      <w:spacing w:after="0" w:line="240" w:lineRule="auto"/>
    </w:pPr>
    <w:tblPr>
      <w:tblStyleRowBandSize w:val="1"/>
      <w:tblStyleColBandSize w:val="1"/>
      <w:tblCellMar>
        <w:left w:w="108" w:type="dxa"/>
        <w:right w:w="108" w:type="dxa"/>
      </w:tblCellMar>
    </w:tblPr>
  </w:style>
  <w:style w:type="table" w:customStyle="1" w:styleId="2">
    <w:name w:val="2"/>
    <w:basedOn w:val="TableNormal2"/>
    <w:pPr>
      <w:spacing w:after="0" w:line="240" w:lineRule="auto"/>
    </w:pPr>
    <w:tblPr>
      <w:tblStyleRowBandSize w:val="1"/>
      <w:tblStyleColBandSize w:val="1"/>
      <w:tblCellMar>
        <w:left w:w="108" w:type="dxa"/>
        <w:right w:w="108" w:type="dxa"/>
      </w:tblCellMar>
    </w:tblPr>
  </w:style>
  <w:style w:type="table" w:customStyle="1" w:styleId="1">
    <w:name w:val="1"/>
    <w:basedOn w:val="TableNormal2"/>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anterior.ine.mx/archivos2/tutoriales/sistemas/ApoyoInstitucional/SIF/docs/candidatos/folioFiscalFactura.pdf"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ndusef.gob.mx/Revista/index.php/usuario-inteligente/condusef-responde/777-la-condusef-te-puede-ayuda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ultas.curp.gob.mx/CurpSP/html/informacionecurpPS.html"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tzolotepec.go.mx/contenidos/otzolotepec/docs/334_gaceta-municipal-ano-1-publicacion-mensual-2_2542173803.pdf" TargetMode="External"/><Relationship Id="rId14" Type="http://schemas.openxmlformats.org/officeDocument/2006/relationships/image" Target="media/image2.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WXulsrCAYqiCHrDiRxtA21D+g==">CgMxLjAyDmgucDNuajdoamgwczg5Mg5oLjYyN3l3dzVxem8ydTIOaC5qeGpyaDJkNHAwamgyDmguMzJrY3ZpejhwNnI1Mg5oLjJqMzF0ZXZzZ2p4bjIOaC5rMzMzNDB4eTlhYmcyDmguMWhrcjlsdmpyb3VrMgloLjMwajB6bGwyDmguNDB2Y3R2djRwOXY0Mg5oLnZqbXU5aGhwbmpjNzIOaC4zODUzeGNiMW91eHIyDWguM2FscnI2dmhwOXQyDmguczl0dmEzN3BrMHlzMg5oLmM0OHR4NXB3bTlpdDgAciExeWdKd0RTSEp4YTNjRWFZc0Rxd1JpRjNyekplOXJacV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301C3F-D061-4BE9-8B1C-ABAADAB51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12458</Words>
  <Characters>68520</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2025-09-19T00:21:00Z</cp:lastPrinted>
  <dcterms:created xsi:type="dcterms:W3CDTF">2025-09-19T00:20:00Z</dcterms:created>
  <dcterms:modified xsi:type="dcterms:W3CDTF">2025-09-19T00:21:00Z</dcterms:modified>
</cp:coreProperties>
</file>