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1E08B"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EF423A">
        <w:rPr>
          <w:rFonts w:ascii="Palatino Linotype" w:eastAsia="Palatino Linotype" w:hAnsi="Palatino Linotype" w:cs="Palatino Linotype"/>
          <w:b/>
          <w:sz w:val="22"/>
          <w:szCs w:val="22"/>
        </w:rPr>
        <w:t>cuatro de junio de dos mil veinticinco</w:t>
      </w:r>
      <w:r w:rsidRPr="00EF423A">
        <w:rPr>
          <w:rFonts w:ascii="Palatino Linotype" w:eastAsia="Palatino Linotype" w:hAnsi="Palatino Linotype" w:cs="Palatino Linotype"/>
          <w:sz w:val="22"/>
          <w:szCs w:val="22"/>
        </w:rPr>
        <w:t xml:space="preserve">. </w:t>
      </w:r>
    </w:p>
    <w:p w14:paraId="6AF0160D" w14:textId="77777777" w:rsidR="00026E8D" w:rsidRPr="00EF423A" w:rsidRDefault="00B0125C">
      <w:pPr>
        <w:spacing w:before="240" w:after="240" w:line="360" w:lineRule="auto"/>
        <w:jc w:val="both"/>
        <w:rPr>
          <w:rFonts w:ascii="Palatino Linotype" w:eastAsia="Palatino Linotype" w:hAnsi="Palatino Linotype" w:cs="Palatino Linotype"/>
          <w:sz w:val="20"/>
          <w:szCs w:val="20"/>
        </w:rPr>
      </w:pPr>
      <w:r w:rsidRPr="00EF423A">
        <w:rPr>
          <w:rFonts w:ascii="Palatino Linotype" w:eastAsia="Palatino Linotype" w:hAnsi="Palatino Linotype" w:cs="Palatino Linotype"/>
          <w:b/>
          <w:sz w:val="22"/>
          <w:szCs w:val="22"/>
        </w:rPr>
        <w:t>Visto</w:t>
      </w:r>
      <w:r w:rsidRPr="00EF423A">
        <w:rPr>
          <w:rFonts w:ascii="Palatino Linotype" w:eastAsia="Palatino Linotype" w:hAnsi="Palatino Linotype" w:cs="Palatino Linotype"/>
          <w:sz w:val="22"/>
          <w:szCs w:val="22"/>
        </w:rPr>
        <w:t xml:space="preserve"> el expediente formado con motivo del recurso de revisión </w:t>
      </w:r>
      <w:r w:rsidRPr="00EF423A">
        <w:rPr>
          <w:rFonts w:ascii="Palatino Linotype" w:eastAsia="Palatino Linotype" w:hAnsi="Palatino Linotype" w:cs="Palatino Linotype"/>
          <w:b/>
          <w:sz w:val="22"/>
          <w:szCs w:val="22"/>
        </w:rPr>
        <w:t>03304/INFOEM/IP/RR/2025</w:t>
      </w:r>
      <w:r w:rsidRPr="00EF423A">
        <w:rPr>
          <w:rFonts w:ascii="Palatino Linotype" w:eastAsia="Palatino Linotype" w:hAnsi="Palatino Linotype" w:cs="Palatino Linotype"/>
          <w:sz w:val="22"/>
          <w:szCs w:val="22"/>
        </w:rPr>
        <w:t>, interpuesto por</w:t>
      </w:r>
      <w:r w:rsidRPr="00EF423A">
        <w:rPr>
          <w:rFonts w:ascii="Palatino Linotype" w:eastAsia="Palatino Linotype" w:hAnsi="Palatino Linotype" w:cs="Palatino Linotype"/>
          <w:b/>
          <w:sz w:val="22"/>
          <w:szCs w:val="22"/>
        </w:rPr>
        <w:t xml:space="preserve"> un particular de manera anónima,</w:t>
      </w:r>
      <w:r w:rsidRPr="00EF423A">
        <w:rPr>
          <w:rFonts w:ascii="Palatino Linotype" w:eastAsia="Palatino Linotype" w:hAnsi="Palatino Linotype" w:cs="Palatino Linotype"/>
          <w:sz w:val="22"/>
          <w:szCs w:val="22"/>
        </w:rPr>
        <w:t xml:space="preserve"> en lo sucesivo</w:t>
      </w:r>
      <w:r w:rsidRPr="00EF423A">
        <w:rPr>
          <w:rFonts w:ascii="Palatino Linotype" w:eastAsia="Palatino Linotype" w:hAnsi="Palatino Linotype" w:cs="Palatino Linotype"/>
          <w:b/>
          <w:sz w:val="22"/>
          <w:szCs w:val="22"/>
        </w:rPr>
        <w:t xml:space="preserve"> la parte</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Recurrente,</w:t>
      </w:r>
      <w:r w:rsidRPr="00EF423A">
        <w:rPr>
          <w:rFonts w:ascii="Palatino Linotype" w:eastAsia="Palatino Linotype" w:hAnsi="Palatino Linotype" w:cs="Palatino Linotype"/>
          <w:sz w:val="22"/>
          <w:szCs w:val="22"/>
        </w:rPr>
        <w:t xml:space="preserve"> en contra de la respuesta a su solicitud por parte del </w:t>
      </w:r>
      <w:r w:rsidRPr="00EF423A">
        <w:rPr>
          <w:rFonts w:ascii="Palatino Linotype" w:eastAsia="Palatino Linotype" w:hAnsi="Palatino Linotype" w:cs="Palatino Linotype"/>
          <w:b/>
          <w:sz w:val="22"/>
          <w:szCs w:val="22"/>
        </w:rPr>
        <w:t xml:space="preserve">Sistema Municipal Para el Desarrollo Integral de la Familia de Huehuetoca, </w:t>
      </w:r>
      <w:r w:rsidRPr="00EF423A">
        <w:rPr>
          <w:rFonts w:ascii="Palatino Linotype" w:eastAsia="Palatino Linotype" w:hAnsi="Palatino Linotype" w:cs="Palatino Linotype"/>
          <w:sz w:val="22"/>
          <w:szCs w:val="22"/>
        </w:rPr>
        <w:t xml:space="preserve">en lo sucesivo el </w:t>
      </w:r>
      <w:r w:rsidRPr="00EF423A">
        <w:rPr>
          <w:rFonts w:ascii="Palatino Linotype" w:eastAsia="Palatino Linotype" w:hAnsi="Palatino Linotype" w:cs="Palatino Linotype"/>
          <w:b/>
          <w:sz w:val="22"/>
          <w:szCs w:val="22"/>
        </w:rPr>
        <w:t xml:space="preserve">Sujeto Obligado, </w:t>
      </w:r>
      <w:r w:rsidRPr="00EF423A">
        <w:rPr>
          <w:rFonts w:ascii="Palatino Linotype" w:eastAsia="Palatino Linotype" w:hAnsi="Palatino Linotype" w:cs="Palatino Linotype"/>
          <w:sz w:val="22"/>
          <w:szCs w:val="22"/>
        </w:rPr>
        <w:t xml:space="preserve">se procede a dictar la presente resolución con base en los siguientes: </w:t>
      </w:r>
    </w:p>
    <w:p w14:paraId="178ADD99" w14:textId="77777777" w:rsidR="00026E8D" w:rsidRPr="00EF423A" w:rsidRDefault="00B0125C">
      <w:pPr>
        <w:spacing w:before="240" w:after="240" w:line="360" w:lineRule="auto"/>
        <w:jc w:val="center"/>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I. A N T E C E D E N T E S</w:t>
      </w:r>
    </w:p>
    <w:p w14:paraId="4563E736"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sz w:val="22"/>
          <w:szCs w:val="22"/>
        </w:rPr>
        <w:t>1. Solicitud de acceso a la información.</w:t>
      </w:r>
      <w:r w:rsidRPr="00EF423A">
        <w:rPr>
          <w:rFonts w:ascii="Palatino Linotype" w:eastAsia="Palatino Linotype" w:hAnsi="Palatino Linotype" w:cs="Palatino Linotype"/>
          <w:sz w:val="22"/>
          <w:szCs w:val="22"/>
        </w:rPr>
        <w:t xml:space="preserve"> El </w:t>
      </w:r>
      <w:r w:rsidRPr="00EF423A">
        <w:rPr>
          <w:rFonts w:ascii="Palatino Linotype" w:eastAsia="Palatino Linotype" w:hAnsi="Palatino Linotype" w:cs="Palatino Linotype"/>
          <w:b/>
          <w:sz w:val="22"/>
          <w:szCs w:val="22"/>
        </w:rPr>
        <w:t>veinticinco de febrero de</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dos mil veinticinco,</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la parte</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 xml:space="preserve">Recurrente </w:t>
      </w:r>
      <w:r w:rsidRPr="00EF423A">
        <w:rPr>
          <w:rFonts w:ascii="Palatino Linotype" w:eastAsia="Palatino Linotype" w:hAnsi="Palatino Linotype" w:cs="Palatino Linotype"/>
          <w:sz w:val="22"/>
          <w:szCs w:val="22"/>
        </w:rPr>
        <w:t xml:space="preserve">presentó, a través del Sistema de Acceso a la Información Mexiquense, en lo subsecuente el </w:t>
      </w:r>
      <w:r w:rsidRPr="00EF423A">
        <w:rPr>
          <w:rFonts w:ascii="Palatino Linotype" w:eastAsia="Palatino Linotype" w:hAnsi="Palatino Linotype" w:cs="Palatino Linotype"/>
          <w:b/>
          <w:sz w:val="22"/>
          <w:szCs w:val="22"/>
        </w:rPr>
        <w:t>SAIMEX,</w:t>
      </w:r>
      <w:r w:rsidRPr="00EF423A">
        <w:rPr>
          <w:rFonts w:ascii="Palatino Linotype" w:eastAsia="Palatino Linotype" w:hAnsi="Palatino Linotype" w:cs="Palatino Linotype"/>
          <w:sz w:val="22"/>
          <w:szCs w:val="22"/>
        </w:rPr>
        <w:t xml:space="preserve"> ante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la solicitud de acceso a la información pública, a la que se le asignó el número</w:t>
      </w:r>
      <w:r w:rsidRPr="00EF423A">
        <w:rPr>
          <w:rFonts w:ascii="Palatino Linotype" w:eastAsia="Palatino Linotype" w:hAnsi="Palatino Linotype" w:cs="Palatino Linotype"/>
          <w:b/>
          <w:sz w:val="22"/>
          <w:szCs w:val="22"/>
        </w:rPr>
        <w:t xml:space="preserve"> 00024/DIFHUEHUET/IP/2025, </w:t>
      </w:r>
      <w:r w:rsidRPr="00EF423A">
        <w:rPr>
          <w:rFonts w:ascii="Palatino Linotype" w:eastAsia="Palatino Linotype" w:hAnsi="Palatino Linotype" w:cs="Palatino Linotype"/>
          <w:sz w:val="22"/>
          <w:szCs w:val="22"/>
        </w:rPr>
        <w:t xml:space="preserve">mediante la cual requirió la información siguiente: </w:t>
      </w:r>
    </w:p>
    <w:p w14:paraId="24A9D80A" w14:textId="77777777" w:rsidR="00026E8D" w:rsidRPr="00EF423A" w:rsidRDefault="00B0125C">
      <w:pPr>
        <w:spacing w:before="240" w:after="240"/>
        <w:ind w:left="567" w:right="902"/>
        <w:jc w:val="both"/>
        <w:rPr>
          <w:rFonts w:ascii="Palatino Linotype" w:eastAsia="Palatino Linotype" w:hAnsi="Palatino Linotype" w:cs="Palatino Linotype"/>
          <w:i/>
          <w:sz w:val="22"/>
          <w:szCs w:val="22"/>
        </w:rPr>
      </w:pPr>
      <w:bookmarkStart w:id="0" w:name="_heading=h.gjdgxs" w:colFirst="0" w:colLast="0"/>
      <w:bookmarkEnd w:id="0"/>
      <w:r w:rsidRPr="00EF423A">
        <w:rPr>
          <w:rFonts w:ascii="Palatino Linotype" w:eastAsia="Palatino Linotype" w:hAnsi="Palatino Linotype" w:cs="Palatino Linotype"/>
          <w:i/>
          <w:sz w:val="22"/>
          <w:szCs w:val="22"/>
        </w:rPr>
        <w:t xml:space="preserve">“1. Solicito en formato abierto, el tabulador de sueldos vigente al 2025. 2. En formato autorizado por el OSFEM, solicito La Nómina General del 01 al 15 de enero del 2025; del 16 al 31 de enero de 2025; del 01 al 15 de febrero de 2025 y del 16 al 28 de febrero de 2025. 3.En versión publica, los recibos de nómina con la firma de recibido de los servidores públicos, correspondientes a los meses de enero y febrero de 2025. 4. El organigrama vigente, con indicación del nombre de los servidores públicos que ocupan las áreas correspondientes. 5. El número de vacantes desglosado por áreas. 6. El número de juicios administrativos o laborales vigentes por despidos injustificados iniciados durante 2025.” (Sic) </w:t>
      </w:r>
    </w:p>
    <w:p w14:paraId="22D1ADCF" w14:textId="77777777" w:rsidR="00026E8D" w:rsidRPr="00EF423A" w:rsidRDefault="00B0125C">
      <w:pPr>
        <w:spacing w:before="240" w:after="240" w:line="360" w:lineRule="auto"/>
        <w:ind w:right="49"/>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Modalidad de Entrega:</w:t>
      </w:r>
      <w:r w:rsidRPr="00EF423A">
        <w:rPr>
          <w:rFonts w:ascii="Palatino Linotype" w:eastAsia="Palatino Linotype" w:hAnsi="Palatino Linotype" w:cs="Palatino Linotype"/>
          <w:sz w:val="22"/>
          <w:szCs w:val="22"/>
        </w:rPr>
        <w:t xml:space="preserve"> a través </w:t>
      </w:r>
      <w:r w:rsidRPr="00EF423A">
        <w:rPr>
          <w:rFonts w:ascii="Palatino Linotype" w:eastAsia="Palatino Linotype" w:hAnsi="Palatino Linotype" w:cs="Palatino Linotype"/>
          <w:b/>
          <w:sz w:val="22"/>
          <w:szCs w:val="22"/>
        </w:rPr>
        <w:t>del SAIMEX.</w:t>
      </w:r>
    </w:p>
    <w:p w14:paraId="61059E30" w14:textId="77777777" w:rsidR="00026E8D" w:rsidRPr="00EF423A" w:rsidRDefault="00B0125C">
      <w:pPr>
        <w:spacing w:before="240" w:after="240" w:line="360" w:lineRule="auto"/>
        <w:jc w:val="both"/>
        <w:rPr>
          <w:rFonts w:ascii="Palatino Linotype" w:eastAsia="Palatino Linotype" w:hAnsi="Palatino Linotype" w:cs="Palatino Linotype"/>
          <w:b/>
          <w:sz w:val="22"/>
          <w:szCs w:val="22"/>
        </w:rPr>
      </w:pPr>
      <w:bookmarkStart w:id="1" w:name="_heading=h.3dy6vkm" w:colFirst="0" w:colLast="0"/>
      <w:bookmarkEnd w:id="1"/>
      <w:r w:rsidRPr="00EF423A">
        <w:rPr>
          <w:rFonts w:ascii="Palatino Linotype" w:eastAsia="Palatino Linotype" w:hAnsi="Palatino Linotype" w:cs="Palatino Linotype"/>
          <w:b/>
          <w:sz w:val="22"/>
          <w:szCs w:val="22"/>
        </w:rPr>
        <w:lastRenderedPageBreak/>
        <w:t xml:space="preserve">2. Respuesta. </w:t>
      </w:r>
      <w:r w:rsidRPr="00EF423A">
        <w:rPr>
          <w:rFonts w:ascii="Palatino Linotype" w:eastAsia="Palatino Linotype" w:hAnsi="Palatino Linotype" w:cs="Palatino Linotype"/>
          <w:sz w:val="22"/>
          <w:szCs w:val="22"/>
        </w:rPr>
        <w:t xml:space="preserve">El </w:t>
      </w:r>
      <w:r w:rsidRPr="00EF423A">
        <w:rPr>
          <w:rFonts w:ascii="Palatino Linotype" w:eastAsia="Palatino Linotype" w:hAnsi="Palatino Linotype" w:cs="Palatino Linotype"/>
          <w:b/>
          <w:sz w:val="22"/>
          <w:szCs w:val="22"/>
        </w:rPr>
        <w:t>veinte de marzo de dos mil veinticinco</w:t>
      </w:r>
      <w:r w:rsidRPr="00EF423A">
        <w:rPr>
          <w:rFonts w:ascii="Palatino Linotype" w:eastAsia="Palatino Linotype" w:hAnsi="Palatino Linotype" w:cs="Palatino Linotype"/>
          <w:sz w:val="22"/>
          <w:szCs w:val="22"/>
        </w:rPr>
        <w:t xml:space="preserve">, el </w:t>
      </w:r>
      <w:r w:rsidRPr="00EF423A">
        <w:rPr>
          <w:rFonts w:ascii="Palatino Linotype" w:eastAsia="Palatino Linotype" w:hAnsi="Palatino Linotype" w:cs="Palatino Linotype"/>
          <w:b/>
          <w:sz w:val="22"/>
          <w:szCs w:val="22"/>
        </w:rPr>
        <w:t xml:space="preserve">Sujeto Obligado </w:t>
      </w:r>
      <w:r w:rsidRPr="00EF423A">
        <w:rPr>
          <w:rFonts w:ascii="Palatino Linotype" w:eastAsia="Palatino Linotype" w:hAnsi="Palatino Linotype" w:cs="Palatino Linotype"/>
          <w:sz w:val="22"/>
          <w:szCs w:val="22"/>
        </w:rPr>
        <w:t xml:space="preserve">declaró su incompetencia para atender la solicitud de acceso a la información a través de SAIMEX, sustancialmente en los términos siguientes:   </w:t>
      </w:r>
    </w:p>
    <w:p w14:paraId="2F9275EC" w14:textId="77777777" w:rsidR="00026E8D" w:rsidRPr="00EF423A" w:rsidRDefault="00B0125C">
      <w:pPr>
        <w:spacing w:before="240" w:after="24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“BUENA TARDE, ADJUNTO REMITO INFORMACION SOLICITADA</w:t>
      </w:r>
    </w:p>
    <w:p w14:paraId="20C2BA73" w14:textId="77777777" w:rsidR="00026E8D" w:rsidRPr="00EF423A" w:rsidRDefault="00B0125C">
      <w:pPr>
        <w:spacing w:before="240" w:after="24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ATENTAMENTE</w:t>
      </w:r>
    </w:p>
    <w:p w14:paraId="69778DD7" w14:textId="77777777" w:rsidR="00026E8D" w:rsidRPr="00EF423A" w:rsidRDefault="00B0125C">
      <w:pPr>
        <w:spacing w:before="240" w:after="24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C. Janeth Olivia Maldonado Cervantes” (Sic)</w:t>
      </w:r>
    </w:p>
    <w:p w14:paraId="2A89568F" w14:textId="77777777" w:rsidR="00026E8D" w:rsidRPr="00EF423A" w:rsidRDefault="00B0125C">
      <w:pPr>
        <w:spacing w:before="240" w:after="240"/>
        <w:ind w:left="567" w:right="902"/>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Archivos adjuntos:</w:t>
      </w:r>
    </w:p>
    <w:p w14:paraId="71CA838A" w14:textId="77777777" w:rsidR="00026E8D" w:rsidRPr="00EF423A" w:rsidRDefault="00B0125C">
      <w:pPr>
        <w:spacing w:before="240" w:after="240" w:line="360" w:lineRule="auto"/>
        <w:ind w:left="567" w:right="902"/>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i/>
          <w:sz w:val="22"/>
          <w:szCs w:val="22"/>
        </w:rPr>
        <w:t xml:space="preserve">“00024-DIFHUEHUET-IP-2025.pdf”: </w:t>
      </w:r>
      <w:r w:rsidRPr="00EF423A">
        <w:rPr>
          <w:rFonts w:ascii="Palatino Linotype" w:eastAsia="Palatino Linotype" w:hAnsi="Palatino Linotype" w:cs="Palatino Linotype"/>
          <w:sz w:val="22"/>
          <w:szCs w:val="22"/>
        </w:rPr>
        <w:t xml:space="preserve">Archivo electrónico que se compone de trescientas cuarenta y ocho fojas (348), en las que se aprecia en la primera foja, el oficio DIF/TES/0006/2025, suscrito por el Tesorero del Sistema Municipal Para el Desarrollo Integral de la Familia de Huehuetoca, en el que refiere que adjunta la siguiente información: </w:t>
      </w:r>
    </w:p>
    <w:p w14:paraId="01252BF0" w14:textId="77777777" w:rsidR="00026E8D" w:rsidRPr="00EF423A" w:rsidRDefault="00B0125C">
      <w:pPr>
        <w:spacing w:before="240" w:after="240" w:line="360" w:lineRule="auto"/>
        <w:ind w:left="567" w:right="902"/>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-Nómina y recibos de nómina de la primera y segunda quincena de los meses de enero y febrero del 2025, así como listado de vacantes.</w:t>
      </w:r>
    </w:p>
    <w:p w14:paraId="0A1351C2" w14:textId="77777777" w:rsidR="00026E8D" w:rsidRPr="00EF423A" w:rsidRDefault="00B0125C">
      <w:pPr>
        <w:spacing w:before="240" w:after="240" w:line="360" w:lineRule="auto"/>
        <w:ind w:left="567" w:right="902"/>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-Posteriormente se aprecian los recibos de nómina de los meses de enero y febrero, en versión pública, tabulador de sueldos y la nómina de los meses de enero y febrero.</w:t>
      </w:r>
    </w:p>
    <w:p w14:paraId="22344277" w14:textId="77777777" w:rsidR="00026E8D" w:rsidRPr="00EF423A" w:rsidRDefault="00B0125C">
      <w:pPr>
        <w:spacing w:before="240" w:after="240" w:line="360" w:lineRule="auto"/>
        <w:ind w:left="567" w:right="902"/>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i/>
          <w:sz w:val="22"/>
          <w:szCs w:val="22"/>
        </w:rPr>
        <w:t xml:space="preserve">“6 CUARTA SESION EXTRAORDINARIA.pdf”: </w:t>
      </w:r>
      <w:r w:rsidRPr="00EF423A">
        <w:rPr>
          <w:rFonts w:ascii="Palatino Linotype" w:eastAsia="Palatino Linotype" w:hAnsi="Palatino Linotype" w:cs="Palatino Linotype"/>
          <w:sz w:val="22"/>
          <w:szCs w:val="22"/>
        </w:rPr>
        <w:t>Acta de la Cuarta Sesión Extraordinaria del Comité de Transparencia del Sistema Municipal Para el Desarrollo Integral de la Familia de Huehuetoca, celebrada el cuatro de marzo de dos mil veinticinco.</w:t>
      </w:r>
    </w:p>
    <w:p w14:paraId="49E69D0B" w14:textId="77777777" w:rsidR="00026E8D" w:rsidRPr="00EF423A" w:rsidRDefault="00B0125C">
      <w:pPr>
        <w:spacing w:before="240" w:after="240" w:line="360" w:lineRule="auto"/>
        <w:ind w:right="49"/>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lastRenderedPageBreak/>
        <w:t xml:space="preserve">3. Interposición del recurso de revisión. </w:t>
      </w:r>
      <w:r w:rsidRPr="00EF423A">
        <w:rPr>
          <w:rFonts w:ascii="Palatino Linotype" w:eastAsia="Palatino Linotype" w:hAnsi="Palatino Linotype" w:cs="Palatino Linotype"/>
          <w:sz w:val="22"/>
          <w:szCs w:val="22"/>
        </w:rPr>
        <w:t xml:space="preserve">Inconforme con los términos de la respuesta emitida por parte del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el</w:t>
      </w:r>
      <w:r w:rsidRPr="00EF423A">
        <w:rPr>
          <w:rFonts w:ascii="Palatino Linotype" w:eastAsia="Palatino Linotype" w:hAnsi="Palatino Linotype" w:cs="Palatino Linotype"/>
          <w:b/>
          <w:sz w:val="22"/>
          <w:szCs w:val="22"/>
        </w:rPr>
        <w:t xml:space="preserve"> veinte de marzo de dos mil veinticinco,</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la parte</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Recurrente</w:t>
      </w:r>
      <w:r w:rsidRPr="00EF423A">
        <w:rPr>
          <w:rFonts w:ascii="Palatino Linotype" w:eastAsia="Palatino Linotype" w:hAnsi="Palatino Linotype" w:cs="Palatino Linotype"/>
          <w:sz w:val="22"/>
          <w:szCs w:val="22"/>
        </w:rPr>
        <w:t xml:space="preserve"> interpuso el recurso de revisión a través de </w:t>
      </w:r>
      <w:r w:rsidRPr="00EF423A">
        <w:rPr>
          <w:rFonts w:ascii="Palatino Linotype" w:eastAsia="Palatino Linotype" w:hAnsi="Palatino Linotype" w:cs="Palatino Linotype"/>
          <w:b/>
          <w:sz w:val="22"/>
          <w:szCs w:val="22"/>
        </w:rPr>
        <w:t xml:space="preserve">SAIMEX, </w:t>
      </w:r>
      <w:r w:rsidRPr="00EF423A">
        <w:rPr>
          <w:rFonts w:ascii="Palatino Linotype" w:eastAsia="Palatino Linotype" w:hAnsi="Palatino Linotype" w:cs="Palatino Linotype"/>
          <w:sz w:val="22"/>
          <w:szCs w:val="22"/>
        </w:rPr>
        <w:t>en donde se manifestó de la siguiente manera:</w:t>
      </w:r>
    </w:p>
    <w:p w14:paraId="2F238DF8" w14:textId="77777777" w:rsidR="00026E8D" w:rsidRPr="00EF423A" w:rsidRDefault="00B0125C">
      <w:pPr>
        <w:tabs>
          <w:tab w:val="left" w:pos="2745"/>
        </w:tabs>
        <w:spacing w:before="240" w:after="240" w:line="276" w:lineRule="auto"/>
        <w:ind w:left="567" w:right="900"/>
        <w:jc w:val="both"/>
        <w:rPr>
          <w:rFonts w:ascii="Palatino Linotype" w:eastAsia="Palatino Linotype" w:hAnsi="Palatino Linotype" w:cs="Palatino Linotype"/>
          <w:b/>
        </w:rPr>
      </w:pPr>
      <w:r w:rsidRPr="00EF423A">
        <w:rPr>
          <w:rFonts w:ascii="Palatino Linotype" w:eastAsia="Palatino Linotype" w:hAnsi="Palatino Linotype" w:cs="Palatino Linotype"/>
          <w:b/>
          <w:sz w:val="22"/>
          <w:szCs w:val="22"/>
        </w:rPr>
        <w:t xml:space="preserve">a) Acto impugnado: </w:t>
      </w:r>
      <w:r w:rsidRPr="00EF423A">
        <w:rPr>
          <w:rFonts w:ascii="Palatino Linotype" w:eastAsia="Palatino Linotype" w:hAnsi="Palatino Linotype" w:cs="Palatino Linotype"/>
          <w:i/>
          <w:sz w:val="22"/>
          <w:szCs w:val="22"/>
        </w:rPr>
        <w:t>“Entregaron información incompleta, además borraron el sueldo y varia información que se requiere saber” (Sic)</w:t>
      </w:r>
    </w:p>
    <w:p w14:paraId="020A3286" w14:textId="77777777" w:rsidR="00026E8D" w:rsidRPr="00EF423A" w:rsidRDefault="00B0125C">
      <w:pPr>
        <w:spacing w:line="276" w:lineRule="auto"/>
        <w:ind w:left="567" w:right="900"/>
        <w:jc w:val="both"/>
        <w:rPr>
          <w:rFonts w:ascii="Palatino Linotype" w:eastAsia="Palatino Linotype" w:hAnsi="Palatino Linotype" w:cs="Palatino Linotype"/>
          <w:i/>
          <w:sz w:val="22"/>
          <w:szCs w:val="22"/>
        </w:rPr>
      </w:pPr>
      <w:bookmarkStart w:id="2" w:name="_heading=h.30j0zll" w:colFirst="0" w:colLast="0"/>
      <w:bookmarkEnd w:id="2"/>
      <w:r w:rsidRPr="00EF423A">
        <w:rPr>
          <w:rFonts w:ascii="Palatino Linotype" w:eastAsia="Palatino Linotype" w:hAnsi="Palatino Linotype" w:cs="Palatino Linotype"/>
          <w:b/>
          <w:sz w:val="22"/>
          <w:szCs w:val="22"/>
        </w:rPr>
        <w:t>b) Razones o motivos de inconformidad</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i/>
          <w:sz w:val="22"/>
          <w:szCs w:val="22"/>
        </w:rPr>
        <w:t>“Entregaron información incompleta, además borraron el sueldo y varia información que se requiere saber” (Sic)</w:t>
      </w:r>
    </w:p>
    <w:p w14:paraId="5C40E079" w14:textId="77777777" w:rsidR="00026E8D" w:rsidRPr="00EF423A" w:rsidRDefault="00B0125C">
      <w:pPr>
        <w:spacing w:before="240" w:after="240" w:line="360" w:lineRule="auto"/>
        <w:ind w:right="51"/>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sz w:val="22"/>
          <w:szCs w:val="22"/>
        </w:rPr>
        <w:t xml:space="preserve">4. Turno. </w:t>
      </w:r>
      <w:r w:rsidRPr="00EF423A">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EF423A">
        <w:rPr>
          <w:rFonts w:ascii="Palatino Linotype" w:eastAsia="Palatino Linotype" w:hAnsi="Palatino Linotype" w:cs="Palatino Linotype"/>
          <w:b/>
          <w:sz w:val="22"/>
          <w:szCs w:val="22"/>
        </w:rPr>
        <w:t xml:space="preserve">Guadalupe Ramírez Peña, </w:t>
      </w:r>
      <w:r w:rsidRPr="00EF423A">
        <w:rPr>
          <w:rFonts w:ascii="Palatino Linotype" w:eastAsia="Palatino Linotype" w:hAnsi="Palatino Linotype" w:cs="Palatino Linotype"/>
          <w:sz w:val="22"/>
          <w:szCs w:val="22"/>
        </w:rPr>
        <w:t xml:space="preserve">a efecto de que analizara sobre su admisión o su </w:t>
      </w:r>
      <w:proofErr w:type="spellStart"/>
      <w:r w:rsidRPr="00EF423A">
        <w:rPr>
          <w:rFonts w:ascii="Palatino Linotype" w:eastAsia="Palatino Linotype" w:hAnsi="Palatino Linotype" w:cs="Palatino Linotype"/>
          <w:sz w:val="22"/>
          <w:szCs w:val="22"/>
        </w:rPr>
        <w:t>desechamiento</w:t>
      </w:r>
      <w:proofErr w:type="spellEnd"/>
      <w:r w:rsidRPr="00EF423A">
        <w:rPr>
          <w:rFonts w:ascii="Palatino Linotype" w:eastAsia="Palatino Linotype" w:hAnsi="Palatino Linotype" w:cs="Palatino Linotype"/>
          <w:sz w:val="22"/>
          <w:szCs w:val="22"/>
        </w:rPr>
        <w:t>.</w:t>
      </w:r>
    </w:p>
    <w:p w14:paraId="3FF058BA"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sz w:val="22"/>
          <w:szCs w:val="22"/>
        </w:rPr>
        <w:t>5. Admisión del Recurso de revisión.</w:t>
      </w:r>
      <w:r w:rsidRPr="00EF423A">
        <w:rPr>
          <w:rFonts w:ascii="Palatino Linotype" w:eastAsia="Palatino Linotype" w:hAnsi="Palatino Linotype" w:cs="Palatino Linotype"/>
          <w:sz w:val="22"/>
          <w:szCs w:val="22"/>
        </w:rPr>
        <w:t xml:space="preserve"> El </w:t>
      </w:r>
      <w:r w:rsidRPr="00EF423A">
        <w:rPr>
          <w:rFonts w:ascii="Palatino Linotype" w:eastAsia="Palatino Linotype" w:hAnsi="Palatino Linotype" w:cs="Palatino Linotype"/>
          <w:b/>
          <w:sz w:val="22"/>
          <w:szCs w:val="22"/>
        </w:rPr>
        <w:t xml:space="preserve">veinticinco de marzo de dos mil veinticinco, </w:t>
      </w:r>
      <w:r w:rsidRPr="00EF423A">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w:t>
      </w:r>
      <w:r w:rsidRPr="00EF423A">
        <w:rPr>
          <w:rFonts w:ascii="Palatino Linotype" w:eastAsia="Palatino Linotype" w:hAnsi="Palatino Linotype" w:cs="Palatino Linotype"/>
          <w:b/>
          <w:sz w:val="22"/>
          <w:szCs w:val="22"/>
        </w:rPr>
        <w:t>la parte Recurrente</w:t>
      </w:r>
      <w:r w:rsidRPr="00EF423A">
        <w:rPr>
          <w:rFonts w:ascii="Palatino Linotype" w:eastAsia="Palatino Linotype" w:hAnsi="Palatino Linotype" w:cs="Palatino Linotype"/>
          <w:sz w:val="22"/>
          <w:szCs w:val="22"/>
        </w:rPr>
        <w:t xml:space="preserve"> manifestaran lo que a su derecho resultara conveniente, ofrecieran pruebas, formularan alegatos y el </w:t>
      </w:r>
      <w:r w:rsidRPr="00EF423A">
        <w:rPr>
          <w:rFonts w:ascii="Palatino Linotype" w:eastAsia="Palatino Linotype" w:hAnsi="Palatino Linotype" w:cs="Palatino Linotype"/>
          <w:b/>
          <w:sz w:val="22"/>
          <w:szCs w:val="22"/>
        </w:rPr>
        <w:t xml:space="preserve">Sujeto Obligado </w:t>
      </w:r>
      <w:r w:rsidRPr="00EF423A">
        <w:rPr>
          <w:rFonts w:ascii="Palatino Linotype" w:eastAsia="Palatino Linotype" w:hAnsi="Palatino Linotype" w:cs="Palatino Linotype"/>
          <w:sz w:val="22"/>
          <w:szCs w:val="22"/>
        </w:rPr>
        <w:t>presentara su informe justificado.</w:t>
      </w:r>
    </w:p>
    <w:p w14:paraId="0288AF17" w14:textId="77777777" w:rsidR="00026E8D" w:rsidRPr="00EF423A" w:rsidRDefault="00B0125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3" w:name="_heading=h.2s8eyo1" w:colFirst="0" w:colLast="0"/>
      <w:bookmarkEnd w:id="3"/>
      <w:r w:rsidRPr="00EF423A">
        <w:rPr>
          <w:rFonts w:ascii="Palatino Linotype" w:eastAsia="Palatino Linotype" w:hAnsi="Palatino Linotype" w:cs="Palatino Linotype"/>
          <w:b/>
          <w:sz w:val="22"/>
          <w:szCs w:val="22"/>
        </w:rPr>
        <w:t>6. Manifestaciones e Informe Justificado</w:t>
      </w:r>
      <w:r w:rsidRPr="00EF423A">
        <w:rPr>
          <w:rFonts w:ascii="Palatino Linotype" w:eastAsia="Palatino Linotype" w:hAnsi="Palatino Linotype" w:cs="Palatino Linotype"/>
          <w:sz w:val="22"/>
          <w:szCs w:val="22"/>
        </w:rPr>
        <w:t xml:space="preserve">. De las constancias que integran el expediente en que se actúa se advierte que durante el periodo de manifestaciones e informe justificado, las </w:t>
      </w:r>
      <w:proofErr w:type="gramStart"/>
      <w:r w:rsidRPr="00EF423A">
        <w:rPr>
          <w:rFonts w:ascii="Palatino Linotype" w:eastAsia="Palatino Linotype" w:hAnsi="Palatino Linotype" w:cs="Palatino Linotype"/>
          <w:sz w:val="22"/>
          <w:szCs w:val="22"/>
        </w:rPr>
        <w:t>partes  fueron</w:t>
      </w:r>
      <w:proofErr w:type="gramEnd"/>
      <w:r w:rsidRPr="00EF423A">
        <w:rPr>
          <w:rFonts w:ascii="Palatino Linotype" w:eastAsia="Palatino Linotype" w:hAnsi="Palatino Linotype" w:cs="Palatino Linotype"/>
          <w:sz w:val="22"/>
          <w:szCs w:val="22"/>
        </w:rPr>
        <w:t xml:space="preserve"> omisas en pronunciarse durante este término,</w:t>
      </w:r>
      <w:r w:rsidRPr="00EF423A">
        <w:rPr>
          <w:rFonts w:ascii="Palatino Linotype" w:eastAsia="Palatino Linotype" w:hAnsi="Palatino Linotype" w:cs="Palatino Linotype"/>
          <w:b/>
          <w:sz w:val="22"/>
          <w:szCs w:val="22"/>
        </w:rPr>
        <w:t xml:space="preserve"> </w:t>
      </w:r>
      <w:r w:rsidRPr="00EF423A">
        <w:rPr>
          <w:rFonts w:ascii="Palatino Linotype" w:eastAsia="Palatino Linotype" w:hAnsi="Palatino Linotype" w:cs="Palatino Linotype"/>
          <w:sz w:val="22"/>
          <w:szCs w:val="22"/>
        </w:rPr>
        <w:t>por lo que se tiene por precluido su derecho para tal efecto.</w:t>
      </w:r>
    </w:p>
    <w:p w14:paraId="50B1BED3" w14:textId="77777777" w:rsidR="00026E8D" w:rsidRPr="00EF423A" w:rsidRDefault="00B0125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noProof/>
          <w:sz w:val="22"/>
          <w:szCs w:val="22"/>
        </w:rPr>
        <w:lastRenderedPageBreak/>
        <w:drawing>
          <wp:inline distT="0" distB="0" distL="0" distR="0" wp14:anchorId="38714197" wp14:editId="6BEDFED1">
            <wp:extent cx="5804884" cy="1516574"/>
            <wp:effectExtent l="0" t="0" r="0" b="0"/>
            <wp:docPr id="6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5804884" cy="1516574"/>
                    </a:xfrm>
                    <a:prstGeom prst="rect">
                      <a:avLst/>
                    </a:prstGeom>
                    <a:ln/>
                  </pic:spPr>
                </pic:pic>
              </a:graphicData>
            </a:graphic>
          </wp:inline>
        </w:drawing>
      </w:r>
    </w:p>
    <w:p w14:paraId="4DF28AB5" w14:textId="77777777" w:rsidR="00026E8D" w:rsidRPr="00EF423A" w:rsidRDefault="00B0125C">
      <w:pPr>
        <w:spacing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sz w:val="22"/>
          <w:szCs w:val="22"/>
        </w:rPr>
        <w:t xml:space="preserve">7. Cierre de instrucción. </w:t>
      </w:r>
      <w:r w:rsidRPr="00EF423A">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EF423A">
        <w:rPr>
          <w:rFonts w:ascii="Palatino Linotype" w:eastAsia="Palatino Linotype" w:hAnsi="Palatino Linotype" w:cs="Palatino Linotype"/>
          <w:b/>
          <w:sz w:val="22"/>
          <w:szCs w:val="22"/>
        </w:rPr>
        <w:t>veintisiete de mayo de dos mil veinticinco,</w:t>
      </w:r>
      <w:r w:rsidRPr="00EF423A">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6CC01B5E" w14:textId="77777777" w:rsidR="00026E8D" w:rsidRPr="00EF423A" w:rsidRDefault="00B0125C">
      <w:pPr>
        <w:spacing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sz w:val="22"/>
          <w:szCs w:val="22"/>
        </w:rPr>
        <w:t xml:space="preserve">8. Ampliación de plazo para resolver. </w:t>
      </w:r>
      <w:r w:rsidRPr="00EF423A">
        <w:rPr>
          <w:rFonts w:ascii="Palatino Linotype" w:eastAsia="Palatino Linotype" w:hAnsi="Palatino Linotype" w:cs="Palatino Linotype"/>
          <w:sz w:val="22"/>
          <w:szCs w:val="22"/>
        </w:rPr>
        <w:t>El</w:t>
      </w:r>
      <w:r w:rsidRPr="00EF423A">
        <w:rPr>
          <w:rFonts w:ascii="Palatino Linotype" w:eastAsia="Palatino Linotype" w:hAnsi="Palatino Linotype" w:cs="Palatino Linotype"/>
          <w:b/>
          <w:sz w:val="22"/>
          <w:szCs w:val="22"/>
        </w:rPr>
        <w:t xml:space="preserve"> veintisiete de mayo de dos mil veinticinco, </w:t>
      </w:r>
      <w:r w:rsidRPr="00EF423A">
        <w:rPr>
          <w:rFonts w:ascii="Palatino Linotype" w:eastAsia="Palatino Linotype" w:hAnsi="Palatino Linotype" w:cs="Palatino Linotype"/>
          <w:sz w:val="22"/>
          <w:szCs w:val="22"/>
        </w:rPr>
        <w:t>se notificó a las partes, el acuerdo que amplía el término para resolver el recurso de revisión en términos del artículo 181 párrafo tercero de la Ley de Transparencia y Acceso a la Información Pública del Estado de México y Municipios.</w:t>
      </w:r>
    </w:p>
    <w:p w14:paraId="20E6C848"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09E319F" w14:textId="77777777" w:rsidR="00026E8D" w:rsidRPr="00EF423A" w:rsidRDefault="00B0125C">
      <w:pPr>
        <w:widowControl w:val="0"/>
        <w:spacing w:before="240" w:after="240" w:line="360" w:lineRule="auto"/>
        <w:jc w:val="center"/>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II. C O N S I D E R A N D O S</w:t>
      </w:r>
    </w:p>
    <w:p w14:paraId="5FE274D4"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sz w:val="22"/>
          <w:szCs w:val="22"/>
        </w:rPr>
        <w:t>Primero. Competencia.</w:t>
      </w:r>
      <w:r w:rsidRPr="00EF423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w:t>
      </w:r>
      <w:r w:rsidRPr="00EF423A">
        <w:rPr>
          <w:rFonts w:ascii="Palatino Linotype" w:eastAsia="Palatino Linotype" w:hAnsi="Palatino Linotype" w:cs="Palatino Linotype"/>
          <w:b/>
          <w:sz w:val="22"/>
          <w:szCs w:val="22"/>
        </w:rPr>
        <w:t>la parte Recurrente</w:t>
      </w:r>
      <w:r w:rsidRPr="00EF423A">
        <w:rPr>
          <w:rFonts w:ascii="Palatino Linotype" w:eastAsia="Palatino Linotype" w:hAnsi="Palatino Linotype" w:cs="Palatino Linotype"/>
          <w:sz w:val="22"/>
          <w:szCs w:val="22"/>
        </w:rPr>
        <w:t xml:space="preserve">, conforme a lo dispuesto en los artículos 6, apartado A de la Constitución Política de los Estados Unidos Mexicanos; 5 párrafos trigésimo séptimo, trigésimo octavo y trigésimo </w:t>
      </w:r>
      <w:r w:rsidRPr="00EF423A">
        <w:rPr>
          <w:rFonts w:ascii="Palatino Linotype" w:eastAsia="Palatino Linotype" w:hAnsi="Palatino Linotype" w:cs="Palatino Linotype"/>
          <w:sz w:val="22"/>
          <w:szCs w:val="22"/>
        </w:rPr>
        <w:lastRenderedPageBreak/>
        <w:t>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DA8E194"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bookmarkStart w:id="4" w:name="_heading=h.tyjcwt" w:colFirst="0" w:colLast="0"/>
      <w:bookmarkEnd w:id="4"/>
      <w:r w:rsidRPr="00EF423A">
        <w:rPr>
          <w:rFonts w:ascii="Palatino Linotype" w:eastAsia="Palatino Linotype" w:hAnsi="Palatino Linotype" w:cs="Palatino Linotype"/>
          <w:b/>
          <w:sz w:val="22"/>
          <w:szCs w:val="22"/>
        </w:rPr>
        <w:t>Segundo. Oportunidad y Procedibilidad del Recurso de Revisión</w:t>
      </w:r>
      <w:r w:rsidRPr="00EF423A">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2E2A835"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EF423A">
        <w:rPr>
          <w:rFonts w:ascii="Palatino Linotype" w:eastAsia="Palatino Linotype" w:hAnsi="Palatino Linotype" w:cs="Palatino Linotype"/>
          <w:b/>
          <w:sz w:val="22"/>
          <w:szCs w:val="22"/>
        </w:rPr>
        <w:t xml:space="preserve">Sujeto Obligado </w:t>
      </w:r>
      <w:r w:rsidRPr="00EF423A">
        <w:rPr>
          <w:rFonts w:ascii="Palatino Linotype" w:eastAsia="Palatino Linotype" w:hAnsi="Palatino Linotype" w:cs="Palatino Linotype"/>
          <w:sz w:val="22"/>
          <w:szCs w:val="22"/>
        </w:rPr>
        <w:t xml:space="preserve">otorgó respuesta a la solicitud de información el </w:t>
      </w:r>
      <w:r w:rsidRPr="00EF423A">
        <w:rPr>
          <w:rFonts w:ascii="Palatino Linotype" w:eastAsia="Palatino Linotype" w:hAnsi="Palatino Linotype" w:cs="Palatino Linotype"/>
          <w:b/>
          <w:sz w:val="22"/>
          <w:szCs w:val="22"/>
        </w:rPr>
        <w:t>veinte de marzo</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 xml:space="preserve">de dos mil veinticinco, </w:t>
      </w:r>
      <w:r w:rsidRPr="00EF423A">
        <w:rPr>
          <w:rFonts w:ascii="Palatino Linotype" w:eastAsia="Palatino Linotype" w:hAnsi="Palatino Linotype" w:cs="Palatino Linotype"/>
          <w:sz w:val="22"/>
          <w:szCs w:val="22"/>
        </w:rPr>
        <w:t xml:space="preserve">mientras que el recurso de revisión interpuesto por </w:t>
      </w:r>
      <w:r w:rsidRPr="00EF423A">
        <w:rPr>
          <w:rFonts w:ascii="Palatino Linotype" w:eastAsia="Palatino Linotype" w:hAnsi="Palatino Linotype" w:cs="Palatino Linotype"/>
          <w:b/>
          <w:sz w:val="22"/>
          <w:szCs w:val="22"/>
        </w:rPr>
        <w:t>la parte</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Recurrente</w:t>
      </w:r>
      <w:r w:rsidRPr="00EF423A">
        <w:rPr>
          <w:rFonts w:ascii="Palatino Linotype" w:eastAsia="Palatino Linotype" w:hAnsi="Palatino Linotype" w:cs="Palatino Linotype"/>
          <w:sz w:val="22"/>
          <w:szCs w:val="22"/>
        </w:rPr>
        <w:t xml:space="preserve">, se tuvo por presentado el día </w:t>
      </w:r>
      <w:r w:rsidRPr="00EF423A">
        <w:rPr>
          <w:rFonts w:ascii="Palatino Linotype" w:eastAsia="Palatino Linotype" w:hAnsi="Palatino Linotype" w:cs="Palatino Linotype"/>
          <w:b/>
          <w:sz w:val="22"/>
          <w:szCs w:val="22"/>
        </w:rPr>
        <w:t>veinte de marzo</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 xml:space="preserve">de dos mil veinticinco, </w:t>
      </w:r>
      <w:r w:rsidRPr="00EF423A">
        <w:rPr>
          <w:rFonts w:ascii="Palatino Linotype" w:eastAsia="Palatino Linotype" w:hAnsi="Palatino Linotype" w:cs="Palatino Linotype"/>
          <w:sz w:val="22"/>
          <w:szCs w:val="22"/>
        </w:rPr>
        <w:t xml:space="preserve">esto es, el </w:t>
      </w:r>
      <w:r w:rsidRPr="00EF423A">
        <w:rPr>
          <w:rFonts w:ascii="Palatino Linotype" w:eastAsia="Palatino Linotype" w:hAnsi="Palatino Linotype" w:cs="Palatino Linotype"/>
          <w:b/>
          <w:sz w:val="22"/>
          <w:szCs w:val="22"/>
        </w:rPr>
        <w:t>mismo</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día hábil en el que tuvo conocimiento de la respuesta impugnada.</w:t>
      </w:r>
      <w:r w:rsidRPr="00EF423A">
        <w:rPr>
          <w:rFonts w:ascii="Palatino Linotype" w:eastAsia="Palatino Linotype" w:hAnsi="Palatino Linotype" w:cs="Palatino Linotype"/>
          <w:sz w:val="22"/>
          <w:szCs w:val="22"/>
        </w:rPr>
        <w:t xml:space="preserve"> </w:t>
      </w:r>
    </w:p>
    <w:p w14:paraId="6C5BD0FE" w14:textId="77777777" w:rsidR="00026E8D" w:rsidRPr="00EF423A" w:rsidRDefault="00B0125C">
      <w:pPr>
        <w:pBdr>
          <w:top w:val="nil"/>
          <w:left w:val="nil"/>
          <w:bottom w:val="nil"/>
          <w:right w:val="nil"/>
          <w:between w:val="nil"/>
        </w:pBdr>
        <w:spacing w:before="240" w:after="240" w:line="360" w:lineRule="auto"/>
        <w:jc w:val="both"/>
        <w:rPr>
          <w:sz w:val="22"/>
          <w:szCs w:val="22"/>
        </w:rPr>
      </w:pPr>
      <w:r w:rsidRPr="00EF423A">
        <w:rPr>
          <w:rFonts w:ascii="Palatino Linotype" w:eastAsia="Palatino Linotype" w:hAnsi="Palatino Linotype" w:cs="Palatino Linotype"/>
          <w:sz w:val="22"/>
          <w:szCs w:val="22"/>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w:t>
      </w:r>
      <w:r w:rsidRPr="00EF423A">
        <w:rPr>
          <w:rFonts w:ascii="Palatino Linotype" w:eastAsia="Palatino Linotype" w:hAnsi="Palatino Linotype" w:cs="Palatino Linotype"/>
          <w:sz w:val="22"/>
          <w:szCs w:val="22"/>
        </w:rPr>
        <w:lastRenderedPageBreak/>
        <w:t>Gaceta, Libro 19, Junio de 2015, Tomo I, página 569 de la Décima época que lleva por rubro y texto los siguientes:</w:t>
      </w:r>
    </w:p>
    <w:p w14:paraId="196D9504" w14:textId="77777777" w:rsidR="00026E8D" w:rsidRPr="00EF423A" w:rsidRDefault="00B0125C">
      <w:pPr>
        <w:pBdr>
          <w:top w:val="nil"/>
          <w:left w:val="nil"/>
          <w:bottom w:val="nil"/>
          <w:right w:val="nil"/>
          <w:between w:val="nil"/>
        </w:pBdr>
        <w:spacing w:before="120" w:after="120"/>
        <w:ind w:left="860" w:right="900"/>
        <w:jc w:val="both"/>
      </w:pPr>
      <w:r w:rsidRPr="00EF423A">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EF423A">
        <w:rPr>
          <w:rFonts w:ascii="Palatino Linotype" w:eastAsia="Palatino Linotype" w:hAnsi="Palatino Linotype" w:cs="Palatino Linotype"/>
          <w:i/>
          <w:sz w:val="22"/>
          <w:szCs w:val="22"/>
        </w:rPr>
        <w:t>.</w:t>
      </w:r>
    </w:p>
    <w:p w14:paraId="1BFA6DEE" w14:textId="77777777" w:rsidR="00026E8D" w:rsidRPr="00EF423A" w:rsidRDefault="00B0125C">
      <w:pPr>
        <w:pBdr>
          <w:top w:val="nil"/>
          <w:left w:val="nil"/>
          <w:bottom w:val="nil"/>
          <w:right w:val="nil"/>
          <w:between w:val="nil"/>
        </w:pBdr>
        <w:spacing w:before="120" w:after="120"/>
        <w:ind w:left="860" w:right="900"/>
        <w:jc w:val="both"/>
      </w:pPr>
      <w:r w:rsidRPr="00EF423A">
        <w:rPr>
          <w:rFonts w:ascii="Palatino Linotype" w:eastAsia="Palatino Linotype" w:hAnsi="Palatino Linotype" w:cs="Palatino Linotype"/>
          <w:i/>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EF423A">
        <w:rPr>
          <w:rFonts w:ascii="Palatino Linotype" w:eastAsia="Palatino Linotype" w:hAnsi="Palatino Linotype" w:cs="Palatino Linotype"/>
          <w:i/>
          <w:sz w:val="22"/>
          <w:szCs w:val="22"/>
        </w:rPr>
        <w:t>que</w:t>
      </w:r>
      <w:proofErr w:type="gramEnd"/>
      <w:r w:rsidRPr="00EF423A">
        <w:rPr>
          <w:rFonts w:ascii="Palatino Linotype" w:eastAsia="Palatino Linotype" w:hAnsi="Palatino Linotype" w:cs="Palatino Linotype"/>
          <w:i/>
          <w:sz w:val="22"/>
          <w:szCs w:val="22"/>
        </w:rPr>
        <w:t xml:space="preserve"> si dicho recurso se interpone antes de que inicie el plazo para hacerlo, su presentación no es extemporánea.”</w:t>
      </w:r>
    </w:p>
    <w:p w14:paraId="71581521" w14:textId="77777777" w:rsidR="00026E8D" w:rsidRPr="00EF423A" w:rsidRDefault="00B0125C">
      <w:pPr>
        <w:tabs>
          <w:tab w:val="left" w:pos="7938"/>
        </w:tabs>
        <w:spacing w:before="240" w:after="240" w:line="360" w:lineRule="auto"/>
        <w:jc w:val="both"/>
        <w:rPr>
          <w:rFonts w:ascii="Palatino Linotype" w:eastAsia="Palatino Linotype" w:hAnsi="Palatino Linotype" w:cs="Palatino Linotype"/>
          <w:sz w:val="22"/>
          <w:szCs w:val="22"/>
        </w:rPr>
      </w:pPr>
      <w:bookmarkStart w:id="5" w:name="_heading=h.3znysh7" w:colFirst="0" w:colLast="0"/>
      <w:bookmarkEnd w:id="5"/>
      <w:r w:rsidRPr="00EF423A">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B2F92BD"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Asimismo por cuanto hace a la procedibilidad del recurso de revisión, es de suma importancia señalar que </w:t>
      </w:r>
      <w:r w:rsidRPr="00EF423A">
        <w:rPr>
          <w:rFonts w:ascii="Palatino Linotype" w:eastAsia="Palatino Linotype" w:hAnsi="Palatino Linotype" w:cs="Palatino Linotype"/>
          <w:b/>
          <w:sz w:val="22"/>
          <w:szCs w:val="22"/>
        </w:rPr>
        <w:t>la parte</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Recurrente</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u w:val="single"/>
        </w:rPr>
        <w:t>no proporcionó nombre o seudónimo</w:t>
      </w:r>
      <w:r w:rsidRPr="00EF423A">
        <w:rPr>
          <w:rFonts w:ascii="Palatino Linotype" w:eastAsia="Palatino Linotype" w:hAnsi="Palatino Linotype" w:cs="Palatino Linotype"/>
          <w:sz w:val="22"/>
          <w:szCs w:val="22"/>
        </w:rPr>
        <w:t xml:space="preserve"> con el que desea que se le identifique</w:t>
      </w:r>
      <w:r w:rsidRPr="00EF423A">
        <w:rPr>
          <w:rFonts w:ascii="Palatino Linotype" w:eastAsia="Palatino Linotype" w:hAnsi="Palatino Linotype" w:cs="Palatino Linotype"/>
          <w:b/>
          <w:sz w:val="22"/>
          <w:szCs w:val="22"/>
        </w:rPr>
        <w:t>,</w:t>
      </w:r>
      <w:r w:rsidRPr="00EF423A">
        <w:rPr>
          <w:rFonts w:ascii="Palatino Linotype" w:eastAsia="Palatino Linotype" w:hAnsi="Palatino Linotype" w:cs="Palatino Linotype"/>
          <w:sz w:val="22"/>
          <w:szCs w:val="22"/>
        </w:rPr>
        <w:t xml:space="preserve"> como se advierte en el detalle de seguimiento del SAIMEX, no obstante,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B1D5153" w14:textId="77777777" w:rsidR="00026E8D" w:rsidRPr="00EF423A" w:rsidRDefault="00B0125C">
      <w:pPr>
        <w:spacing w:before="240" w:after="240" w:line="276" w:lineRule="auto"/>
        <w:ind w:left="851"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w:t>
      </w:r>
      <w:r w:rsidRPr="00EF423A">
        <w:rPr>
          <w:rFonts w:ascii="Palatino Linotype" w:eastAsia="Palatino Linotype" w:hAnsi="Palatino Linotype" w:cs="Palatino Linotype"/>
          <w:b/>
          <w:i/>
          <w:sz w:val="22"/>
          <w:szCs w:val="22"/>
        </w:rPr>
        <w:t xml:space="preserve">Las solicitudes </w:t>
      </w:r>
      <w:r w:rsidRPr="00EF423A">
        <w:rPr>
          <w:rFonts w:ascii="Palatino Linotype" w:eastAsia="Palatino Linotype" w:hAnsi="Palatino Linotype" w:cs="Palatino Linotype"/>
          <w:i/>
          <w:sz w:val="22"/>
          <w:szCs w:val="22"/>
        </w:rPr>
        <w:t xml:space="preserve">anónimas, con </w:t>
      </w:r>
      <w:r w:rsidRPr="00EF423A">
        <w:rPr>
          <w:rFonts w:ascii="Palatino Linotype" w:eastAsia="Palatino Linotype" w:hAnsi="Palatino Linotype" w:cs="Palatino Linotype"/>
          <w:b/>
          <w:i/>
          <w:sz w:val="22"/>
          <w:szCs w:val="22"/>
        </w:rPr>
        <w:t>nombre incompleto o seudónimo</w:t>
      </w:r>
      <w:r w:rsidRPr="00EF423A">
        <w:rPr>
          <w:rFonts w:ascii="Palatino Linotype" w:eastAsia="Palatino Linotype" w:hAnsi="Palatino Linotype" w:cs="Palatino Linotype"/>
          <w:i/>
          <w:sz w:val="22"/>
          <w:szCs w:val="22"/>
        </w:rPr>
        <w:t xml:space="preserve"> </w:t>
      </w:r>
      <w:r w:rsidRPr="00EF423A">
        <w:rPr>
          <w:rFonts w:ascii="Palatino Linotype" w:eastAsia="Palatino Linotype" w:hAnsi="Palatino Linotype" w:cs="Palatino Linotype"/>
          <w:b/>
          <w:i/>
          <w:sz w:val="22"/>
          <w:szCs w:val="22"/>
        </w:rPr>
        <w:t xml:space="preserve">serán procedentes para su trámite por parte del sujeto obligado ante quien se </w:t>
      </w:r>
      <w:r w:rsidRPr="00EF423A">
        <w:rPr>
          <w:rFonts w:ascii="Palatino Linotype" w:eastAsia="Palatino Linotype" w:hAnsi="Palatino Linotype" w:cs="Palatino Linotype"/>
          <w:b/>
          <w:i/>
          <w:sz w:val="22"/>
          <w:szCs w:val="22"/>
        </w:rPr>
        <w:lastRenderedPageBreak/>
        <w:t>presente</w:t>
      </w:r>
      <w:r w:rsidRPr="00EF423A">
        <w:rPr>
          <w:rFonts w:ascii="Palatino Linotype" w:eastAsia="Palatino Linotype" w:hAnsi="Palatino Linotype" w:cs="Palatino Linotype"/>
          <w:i/>
          <w:sz w:val="22"/>
          <w:szCs w:val="22"/>
        </w:rPr>
        <w:t>. No podrá requerirse información adicional con motivo del nombre proporcionado por el solicitante."(Énfasis añadido)</w:t>
      </w:r>
    </w:p>
    <w:p w14:paraId="3EC5AFE0"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Finalmente, se advierte que resulta procedente la interposición del recurso, según lo manifestado por </w:t>
      </w:r>
      <w:r w:rsidRPr="00EF423A">
        <w:rPr>
          <w:rFonts w:ascii="Palatino Linotype" w:eastAsia="Palatino Linotype" w:hAnsi="Palatino Linotype" w:cs="Palatino Linotype"/>
          <w:b/>
          <w:sz w:val="22"/>
          <w:szCs w:val="22"/>
        </w:rPr>
        <w:t>la parte</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Recurrente</w:t>
      </w:r>
      <w:r w:rsidRPr="00EF423A">
        <w:rPr>
          <w:rFonts w:ascii="Palatino Linotype" w:eastAsia="Palatino Linotype" w:hAnsi="Palatino Linotype" w:cs="Palatino Linotype"/>
          <w:sz w:val="22"/>
          <w:szCs w:val="22"/>
        </w:rPr>
        <w:t xml:space="preserve"> en sus motivos de inconformidad, de acuerdo al artículo 179, fracciones II y V del ordenamiento legal citado, que a la letra dice: </w:t>
      </w:r>
    </w:p>
    <w:p w14:paraId="40F8EC3B"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w:t>
      </w:r>
      <w:r w:rsidRPr="00EF423A">
        <w:rPr>
          <w:rFonts w:ascii="Palatino Linotype" w:eastAsia="Palatino Linotype" w:hAnsi="Palatino Linotype" w:cs="Palatino Linotype"/>
          <w:b/>
          <w:i/>
          <w:sz w:val="22"/>
          <w:szCs w:val="22"/>
        </w:rPr>
        <w:t>Artículo 179.</w:t>
      </w:r>
      <w:r w:rsidRPr="00EF423A">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88B74B1"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w:t>
      </w:r>
    </w:p>
    <w:p w14:paraId="09087B4D" w14:textId="77777777" w:rsidR="00026E8D" w:rsidRPr="00EF423A" w:rsidRDefault="00B0125C">
      <w:pPr>
        <w:spacing w:before="120" w:after="120"/>
        <w:ind w:left="567" w:right="902"/>
        <w:jc w:val="both"/>
        <w:rPr>
          <w:rFonts w:ascii="Palatino Linotype" w:eastAsia="Palatino Linotype" w:hAnsi="Palatino Linotype" w:cs="Palatino Linotype"/>
          <w:b/>
          <w:i/>
          <w:sz w:val="22"/>
          <w:szCs w:val="22"/>
          <w:u w:val="single"/>
        </w:rPr>
      </w:pPr>
      <w:r w:rsidRPr="00EF423A">
        <w:rPr>
          <w:rFonts w:ascii="Palatino Linotype" w:eastAsia="Palatino Linotype" w:hAnsi="Palatino Linotype" w:cs="Palatino Linotype"/>
          <w:b/>
          <w:i/>
          <w:sz w:val="22"/>
          <w:szCs w:val="22"/>
          <w:u w:val="single"/>
        </w:rPr>
        <w:t>II. La clasificación de la información;</w:t>
      </w:r>
    </w:p>
    <w:p w14:paraId="256EFA03"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w:t>
      </w:r>
    </w:p>
    <w:p w14:paraId="2D7A120B" w14:textId="77777777" w:rsidR="00026E8D" w:rsidRPr="00EF423A" w:rsidRDefault="00B0125C">
      <w:pPr>
        <w:spacing w:before="120" w:after="120"/>
        <w:ind w:left="567" w:right="902"/>
        <w:jc w:val="both"/>
        <w:rPr>
          <w:rFonts w:ascii="Palatino Linotype" w:eastAsia="Palatino Linotype" w:hAnsi="Palatino Linotype" w:cs="Palatino Linotype"/>
          <w:b/>
          <w:i/>
          <w:sz w:val="22"/>
          <w:szCs w:val="22"/>
          <w:u w:val="single"/>
        </w:rPr>
      </w:pPr>
      <w:r w:rsidRPr="00EF423A">
        <w:rPr>
          <w:rFonts w:ascii="Palatino Linotype" w:eastAsia="Palatino Linotype" w:hAnsi="Palatino Linotype" w:cs="Palatino Linotype"/>
          <w:b/>
          <w:i/>
          <w:sz w:val="22"/>
          <w:szCs w:val="22"/>
          <w:u w:val="single"/>
        </w:rPr>
        <w:t>V. La entrega de información incompleta;</w:t>
      </w:r>
      <w:r w:rsidRPr="00EF423A">
        <w:rPr>
          <w:rFonts w:ascii="Palatino Linotype" w:eastAsia="Palatino Linotype" w:hAnsi="Palatino Linotype" w:cs="Palatino Linotype"/>
          <w:b/>
          <w:i/>
          <w:sz w:val="22"/>
          <w:szCs w:val="22"/>
        </w:rPr>
        <w:t xml:space="preserve">” </w:t>
      </w:r>
      <w:r w:rsidRPr="00EF423A">
        <w:rPr>
          <w:rFonts w:ascii="Palatino Linotype" w:eastAsia="Palatino Linotype" w:hAnsi="Palatino Linotype" w:cs="Palatino Linotype"/>
          <w:i/>
          <w:sz w:val="22"/>
          <w:szCs w:val="22"/>
        </w:rPr>
        <w:t>(Énfasis añadido)</w:t>
      </w:r>
    </w:p>
    <w:p w14:paraId="3F12F861" w14:textId="77777777" w:rsidR="00026E8D" w:rsidRPr="00EF423A" w:rsidRDefault="00B0125C">
      <w:pPr>
        <w:spacing w:before="240" w:after="240" w:line="360" w:lineRule="auto"/>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 xml:space="preserve">Tercero. Materia de la revisión. </w:t>
      </w:r>
      <w:r w:rsidRPr="00EF423A">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EF423A">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EF423A">
        <w:rPr>
          <w:rFonts w:ascii="Palatino Linotype" w:eastAsia="Palatino Linotype" w:hAnsi="Palatino Linotype" w:cs="Palatino Linotype"/>
          <w:sz w:val="22"/>
          <w:szCs w:val="22"/>
        </w:rPr>
        <w:t xml:space="preserve">de </w:t>
      </w:r>
      <w:r w:rsidRPr="00EF423A">
        <w:rPr>
          <w:rFonts w:ascii="Palatino Linotype" w:eastAsia="Palatino Linotype" w:hAnsi="Palatino Linotype" w:cs="Palatino Linotype"/>
          <w:b/>
          <w:sz w:val="22"/>
          <w:szCs w:val="22"/>
        </w:rPr>
        <w:t>la parte</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Recurrente</w:t>
      </w:r>
      <w:r w:rsidRPr="00EF423A">
        <w:rPr>
          <w:rFonts w:ascii="Palatino Linotype" w:eastAsia="Palatino Linotype" w:hAnsi="Palatino Linotype" w:cs="Palatino Linotype"/>
          <w:sz w:val="22"/>
          <w:szCs w:val="22"/>
        </w:rPr>
        <w:t>, o en su defecto, en caso de ser procedente, ordenar la entrega de información.</w:t>
      </w:r>
    </w:p>
    <w:p w14:paraId="55CF668C" w14:textId="77777777" w:rsidR="00026E8D" w:rsidRPr="00EF423A" w:rsidRDefault="00B0125C">
      <w:pPr>
        <w:pBdr>
          <w:top w:val="nil"/>
          <w:left w:val="nil"/>
          <w:bottom w:val="nil"/>
          <w:right w:val="nil"/>
          <w:between w:val="nil"/>
        </w:pBdr>
        <w:spacing w:before="240" w:after="240" w:line="360" w:lineRule="auto"/>
        <w:jc w:val="both"/>
        <w:rPr>
          <w:sz w:val="22"/>
          <w:szCs w:val="22"/>
        </w:rPr>
      </w:pPr>
      <w:bookmarkStart w:id="6" w:name="_heading=h.2et92p0" w:colFirst="0" w:colLast="0"/>
      <w:bookmarkEnd w:id="6"/>
      <w:r w:rsidRPr="00EF423A">
        <w:rPr>
          <w:rFonts w:ascii="Palatino Linotype" w:eastAsia="Palatino Linotype" w:hAnsi="Palatino Linotype" w:cs="Palatino Linotype"/>
          <w:b/>
          <w:sz w:val="22"/>
          <w:szCs w:val="22"/>
        </w:rPr>
        <w:t xml:space="preserve">Cuarto. Estudio del asunto </w:t>
      </w:r>
      <w:r w:rsidRPr="00EF423A">
        <w:rPr>
          <w:rFonts w:ascii="Palatino Linotype" w:eastAsia="Palatino Linotype" w:hAnsi="Palatino Linotype" w:cs="Palatino Linotype"/>
          <w:sz w:val="22"/>
          <w:szCs w:val="22"/>
        </w:rPr>
        <w:t xml:space="preserve">Antes de entrar al análisis de los pronunciamientos del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09DE360" w14:textId="77777777" w:rsidR="00026E8D" w:rsidRPr="00EF423A" w:rsidRDefault="00B0125C">
      <w:pPr>
        <w:pBdr>
          <w:top w:val="nil"/>
          <w:left w:val="nil"/>
          <w:bottom w:val="nil"/>
          <w:right w:val="nil"/>
          <w:between w:val="nil"/>
        </w:pBdr>
        <w:spacing w:before="240" w:after="240"/>
        <w:ind w:left="851" w:right="850"/>
        <w:jc w:val="both"/>
      </w:pPr>
      <w:r w:rsidRPr="00EF423A">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EF423A">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4289D8A" w14:textId="77777777" w:rsidR="00026E8D" w:rsidRPr="00EF423A" w:rsidRDefault="00B0125C">
      <w:pPr>
        <w:pBdr>
          <w:top w:val="nil"/>
          <w:left w:val="nil"/>
          <w:bottom w:val="nil"/>
          <w:right w:val="nil"/>
          <w:between w:val="nil"/>
        </w:pBdr>
        <w:spacing w:before="240" w:after="240"/>
        <w:ind w:left="851" w:right="850"/>
        <w:jc w:val="both"/>
      </w:pPr>
      <w:r w:rsidRPr="00EF423A">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5306B6E" w14:textId="77777777" w:rsidR="00026E8D" w:rsidRPr="00EF423A" w:rsidRDefault="00B0125C">
      <w:pPr>
        <w:pBdr>
          <w:top w:val="nil"/>
          <w:left w:val="nil"/>
          <w:bottom w:val="nil"/>
          <w:right w:val="nil"/>
          <w:between w:val="nil"/>
        </w:pBdr>
        <w:spacing w:before="240" w:after="240"/>
        <w:ind w:left="851" w:right="850"/>
        <w:jc w:val="both"/>
      </w:pPr>
      <w:r w:rsidRPr="00EF423A">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F423A">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D9652EB" w14:textId="77777777" w:rsidR="00026E8D" w:rsidRPr="00EF423A" w:rsidRDefault="00B0125C">
      <w:pPr>
        <w:pBdr>
          <w:top w:val="nil"/>
          <w:left w:val="nil"/>
          <w:bottom w:val="nil"/>
          <w:right w:val="nil"/>
          <w:between w:val="nil"/>
        </w:pBdr>
        <w:spacing w:before="240" w:after="240"/>
        <w:ind w:left="851" w:right="850"/>
        <w:jc w:val="both"/>
      </w:pPr>
      <w:r w:rsidRPr="00EF423A">
        <w:rPr>
          <w:rFonts w:ascii="Palatino Linotype" w:eastAsia="Palatino Linotype" w:hAnsi="Palatino Linotype" w:cs="Palatino Linotype"/>
          <w:i/>
          <w:sz w:val="22"/>
          <w:szCs w:val="22"/>
        </w:rPr>
        <w:t>[…]</w:t>
      </w:r>
    </w:p>
    <w:p w14:paraId="6AF7FA3A" w14:textId="77777777" w:rsidR="00026E8D" w:rsidRPr="00EF423A" w:rsidRDefault="00B0125C">
      <w:pPr>
        <w:pBdr>
          <w:top w:val="nil"/>
          <w:left w:val="nil"/>
          <w:bottom w:val="nil"/>
          <w:right w:val="nil"/>
          <w:between w:val="nil"/>
        </w:pBdr>
        <w:spacing w:before="240" w:after="240"/>
        <w:ind w:left="851" w:right="901"/>
        <w:jc w:val="both"/>
      </w:pPr>
      <w:r w:rsidRPr="00EF423A">
        <w:rPr>
          <w:rFonts w:ascii="Palatino Linotype" w:eastAsia="Palatino Linotype" w:hAnsi="Palatino Linotype" w:cs="Palatino Linotype"/>
          <w:b/>
          <w:i/>
          <w:sz w:val="22"/>
          <w:szCs w:val="22"/>
        </w:rPr>
        <w:t>“Artículo 6o.</w:t>
      </w:r>
    </w:p>
    <w:p w14:paraId="464782C0" w14:textId="77777777" w:rsidR="00026E8D" w:rsidRPr="00EF423A" w:rsidRDefault="00B0125C">
      <w:pPr>
        <w:pBdr>
          <w:top w:val="nil"/>
          <w:left w:val="nil"/>
          <w:bottom w:val="nil"/>
          <w:right w:val="nil"/>
          <w:between w:val="nil"/>
        </w:pBdr>
        <w:spacing w:before="240" w:after="240"/>
        <w:ind w:left="851" w:right="901"/>
        <w:jc w:val="both"/>
      </w:pPr>
      <w:r w:rsidRPr="00EF423A">
        <w:rPr>
          <w:rFonts w:ascii="Palatino Linotype" w:eastAsia="Palatino Linotype" w:hAnsi="Palatino Linotype" w:cs="Palatino Linotype"/>
          <w:i/>
          <w:sz w:val="22"/>
          <w:szCs w:val="22"/>
        </w:rPr>
        <w:t>[...]</w:t>
      </w:r>
    </w:p>
    <w:p w14:paraId="406FC702" w14:textId="77777777" w:rsidR="00026E8D" w:rsidRPr="00EF423A" w:rsidRDefault="00B0125C">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 xml:space="preserve">A. Para el ejercicio del derecho de acceso a la información, la Federación y </w:t>
      </w:r>
      <w:r w:rsidRPr="00EF423A">
        <w:rPr>
          <w:rFonts w:ascii="Palatino Linotype" w:eastAsia="Palatino Linotype" w:hAnsi="Palatino Linotype" w:cs="Palatino Linotype"/>
          <w:b/>
          <w:i/>
          <w:sz w:val="22"/>
          <w:szCs w:val="22"/>
          <w:u w:val="single"/>
        </w:rPr>
        <w:t>las entidades federativas</w:t>
      </w:r>
      <w:r w:rsidRPr="00EF423A">
        <w:rPr>
          <w:rFonts w:ascii="Palatino Linotype" w:eastAsia="Palatino Linotype" w:hAnsi="Palatino Linotype" w:cs="Palatino Linotype"/>
          <w:b/>
          <w:i/>
          <w:sz w:val="22"/>
          <w:szCs w:val="22"/>
        </w:rPr>
        <w:t>,</w:t>
      </w:r>
      <w:r w:rsidRPr="00EF423A">
        <w:rPr>
          <w:rFonts w:ascii="Palatino Linotype" w:eastAsia="Palatino Linotype" w:hAnsi="Palatino Linotype" w:cs="Palatino Linotype"/>
          <w:i/>
          <w:sz w:val="22"/>
          <w:szCs w:val="22"/>
        </w:rPr>
        <w:t xml:space="preserve"> en el ámbito de sus respectivas competencias, se regirán por los siguientes principios y bases:</w:t>
      </w:r>
    </w:p>
    <w:p w14:paraId="1B32679A" w14:textId="77777777" w:rsidR="00026E8D" w:rsidRPr="00EF423A" w:rsidRDefault="00B0125C">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w:t>
      </w:r>
      <w:r w:rsidRPr="00EF423A">
        <w:rPr>
          <w:rFonts w:ascii="Palatino Linotype" w:eastAsia="Palatino Linotype" w:hAnsi="Palatino Linotype" w:cs="Palatino Linotype"/>
          <w:b/>
          <w:i/>
          <w:sz w:val="22"/>
          <w:szCs w:val="22"/>
        </w:rPr>
        <w:t xml:space="preserve">I. </w:t>
      </w:r>
      <w:r w:rsidRPr="00EF423A">
        <w:rPr>
          <w:rFonts w:ascii="Palatino Linotype" w:eastAsia="Palatino Linotype" w:hAnsi="Palatino Linotype" w:cs="Palatino Linotype"/>
          <w:b/>
          <w:i/>
          <w:sz w:val="22"/>
          <w:szCs w:val="22"/>
          <w:u w:val="single"/>
        </w:rPr>
        <w:t>Toda la información en posesión de cualquier autoridad, entidad, órgano y organismo de los Poderes</w:t>
      </w:r>
      <w:r w:rsidRPr="00EF423A">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EF423A">
        <w:rPr>
          <w:rFonts w:ascii="Palatino Linotype" w:eastAsia="Palatino Linotype" w:hAnsi="Palatino Linotype" w:cs="Palatino Linotype"/>
          <w:b/>
          <w:i/>
          <w:sz w:val="22"/>
          <w:szCs w:val="22"/>
        </w:rPr>
        <w:t>es pública y sólo podrá ser reservada temporalmente por razones de interés público y seguridad nacional,</w:t>
      </w:r>
      <w:r w:rsidRPr="00EF423A">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w:t>
      </w:r>
      <w:r w:rsidRPr="00EF423A">
        <w:rPr>
          <w:rFonts w:ascii="Palatino Linotype" w:eastAsia="Palatino Linotype" w:hAnsi="Palatino Linotype" w:cs="Palatino Linotype"/>
          <w:i/>
          <w:sz w:val="22"/>
          <w:szCs w:val="22"/>
        </w:rPr>
        <w:lastRenderedPageBreak/>
        <w:t>competencias o funciones, la ley determinará los supuestos específicos bajo los cuales procederá la declaración de inexistencia de la información.</w:t>
      </w:r>
    </w:p>
    <w:p w14:paraId="77BD4A8B" w14:textId="77777777" w:rsidR="00026E8D" w:rsidRPr="00EF423A" w:rsidRDefault="00B0125C">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EF423A">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33E1C144" w14:textId="77777777" w:rsidR="00026E8D" w:rsidRPr="00EF423A" w:rsidRDefault="00B0125C">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w:t>
      </w:r>
      <w:r w:rsidRPr="00EF423A">
        <w:rPr>
          <w:rFonts w:ascii="Palatino Linotype" w:eastAsia="Palatino Linotype" w:hAnsi="Palatino Linotype" w:cs="Palatino Linotype"/>
          <w:b/>
          <w:i/>
          <w:sz w:val="22"/>
          <w:szCs w:val="22"/>
        </w:rPr>
        <w:t xml:space="preserve">III. </w:t>
      </w:r>
      <w:r w:rsidRPr="00EF423A">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EF423A">
        <w:rPr>
          <w:rFonts w:ascii="Palatino Linotype" w:eastAsia="Palatino Linotype" w:hAnsi="Palatino Linotype" w:cs="Palatino Linotype"/>
          <w:i/>
          <w:sz w:val="22"/>
          <w:szCs w:val="22"/>
        </w:rPr>
        <w:t xml:space="preserve"> a sus datos personales o a la rectificación de éstos.</w:t>
      </w:r>
    </w:p>
    <w:p w14:paraId="76C01076" w14:textId="77777777" w:rsidR="00026E8D" w:rsidRPr="00EF423A" w:rsidRDefault="00B0125C">
      <w:pPr>
        <w:pBdr>
          <w:top w:val="nil"/>
          <w:left w:val="nil"/>
          <w:bottom w:val="nil"/>
          <w:right w:val="nil"/>
          <w:between w:val="nil"/>
        </w:pBdr>
        <w:spacing w:before="240" w:after="240"/>
        <w:ind w:left="851" w:right="851"/>
        <w:jc w:val="both"/>
      </w:pPr>
      <w:r w:rsidRPr="00EF423A">
        <w:rPr>
          <w:rFonts w:ascii="Palatino Linotype" w:eastAsia="Palatino Linotype" w:hAnsi="Palatino Linotype" w:cs="Palatino Linotype"/>
          <w:b/>
          <w:i/>
          <w:sz w:val="22"/>
          <w:szCs w:val="22"/>
        </w:rPr>
        <w:t>…</w:t>
      </w:r>
    </w:p>
    <w:p w14:paraId="41447900" w14:textId="77777777" w:rsidR="00026E8D" w:rsidRPr="00EF423A" w:rsidRDefault="00B0125C">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IV.</w:t>
      </w:r>
      <w:r w:rsidRPr="00EF423A">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7AE2D1D5" w14:textId="77777777" w:rsidR="00026E8D" w:rsidRPr="00EF423A" w:rsidRDefault="00B0125C">
      <w:pPr>
        <w:pBdr>
          <w:top w:val="nil"/>
          <w:left w:val="nil"/>
          <w:bottom w:val="nil"/>
          <w:right w:val="nil"/>
          <w:between w:val="nil"/>
        </w:pBdr>
        <w:spacing w:before="240" w:after="240"/>
        <w:ind w:left="851" w:right="851"/>
        <w:jc w:val="both"/>
      </w:pPr>
      <w:r w:rsidRPr="00EF423A">
        <w:rPr>
          <w:rFonts w:ascii="Palatino Linotype" w:eastAsia="Palatino Linotype" w:hAnsi="Palatino Linotype" w:cs="Palatino Linotype"/>
          <w:b/>
          <w:i/>
          <w:sz w:val="22"/>
          <w:szCs w:val="22"/>
        </w:rPr>
        <w:t xml:space="preserve">V. </w:t>
      </w:r>
      <w:r w:rsidRPr="00EF423A">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A98DA9A" w14:textId="77777777" w:rsidR="00026E8D" w:rsidRPr="00EF423A" w:rsidRDefault="00B0125C">
      <w:pPr>
        <w:pBdr>
          <w:top w:val="nil"/>
          <w:left w:val="nil"/>
          <w:bottom w:val="nil"/>
          <w:right w:val="nil"/>
          <w:between w:val="nil"/>
        </w:pBdr>
        <w:spacing w:before="240" w:after="240"/>
        <w:ind w:left="851" w:right="851"/>
        <w:jc w:val="both"/>
      </w:pPr>
      <w:r w:rsidRPr="00EF423A">
        <w:rPr>
          <w:rFonts w:ascii="Palatino Linotype" w:eastAsia="Palatino Linotype" w:hAnsi="Palatino Linotype" w:cs="Palatino Linotype"/>
          <w:i/>
          <w:sz w:val="22"/>
          <w:szCs w:val="22"/>
        </w:rPr>
        <w:t> </w:t>
      </w:r>
      <w:r w:rsidRPr="00EF423A">
        <w:rPr>
          <w:rFonts w:ascii="Palatino Linotype" w:eastAsia="Palatino Linotype" w:hAnsi="Palatino Linotype" w:cs="Palatino Linotype"/>
          <w:b/>
          <w:i/>
          <w:sz w:val="22"/>
          <w:szCs w:val="22"/>
        </w:rPr>
        <w:t xml:space="preserve">VI. </w:t>
      </w:r>
      <w:r w:rsidRPr="00EF423A">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5073A76" w14:textId="77777777" w:rsidR="00026E8D" w:rsidRPr="00EF423A" w:rsidRDefault="00B0125C">
      <w:pPr>
        <w:pBdr>
          <w:top w:val="nil"/>
          <w:left w:val="nil"/>
          <w:bottom w:val="nil"/>
          <w:right w:val="nil"/>
          <w:between w:val="nil"/>
        </w:pBdr>
        <w:spacing w:before="240" w:after="240"/>
        <w:ind w:left="851" w:right="851"/>
        <w:jc w:val="both"/>
      </w:pPr>
      <w:r w:rsidRPr="00EF423A">
        <w:rPr>
          <w:rFonts w:ascii="Palatino Linotype" w:eastAsia="Palatino Linotype" w:hAnsi="Palatino Linotype" w:cs="Palatino Linotype"/>
          <w:i/>
          <w:sz w:val="22"/>
          <w:szCs w:val="22"/>
        </w:rPr>
        <w:t> </w:t>
      </w:r>
      <w:r w:rsidRPr="00EF423A">
        <w:rPr>
          <w:rFonts w:ascii="Palatino Linotype" w:eastAsia="Palatino Linotype" w:hAnsi="Palatino Linotype" w:cs="Palatino Linotype"/>
          <w:b/>
          <w:i/>
          <w:sz w:val="22"/>
          <w:szCs w:val="22"/>
        </w:rPr>
        <w:t xml:space="preserve">VII. </w:t>
      </w:r>
      <w:r w:rsidRPr="00EF423A">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15A85A8" w14:textId="77777777" w:rsidR="00026E8D" w:rsidRPr="00EF423A" w:rsidRDefault="00B0125C">
      <w:pPr>
        <w:pBdr>
          <w:top w:val="nil"/>
          <w:left w:val="nil"/>
          <w:bottom w:val="nil"/>
          <w:right w:val="nil"/>
          <w:between w:val="nil"/>
        </w:pBdr>
        <w:spacing w:before="240" w:after="240" w:line="360" w:lineRule="auto"/>
        <w:jc w:val="both"/>
        <w:rPr>
          <w:sz w:val="22"/>
          <w:szCs w:val="22"/>
        </w:rPr>
      </w:pPr>
      <w:r w:rsidRPr="00EF423A">
        <w:rPr>
          <w:rFonts w:ascii="Palatino Linotype" w:eastAsia="Palatino Linotype" w:hAnsi="Palatino Linotype" w:cs="Palatino Linotype"/>
          <w:sz w:val="22"/>
          <w:szCs w:val="22"/>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w:t>
      </w:r>
      <w:r w:rsidRPr="00EF423A">
        <w:rPr>
          <w:rFonts w:ascii="Palatino Linotype" w:eastAsia="Palatino Linotype" w:hAnsi="Palatino Linotype" w:cs="Palatino Linotype"/>
          <w:sz w:val="22"/>
          <w:szCs w:val="22"/>
        </w:rPr>
        <w:lastRenderedPageBreak/>
        <w:t>permanente a cualquier persona, privilegiando el principio de máxima publicidad, como así lo establece dicha determinación, que a continuación se transcribe para un mejor entendimiento:</w:t>
      </w:r>
    </w:p>
    <w:p w14:paraId="08C627C5" w14:textId="77777777" w:rsidR="00026E8D" w:rsidRPr="00EF423A" w:rsidRDefault="00B0125C">
      <w:pPr>
        <w:pBdr>
          <w:top w:val="nil"/>
          <w:left w:val="nil"/>
          <w:bottom w:val="nil"/>
          <w:right w:val="nil"/>
          <w:between w:val="nil"/>
        </w:pBdr>
        <w:spacing w:before="240" w:after="240"/>
        <w:ind w:left="709" w:right="760"/>
        <w:jc w:val="both"/>
      </w:pPr>
      <w:r w:rsidRPr="00EF423A">
        <w:rPr>
          <w:rFonts w:ascii="Palatino Linotype" w:eastAsia="Palatino Linotype" w:hAnsi="Palatino Linotype" w:cs="Palatino Linotype"/>
          <w:i/>
          <w:sz w:val="22"/>
          <w:szCs w:val="22"/>
        </w:rPr>
        <w:t>“</w:t>
      </w:r>
      <w:r w:rsidRPr="00EF423A">
        <w:rPr>
          <w:rFonts w:ascii="Palatino Linotype" w:eastAsia="Palatino Linotype" w:hAnsi="Palatino Linotype" w:cs="Palatino Linotype"/>
          <w:b/>
          <w:i/>
          <w:sz w:val="22"/>
          <w:szCs w:val="22"/>
        </w:rPr>
        <w:t>Artículo 4</w:t>
      </w:r>
      <w:r w:rsidRPr="00EF423A">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34F06AB7" w14:textId="77777777" w:rsidR="00026E8D" w:rsidRPr="00EF423A" w:rsidRDefault="00B0125C">
      <w:pPr>
        <w:pBdr>
          <w:top w:val="nil"/>
          <w:left w:val="nil"/>
          <w:bottom w:val="nil"/>
          <w:right w:val="nil"/>
          <w:between w:val="nil"/>
        </w:pBdr>
        <w:spacing w:before="240" w:after="240"/>
        <w:ind w:left="709" w:right="760"/>
        <w:jc w:val="both"/>
      </w:pPr>
      <w:r w:rsidRPr="00EF423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63AABAA" w14:textId="77777777" w:rsidR="00026E8D" w:rsidRPr="00EF423A" w:rsidRDefault="00B0125C">
      <w:pPr>
        <w:pBdr>
          <w:top w:val="nil"/>
          <w:left w:val="nil"/>
          <w:bottom w:val="nil"/>
          <w:right w:val="nil"/>
          <w:between w:val="nil"/>
        </w:pBdr>
        <w:spacing w:before="240" w:after="240"/>
        <w:ind w:left="709" w:right="760"/>
        <w:jc w:val="both"/>
      </w:pPr>
      <w:r w:rsidRPr="00EF423A">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13D844EE" w14:textId="77777777" w:rsidR="00026E8D" w:rsidRPr="00EF423A" w:rsidRDefault="00B0125C">
      <w:pPr>
        <w:pBdr>
          <w:top w:val="nil"/>
          <w:left w:val="nil"/>
          <w:bottom w:val="nil"/>
          <w:right w:val="nil"/>
          <w:between w:val="nil"/>
        </w:pBdr>
        <w:spacing w:before="240" w:after="240" w:line="360" w:lineRule="auto"/>
        <w:jc w:val="both"/>
        <w:rPr>
          <w:sz w:val="22"/>
          <w:szCs w:val="22"/>
        </w:rPr>
      </w:pPr>
      <w:r w:rsidRPr="00EF423A">
        <w:rPr>
          <w:rFonts w:ascii="Palatino Linotype" w:eastAsia="Palatino Linotype" w:hAnsi="Palatino Linotype" w:cs="Palatino Linotype"/>
          <w:sz w:val="22"/>
          <w:szCs w:val="22"/>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AD92813" w14:textId="77777777" w:rsidR="00026E8D" w:rsidRPr="00EF423A" w:rsidRDefault="00B0125C">
      <w:pPr>
        <w:pBdr>
          <w:top w:val="nil"/>
          <w:left w:val="nil"/>
          <w:bottom w:val="nil"/>
          <w:right w:val="nil"/>
          <w:between w:val="nil"/>
        </w:pBdr>
        <w:spacing w:before="240" w:after="240"/>
        <w:ind w:left="567" w:right="758"/>
        <w:jc w:val="both"/>
      </w:pPr>
      <w:r w:rsidRPr="00EF423A">
        <w:rPr>
          <w:rFonts w:ascii="Palatino Linotype" w:eastAsia="Palatino Linotype" w:hAnsi="Palatino Linotype" w:cs="Palatino Linotype"/>
          <w:i/>
          <w:sz w:val="22"/>
          <w:szCs w:val="22"/>
        </w:rPr>
        <w:t>“</w:t>
      </w:r>
      <w:r w:rsidRPr="00EF423A">
        <w:rPr>
          <w:rFonts w:ascii="Palatino Linotype" w:eastAsia="Palatino Linotype" w:hAnsi="Palatino Linotype" w:cs="Palatino Linotype"/>
          <w:b/>
          <w:i/>
          <w:sz w:val="22"/>
          <w:szCs w:val="22"/>
        </w:rPr>
        <w:t>Artículo 12</w:t>
      </w:r>
      <w:r w:rsidRPr="00EF423A">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27E35FA5" w14:textId="77777777" w:rsidR="00026E8D" w:rsidRPr="00EF423A" w:rsidRDefault="00B0125C">
      <w:pPr>
        <w:pBdr>
          <w:top w:val="nil"/>
          <w:left w:val="nil"/>
          <w:bottom w:val="nil"/>
          <w:right w:val="nil"/>
          <w:between w:val="nil"/>
        </w:pBdr>
        <w:spacing w:before="240" w:after="240"/>
        <w:ind w:left="567" w:right="758"/>
        <w:jc w:val="both"/>
      </w:pPr>
      <w:r w:rsidRPr="00EF423A">
        <w:rPr>
          <w:rFonts w:ascii="Palatino Linotype" w:eastAsia="Palatino Linotype" w:hAnsi="Palatino Linotype" w:cs="Palatino Linotype"/>
          <w:i/>
          <w:sz w:val="22"/>
          <w:szCs w:val="22"/>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8D90D0A" w14:textId="77777777" w:rsidR="00026E8D" w:rsidRPr="00EF423A" w:rsidRDefault="00B0125C">
      <w:pPr>
        <w:pBdr>
          <w:top w:val="nil"/>
          <w:left w:val="nil"/>
          <w:bottom w:val="nil"/>
          <w:right w:val="nil"/>
          <w:between w:val="nil"/>
        </w:pBdr>
        <w:spacing w:before="240" w:after="240" w:line="360" w:lineRule="auto"/>
        <w:jc w:val="both"/>
        <w:rPr>
          <w:sz w:val="22"/>
          <w:szCs w:val="22"/>
        </w:rPr>
      </w:pPr>
      <w:r w:rsidRPr="00EF423A">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EF423A">
        <w:rPr>
          <w:rFonts w:ascii="Palatino Linotype" w:eastAsia="Palatino Linotype" w:hAnsi="Palatino Linotype" w:cs="Palatino Linotype"/>
          <w:b/>
          <w:sz w:val="22"/>
          <w:szCs w:val="22"/>
        </w:rPr>
        <w:t xml:space="preserve"> </w:t>
      </w:r>
      <w:r w:rsidRPr="00EF423A">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EF423A">
        <w:rPr>
          <w:rFonts w:ascii="Palatino Linotype" w:eastAsia="Palatino Linotype" w:hAnsi="Palatino Linotype" w:cs="Palatino Linotype"/>
          <w:i/>
          <w:sz w:val="22"/>
          <w:szCs w:val="22"/>
        </w:rPr>
        <w:t>ad hoc</w:t>
      </w:r>
      <w:r w:rsidRPr="00EF423A">
        <w:rPr>
          <w:rFonts w:ascii="Palatino Linotype" w:eastAsia="Palatino Linotype" w:hAnsi="Palatino Linotype" w:cs="Palatino Linotype"/>
          <w:sz w:val="22"/>
          <w:szCs w:val="22"/>
        </w:rPr>
        <w:t>, para satisfacer el derecho de acceso a la información pública, como así lo establece el criterio orientador 03/17 emitido por el entonces Instituto Nacional de Transparencia, Acceso a la Información Pública y Protección de Datos Personales, el cual señala lo siguiente:</w:t>
      </w:r>
    </w:p>
    <w:p w14:paraId="19D61925" w14:textId="77777777" w:rsidR="00026E8D" w:rsidRPr="00EF423A" w:rsidRDefault="00B0125C">
      <w:pPr>
        <w:pBdr>
          <w:top w:val="nil"/>
          <w:left w:val="nil"/>
          <w:bottom w:val="nil"/>
          <w:right w:val="nil"/>
          <w:between w:val="nil"/>
        </w:pBdr>
        <w:spacing w:before="240" w:after="240"/>
        <w:ind w:left="567" w:right="900"/>
        <w:jc w:val="both"/>
      </w:pPr>
      <w:r w:rsidRPr="00EF423A">
        <w:rPr>
          <w:rFonts w:ascii="Palatino Linotype" w:eastAsia="Palatino Linotype" w:hAnsi="Palatino Linotype" w:cs="Palatino Linotype"/>
          <w:b/>
          <w:i/>
          <w:sz w:val="22"/>
          <w:szCs w:val="22"/>
        </w:rPr>
        <w:t>03/17</w:t>
      </w:r>
    </w:p>
    <w:p w14:paraId="458F521E" w14:textId="77777777" w:rsidR="00026E8D" w:rsidRPr="00EF423A" w:rsidRDefault="00B0125C">
      <w:pPr>
        <w:pBdr>
          <w:top w:val="nil"/>
          <w:left w:val="nil"/>
          <w:bottom w:val="nil"/>
          <w:right w:val="nil"/>
          <w:between w:val="nil"/>
        </w:pBdr>
        <w:spacing w:before="240" w:after="240"/>
        <w:ind w:left="567" w:right="900"/>
        <w:jc w:val="both"/>
      </w:pPr>
      <w:r w:rsidRPr="00EF423A">
        <w:rPr>
          <w:rFonts w:ascii="Palatino Linotype" w:eastAsia="Palatino Linotype" w:hAnsi="Palatino Linotype" w:cs="Palatino Linotype"/>
          <w:b/>
          <w:i/>
          <w:sz w:val="22"/>
          <w:szCs w:val="22"/>
        </w:rPr>
        <w:t>“NO EXISTE OBLIGACIÓN DE ELABORAR DOCUMENTOS AD HOC PARA ATENDER LAS SOLICITUDES DE ACCESO A LA INFORMACIÓN.</w:t>
      </w:r>
    </w:p>
    <w:p w14:paraId="264E3326" w14:textId="77777777" w:rsidR="00026E8D" w:rsidRPr="00EF423A" w:rsidRDefault="00B0125C">
      <w:pPr>
        <w:pBdr>
          <w:top w:val="nil"/>
          <w:left w:val="nil"/>
          <w:bottom w:val="nil"/>
          <w:right w:val="nil"/>
          <w:between w:val="nil"/>
        </w:pBdr>
        <w:spacing w:before="240" w:after="240"/>
        <w:ind w:left="567" w:right="900"/>
        <w:jc w:val="both"/>
      </w:pPr>
      <w:r w:rsidRPr="00EF423A">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10D0203" w14:textId="77777777" w:rsidR="00026E8D" w:rsidRPr="00EF423A" w:rsidRDefault="00B0125C">
      <w:pPr>
        <w:pBdr>
          <w:top w:val="nil"/>
          <w:left w:val="nil"/>
          <w:bottom w:val="nil"/>
          <w:right w:val="nil"/>
          <w:between w:val="nil"/>
        </w:pBdr>
        <w:spacing w:before="240" w:after="240" w:line="360" w:lineRule="auto"/>
        <w:jc w:val="both"/>
        <w:rPr>
          <w:sz w:val="22"/>
          <w:szCs w:val="22"/>
        </w:rPr>
      </w:pPr>
      <w:r w:rsidRPr="00EF423A">
        <w:rPr>
          <w:rFonts w:ascii="Palatino Linotype" w:eastAsia="Palatino Linotype" w:hAnsi="Palatino Linotype" w:cs="Palatino Linotype"/>
          <w:sz w:val="22"/>
          <w:szCs w:val="22"/>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w:t>
      </w:r>
      <w:r w:rsidRPr="00EF423A">
        <w:rPr>
          <w:rFonts w:ascii="Palatino Linotype" w:eastAsia="Palatino Linotype" w:hAnsi="Palatino Linotype" w:cs="Palatino Linotype"/>
          <w:sz w:val="22"/>
          <w:szCs w:val="22"/>
        </w:rPr>
        <w:lastRenderedPageBreak/>
        <w:t>información pública se encuentra a disposición de cualquier persona, lo que implica que es deber de los Sujetos Obligados, garantizar el Derecho de Acceso a la Información Pública.</w:t>
      </w:r>
    </w:p>
    <w:p w14:paraId="0B12F254" w14:textId="77777777" w:rsidR="00026E8D" w:rsidRPr="00EF423A" w:rsidRDefault="00B0125C">
      <w:pPr>
        <w:pBdr>
          <w:top w:val="nil"/>
          <w:left w:val="nil"/>
          <w:bottom w:val="nil"/>
          <w:right w:val="nil"/>
          <w:between w:val="nil"/>
        </w:pBdr>
        <w:spacing w:before="240" w:after="240" w:line="360" w:lineRule="auto"/>
        <w:ind w:right="49"/>
        <w:jc w:val="both"/>
        <w:rPr>
          <w:sz w:val="22"/>
          <w:szCs w:val="22"/>
        </w:rPr>
      </w:pPr>
      <w:r w:rsidRPr="00EF423A">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0E72DB2" w14:textId="77777777" w:rsidR="00026E8D" w:rsidRPr="00EF423A" w:rsidRDefault="00B0125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FD0F3CE" w14:textId="77777777" w:rsidR="00026E8D" w:rsidRPr="00EF423A" w:rsidRDefault="00B0125C">
      <w:pPr>
        <w:pBdr>
          <w:top w:val="nil"/>
          <w:left w:val="nil"/>
          <w:bottom w:val="nil"/>
          <w:right w:val="nil"/>
          <w:between w:val="nil"/>
        </w:pBdr>
        <w:spacing w:before="240" w:after="240"/>
        <w:ind w:left="567" w:right="567"/>
        <w:jc w:val="both"/>
      </w:pPr>
      <w:r w:rsidRPr="00EF423A">
        <w:rPr>
          <w:rFonts w:ascii="Palatino Linotype" w:eastAsia="Palatino Linotype" w:hAnsi="Palatino Linotype" w:cs="Palatino Linotype"/>
          <w:i/>
          <w:sz w:val="22"/>
          <w:szCs w:val="22"/>
        </w:rPr>
        <w:t>“</w:t>
      </w:r>
      <w:r w:rsidRPr="00EF423A">
        <w:rPr>
          <w:rFonts w:ascii="Palatino Linotype" w:eastAsia="Palatino Linotype" w:hAnsi="Palatino Linotype" w:cs="Palatino Linotype"/>
          <w:b/>
          <w:i/>
          <w:sz w:val="22"/>
          <w:szCs w:val="22"/>
        </w:rPr>
        <w:t xml:space="preserve">Artículo 3. </w:t>
      </w:r>
      <w:r w:rsidRPr="00EF423A">
        <w:rPr>
          <w:rFonts w:ascii="Palatino Linotype" w:eastAsia="Palatino Linotype" w:hAnsi="Palatino Linotype" w:cs="Palatino Linotype"/>
          <w:i/>
          <w:sz w:val="22"/>
          <w:szCs w:val="22"/>
        </w:rPr>
        <w:t>Para los efectos de la presente Ley se entenderá por:</w:t>
      </w:r>
    </w:p>
    <w:p w14:paraId="3E2626A3" w14:textId="77777777" w:rsidR="00026E8D" w:rsidRPr="00EF423A" w:rsidRDefault="00B0125C">
      <w:pPr>
        <w:pBdr>
          <w:top w:val="nil"/>
          <w:left w:val="nil"/>
          <w:bottom w:val="nil"/>
          <w:right w:val="nil"/>
          <w:between w:val="nil"/>
        </w:pBdr>
        <w:spacing w:before="240" w:after="240"/>
        <w:ind w:left="567" w:right="567"/>
        <w:jc w:val="both"/>
      </w:pPr>
      <w:r w:rsidRPr="00EF423A">
        <w:rPr>
          <w:rFonts w:ascii="Palatino Linotype" w:eastAsia="Palatino Linotype" w:hAnsi="Palatino Linotype" w:cs="Palatino Linotype"/>
          <w:i/>
          <w:sz w:val="22"/>
          <w:szCs w:val="22"/>
        </w:rPr>
        <w:t>…</w:t>
      </w:r>
    </w:p>
    <w:p w14:paraId="58A51E58" w14:textId="77777777" w:rsidR="00026E8D" w:rsidRPr="00EF423A" w:rsidRDefault="00B0125C">
      <w:pPr>
        <w:pBdr>
          <w:top w:val="nil"/>
          <w:left w:val="nil"/>
          <w:bottom w:val="nil"/>
          <w:right w:val="nil"/>
          <w:between w:val="nil"/>
        </w:pBdr>
        <w:spacing w:before="240" w:after="240"/>
        <w:ind w:left="567" w:right="567"/>
        <w:jc w:val="both"/>
      </w:pPr>
      <w:r w:rsidRPr="00EF423A">
        <w:rPr>
          <w:rFonts w:ascii="Palatino Linotype" w:eastAsia="Palatino Linotype" w:hAnsi="Palatino Linotype" w:cs="Palatino Linotype"/>
          <w:b/>
          <w:i/>
          <w:sz w:val="22"/>
          <w:szCs w:val="22"/>
        </w:rPr>
        <w:t>XI. Documento:</w:t>
      </w:r>
      <w:r w:rsidRPr="00EF423A">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EF423A">
        <w:rPr>
          <w:rFonts w:ascii="Palatino Linotype" w:eastAsia="Palatino Linotype" w:hAnsi="Palatino Linotype" w:cs="Palatino Linotype"/>
          <w:b/>
          <w:i/>
          <w:sz w:val="22"/>
          <w:szCs w:val="22"/>
        </w:rPr>
        <w:t>…</w:t>
      </w:r>
      <w:r w:rsidRPr="00EF423A">
        <w:rPr>
          <w:rFonts w:ascii="Palatino Linotype" w:eastAsia="Palatino Linotype" w:hAnsi="Palatino Linotype" w:cs="Palatino Linotype"/>
          <w:i/>
          <w:sz w:val="22"/>
          <w:szCs w:val="22"/>
        </w:rPr>
        <w:t>”</w:t>
      </w:r>
    </w:p>
    <w:p w14:paraId="5189FBB8" w14:textId="77777777" w:rsidR="00026E8D" w:rsidRPr="00EF423A" w:rsidRDefault="00B0125C">
      <w:pPr>
        <w:pBdr>
          <w:top w:val="nil"/>
          <w:left w:val="nil"/>
          <w:bottom w:val="nil"/>
          <w:right w:val="nil"/>
          <w:between w:val="nil"/>
        </w:pBdr>
        <w:spacing w:before="240" w:after="240" w:line="360" w:lineRule="auto"/>
        <w:jc w:val="both"/>
        <w:rPr>
          <w:sz w:val="22"/>
          <w:szCs w:val="22"/>
        </w:rPr>
      </w:pPr>
      <w:r w:rsidRPr="00EF423A">
        <w:rPr>
          <w:rFonts w:ascii="Palatino Linotype" w:eastAsia="Palatino Linotype" w:hAnsi="Palatino Linotype" w:cs="Palatino Linotype"/>
          <w:sz w:val="22"/>
          <w:szCs w:val="22"/>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58AB54F" w14:textId="77777777" w:rsidR="00026E8D" w:rsidRPr="00EF423A" w:rsidRDefault="00B0125C">
      <w:pPr>
        <w:pBdr>
          <w:top w:val="nil"/>
          <w:left w:val="nil"/>
          <w:bottom w:val="nil"/>
          <w:right w:val="nil"/>
          <w:between w:val="nil"/>
        </w:pBdr>
        <w:spacing w:before="240" w:after="240"/>
        <w:ind w:left="567" w:right="567"/>
        <w:jc w:val="both"/>
      </w:pPr>
      <w:r w:rsidRPr="00EF423A">
        <w:rPr>
          <w:rFonts w:ascii="Palatino Linotype" w:eastAsia="Palatino Linotype" w:hAnsi="Palatino Linotype" w:cs="Palatino Linotype"/>
          <w:b/>
          <w:sz w:val="22"/>
          <w:szCs w:val="22"/>
        </w:rPr>
        <w:t>“</w:t>
      </w:r>
      <w:r w:rsidRPr="00EF423A">
        <w:rPr>
          <w:rFonts w:ascii="Palatino Linotype" w:eastAsia="Palatino Linotype" w:hAnsi="Palatino Linotype" w:cs="Palatino Linotype"/>
          <w:b/>
          <w:i/>
          <w:sz w:val="22"/>
          <w:szCs w:val="22"/>
        </w:rPr>
        <w:t>CRITERIO 0002-11</w:t>
      </w:r>
    </w:p>
    <w:p w14:paraId="255A6E05" w14:textId="77777777" w:rsidR="00026E8D" w:rsidRPr="00EF423A" w:rsidRDefault="00B0125C">
      <w:pPr>
        <w:pBdr>
          <w:top w:val="nil"/>
          <w:left w:val="nil"/>
          <w:bottom w:val="nil"/>
          <w:right w:val="nil"/>
          <w:between w:val="nil"/>
        </w:pBdr>
        <w:spacing w:before="240" w:after="240"/>
        <w:ind w:left="567" w:right="567"/>
        <w:jc w:val="both"/>
      </w:pPr>
      <w:r w:rsidRPr="00EF423A">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F423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93B72E3" w14:textId="77777777" w:rsidR="00026E8D" w:rsidRPr="00EF423A" w:rsidRDefault="00B0125C">
      <w:pPr>
        <w:pBdr>
          <w:top w:val="nil"/>
          <w:left w:val="nil"/>
          <w:bottom w:val="nil"/>
          <w:right w:val="nil"/>
          <w:between w:val="nil"/>
        </w:pBdr>
        <w:spacing w:before="240" w:after="240"/>
        <w:ind w:left="567" w:right="567"/>
        <w:jc w:val="both"/>
      </w:pPr>
      <w:r w:rsidRPr="00EF423A">
        <w:rPr>
          <w:rFonts w:ascii="Palatino Linotype" w:eastAsia="Palatino Linotype" w:hAnsi="Palatino Linotype" w:cs="Palatino Linotype"/>
          <w:i/>
          <w:sz w:val="22"/>
          <w:szCs w:val="22"/>
        </w:rPr>
        <w:t xml:space="preserve">En </w:t>
      </w:r>
      <w:proofErr w:type="gramStart"/>
      <w:r w:rsidRPr="00EF423A">
        <w:rPr>
          <w:rFonts w:ascii="Palatino Linotype" w:eastAsia="Palatino Linotype" w:hAnsi="Palatino Linotype" w:cs="Palatino Linotype"/>
          <w:i/>
          <w:sz w:val="22"/>
          <w:szCs w:val="22"/>
        </w:rPr>
        <w:t>consecuencia</w:t>
      </w:r>
      <w:proofErr w:type="gramEnd"/>
      <w:r w:rsidRPr="00EF423A">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18B3235E" w14:textId="77777777" w:rsidR="00026E8D" w:rsidRPr="00EF423A" w:rsidRDefault="00B0125C">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Que se trate de información registrada en cualquier soporte documental, </w:t>
      </w:r>
      <w:proofErr w:type="gramStart"/>
      <w:r w:rsidRPr="00EF423A">
        <w:rPr>
          <w:rFonts w:ascii="Palatino Linotype" w:eastAsia="Palatino Linotype" w:hAnsi="Palatino Linotype" w:cs="Palatino Linotype"/>
          <w:i/>
          <w:sz w:val="22"/>
          <w:szCs w:val="22"/>
        </w:rPr>
        <w:t>que</w:t>
      </w:r>
      <w:proofErr w:type="gramEnd"/>
      <w:r w:rsidRPr="00EF423A">
        <w:rPr>
          <w:rFonts w:ascii="Palatino Linotype" w:eastAsia="Palatino Linotype" w:hAnsi="Palatino Linotype" w:cs="Palatino Linotype"/>
          <w:i/>
          <w:sz w:val="22"/>
          <w:szCs w:val="22"/>
        </w:rPr>
        <w:t xml:space="preserve"> en ejercicio de las atribuciones conferidas, sea generada por los Sujetos Obligados;</w:t>
      </w:r>
    </w:p>
    <w:p w14:paraId="2B6089C4" w14:textId="77777777" w:rsidR="00026E8D" w:rsidRPr="00EF423A" w:rsidRDefault="00B0125C">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Que se trate de información registrada en cualquier soporte documental, </w:t>
      </w:r>
      <w:proofErr w:type="gramStart"/>
      <w:r w:rsidRPr="00EF423A">
        <w:rPr>
          <w:rFonts w:ascii="Palatino Linotype" w:eastAsia="Palatino Linotype" w:hAnsi="Palatino Linotype" w:cs="Palatino Linotype"/>
          <w:i/>
          <w:sz w:val="22"/>
          <w:szCs w:val="22"/>
        </w:rPr>
        <w:t>que</w:t>
      </w:r>
      <w:proofErr w:type="gramEnd"/>
      <w:r w:rsidRPr="00EF423A">
        <w:rPr>
          <w:rFonts w:ascii="Palatino Linotype" w:eastAsia="Palatino Linotype" w:hAnsi="Palatino Linotype" w:cs="Palatino Linotype"/>
          <w:i/>
          <w:sz w:val="22"/>
          <w:szCs w:val="22"/>
        </w:rPr>
        <w:t xml:space="preserve"> en ejercicio de las atribuciones conferidas, sea administrada por los Sujetos Obligados, y</w:t>
      </w:r>
    </w:p>
    <w:p w14:paraId="3191FC05" w14:textId="77777777" w:rsidR="00026E8D" w:rsidRPr="00EF423A" w:rsidRDefault="00B0125C">
      <w:pPr>
        <w:pBdr>
          <w:top w:val="nil"/>
          <w:left w:val="nil"/>
          <w:bottom w:val="nil"/>
          <w:right w:val="nil"/>
          <w:between w:val="nil"/>
        </w:pBdr>
        <w:spacing w:before="240" w:after="240"/>
        <w:ind w:left="567" w:right="567" w:hanging="284"/>
        <w:jc w:val="both"/>
      </w:pPr>
      <w:r w:rsidRPr="00EF423A">
        <w:rPr>
          <w:rFonts w:ascii="Palatino Linotype" w:eastAsia="Palatino Linotype" w:hAnsi="Palatino Linotype" w:cs="Palatino Linotype"/>
          <w:i/>
          <w:sz w:val="22"/>
          <w:szCs w:val="22"/>
        </w:rPr>
        <w:t xml:space="preserve">3. </w:t>
      </w:r>
      <w:r w:rsidRPr="00EF423A">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EF423A">
        <w:rPr>
          <w:rFonts w:ascii="Palatino Linotype" w:eastAsia="Palatino Linotype" w:hAnsi="Palatino Linotype" w:cs="Palatino Linotype"/>
          <w:b/>
          <w:i/>
          <w:sz w:val="22"/>
          <w:szCs w:val="22"/>
        </w:rPr>
        <w:t>que</w:t>
      </w:r>
      <w:proofErr w:type="gramEnd"/>
      <w:r w:rsidRPr="00EF423A">
        <w:rPr>
          <w:rFonts w:ascii="Palatino Linotype" w:eastAsia="Palatino Linotype" w:hAnsi="Palatino Linotype" w:cs="Palatino Linotype"/>
          <w:b/>
          <w:i/>
          <w:sz w:val="22"/>
          <w:szCs w:val="22"/>
        </w:rPr>
        <w:t xml:space="preserve"> en ejercicio de las atribuciones conferidas, se encuentre en posesión de los Sujetos Obligados.” </w:t>
      </w:r>
      <w:r w:rsidRPr="00EF423A">
        <w:rPr>
          <w:rFonts w:ascii="Palatino Linotype" w:eastAsia="Palatino Linotype" w:hAnsi="Palatino Linotype" w:cs="Palatino Linotype"/>
          <w:i/>
          <w:sz w:val="22"/>
          <w:szCs w:val="22"/>
        </w:rPr>
        <w:t>(Énfasis añadido)</w:t>
      </w:r>
    </w:p>
    <w:p w14:paraId="487E2129" w14:textId="77777777" w:rsidR="00026E8D" w:rsidRPr="00EF423A" w:rsidRDefault="00B0125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De ahí que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w:t>
      </w:r>
      <w:r w:rsidRPr="00EF423A">
        <w:rPr>
          <w:rFonts w:ascii="Palatino Linotype" w:eastAsia="Palatino Linotype" w:hAnsi="Palatino Linotype" w:cs="Palatino Linotype"/>
          <w:sz w:val="22"/>
          <w:szCs w:val="22"/>
        </w:rPr>
        <w:lastRenderedPageBreak/>
        <w:t>beneficiosa para la sociedad y no simplemente de interés individual, y cuya divulgación resulta útil para que el público comprenda las actividades que llevan a cabo los Sujetos Obligados.</w:t>
      </w:r>
    </w:p>
    <w:p w14:paraId="29CAF777" w14:textId="77777777" w:rsidR="00026E8D" w:rsidRPr="00EF423A" w:rsidRDefault="00B0125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Ahora bien, para profundizar en el estudio del presente asunto, es conveniente recordar </w:t>
      </w:r>
      <w:proofErr w:type="gramStart"/>
      <w:r w:rsidRPr="00EF423A">
        <w:rPr>
          <w:rFonts w:ascii="Palatino Linotype" w:eastAsia="Palatino Linotype" w:hAnsi="Palatino Linotype" w:cs="Palatino Linotype"/>
          <w:sz w:val="22"/>
          <w:szCs w:val="22"/>
        </w:rPr>
        <w:t>que</w:t>
      </w:r>
      <w:proofErr w:type="gramEnd"/>
      <w:r w:rsidRPr="00EF423A">
        <w:rPr>
          <w:rFonts w:ascii="Palatino Linotype" w:eastAsia="Palatino Linotype" w:hAnsi="Palatino Linotype" w:cs="Palatino Linotype"/>
          <w:sz w:val="22"/>
          <w:szCs w:val="22"/>
        </w:rPr>
        <w:t xml:space="preserve"> de un análisis a la solicitud de información, se advierte que la parte solicitante requirió al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le proporcionara lo siguiente:</w:t>
      </w:r>
    </w:p>
    <w:p w14:paraId="6A845457" w14:textId="77777777" w:rsidR="00026E8D" w:rsidRPr="00EF423A" w:rsidRDefault="00B0125C">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 xml:space="preserve">1. </w:t>
      </w:r>
      <w:r w:rsidRPr="00EF423A">
        <w:rPr>
          <w:rFonts w:ascii="Palatino Linotype" w:eastAsia="Palatino Linotype" w:hAnsi="Palatino Linotype" w:cs="Palatino Linotype"/>
          <w:sz w:val="22"/>
          <w:szCs w:val="22"/>
        </w:rPr>
        <w:t>En formato abierto, el tabulador de sueldos vigente al 2025.</w:t>
      </w:r>
      <w:r w:rsidRPr="00EF423A">
        <w:rPr>
          <w:rFonts w:ascii="Palatino Linotype" w:eastAsia="Palatino Linotype" w:hAnsi="Palatino Linotype" w:cs="Palatino Linotype"/>
          <w:b/>
          <w:sz w:val="22"/>
          <w:szCs w:val="22"/>
        </w:rPr>
        <w:t xml:space="preserve"> </w:t>
      </w:r>
    </w:p>
    <w:p w14:paraId="71A46BB6" w14:textId="77777777" w:rsidR="00026E8D" w:rsidRPr="00EF423A" w:rsidRDefault="00B0125C">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sz w:val="22"/>
          <w:szCs w:val="22"/>
        </w:rPr>
        <w:t xml:space="preserve">2. </w:t>
      </w:r>
      <w:r w:rsidRPr="00EF423A">
        <w:rPr>
          <w:rFonts w:ascii="Palatino Linotype" w:eastAsia="Palatino Linotype" w:hAnsi="Palatino Linotype" w:cs="Palatino Linotype"/>
          <w:sz w:val="22"/>
          <w:szCs w:val="22"/>
        </w:rPr>
        <w:t xml:space="preserve">En formato autorizado por el </w:t>
      </w:r>
      <w:proofErr w:type="gramStart"/>
      <w:r w:rsidRPr="00EF423A">
        <w:rPr>
          <w:rFonts w:ascii="Palatino Linotype" w:eastAsia="Palatino Linotype" w:hAnsi="Palatino Linotype" w:cs="Palatino Linotype"/>
          <w:sz w:val="22"/>
          <w:szCs w:val="22"/>
        </w:rPr>
        <w:t>OSFEM,  la</w:t>
      </w:r>
      <w:proofErr w:type="gramEnd"/>
      <w:r w:rsidRPr="00EF423A">
        <w:rPr>
          <w:rFonts w:ascii="Palatino Linotype" w:eastAsia="Palatino Linotype" w:hAnsi="Palatino Linotype" w:cs="Palatino Linotype"/>
          <w:sz w:val="22"/>
          <w:szCs w:val="22"/>
        </w:rPr>
        <w:t xml:space="preserve"> Nómina General del 01 al 15 de enero del 2025; del 16 al 31 de enero de 2025; del 01 al 15 de febrero de 2025 y del 16 al 28 de febrero de 2025.</w:t>
      </w:r>
    </w:p>
    <w:p w14:paraId="4BC52AB7" w14:textId="77777777" w:rsidR="00026E8D" w:rsidRPr="00EF423A" w:rsidRDefault="00B0125C">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sz w:val="22"/>
          <w:szCs w:val="22"/>
        </w:rPr>
        <w:t xml:space="preserve"> 3.</w:t>
      </w:r>
      <w:r w:rsidRPr="00EF423A">
        <w:rPr>
          <w:rFonts w:ascii="Palatino Linotype" w:eastAsia="Palatino Linotype" w:hAnsi="Palatino Linotype" w:cs="Palatino Linotype"/>
          <w:sz w:val="22"/>
          <w:szCs w:val="22"/>
        </w:rPr>
        <w:t xml:space="preserve"> En versión publica, los recibos de nómina con la firma de recibido de los servidores públicos, correspondientes a los meses de enero y febrero de 2025. </w:t>
      </w:r>
    </w:p>
    <w:p w14:paraId="66048339" w14:textId="77777777" w:rsidR="00026E8D" w:rsidRPr="00EF423A" w:rsidRDefault="00B0125C">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sz w:val="22"/>
          <w:szCs w:val="22"/>
        </w:rPr>
        <w:t xml:space="preserve">4. </w:t>
      </w:r>
      <w:r w:rsidRPr="00EF423A">
        <w:rPr>
          <w:rFonts w:ascii="Palatino Linotype" w:eastAsia="Palatino Linotype" w:hAnsi="Palatino Linotype" w:cs="Palatino Linotype"/>
          <w:sz w:val="22"/>
          <w:szCs w:val="22"/>
        </w:rPr>
        <w:t xml:space="preserve">El organigrama vigente, con indicación del nombre de los servidores públicos que ocupan las áreas correspondientes. </w:t>
      </w:r>
    </w:p>
    <w:p w14:paraId="562B0C41" w14:textId="77777777" w:rsidR="00026E8D" w:rsidRPr="00EF423A" w:rsidRDefault="00B0125C">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sz w:val="22"/>
          <w:szCs w:val="22"/>
        </w:rPr>
        <w:t xml:space="preserve">5. </w:t>
      </w:r>
      <w:r w:rsidRPr="00EF423A">
        <w:rPr>
          <w:rFonts w:ascii="Palatino Linotype" w:eastAsia="Palatino Linotype" w:hAnsi="Palatino Linotype" w:cs="Palatino Linotype"/>
          <w:sz w:val="22"/>
          <w:szCs w:val="22"/>
        </w:rPr>
        <w:t xml:space="preserve">El número de vacantes desglosado por áreas. </w:t>
      </w:r>
    </w:p>
    <w:p w14:paraId="4C81FEB1" w14:textId="77777777" w:rsidR="00026E8D" w:rsidRPr="00EF423A" w:rsidRDefault="00B0125C">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 xml:space="preserve">6. </w:t>
      </w:r>
      <w:r w:rsidRPr="00EF423A">
        <w:rPr>
          <w:rFonts w:ascii="Palatino Linotype" w:eastAsia="Palatino Linotype" w:hAnsi="Palatino Linotype" w:cs="Palatino Linotype"/>
          <w:sz w:val="22"/>
          <w:szCs w:val="22"/>
        </w:rPr>
        <w:t>El número de juicios administrativos o laborales vigentes por despidos injustificados iniciados durante 2025.</w:t>
      </w:r>
    </w:p>
    <w:p w14:paraId="3214A76A" w14:textId="77777777" w:rsidR="00026E8D" w:rsidRPr="00EF423A" w:rsidRDefault="00B0125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sz w:val="22"/>
          <w:szCs w:val="22"/>
        </w:rPr>
        <w:t>En respuesta a estos requerimientos de información, el</w:t>
      </w:r>
      <w:r w:rsidRPr="00EF423A">
        <w:rPr>
          <w:rFonts w:ascii="Palatino Linotype" w:eastAsia="Palatino Linotype" w:hAnsi="Palatino Linotype" w:cs="Palatino Linotype"/>
          <w:b/>
          <w:sz w:val="22"/>
          <w:szCs w:val="22"/>
        </w:rPr>
        <w:t xml:space="preserve"> Sujeto Obligado </w:t>
      </w:r>
      <w:r w:rsidRPr="00EF423A">
        <w:rPr>
          <w:rFonts w:ascii="Palatino Linotype" w:eastAsia="Palatino Linotype" w:hAnsi="Palatino Linotype" w:cs="Palatino Linotype"/>
          <w:sz w:val="22"/>
          <w:szCs w:val="22"/>
        </w:rPr>
        <w:t xml:space="preserve">se pronunció por conducto del Tesorero del Sistema Municipal Para el Desarrollo Integral de la Familia de Huehuetoca, en el que refiere que adjunta la siguiente información: </w:t>
      </w:r>
    </w:p>
    <w:p w14:paraId="5D67628D"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lastRenderedPageBreak/>
        <w:t>-Nómina y recibos de nómina de la primera y segunda quincena de los meses de enero y febrero del 2025, así como listado de vacantes.</w:t>
      </w:r>
    </w:p>
    <w:p w14:paraId="623C9B47"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-Posteriormente se aprecian los recibos de nómina de los meses de enero y febrero, en versión pública, tabulador de sueldos y la nómina de los meses de enero y febrero.</w:t>
      </w:r>
    </w:p>
    <w:p w14:paraId="4A1DEDC0"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Asimismo, adjuntó el</w:t>
      </w:r>
      <w:r w:rsidRPr="00EF423A">
        <w:rPr>
          <w:rFonts w:ascii="Palatino Linotype" w:eastAsia="Palatino Linotype" w:hAnsi="Palatino Linotype" w:cs="Palatino Linotype"/>
          <w:b/>
          <w:i/>
          <w:sz w:val="22"/>
          <w:szCs w:val="22"/>
        </w:rPr>
        <w:t xml:space="preserve"> </w:t>
      </w:r>
      <w:r w:rsidRPr="00EF423A">
        <w:rPr>
          <w:rFonts w:ascii="Palatino Linotype" w:eastAsia="Palatino Linotype" w:hAnsi="Palatino Linotype" w:cs="Palatino Linotype"/>
          <w:sz w:val="22"/>
          <w:szCs w:val="22"/>
        </w:rPr>
        <w:t>Acta de la Cuarta Sesión Extraordinaria del Comité de Transparencia del Sistema Municipal Para el Desarrollo Integral de la Familia de Huehuetoca, celebrada el cuatro de marzo de dos mil veinticinco.</w:t>
      </w:r>
    </w:p>
    <w:p w14:paraId="7936BB5C"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En esta tesitura, una vez conocida la respuesta emitida por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la parte Recurrente</w:t>
      </w:r>
      <w:r w:rsidRPr="00EF423A">
        <w:rPr>
          <w:rFonts w:ascii="Palatino Linotype" w:eastAsia="Palatino Linotype" w:hAnsi="Palatino Linotype" w:cs="Palatino Linotype"/>
          <w:sz w:val="22"/>
          <w:szCs w:val="22"/>
        </w:rPr>
        <w:t xml:space="preserve">, al no estar conforme con los términos de la misma, interpuso el recurso de revisión que nos ocupa, inconformándose medularmente por la entrega de información incompleta, así como por la clasificación de la información. </w:t>
      </w:r>
    </w:p>
    <w:p w14:paraId="43BEA5BE" w14:textId="77777777" w:rsidR="00026E8D" w:rsidRPr="00EF423A" w:rsidRDefault="00B0125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Así las cosas, durante la etapa de manifestaciones e informe justificado, se tiene que las partes fueron omisas en pronunciarse, por lo que se tuvo por precluido su derecho para tal efecto, y al tener todas las etapas procesales substanciadas, se procede en este acto a emitir la resolución que corresponda conforme a derecho.</w:t>
      </w:r>
    </w:p>
    <w:p w14:paraId="03E94477"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Una vez expuestas estas consideraciones, resulta necesario subdividir el presente análisis en los siguientes puntos:</w:t>
      </w:r>
    </w:p>
    <w:p w14:paraId="26F445ED" w14:textId="77777777" w:rsidR="00026E8D" w:rsidRPr="00EF423A" w:rsidRDefault="00B0125C">
      <w:pPr>
        <w:spacing w:before="240" w:after="240" w:line="360" w:lineRule="auto"/>
        <w:ind w:left="567" w:right="900"/>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 xml:space="preserve">1. </w:t>
      </w:r>
      <w:r w:rsidRPr="00EF423A">
        <w:rPr>
          <w:rFonts w:ascii="Palatino Linotype" w:eastAsia="Palatino Linotype" w:hAnsi="Palatino Linotype" w:cs="Palatino Linotype"/>
          <w:sz w:val="22"/>
          <w:szCs w:val="22"/>
        </w:rPr>
        <w:t>En formato abierto, el tabulador de sueldos vigente al 2025.</w:t>
      </w:r>
      <w:r w:rsidRPr="00EF423A">
        <w:rPr>
          <w:rFonts w:ascii="Palatino Linotype" w:eastAsia="Palatino Linotype" w:hAnsi="Palatino Linotype" w:cs="Palatino Linotype"/>
          <w:b/>
          <w:sz w:val="22"/>
          <w:szCs w:val="22"/>
        </w:rPr>
        <w:t xml:space="preserve"> </w:t>
      </w:r>
    </w:p>
    <w:p w14:paraId="042B4D86" w14:textId="77777777" w:rsidR="00026E8D" w:rsidRPr="00EF423A" w:rsidRDefault="00B0125C">
      <w:pPr>
        <w:spacing w:before="240" w:after="240" w:line="360" w:lineRule="auto"/>
        <w:ind w:left="567" w:right="900"/>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sz w:val="22"/>
          <w:szCs w:val="22"/>
        </w:rPr>
        <w:t xml:space="preserve">2. </w:t>
      </w:r>
      <w:r w:rsidRPr="00EF423A">
        <w:rPr>
          <w:rFonts w:ascii="Palatino Linotype" w:eastAsia="Palatino Linotype" w:hAnsi="Palatino Linotype" w:cs="Palatino Linotype"/>
          <w:sz w:val="22"/>
          <w:szCs w:val="22"/>
        </w:rPr>
        <w:t xml:space="preserve">En formato autorizado por el </w:t>
      </w:r>
      <w:proofErr w:type="gramStart"/>
      <w:r w:rsidRPr="00EF423A">
        <w:rPr>
          <w:rFonts w:ascii="Palatino Linotype" w:eastAsia="Palatino Linotype" w:hAnsi="Palatino Linotype" w:cs="Palatino Linotype"/>
          <w:sz w:val="22"/>
          <w:szCs w:val="22"/>
        </w:rPr>
        <w:t>OSFEM,  la</w:t>
      </w:r>
      <w:proofErr w:type="gramEnd"/>
      <w:r w:rsidRPr="00EF423A">
        <w:rPr>
          <w:rFonts w:ascii="Palatino Linotype" w:eastAsia="Palatino Linotype" w:hAnsi="Palatino Linotype" w:cs="Palatino Linotype"/>
          <w:sz w:val="22"/>
          <w:szCs w:val="22"/>
        </w:rPr>
        <w:t xml:space="preserve"> Nómina General del 01 al 15 de enero del 2025; del 16 al 31 de enero de 2025; del 01 al 15 de febrero de 2025 y del 16 al 28 de febrero de 2025.</w:t>
      </w:r>
    </w:p>
    <w:p w14:paraId="0C49B88B" w14:textId="77777777" w:rsidR="00026E8D" w:rsidRPr="00EF423A" w:rsidRDefault="00B0125C">
      <w:pPr>
        <w:spacing w:before="240" w:after="240" w:line="360" w:lineRule="auto"/>
        <w:ind w:left="567" w:right="900"/>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sz w:val="22"/>
          <w:szCs w:val="22"/>
        </w:rPr>
        <w:lastRenderedPageBreak/>
        <w:t>3.</w:t>
      </w:r>
      <w:r w:rsidRPr="00EF423A">
        <w:rPr>
          <w:rFonts w:ascii="Palatino Linotype" w:eastAsia="Palatino Linotype" w:hAnsi="Palatino Linotype" w:cs="Palatino Linotype"/>
          <w:sz w:val="22"/>
          <w:szCs w:val="22"/>
        </w:rPr>
        <w:t xml:space="preserve"> En versión publica, los recibos de nómina con la firma de recibido de los servidores públicos, correspondientes a los meses de enero y febrero de 2025. </w:t>
      </w:r>
    </w:p>
    <w:p w14:paraId="03395C14" w14:textId="77777777" w:rsidR="00026E8D" w:rsidRPr="00EF423A" w:rsidRDefault="00B0125C">
      <w:pPr>
        <w:spacing w:before="240" w:after="240" w:line="360" w:lineRule="auto"/>
        <w:ind w:left="567" w:right="900"/>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sz w:val="22"/>
          <w:szCs w:val="22"/>
        </w:rPr>
        <w:t xml:space="preserve">4. </w:t>
      </w:r>
      <w:r w:rsidRPr="00EF423A">
        <w:rPr>
          <w:rFonts w:ascii="Palatino Linotype" w:eastAsia="Palatino Linotype" w:hAnsi="Palatino Linotype" w:cs="Palatino Linotype"/>
          <w:sz w:val="22"/>
          <w:szCs w:val="22"/>
        </w:rPr>
        <w:t xml:space="preserve">El organigrama vigente, con indicación del nombre de los servidores públicos que ocupan las áreas correspondientes. </w:t>
      </w:r>
    </w:p>
    <w:p w14:paraId="4A8E2BDA" w14:textId="77777777" w:rsidR="00026E8D" w:rsidRPr="00EF423A" w:rsidRDefault="00B0125C">
      <w:pPr>
        <w:spacing w:before="240" w:after="240" w:line="360" w:lineRule="auto"/>
        <w:ind w:left="567" w:right="900"/>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sz w:val="22"/>
          <w:szCs w:val="22"/>
        </w:rPr>
        <w:t xml:space="preserve">5. </w:t>
      </w:r>
      <w:r w:rsidRPr="00EF423A">
        <w:rPr>
          <w:rFonts w:ascii="Palatino Linotype" w:eastAsia="Palatino Linotype" w:hAnsi="Palatino Linotype" w:cs="Palatino Linotype"/>
          <w:sz w:val="22"/>
          <w:szCs w:val="22"/>
        </w:rPr>
        <w:t xml:space="preserve">El número de vacantes desglosado por áreas. </w:t>
      </w:r>
    </w:p>
    <w:p w14:paraId="4B353A11" w14:textId="77777777" w:rsidR="00026E8D" w:rsidRPr="00EF423A" w:rsidRDefault="00B0125C">
      <w:pPr>
        <w:spacing w:before="240" w:after="240" w:line="360" w:lineRule="auto"/>
        <w:ind w:left="567" w:right="900"/>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sz w:val="22"/>
          <w:szCs w:val="22"/>
        </w:rPr>
        <w:t xml:space="preserve">6. </w:t>
      </w:r>
      <w:r w:rsidRPr="00EF423A">
        <w:rPr>
          <w:rFonts w:ascii="Palatino Linotype" w:eastAsia="Palatino Linotype" w:hAnsi="Palatino Linotype" w:cs="Palatino Linotype"/>
          <w:sz w:val="22"/>
          <w:szCs w:val="22"/>
        </w:rPr>
        <w:t>El número de juicios administrativos o laborales vigentes por despidos injustificados iniciados durante 2025.</w:t>
      </w:r>
    </w:p>
    <w:p w14:paraId="54016FEC" w14:textId="77777777" w:rsidR="00026E8D" w:rsidRPr="00EF423A" w:rsidRDefault="00B0125C">
      <w:pPr>
        <w:shd w:val="clear" w:color="auto" w:fill="EEECE1"/>
        <w:spacing w:before="240" w:after="240" w:line="360" w:lineRule="auto"/>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1. En formato abierto, el tabulador de sueldos vigente al 2025.</w:t>
      </w:r>
    </w:p>
    <w:p w14:paraId="562F9117"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En lo tocante a este punto, tenemos </w:t>
      </w:r>
      <w:proofErr w:type="gramStart"/>
      <w:r w:rsidRPr="00EF423A">
        <w:rPr>
          <w:rFonts w:ascii="Palatino Linotype" w:eastAsia="Palatino Linotype" w:hAnsi="Palatino Linotype" w:cs="Palatino Linotype"/>
          <w:sz w:val="22"/>
          <w:szCs w:val="22"/>
        </w:rPr>
        <w:t>que</w:t>
      </w:r>
      <w:proofErr w:type="gramEnd"/>
      <w:r w:rsidRPr="00EF423A">
        <w:rPr>
          <w:rFonts w:ascii="Palatino Linotype" w:eastAsia="Palatino Linotype" w:hAnsi="Palatino Linotype" w:cs="Palatino Linotype"/>
          <w:sz w:val="22"/>
          <w:szCs w:val="22"/>
        </w:rPr>
        <w:t xml:space="preserve"> en respuesta,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tuvo a bien proporcionar el formato PbRM-05, correspondiente al tabulador de sueldos del ejercicio fiscal 2025, en formato PDF, tal como se desprende de la siguiente ilustración:</w:t>
      </w:r>
    </w:p>
    <w:p w14:paraId="79DE0FD2" w14:textId="77777777" w:rsidR="00026E8D" w:rsidRPr="00EF423A" w:rsidRDefault="00B0125C">
      <w:pPr>
        <w:spacing w:before="240" w:after="240" w:line="360" w:lineRule="auto"/>
        <w:jc w:val="center"/>
        <w:rPr>
          <w:rFonts w:ascii="Palatino Linotype" w:eastAsia="Palatino Linotype" w:hAnsi="Palatino Linotype" w:cs="Palatino Linotype"/>
          <w:sz w:val="22"/>
          <w:szCs w:val="22"/>
        </w:rPr>
      </w:pPr>
      <w:r w:rsidRPr="00EF423A">
        <w:rPr>
          <w:rFonts w:ascii="Palatino Linotype" w:eastAsia="Palatino Linotype" w:hAnsi="Palatino Linotype" w:cs="Palatino Linotype"/>
          <w:noProof/>
          <w:sz w:val="22"/>
          <w:szCs w:val="22"/>
        </w:rPr>
        <w:drawing>
          <wp:inline distT="0" distB="0" distL="0" distR="0" wp14:anchorId="24558446" wp14:editId="7FC03E14">
            <wp:extent cx="4232483" cy="3121923"/>
            <wp:effectExtent l="0" t="0" r="0" b="0"/>
            <wp:docPr id="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232483" cy="3121923"/>
                    </a:xfrm>
                    <a:prstGeom prst="rect">
                      <a:avLst/>
                    </a:prstGeom>
                    <a:ln/>
                  </pic:spPr>
                </pic:pic>
              </a:graphicData>
            </a:graphic>
          </wp:inline>
        </w:drawing>
      </w:r>
    </w:p>
    <w:p w14:paraId="5711DDC7"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lastRenderedPageBreak/>
        <w:t xml:space="preserve">No obstante lo anterior, debemos recordar que este fue solicitado en formato abierto, por lo cual, este Organismo Garante procedió a consultar el contenido de los Lineamientos para la Integración, Envío y </w:t>
      </w:r>
      <w:proofErr w:type="gramStart"/>
      <w:r w:rsidRPr="00EF423A">
        <w:rPr>
          <w:rFonts w:ascii="Palatino Linotype" w:eastAsia="Palatino Linotype" w:hAnsi="Palatino Linotype" w:cs="Palatino Linotype"/>
          <w:sz w:val="22"/>
          <w:szCs w:val="22"/>
        </w:rPr>
        <w:t>Recepción  Electrónica</w:t>
      </w:r>
      <w:proofErr w:type="gramEnd"/>
      <w:r w:rsidRPr="00EF423A">
        <w:rPr>
          <w:rFonts w:ascii="Palatino Linotype" w:eastAsia="Palatino Linotype" w:hAnsi="Palatino Linotype" w:cs="Palatino Linotype"/>
          <w:sz w:val="22"/>
          <w:szCs w:val="22"/>
        </w:rPr>
        <w:t xml:space="preserve"> del Paquete Presupuestal Municipal 2025, los cuales disponen que el tabulador se debe presentar en los formatos PDF y TXT.</w:t>
      </w:r>
    </w:p>
    <w:p w14:paraId="63760A1C"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noProof/>
          <w:sz w:val="22"/>
          <w:szCs w:val="22"/>
        </w:rPr>
        <w:drawing>
          <wp:inline distT="0" distB="0" distL="0" distR="0" wp14:anchorId="0D1A7E81" wp14:editId="4C73CA71">
            <wp:extent cx="5612130" cy="2869565"/>
            <wp:effectExtent l="0" t="0" r="0" b="0"/>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12130" cy="2869565"/>
                    </a:xfrm>
                    <a:prstGeom prst="rect">
                      <a:avLst/>
                    </a:prstGeom>
                    <a:ln/>
                  </pic:spPr>
                </pic:pic>
              </a:graphicData>
            </a:graphic>
          </wp:inline>
        </w:drawing>
      </w:r>
    </w:p>
    <w:p w14:paraId="426EC6D0"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Por consiguiente, tenemos que proporcionó la información en el formato que obra en sus archivos y en el que fue generado para dar cumplimiento a la entrega del presupuesto municipal 2025, por lo tanto, se tiene por atendido este punto de la solicitud de información.</w:t>
      </w:r>
    </w:p>
    <w:p w14:paraId="2ECDEFF5" w14:textId="77777777" w:rsidR="00026E8D" w:rsidRPr="00EF423A" w:rsidRDefault="00B0125C">
      <w:pPr>
        <w:shd w:val="clear" w:color="auto" w:fill="EEECE1"/>
        <w:spacing w:before="240" w:after="240" w:line="360" w:lineRule="auto"/>
        <w:ind w:right="49"/>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 xml:space="preserve">2. En formato autorizado por el </w:t>
      </w:r>
      <w:proofErr w:type="gramStart"/>
      <w:r w:rsidRPr="00EF423A">
        <w:rPr>
          <w:rFonts w:ascii="Palatino Linotype" w:eastAsia="Palatino Linotype" w:hAnsi="Palatino Linotype" w:cs="Palatino Linotype"/>
          <w:b/>
          <w:sz w:val="22"/>
          <w:szCs w:val="22"/>
        </w:rPr>
        <w:t>OSFEM,  la</w:t>
      </w:r>
      <w:proofErr w:type="gramEnd"/>
      <w:r w:rsidRPr="00EF423A">
        <w:rPr>
          <w:rFonts w:ascii="Palatino Linotype" w:eastAsia="Palatino Linotype" w:hAnsi="Palatino Linotype" w:cs="Palatino Linotype"/>
          <w:b/>
          <w:sz w:val="22"/>
          <w:szCs w:val="22"/>
        </w:rPr>
        <w:t xml:space="preserve"> Nómina General del 01 al 15 de enero del 2025; del 16 al 31 de enero de 2025; del 01 al 15 de febrero de 2025 y del 16 al 28 de febrero de 2025.</w:t>
      </w:r>
    </w:p>
    <w:p w14:paraId="2D7B4E0A"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Por lo que respecta a este punto, tenemos que el Tesorero del Sistema Municipal Para el Desarrollo Integral de la Familia de Huehuetoca se pronunció para atender este requerimiento de información; en tal sentido, de conformidad con la Ley que crea os </w:t>
      </w:r>
      <w:r w:rsidRPr="00EF423A">
        <w:rPr>
          <w:rFonts w:ascii="Palatino Linotype" w:eastAsia="Palatino Linotype" w:hAnsi="Palatino Linotype" w:cs="Palatino Linotype"/>
          <w:sz w:val="22"/>
          <w:szCs w:val="22"/>
        </w:rPr>
        <w:lastRenderedPageBreak/>
        <w:t>Organismos Públicos Descentralizados de Asistencia Social, de Carácter Municipal, Denominados "Sistemas Municipales para el Desarrollo Integral de la Familia", a la persona que funge como Tesorero del Sistema, le compete el desarrollo de las siguientes atribuciones:</w:t>
      </w:r>
    </w:p>
    <w:p w14:paraId="6E6DACC6" w14:textId="77777777" w:rsidR="00026E8D" w:rsidRPr="00EF423A" w:rsidRDefault="00B0125C">
      <w:pPr>
        <w:spacing w:before="240" w:after="240"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“Artículo 15.- </w:t>
      </w:r>
      <w:r w:rsidRPr="00EF423A">
        <w:rPr>
          <w:rFonts w:ascii="Palatino Linotype" w:eastAsia="Palatino Linotype" w:hAnsi="Palatino Linotype" w:cs="Palatino Linotype"/>
          <w:b/>
          <w:i/>
          <w:sz w:val="22"/>
          <w:szCs w:val="22"/>
          <w:u w:val="single"/>
        </w:rPr>
        <w:t>El Tesorero será el responsable del manejo del presupuesto del Sistema Municipal, y de la administración de los recursos que conforman el patrimonio del organismo</w:t>
      </w:r>
      <w:r w:rsidRPr="00EF423A">
        <w:rPr>
          <w:rFonts w:ascii="Palatino Linotype" w:eastAsia="Palatino Linotype" w:hAnsi="Palatino Linotype" w:cs="Palatino Linotype"/>
          <w:i/>
          <w:sz w:val="22"/>
          <w:szCs w:val="22"/>
        </w:rPr>
        <w:t xml:space="preserve">, lo cual hará en coordinación con el </w:t>
      </w:r>
      <w:proofErr w:type="gramStart"/>
      <w:r w:rsidRPr="00EF423A">
        <w:rPr>
          <w:rFonts w:ascii="Palatino Linotype" w:eastAsia="Palatino Linotype" w:hAnsi="Palatino Linotype" w:cs="Palatino Linotype"/>
          <w:i/>
          <w:sz w:val="22"/>
          <w:szCs w:val="22"/>
        </w:rPr>
        <w:t>Director</w:t>
      </w:r>
      <w:proofErr w:type="gramEnd"/>
      <w:r w:rsidRPr="00EF423A">
        <w:rPr>
          <w:rFonts w:ascii="Palatino Linotype" w:eastAsia="Palatino Linotype" w:hAnsi="Palatino Linotype" w:cs="Palatino Linotype"/>
          <w:i/>
          <w:sz w:val="22"/>
          <w:szCs w:val="22"/>
        </w:rPr>
        <w:t>, debiendo informar los estados financieros mensualmente a la Junta de Gobierno o cuando ésta y la presidencia lo soliciten, además tendrá las siguientes atribuciones:</w:t>
      </w:r>
    </w:p>
    <w:p w14:paraId="008A0B4A" w14:textId="77777777" w:rsidR="00026E8D" w:rsidRPr="00EF423A" w:rsidRDefault="00B0125C">
      <w:pPr>
        <w:spacing w:before="240" w:after="240"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w:t>
      </w:r>
    </w:p>
    <w:p w14:paraId="4ADFC3F7" w14:textId="77777777" w:rsidR="00026E8D" w:rsidRPr="00EF423A" w:rsidRDefault="00B0125C">
      <w:pPr>
        <w:spacing w:before="240" w:after="240"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u w:val="single"/>
        </w:rPr>
        <w:t>II. Llevar los libros y registros contables, financieros y administrativos de los ingresos, egresos e inventarios</w:t>
      </w:r>
      <w:r w:rsidRPr="00EF423A">
        <w:rPr>
          <w:rFonts w:ascii="Palatino Linotype" w:eastAsia="Palatino Linotype" w:hAnsi="Palatino Linotype" w:cs="Palatino Linotype"/>
          <w:i/>
          <w:sz w:val="22"/>
          <w:szCs w:val="22"/>
        </w:rPr>
        <w:t>;” (Énfasis añadido)</w:t>
      </w:r>
    </w:p>
    <w:p w14:paraId="056DA969" w14:textId="77777777" w:rsidR="00026E8D" w:rsidRPr="00EF423A" w:rsidRDefault="00026E8D">
      <w:pPr>
        <w:spacing w:line="360" w:lineRule="auto"/>
        <w:ind w:right="141"/>
        <w:jc w:val="both"/>
        <w:rPr>
          <w:rFonts w:ascii="Palatino Linotype" w:eastAsia="Palatino Linotype" w:hAnsi="Palatino Linotype" w:cs="Palatino Linotype"/>
          <w:sz w:val="22"/>
          <w:szCs w:val="22"/>
        </w:rPr>
      </w:pPr>
    </w:p>
    <w:p w14:paraId="5B08D571" w14:textId="77777777" w:rsidR="00026E8D" w:rsidRPr="00EF423A" w:rsidRDefault="00B0125C">
      <w:pPr>
        <w:spacing w:line="360" w:lineRule="auto"/>
        <w:ind w:right="141"/>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En tal tesitura, se tiene que obra un pronunciamiento de la unidad administrativa encargada del manejo del presupuesto del Sistema Municipal, y de la administración de los recursos que conforman el patrimonio del organismo, por consiguiente, se determina que al haberse turnado el requerimiento de información a la unidad administrativa competente y esta se pronunció desde la respuesta, es dable afirmar que en el presente asunto se siguió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7CF14802" w14:textId="77777777" w:rsidR="00026E8D" w:rsidRPr="00EF423A" w:rsidRDefault="00B0125C">
      <w:pPr>
        <w:pBdr>
          <w:top w:val="nil"/>
          <w:left w:val="nil"/>
          <w:bottom w:val="nil"/>
          <w:right w:val="nil"/>
          <w:between w:val="nil"/>
        </w:pBdr>
        <w:ind w:left="864" w:right="864"/>
        <w:jc w:val="both"/>
      </w:pPr>
      <w:r w:rsidRPr="00EF423A">
        <w:rPr>
          <w:rFonts w:ascii="Palatino Linotype" w:eastAsia="Palatino Linotype" w:hAnsi="Palatino Linotype" w:cs="Palatino Linotype"/>
          <w:i/>
          <w:sz w:val="22"/>
          <w:szCs w:val="22"/>
        </w:rPr>
        <w:t xml:space="preserve">XXXIX. Servidor público habilitado: Persona encargada dentro de las diversas unidades administrativas o áreas del sujeto obligado, de apoyar, gestionar y entregar la información o datos personales que se ubiquen en la misma, a sus </w:t>
      </w:r>
      <w:r w:rsidRPr="00EF423A">
        <w:rPr>
          <w:rFonts w:ascii="Palatino Linotype" w:eastAsia="Palatino Linotype" w:hAnsi="Palatino Linotype" w:cs="Palatino Linotype"/>
          <w:i/>
          <w:sz w:val="22"/>
          <w:szCs w:val="22"/>
        </w:rPr>
        <w:lastRenderedPageBreak/>
        <w:t>respectivas unidades de transparencia; respecto de las solicitudes presentadas y aportar en primera instancia el fundamento y motivación de la clasificación de la información. </w:t>
      </w:r>
    </w:p>
    <w:p w14:paraId="4F646D83" w14:textId="77777777" w:rsidR="00026E8D" w:rsidRPr="00EF423A" w:rsidRDefault="00026E8D"/>
    <w:p w14:paraId="5ACA0CEF"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Ahora bien, continuando con el análisis de la respuesta, tenemos que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proporcionó la nómina correspondiente a </w:t>
      </w:r>
      <w:r w:rsidRPr="00EF423A">
        <w:rPr>
          <w:rFonts w:ascii="Palatino Linotype" w:eastAsia="Palatino Linotype" w:hAnsi="Palatino Linotype" w:cs="Palatino Linotype"/>
          <w:b/>
          <w:sz w:val="22"/>
          <w:szCs w:val="22"/>
          <w:u w:val="single"/>
        </w:rPr>
        <w:t>las dos quincenas del mes de enero del 2025, así como de la primera quincena del mes de febrero del 2025</w:t>
      </w:r>
      <w:r w:rsidRPr="00EF423A">
        <w:rPr>
          <w:rFonts w:ascii="Palatino Linotype" w:eastAsia="Palatino Linotype" w:hAnsi="Palatino Linotype" w:cs="Palatino Linotype"/>
          <w:sz w:val="22"/>
          <w:szCs w:val="22"/>
        </w:rPr>
        <w:t xml:space="preserve">. </w:t>
      </w:r>
    </w:p>
    <w:p w14:paraId="145F1E91"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En tal tesitura, debemos tener en cuenta que si bien es cierto, obra un faltante de la nómina correspondiente a la segunda quincena del mes de febrero de 2025, esto se debe a que a la fecha de la solicitud, es decir, al </w:t>
      </w:r>
      <w:r w:rsidRPr="00EF423A">
        <w:rPr>
          <w:rFonts w:ascii="Palatino Linotype" w:eastAsia="Palatino Linotype" w:hAnsi="Palatino Linotype" w:cs="Palatino Linotype"/>
          <w:b/>
          <w:sz w:val="22"/>
          <w:szCs w:val="22"/>
        </w:rPr>
        <w:t>veinticinco de febrero del 2025</w:t>
      </w:r>
      <w:r w:rsidRPr="00EF423A">
        <w:rPr>
          <w:rFonts w:ascii="Palatino Linotype" w:eastAsia="Palatino Linotype" w:hAnsi="Palatino Linotype" w:cs="Palatino Linotype"/>
          <w:sz w:val="22"/>
          <w:szCs w:val="22"/>
        </w:rPr>
        <w:t>, aun no se había generado tal documento, pues de conformidad con los Lineamientos para la entrega de los Informes Trimestrales del Ejercicio Fiscal 2025, emitidos por el Órgano Superior de Fiscalización del Estado de México (OSFEM), las conciliaciones de nómina que son el documento que satisface el requerimiento del particular, se generan de manera quincenal, tal como se desprende de la siguiente ilustración:</w:t>
      </w:r>
    </w:p>
    <w:p w14:paraId="2024702D"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noProof/>
          <w:sz w:val="22"/>
          <w:szCs w:val="22"/>
        </w:rPr>
        <w:drawing>
          <wp:inline distT="0" distB="0" distL="0" distR="0" wp14:anchorId="112A3801" wp14:editId="1BB347DF">
            <wp:extent cx="5612130" cy="2185670"/>
            <wp:effectExtent l="0" t="0" r="0" b="0"/>
            <wp:docPr id="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612130" cy="2185670"/>
                    </a:xfrm>
                    <a:prstGeom prst="rect">
                      <a:avLst/>
                    </a:prstGeom>
                    <a:ln/>
                  </pic:spPr>
                </pic:pic>
              </a:graphicData>
            </a:graphic>
          </wp:inline>
        </w:drawing>
      </w:r>
      <w:r w:rsidRPr="00EF423A">
        <w:rPr>
          <w:noProof/>
        </w:rPr>
        <mc:AlternateContent>
          <mc:Choice Requires="wpg">
            <w:drawing>
              <wp:anchor distT="0" distB="0" distL="114300" distR="114300" simplePos="0" relativeHeight="251658240" behindDoc="0" locked="0" layoutInCell="1" hidden="0" allowOverlap="1" wp14:anchorId="47D8F0C1" wp14:editId="68990589">
                <wp:simplePos x="0" y="0"/>
                <wp:positionH relativeFrom="column">
                  <wp:posOffset>-114299</wp:posOffset>
                </wp:positionH>
                <wp:positionV relativeFrom="paragraph">
                  <wp:posOffset>1092200</wp:posOffset>
                </wp:positionV>
                <wp:extent cx="905423" cy="1031452"/>
                <wp:effectExtent l="0" t="0" r="0" b="0"/>
                <wp:wrapNone/>
                <wp:docPr id="60" name="Flecha abajo 60"/>
                <wp:cNvGraphicFramePr/>
                <a:graphic xmlns:a="http://schemas.openxmlformats.org/drawingml/2006/main">
                  <a:graphicData uri="http://schemas.microsoft.com/office/word/2010/wordprocessingShape">
                    <wps:wsp>
                      <wps:cNvSpPr/>
                      <wps:spPr>
                        <a:xfrm rot="-1970499">
                          <a:off x="5107875" y="3327563"/>
                          <a:ext cx="476250" cy="904875"/>
                        </a:xfrm>
                        <a:prstGeom prst="downArrow">
                          <a:avLst>
                            <a:gd name="adj1" fmla="val 50000"/>
                            <a:gd name="adj2" fmla="val 50000"/>
                          </a:avLst>
                        </a:prstGeom>
                        <a:solidFill>
                          <a:srgbClr val="C00000"/>
                        </a:solidFill>
                        <a:ln w="9525" cap="flat" cmpd="sng">
                          <a:solidFill>
                            <a:srgbClr val="C00000"/>
                          </a:solidFill>
                          <a:prstDash val="solid"/>
                          <a:round/>
                          <a:headEnd type="none" w="sm" len="sm"/>
                          <a:tailEnd type="none" w="sm" len="sm"/>
                        </a:ln>
                      </wps:spPr>
                      <wps:txbx>
                        <w:txbxContent>
                          <w:p w14:paraId="05096415" w14:textId="77777777" w:rsidR="00026E8D" w:rsidRDefault="00026E8D">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-114299</wp:posOffset>
                </wp:positionH>
                <wp:positionV relativeFrom="paragraph">
                  <wp:posOffset>1092200</wp:posOffset>
                </wp:positionV>
                <wp:extent cx="905423" cy="1031452"/>
                <wp:effectExtent b="0" l="0" r="0" t="0"/>
                <wp:wrapNone/>
                <wp:docPr id="60"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905423" cy="1031452"/>
                        </a:xfrm>
                        <a:prstGeom prst="rect"/>
                        <a:ln/>
                      </pic:spPr>
                    </pic:pic>
                  </a:graphicData>
                </a:graphic>
              </wp:anchor>
            </w:drawing>
          </mc:Fallback>
        </mc:AlternateContent>
      </w:r>
    </w:p>
    <w:p w14:paraId="30F03D79"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lastRenderedPageBreak/>
        <w:t>Por consiguiente, no es procedente ordenar información que a la fecha de la solicitud no se ha generado, es decir, lo relativo a la nómina de la segunda quincena del mes de febrero de 2025.</w:t>
      </w:r>
    </w:p>
    <w:p w14:paraId="0B731D9B"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Continuando con nuestro análisis, procedemos a analizar la información proporcionada por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para atender este requerimiento de información, para ello se inserta a manera de ejemplo, un extracto de la nómina entregada en respuesta que </w:t>
      </w:r>
      <w:r w:rsidRPr="00EF423A">
        <w:rPr>
          <w:rFonts w:ascii="Palatino Linotype" w:eastAsia="Palatino Linotype" w:hAnsi="Palatino Linotype" w:cs="Palatino Linotype"/>
          <w:b/>
          <w:sz w:val="22"/>
          <w:szCs w:val="22"/>
          <w:u w:val="single"/>
        </w:rPr>
        <w:t>sólo contiene los elementos denominados número consecutivo, nombre completo, número de empleado, categoría y departamento</w:t>
      </w:r>
      <w:r w:rsidRPr="00EF423A">
        <w:rPr>
          <w:rFonts w:ascii="Palatino Linotype" w:eastAsia="Palatino Linotype" w:hAnsi="Palatino Linotype" w:cs="Palatino Linotype"/>
          <w:sz w:val="22"/>
          <w:szCs w:val="22"/>
        </w:rPr>
        <w:t>:</w:t>
      </w:r>
    </w:p>
    <w:p w14:paraId="5A438432"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noProof/>
          <w:sz w:val="22"/>
          <w:szCs w:val="22"/>
        </w:rPr>
        <w:drawing>
          <wp:inline distT="0" distB="0" distL="0" distR="0" wp14:anchorId="51764869" wp14:editId="41C4D6B6">
            <wp:extent cx="5612130" cy="4243070"/>
            <wp:effectExtent l="0" t="0" r="0" b="0"/>
            <wp:docPr id="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612130" cy="4243070"/>
                    </a:xfrm>
                    <a:prstGeom prst="rect">
                      <a:avLst/>
                    </a:prstGeom>
                    <a:ln/>
                  </pic:spPr>
                </pic:pic>
              </a:graphicData>
            </a:graphic>
          </wp:inline>
        </w:drawing>
      </w:r>
    </w:p>
    <w:p w14:paraId="6B33578A"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lastRenderedPageBreak/>
        <w:t xml:space="preserve">En una aproximación inicial, a juicio de este Organismo Garante,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no atendió de manera cabal este requerimiento de información, toda vez que </w:t>
      </w:r>
      <w:r w:rsidRPr="00EF423A">
        <w:rPr>
          <w:rFonts w:ascii="Palatino Linotype" w:eastAsia="Palatino Linotype" w:hAnsi="Palatino Linotype" w:cs="Palatino Linotype"/>
          <w:b/>
          <w:sz w:val="22"/>
          <w:szCs w:val="22"/>
        </w:rPr>
        <w:t>la parte Recurrente</w:t>
      </w:r>
      <w:r w:rsidRPr="00EF423A">
        <w:rPr>
          <w:rFonts w:ascii="Palatino Linotype" w:eastAsia="Palatino Linotype" w:hAnsi="Palatino Linotype" w:cs="Palatino Linotype"/>
          <w:sz w:val="22"/>
          <w:szCs w:val="22"/>
        </w:rPr>
        <w:t xml:space="preserve">, peticionó en estricto sentido, la nómina en el formato autorizado por el OSFEM; en tal sentido, de una revisión a los Lineamientos para la entrega de los Informes Trimestrales del Ejercicio Fiscal 2025, emitidos por el Órgano Superior de Fiscalización del Estado de México (OSFEM), específicamente en lo concerniente al módulo 4, tenemos que el formato de la conciliación de nómina contiene mayores elementos a los reportados por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los cuales se insertan a continuación para mejor proveer del presente estudio:</w:t>
      </w:r>
    </w:p>
    <w:p w14:paraId="2BB2401F" w14:textId="77777777" w:rsidR="00026E8D" w:rsidRPr="00EF423A" w:rsidRDefault="00B0125C">
      <w:pPr>
        <w:spacing w:before="240" w:after="240" w:line="360" w:lineRule="auto"/>
        <w:ind w:right="49"/>
        <w:jc w:val="center"/>
        <w:rPr>
          <w:rFonts w:ascii="Palatino Linotype" w:eastAsia="Palatino Linotype" w:hAnsi="Palatino Linotype" w:cs="Palatino Linotype"/>
          <w:sz w:val="22"/>
          <w:szCs w:val="22"/>
        </w:rPr>
      </w:pPr>
      <w:r w:rsidRPr="00EF423A">
        <w:rPr>
          <w:rFonts w:ascii="Palatino Linotype" w:eastAsia="Palatino Linotype" w:hAnsi="Palatino Linotype" w:cs="Palatino Linotype"/>
          <w:noProof/>
          <w:sz w:val="22"/>
          <w:szCs w:val="22"/>
        </w:rPr>
        <w:drawing>
          <wp:inline distT="0" distB="0" distL="0" distR="0" wp14:anchorId="376DD38B" wp14:editId="0B5943A8">
            <wp:extent cx="3897691" cy="4407946"/>
            <wp:effectExtent l="0" t="0" r="0" b="0"/>
            <wp:docPr id="6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897691" cy="4407946"/>
                    </a:xfrm>
                    <a:prstGeom prst="rect">
                      <a:avLst/>
                    </a:prstGeom>
                    <a:ln/>
                  </pic:spPr>
                </pic:pic>
              </a:graphicData>
            </a:graphic>
          </wp:inline>
        </w:drawing>
      </w:r>
    </w:p>
    <w:p w14:paraId="7052A9D2" w14:textId="77777777" w:rsidR="00026E8D" w:rsidRPr="00EF423A" w:rsidRDefault="00B0125C">
      <w:pPr>
        <w:spacing w:before="240" w:after="240" w:line="360" w:lineRule="auto"/>
        <w:ind w:right="49"/>
        <w:jc w:val="center"/>
        <w:rPr>
          <w:rFonts w:ascii="Palatino Linotype" w:eastAsia="Palatino Linotype" w:hAnsi="Palatino Linotype" w:cs="Palatino Linotype"/>
          <w:sz w:val="22"/>
          <w:szCs w:val="22"/>
        </w:rPr>
      </w:pPr>
      <w:r w:rsidRPr="00EF423A">
        <w:rPr>
          <w:rFonts w:ascii="Palatino Linotype" w:eastAsia="Palatino Linotype" w:hAnsi="Palatino Linotype" w:cs="Palatino Linotype"/>
          <w:noProof/>
          <w:sz w:val="22"/>
          <w:szCs w:val="22"/>
        </w:rPr>
        <w:lastRenderedPageBreak/>
        <w:drawing>
          <wp:inline distT="0" distB="0" distL="0" distR="0" wp14:anchorId="7A85346F" wp14:editId="63396D33">
            <wp:extent cx="4797396" cy="1592619"/>
            <wp:effectExtent l="0" t="0" r="0" b="0"/>
            <wp:docPr id="6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4797396" cy="1592619"/>
                    </a:xfrm>
                    <a:prstGeom prst="rect">
                      <a:avLst/>
                    </a:prstGeom>
                    <a:ln/>
                  </pic:spPr>
                </pic:pic>
              </a:graphicData>
            </a:graphic>
          </wp:inline>
        </w:drawing>
      </w:r>
    </w:p>
    <w:p w14:paraId="2E49BED9" w14:textId="77777777" w:rsidR="00026E8D" w:rsidRPr="00EF423A" w:rsidRDefault="00B0125C">
      <w:pPr>
        <w:spacing w:before="240" w:after="240" w:line="360" w:lineRule="auto"/>
        <w:ind w:right="49"/>
        <w:jc w:val="center"/>
        <w:rPr>
          <w:rFonts w:ascii="Palatino Linotype" w:eastAsia="Palatino Linotype" w:hAnsi="Palatino Linotype" w:cs="Palatino Linotype"/>
          <w:sz w:val="22"/>
          <w:szCs w:val="22"/>
        </w:rPr>
      </w:pPr>
      <w:r w:rsidRPr="00EF423A">
        <w:rPr>
          <w:rFonts w:ascii="Palatino Linotype" w:eastAsia="Palatino Linotype" w:hAnsi="Palatino Linotype" w:cs="Palatino Linotype"/>
          <w:noProof/>
          <w:sz w:val="22"/>
          <w:szCs w:val="22"/>
        </w:rPr>
        <w:drawing>
          <wp:inline distT="0" distB="0" distL="0" distR="0" wp14:anchorId="2D1F2681" wp14:editId="1F14E8B3">
            <wp:extent cx="4728697" cy="5232172"/>
            <wp:effectExtent l="0" t="0" r="0" b="0"/>
            <wp:docPr id="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728697" cy="5232172"/>
                    </a:xfrm>
                    <a:prstGeom prst="rect">
                      <a:avLst/>
                    </a:prstGeom>
                    <a:ln/>
                  </pic:spPr>
                </pic:pic>
              </a:graphicData>
            </a:graphic>
          </wp:inline>
        </w:drawing>
      </w:r>
    </w:p>
    <w:p w14:paraId="5E2B517D"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lastRenderedPageBreak/>
        <w:t xml:space="preserve">Por lo tanto, abordamos a la conclusión de que al haber peticionado estrictamente la información de la nómina conforme a lo autorizado por el OSFEM, al haber entregado la nómina en un formato que no corresponde a los formatos que se generan para los informes trimestrales del 2025, resulta pertinente ordenar la entrega de la conciliación de nómina de </w:t>
      </w:r>
      <w:r w:rsidRPr="00EF423A">
        <w:rPr>
          <w:rFonts w:ascii="Palatino Linotype" w:eastAsia="Palatino Linotype" w:hAnsi="Palatino Linotype" w:cs="Palatino Linotype"/>
          <w:b/>
          <w:sz w:val="22"/>
          <w:szCs w:val="22"/>
          <w:u w:val="single"/>
        </w:rPr>
        <w:t>las dos quincenas del mes de enero del 2025, así como de la primera quincena del mes de febrero del 2025</w:t>
      </w:r>
      <w:r w:rsidRPr="00EF423A">
        <w:rPr>
          <w:rFonts w:ascii="Palatino Linotype" w:eastAsia="Palatino Linotype" w:hAnsi="Palatino Linotype" w:cs="Palatino Linotype"/>
          <w:sz w:val="22"/>
          <w:szCs w:val="22"/>
        </w:rPr>
        <w:t>, en versión pública, conforme al considerando quinto.</w:t>
      </w:r>
    </w:p>
    <w:p w14:paraId="3EE20D44" w14:textId="77777777" w:rsidR="00026E8D" w:rsidRPr="00EF423A" w:rsidRDefault="00B0125C">
      <w:pPr>
        <w:shd w:val="clear" w:color="auto" w:fill="EEECE1"/>
        <w:spacing w:before="240" w:after="240" w:line="360" w:lineRule="auto"/>
        <w:ind w:right="49"/>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3.</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 xml:space="preserve">En versión publica, los recibos de nómina con la firma de recibido de los servidores públicos, correspondientes a los meses de enero y febrero de 2025. </w:t>
      </w:r>
    </w:p>
    <w:p w14:paraId="0123AFEA"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Sobre este punto de estudio, tenemos que el </w:t>
      </w:r>
      <w:r w:rsidRPr="00EF423A">
        <w:rPr>
          <w:rFonts w:ascii="Palatino Linotype" w:eastAsia="Palatino Linotype" w:hAnsi="Palatino Linotype" w:cs="Palatino Linotype"/>
          <w:b/>
          <w:sz w:val="22"/>
          <w:szCs w:val="22"/>
        </w:rPr>
        <w:t xml:space="preserve">Sujeto Obligado </w:t>
      </w:r>
      <w:r w:rsidRPr="00EF423A">
        <w:rPr>
          <w:rFonts w:ascii="Palatino Linotype" w:eastAsia="Palatino Linotype" w:hAnsi="Palatino Linotype" w:cs="Palatino Linotype"/>
          <w:sz w:val="22"/>
          <w:szCs w:val="22"/>
        </w:rPr>
        <w:t xml:space="preserve">a través del Tesorero </w:t>
      </w:r>
      <w:proofErr w:type="gramStart"/>
      <w:r w:rsidRPr="00EF423A">
        <w:rPr>
          <w:rFonts w:ascii="Palatino Linotype" w:eastAsia="Palatino Linotype" w:hAnsi="Palatino Linotype" w:cs="Palatino Linotype"/>
          <w:sz w:val="22"/>
          <w:szCs w:val="22"/>
        </w:rPr>
        <w:t>del</w:t>
      </w:r>
      <w:r w:rsidRPr="00EF423A">
        <w:rPr>
          <w:rFonts w:ascii="Palatino Linotype" w:eastAsia="Palatino Linotype" w:hAnsi="Palatino Linotype" w:cs="Palatino Linotype"/>
          <w:b/>
          <w:sz w:val="22"/>
          <w:szCs w:val="22"/>
        </w:rPr>
        <w:t xml:space="preserve"> </w:t>
      </w:r>
      <w:r w:rsidRPr="00EF423A">
        <w:rPr>
          <w:rFonts w:ascii="Palatino Linotype" w:eastAsia="Palatino Linotype" w:hAnsi="Palatino Linotype" w:cs="Palatino Linotype"/>
          <w:sz w:val="22"/>
          <w:szCs w:val="22"/>
        </w:rPr>
        <w:t xml:space="preserve"> Sistema</w:t>
      </w:r>
      <w:proofErr w:type="gramEnd"/>
      <w:r w:rsidRPr="00EF423A">
        <w:rPr>
          <w:rFonts w:ascii="Palatino Linotype" w:eastAsia="Palatino Linotype" w:hAnsi="Palatino Linotype" w:cs="Palatino Linotype"/>
          <w:sz w:val="22"/>
          <w:szCs w:val="22"/>
        </w:rPr>
        <w:t xml:space="preserve"> Municipal Para el Desarrollo Integral de la Familia de Huehuetoca, proporcionó los recibos de nómina correspondientes a las dos quincenas del mes de enero y febrero de 2025, en tal sentido, como se señaló en líneas anteriores, este pronunciamiento fue emitido por la persona servidora pública habilitada competente, en términos del artículo 162 de la Ley de Transparencia Local.</w:t>
      </w:r>
    </w:p>
    <w:p w14:paraId="51205F0D"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En otro orden de ideas, debe mencionarse que los recibos en análisis fueron revisados exhaustivamente por este Instituto, determinando así que </w:t>
      </w:r>
      <w:r w:rsidRPr="00EF423A">
        <w:rPr>
          <w:rFonts w:ascii="Palatino Linotype" w:eastAsia="Palatino Linotype" w:hAnsi="Palatino Linotype" w:cs="Palatino Linotype"/>
          <w:b/>
          <w:sz w:val="22"/>
          <w:szCs w:val="22"/>
          <w:u w:val="single"/>
        </w:rPr>
        <w:t>se encuentran incompletos</w:t>
      </w:r>
      <w:r w:rsidRPr="00EF423A">
        <w:rPr>
          <w:rFonts w:ascii="Palatino Linotype" w:eastAsia="Palatino Linotype" w:hAnsi="Palatino Linotype" w:cs="Palatino Linotype"/>
          <w:sz w:val="22"/>
          <w:szCs w:val="22"/>
        </w:rPr>
        <w:t xml:space="preserve">, toda vez </w:t>
      </w:r>
      <w:proofErr w:type="gramStart"/>
      <w:r w:rsidRPr="00EF423A">
        <w:rPr>
          <w:rFonts w:ascii="Palatino Linotype" w:eastAsia="Palatino Linotype" w:hAnsi="Palatino Linotype" w:cs="Palatino Linotype"/>
          <w:sz w:val="22"/>
          <w:szCs w:val="22"/>
        </w:rPr>
        <w:t>que</w:t>
      </w:r>
      <w:proofErr w:type="gramEnd"/>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respecto a los recibos de nómina de la primera quincena de enero de 2025</w:t>
      </w:r>
      <w:r w:rsidRPr="00EF423A">
        <w:rPr>
          <w:rFonts w:ascii="Palatino Linotype" w:eastAsia="Palatino Linotype" w:hAnsi="Palatino Linotype" w:cs="Palatino Linotype"/>
          <w:sz w:val="22"/>
          <w:szCs w:val="22"/>
        </w:rPr>
        <w:t xml:space="preserve">, se advierte que </w:t>
      </w:r>
      <w:r w:rsidRPr="00EF423A">
        <w:rPr>
          <w:rFonts w:ascii="Palatino Linotype" w:eastAsia="Palatino Linotype" w:hAnsi="Palatino Linotype" w:cs="Palatino Linotype"/>
          <w:b/>
          <w:sz w:val="22"/>
          <w:szCs w:val="22"/>
          <w:u w:val="single"/>
        </w:rPr>
        <w:t xml:space="preserve">falta el correspondiente a la servidora pública Elvia </w:t>
      </w:r>
      <w:proofErr w:type="spellStart"/>
      <w:r w:rsidRPr="00EF423A">
        <w:rPr>
          <w:rFonts w:ascii="Palatino Linotype" w:eastAsia="Palatino Linotype" w:hAnsi="Palatino Linotype" w:cs="Palatino Linotype"/>
          <w:b/>
          <w:sz w:val="22"/>
          <w:szCs w:val="22"/>
          <w:u w:val="single"/>
        </w:rPr>
        <w:t>Castelan</w:t>
      </w:r>
      <w:proofErr w:type="spellEnd"/>
      <w:r w:rsidRPr="00EF423A">
        <w:rPr>
          <w:rFonts w:ascii="Palatino Linotype" w:eastAsia="Palatino Linotype" w:hAnsi="Palatino Linotype" w:cs="Palatino Linotype"/>
          <w:b/>
          <w:sz w:val="22"/>
          <w:szCs w:val="22"/>
          <w:u w:val="single"/>
        </w:rPr>
        <w:t xml:space="preserve"> Gutiérrez</w:t>
      </w:r>
      <w:r w:rsidRPr="00EF423A">
        <w:rPr>
          <w:rFonts w:ascii="Palatino Linotype" w:eastAsia="Palatino Linotype" w:hAnsi="Palatino Linotype" w:cs="Palatino Linotype"/>
          <w:sz w:val="22"/>
          <w:szCs w:val="22"/>
        </w:rPr>
        <w:t xml:space="preserve">. </w:t>
      </w:r>
    </w:p>
    <w:p w14:paraId="61EB54A8"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Asimismo, en algunos recibos que corresponden a la segunda quincena del mes de enero de 2025, los cuales se ubican a partir de la página 147, se advierte que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testó los </w:t>
      </w:r>
      <w:r w:rsidRPr="00EF423A">
        <w:rPr>
          <w:rFonts w:ascii="Palatino Linotype" w:eastAsia="Palatino Linotype" w:hAnsi="Palatino Linotype" w:cs="Palatino Linotype"/>
          <w:b/>
          <w:sz w:val="22"/>
          <w:szCs w:val="22"/>
        </w:rPr>
        <w:t>nombres de los servidores públicos</w:t>
      </w:r>
      <w:r w:rsidRPr="00EF423A">
        <w:rPr>
          <w:rFonts w:ascii="Palatino Linotype" w:eastAsia="Palatino Linotype" w:hAnsi="Palatino Linotype" w:cs="Palatino Linotype"/>
          <w:sz w:val="22"/>
          <w:szCs w:val="22"/>
        </w:rPr>
        <w:t>, sirve de mejor referencia la siguiente impresión de pantalla:</w:t>
      </w:r>
    </w:p>
    <w:p w14:paraId="1C1B9BA8"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noProof/>
          <w:sz w:val="22"/>
          <w:szCs w:val="22"/>
        </w:rPr>
        <w:lastRenderedPageBreak/>
        <w:drawing>
          <wp:inline distT="0" distB="0" distL="0" distR="0" wp14:anchorId="002FD999" wp14:editId="46BB6965">
            <wp:extent cx="5106113" cy="1314633"/>
            <wp:effectExtent l="0" t="0" r="0" b="0"/>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106113" cy="1314633"/>
                    </a:xfrm>
                    <a:prstGeom prst="rect">
                      <a:avLst/>
                    </a:prstGeom>
                    <a:ln/>
                  </pic:spPr>
                </pic:pic>
              </a:graphicData>
            </a:graphic>
          </wp:inline>
        </w:drawing>
      </w:r>
    </w:p>
    <w:p w14:paraId="6A2F41B6" w14:textId="77777777" w:rsidR="00026E8D" w:rsidRPr="00EF423A" w:rsidRDefault="00B0125C">
      <w:pPr>
        <w:pBdr>
          <w:top w:val="nil"/>
          <w:left w:val="nil"/>
          <w:bottom w:val="nil"/>
          <w:right w:val="nil"/>
          <w:between w:val="nil"/>
        </w:pBdr>
        <w:spacing w:line="360" w:lineRule="auto"/>
        <w:jc w:val="both"/>
      </w:pPr>
      <w:r w:rsidRPr="00EF423A">
        <w:rPr>
          <w:rFonts w:ascii="Palatino Linotype" w:eastAsia="Palatino Linotype" w:hAnsi="Palatino Linotype" w:cs="Palatino Linotype"/>
          <w:sz w:val="22"/>
          <w:szCs w:val="22"/>
        </w:rPr>
        <w:t>Al respecto es de indicar, que si bien el nombre constituye uno de los atributos de la personalidad y la manifestación principal del derecho subjetivo a la identidad, en virtud de que hace a una persona física identificada e identificable, al individualizar a los sujetos aunado a que se forma con el sustantivo propio, el primer apellido del padre y el primer apellido de la madre, en el orden que de común acuerdo determinen</w:t>
      </w:r>
      <w:r w:rsidRPr="00EF423A">
        <w:rPr>
          <w:rFonts w:ascii="Palatino Linotype" w:eastAsia="Palatino Linotype" w:hAnsi="Palatino Linotype" w:cs="Palatino Linotype"/>
          <w:b/>
          <w:sz w:val="22"/>
          <w:szCs w:val="22"/>
        </w:rPr>
        <w:t>, también lo es que,</w:t>
      </w:r>
      <w:r w:rsidRPr="00EF423A">
        <w:rPr>
          <w:rFonts w:ascii="Palatino Linotype" w:eastAsia="Palatino Linotype" w:hAnsi="Palatino Linotype" w:cs="Palatino Linotype"/>
          <w:sz w:val="22"/>
          <w:szCs w:val="22"/>
        </w:rPr>
        <w:t xml:space="preserve"> tratándose de servidores públicos, </w:t>
      </w:r>
      <w:r w:rsidRPr="00EF423A">
        <w:rPr>
          <w:rFonts w:ascii="Palatino Linotype" w:eastAsia="Palatino Linotype" w:hAnsi="Palatino Linotype" w:cs="Palatino Linotype"/>
          <w:b/>
          <w:sz w:val="22"/>
          <w:szCs w:val="22"/>
        </w:rPr>
        <w:t>su nombre es información de naturaleza pública.</w:t>
      </w:r>
    </w:p>
    <w:p w14:paraId="31F8E079" w14:textId="77777777" w:rsidR="00026E8D" w:rsidRPr="00EF423A" w:rsidRDefault="00026E8D">
      <w:pPr>
        <w:spacing w:line="360" w:lineRule="auto"/>
      </w:pPr>
    </w:p>
    <w:p w14:paraId="33C85760" w14:textId="77777777" w:rsidR="00026E8D" w:rsidRPr="00EF423A" w:rsidRDefault="00B0125C">
      <w:pPr>
        <w:pBdr>
          <w:top w:val="nil"/>
          <w:left w:val="nil"/>
          <w:bottom w:val="nil"/>
          <w:right w:val="nil"/>
          <w:between w:val="nil"/>
        </w:pBdr>
        <w:spacing w:line="360" w:lineRule="auto"/>
        <w:jc w:val="both"/>
      </w:pPr>
      <w:r w:rsidRPr="00EF423A">
        <w:rPr>
          <w:rFonts w:ascii="Palatino Linotype" w:eastAsia="Palatino Linotype" w:hAnsi="Palatino Linotype" w:cs="Palatino Linotype"/>
          <w:sz w:val="22"/>
          <w:szCs w:val="22"/>
        </w:rPr>
        <w:t>Además de que, el nombre de un servidor público es información que se encuentra relacionado con una obligación de transparencia común, de conformidad con el artículo 70, fracción VII de la Ley General de Transparencia y Acceso a la Información Pública del Estado de México, y 92, fracción VII, de la Ley de Transparencia y Acceso a la Información Pública del Estado de México y Municipios, relativa al “</w:t>
      </w:r>
      <w:r w:rsidRPr="00EF423A">
        <w:rPr>
          <w:rFonts w:ascii="Palatino Linotype" w:eastAsia="Palatino Linotype" w:hAnsi="Palatino Linotype" w:cs="Palatino Linotype"/>
          <w:b/>
          <w:i/>
          <w:sz w:val="22"/>
          <w:szCs w:val="22"/>
        </w:rPr>
        <w:t>directorio de todos los servidores públicos</w:t>
      </w:r>
      <w:r w:rsidRPr="00EF423A">
        <w:rPr>
          <w:rFonts w:ascii="Palatino Linotype" w:eastAsia="Palatino Linotype" w:hAnsi="Palatino Linotype" w:cs="Palatino Linotype"/>
          <w:sz w:val="22"/>
          <w:szCs w:val="22"/>
        </w:rPr>
        <w:t>”, como se sigue:</w:t>
      </w:r>
    </w:p>
    <w:p w14:paraId="27CCDA6A" w14:textId="77777777" w:rsidR="00026E8D" w:rsidRPr="00EF423A" w:rsidRDefault="00026E8D"/>
    <w:p w14:paraId="78E3D47E" w14:textId="77777777" w:rsidR="00026E8D" w:rsidRPr="00EF423A" w:rsidRDefault="00B0125C">
      <w:pPr>
        <w:pBdr>
          <w:top w:val="nil"/>
          <w:left w:val="nil"/>
          <w:bottom w:val="nil"/>
          <w:right w:val="nil"/>
          <w:between w:val="nil"/>
        </w:pBdr>
        <w:ind w:left="567" w:right="900"/>
        <w:jc w:val="both"/>
      </w:pPr>
      <w:r w:rsidRPr="00EF423A">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75BEA9F" w14:textId="77777777" w:rsidR="00026E8D" w:rsidRPr="00EF423A" w:rsidRDefault="00B0125C">
      <w:pPr>
        <w:pBdr>
          <w:top w:val="nil"/>
          <w:left w:val="nil"/>
          <w:bottom w:val="nil"/>
          <w:right w:val="nil"/>
          <w:between w:val="nil"/>
        </w:pBdr>
        <w:ind w:left="567" w:right="900"/>
        <w:jc w:val="both"/>
      </w:pPr>
      <w:r w:rsidRPr="00EF423A">
        <w:rPr>
          <w:rFonts w:ascii="Palatino Linotype" w:eastAsia="Palatino Linotype" w:hAnsi="Palatino Linotype" w:cs="Palatino Linotype"/>
          <w:i/>
          <w:sz w:val="22"/>
          <w:szCs w:val="22"/>
        </w:rPr>
        <w:t>…</w:t>
      </w:r>
    </w:p>
    <w:p w14:paraId="7C44B18C" w14:textId="77777777" w:rsidR="00026E8D" w:rsidRPr="00EF423A" w:rsidRDefault="00B0125C">
      <w:pPr>
        <w:pBdr>
          <w:top w:val="nil"/>
          <w:left w:val="nil"/>
          <w:bottom w:val="nil"/>
          <w:right w:val="nil"/>
          <w:between w:val="nil"/>
        </w:pBdr>
        <w:ind w:left="567" w:right="900"/>
        <w:jc w:val="both"/>
      </w:pPr>
      <w:r w:rsidRPr="00EF423A">
        <w:rPr>
          <w:rFonts w:ascii="Palatino Linotype" w:eastAsia="Palatino Linotype" w:hAnsi="Palatino Linotype" w:cs="Palatino Linotype"/>
          <w:i/>
          <w:sz w:val="22"/>
          <w:szCs w:val="22"/>
        </w:rPr>
        <w:t xml:space="preserve">VII. El directorio de todos los servidores públicos, a partir del nivel de jefe de departamento o su equivalente o de menor nivel, cuando se brinde atención al </w:t>
      </w:r>
      <w:r w:rsidRPr="00EF423A">
        <w:rPr>
          <w:rFonts w:ascii="Palatino Linotype" w:eastAsia="Palatino Linotype" w:hAnsi="Palatino Linotype" w:cs="Palatino Linotype"/>
          <w:i/>
          <w:sz w:val="22"/>
          <w:szCs w:val="22"/>
        </w:rPr>
        <w:lastRenderedPageBreak/>
        <w:t>público, manejen o apliquen recursos públicos, realicen actos de autoridad o presten servicios profesionales bajo el régimen de confianza u honorarios y personal de base. </w:t>
      </w:r>
    </w:p>
    <w:p w14:paraId="725C3540" w14:textId="77777777" w:rsidR="00026E8D" w:rsidRPr="00EF423A" w:rsidRDefault="00B0125C">
      <w:pPr>
        <w:pBdr>
          <w:top w:val="nil"/>
          <w:left w:val="nil"/>
          <w:bottom w:val="nil"/>
          <w:right w:val="nil"/>
          <w:between w:val="nil"/>
        </w:pBdr>
        <w:ind w:left="567" w:right="900"/>
        <w:jc w:val="both"/>
      </w:pPr>
      <w:r w:rsidRPr="00EF423A">
        <w:rPr>
          <w:rFonts w:ascii="Palatino Linotype" w:eastAsia="Palatino Linotype" w:hAnsi="Palatino Linotype" w:cs="Palatino Linotype"/>
          <w:b/>
          <w:i/>
          <w:sz w:val="22"/>
          <w:szCs w:val="22"/>
        </w:rPr>
        <w:t xml:space="preserve">El directorio deberá incluir, al menos el </w:t>
      </w:r>
      <w:r w:rsidRPr="00EF423A">
        <w:rPr>
          <w:rFonts w:ascii="Palatino Linotype" w:eastAsia="Palatino Linotype" w:hAnsi="Palatino Linotype" w:cs="Palatino Linotype"/>
          <w:b/>
          <w:i/>
          <w:sz w:val="22"/>
          <w:szCs w:val="22"/>
          <w:u w:val="single"/>
        </w:rPr>
        <w:t>nombre</w:t>
      </w:r>
      <w:r w:rsidRPr="00EF423A">
        <w:rPr>
          <w:rFonts w:ascii="Palatino Linotype" w:eastAsia="Palatino Linotype" w:hAnsi="Palatino Linotype" w:cs="Palatino Linotype"/>
          <w:b/>
          <w:i/>
          <w:sz w:val="22"/>
          <w:szCs w:val="22"/>
        </w:rPr>
        <w:t xml:space="preserve">, </w:t>
      </w:r>
      <w:r w:rsidRPr="00EF423A">
        <w:rPr>
          <w:rFonts w:ascii="Palatino Linotype" w:eastAsia="Palatino Linotype" w:hAnsi="Palatino Linotype" w:cs="Palatino Linotype"/>
          <w:i/>
          <w:sz w:val="22"/>
          <w:szCs w:val="22"/>
        </w:rPr>
        <w:t>cargo</w:t>
      </w:r>
      <w:r w:rsidRPr="00EF423A">
        <w:rPr>
          <w:rFonts w:ascii="Palatino Linotype" w:eastAsia="Palatino Linotype" w:hAnsi="Palatino Linotype" w:cs="Palatino Linotype"/>
          <w:b/>
          <w:i/>
          <w:sz w:val="22"/>
          <w:szCs w:val="22"/>
        </w:rPr>
        <w:t xml:space="preserve"> </w:t>
      </w:r>
      <w:r w:rsidRPr="00EF423A">
        <w:rPr>
          <w:rFonts w:ascii="Palatino Linotype" w:eastAsia="Palatino Linotype" w:hAnsi="Palatino Linotype" w:cs="Palatino Linotype"/>
          <w:i/>
          <w:sz w:val="22"/>
          <w:szCs w:val="22"/>
        </w:rPr>
        <w:t>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14:paraId="5673DFF2"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Por lo que de lo anteriormente citado, se desprende que cuando se trate de nombres de servidores públicos, por regla general, estos deberán dejarse visibles pues se insiste, el interés de la ciudadanía consiste en conocer los nombres de las autoridades que emiten los diferentes actos de autoridad que permean en la dinámica social diaria, cabe resaltar que únicamente en los casos en los que procede la clasificación de los nombres de servidores públicos es cuando se trata de elementos operativos de seguridad pública, sin embargo, este Instituto al revisar los recibos de nómina advirtió que en estos recibos dichos servidores no cuentan con dicha calidad, por ende, no procede su clasificación y por ello, deberán dejarse visibles dichos nombres.</w:t>
      </w:r>
    </w:p>
    <w:p w14:paraId="36631EF5"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Continuando con nuestro análisis, también se advirtió que en los recibos materia de estudio,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testó los siguientes datos: </w:t>
      </w:r>
    </w:p>
    <w:p w14:paraId="13A760E4" w14:textId="77777777" w:rsidR="00026E8D" w:rsidRPr="00EF423A" w:rsidRDefault="00B0125C">
      <w:pPr>
        <w:numPr>
          <w:ilvl w:val="0"/>
          <w:numId w:val="4"/>
        </w:numPr>
        <w:pBdr>
          <w:top w:val="nil"/>
          <w:left w:val="nil"/>
          <w:bottom w:val="nil"/>
          <w:right w:val="nil"/>
          <w:between w:val="nil"/>
        </w:pBdr>
        <w:spacing w:before="240" w:line="360" w:lineRule="auto"/>
        <w:ind w:right="49"/>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Clave Única de Registro de Población (CURP)</w:t>
      </w:r>
    </w:p>
    <w:p w14:paraId="173CD409" w14:textId="77777777" w:rsidR="00026E8D" w:rsidRPr="00EF423A" w:rsidRDefault="00B0125C">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Registro Federal del Contribuyente (RFC)</w:t>
      </w:r>
    </w:p>
    <w:p w14:paraId="139F2282" w14:textId="77777777" w:rsidR="00026E8D" w:rsidRPr="00EF423A" w:rsidRDefault="00B0125C">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Número de seguridad social</w:t>
      </w:r>
    </w:p>
    <w:p w14:paraId="5AFB8268" w14:textId="77777777" w:rsidR="00026E8D" w:rsidRPr="00EF423A" w:rsidRDefault="00B0125C">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Código QR</w:t>
      </w:r>
    </w:p>
    <w:p w14:paraId="7DC6BDEC" w14:textId="77777777" w:rsidR="00026E8D" w:rsidRPr="00EF423A" w:rsidRDefault="00B0125C">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Percepciones</w:t>
      </w:r>
    </w:p>
    <w:p w14:paraId="4C710763" w14:textId="77777777" w:rsidR="00026E8D" w:rsidRPr="00EF423A" w:rsidRDefault="00B0125C">
      <w:pPr>
        <w:numPr>
          <w:ilvl w:val="0"/>
          <w:numId w:val="4"/>
        </w:numPr>
        <w:pBdr>
          <w:top w:val="nil"/>
          <w:left w:val="nil"/>
          <w:bottom w:val="nil"/>
          <w:right w:val="nil"/>
          <w:between w:val="nil"/>
        </w:pBdr>
        <w:spacing w:after="240" w:line="360" w:lineRule="auto"/>
        <w:ind w:right="49"/>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Deducciones</w:t>
      </w:r>
    </w:p>
    <w:p w14:paraId="27353629"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Los cuales se analizan a continuación:</w:t>
      </w:r>
    </w:p>
    <w:p w14:paraId="3F6B8A87" w14:textId="77777777" w:rsidR="00026E8D" w:rsidRPr="00EF423A" w:rsidRDefault="00B0125C">
      <w:pPr>
        <w:spacing w:before="240" w:after="240" w:line="360" w:lineRule="auto"/>
        <w:ind w:right="49"/>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lastRenderedPageBreak/>
        <w:t>a) Clave Única de Registro de Población (CURP)</w:t>
      </w:r>
    </w:p>
    <w:p w14:paraId="1BAE2966" w14:textId="77777777" w:rsidR="00026E8D" w:rsidRPr="00EF423A" w:rsidRDefault="00B0125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La </w:t>
      </w:r>
      <w:r w:rsidRPr="00EF423A">
        <w:rPr>
          <w:rFonts w:ascii="Palatino Linotype" w:eastAsia="Palatino Linotype" w:hAnsi="Palatino Linotype" w:cs="Palatino Linotype"/>
          <w:b/>
          <w:sz w:val="22"/>
          <w:szCs w:val="22"/>
        </w:rPr>
        <w:t>Clave Única de Registro de Población</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CURP,</w:t>
      </w:r>
      <w:r w:rsidRPr="00EF423A">
        <w:rPr>
          <w:rFonts w:ascii="Palatino Linotype" w:eastAsia="Palatino Linotype" w:hAnsi="Palatino Linotype" w:cs="Palatino Linotype"/>
          <w:sz w:val="22"/>
          <w:szCs w:val="22"/>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0376E50E" w14:textId="77777777" w:rsidR="00026E8D" w:rsidRPr="00EF423A" w:rsidRDefault="00B0125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Argumento que es compartido por el entonces Instituto Nacional de Transparencia, Acceso a la Información y Protección de Datos Personales, INAI, conforme al Criterio de interpretación con Clave de control SO/018/2017, el cual refiere:</w:t>
      </w:r>
    </w:p>
    <w:p w14:paraId="033E0A01" w14:textId="77777777" w:rsidR="00026E8D" w:rsidRPr="00EF423A" w:rsidRDefault="00B0125C">
      <w:pPr>
        <w:spacing w:before="120" w:after="120"/>
        <w:ind w:left="851" w:right="851"/>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 xml:space="preserve"> “Clave Única de Registro de Población (CURP). </w:t>
      </w:r>
      <w:r w:rsidRPr="00EF423A">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E127983" w14:textId="77777777" w:rsidR="00026E8D" w:rsidRPr="00EF423A" w:rsidRDefault="00026E8D">
      <w:pPr>
        <w:spacing w:line="360" w:lineRule="auto"/>
        <w:jc w:val="both"/>
        <w:rPr>
          <w:rFonts w:ascii="Palatino Linotype" w:eastAsia="Palatino Linotype" w:hAnsi="Palatino Linotype" w:cs="Palatino Linotype"/>
          <w:sz w:val="22"/>
          <w:szCs w:val="22"/>
        </w:rPr>
      </w:pPr>
    </w:p>
    <w:p w14:paraId="25CC9CCA" w14:textId="77777777" w:rsidR="00026E8D" w:rsidRPr="00EF423A" w:rsidRDefault="00B0125C">
      <w:pPr>
        <w:spacing w:line="360" w:lineRule="auto"/>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sz w:val="22"/>
          <w:szCs w:val="22"/>
        </w:rPr>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14:paraId="35A7C813" w14:textId="77777777" w:rsidR="00026E8D" w:rsidRPr="00EF423A" w:rsidRDefault="00B0125C">
      <w:pPr>
        <w:spacing w:before="240" w:after="240" w:line="360" w:lineRule="auto"/>
        <w:ind w:right="49"/>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b) Registro Federal del Contribuyente (RFC)</w:t>
      </w:r>
    </w:p>
    <w:p w14:paraId="00B360D1"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lastRenderedPageBreak/>
        <w:t xml:space="preserve">Por cuanto hace al </w:t>
      </w:r>
      <w:r w:rsidRPr="00EF423A">
        <w:rPr>
          <w:rFonts w:ascii="Palatino Linotype" w:eastAsia="Palatino Linotype" w:hAnsi="Palatino Linotype" w:cs="Palatino Linotype"/>
          <w:b/>
          <w:sz w:val="22"/>
          <w:szCs w:val="22"/>
        </w:rPr>
        <w:t>Registro Federal de Contribuyentes, RFC,</w:t>
      </w:r>
      <w:r w:rsidRPr="00EF423A">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w:t>
      </w:r>
      <w:proofErr w:type="spellStart"/>
      <w:r w:rsidRPr="00EF423A">
        <w:rPr>
          <w:rFonts w:ascii="Palatino Linotype" w:eastAsia="Palatino Linotype" w:hAnsi="Palatino Linotype" w:cs="Palatino Linotype"/>
          <w:sz w:val="22"/>
          <w:szCs w:val="22"/>
        </w:rPr>
        <w:t>homoclave</w:t>
      </w:r>
      <w:proofErr w:type="spellEnd"/>
      <w:r w:rsidRPr="00EF423A">
        <w:rPr>
          <w:rFonts w:ascii="Palatino Linotype" w:eastAsia="Palatino Linotype" w:hAnsi="Palatino Linotype" w:cs="Palatino Linotype"/>
          <w:sz w:val="22"/>
          <w:szCs w:val="22"/>
        </w:rPr>
        <w:t>, por lo que para su obtención es necesario acreditar ante la autoridad fiscal previamente la identidad de la persona, su fecha de nacimiento, entre otros aspectos.</w:t>
      </w:r>
    </w:p>
    <w:p w14:paraId="7C95D237"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AAE9333"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Lo anterior es compartido por el entonces Instituto Nacional de Transparencia, Acceso a la Información y Protección de Datos Personales, INAI, a través del Criterio de interpretación con clave de control SO/019/2017, el cual es del tenor literal siguiente:</w:t>
      </w:r>
    </w:p>
    <w:p w14:paraId="3651DD46" w14:textId="77777777" w:rsidR="00026E8D" w:rsidRPr="00EF423A" w:rsidRDefault="00B0125C">
      <w:pPr>
        <w:spacing w:before="120" w:after="120"/>
        <w:ind w:left="851"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 xml:space="preserve"> “Registro Federal de Contribuyentes (RFC) de personas físicas</w:t>
      </w:r>
      <w:r w:rsidRPr="00EF423A">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7DA2A6C9" w14:textId="77777777" w:rsidR="00026E8D" w:rsidRPr="00EF423A" w:rsidRDefault="00B0125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Así, el Registro Federal de Contribuyentes, RFC, se vincula al nombre de su titular y permite identificar la edad de la persona, su fecha de nacimiento, así como su </w:t>
      </w:r>
      <w:proofErr w:type="spellStart"/>
      <w:r w:rsidRPr="00EF423A">
        <w:rPr>
          <w:rFonts w:ascii="Palatino Linotype" w:eastAsia="Palatino Linotype" w:hAnsi="Palatino Linotype" w:cs="Palatino Linotype"/>
          <w:sz w:val="22"/>
          <w:szCs w:val="22"/>
        </w:rPr>
        <w:t>homoclave</w:t>
      </w:r>
      <w:proofErr w:type="spellEnd"/>
      <w:r w:rsidRPr="00EF423A">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63E55D7C" w14:textId="77777777" w:rsidR="00026E8D" w:rsidRPr="00EF423A" w:rsidRDefault="00B0125C">
      <w:pPr>
        <w:spacing w:before="240" w:after="240" w:line="360" w:lineRule="auto"/>
        <w:ind w:right="49"/>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c) Número de seguridad social</w:t>
      </w:r>
    </w:p>
    <w:p w14:paraId="7140509C" w14:textId="77777777" w:rsidR="00026E8D" w:rsidRPr="00EF423A" w:rsidRDefault="00B0125C">
      <w:pPr>
        <w:spacing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lastRenderedPageBreak/>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4B616675" w14:textId="77777777" w:rsidR="00026E8D" w:rsidRPr="00EF423A" w:rsidRDefault="00026E8D">
      <w:pPr>
        <w:spacing w:line="360" w:lineRule="auto"/>
        <w:jc w:val="both"/>
        <w:rPr>
          <w:rFonts w:ascii="Palatino Linotype" w:eastAsia="Palatino Linotype" w:hAnsi="Palatino Linotype" w:cs="Palatino Linotype"/>
          <w:sz w:val="22"/>
          <w:szCs w:val="22"/>
        </w:rPr>
      </w:pPr>
    </w:p>
    <w:p w14:paraId="72A48505" w14:textId="77777777" w:rsidR="00026E8D" w:rsidRPr="00EF423A" w:rsidRDefault="00B0125C">
      <w:pPr>
        <w:spacing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2C900DF3" w14:textId="77777777" w:rsidR="00026E8D" w:rsidRPr="00EF423A" w:rsidRDefault="00026E8D">
      <w:pPr>
        <w:spacing w:line="360" w:lineRule="auto"/>
        <w:jc w:val="both"/>
        <w:rPr>
          <w:rFonts w:ascii="Palatino Linotype" w:eastAsia="Palatino Linotype" w:hAnsi="Palatino Linotype" w:cs="Palatino Linotype"/>
          <w:sz w:val="22"/>
          <w:szCs w:val="22"/>
        </w:rPr>
      </w:pPr>
    </w:p>
    <w:p w14:paraId="2D73E3F1" w14:textId="77777777" w:rsidR="00026E8D" w:rsidRPr="00EF423A" w:rsidRDefault="00B0125C">
      <w:pPr>
        <w:spacing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51FC6506" w14:textId="77777777" w:rsidR="00026E8D" w:rsidRPr="00EF423A" w:rsidRDefault="00026E8D">
      <w:pPr>
        <w:spacing w:line="360" w:lineRule="auto"/>
        <w:jc w:val="both"/>
        <w:rPr>
          <w:rFonts w:ascii="Palatino Linotype" w:eastAsia="Palatino Linotype" w:hAnsi="Palatino Linotype" w:cs="Palatino Linotype"/>
          <w:sz w:val="22"/>
          <w:szCs w:val="22"/>
        </w:rPr>
      </w:pPr>
    </w:p>
    <w:p w14:paraId="5ABC742A" w14:textId="77777777" w:rsidR="00026E8D" w:rsidRPr="00EF423A" w:rsidRDefault="00B0125C">
      <w:pPr>
        <w:spacing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lastRenderedPageBreak/>
        <w:t xml:space="preserve">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 </w:t>
      </w:r>
    </w:p>
    <w:p w14:paraId="0AC1590F" w14:textId="77777777" w:rsidR="00026E8D" w:rsidRPr="00EF423A" w:rsidRDefault="00B0125C">
      <w:pPr>
        <w:spacing w:before="240" w:after="240" w:line="360" w:lineRule="auto"/>
        <w:ind w:right="49"/>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d) Código QR</w:t>
      </w:r>
    </w:p>
    <w:p w14:paraId="36825A35"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Los </w:t>
      </w:r>
      <w:r w:rsidRPr="00EF423A">
        <w:rPr>
          <w:rFonts w:ascii="Palatino Linotype" w:eastAsia="Palatino Linotype" w:hAnsi="Palatino Linotype" w:cs="Palatino Linotype"/>
          <w:b/>
          <w:sz w:val="22"/>
          <w:szCs w:val="22"/>
        </w:rPr>
        <w:t>códigos bidimensionales</w:t>
      </w:r>
      <w:r w:rsidRPr="00EF423A">
        <w:rPr>
          <w:rFonts w:ascii="Palatino Linotype" w:eastAsia="Palatino Linotype" w:hAnsi="Palatino Linotype" w:cs="Palatino Linotype"/>
          <w:sz w:val="22"/>
          <w:szCs w:val="22"/>
        </w:rPr>
        <w:t xml:space="preserve"> o </w:t>
      </w:r>
      <w:r w:rsidRPr="00EF423A">
        <w:rPr>
          <w:rFonts w:ascii="Palatino Linotype" w:eastAsia="Palatino Linotype" w:hAnsi="Palatino Linotype" w:cs="Palatino Linotype"/>
          <w:b/>
          <w:sz w:val="22"/>
          <w:szCs w:val="22"/>
        </w:rPr>
        <w:t xml:space="preserve">códigos QR, </w:t>
      </w:r>
      <w:r w:rsidRPr="00EF423A">
        <w:rPr>
          <w:rFonts w:ascii="Palatino Linotype" w:eastAsia="Palatino Linotype" w:hAnsi="Palatino Linotype" w:cs="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analizar dicha circunstancia con la finalidad de determinar si se actualiza algún supuesto de confidencialidad.</w:t>
      </w:r>
    </w:p>
    <w:p w14:paraId="41CB8137"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En tal sentido, si derivado del análisis efectuado por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en el presente caso, se desprende que, de la información fiscal contenida en los comprobantes fiscales digitales por internet, tales como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es susceptible de clasificarse como confidencial, de manera fundada y motivada en términos del artículo 143, fracción I de la Ley de Transparencia y Acceso a la Información Pública del Estado de México y Municipios.</w:t>
      </w:r>
    </w:p>
    <w:p w14:paraId="3728EC47" w14:textId="77777777" w:rsidR="00026E8D" w:rsidRPr="00EF423A" w:rsidRDefault="00B0125C">
      <w:pPr>
        <w:spacing w:before="240" w:after="240" w:line="360" w:lineRule="auto"/>
        <w:ind w:right="49"/>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e) Percepciones</w:t>
      </w:r>
    </w:p>
    <w:p w14:paraId="37FD3CB4" w14:textId="77777777" w:rsidR="00026E8D" w:rsidRPr="00EF423A" w:rsidRDefault="00B0125C">
      <w:pPr>
        <w:spacing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lastRenderedPageBreak/>
        <w:t>Sobre este punto, es preciso mencionar que la información de análisis,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090EA83A" w14:textId="77777777" w:rsidR="00026E8D" w:rsidRPr="00EF423A" w:rsidRDefault="00026E8D">
      <w:pPr>
        <w:rPr>
          <w:rFonts w:ascii="Palatino Linotype" w:eastAsia="Palatino Linotype" w:hAnsi="Palatino Linotype" w:cs="Palatino Linotype"/>
          <w:sz w:val="22"/>
          <w:szCs w:val="22"/>
        </w:rPr>
      </w:pPr>
    </w:p>
    <w:p w14:paraId="12585C97" w14:textId="77777777" w:rsidR="00026E8D" w:rsidRPr="00EF423A" w:rsidRDefault="00B0125C">
      <w:pPr>
        <w:spacing w:after="160" w:line="276" w:lineRule="auto"/>
        <w:ind w:left="851" w:right="616"/>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EF423A">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EF423A">
        <w:rPr>
          <w:rFonts w:ascii="Palatino Linotype" w:eastAsia="Palatino Linotype" w:hAnsi="Palatino Linotype" w:cs="Palatino Linotype"/>
          <w:b/>
          <w:i/>
          <w:sz w:val="22"/>
          <w:szCs w:val="22"/>
          <w:u w:val="single"/>
        </w:rPr>
        <w:t>que reciba y ejerza recursos públicos</w:t>
      </w:r>
      <w:r w:rsidRPr="00EF423A">
        <w:rPr>
          <w:rFonts w:ascii="Palatino Linotype" w:eastAsia="Palatino Linotype" w:hAnsi="Palatino Linotype" w:cs="Palatino Linotype"/>
          <w:i/>
          <w:sz w:val="22"/>
          <w:szCs w:val="22"/>
        </w:rPr>
        <w:t xml:space="preserve"> o realice actos de autoridad </w:t>
      </w:r>
      <w:r w:rsidRPr="00EF423A">
        <w:rPr>
          <w:rFonts w:ascii="Palatino Linotype" w:eastAsia="Palatino Linotype" w:hAnsi="Palatino Linotype" w:cs="Palatino Linotype"/>
          <w:b/>
          <w:i/>
          <w:sz w:val="22"/>
          <w:szCs w:val="22"/>
          <w:u w:val="single"/>
        </w:rPr>
        <w:t xml:space="preserve">en el ámbito de competencia del Estado de México </w:t>
      </w:r>
      <w:r w:rsidRPr="00EF423A">
        <w:rPr>
          <w:rFonts w:ascii="Palatino Linotype" w:eastAsia="Palatino Linotype" w:hAnsi="Palatino Linotype" w:cs="Palatino Linotype"/>
          <w:i/>
          <w:sz w:val="22"/>
          <w:szCs w:val="22"/>
        </w:rPr>
        <w:t>y sus municipios.</w:t>
      </w:r>
    </w:p>
    <w:p w14:paraId="62E4C413" w14:textId="77777777" w:rsidR="00026E8D" w:rsidRPr="00EF423A" w:rsidRDefault="00B0125C">
      <w:pPr>
        <w:spacing w:after="160" w:line="276" w:lineRule="auto"/>
        <w:ind w:left="851" w:right="616"/>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i/>
          <w:sz w:val="22"/>
          <w:szCs w:val="22"/>
        </w:rPr>
        <w:t>Artículo 23</w:t>
      </w:r>
      <w:r w:rsidRPr="00EF423A">
        <w:rPr>
          <w:rFonts w:ascii="Palatino Linotype" w:eastAsia="Palatino Linotype" w:hAnsi="Palatino Linotype" w:cs="Palatino Linotype"/>
          <w:i/>
          <w:sz w:val="22"/>
          <w:szCs w:val="22"/>
        </w:rPr>
        <w:t>. Son sujetos obligados a transparentar y permitir el acceso a su información y proteger los datos personales que obren en su poder:</w:t>
      </w:r>
    </w:p>
    <w:p w14:paraId="7D430815" w14:textId="77777777" w:rsidR="00026E8D" w:rsidRPr="00EF423A" w:rsidRDefault="00B0125C">
      <w:pPr>
        <w:spacing w:after="160" w:line="276" w:lineRule="auto"/>
        <w:ind w:left="851" w:right="616"/>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i/>
          <w:sz w:val="22"/>
          <w:szCs w:val="22"/>
          <w:u w:val="single"/>
        </w:rPr>
        <w:t xml:space="preserve">I. El Poder Ejecutivo del Estado de México, las dependencias, organismos auxiliares, órganos, entidades, fideicomisos y fondos públicos, así como la </w:t>
      </w:r>
      <w:proofErr w:type="gramStart"/>
      <w:r w:rsidRPr="00EF423A">
        <w:rPr>
          <w:rFonts w:ascii="Palatino Linotype" w:eastAsia="Palatino Linotype" w:hAnsi="Palatino Linotype" w:cs="Palatino Linotype"/>
          <w:b/>
          <w:i/>
          <w:sz w:val="22"/>
          <w:szCs w:val="22"/>
          <w:u w:val="single"/>
        </w:rPr>
        <w:t>Fiscalía General</w:t>
      </w:r>
      <w:proofErr w:type="gramEnd"/>
      <w:r w:rsidRPr="00EF423A">
        <w:rPr>
          <w:rFonts w:ascii="Palatino Linotype" w:eastAsia="Palatino Linotype" w:hAnsi="Palatino Linotype" w:cs="Palatino Linotype"/>
          <w:b/>
          <w:i/>
          <w:sz w:val="22"/>
          <w:szCs w:val="22"/>
          <w:u w:val="single"/>
        </w:rPr>
        <w:t xml:space="preserve"> de Justicia del Estado de México;</w:t>
      </w:r>
    </w:p>
    <w:p w14:paraId="0F99FF26" w14:textId="77777777" w:rsidR="00026E8D" w:rsidRPr="00EF423A" w:rsidRDefault="00B0125C">
      <w:pPr>
        <w:spacing w:after="160" w:line="276" w:lineRule="auto"/>
        <w:ind w:left="851" w:right="616"/>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i/>
          <w:sz w:val="22"/>
          <w:szCs w:val="22"/>
        </w:rPr>
        <w:t>(…)</w:t>
      </w:r>
    </w:p>
    <w:p w14:paraId="21DE0F7A" w14:textId="77777777" w:rsidR="00026E8D" w:rsidRPr="00EF423A" w:rsidRDefault="00B0125C">
      <w:pPr>
        <w:spacing w:after="160" w:line="276" w:lineRule="auto"/>
        <w:ind w:left="851" w:right="616"/>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F047769" w14:textId="77777777" w:rsidR="00026E8D" w:rsidRPr="00EF423A" w:rsidRDefault="00B0125C">
      <w:pPr>
        <w:spacing w:after="160" w:line="276" w:lineRule="auto"/>
        <w:ind w:left="851" w:right="616"/>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i/>
          <w:sz w:val="22"/>
          <w:szCs w:val="22"/>
        </w:rPr>
        <w:lastRenderedPageBreak/>
        <w:t xml:space="preserve">Los servidores públicos deberán transparentar sus </w:t>
      </w:r>
      <w:proofErr w:type="gramStart"/>
      <w:r w:rsidRPr="00EF423A">
        <w:rPr>
          <w:rFonts w:ascii="Palatino Linotype" w:eastAsia="Palatino Linotype" w:hAnsi="Palatino Linotype" w:cs="Palatino Linotype"/>
          <w:i/>
          <w:sz w:val="22"/>
          <w:szCs w:val="22"/>
        </w:rPr>
        <w:t>acciones</w:t>
      </w:r>
      <w:proofErr w:type="gramEnd"/>
      <w:r w:rsidRPr="00EF423A">
        <w:rPr>
          <w:rFonts w:ascii="Palatino Linotype" w:eastAsia="Palatino Linotype" w:hAnsi="Palatino Linotype" w:cs="Palatino Linotype"/>
          <w:i/>
          <w:sz w:val="22"/>
          <w:szCs w:val="22"/>
        </w:rPr>
        <w:t xml:space="preserve"> así como garantizar y respetar el derecho de acceso a la información pública.”</w:t>
      </w:r>
      <w:r w:rsidRPr="00EF423A">
        <w:rPr>
          <w:rFonts w:ascii="Palatino Linotype" w:eastAsia="Palatino Linotype" w:hAnsi="Palatino Linotype" w:cs="Palatino Linotype"/>
          <w:b/>
          <w:i/>
          <w:sz w:val="22"/>
          <w:szCs w:val="22"/>
        </w:rPr>
        <w:t xml:space="preserve"> </w:t>
      </w:r>
    </w:p>
    <w:p w14:paraId="4965EAE9" w14:textId="77777777" w:rsidR="00026E8D" w:rsidRPr="00EF423A" w:rsidRDefault="00026E8D">
      <w:pPr>
        <w:rPr>
          <w:rFonts w:ascii="Palatino Linotype" w:eastAsia="Palatino Linotype" w:hAnsi="Palatino Linotype" w:cs="Palatino Linotype"/>
          <w:sz w:val="22"/>
          <w:szCs w:val="22"/>
        </w:rPr>
      </w:pPr>
    </w:p>
    <w:p w14:paraId="65F1B878" w14:textId="77777777" w:rsidR="00026E8D" w:rsidRPr="00EF423A" w:rsidRDefault="00B0125C">
      <w:pPr>
        <w:spacing w:after="16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Sirve de sustento por analogía, para justificar la publicidad sobre los datos relativos a los montos por concepto de pago de las remuneraciones, los criterios </w:t>
      </w:r>
      <w:r w:rsidRPr="00EF423A">
        <w:rPr>
          <w:rFonts w:ascii="Palatino Linotype" w:eastAsia="Palatino Linotype" w:hAnsi="Palatino Linotype" w:cs="Palatino Linotype"/>
          <w:b/>
          <w:sz w:val="22"/>
          <w:szCs w:val="22"/>
        </w:rPr>
        <w:t>01/2003</w:t>
      </w:r>
      <w:r w:rsidRPr="00EF423A">
        <w:rPr>
          <w:rFonts w:ascii="Palatino Linotype" w:eastAsia="Palatino Linotype" w:hAnsi="Palatino Linotype" w:cs="Palatino Linotype"/>
          <w:sz w:val="22"/>
          <w:szCs w:val="22"/>
        </w:rPr>
        <w:t xml:space="preserve"> y </w:t>
      </w:r>
      <w:r w:rsidRPr="00EF423A">
        <w:rPr>
          <w:rFonts w:ascii="Palatino Linotype" w:eastAsia="Palatino Linotype" w:hAnsi="Palatino Linotype" w:cs="Palatino Linotype"/>
          <w:b/>
          <w:sz w:val="22"/>
          <w:szCs w:val="22"/>
        </w:rPr>
        <w:t>02/2003</w:t>
      </w:r>
      <w:r w:rsidRPr="00EF423A">
        <w:rPr>
          <w:rFonts w:ascii="Palatino Linotype" w:eastAsia="Palatino Linotype" w:hAnsi="Palatino Linotype" w:cs="Palatino Linotype"/>
          <w:sz w:val="22"/>
          <w:szCs w:val="22"/>
        </w:rPr>
        <w:t xml:space="preserve"> emitidos por el Comité de Acceso a la Información Pública y Protección de Datos Personales de la Suprema Corte de Justicia de la Nación que a continuación se citan: </w:t>
      </w:r>
    </w:p>
    <w:p w14:paraId="053ECCE8" w14:textId="77777777" w:rsidR="00026E8D" w:rsidRPr="00EF423A" w:rsidRDefault="00B0125C">
      <w:pPr>
        <w:tabs>
          <w:tab w:val="left" w:pos="7513"/>
        </w:tabs>
        <w:spacing w:line="276" w:lineRule="auto"/>
        <w:ind w:left="851" w:right="616"/>
        <w:rPr>
          <w:rFonts w:ascii="Palatino Linotype" w:eastAsia="Palatino Linotype" w:hAnsi="Palatino Linotype" w:cs="Palatino Linotype"/>
          <w:sz w:val="22"/>
          <w:szCs w:val="22"/>
        </w:rPr>
      </w:pPr>
      <w:r w:rsidRPr="00EF423A">
        <w:rPr>
          <w:rFonts w:ascii="Palatino Linotype" w:eastAsia="Palatino Linotype" w:hAnsi="Palatino Linotype" w:cs="Palatino Linotype"/>
          <w:b/>
          <w:i/>
          <w:sz w:val="22"/>
          <w:szCs w:val="22"/>
        </w:rPr>
        <w:t>“Criterio 01/2003.</w:t>
      </w:r>
    </w:p>
    <w:p w14:paraId="554796AE" w14:textId="77777777" w:rsidR="00026E8D" w:rsidRPr="00EF423A" w:rsidRDefault="00B0125C">
      <w:pPr>
        <w:tabs>
          <w:tab w:val="left" w:pos="7513"/>
        </w:tabs>
        <w:spacing w:line="276" w:lineRule="auto"/>
        <w:ind w:left="851" w:right="616"/>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EF423A">
        <w:rPr>
          <w:rFonts w:ascii="Palatino Linotype" w:eastAsia="Palatino Linotype" w:hAnsi="Palatino Linotype" w:cs="Palatino Linotype"/>
          <w:i/>
          <w:sz w:val="22"/>
          <w:szCs w:val="22"/>
        </w:rPr>
        <w:t> </w:t>
      </w:r>
    </w:p>
    <w:p w14:paraId="366C661B" w14:textId="77777777" w:rsidR="00026E8D" w:rsidRPr="00EF423A" w:rsidRDefault="00B0125C">
      <w:pPr>
        <w:tabs>
          <w:tab w:val="left" w:pos="7513"/>
        </w:tabs>
        <w:spacing w:line="276" w:lineRule="auto"/>
        <w:ind w:left="851" w:right="616"/>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EF423A">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EF423A">
        <w:rPr>
          <w:rFonts w:ascii="Palatino Linotype" w:eastAsia="Palatino Linotype" w:hAnsi="Palatino Linotype" w:cs="Palatino Linotype"/>
          <w:i/>
          <w:sz w:val="22"/>
          <w:szCs w:val="22"/>
          <w:u w:val="single"/>
        </w:rPr>
        <w:t>…”</w:t>
      </w:r>
    </w:p>
    <w:p w14:paraId="7795EBED" w14:textId="77777777" w:rsidR="00026E8D" w:rsidRPr="00EF423A" w:rsidRDefault="00026E8D">
      <w:pPr>
        <w:tabs>
          <w:tab w:val="left" w:pos="7513"/>
        </w:tabs>
        <w:spacing w:line="276" w:lineRule="auto"/>
        <w:ind w:left="851" w:right="616"/>
        <w:rPr>
          <w:rFonts w:ascii="Palatino Linotype" w:eastAsia="Palatino Linotype" w:hAnsi="Palatino Linotype" w:cs="Palatino Linotype"/>
          <w:sz w:val="22"/>
          <w:szCs w:val="22"/>
        </w:rPr>
      </w:pPr>
    </w:p>
    <w:p w14:paraId="4D88E64C" w14:textId="77777777" w:rsidR="00026E8D" w:rsidRPr="00EF423A" w:rsidRDefault="00B0125C">
      <w:pPr>
        <w:tabs>
          <w:tab w:val="left" w:pos="7513"/>
        </w:tabs>
        <w:spacing w:line="276" w:lineRule="auto"/>
        <w:ind w:left="851" w:right="616"/>
        <w:rPr>
          <w:rFonts w:ascii="Palatino Linotype" w:eastAsia="Palatino Linotype" w:hAnsi="Palatino Linotype" w:cs="Palatino Linotype"/>
          <w:sz w:val="22"/>
          <w:szCs w:val="22"/>
        </w:rPr>
      </w:pPr>
      <w:r w:rsidRPr="00EF423A">
        <w:rPr>
          <w:rFonts w:ascii="Palatino Linotype" w:eastAsia="Palatino Linotype" w:hAnsi="Palatino Linotype" w:cs="Palatino Linotype"/>
          <w:b/>
          <w:i/>
          <w:sz w:val="22"/>
          <w:szCs w:val="22"/>
        </w:rPr>
        <w:t>“Criterio 02/2003.</w:t>
      </w:r>
    </w:p>
    <w:p w14:paraId="17F7CD8D" w14:textId="77777777" w:rsidR="00026E8D" w:rsidRPr="00EF423A" w:rsidRDefault="00B0125C">
      <w:pPr>
        <w:tabs>
          <w:tab w:val="left" w:pos="7513"/>
        </w:tabs>
        <w:spacing w:line="276" w:lineRule="auto"/>
        <w:ind w:left="851" w:right="616"/>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EF423A">
        <w:rPr>
          <w:rFonts w:ascii="Palatino Linotype" w:eastAsia="Palatino Linotype" w:hAnsi="Palatino Linotype" w:cs="Palatino Linotype"/>
          <w:i/>
          <w:sz w:val="22"/>
          <w:szCs w:val="22"/>
        </w:rPr>
        <w:t> </w:t>
      </w:r>
    </w:p>
    <w:p w14:paraId="189548D5" w14:textId="77777777" w:rsidR="00026E8D" w:rsidRPr="00EF423A" w:rsidRDefault="00B0125C">
      <w:pPr>
        <w:tabs>
          <w:tab w:val="left" w:pos="7513"/>
        </w:tabs>
        <w:spacing w:line="276" w:lineRule="auto"/>
        <w:ind w:left="851" w:right="616"/>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i/>
          <w:sz w:val="22"/>
          <w:szCs w:val="22"/>
        </w:rPr>
        <w:lastRenderedPageBreak/>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EF423A">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EF423A">
        <w:rPr>
          <w:rFonts w:ascii="Palatino Linotype" w:eastAsia="Palatino Linotype" w:hAnsi="Palatino Linotype" w:cs="Palatino Linotype"/>
          <w:i/>
          <w:sz w:val="22"/>
          <w:szCs w:val="22"/>
        </w:rPr>
        <w:t xml:space="preserve"> el sistema de compensación…”</w:t>
      </w:r>
    </w:p>
    <w:p w14:paraId="3217C61B" w14:textId="77777777" w:rsidR="00026E8D" w:rsidRPr="00EF423A" w:rsidRDefault="00026E8D">
      <w:pPr>
        <w:rPr>
          <w:rFonts w:ascii="Palatino Linotype" w:eastAsia="Palatino Linotype" w:hAnsi="Palatino Linotype" w:cs="Palatino Linotype"/>
          <w:sz w:val="22"/>
          <w:szCs w:val="22"/>
        </w:rPr>
      </w:pPr>
    </w:p>
    <w:p w14:paraId="5517D286" w14:textId="77777777" w:rsidR="00026E8D" w:rsidRPr="00EF423A" w:rsidRDefault="00B0125C">
      <w:pPr>
        <w:spacing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Ahora bien, el artículo 92, fracción VIII de la Ley de Transparencia y Acceso a la Información Pública del Estado de México y Municipios, señala: </w:t>
      </w:r>
    </w:p>
    <w:p w14:paraId="0DF43AEB" w14:textId="77777777" w:rsidR="00026E8D" w:rsidRPr="00EF423A" w:rsidRDefault="00026E8D">
      <w:pPr>
        <w:rPr>
          <w:rFonts w:ascii="Palatino Linotype" w:eastAsia="Palatino Linotype" w:hAnsi="Palatino Linotype" w:cs="Palatino Linotype"/>
          <w:sz w:val="22"/>
          <w:szCs w:val="22"/>
        </w:rPr>
      </w:pPr>
    </w:p>
    <w:p w14:paraId="6D8513D9" w14:textId="77777777" w:rsidR="00026E8D" w:rsidRPr="00EF423A" w:rsidRDefault="00B0125C">
      <w:pPr>
        <w:spacing w:line="276" w:lineRule="auto"/>
        <w:ind w:left="851" w:right="616"/>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i/>
          <w:sz w:val="22"/>
          <w:szCs w:val="22"/>
        </w:rPr>
        <w:t>“</w:t>
      </w:r>
      <w:r w:rsidRPr="00EF423A">
        <w:rPr>
          <w:rFonts w:ascii="Palatino Linotype" w:eastAsia="Palatino Linotype" w:hAnsi="Palatino Linotype" w:cs="Palatino Linotype"/>
          <w:b/>
          <w:i/>
          <w:sz w:val="22"/>
          <w:szCs w:val="22"/>
        </w:rPr>
        <w:t>Artículo 92.</w:t>
      </w:r>
      <w:r w:rsidRPr="00EF423A">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5575ACE" w14:textId="77777777" w:rsidR="00026E8D" w:rsidRPr="00EF423A" w:rsidRDefault="00B0125C">
      <w:pPr>
        <w:spacing w:line="276" w:lineRule="auto"/>
        <w:ind w:left="851" w:right="616"/>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i/>
          <w:sz w:val="22"/>
          <w:szCs w:val="22"/>
        </w:rPr>
        <w:t>(…)</w:t>
      </w:r>
    </w:p>
    <w:p w14:paraId="234344C3" w14:textId="77777777" w:rsidR="00026E8D" w:rsidRPr="00EF423A" w:rsidRDefault="00B0125C">
      <w:pPr>
        <w:spacing w:line="276" w:lineRule="auto"/>
        <w:ind w:left="851" w:right="616"/>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i/>
          <w:sz w:val="22"/>
          <w:szCs w:val="22"/>
        </w:rPr>
        <w:t>VIII.</w:t>
      </w:r>
      <w:r w:rsidRPr="00EF423A">
        <w:rPr>
          <w:rFonts w:ascii="Palatino Linotype" w:eastAsia="Palatino Linotype" w:hAnsi="Palatino Linotype" w:cs="Palatino Linotype"/>
          <w:i/>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6B1C1F5" w14:textId="77777777" w:rsidR="00026E8D" w:rsidRPr="00EF423A" w:rsidRDefault="00026E8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C6ABB08"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Por </w:t>
      </w:r>
      <w:proofErr w:type="gramStart"/>
      <w:r w:rsidRPr="00EF423A">
        <w:rPr>
          <w:rFonts w:ascii="Palatino Linotype" w:eastAsia="Palatino Linotype" w:hAnsi="Palatino Linotype" w:cs="Palatino Linotype"/>
          <w:sz w:val="22"/>
          <w:szCs w:val="22"/>
        </w:rPr>
        <w:t>consiguiente</w:t>
      </w:r>
      <w:proofErr w:type="gramEnd"/>
      <w:r w:rsidRPr="00EF423A">
        <w:rPr>
          <w:rFonts w:ascii="Palatino Linotype" w:eastAsia="Palatino Linotype" w:hAnsi="Palatino Linotype" w:cs="Palatino Linotype"/>
          <w:sz w:val="22"/>
          <w:szCs w:val="22"/>
        </w:rPr>
        <w:t xml:space="preserve"> no procede la clasificación de los montos de percepciones de los servidores públicos. </w:t>
      </w:r>
    </w:p>
    <w:p w14:paraId="3595F261" w14:textId="77777777" w:rsidR="00026E8D" w:rsidRPr="00EF423A" w:rsidRDefault="00B0125C">
      <w:pPr>
        <w:spacing w:before="240" w:after="240" w:line="360" w:lineRule="auto"/>
        <w:ind w:right="49"/>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f) Deducciones</w:t>
      </w:r>
    </w:p>
    <w:p w14:paraId="54805039"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lastRenderedPageBreak/>
        <w:t xml:space="preserve">Sobre las </w:t>
      </w:r>
      <w:r w:rsidRPr="00EF423A">
        <w:rPr>
          <w:rFonts w:ascii="Palatino Linotype" w:eastAsia="Palatino Linotype" w:hAnsi="Palatino Linotype" w:cs="Palatino Linotype"/>
          <w:b/>
          <w:i/>
          <w:sz w:val="22"/>
          <w:szCs w:val="22"/>
        </w:rPr>
        <w:t>deducciones</w:t>
      </w:r>
      <w:r w:rsidRPr="00EF423A">
        <w:rPr>
          <w:rFonts w:ascii="Palatino Linotype" w:eastAsia="Palatino Linotype" w:hAnsi="Palatino Linotype" w:cs="Palatino Linotype"/>
          <w:sz w:val="22"/>
          <w:szCs w:val="22"/>
        </w:rPr>
        <w:t>, para entender los límites y alcances de esta restricción, es oportuno recurrir al artículo 84 de la Ley del Trabajo de los Servidores Públicos del Estado y Municipios:</w:t>
      </w:r>
    </w:p>
    <w:p w14:paraId="59928481" w14:textId="77777777" w:rsidR="00026E8D" w:rsidRPr="00EF423A" w:rsidRDefault="00B0125C">
      <w:pPr>
        <w:spacing w:before="120" w:after="120" w:line="276" w:lineRule="auto"/>
        <w:ind w:left="567" w:right="900"/>
        <w:jc w:val="both"/>
        <w:rPr>
          <w:rFonts w:ascii="Palatino Linotype" w:eastAsia="Palatino Linotype" w:hAnsi="Palatino Linotype" w:cs="Palatino Linotype"/>
          <w:b/>
          <w:i/>
          <w:sz w:val="22"/>
          <w:szCs w:val="22"/>
        </w:rPr>
      </w:pPr>
      <w:bookmarkStart w:id="7" w:name="_heading=h.i9mk3ga8ug63" w:colFirst="0" w:colLast="0"/>
      <w:bookmarkEnd w:id="7"/>
      <w:r w:rsidRPr="00EF423A">
        <w:rPr>
          <w:rFonts w:ascii="Palatino Linotype" w:eastAsia="Palatino Linotype" w:hAnsi="Palatino Linotype" w:cs="Palatino Linotype"/>
          <w:b/>
          <w:i/>
          <w:sz w:val="22"/>
          <w:szCs w:val="22"/>
        </w:rPr>
        <w:t xml:space="preserve">“ARTÍCULO 84. </w:t>
      </w:r>
      <w:r w:rsidRPr="00EF423A">
        <w:rPr>
          <w:rFonts w:ascii="Palatino Linotype" w:eastAsia="Palatino Linotype" w:hAnsi="Palatino Linotype" w:cs="Palatino Linotype"/>
          <w:i/>
          <w:sz w:val="22"/>
          <w:szCs w:val="22"/>
        </w:rPr>
        <w:t>Sólo podrán hacerse retenciones, descuentos o deducciones al sueldo de los servidores públicos por concepto de:</w:t>
      </w:r>
    </w:p>
    <w:p w14:paraId="64F234FC" w14:textId="77777777" w:rsidR="00026E8D" w:rsidRPr="00EF423A" w:rsidRDefault="00B0125C">
      <w:pPr>
        <w:spacing w:before="120" w:after="120" w:line="276" w:lineRule="auto"/>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w:t>
      </w:r>
      <w:r w:rsidRPr="00EF423A">
        <w:rPr>
          <w:rFonts w:ascii="Palatino Linotype" w:eastAsia="Palatino Linotype" w:hAnsi="Palatino Linotype" w:cs="Palatino Linotype"/>
          <w:i/>
          <w:sz w:val="22"/>
          <w:szCs w:val="22"/>
        </w:rPr>
        <w:t xml:space="preserve"> Gravámenes fiscales relacionados con el sueldo;</w:t>
      </w:r>
    </w:p>
    <w:p w14:paraId="3AE78582" w14:textId="77777777" w:rsidR="00026E8D" w:rsidRPr="00EF423A" w:rsidRDefault="00B0125C">
      <w:pPr>
        <w:spacing w:before="120" w:after="120" w:line="276" w:lineRule="auto"/>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II.</w:t>
      </w:r>
      <w:r w:rsidRPr="00EF423A">
        <w:rPr>
          <w:rFonts w:ascii="Palatino Linotype" w:eastAsia="Palatino Linotype" w:hAnsi="Palatino Linotype" w:cs="Palatino Linotype"/>
          <w:i/>
          <w:sz w:val="22"/>
          <w:szCs w:val="22"/>
        </w:rPr>
        <w:t xml:space="preserve"> Deudas contraídas con las instituciones públicas o dependencias por concepto de anticipos de sueldo, pagos hechos con exceso, errores o pérdidas debidamente comprobados;</w:t>
      </w:r>
    </w:p>
    <w:p w14:paraId="5EF99D86" w14:textId="77777777" w:rsidR="00026E8D" w:rsidRPr="00EF423A" w:rsidRDefault="00B0125C">
      <w:pPr>
        <w:spacing w:before="120" w:after="120" w:line="276" w:lineRule="auto"/>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III.</w:t>
      </w:r>
      <w:r w:rsidRPr="00EF423A">
        <w:rPr>
          <w:rFonts w:ascii="Palatino Linotype" w:eastAsia="Palatino Linotype" w:hAnsi="Palatino Linotype" w:cs="Palatino Linotype"/>
          <w:i/>
          <w:sz w:val="22"/>
          <w:szCs w:val="22"/>
        </w:rPr>
        <w:t xml:space="preserve"> </w:t>
      </w:r>
      <w:r w:rsidRPr="00EF423A">
        <w:rPr>
          <w:rFonts w:ascii="Palatino Linotype" w:eastAsia="Palatino Linotype" w:hAnsi="Palatino Linotype" w:cs="Palatino Linotype"/>
          <w:b/>
          <w:i/>
          <w:sz w:val="22"/>
          <w:szCs w:val="22"/>
        </w:rPr>
        <w:t>Cuotas sindicales</w:t>
      </w:r>
      <w:r w:rsidRPr="00EF423A">
        <w:rPr>
          <w:rFonts w:ascii="Palatino Linotype" w:eastAsia="Palatino Linotype" w:hAnsi="Palatino Linotype" w:cs="Palatino Linotype"/>
          <w:i/>
          <w:sz w:val="22"/>
          <w:szCs w:val="22"/>
        </w:rPr>
        <w:t>;</w:t>
      </w:r>
    </w:p>
    <w:p w14:paraId="291CFA98" w14:textId="77777777" w:rsidR="00026E8D" w:rsidRPr="00EF423A" w:rsidRDefault="00B0125C">
      <w:pPr>
        <w:spacing w:before="120" w:after="120" w:line="276" w:lineRule="auto"/>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IV.</w:t>
      </w:r>
      <w:r w:rsidRPr="00EF423A">
        <w:rPr>
          <w:rFonts w:ascii="Palatino Linotype" w:eastAsia="Palatino Linotype" w:hAnsi="Palatino Linotype" w:cs="Palatino Linotype"/>
          <w:i/>
          <w:sz w:val="22"/>
          <w:szCs w:val="22"/>
        </w:rPr>
        <w:t xml:space="preserve"> Cuotas de aportación a fondos para la constitución de cooperativas y de cajas de ahorro, siempre que el servidor público hubiese manifestado previamente, de manera expresa, su conformidad;</w:t>
      </w:r>
    </w:p>
    <w:p w14:paraId="57C655AF" w14:textId="77777777" w:rsidR="00026E8D" w:rsidRPr="00EF423A" w:rsidRDefault="00B0125C">
      <w:pPr>
        <w:spacing w:before="120" w:after="120" w:line="276" w:lineRule="auto"/>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V.</w:t>
      </w:r>
      <w:r w:rsidRPr="00EF423A">
        <w:rPr>
          <w:rFonts w:ascii="Palatino Linotype" w:eastAsia="Palatino Linotype" w:hAnsi="Palatino Linotype" w:cs="Palatino Linotype"/>
          <w:i/>
          <w:sz w:val="22"/>
          <w:szCs w:val="22"/>
        </w:rPr>
        <w:t xml:space="preserve"> Descuentos ordenados por el Instituto de Seguridad Social del Estado de México y Municipios, con motivo de cuotas y obligaciones contraídas con éste por los servidores públicos;</w:t>
      </w:r>
    </w:p>
    <w:p w14:paraId="6ED20AD0" w14:textId="77777777" w:rsidR="00026E8D" w:rsidRPr="00EF423A" w:rsidRDefault="00B0125C">
      <w:pPr>
        <w:spacing w:before="120" w:after="120" w:line="276" w:lineRule="auto"/>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VI.</w:t>
      </w:r>
      <w:r w:rsidRPr="00EF423A">
        <w:rPr>
          <w:rFonts w:ascii="Palatino Linotype" w:eastAsia="Palatino Linotype" w:hAnsi="Palatino Linotype" w:cs="Palatino Linotype"/>
          <w:i/>
          <w:sz w:val="22"/>
          <w:szCs w:val="22"/>
        </w:rPr>
        <w:t xml:space="preserve"> Obligaciones a cargo del servidor público con las que haya consentido, derivadas de la adquisición o del uso de habitaciones consideradas como de interés social;</w:t>
      </w:r>
    </w:p>
    <w:p w14:paraId="0AF5D184" w14:textId="77777777" w:rsidR="00026E8D" w:rsidRPr="00EF423A" w:rsidRDefault="00B0125C">
      <w:pPr>
        <w:spacing w:before="120" w:after="120" w:line="276" w:lineRule="auto"/>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VII.</w:t>
      </w:r>
      <w:r w:rsidRPr="00EF423A">
        <w:rPr>
          <w:rFonts w:ascii="Palatino Linotype" w:eastAsia="Palatino Linotype" w:hAnsi="Palatino Linotype" w:cs="Palatino Linotype"/>
          <w:i/>
          <w:sz w:val="22"/>
          <w:szCs w:val="22"/>
        </w:rPr>
        <w:t xml:space="preserve"> Faltas de puntualidad o de asistencia injustificadas;</w:t>
      </w:r>
    </w:p>
    <w:p w14:paraId="1373637D" w14:textId="77777777" w:rsidR="00026E8D" w:rsidRPr="00EF423A" w:rsidRDefault="00B0125C">
      <w:pPr>
        <w:spacing w:before="120" w:after="120" w:line="276" w:lineRule="auto"/>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VIII. Pensiones alimenticias ordenadas por la autoridad judicial;</w:t>
      </w:r>
      <w:r w:rsidRPr="00EF423A">
        <w:rPr>
          <w:rFonts w:ascii="Palatino Linotype" w:eastAsia="Palatino Linotype" w:hAnsi="Palatino Linotype" w:cs="Palatino Linotype"/>
          <w:i/>
          <w:sz w:val="22"/>
          <w:szCs w:val="22"/>
        </w:rPr>
        <w:t xml:space="preserve"> o</w:t>
      </w:r>
    </w:p>
    <w:p w14:paraId="4CBC5E2B" w14:textId="77777777" w:rsidR="00026E8D" w:rsidRPr="00EF423A" w:rsidRDefault="00B0125C">
      <w:pPr>
        <w:spacing w:before="120" w:after="120" w:line="276" w:lineRule="auto"/>
        <w:ind w:left="567" w:right="902"/>
        <w:jc w:val="both"/>
        <w:rPr>
          <w:rFonts w:ascii="Palatino Linotype" w:eastAsia="Palatino Linotype" w:hAnsi="Palatino Linotype" w:cs="Palatino Linotype"/>
          <w:b/>
          <w:i/>
          <w:sz w:val="22"/>
          <w:szCs w:val="22"/>
        </w:rPr>
      </w:pPr>
      <w:r w:rsidRPr="00EF423A">
        <w:rPr>
          <w:rFonts w:ascii="Palatino Linotype" w:eastAsia="Palatino Linotype" w:hAnsi="Palatino Linotype" w:cs="Palatino Linotype"/>
          <w:b/>
          <w:i/>
          <w:sz w:val="22"/>
          <w:szCs w:val="22"/>
        </w:rPr>
        <w:t>IX. Cualquier otro convenido con instituciones de servicios y aceptado por el servidor público.</w:t>
      </w:r>
    </w:p>
    <w:p w14:paraId="71757474" w14:textId="77777777" w:rsidR="00026E8D" w:rsidRPr="00EF423A" w:rsidRDefault="00B0125C">
      <w:pPr>
        <w:spacing w:before="120" w:after="120"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w:t>
      </w:r>
      <w:r w:rsidRPr="00EF423A">
        <w:rPr>
          <w:rFonts w:ascii="Palatino Linotype" w:eastAsia="Palatino Linotype" w:hAnsi="Palatino Linotype" w:cs="Palatino Linotype"/>
          <w:i/>
          <w:sz w:val="22"/>
          <w:szCs w:val="22"/>
        </w:rPr>
        <w:lastRenderedPageBreak/>
        <w:t xml:space="preserve">en la fracción VIII de este artículo, en que se ajustará a lo determinado por la autoridad judicial.” </w:t>
      </w:r>
    </w:p>
    <w:p w14:paraId="4201885E" w14:textId="77777777" w:rsidR="00026E8D" w:rsidRPr="00EF423A" w:rsidRDefault="00026E8D">
      <w:pPr>
        <w:spacing w:line="360" w:lineRule="auto"/>
        <w:jc w:val="both"/>
        <w:rPr>
          <w:rFonts w:ascii="Palatino Linotype" w:eastAsia="Palatino Linotype" w:hAnsi="Palatino Linotype" w:cs="Palatino Linotype"/>
          <w:sz w:val="22"/>
          <w:szCs w:val="22"/>
        </w:rPr>
      </w:pPr>
    </w:p>
    <w:p w14:paraId="4FD94C4C" w14:textId="77777777" w:rsidR="00026E8D" w:rsidRPr="00EF423A" w:rsidRDefault="00B0125C">
      <w:pPr>
        <w:spacing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Conforme a lo anterior dichas deducciones, suelen ser obligatorias y dan cuenta, de que el Sujeto Obligado cumple con sus responsabilidades como patrón, relacionadas con la retención de parte del ingreso de sus trabajadores, para cubrir las deducciones genéricas y obligatorias.</w:t>
      </w:r>
    </w:p>
    <w:p w14:paraId="5E50EAC1" w14:textId="77777777" w:rsidR="00026E8D" w:rsidRPr="00EF423A" w:rsidRDefault="00026E8D">
      <w:pPr>
        <w:spacing w:line="360" w:lineRule="auto"/>
        <w:jc w:val="both"/>
        <w:rPr>
          <w:rFonts w:ascii="Palatino Linotype" w:eastAsia="Palatino Linotype" w:hAnsi="Palatino Linotype" w:cs="Palatino Linotype"/>
          <w:sz w:val="22"/>
          <w:szCs w:val="22"/>
        </w:rPr>
      </w:pPr>
    </w:p>
    <w:p w14:paraId="614AE493" w14:textId="77777777" w:rsidR="00026E8D" w:rsidRPr="00EF423A" w:rsidRDefault="00B0125C">
      <w:pPr>
        <w:spacing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Como se logra observar, dichas deducciones, son las retenciones que realizan las dependencias y entidades, de manera obligatoria por estar establecidas en diversas leyes, como la Ley del Impuesto sobre la Renta y la Ley de Seguridad Social para los Servidores Públicos del Estado de México y Municipios (gravámenes fiscales), o bien, la Ley de Servidores Públicos del Estado de México y Municipios (descuentos por faltas o inasistencias).</w:t>
      </w:r>
    </w:p>
    <w:p w14:paraId="112FBBEA" w14:textId="77777777" w:rsidR="00026E8D" w:rsidRPr="00EF423A" w:rsidRDefault="00026E8D">
      <w:pPr>
        <w:spacing w:line="360" w:lineRule="auto"/>
        <w:jc w:val="both"/>
        <w:rPr>
          <w:rFonts w:ascii="Palatino Linotype" w:eastAsia="Palatino Linotype" w:hAnsi="Palatino Linotype" w:cs="Palatino Linotype"/>
          <w:sz w:val="22"/>
          <w:szCs w:val="22"/>
        </w:rPr>
      </w:pPr>
    </w:p>
    <w:p w14:paraId="6F48B1AF" w14:textId="77777777" w:rsidR="00026E8D" w:rsidRPr="00EF423A" w:rsidRDefault="00B0125C">
      <w:pPr>
        <w:spacing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Por tal circunstancia y toda vez, que las deducciones por Ley, son de carácter obligatorio y ayuda a rendir cuentas, de que </w:t>
      </w:r>
      <w:r w:rsidRPr="00EF423A">
        <w:rPr>
          <w:rFonts w:ascii="Palatino Linotype" w:eastAsia="Palatino Linotype" w:hAnsi="Palatino Linotype" w:cs="Palatino Linotype"/>
          <w:b/>
          <w:sz w:val="22"/>
          <w:szCs w:val="22"/>
        </w:rPr>
        <w:t>el Sujeto Obligado</w:t>
      </w:r>
      <w:r w:rsidRPr="00EF423A">
        <w:rPr>
          <w:rFonts w:ascii="Palatino Linotype" w:eastAsia="Palatino Linotype" w:hAnsi="Palatino Linotype" w:cs="Palatino Linotype"/>
          <w:sz w:val="22"/>
          <w:szCs w:val="22"/>
        </w:rPr>
        <w:t xml:space="preserve"> cumple con sus funciones de patrón, al retener determinado monto del sueldo de los servidores públicos, es que se considera que son de naturaleza pública y, por lo tanto, no procede la clasificación, en términos del artículo 143, fracción I, de la Ley de Transparencia y Acceso a la Información Pública del Estado de México y Municipios.</w:t>
      </w:r>
    </w:p>
    <w:p w14:paraId="52D570D2" w14:textId="77777777" w:rsidR="00026E8D" w:rsidRPr="00EF423A" w:rsidRDefault="00026E8D">
      <w:pPr>
        <w:spacing w:line="360" w:lineRule="auto"/>
        <w:jc w:val="both"/>
        <w:rPr>
          <w:rFonts w:ascii="Palatino Linotype" w:eastAsia="Palatino Linotype" w:hAnsi="Palatino Linotype" w:cs="Palatino Linotype"/>
          <w:sz w:val="22"/>
          <w:szCs w:val="22"/>
        </w:rPr>
      </w:pPr>
    </w:p>
    <w:p w14:paraId="61561801" w14:textId="77777777" w:rsidR="00026E8D" w:rsidRPr="00EF423A" w:rsidRDefault="00B0125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Tal es el caso del</w:t>
      </w:r>
      <w:r w:rsidRPr="00EF423A">
        <w:rPr>
          <w:rFonts w:ascii="Palatino Linotype" w:eastAsia="Palatino Linotype" w:hAnsi="Palatino Linotype" w:cs="Palatino Linotype"/>
          <w:b/>
          <w:sz w:val="22"/>
          <w:szCs w:val="22"/>
        </w:rPr>
        <w:t xml:space="preserve"> Sistema De Capitalización Individual (SCI), </w:t>
      </w:r>
      <w:r w:rsidRPr="00EF423A">
        <w:rPr>
          <w:rFonts w:ascii="Palatino Linotype" w:eastAsia="Palatino Linotype" w:hAnsi="Palatino Linotype" w:cs="Palatino Linotype"/>
          <w:sz w:val="22"/>
          <w:szCs w:val="22"/>
        </w:rPr>
        <w:t xml:space="preserve">la cual está contemplada en los artículos 84 y 115 de la Ley de Seguridad Social para los Servidores Públicos del Estado de México y Municipios, al formar parte de uno de los sistemas que conforma el sistema </w:t>
      </w:r>
      <w:r w:rsidRPr="00EF423A">
        <w:rPr>
          <w:rFonts w:ascii="Palatino Linotype" w:eastAsia="Palatino Linotype" w:hAnsi="Palatino Linotype" w:cs="Palatino Linotype"/>
          <w:sz w:val="22"/>
          <w:szCs w:val="22"/>
        </w:rPr>
        <w:lastRenderedPageBreak/>
        <w:t>mixto de pensiones, al corresponder específicamente a una reserva de ahorro en favor de los servidores públicos para su retiro, la cual señala:</w:t>
      </w:r>
    </w:p>
    <w:p w14:paraId="3EE3D7E6" w14:textId="77777777" w:rsidR="00026E8D" w:rsidRPr="00EF423A" w:rsidRDefault="00026E8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5DE5DDC" w14:textId="77777777" w:rsidR="00026E8D" w:rsidRPr="00EF423A" w:rsidRDefault="00B0125C">
      <w:pPr>
        <w:spacing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“ARTICULO 84.-</w:t>
      </w:r>
      <w:r w:rsidRPr="00EF423A">
        <w:rPr>
          <w:rFonts w:ascii="Palatino Linotype" w:eastAsia="Palatino Linotype" w:hAnsi="Palatino Linotype" w:cs="Palatino Linotype"/>
          <w:i/>
          <w:sz w:val="22"/>
          <w:szCs w:val="22"/>
        </w:rPr>
        <w:t xml:space="preserve"> Las pensiones que otorga esta ley, se basan en un régimen mixto, siendo una parte de beneficios definidos denominado </w:t>
      </w:r>
      <w:r w:rsidRPr="00EF423A">
        <w:rPr>
          <w:rFonts w:ascii="Palatino Linotype" w:eastAsia="Palatino Linotype" w:hAnsi="Palatino Linotype" w:cs="Palatino Linotype"/>
          <w:b/>
          <w:i/>
          <w:sz w:val="22"/>
          <w:szCs w:val="22"/>
        </w:rPr>
        <w:t>sistema solidario de reparto y otra de contribuciones definidas denominado sistema de capitalización individual</w:t>
      </w:r>
      <w:r w:rsidRPr="00EF423A">
        <w:rPr>
          <w:rFonts w:ascii="Palatino Linotype" w:eastAsia="Palatino Linotype" w:hAnsi="Palatino Linotype" w:cs="Palatino Linotype"/>
          <w:i/>
          <w:sz w:val="22"/>
          <w:szCs w:val="22"/>
        </w:rPr>
        <w:t>.</w:t>
      </w:r>
    </w:p>
    <w:p w14:paraId="7EC38973" w14:textId="77777777" w:rsidR="00026E8D" w:rsidRPr="00EF423A" w:rsidRDefault="00026E8D">
      <w:pPr>
        <w:spacing w:line="276" w:lineRule="auto"/>
        <w:ind w:left="567" w:right="900"/>
        <w:jc w:val="both"/>
        <w:rPr>
          <w:rFonts w:ascii="Palatino Linotype" w:eastAsia="Palatino Linotype" w:hAnsi="Palatino Linotype" w:cs="Palatino Linotype"/>
          <w:i/>
          <w:sz w:val="22"/>
          <w:szCs w:val="22"/>
        </w:rPr>
      </w:pPr>
    </w:p>
    <w:p w14:paraId="2E7CFA63" w14:textId="77777777" w:rsidR="00026E8D" w:rsidRPr="00EF423A" w:rsidRDefault="00B0125C">
      <w:pPr>
        <w:spacing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El monto total para el financiamiento de pensiones de cada servidor público, es equivalente al 16.77% de su sueldo sujeto a cotización, del cual el 13.52% se aplicará al fondo del sistema solidario de reparto y el 3.25% al sistema de capitalización individual.</w:t>
      </w:r>
    </w:p>
    <w:p w14:paraId="0B9E7A51" w14:textId="77777777" w:rsidR="00026E8D" w:rsidRPr="00EF423A" w:rsidRDefault="00B0125C">
      <w:pPr>
        <w:spacing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 </w:t>
      </w:r>
      <w:r w:rsidRPr="00EF423A">
        <w:rPr>
          <w:rFonts w:ascii="Palatino Linotype" w:eastAsia="Palatino Linotype" w:hAnsi="Palatino Linotype" w:cs="Palatino Linotype"/>
          <w:b/>
          <w:i/>
          <w:sz w:val="22"/>
          <w:szCs w:val="22"/>
        </w:rPr>
        <w:t>ARTICULO 115.-</w:t>
      </w:r>
      <w:r w:rsidRPr="00EF423A">
        <w:rPr>
          <w:rFonts w:ascii="Palatino Linotype" w:eastAsia="Palatino Linotype" w:hAnsi="Palatino Linotype" w:cs="Palatino Linotype"/>
          <w:i/>
          <w:sz w:val="22"/>
          <w:szCs w:val="22"/>
        </w:rPr>
        <w:t xml:space="preserve"> Por sistema de capitalización individual se entiende aquel régimen cuyo financiamiento es determinado y su beneficio variable, por lo que sus fondos se constituirán en una reserva, cuyo saldo será siempre igual a la suma de las partes alícuotas reconocidas a cada uno de los servidores públicos participantes en el sistema.”</w:t>
      </w:r>
    </w:p>
    <w:p w14:paraId="59C71A70" w14:textId="77777777" w:rsidR="00026E8D" w:rsidRPr="00EF423A" w:rsidRDefault="00026E8D">
      <w:pPr>
        <w:spacing w:line="360" w:lineRule="auto"/>
        <w:jc w:val="both"/>
        <w:rPr>
          <w:rFonts w:ascii="Palatino Linotype" w:eastAsia="Palatino Linotype" w:hAnsi="Palatino Linotype" w:cs="Palatino Linotype"/>
          <w:sz w:val="22"/>
          <w:szCs w:val="22"/>
        </w:rPr>
      </w:pPr>
    </w:p>
    <w:p w14:paraId="464E308D" w14:textId="77777777" w:rsidR="00026E8D" w:rsidRPr="00EF423A" w:rsidRDefault="00B0125C">
      <w:pPr>
        <w:spacing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En esta misma disposición normativa, en los artículos 5 fracciones II, VII y VIII; 32, 34 y 35, dispone lo siguiente:</w:t>
      </w:r>
    </w:p>
    <w:p w14:paraId="40A96059" w14:textId="77777777" w:rsidR="00026E8D" w:rsidRPr="00EF423A" w:rsidRDefault="00026E8D">
      <w:pPr>
        <w:spacing w:line="360" w:lineRule="auto"/>
        <w:jc w:val="both"/>
        <w:rPr>
          <w:rFonts w:ascii="Palatino Linotype" w:eastAsia="Palatino Linotype" w:hAnsi="Palatino Linotype" w:cs="Palatino Linotype"/>
          <w:sz w:val="22"/>
          <w:szCs w:val="22"/>
        </w:rPr>
      </w:pPr>
    </w:p>
    <w:p w14:paraId="3CE208FA" w14:textId="77777777" w:rsidR="00026E8D" w:rsidRPr="00EF423A" w:rsidRDefault="00B0125C">
      <w:pPr>
        <w:spacing w:line="276" w:lineRule="auto"/>
        <w:ind w:left="567" w:right="616"/>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w:t>
      </w:r>
      <w:r w:rsidRPr="00EF423A">
        <w:rPr>
          <w:rFonts w:ascii="Palatino Linotype" w:eastAsia="Palatino Linotype" w:hAnsi="Palatino Linotype" w:cs="Palatino Linotype"/>
          <w:b/>
          <w:i/>
          <w:sz w:val="22"/>
          <w:szCs w:val="22"/>
        </w:rPr>
        <w:t>ARTÍCULO 5</w:t>
      </w:r>
      <w:r w:rsidRPr="00EF423A">
        <w:rPr>
          <w:rFonts w:ascii="Palatino Linotype" w:eastAsia="Palatino Linotype" w:hAnsi="Palatino Linotype" w:cs="Palatino Linotype"/>
          <w:i/>
          <w:sz w:val="22"/>
          <w:szCs w:val="22"/>
        </w:rPr>
        <w:t>.- Para los efectos de esta ley se entiende por:</w:t>
      </w:r>
    </w:p>
    <w:p w14:paraId="467F4612" w14:textId="77777777" w:rsidR="00026E8D" w:rsidRPr="00EF423A" w:rsidRDefault="00B0125C">
      <w:pPr>
        <w:spacing w:line="276" w:lineRule="auto"/>
        <w:ind w:left="567" w:right="616"/>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w:t>
      </w:r>
    </w:p>
    <w:p w14:paraId="1BB005EB" w14:textId="77777777" w:rsidR="00026E8D" w:rsidRPr="00EF423A" w:rsidRDefault="00B0125C">
      <w:pPr>
        <w:spacing w:line="276" w:lineRule="auto"/>
        <w:ind w:left="567" w:right="616"/>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II. Institución pública, a los poderes públicos del estado, los ayuntamientos de los municipios y los tribunales administrativos, así como los organismos auxiliares y fideicomisos públicos de carácter estatal y municipal;</w:t>
      </w:r>
    </w:p>
    <w:p w14:paraId="4ADFD8FE" w14:textId="77777777" w:rsidR="00026E8D" w:rsidRPr="00EF423A" w:rsidRDefault="00B0125C">
      <w:pPr>
        <w:spacing w:line="276" w:lineRule="auto"/>
        <w:ind w:left="567" w:right="616"/>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w:t>
      </w:r>
    </w:p>
    <w:p w14:paraId="08947333" w14:textId="77777777" w:rsidR="00026E8D" w:rsidRPr="00EF423A" w:rsidRDefault="00B0125C">
      <w:pPr>
        <w:spacing w:line="276" w:lineRule="auto"/>
        <w:ind w:left="567" w:right="616"/>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VII. Cuota, al monto que le corresponde cubrir al servidor público, equivalente a un porcentaje determinado de </w:t>
      </w:r>
      <w:proofErr w:type="gramStart"/>
      <w:r w:rsidRPr="00EF423A">
        <w:rPr>
          <w:rFonts w:ascii="Palatino Linotype" w:eastAsia="Palatino Linotype" w:hAnsi="Palatino Linotype" w:cs="Palatino Linotype"/>
          <w:i/>
          <w:sz w:val="22"/>
          <w:szCs w:val="22"/>
        </w:rPr>
        <w:t>sus sueldo sujeto</w:t>
      </w:r>
      <w:proofErr w:type="gramEnd"/>
      <w:r w:rsidRPr="00EF423A">
        <w:rPr>
          <w:rFonts w:ascii="Palatino Linotype" w:eastAsia="Palatino Linotype" w:hAnsi="Palatino Linotype" w:cs="Palatino Linotype"/>
          <w:i/>
          <w:sz w:val="22"/>
          <w:szCs w:val="22"/>
        </w:rPr>
        <w:t xml:space="preserve"> a cotización, así como el que debe cubrir el pensionado o pensionista y que recibe el Instituto para otorgar las prestaciones establecidas en la presente ley; </w:t>
      </w:r>
    </w:p>
    <w:p w14:paraId="421426B9" w14:textId="77777777" w:rsidR="00026E8D" w:rsidRPr="00EF423A" w:rsidRDefault="00B0125C">
      <w:pPr>
        <w:spacing w:line="276" w:lineRule="auto"/>
        <w:ind w:left="567" w:right="616"/>
        <w:jc w:val="both"/>
        <w:rPr>
          <w:rFonts w:ascii="Palatino Linotype" w:eastAsia="Palatino Linotype" w:hAnsi="Palatino Linotype" w:cs="Palatino Linotype"/>
          <w:b/>
          <w:i/>
          <w:sz w:val="22"/>
          <w:szCs w:val="22"/>
        </w:rPr>
      </w:pPr>
      <w:r w:rsidRPr="00EF423A">
        <w:rPr>
          <w:rFonts w:ascii="Palatino Linotype" w:eastAsia="Palatino Linotype" w:hAnsi="Palatino Linotype" w:cs="Palatino Linotype"/>
          <w:i/>
          <w:sz w:val="22"/>
          <w:szCs w:val="22"/>
        </w:rPr>
        <w:lastRenderedPageBreak/>
        <w:t xml:space="preserve">VIII. </w:t>
      </w:r>
      <w:r w:rsidRPr="00EF423A">
        <w:rPr>
          <w:rFonts w:ascii="Palatino Linotype" w:eastAsia="Palatino Linotype" w:hAnsi="Palatino Linotype" w:cs="Palatino Linotype"/>
          <w:b/>
          <w:i/>
          <w:sz w:val="22"/>
          <w:szCs w:val="22"/>
        </w:rPr>
        <w:t>Aportación, al monto que le corresponde cubrir a las instituciones públicas como porcentaje del sueldo sujeto a cotización de cada servidor público;</w:t>
      </w:r>
    </w:p>
    <w:p w14:paraId="1A1E4DB8" w14:textId="77777777" w:rsidR="00026E8D" w:rsidRPr="00EF423A" w:rsidRDefault="00B0125C">
      <w:pPr>
        <w:spacing w:line="276" w:lineRule="auto"/>
        <w:ind w:left="567" w:right="616"/>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w:t>
      </w:r>
    </w:p>
    <w:p w14:paraId="17983C66" w14:textId="77777777" w:rsidR="00026E8D" w:rsidRPr="00EF423A" w:rsidRDefault="00026E8D">
      <w:pPr>
        <w:spacing w:line="276" w:lineRule="auto"/>
        <w:ind w:left="567" w:right="616"/>
        <w:jc w:val="both"/>
        <w:rPr>
          <w:rFonts w:ascii="Palatino Linotype" w:eastAsia="Palatino Linotype" w:hAnsi="Palatino Linotype" w:cs="Palatino Linotype"/>
          <w:i/>
          <w:sz w:val="22"/>
          <w:szCs w:val="22"/>
        </w:rPr>
      </w:pPr>
    </w:p>
    <w:p w14:paraId="4651E381" w14:textId="77777777" w:rsidR="00026E8D" w:rsidRPr="00EF423A" w:rsidRDefault="00B0125C">
      <w:pPr>
        <w:spacing w:line="276" w:lineRule="auto"/>
        <w:ind w:left="567" w:right="616"/>
        <w:jc w:val="both"/>
        <w:rPr>
          <w:rFonts w:ascii="Palatino Linotype" w:eastAsia="Palatino Linotype" w:hAnsi="Palatino Linotype" w:cs="Palatino Linotype"/>
          <w:b/>
          <w:i/>
          <w:sz w:val="22"/>
          <w:szCs w:val="22"/>
        </w:rPr>
      </w:pPr>
      <w:r w:rsidRPr="00EF423A">
        <w:rPr>
          <w:rFonts w:ascii="Palatino Linotype" w:eastAsia="Palatino Linotype" w:hAnsi="Palatino Linotype" w:cs="Palatino Linotype"/>
          <w:b/>
          <w:i/>
          <w:sz w:val="22"/>
          <w:szCs w:val="22"/>
        </w:rPr>
        <w:t>Artículo 32.-</w:t>
      </w:r>
      <w:r w:rsidRPr="00EF423A">
        <w:rPr>
          <w:rFonts w:ascii="Palatino Linotype" w:eastAsia="Palatino Linotype" w:hAnsi="Palatino Linotype" w:cs="Palatino Linotype"/>
          <w:i/>
          <w:sz w:val="22"/>
          <w:szCs w:val="22"/>
        </w:rPr>
        <w:t xml:space="preserve"> </w:t>
      </w:r>
      <w:r w:rsidRPr="00EF423A">
        <w:rPr>
          <w:rFonts w:ascii="Palatino Linotype" w:eastAsia="Palatino Linotype" w:hAnsi="Palatino Linotype" w:cs="Palatino Linotype"/>
          <w:b/>
          <w:i/>
          <w:sz w:val="22"/>
          <w:szCs w:val="22"/>
        </w:rPr>
        <w:t xml:space="preserve">Las cuotas obligatorias que deberán cubrir los servidores públicos al Instituto, serán las siguientes: </w:t>
      </w:r>
    </w:p>
    <w:p w14:paraId="4E91AC85" w14:textId="77777777" w:rsidR="00026E8D" w:rsidRPr="00EF423A" w:rsidRDefault="00B0125C">
      <w:pPr>
        <w:spacing w:line="276" w:lineRule="auto"/>
        <w:ind w:left="567" w:right="616"/>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I. El 4.625% del sueldo sujeto a cotización, para cubrir las prestaciones de servicios de salud; </w:t>
      </w:r>
    </w:p>
    <w:p w14:paraId="4594504B" w14:textId="77777777" w:rsidR="00026E8D" w:rsidRPr="00EF423A" w:rsidRDefault="00B0125C">
      <w:pPr>
        <w:spacing w:line="276" w:lineRule="auto"/>
        <w:ind w:left="567" w:right="616"/>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II. El 7.50% del sueldo sujeto a cotización, para cubrir el financiamiento de pensiones, de la siguiente manera: </w:t>
      </w:r>
    </w:p>
    <w:p w14:paraId="65D92F40" w14:textId="77777777" w:rsidR="00026E8D" w:rsidRPr="00EF423A" w:rsidRDefault="00B0125C">
      <w:pPr>
        <w:spacing w:line="276" w:lineRule="auto"/>
        <w:ind w:left="567" w:right="616"/>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a. 6.10% para el fondo del sistema solidario de reparto. </w:t>
      </w:r>
    </w:p>
    <w:p w14:paraId="57F69A91" w14:textId="77777777" w:rsidR="00026E8D" w:rsidRPr="00EF423A" w:rsidRDefault="00B0125C">
      <w:pPr>
        <w:spacing w:line="276" w:lineRule="auto"/>
        <w:ind w:left="567" w:right="616"/>
        <w:jc w:val="both"/>
        <w:rPr>
          <w:rFonts w:ascii="Palatino Linotype" w:eastAsia="Palatino Linotype" w:hAnsi="Palatino Linotype" w:cs="Palatino Linotype"/>
          <w:b/>
          <w:i/>
          <w:sz w:val="22"/>
          <w:szCs w:val="22"/>
          <w:u w:val="single"/>
        </w:rPr>
      </w:pPr>
      <w:r w:rsidRPr="00EF423A">
        <w:rPr>
          <w:rFonts w:ascii="Palatino Linotype" w:eastAsia="Palatino Linotype" w:hAnsi="Palatino Linotype" w:cs="Palatino Linotype"/>
          <w:b/>
          <w:i/>
          <w:sz w:val="22"/>
          <w:szCs w:val="22"/>
          <w:u w:val="single"/>
        </w:rPr>
        <w:t xml:space="preserve">b. 1.40% para el sistema de capitalización individual. </w:t>
      </w:r>
    </w:p>
    <w:p w14:paraId="2A94913B" w14:textId="77777777" w:rsidR="00026E8D" w:rsidRPr="00EF423A" w:rsidRDefault="00B0125C">
      <w:pPr>
        <w:spacing w:line="276" w:lineRule="auto"/>
        <w:ind w:left="567" w:right="616"/>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III. Las que determine anualmente el Consejo Directivo para otras prestaciones, señaladas en el Título IV.</w:t>
      </w:r>
    </w:p>
    <w:p w14:paraId="20945522" w14:textId="77777777" w:rsidR="00026E8D" w:rsidRPr="00EF423A" w:rsidRDefault="00B0125C">
      <w:pPr>
        <w:spacing w:line="276" w:lineRule="auto"/>
        <w:ind w:left="567" w:right="616"/>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w:t>
      </w:r>
    </w:p>
    <w:p w14:paraId="7592C4E0" w14:textId="77777777" w:rsidR="00026E8D" w:rsidRPr="00EF423A" w:rsidRDefault="00026E8D">
      <w:pPr>
        <w:spacing w:line="276" w:lineRule="auto"/>
        <w:ind w:left="567" w:right="616"/>
        <w:jc w:val="both"/>
        <w:rPr>
          <w:rFonts w:ascii="Palatino Linotype" w:eastAsia="Palatino Linotype" w:hAnsi="Palatino Linotype" w:cs="Palatino Linotype"/>
          <w:i/>
          <w:sz w:val="22"/>
          <w:szCs w:val="22"/>
        </w:rPr>
      </w:pPr>
    </w:p>
    <w:p w14:paraId="1A97C92D" w14:textId="77777777" w:rsidR="00026E8D" w:rsidRPr="00EF423A" w:rsidRDefault="00B0125C">
      <w:pPr>
        <w:spacing w:line="276" w:lineRule="auto"/>
        <w:ind w:left="567" w:right="616"/>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Artículo 34.-</w:t>
      </w:r>
      <w:r w:rsidRPr="00EF423A">
        <w:rPr>
          <w:rFonts w:ascii="Palatino Linotype" w:eastAsia="Palatino Linotype" w:hAnsi="Palatino Linotype" w:cs="Palatino Linotype"/>
          <w:i/>
          <w:sz w:val="22"/>
          <w:szCs w:val="22"/>
        </w:rPr>
        <w:t xml:space="preserve"> </w:t>
      </w:r>
      <w:r w:rsidRPr="00EF423A">
        <w:rPr>
          <w:rFonts w:ascii="Palatino Linotype" w:eastAsia="Palatino Linotype" w:hAnsi="Palatino Linotype" w:cs="Palatino Linotype"/>
          <w:b/>
          <w:i/>
          <w:sz w:val="22"/>
          <w:szCs w:val="22"/>
        </w:rPr>
        <w:t>Las aportaciones que deberán cubrir obligatoriamente las instituciones públicas serán las siguientes</w:t>
      </w:r>
      <w:r w:rsidRPr="00EF423A">
        <w:rPr>
          <w:rFonts w:ascii="Palatino Linotype" w:eastAsia="Palatino Linotype" w:hAnsi="Palatino Linotype" w:cs="Palatino Linotype"/>
          <w:i/>
          <w:sz w:val="22"/>
          <w:szCs w:val="22"/>
        </w:rPr>
        <w:t xml:space="preserve">: </w:t>
      </w:r>
    </w:p>
    <w:p w14:paraId="4C0D8A4E" w14:textId="77777777" w:rsidR="00026E8D" w:rsidRPr="00EF423A" w:rsidRDefault="00B0125C">
      <w:pPr>
        <w:spacing w:line="276" w:lineRule="auto"/>
        <w:ind w:left="567" w:right="616"/>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I. El 10% del sueldo sujeto a cotización, para cubrir las prestaciones de servicios de salud; </w:t>
      </w:r>
    </w:p>
    <w:p w14:paraId="3E7FACB3" w14:textId="77777777" w:rsidR="00026E8D" w:rsidRPr="00EF423A" w:rsidRDefault="00B0125C">
      <w:pPr>
        <w:spacing w:line="276" w:lineRule="auto"/>
        <w:ind w:left="567" w:right="616"/>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II. El 9.27% del sueldo sujeto a cotización, para cubrir el financiamiento de pensiones, de la siguiente manera: </w:t>
      </w:r>
    </w:p>
    <w:p w14:paraId="43112B1D" w14:textId="77777777" w:rsidR="00026E8D" w:rsidRPr="00EF423A" w:rsidRDefault="00B0125C">
      <w:pPr>
        <w:spacing w:line="276" w:lineRule="auto"/>
        <w:ind w:left="567" w:right="616"/>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a. 7.42% para el fondo del sistema solidario de reparto. </w:t>
      </w:r>
    </w:p>
    <w:p w14:paraId="04AFDA72" w14:textId="77777777" w:rsidR="00026E8D" w:rsidRPr="00EF423A" w:rsidRDefault="00B0125C">
      <w:pPr>
        <w:spacing w:line="276" w:lineRule="auto"/>
        <w:ind w:left="567" w:right="616"/>
        <w:jc w:val="both"/>
        <w:rPr>
          <w:rFonts w:ascii="Palatino Linotype" w:eastAsia="Palatino Linotype" w:hAnsi="Palatino Linotype" w:cs="Palatino Linotype"/>
          <w:b/>
          <w:i/>
          <w:sz w:val="22"/>
          <w:szCs w:val="22"/>
          <w:u w:val="single"/>
        </w:rPr>
      </w:pPr>
      <w:r w:rsidRPr="00EF423A">
        <w:rPr>
          <w:rFonts w:ascii="Palatino Linotype" w:eastAsia="Palatino Linotype" w:hAnsi="Palatino Linotype" w:cs="Palatino Linotype"/>
          <w:i/>
          <w:sz w:val="22"/>
          <w:szCs w:val="22"/>
          <w:u w:val="single"/>
        </w:rPr>
        <w:t xml:space="preserve">b. </w:t>
      </w:r>
      <w:r w:rsidRPr="00EF423A">
        <w:rPr>
          <w:rFonts w:ascii="Palatino Linotype" w:eastAsia="Palatino Linotype" w:hAnsi="Palatino Linotype" w:cs="Palatino Linotype"/>
          <w:b/>
          <w:i/>
          <w:sz w:val="22"/>
          <w:szCs w:val="22"/>
          <w:u w:val="single"/>
        </w:rPr>
        <w:t xml:space="preserve">1.85% para el sistema de capitalización individual. </w:t>
      </w:r>
    </w:p>
    <w:p w14:paraId="695BF1E5" w14:textId="77777777" w:rsidR="00026E8D" w:rsidRPr="00EF423A" w:rsidRDefault="00B0125C">
      <w:pPr>
        <w:spacing w:line="276" w:lineRule="auto"/>
        <w:ind w:left="567" w:right="616"/>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III. Las que determine anualmente el Consejo Directivo para otras prestaciones, señaladas en el Título IV; </w:t>
      </w:r>
    </w:p>
    <w:p w14:paraId="075BDE06" w14:textId="77777777" w:rsidR="00026E8D" w:rsidRPr="00EF423A" w:rsidRDefault="00B0125C">
      <w:pPr>
        <w:spacing w:line="276" w:lineRule="auto"/>
        <w:ind w:left="567" w:right="616"/>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IV. El 0.875% para gastos de administración; </w:t>
      </w:r>
    </w:p>
    <w:p w14:paraId="6A613B02" w14:textId="77777777" w:rsidR="00026E8D" w:rsidRPr="00EF423A" w:rsidRDefault="00B0125C">
      <w:pPr>
        <w:spacing w:line="276" w:lineRule="auto"/>
        <w:ind w:left="567" w:right="616"/>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V. Las que se generen a cargo de las Instituciones públicas por concepto de riesgos de trabajo.</w:t>
      </w:r>
    </w:p>
    <w:p w14:paraId="2F21A9B9" w14:textId="77777777" w:rsidR="00026E8D" w:rsidRPr="00EF423A" w:rsidRDefault="00026E8D">
      <w:pPr>
        <w:spacing w:line="360" w:lineRule="auto"/>
        <w:jc w:val="both"/>
        <w:rPr>
          <w:rFonts w:ascii="Palatino Linotype" w:eastAsia="Palatino Linotype" w:hAnsi="Palatino Linotype" w:cs="Palatino Linotype"/>
          <w:sz w:val="22"/>
          <w:szCs w:val="22"/>
        </w:rPr>
      </w:pPr>
    </w:p>
    <w:p w14:paraId="3978EA8F" w14:textId="77777777" w:rsidR="00026E8D" w:rsidRPr="00EF423A" w:rsidRDefault="00B0125C">
      <w:pPr>
        <w:spacing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Por lo antes señalado, las aportaciones ya están determinadas por un porcentaje en relación al sueldo del servidor público, las cuales son cubiertas obligatoriamente, tanto por los </w:t>
      </w:r>
      <w:r w:rsidRPr="00EF423A">
        <w:rPr>
          <w:rFonts w:ascii="Palatino Linotype" w:eastAsia="Palatino Linotype" w:hAnsi="Palatino Linotype" w:cs="Palatino Linotype"/>
          <w:sz w:val="22"/>
          <w:szCs w:val="22"/>
        </w:rPr>
        <w:lastRenderedPageBreak/>
        <w:t>servidores públicos, como por las instituciones públicas, por lo que al considerar los porcentajes correspondientes al Sistema de Capitalización Individual (%1,40 de servidor público y %1.85 de la Institución pública), es fácilmente identificable al conocer el sueldo del servidor público, por tanto dichos conceptos deberán de ser públicos, aún y cuando se tratan de deducciones al sueldo del trabajador.</w:t>
      </w:r>
    </w:p>
    <w:p w14:paraId="6ECB4D4F" w14:textId="77777777" w:rsidR="00026E8D" w:rsidRPr="00EF423A" w:rsidRDefault="00026E8D">
      <w:pPr>
        <w:spacing w:line="360" w:lineRule="auto"/>
        <w:jc w:val="both"/>
        <w:rPr>
          <w:rFonts w:ascii="Palatino Linotype" w:eastAsia="Palatino Linotype" w:hAnsi="Palatino Linotype" w:cs="Palatino Linotype"/>
          <w:sz w:val="22"/>
          <w:szCs w:val="22"/>
        </w:rPr>
      </w:pPr>
    </w:p>
    <w:p w14:paraId="0861B5FB" w14:textId="77777777" w:rsidR="00026E8D" w:rsidRPr="00EF423A" w:rsidRDefault="00B0125C">
      <w:pPr>
        <w:pBdr>
          <w:top w:val="nil"/>
          <w:left w:val="nil"/>
          <w:bottom w:val="nil"/>
          <w:right w:val="nil"/>
          <w:between w:val="nil"/>
        </w:pBdr>
        <w:spacing w:line="360" w:lineRule="auto"/>
        <w:jc w:val="both"/>
        <w:rPr>
          <w:rFonts w:ascii="Palatino Linotype" w:eastAsia="Palatino Linotype" w:hAnsi="Palatino Linotype" w:cs="Palatino Linotype"/>
          <w:sz w:val="22"/>
          <w:szCs w:val="22"/>
          <w:u w:val="single"/>
        </w:rPr>
      </w:pPr>
      <w:r w:rsidRPr="00EF423A">
        <w:rPr>
          <w:rFonts w:ascii="Palatino Linotype" w:eastAsia="Palatino Linotype" w:hAnsi="Palatino Linotype" w:cs="Palatino Linotype"/>
          <w:sz w:val="22"/>
          <w:szCs w:val="22"/>
        </w:rPr>
        <w:t xml:space="preserve">Es necesario precisar que existen deducciones que se generan con motivo de una decisión libre y voluntaria de los servidores públicos, como son: </w:t>
      </w:r>
      <w:r w:rsidRPr="00EF423A">
        <w:rPr>
          <w:rFonts w:ascii="Palatino Linotype" w:eastAsia="Palatino Linotype" w:hAnsi="Palatino Linotype" w:cs="Palatino Linotype"/>
          <w:sz w:val="22"/>
          <w:szCs w:val="22"/>
          <w:u w:val="single"/>
        </w:rPr>
        <w:t>créditos personales,</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sz w:val="22"/>
          <w:szCs w:val="22"/>
          <w:u w:val="single"/>
        </w:rPr>
        <w:t xml:space="preserve">cuotas sindicales y fondo de resistencia del Sindicato Único de Trabajadores de los Poderes, Municipios e Institución Descentralizadas del Estado de México, seguro de vida, accidentes y enfermedades. </w:t>
      </w:r>
      <w:r w:rsidRPr="00EF423A">
        <w:rPr>
          <w:rFonts w:ascii="Palatino Linotype" w:eastAsia="Palatino Linotype" w:hAnsi="Palatino Linotype" w:cs="Palatino Linotype"/>
          <w:sz w:val="22"/>
          <w:szCs w:val="22"/>
        </w:rPr>
        <w:t xml:space="preserve">Asimismo, hay otras que se generan con motivo de una sentencia judicial, como es la pensión alimenticia que periódicamente se retira de la cuenta de un empleado, a efecto de que sea entregado a un tercero.  </w:t>
      </w:r>
    </w:p>
    <w:p w14:paraId="278F0F6A" w14:textId="77777777" w:rsidR="00026E8D" w:rsidRPr="00EF423A" w:rsidRDefault="00026E8D">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364F15F2" w14:textId="77777777" w:rsidR="00026E8D" w:rsidRPr="00EF423A" w:rsidRDefault="00B0125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En consecuencia, este tipo de deducciones son fruto de decisiones que impactan en el patrimonio de un servidor público con la finalidad de obtener un beneficio conforme a la decisión de un trabajador, </w:t>
      </w:r>
      <w:r w:rsidRPr="00EF423A">
        <w:rPr>
          <w:rFonts w:ascii="Palatino Linotype" w:eastAsia="Palatino Linotype" w:hAnsi="Palatino Linotype" w:cs="Palatino Linotype"/>
          <w:b/>
          <w:sz w:val="22"/>
          <w:szCs w:val="22"/>
        </w:rPr>
        <w:t xml:space="preserve">mismas que no implican la entrega de recursos con cargo al erario, y tampoco reflejan el ejercicio de una prestación; por el contrario, en dichos casos se trata del libre ejercicio del servidor público para disponer de un ingreso que forma parte de su patrimonio. </w:t>
      </w:r>
      <w:r w:rsidRPr="00EF423A">
        <w:rPr>
          <w:rFonts w:ascii="Palatino Linotype" w:eastAsia="Palatino Linotype" w:hAnsi="Palatino Linotype" w:cs="Palatino Linotype"/>
          <w:sz w:val="22"/>
          <w:szCs w:val="22"/>
        </w:rPr>
        <w:t xml:space="preserve"> Así, dichas deducciones reflejan el destino que un servidor público da a su patrimonio, lo que se aleja de la transparencia y rendición de cuentas, por </w:t>
      </w:r>
      <w:proofErr w:type="gramStart"/>
      <w:r w:rsidRPr="00EF423A">
        <w:rPr>
          <w:rFonts w:ascii="Palatino Linotype" w:eastAsia="Palatino Linotype" w:hAnsi="Palatino Linotype" w:cs="Palatino Linotype"/>
          <w:sz w:val="22"/>
          <w:szCs w:val="22"/>
        </w:rPr>
        <w:t>tanto</w:t>
      </w:r>
      <w:proofErr w:type="gramEnd"/>
      <w:r w:rsidRPr="00EF423A">
        <w:rPr>
          <w:rFonts w:ascii="Palatino Linotype" w:eastAsia="Palatino Linotype" w:hAnsi="Palatino Linotype" w:cs="Palatino Linotype"/>
          <w:sz w:val="22"/>
          <w:szCs w:val="22"/>
        </w:rPr>
        <w:t xml:space="preserve"> se deben de clasificar como confidenciales.</w:t>
      </w:r>
    </w:p>
    <w:p w14:paraId="1309C6D9" w14:textId="77777777" w:rsidR="00026E8D" w:rsidRPr="00EF423A" w:rsidRDefault="00026E8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91E35D1" w14:textId="77777777" w:rsidR="00026E8D" w:rsidRPr="00EF423A" w:rsidRDefault="00B0125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Por otro lado, debemos recordar que el particular peticionó los recibos firmados por los servidores públicos, sin embargo, no se localizó fuente obligacional que mandate al </w:t>
      </w:r>
      <w:r w:rsidRPr="00EF423A">
        <w:rPr>
          <w:rFonts w:ascii="Palatino Linotype" w:eastAsia="Palatino Linotype" w:hAnsi="Palatino Linotype" w:cs="Palatino Linotype"/>
          <w:b/>
          <w:sz w:val="22"/>
          <w:szCs w:val="22"/>
        </w:rPr>
        <w:t xml:space="preserve">Sujeto </w:t>
      </w:r>
      <w:r w:rsidRPr="00EF423A">
        <w:rPr>
          <w:rFonts w:ascii="Palatino Linotype" w:eastAsia="Palatino Linotype" w:hAnsi="Palatino Linotype" w:cs="Palatino Linotype"/>
          <w:b/>
          <w:sz w:val="22"/>
          <w:szCs w:val="22"/>
        </w:rPr>
        <w:lastRenderedPageBreak/>
        <w:t>Obligado</w:t>
      </w:r>
      <w:r w:rsidRPr="00EF423A">
        <w:rPr>
          <w:rFonts w:ascii="Palatino Linotype" w:eastAsia="Palatino Linotype" w:hAnsi="Palatino Linotype" w:cs="Palatino Linotype"/>
          <w:sz w:val="22"/>
          <w:szCs w:val="22"/>
        </w:rPr>
        <w:t xml:space="preserve"> a la firma de estos documentos, por lo que no es pertinente ordenarlos de tal manera.</w:t>
      </w:r>
    </w:p>
    <w:p w14:paraId="17037B9A" w14:textId="77777777" w:rsidR="00026E8D" w:rsidRPr="00EF423A" w:rsidRDefault="00B0125C">
      <w:pPr>
        <w:spacing w:before="240" w:after="240" w:line="360" w:lineRule="auto"/>
        <w:ind w:right="49"/>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sz w:val="22"/>
          <w:szCs w:val="22"/>
        </w:rPr>
        <w:t xml:space="preserve">Por todo lo analizado en este apartado es que se determina pertinente ordenar la entrega del </w:t>
      </w:r>
      <w:r w:rsidRPr="00EF423A">
        <w:rPr>
          <w:rFonts w:ascii="Palatino Linotype" w:eastAsia="Palatino Linotype" w:hAnsi="Palatino Linotype" w:cs="Palatino Linotype"/>
          <w:b/>
          <w:sz w:val="22"/>
          <w:szCs w:val="22"/>
          <w:u w:val="single"/>
        </w:rPr>
        <w:t>recibo de nómina faltante, de la primera quincena de enero del 2025, así como los recibos entregados en respuesta, en correcta versión pública</w:t>
      </w:r>
      <w:r w:rsidRPr="00EF423A">
        <w:rPr>
          <w:rFonts w:ascii="Palatino Linotype" w:eastAsia="Palatino Linotype" w:hAnsi="Palatino Linotype" w:cs="Palatino Linotype"/>
          <w:b/>
          <w:sz w:val="22"/>
          <w:szCs w:val="22"/>
        </w:rPr>
        <w:t>.</w:t>
      </w:r>
    </w:p>
    <w:p w14:paraId="7BA99357" w14:textId="77777777" w:rsidR="00026E8D" w:rsidRPr="00EF423A" w:rsidRDefault="00B0125C">
      <w:pPr>
        <w:shd w:val="clear" w:color="auto" w:fill="EEECE1"/>
        <w:spacing w:before="240" w:after="240" w:line="360" w:lineRule="auto"/>
        <w:ind w:right="49"/>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 xml:space="preserve">4. El organigrama vigente, con indicación del nombre de los servidores públicos que ocupan las áreas correspondientes. </w:t>
      </w:r>
    </w:p>
    <w:p w14:paraId="33866CFD" w14:textId="77777777" w:rsidR="00026E8D" w:rsidRPr="00EF423A" w:rsidRDefault="00B0125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En lo tocante a este punto, observamos que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fue omiso en pronunciarse, por lo tanto, es dable afirmar que la respuesta no se emitió en apego a los principios de congruencia y exhaustividad, consagrados en el contenido del Criterio Orientador 02/2017 emitido por el entonces Instituto Nacional de Transparencia, Acceso a la Información y Protección de Datos Personales (INAI) el cual establece lo siguiente: </w:t>
      </w:r>
    </w:p>
    <w:p w14:paraId="470FED77" w14:textId="77777777" w:rsidR="00026E8D" w:rsidRPr="00EF423A" w:rsidRDefault="00026E8D">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4915D9FA" w14:textId="77777777" w:rsidR="00026E8D" w:rsidRPr="00EF423A" w:rsidRDefault="00B0125C">
      <w:pPr>
        <w:pBdr>
          <w:top w:val="nil"/>
          <w:left w:val="nil"/>
          <w:bottom w:val="nil"/>
          <w:right w:val="nil"/>
          <w:between w:val="nil"/>
        </w:pBdr>
        <w:shd w:val="clear" w:color="auto" w:fill="FFFFFF"/>
        <w:spacing w:line="276" w:lineRule="auto"/>
        <w:ind w:left="567" w:right="567"/>
        <w:jc w:val="both"/>
      </w:pPr>
      <w:r w:rsidRPr="00EF423A">
        <w:rPr>
          <w:rFonts w:ascii="Palatino Linotype" w:eastAsia="Palatino Linotype" w:hAnsi="Palatino Linotype" w:cs="Palatino Linotype"/>
          <w:b/>
          <w:i/>
          <w:sz w:val="22"/>
          <w:szCs w:val="22"/>
        </w:rPr>
        <w:t xml:space="preserve">“Congruencia y exhaustividad. Sus alcances para garantizar el derecho de acceso a la información. </w:t>
      </w:r>
      <w:r w:rsidRPr="00EF423A">
        <w:rPr>
          <w:rFonts w:ascii="Palatino Linotype" w:eastAsia="Palatino Linotype" w:hAnsi="Palatino Linotype" w:cs="Palatino Linotype"/>
          <w:i/>
          <w:sz w:val="22"/>
          <w:szCs w:val="22"/>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6582D4D"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lastRenderedPageBreak/>
        <w:t xml:space="preserve">Es así, que los sujetos obligados para garantizar el derecho de acceso a la Información, deberán cumplir con los principios de exhaustividad y congruencia, esto es, que la congruencia </w:t>
      </w:r>
      <w:r w:rsidRPr="00EF423A">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EF423A">
        <w:rPr>
          <w:rFonts w:ascii="Palatino Linotype" w:eastAsia="Palatino Linotype" w:hAnsi="Palatino Linotype" w:cs="Palatino Linotype"/>
          <w:sz w:val="22"/>
          <w:szCs w:val="22"/>
        </w:rPr>
        <w:t xml:space="preserve">, mientras que la exhaustividad establece que el sujeto obligado </w:t>
      </w:r>
      <w:r w:rsidRPr="00EF423A">
        <w:rPr>
          <w:rFonts w:ascii="Palatino Linotype" w:eastAsia="Palatino Linotype" w:hAnsi="Palatino Linotype" w:cs="Palatino Linotype"/>
          <w:b/>
          <w:sz w:val="22"/>
          <w:szCs w:val="22"/>
        </w:rPr>
        <w:t>deberá atender de manera expresa cada uno de los puntos solicitados</w:t>
      </w:r>
      <w:r w:rsidRPr="00EF423A">
        <w:rPr>
          <w:rFonts w:ascii="Palatino Linotype" w:eastAsia="Palatino Linotype" w:hAnsi="Palatino Linotype" w:cs="Palatino Linotype"/>
          <w:sz w:val="22"/>
          <w:szCs w:val="22"/>
        </w:rPr>
        <w:t xml:space="preserve">, situación que en el presente caso </w:t>
      </w:r>
      <w:r w:rsidRPr="00EF423A">
        <w:rPr>
          <w:rFonts w:ascii="Palatino Linotype" w:eastAsia="Palatino Linotype" w:hAnsi="Palatino Linotype" w:cs="Palatino Linotype"/>
          <w:b/>
          <w:sz w:val="22"/>
          <w:szCs w:val="22"/>
          <w:u w:val="single"/>
        </w:rPr>
        <w:t>no aconteció</w:t>
      </w:r>
      <w:r w:rsidRPr="00EF423A">
        <w:rPr>
          <w:rFonts w:ascii="Palatino Linotype" w:eastAsia="Palatino Linotype" w:hAnsi="Palatino Linotype" w:cs="Palatino Linotype"/>
          <w:sz w:val="22"/>
          <w:szCs w:val="22"/>
        </w:rPr>
        <w:t xml:space="preserve">, pues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no emitió un pronunciamiento respecto del punto materia de análisis.</w:t>
      </w:r>
    </w:p>
    <w:p w14:paraId="5FCEC8E0"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Respecto a la naturaleza de la información, se tiene que esta constituye una obligación de transparencia común, contemplada en el artículo 92, fracción II de la Ley de Transparencia Local, misma que se trae a colación: </w:t>
      </w:r>
    </w:p>
    <w:p w14:paraId="1AFD146A" w14:textId="77777777" w:rsidR="00026E8D" w:rsidRPr="00EF423A" w:rsidRDefault="00026E8D">
      <w:pPr>
        <w:spacing w:before="240" w:after="240" w:line="360" w:lineRule="auto"/>
        <w:ind w:right="49"/>
        <w:jc w:val="both"/>
        <w:rPr>
          <w:rFonts w:ascii="Palatino Linotype" w:eastAsia="Palatino Linotype" w:hAnsi="Palatino Linotype" w:cs="Palatino Linotype"/>
          <w:sz w:val="22"/>
          <w:szCs w:val="22"/>
        </w:rPr>
      </w:pPr>
    </w:p>
    <w:p w14:paraId="7A04F494" w14:textId="77777777" w:rsidR="00026E8D" w:rsidRPr="00EF423A" w:rsidRDefault="00B0125C">
      <w:pPr>
        <w:spacing w:before="240" w:after="240"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“Artículo 92. Los sujetos obligados deberán poner a disposición del público de manera permanente </w:t>
      </w:r>
      <w:proofErr w:type="gramStart"/>
      <w:r w:rsidRPr="00EF423A">
        <w:rPr>
          <w:rFonts w:ascii="Palatino Linotype" w:eastAsia="Palatino Linotype" w:hAnsi="Palatino Linotype" w:cs="Palatino Linotype"/>
          <w:i/>
          <w:sz w:val="22"/>
          <w:szCs w:val="22"/>
        </w:rPr>
        <w:t>y  actualizada</w:t>
      </w:r>
      <w:proofErr w:type="gramEnd"/>
      <w:r w:rsidRPr="00EF423A">
        <w:rPr>
          <w:rFonts w:ascii="Palatino Linotype" w:eastAsia="Palatino Linotype" w:hAnsi="Palatino Linotype" w:cs="Palatino Linotype"/>
          <w:i/>
          <w:sz w:val="22"/>
          <w:szCs w:val="22"/>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B27DC4F" w14:textId="77777777" w:rsidR="00026E8D" w:rsidRPr="00EF423A" w:rsidRDefault="00B0125C">
      <w:pPr>
        <w:spacing w:before="240" w:after="240"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w:t>
      </w:r>
    </w:p>
    <w:p w14:paraId="333B96FF" w14:textId="77777777" w:rsidR="00026E8D" w:rsidRPr="00EF423A" w:rsidRDefault="00B0125C">
      <w:pPr>
        <w:spacing w:before="240" w:after="240"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u w:val="single"/>
        </w:rPr>
        <w:t>II.  Su estructura orgánica completa</w:t>
      </w:r>
      <w:r w:rsidRPr="00EF423A">
        <w:rPr>
          <w:rFonts w:ascii="Palatino Linotype" w:eastAsia="Palatino Linotype" w:hAnsi="Palatino Linotype" w:cs="Palatino Linotype"/>
          <w:i/>
          <w:sz w:val="22"/>
          <w:szCs w:val="22"/>
        </w:rPr>
        <w:t xml:space="preserve">, en un formato que permita vincular cada parte de la </w:t>
      </w:r>
      <w:proofErr w:type="gramStart"/>
      <w:r w:rsidRPr="00EF423A">
        <w:rPr>
          <w:rFonts w:ascii="Palatino Linotype" w:eastAsia="Palatino Linotype" w:hAnsi="Palatino Linotype" w:cs="Palatino Linotype"/>
          <w:i/>
          <w:sz w:val="22"/>
          <w:szCs w:val="22"/>
        </w:rPr>
        <w:t>estructura,  las</w:t>
      </w:r>
      <w:proofErr w:type="gramEnd"/>
      <w:r w:rsidRPr="00EF423A">
        <w:rPr>
          <w:rFonts w:ascii="Palatino Linotype" w:eastAsia="Palatino Linotype" w:hAnsi="Palatino Linotype" w:cs="Palatino Linotype"/>
          <w:i/>
          <w:sz w:val="22"/>
          <w:szCs w:val="22"/>
        </w:rPr>
        <w:t xml:space="preserve"> atribuciones y responsabilidades que le corresponden a cada servidor público, prestador de  servicios profesionales o miembro de los sujetos obligados, de conformidad con las disposiciones  jurídicas aplicables;” (Énfasis añadido)</w:t>
      </w:r>
    </w:p>
    <w:p w14:paraId="101C7561"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Aunado a lo anterior, los Lineamientos Técnicos Generales para la publicación,  homologación y estandarización de la información de las  obligaciones establecidas en el Título Quinto y en la fracción  IV del artículo 31 de la Ley General de Transparencia y  </w:t>
      </w:r>
      <w:r w:rsidRPr="00EF423A">
        <w:rPr>
          <w:rFonts w:ascii="Palatino Linotype" w:eastAsia="Palatino Linotype" w:hAnsi="Palatino Linotype" w:cs="Palatino Linotype"/>
          <w:sz w:val="22"/>
          <w:szCs w:val="22"/>
        </w:rPr>
        <w:lastRenderedPageBreak/>
        <w:t xml:space="preserve">Acceso a la Información Pública, que deben de difundir los  sujetos obligados en los portales de Internet y en la  Plataforma Nacional de Transparencia, vigentes a la fecha de la solicitud contemplan que dentro de esta fracción deberá publicarse el organigrama para efecto de visualizar gráficamente la estructura interna del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w:t>
      </w:r>
    </w:p>
    <w:p w14:paraId="2ECFBB51" w14:textId="77777777" w:rsidR="00026E8D" w:rsidRPr="00EF423A" w:rsidRDefault="00B0125C">
      <w:pPr>
        <w:spacing w:before="240" w:after="240"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“II.  Su estructura orgánica completa, en un formato que permita vincular cada parte de </w:t>
      </w:r>
      <w:proofErr w:type="gramStart"/>
      <w:r w:rsidRPr="00EF423A">
        <w:rPr>
          <w:rFonts w:ascii="Palatino Linotype" w:eastAsia="Palatino Linotype" w:hAnsi="Palatino Linotype" w:cs="Palatino Linotype"/>
          <w:i/>
          <w:sz w:val="22"/>
          <w:szCs w:val="22"/>
        </w:rPr>
        <w:t>la  estructura</w:t>
      </w:r>
      <w:proofErr w:type="gramEnd"/>
      <w:r w:rsidRPr="00EF423A">
        <w:rPr>
          <w:rFonts w:ascii="Palatino Linotype" w:eastAsia="Palatino Linotype" w:hAnsi="Palatino Linotype" w:cs="Palatino Linotype"/>
          <w:i/>
          <w:sz w:val="22"/>
          <w:szCs w:val="22"/>
        </w:rPr>
        <w:t xml:space="preserve">, las atribuciones y responsabilidades que le corresponden a cada servidor  público, prestador de servicios profesionales o miembro de los sujetos obligados de  conformidad con las disposiciones aplicables </w:t>
      </w:r>
    </w:p>
    <w:p w14:paraId="7251EB4A" w14:textId="77777777" w:rsidR="00026E8D" w:rsidRPr="00EF423A" w:rsidRDefault="00B0125C">
      <w:pPr>
        <w:spacing w:before="240" w:after="240"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El sujeto obligado incluirá la estructura orgánica que da cuenta de la distribución y orden de las funciones </w:t>
      </w:r>
      <w:proofErr w:type="gramStart"/>
      <w:r w:rsidRPr="00EF423A">
        <w:rPr>
          <w:rFonts w:ascii="Palatino Linotype" w:eastAsia="Palatino Linotype" w:hAnsi="Palatino Linotype" w:cs="Palatino Linotype"/>
          <w:i/>
          <w:sz w:val="22"/>
          <w:szCs w:val="22"/>
        </w:rPr>
        <w:t>que  se</w:t>
      </w:r>
      <w:proofErr w:type="gramEnd"/>
      <w:r w:rsidRPr="00EF423A">
        <w:rPr>
          <w:rFonts w:ascii="Palatino Linotype" w:eastAsia="Palatino Linotype" w:hAnsi="Palatino Linotype" w:cs="Palatino Linotype"/>
          <w:i/>
          <w:sz w:val="22"/>
          <w:szCs w:val="22"/>
        </w:rPr>
        <w:t xml:space="preserve"> establecen para el cumplimiento de sus objetivos conforme a criterios de jerarquía y especialización,  ordenados mediante los catálogos de las áreas que integran el sujeto obligado; de tal forma que sea posible  visualizar los niveles jerárquicos y sus relaciones de dependencia de acuerdo con el estatuto orgánico u otro  ordenamiento que le aplique. </w:t>
      </w:r>
    </w:p>
    <w:p w14:paraId="4BBC600E" w14:textId="77777777" w:rsidR="00026E8D" w:rsidRPr="00EF423A" w:rsidRDefault="00B0125C">
      <w:pPr>
        <w:spacing w:before="240" w:after="240"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Se deberá publicar la estructura vigente, es decir, la que está en operación en el sujeto obligado y ha </w:t>
      </w:r>
      <w:proofErr w:type="gramStart"/>
      <w:r w:rsidRPr="00EF423A">
        <w:rPr>
          <w:rFonts w:ascii="Palatino Linotype" w:eastAsia="Palatino Linotype" w:hAnsi="Palatino Linotype" w:cs="Palatino Linotype"/>
          <w:i/>
          <w:sz w:val="22"/>
          <w:szCs w:val="22"/>
        </w:rPr>
        <w:t>sido  aprobada</w:t>
      </w:r>
      <w:proofErr w:type="gramEnd"/>
      <w:r w:rsidRPr="00EF423A">
        <w:rPr>
          <w:rFonts w:ascii="Palatino Linotype" w:eastAsia="Palatino Linotype" w:hAnsi="Palatino Linotype" w:cs="Palatino Linotype"/>
          <w:i/>
          <w:sz w:val="22"/>
          <w:szCs w:val="22"/>
        </w:rPr>
        <w:t xml:space="preserve"> y/o dictaminada por la autoridad competente. En aquellos casos en los que dicha estructura </w:t>
      </w:r>
      <w:proofErr w:type="gramStart"/>
      <w:r w:rsidRPr="00EF423A">
        <w:rPr>
          <w:rFonts w:ascii="Palatino Linotype" w:eastAsia="Palatino Linotype" w:hAnsi="Palatino Linotype" w:cs="Palatino Linotype"/>
          <w:i/>
          <w:sz w:val="22"/>
          <w:szCs w:val="22"/>
        </w:rPr>
        <w:t>no  corresponda</w:t>
      </w:r>
      <w:proofErr w:type="gramEnd"/>
      <w:r w:rsidRPr="00EF423A">
        <w:rPr>
          <w:rFonts w:ascii="Palatino Linotype" w:eastAsia="Palatino Linotype" w:hAnsi="Palatino Linotype" w:cs="Palatino Linotype"/>
          <w:i/>
          <w:sz w:val="22"/>
          <w:szCs w:val="22"/>
        </w:rPr>
        <w:t xml:space="preserve"> con la funcional, deberá especificarse cuáles puestos se encuentran en tránsito de aprobación por  parte de las autoridades competentes. Si la estructura aprobada se modifica, los sujetos obligados </w:t>
      </w:r>
      <w:proofErr w:type="gramStart"/>
      <w:r w:rsidRPr="00EF423A">
        <w:rPr>
          <w:rFonts w:ascii="Palatino Linotype" w:eastAsia="Palatino Linotype" w:hAnsi="Palatino Linotype" w:cs="Palatino Linotype"/>
          <w:i/>
          <w:sz w:val="22"/>
          <w:szCs w:val="22"/>
        </w:rPr>
        <w:t>deberán  aclarar</w:t>
      </w:r>
      <w:proofErr w:type="gramEnd"/>
      <w:r w:rsidRPr="00EF423A">
        <w:rPr>
          <w:rFonts w:ascii="Palatino Linotype" w:eastAsia="Palatino Linotype" w:hAnsi="Palatino Linotype" w:cs="Palatino Linotype"/>
          <w:i/>
          <w:sz w:val="22"/>
          <w:szCs w:val="22"/>
        </w:rPr>
        <w:t xml:space="preserve"> mediante una nota fundamentada, motivada y actualizada al periodo que corresponda, cuáles son las  áreas de reciente creación, las que cambiaron de denominación (anterior y actual) y aquéllas que  desaparecieron. Esta nota se conservará durante un trimestre, el cual empezará a contar a partir de </w:t>
      </w:r>
      <w:proofErr w:type="gramStart"/>
      <w:r w:rsidRPr="00EF423A">
        <w:rPr>
          <w:rFonts w:ascii="Palatino Linotype" w:eastAsia="Palatino Linotype" w:hAnsi="Palatino Linotype" w:cs="Palatino Linotype"/>
          <w:i/>
          <w:sz w:val="22"/>
          <w:szCs w:val="22"/>
        </w:rPr>
        <w:t>la  actualización</w:t>
      </w:r>
      <w:proofErr w:type="gramEnd"/>
      <w:r w:rsidRPr="00EF423A">
        <w:rPr>
          <w:rFonts w:ascii="Palatino Linotype" w:eastAsia="Palatino Linotype" w:hAnsi="Palatino Linotype" w:cs="Palatino Linotype"/>
          <w:i/>
          <w:sz w:val="22"/>
          <w:szCs w:val="22"/>
        </w:rPr>
        <w:t xml:space="preserve"> de la fracción.</w:t>
      </w:r>
    </w:p>
    <w:p w14:paraId="14BDE1C4" w14:textId="77777777" w:rsidR="00026E8D" w:rsidRPr="00EF423A" w:rsidRDefault="00B0125C">
      <w:pPr>
        <w:spacing w:before="240" w:after="240"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w:t>
      </w:r>
    </w:p>
    <w:p w14:paraId="538AC629" w14:textId="77777777" w:rsidR="00026E8D" w:rsidRPr="00EF423A" w:rsidRDefault="00B0125C">
      <w:pPr>
        <w:spacing w:before="240" w:after="240"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u w:val="single"/>
        </w:rPr>
        <w:t xml:space="preserve">Además, se publicará un hipervínculo al organigrama completo, con el objetivo de visualizar la </w:t>
      </w:r>
      <w:proofErr w:type="gramStart"/>
      <w:r w:rsidRPr="00EF423A">
        <w:rPr>
          <w:rFonts w:ascii="Palatino Linotype" w:eastAsia="Palatino Linotype" w:hAnsi="Palatino Linotype" w:cs="Palatino Linotype"/>
          <w:b/>
          <w:i/>
          <w:sz w:val="22"/>
          <w:szCs w:val="22"/>
          <w:u w:val="single"/>
        </w:rPr>
        <w:t>representación  gráfica</w:t>
      </w:r>
      <w:proofErr w:type="gramEnd"/>
      <w:r w:rsidRPr="00EF423A">
        <w:rPr>
          <w:rFonts w:ascii="Palatino Linotype" w:eastAsia="Palatino Linotype" w:hAnsi="Palatino Linotype" w:cs="Palatino Linotype"/>
          <w:b/>
          <w:i/>
          <w:sz w:val="22"/>
          <w:szCs w:val="22"/>
          <w:u w:val="single"/>
        </w:rPr>
        <w:t xml:space="preserve"> de la estructura orgánica, desde el puesto del titular del sujeto obligado hasta el nivel de jefatura de </w:t>
      </w:r>
      <w:r w:rsidRPr="00EF423A">
        <w:rPr>
          <w:rFonts w:ascii="Palatino Linotype" w:eastAsia="Palatino Linotype" w:hAnsi="Palatino Linotype" w:cs="Palatino Linotype"/>
          <w:b/>
          <w:i/>
          <w:sz w:val="22"/>
          <w:szCs w:val="22"/>
          <w:u w:val="single"/>
        </w:rPr>
        <w:lastRenderedPageBreak/>
        <w:t xml:space="preserve">departamento </w:t>
      </w:r>
      <w:proofErr w:type="spellStart"/>
      <w:r w:rsidRPr="00EF423A">
        <w:rPr>
          <w:rFonts w:ascii="Palatino Linotype" w:eastAsia="Palatino Linotype" w:hAnsi="Palatino Linotype" w:cs="Palatino Linotype"/>
          <w:b/>
          <w:i/>
          <w:sz w:val="22"/>
          <w:szCs w:val="22"/>
          <w:u w:val="single"/>
        </w:rPr>
        <w:t>u</w:t>
      </w:r>
      <w:proofErr w:type="spellEnd"/>
      <w:r w:rsidRPr="00EF423A">
        <w:rPr>
          <w:rFonts w:ascii="Palatino Linotype" w:eastAsia="Palatino Linotype" w:hAnsi="Palatino Linotype" w:cs="Palatino Linotype"/>
          <w:b/>
          <w:i/>
          <w:sz w:val="22"/>
          <w:szCs w:val="22"/>
          <w:u w:val="single"/>
        </w:rPr>
        <w:t xml:space="preserve"> homólogo y, en su caso, los prestadores de servicios profesionales y/o cualquier otro tipo de  personal adscrito.” </w:t>
      </w:r>
      <w:r w:rsidRPr="00EF423A">
        <w:rPr>
          <w:rFonts w:ascii="Palatino Linotype" w:eastAsia="Palatino Linotype" w:hAnsi="Palatino Linotype" w:cs="Palatino Linotype"/>
          <w:i/>
          <w:sz w:val="22"/>
          <w:szCs w:val="22"/>
        </w:rPr>
        <w:t>(Énfasis añadido)</w:t>
      </w:r>
    </w:p>
    <w:p w14:paraId="0DE1084F"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De lo anteriormente citado, se tiene que el organigrama constituye parte de una obligación de transparencia, por lo que resulta pertinente ordenar su entrega; no obstante lo anterior, de las citas previamente realizadas, no se aprecia fuente obligacional para que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genere un organigrama estableciendo el nombre del servidor público que detenta cada cargo, por lo que para satisfacer este punto, bastará con que se haga entrega del </w:t>
      </w:r>
      <w:r w:rsidRPr="00EF423A">
        <w:rPr>
          <w:rFonts w:ascii="Palatino Linotype" w:eastAsia="Palatino Linotype" w:hAnsi="Palatino Linotype" w:cs="Palatino Linotype"/>
          <w:b/>
          <w:sz w:val="22"/>
          <w:szCs w:val="22"/>
        </w:rPr>
        <w:t>organigrama del Sistema Municipal Para el Desarrollo Integral de la Familia de Huehuetoca, vigente al 25 de febrero de 2025.</w:t>
      </w:r>
    </w:p>
    <w:p w14:paraId="0D088A61" w14:textId="77777777" w:rsidR="00026E8D" w:rsidRPr="00EF423A" w:rsidRDefault="00B0125C">
      <w:pPr>
        <w:shd w:val="clear" w:color="auto" w:fill="EEECE1"/>
        <w:spacing w:before="240" w:after="240" w:line="360" w:lineRule="auto"/>
        <w:ind w:right="900"/>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 xml:space="preserve">5. El número de vacantes desglosado por áreas. </w:t>
      </w:r>
    </w:p>
    <w:p w14:paraId="1BB17040"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En lo concerniente a este apartado, tenemos </w:t>
      </w:r>
      <w:proofErr w:type="gramStart"/>
      <w:r w:rsidRPr="00EF423A">
        <w:rPr>
          <w:rFonts w:ascii="Palatino Linotype" w:eastAsia="Palatino Linotype" w:hAnsi="Palatino Linotype" w:cs="Palatino Linotype"/>
          <w:sz w:val="22"/>
          <w:szCs w:val="22"/>
        </w:rPr>
        <w:t>que</w:t>
      </w:r>
      <w:proofErr w:type="gramEnd"/>
      <w:r w:rsidRPr="00EF423A">
        <w:rPr>
          <w:rFonts w:ascii="Palatino Linotype" w:eastAsia="Palatino Linotype" w:hAnsi="Palatino Linotype" w:cs="Palatino Linotype"/>
          <w:sz w:val="22"/>
          <w:szCs w:val="22"/>
        </w:rPr>
        <w:t xml:space="preserve"> en respuesta, el Tesorero del Sistema Municipal Para el Desarrollo Integral de la Familia de Huehuetoca, refirió que adjunta el listado de vacantes, sin embargo, de la revisión a la documentación en análisis, observamos que el documento adjuntado, da cuenta de incidencias dentro de la primera quincena de enero, tales como faltas, retardos, bajas y altas de 63 servidores públicos:</w:t>
      </w:r>
    </w:p>
    <w:p w14:paraId="012C05E5" w14:textId="77777777" w:rsidR="00026E8D" w:rsidRPr="00EF423A" w:rsidRDefault="00B0125C">
      <w:pPr>
        <w:spacing w:before="240" w:after="240" w:line="360" w:lineRule="auto"/>
        <w:ind w:right="900"/>
        <w:jc w:val="center"/>
        <w:rPr>
          <w:rFonts w:ascii="Palatino Linotype" w:eastAsia="Palatino Linotype" w:hAnsi="Palatino Linotype" w:cs="Palatino Linotype"/>
          <w:sz w:val="22"/>
          <w:szCs w:val="22"/>
        </w:rPr>
      </w:pPr>
      <w:r w:rsidRPr="00EF423A">
        <w:rPr>
          <w:rFonts w:ascii="Palatino Linotype" w:eastAsia="Palatino Linotype" w:hAnsi="Palatino Linotype" w:cs="Palatino Linotype"/>
          <w:noProof/>
          <w:sz w:val="22"/>
          <w:szCs w:val="22"/>
        </w:rPr>
        <w:lastRenderedPageBreak/>
        <w:drawing>
          <wp:inline distT="0" distB="0" distL="0" distR="0" wp14:anchorId="1EC724FB" wp14:editId="58E27884">
            <wp:extent cx="4906060" cy="2857899"/>
            <wp:effectExtent l="0" t="0" r="0" b="0"/>
            <wp:docPr id="7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4906060" cy="2857899"/>
                    </a:xfrm>
                    <a:prstGeom prst="rect">
                      <a:avLst/>
                    </a:prstGeom>
                    <a:ln/>
                  </pic:spPr>
                </pic:pic>
              </a:graphicData>
            </a:graphic>
          </wp:inline>
        </w:drawing>
      </w:r>
    </w:p>
    <w:p w14:paraId="10EACFFA"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Es de vital importancia señalar que esta información no guarda relación en lo absoluto, con lo solicitado por el particular, por lo tanto, es dable afirmar que esta parte de la respuesta no se emitió en apego a los principios de congruencia y exhaustividad, consagrados en el contenido del Criterio Orientador 02/2017 emitido por el entonces Instituto Nacional de Transparencia, Acceso a la Información y Protección de Datos Personales (INAI) el cual se citó en su totalidad, en líneas anteriores. </w:t>
      </w:r>
    </w:p>
    <w:p w14:paraId="1B395CA0"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Establecido lo anterior, tenemos que la información solicitada por el particular, constituye una obligación de transparencia común consagrada en el artículo 92, fracción X:</w:t>
      </w:r>
    </w:p>
    <w:p w14:paraId="02A32AF3" w14:textId="77777777" w:rsidR="00026E8D" w:rsidRPr="00EF423A" w:rsidRDefault="00B0125C">
      <w:pPr>
        <w:spacing w:before="240" w:after="240"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“Artículo 92. Los sujetos obligados deberán poner a disposición del público de manera permanente </w:t>
      </w:r>
      <w:proofErr w:type="gramStart"/>
      <w:r w:rsidRPr="00EF423A">
        <w:rPr>
          <w:rFonts w:ascii="Palatino Linotype" w:eastAsia="Palatino Linotype" w:hAnsi="Palatino Linotype" w:cs="Palatino Linotype"/>
          <w:i/>
          <w:sz w:val="22"/>
          <w:szCs w:val="22"/>
        </w:rPr>
        <w:t>y  actualizada</w:t>
      </w:r>
      <w:proofErr w:type="gramEnd"/>
      <w:r w:rsidRPr="00EF423A">
        <w:rPr>
          <w:rFonts w:ascii="Palatino Linotype" w:eastAsia="Palatino Linotype" w:hAnsi="Palatino Linotype" w:cs="Palatino Linotype"/>
          <w:i/>
          <w:sz w:val="22"/>
          <w:szCs w:val="22"/>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8B36CAE" w14:textId="77777777" w:rsidR="00026E8D" w:rsidRPr="00EF423A" w:rsidRDefault="00B0125C">
      <w:pPr>
        <w:spacing w:before="240" w:after="240"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w:t>
      </w:r>
    </w:p>
    <w:p w14:paraId="265D1A7B" w14:textId="77777777" w:rsidR="00026E8D" w:rsidRPr="00EF423A" w:rsidRDefault="00B0125C">
      <w:pPr>
        <w:spacing w:before="240" w:after="240" w:line="276" w:lineRule="auto"/>
        <w:ind w:left="567" w:right="900"/>
        <w:jc w:val="both"/>
        <w:rPr>
          <w:rFonts w:ascii="Palatino Linotype" w:eastAsia="Palatino Linotype" w:hAnsi="Palatino Linotype" w:cs="Palatino Linotype"/>
          <w:b/>
          <w:i/>
          <w:sz w:val="22"/>
          <w:szCs w:val="22"/>
          <w:u w:val="single"/>
        </w:rPr>
      </w:pPr>
      <w:r w:rsidRPr="00EF423A">
        <w:rPr>
          <w:rFonts w:ascii="Palatino Linotype" w:eastAsia="Palatino Linotype" w:hAnsi="Palatino Linotype" w:cs="Palatino Linotype"/>
          <w:i/>
          <w:sz w:val="22"/>
          <w:szCs w:val="22"/>
        </w:rPr>
        <w:lastRenderedPageBreak/>
        <w:t xml:space="preserve">X. El número total de las plazas y del personal de base y de confianza, </w:t>
      </w:r>
      <w:r w:rsidRPr="00EF423A">
        <w:rPr>
          <w:rFonts w:ascii="Palatino Linotype" w:eastAsia="Palatino Linotype" w:hAnsi="Palatino Linotype" w:cs="Palatino Linotype"/>
          <w:b/>
          <w:i/>
          <w:sz w:val="22"/>
          <w:szCs w:val="22"/>
          <w:u w:val="single"/>
        </w:rPr>
        <w:t xml:space="preserve">especificando el total de las vacantes, por nivel de puesto, para cada unidad administrativa;” </w:t>
      </w:r>
      <w:r w:rsidRPr="00EF423A">
        <w:rPr>
          <w:rFonts w:ascii="Palatino Linotype" w:eastAsia="Palatino Linotype" w:hAnsi="Palatino Linotype" w:cs="Palatino Linotype"/>
          <w:i/>
          <w:sz w:val="22"/>
          <w:szCs w:val="22"/>
        </w:rPr>
        <w:t>(Énfasis añadido)</w:t>
      </w:r>
    </w:p>
    <w:p w14:paraId="5CCDA983"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Asimismo,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vigentes a la fecha de la solicitud, disponen que en la fracción en comento, deberá publicarse la siguiente información:</w:t>
      </w:r>
    </w:p>
    <w:p w14:paraId="58ECF5B5"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noProof/>
          <w:sz w:val="22"/>
          <w:szCs w:val="22"/>
        </w:rPr>
        <w:drawing>
          <wp:inline distT="0" distB="0" distL="0" distR="0" wp14:anchorId="033636CD" wp14:editId="51E0F797">
            <wp:extent cx="5612130" cy="730885"/>
            <wp:effectExtent l="0" t="0" r="0" b="0"/>
            <wp:docPr id="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612130" cy="730885"/>
                    </a:xfrm>
                    <a:prstGeom prst="rect">
                      <a:avLst/>
                    </a:prstGeom>
                    <a:ln/>
                  </pic:spPr>
                </pic:pic>
              </a:graphicData>
            </a:graphic>
          </wp:inline>
        </w:drawing>
      </w:r>
    </w:p>
    <w:p w14:paraId="159B08E8" w14:textId="77777777" w:rsidR="00026E8D" w:rsidRPr="00EF423A" w:rsidRDefault="00B0125C">
      <w:pPr>
        <w:spacing w:before="240" w:after="240" w:line="360" w:lineRule="auto"/>
        <w:ind w:right="49"/>
        <w:jc w:val="center"/>
        <w:rPr>
          <w:rFonts w:ascii="Palatino Linotype" w:eastAsia="Palatino Linotype" w:hAnsi="Palatino Linotype" w:cs="Palatino Linotype"/>
          <w:sz w:val="22"/>
          <w:szCs w:val="22"/>
        </w:rPr>
      </w:pPr>
      <w:r w:rsidRPr="00EF423A">
        <w:rPr>
          <w:rFonts w:ascii="Palatino Linotype" w:eastAsia="Palatino Linotype" w:hAnsi="Palatino Linotype" w:cs="Palatino Linotype"/>
          <w:noProof/>
          <w:sz w:val="22"/>
          <w:szCs w:val="22"/>
        </w:rPr>
        <w:drawing>
          <wp:inline distT="0" distB="0" distL="0" distR="0" wp14:anchorId="3E8740A3" wp14:editId="65C78375">
            <wp:extent cx="4705013" cy="3154776"/>
            <wp:effectExtent l="0" t="0" r="0" b="0"/>
            <wp:docPr id="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4705013" cy="3154776"/>
                    </a:xfrm>
                    <a:prstGeom prst="rect">
                      <a:avLst/>
                    </a:prstGeom>
                    <a:ln/>
                  </pic:spPr>
                </pic:pic>
              </a:graphicData>
            </a:graphic>
          </wp:inline>
        </w:drawing>
      </w:r>
    </w:p>
    <w:p w14:paraId="77B17230" w14:textId="77777777" w:rsidR="00026E8D" w:rsidRPr="00EF423A" w:rsidRDefault="00B0125C">
      <w:pPr>
        <w:spacing w:before="240" w:after="240" w:line="360" w:lineRule="auto"/>
        <w:ind w:right="49"/>
        <w:jc w:val="both"/>
        <w:rPr>
          <w:rFonts w:ascii="Palatino Linotype" w:eastAsia="Palatino Linotype" w:hAnsi="Palatino Linotype" w:cs="Palatino Linotype"/>
          <w:b/>
          <w:sz w:val="22"/>
          <w:szCs w:val="22"/>
          <w:u w:val="single"/>
        </w:rPr>
      </w:pPr>
      <w:r w:rsidRPr="00EF423A">
        <w:rPr>
          <w:rFonts w:ascii="Palatino Linotype" w:eastAsia="Palatino Linotype" w:hAnsi="Palatino Linotype" w:cs="Palatino Linotype"/>
          <w:sz w:val="22"/>
          <w:szCs w:val="22"/>
        </w:rPr>
        <w:lastRenderedPageBreak/>
        <w:t xml:space="preserve">Por lo tanto, resulta pertinente ordenar el </w:t>
      </w:r>
      <w:r w:rsidRPr="00EF423A">
        <w:rPr>
          <w:rFonts w:ascii="Palatino Linotype" w:eastAsia="Palatino Linotype" w:hAnsi="Palatino Linotype" w:cs="Palatino Linotype"/>
          <w:b/>
          <w:sz w:val="22"/>
          <w:szCs w:val="22"/>
          <w:u w:val="single"/>
        </w:rPr>
        <w:t>documento que dé cuenta de la cantidad de plazas vacantes por área administrativa, al 25 de febrero de 2025.</w:t>
      </w:r>
    </w:p>
    <w:p w14:paraId="6D768755" w14:textId="77777777" w:rsidR="00026E8D" w:rsidRPr="00EF423A" w:rsidRDefault="00B0125C">
      <w:pPr>
        <w:shd w:val="clear" w:color="auto" w:fill="EEECE1"/>
        <w:spacing w:before="240" w:after="240" w:line="360" w:lineRule="auto"/>
        <w:ind w:right="49"/>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6. El número de juicios administrativos o laborales vigentes por despidos injustificados iniciados durante 2025.</w:t>
      </w:r>
    </w:p>
    <w:p w14:paraId="7732B74B" w14:textId="77777777" w:rsidR="00026E8D" w:rsidRPr="00EF423A" w:rsidRDefault="00B0125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En lo referente a este punto, observamos que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fue omiso en pronunciarse, por lo tanto, es dable afirmar que la respuesta no se emitió en apego a los principios de congruencia y exhaustividad, consagrados en el contenido del Criterio Orientador 02/2017 emitido por el entonces Instituto Nacional de Transparencia, Acceso a la Información y Protección de Datos Personales (INAI), citado en su totalidad en líneas anteriores.</w:t>
      </w:r>
    </w:p>
    <w:p w14:paraId="6FAEBC58" w14:textId="77777777" w:rsidR="00026E8D" w:rsidRPr="00EF423A" w:rsidRDefault="00026E8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D7C5ECD" w14:textId="77777777" w:rsidR="00026E8D" w:rsidRPr="00EF423A" w:rsidRDefault="00B0125C">
      <w:pPr>
        <w:spacing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Continuando con nuestro análisis, es preciso mencionar que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no realizó el turno correcto de la presente solicitud, toda vez que dicho requerimiento debió turnarse de manera enunciativa a la </w:t>
      </w:r>
      <w:r w:rsidRPr="00EF423A">
        <w:rPr>
          <w:rFonts w:ascii="Palatino Linotype" w:eastAsia="Palatino Linotype" w:hAnsi="Palatino Linotype" w:cs="Palatino Linotype"/>
          <w:b/>
          <w:sz w:val="22"/>
          <w:szCs w:val="22"/>
        </w:rPr>
        <w:t>Dirección Jurídica</w:t>
      </w:r>
      <w:r w:rsidRPr="00EF423A">
        <w:rPr>
          <w:rFonts w:ascii="Palatino Linotype" w:eastAsia="Palatino Linotype" w:hAnsi="Palatino Linotype" w:cs="Palatino Linotype"/>
          <w:sz w:val="22"/>
          <w:szCs w:val="22"/>
        </w:rPr>
        <w:t xml:space="preserve"> del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para efecto de que realizara una búsqueda exhaustiva y razonable, 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474DA86D" w14:textId="77777777" w:rsidR="00026E8D" w:rsidRPr="00EF423A" w:rsidRDefault="00026E8D">
      <w:pPr>
        <w:spacing w:line="360" w:lineRule="auto"/>
        <w:jc w:val="both"/>
        <w:rPr>
          <w:rFonts w:ascii="Palatino Linotype" w:eastAsia="Palatino Linotype" w:hAnsi="Palatino Linotype" w:cs="Palatino Linotype"/>
          <w:sz w:val="22"/>
          <w:szCs w:val="22"/>
        </w:rPr>
      </w:pPr>
    </w:p>
    <w:p w14:paraId="09434228" w14:textId="77777777" w:rsidR="00026E8D" w:rsidRPr="00EF423A" w:rsidRDefault="00B0125C">
      <w:pPr>
        <w:pBdr>
          <w:top w:val="nil"/>
          <w:left w:val="nil"/>
          <w:bottom w:val="nil"/>
          <w:right w:val="nil"/>
          <w:between w:val="nil"/>
        </w:pBdr>
        <w:spacing w:after="240" w:line="360" w:lineRule="auto"/>
        <w:jc w:val="both"/>
        <w:rPr>
          <w:sz w:val="22"/>
          <w:szCs w:val="22"/>
        </w:rPr>
      </w:pPr>
      <w:r w:rsidRPr="00EF423A">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w:t>
      </w:r>
      <w:r w:rsidRPr="00EF423A">
        <w:rPr>
          <w:rFonts w:ascii="Palatino Linotype" w:eastAsia="Palatino Linotype" w:hAnsi="Palatino Linotype" w:cs="Palatino Linotype"/>
          <w:sz w:val="22"/>
          <w:szCs w:val="22"/>
        </w:rPr>
        <w:lastRenderedPageBreak/>
        <w:t>además de llevar a cabo todas las gestiones necesarias para facilitar el acceso de la información; </w:t>
      </w:r>
    </w:p>
    <w:p w14:paraId="744DA2DD" w14:textId="77777777" w:rsidR="00026E8D" w:rsidRPr="00EF423A" w:rsidRDefault="00B0125C">
      <w:pPr>
        <w:pBdr>
          <w:top w:val="nil"/>
          <w:left w:val="nil"/>
          <w:bottom w:val="nil"/>
          <w:right w:val="nil"/>
          <w:between w:val="nil"/>
        </w:pBdr>
        <w:spacing w:after="240" w:line="360" w:lineRule="auto"/>
        <w:jc w:val="both"/>
        <w:rPr>
          <w:sz w:val="22"/>
          <w:szCs w:val="22"/>
        </w:rPr>
      </w:pPr>
      <w:r w:rsidRPr="00EF423A">
        <w:rPr>
          <w:rFonts w:ascii="Palatino Linotype" w:eastAsia="Palatino Linotype" w:hAnsi="Palatino Linotype" w:cs="Palatino Linotype"/>
          <w:sz w:val="22"/>
          <w:szCs w:val="22"/>
        </w:rPr>
        <w:t>• La respuesta a los requerimientos informativos, deberá notificarse al interesado en el menor tiempo posible, que no podrá exceder de quince días hábiles, contados a partir del día siguiente a la presentación de esta. </w:t>
      </w:r>
    </w:p>
    <w:p w14:paraId="616DEA2D" w14:textId="77777777" w:rsidR="00026E8D" w:rsidRPr="00EF423A" w:rsidRDefault="00B0125C">
      <w:pPr>
        <w:pBdr>
          <w:top w:val="nil"/>
          <w:left w:val="nil"/>
          <w:bottom w:val="nil"/>
          <w:right w:val="nil"/>
          <w:between w:val="nil"/>
        </w:pBdr>
        <w:spacing w:after="240" w:line="360" w:lineRule="auto"/>
        <w:jc w:val="both"/>
        <w:rPr>
          <w:sz w:val="22"/>
          <w:szCs w:val="22"/>
        </w:rPr>
      </w:pPr>
      <w:r w:rsidRPr="00EF423A">
        <w:rPr>
          <w:rFonts w:ascii="Palatino Linotype" w:eastAsia="Palatino Linotype" w:hAnsi="Palatino Linotype" w:cs="Palatino Linotype"/>
          <w:sz w:val="22"/>
          <w:szCs w:val="22"/>
        </w:rPr>
        <w:t>Excepcionalmente, el plazo referido podrá ampliarse por siete días hábiles más, cuando existan razones fundadas y motivadas, a través del Comité de Transparencia; </w:t>
      </w:r>
    </w:p>
    <w:p w14:paraId="50BD9DC8" w14:textId="77777777" w:rsidR="00026E8D" w:rsidRPr="00EF423A" w:rsidRDefault="00B0125C">
      <w:pPr>
        <w:pBdr>
          <w:top w:val="nil"/>
          <w:left w:val="nil"/>
          <w:bottom w:val="nil"/>
          <w:right w:val="nil"/>
          <w:between w:val="nil"/>
        </w:pBdr>
        <w:spacing w:after="240" w:line="360" w:lineRule="auto"/>
        <w:jc w:val="both"/>
        <w:rPr>
          <w:sz w:val="22"/>
          <w:szCs w:val="22"/>
        </w:rPr>
      </w:pPr>
      <w:r w:rsidRPr="00EF423A">
        <w:rPr>
          <w:rFonts w:ascii="Palatino Linotype" w:eastAsia="Palatino Linotype" w:hAnsi="Palatino Linotype" w:cs="Palatino Linotype"/>
          <w:sz w:val="22"/>
          <w:szCs w:val="22"/>
        </w:rPr>
        <w:t>•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155AEEE8" w14:textId="77777777" w:rsidR="00026E8D" w:rsidRPr="00EF423A" w:rsidRDefault="00B0125C">
      <w:pPr>
        <w:pBdr>
          <w:top w:val="nil"/>
          <w:left w:val="nil"/>
          <w:bottom w:val="nil"/>
          <w:right w:val="nil"/>
          <w:between w:val="nil"/>
        </w:pBdr>
        <w:spacing w:after="240" w:line="360" w:lineRule="auto"/>
        <w:jc w:val="both"/>
        <w:rPr>
          <w:sz w:val="22"/>
          <w:szCs w:val="22"/>
        </w:rPr>
      </w:pPr>
      <w:r w:rsidRPr="00EF423A">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deberá ofrecer otras; por lo cual, deberá fundar y motivar la necesidad de modificar el medio de entrega, y </w:t>
      </w:r>
    </w:p>
    <w:p w14:paraId="5C8BE750" w14:textId="77777777" w:rsidR="00026E8D" w:rsidRPr="00EF423A" w:rsidRDefault="00B0125C">
      <w:p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7E35C844" w14:textId="77777777" w:rsidR="00026E8D" w:rsidRPr="00EF423A" w:rsidRDefault="00B0125C">
      <w:pPr>
        <w:spacing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lastRenderedPageBreak/>
        <w:t xml:space="preserve">Por lo insertado con anterioridad, se determina que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cuenta con la obligación de turnar a todas las áreas que se consideren competentes para que realicen una búsqueda exhaustiva y razonable de la información solicitada a fin de que esta sea entregada a los solicitantes.</w:t>
      </w:r>
    </w:p>
    <w:p w14:paraId="7050E198" w14:textId="77777777" w:rsidR="00026E8D" w:rsidRPr="00EF423A" w:rsidRDefault="00B0125C">
      <w:pPr>
        <w:spacing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w:t>
      </w:r>
    </w:p>
    <w:p w14:paraId="69EB7F06" w14:textId="77777777" w:rsidR="00026E8D" w:rsidRPr="00EF423A" w:rsidRDefault="00026E8D">
      <w:pPr>
        <w:spacing w:line="360" w:lineRule="auto"/>
        <w:jc w:val="both"/>
        <w:rPr>
          <w:rFonts w:ascii="Palatino Linotype" w:eastAsia="Palatino Linotype" w:hAnsi="Palatino Linotype" w:cs="Palatino Linotype"/>
          <w:sz w:val="22"/>
          <w:szCs w:val="22"/>
        </w:rPr>
      </w:pPr>
    </w:p>
    <w:p w14:paraId="0A74FE4C" w14:textId="77777777" w:rsidR="00026E8D" w:rsidRPr="00EF423A" w:rsidRDefault="00B0125C">
      <w:pPr>
        <w:spacing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Es de precisar que dicho trámite se debe realizar ante el servidor público habilitado competente, el cual es conceptualizado por los artículos 3, 58 y </w:t>
      </w:r>
      <w:proofErr w:type="gramStart"/>
      <w:r w:rsidRPr="00EF423A">
        <w:rPr>
          <w:rFonts w:ascii="Palatino Linotype" w:eastAsia="Palatino Linotype" w:hAnsi="Palatino Linotype" w:cs="Palatino Linotype"/>
          <w:sz w:val="22"/>
          <w:szCs w:val="22"/>
        </w:rPr>
        <w:t>59  de</w:t>
      </w:r>
      <w:proofErr w:type="gramEnd"/>
      <w:r w:rsidRPr="00EF423A">
        <w:rPr>
          <w:rFonts w:ascii="Palatino Linotype" w:eastAsia="Palatino Linotype" w:hAnsi="Palatino Linotype" w:cs="Palatino Linotype"/>
          <w:sz w:val="22"/>
          <w:szCs w:val="22"/>
        </w:rPr>
        <w:t xml:space="preserve"> la Ley de Transparencia Local, mismos que se insertan a continuación:</w:t>
      </w:r>
    </w:p>
    <w:p w14:paraId="454C596A" w14:textId="77777777" w:rsidR="00026E8D" w:rsidRPr="00EF423A" w:rsidRDefault="00026E8D">
      <w:pPr>
        <w:spacing w:line="360" w:lineRule="auto"/>
        <w:jc w:val="both"/>
        <w:rPr>
          <w:rFonts w:ascii="Palatino Linotype" w:eastAsia="Palatino Linotype" w:hAnsi="Palatino Linotype" w:cs="Palatino Linotype"/>
          <w:sz w:val="22"/>
          <w:szCs w:val="22"/>
        </w:rPr>
      </w:pPr>
    </w:p>
    <w:p w14:paraId="1D0F0D01" w14:textId="77777777" w:rsidR="00026E8D" w:rsidRPr="00EF423A" w:rsidRDefault="00B0125C">
      <w:pPr>
        <w:spacing w:after="240" w:line="276" w:lineRule="auto"/>
        <w:ind w:left="567" w:right="900"/>
        <w:jc w:val="both"/>
        <w:rPr>
          <w:rFonts w:ascii="Palatino Linotype" w:eastAsia="Palatino Linotype" w:hAnsi="Palatino Linotype" w:cs="Palatino Linotype"/>
          <w:b/>
          <w:i/>
          <w:sz w:val="22"/>
          <w:szCs w:val="22"/>
          <w:u w:val="single"/>
        </w:rPr>
      </w:pPr>
      <w:r w:rsidRPr="00EF423A">
        <w:rPr>
          <w:rFonts w:ascii="Palatino Linotype" w:eastAsia="Palatino Linotype" w:hAnsi="Palatino Linotype" w:cs="Palatino Linotype"/>
          <w:i/>
          <w:sz w:val="22"/>
          <w:szCs w:val="22"/>
        </w:rPr>
        <w:t>“</w:t>
      </w:r>
      <w:proofErr w:type="spellStart"/>
      <w:r w:rsidRPr="00EF423A">
        <w:rPr>
          <w:rFonts w:ascii="Palatino Linotype" w:eastAsia="Palatino Linotype" w:hAnsi="Palatino Linotype" w:cs="Palatino Linotype"/>
          <w:i/>
          <w:sz w:val="22"/>
          <w:szCs w:val="22"/>
        </w:rPr>
        <w:t>XXXIX.Servidor</w:t>
      </w:r>
      <w:proofErr w:type="spellEnd"/>
      <w:r w:rsidRPr="00EF423A">
        <w:rPr>
          <w:rFonts w:ascii="Palatino Linotype" w:eastAsia="Palatino Linotype" w:hAnsi="Palatino Linotype" w:cs="Palatino Linotype"/>
          <w:i/>
          <w:sz w:val="22"/>
          <w:szCs w:val="22"/>
        </w:rPr>
        <w:t xml:space="preserve"> público habilitado: </w:t>
      </w:r>
      <w:r w:rsidRPr="00EF423A">
        <w:rPr>
          <w:rFonts w:ascii="Palatino Linotype" w:eastAsia="Palatino Linotype" w:hAnsi="Palatino Linotype" w:cs="Palatino Linotype"/>
          <w:b/>
          <w:i/>
          <w:sz w:val="22"/>
          <w:szCs w:val="22"/>
          <w:u w:val="single"/>
        </w:rPr>
        <w:t>Persona encargada dentro de las diversas unidades administrativas o áreas del sujeto obligado, de apoyar, gestionar y entregar la información</w:t>
      </w:r>
      <w:r w:rsidRPr="00EF423A">
        <w:rPr>
          <w:rFonts w:ascii="Palatino Linotype" w:eastAsia="Palatino Linotype" w:hAnsi="Palatino Linotype" w:cs="Palatino Linotype"/>
          <w:i/>
          <w:sz w:val="22"/>
          <w:szCs w:val="22"/>
        </w:rPr>
        <w:t xml:space="preserve"> o datos personales </w:t>
      </w:r>
      <w:r w:rsidRPr="00EF423A">
        <w:rPr>
          <w:rFonts w:ascii="Palatino Linotype" w:eastAsia="Palatino Linotype" w:hAnsi="Palatino Linotype" w:cs="Palatino Linotype"/>
          <w:b/>
          <w:i/>
          <w:sz w:val="22"/>
          <w:szCs w:val="22"/>
          <w:u w:val="single"/>
        </w:rPr>
        <w:t>que se ubiquen en la misma, a sus respectivas unidades de transparencia; respecto de las solicitudes presentadas y aportar en primera instancia el fundamento y motivación de la clasificación de la información;</w:t>
      </w:r>
    </w:p>
    <w:p w14:paraId="65729C81" w14:textId="77777777" w:rsidR="00026E8D" w:rsidRPr="00EF423A" w:rsidRDefault="00B0125C">
      <w:pPr>
        <w:spacing w:after="240"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w:t>
      </w:r>
    </w:p>
    <w:p w14:paraId="78EAE317" w14:textId="77777777" w:rsidR="00026E8D" w:rsidRPr="00EF423A" w:rsidRDefault="00B0125C">
      <w:pPr>
        <w:spacing w:after="240" w:line="276" w:lineRule="auto"/>
        <w:ind w:left="567" w:right="900"/>
        <w:jc w:val="both"/>
        <w:rPr>
          <w:rFonts w:ascii="Palatino Linotype" w:eastAsia="Palatino Linotype" w:hAnsi="Palatino Linotype" w:cs="Palatino Linotype"/>
          <w:b/>
          <w:i/>
          <w:sz w:val="22"/>
          <w:szCs w:val="22"/>
        </w:rPr>
      </w:pPr>
      <w:r w:rsidRPr="00EF423A">
        <w:rPr>
          <w:rFonts w:ascii="Palatino Linotype" w:eastAsia="Palatino Linotype" w:hAnsi="Palatino Linotype" w:cs="Palatino Linotype"/>
          <w:b/>
          <w:i/>
          <w:sz w:val="22"/>
          <w:szCs w:val="22"/>
        </w:rPr>
        <w:t>Artículo 58. Los servidores públicos habilitados serán designados por el titular del sujeto obligado a propuesta del responsable de la Unidad de Transparencia.</w:t>
      </w:r>
    </w:p>
    <w:p w14:paraId="6616EE93" w14:textId="77777777" w:rsidR="00026E8D" w:rsidRPr="00EF423A" w:rsidRDefault="00B0125C">
      <w:pPr>
        <w:spacing w:after="240" w:line="276" w:lineRule="auto"/>
        <w:ind w:left="567" w:right="900"/>
        <w:jc w:val="both"/>
        <w:rPr>
          <w:rFonts w:ascii="Palatino Linotype" w:eastAsia="Palatino Linotype" w:hAnsi="Palatino Linotype" w:cs="Palatino Linotype"/>
          <w:b/>
          <w:i/>
          <w:sz w:val="22"/>
          <w:szCs w:val="22"/>
        </w:rPr>
      </w:pPr>
      <w:r w:rsidRPr="00EF423A">
        <w:rPr>
          <w:rFonts w:ascii="Palatino Linotype" w:eastAsia="Palatino Linotype" w:hAnsi="Palatino Linotype" w:cs="Palatino Linotype"/>
          <w:b/>
          <w:i/>
          <w:sz w:val="22"/>
          <w:szCs w:val="22"/>
        </w:rPr>
        <w:t>Artículo 59. Los servidores públicos habilitados tendrán las funciones siguientes:</w:t>
      </w:r>
    </w:p>
    <w:p w14:paraId="18CB7C1C" w14:textId="77777777" w:rsidR="00026E8D" w:rsidRPr="00EF423A" w:rsidRDefault="00B0125C">
      <w:pPr>
        <w:spacing w:after="240" w:line="276" w:lineRule="auto"/>
        <w:ind w:left="567" w:right="900"/>
        <w:jc w:val="both"/>
        <w:rPr>
          <w:rFonts w:ascii="Palatino Linotype" w:eastAsia="Palatino Linotype" w:hAnsi="Palatino Linotype" w:cs="Palatino Linotype"/>
          <w:b/>
          <w:i/>
          <w:sz w:val="22"/>
          <w:szCs w:val="22"/>
        </w:rPr>
      </w:pPr>
      <w:r w:rsidRPr="00EF423A">
        <w:rPr>
          <w:rFonts w:ascii="Palatino Linotype" w:eastAsia="Palatino Linotype" w:hAnsi="Palatino Linotype" w:cs="Palatino Linotype"/>
          <w:b/>
          <w:i/>
          <w:sz w:val="22"/>
          <w:szCs w:val="22"/>
        </w:rPr>
        <w:t>I. Localizar la información que le solicite la Unidad de Transparencia;</w:t>
      </w:r>
    </w:p>
    <w:p w14:paraId="5164F791" w14:textId="77777777" w:rsidR="00026E8D" w:rsidRPr="00EF423A" w:rsidRDefault="00B0125C">
      <w:pPr>
        <w:spacing w:after="240" w:line="276" w:lineRule="auto"/>
        <w:ind w:left="567" w:right="900"/>
        <w:jc w:val="both"/>
        <w:rPr>
          <w:rFonts w:ascii="Palatino Linotype" w:eastAsia="Palatino Linotype" w:hAnsi="Palatino Linotype" w:cs="Palatino Linotype"/>
          <w:b/>
          <w:i/>
          <w:sz w:val="22"/>
          <w:szCs w:val="22"/>
        </w:rPr>
      </w:pPr>
      <w:r w:rsidRPr="00EF423A">
        <w:rPr>
          <w:rFonts w:ascii="Palatino Linotype" w:eastAsia="Palatino Linotype" w:hAnsi="Palatino Linotype" w:cs="Palatino Linotype"/>
          <w:b/>
          <w:i/>
          <w:sz w:val="22"/>
          <w:szCs w:val="22"/>
        </w:rPr>
        <w:lastRenderedPageBreak/>
        <w:t>II. Proporcionar la información que obre en los archivos y que le sea solicitada por la Unidad de Transparencia;</w:t>
      </w:r>
    </w:p>
    <w:p w14:paraId="297A54C3" w14:textId="77777777" w:rsidR="00026E8D" w:rsidRPr="00EF423A" w:rsidRDefault="00B0125C">
      <w:pPr>
        <w:spacing w:after="240"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III. Apoyar a la Unidad de Transparencia en lo que esta le solicite para el cumplimiento de sus funciones;</w:t>
      </w:r>
    </w:p>
    <w:p w14:paraId="55128392" w14:textId="77777777" w:rsidR="00026E8D" w:rsidRPr="00EF423A" w:rsidRDefault="00B0125C">
      <w:pPr>
        <w:spacing w:after="240"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IV. Proporcionar a la Unidad de Transparencia, las modificaciones a la información pública de oficio que obre en su poder;</w:t>
      </w:r>
    </w:p>
    <w:p w14:paraId="424E63DC" w14:textId="77777777" w:rsidR="00026E8D" w:rsidRPr="00EF423A" w:rsidRDefault="00B0125C">
      <w:pPr>
        <w:spacing w:after="240"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5459D75F" w14:textId="77777777" w:rsidR="00026E8D" w:rsidRPr="00EF423A" w:rsidRDefault="00B0125C">
      <w:pPr>
        <w:spacing w:after="240"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VI. Verificar, una vez analizado el contenido de la información, que no se encuentre en los supuestos de información clasificada; y</w:t>
      </w:r>
    </w:p>
    <w:p w14:paraId="15A8394C" w14:textId="77777777" w:rsidR="00026E8D" w:rsidRPr="00EF423A" w:rsidRDefault="00B0125C">
      <w:pPr>
        <w:spacing w:after="240"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VII. Dar cuenta a la Unidad de Transparencia del vencimiento de los plazos de reserva.” (Énfasis añadido)</w:t>
      </w:r>
    </w:p>
    <w:p w14:paraId="71AACDA8"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Por lo anterior, se determina pertinente ordenar previa búsqueda exhaustiva y razonable, el </w:t>
      </w:r>
      <w:r w:rsidRPr="00EF423A">
        <w:rPr>
          <w:rFonts w:ascii="Palatino Linotype" w:eastAsia="Palatino Linotype" w:hAnsi="Palatino Linotype" w:cs="Palatino Linotype"/>
          <w:b/>
          <w:sz w:val="22"/>
          <w:szCs w:val="22"/>
          <w:u w:val="single"/>
        </w:rPr>
        <w:t>documento donde conste o se advierta la cantidad de juicios administrativos o laborales por despidos injustificados iniciados del 01 de enero al 25 de febrero del 2025</w:t>
      </w:r>
      <w:r w:rsidRPr="00EF423A">
        <w:rPr>
          <w:rFonts w:ascii="Palatino Linotype" w:eastAsia="Palatino Linotype" w:hAnsi="Palatino Linotype" w:cs="Palatino Linotype"/>
          <w:sz w:val="22"/>
          <w:szCs w:val="22"/>
        </w:rPr>
        <w:t>.</w:t>
      </w:r>
    </w:p>
    <w:p w14:paraId="40A096F3"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No obstante, para el caso de que,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no cuente con dichos documentos, en virtud de que dentro del periodo del que se ordena la información, no se inició juicio administrativo o laboral por despido injustificado, bastará con que así se haga del conocimiento de la persona solicitante para tener por satisfecho del derecho de acceso, de conformidad con lo previsto en el artículo 19, párrafo segundo de la Ley de Transparencia y Acceso a la Información Pública del Estado de México y Municipios, a saber:</w:t>
      </w:r>
    </w:p>
    <w:p w14:paraId="6BCBB7EC" w14:textId="77777777" w:rsidR="00026E8D" w:rsidRPr="00EF423A" w:rsidRDefault="00B0125C">
      <w:pPr>
        <w:spacing w:before="240" w:after="240"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“Artículo 19…</w:t>
      </w:r>
    </w:p>
    <w:p w14:paraId="015BDC2A" w14:textId="77777777" w:rsidR="00026E8D" w:rsidRPr="00EF423A" w:rsidRDefault="00B0125C">
      <w:pPr>
        <w:spacing w:before="240" w:after="240"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lastRenderedPageBreak/>
        <w:t>En los casos en que ciertas facultades, competencias o funciones no se hayan ejercido, se debe motivar la respuesta en función de las causas que motiven tal circunstancia.”</w:t>
      </w:r>
    </w:p>
    <w:p w14:paraId="3C19DB73" w14:textId="77777777" w:rsidR="00026E8D" w:rsidRPr="00EF423A" w:rsidRDefault="00B0125C">
      <w:pPr>
        <w:spacing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Finalmente, no pasa desapercibido </w:t>
      </w:r>
      <w:proofErr w:type="gramStart"/>
      <w:r w:rsidRPr="00EF423A">
        <w:rPr>
          <w:rFonts w:ascii="Palatino Linotype" w:eastAsia="Palatino Linotype" w:hAnsi="Palatino Linotype" w:cs="Palatino Linotype"/>
          <w:sz w:val="22"/>
          <w:szCs w:val="22"/>
        </w:rPr>
        <w:t>que</w:t>
      </w:r>
      <w:proofErr w:type="gramEnd"/>
      <w:r w:rsidRPr="00EF423A">
        <w:rPr>
          <w:rFonts w:ascii="Palatino Linotype" w:eastAsia="Palatino Linotype" w:hAnsi="Palatino Linotype" w:cs="Palatino Linotype"/>
          <w:sz w:val="22"/>
          <w:szCs w:val="22"/>
        </w:rPr>
        <w:t xml:space="preserve"> en el archivo electrónico entregado en respuesta, se dejó visible en la página 140, un número de seguridad social de una servidora pública, el cual actualiza el supuesto de clasificación previsto en el artículo 143, fracción I de la Ley de Transparencia y Acceso a la Información Pública del Estado de México y Municipios, tal como se abordó en líneas anteriores.</w:t>
      </w:r>
    </w:p>
    <w:p w14:paraId="47049A5A" w14:textId="77777777" w:rsidR="00026E8D" w:rsidRPr="00EF423A" w:rsidRDefault="00026E8D">
      <w:pPr>
        <w:spacing w:line="360" w:lineRule="auto"/>
        <w:jc w:val="both"/>
        <w:rPr>
          <w:rFonts w:ascii="Palatino Linotype" w:eastAsia="Palatino Linotype" w:hAnsi="Palatino Linotype" w:cs="Palatino Linotype"/>
          <w:sz w:val="22"/>
          <w:szCs w:val="22"/>
        </w:rPr>
      </w:pPr>
    </w:p>
    <w:p w14:paraId="16A25041" w14:textId="77777777" w:rsidR="00026E8D" w:rsidRPr="00EF423A" w:rsidRDefault="00B0125C">
      <w:pPr>
        <w:tabs>
          <w:tab w:val="left" w:pos="426"/>
        </w:tabs>
        <w:spacing w:line="360" w:lineRule="auto"/>
        <w:ind w:right="51"/>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Bajo este contexto, resulta procedente girar oficio al Titular de la Dirección General de Protección de Datos Personales, en atención al artículo 82, fracción XXVII de la Ley de Protección de Datos Personales del Estado de México y Municipios a fin de que en ejercicio de sus atribuciones determine lo conducente.</w:t>
      </w:r>
    </w:p>
    <w:p w14:paraId="6BED941E" w14:textId="77777777" w:rsidR="00026E8D" w:rsidRPr="00EF423A" w:rsidRDefault="00026E8D">
      <w:pPr>
        <w:tabs>
          <w:tab w:val="left" w:pos="426"/>
        </w:tabs>
        <w:spacing w:line="360" w:lineRule="auto"/>
        <w:ind w:right="51"/>
        <w:jc w:val="both"/>
        <w:rPr>
          <w:rFonts w:ascii="Palatino Linotype" w:eastAsia="Palatino Linotype" w:hAnsi="Palatino Linotype" w:cs="Palatino Linotype"/>
          <w:sz w:val="22"/>
          <w:szCs w:val="22"/>
        </w:rPr>
      </w:pPr>
    </w:p>
    <w:p w14:paraId="1458402E" w14:textId="77777777" w:rsidR="00026E8D" w:rsidRPr="00EF423A" w:rsidRDefault="00B0125C">
      <w:pPr>
        <w:spacing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En tal tesitura de lo expuesto a lo largo de estas líneas administrativas es que este Organismo Garante determina pertinente </w:t>
      </w:r>
      <w:r w:rsidRPr="00EF423A">
        <w:rPr>
          <w:rFonts w:ascii="Palatino Linotype" w:eastAsia="Palatino Linotype" w:hAnsi="Palatino Linotype" w:cs="Palatino Linotype"/>
          <w:b/>
          <w:sz w:val="22"/>
          <w:szCs w:val="22"/>
        </w:rPr>
        <w:t>MODIFICAR</w:t>
      </w:r>
      <w:r w:rsidRPr="00EF423A">
        <w:rPr>
          <w:rFonts w:ascii="Palatino Linotype" w:eastAsia="Palatino Linotype" w:hAnsi="Palatino Linotype" w:cs="Palatino Linotype"/>
          <w:sz w:val="22"/>
          <w:szCs w:val="22"/>
        </w:rPr>
        <w:t xml:space="preserve"> la respuesta y ordenar la entrega de</w:t>
      </w:r>
      <w:r w:rsidRPr="00EF423A">
        <w:rPr>
          <w:rFonts w:ascii="Palatino Linotype" w:eastAsia="Palatino Linotype" w:hAnsi="Palatino Linotype" w:cs="Palatino Linotype"/>
          <w:b/>
          <w:sz w:val="22"/>
          <w:szCs w:val="22"/>
        </w:rPr>
        <w:t xml:space="preserve"> </w:t>
      </w:r>
      <w:r w:rsidRPr="00EF423A">
        <w:rPr>
          <w:rFonts w:ascii="Palatino Linotype" w:eastAsia="Palatino Linotype" w:hAnsi="Palatino Linotype" w:cs="Palatino Linotype"/>
          <w:sz w:val="22"/>
          <w:szCs w:val="22"/>
        </w:rPr>
        <w:t>la siguiente información, conforme al considerando quinto:</w:t>
      </w:r>
    </w:p>
    <w:p w14:paraId="18A2F32A" w14:textId="77777777" w:rsidR="00026E8D" w:rsidRPr="00EF423A" w:rsidRDefault="00026E8D">
      <w:pPr>
        <w:spacing w:line="360" w:lineRule="auto"/>
        <w:jc w:val="both"/>
        <w:rPr>
          <w:rFonts w:ascii="Palatino Linotype" w:eastAsia="Palatino Linotype" w:hAnsi="Palatino Linotype" w:cs="Palatino Linotype"/>
          <w:sz w:val="22"/>
          <w:szCs w:val="22"/>
        </w:rPr>
      </w:pPr>
    </w:p>
    <w:p w14:paraId="3E574C8D" w14:textId="77777777" w:rsidR="00026E8D" w:rsidRPr="00EF423A" w:rsidRDefault="00B0125C">
      <w:pPr>
        <w:numPr>
          <w:ilvl w:val="0"/>
          <w:numId w:val="1"/>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sz w:val="22"/>
          <w:szCs w:val="22"/>
        </w:rPr>
      </w:pPr>
      <w:r w:rsidRPr="00EF423A">
        <w:rPr>
          <w:rFonts w:ascii="Palatino Linotype" w:eastAsia="Palatino Linotype" w:hAnsi="Palatino Linotype" w:cs="Palatino Linotype"/>
          <w:b/>
          <w:i/>
          <w:sz w:val="22"/>
          <w:szCs w:val="22"/>
        </w:rPr>
        <w:t>La conciliación de nómina de la primera y segunda quincena de enero de 2025, así como de la primera quincena de febrero de 2025.</w:t>
      </w:r>
    </w:p>
    <w:p w14:paraId="3620A333" w14:textId="77777777" w:rsidR="00026E8D" w:rsidRPr="00EF423A" w:rsidRDefault="00B0125C">
      <w:pPr>
        <w:numPr>
          <w:ilvl w:val="0"/>
          <w:numId w:val="1"/>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sz w:val="22"/>
          <w:szCs w:val="22"/>
        </w:rPr>
      </w:pPr>
      <w:r w:rsidRPr="00EF423A">
        <w:rPr>
          <w:rFonts w:ascii="Palatino Linotype" w:eastAsia="Palatino Linotype" w:hAnsi="Palatino Linotype" w:cs="Palatino Linotype"/>
          <w:b/>
          <w:i/>
          <w:sz w:val="22"/>
          <w:szCs w:val="22"/>
        </w:rPr>
        <w:t xml:space="preserve">El recibo de nómina </w:t>
      </w:r>
      <w:r w:rsidRPr="00EF423A">
        <w:rPr>
          <w:rFonts w:ascii="Palatino Linotype" w:eastAsia="Palatino Linotype" w:hAnsi="Palatino Linotype" w:cs="Palatino Linotype"/>
          <w:b/>
          <w:i/>
          <w:sz w:val="22"/>
          <w:szCs w:val="22"/>
          <w:u w:val="single"/>
        </w:rPr>
        <w:t>faltante</w:t>
      </w:r>
      <w:r w:rsidRPr="00EF423A">
        <w:rPr>
          <w:rFonts w:ascii="Palatino Linotype" w:eastAsia="Palatino Linotype" w:hAnsi="Palatino Linotype" w:cs="Palatino Linotype"/>
          <w:b/>
          <w:i/>
          <w:sz w:val="22"/>
          <w:szCs w:val="22"/>
        </w:rPr>
        <w:t xml:space="preserve">, de la primera quincena de enero de 2025, así como los recibos de nómina, </w:t>
      </w:r>
      <w:r w:rsidRPr="00EF423A">
        <w:rPr>
          <w:rFonts w:ascii="Palatino Linotype" w:eastAsia="Palatino Linotype" w:hAnsi="Palatino Linotype" w:cs="Palatino Linotype"/>
          <w:b/>
          <w:i/>
          <w:sz w:val="22"/>
          <w:szCs w:val="22"/>
          <w:u w:val="single"/>
        </w:rPr>
        <w:t>entregados en respuesta</w:t>
      </w:r>
      <w:r w:rsidRPr="00EF423A">
        <w:rPr>
          <w:rFonts w:ascii="Palatino Linotype" w:eastAsia="Palatino Linotype" w:hAnsi="Palatino Linotype" w:cs="Palatino Linotype"/>
          <w:b/>
          <w:i/>
          <w:sz w:val="22"/>
          <w:szCs w:val="22"/>
        </w:rPr>
        <w:t>, en correcta versión pública.</w:t>
      </w:r>
    </w:p>
    <w:p w14:paraId="1D21BD89" w14:textId="77777777" w:rsidR="00026E8D" w:rsidRPr="00EF423A" w:rsidRDefault="00B0125C">
      <w:pPr>
        <w:numPr>
          <w:ilvl w:val="0"/>
          <w:numId w:val="1"/>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sz w:val="22"/>
          <w:szCs w:val="22"/>
        </w:rPr>
      </w:pPr>
      <w:r w:rsidRPr="00EF423A">
        <w:rPr>
          <w:rFonts w:ascii="Palatino Linotype" w:eastAsia="Palatino Linotype" w:hAnsi="Palatino Linotype" w:cs="Palatino Linotype"/>
          <w:b/>
          <w:i/>
          <w:sz w:val="22"/>
          <w:szCs w:val="22"/>
        </w:rPr>
        <w:t>Organigrama del Sistema Municipal Para el Desarrollo Integral de la Familia de Huehuetoca, vigente al 25 de febrero de 2025.</w:t>
      </w:r>
    </w:p>
    <w:p w14:paraId="3270FABA" w14:textId="77777777" w:rsidR="00026E8D" w:rsidRPr="00EF423A" w:rsidRDefault="00B0125C">
      <w:pPr>
        <w:numPr>
          <w:ilvl w:val="0"/>
          <w:numId w:val="1"/>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sz w:val="22"/>
          <w:szCs w:val="22"/>
        </w:rPr>
      </w:pPr>
      <w:r w:rsidRPr="00EF423A">
        <w:rPr>
          <w:rFonts w:ascii="Palatino Linotype" w:eastAsia="Palatino Linotype" w:hAnsi="Palatino Linotype" w:cs="Palatino Linotype"/>
          <w:b/>
          <w:i/>
          <w:sz w:val="22"/>
          <w:szCs w:val="22"/>
        </w:rPr>
        <w:t>Documento que dé cuenta de la cantidad de plazas vacantes por área administrativa, al 25 de febrero de 2025.</w:t>
      </w:r>
    </w:p>
    <w:p w14:paraId="334F6FC3" w14:textId="77777777" w:rsidR="00026E8D" w:rsidRPr="00EF423A" w:rsidRDefault="00B0125C">
      <w:pPr>
        <w:numPr>
          <w:ilvl w:val="0"/>
          <w:numId w:val="1"/>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sz w:val="22"/>
          <w:szCs w:val="22"/>
        </w:rPr>
      </w:pPr>
      <w:r w:rsidRPr="00EF423A">
        <w:rPr>
          <w:rFonts w:ascii="Palatino Linotype" w:eastAsia="Palatino Linotype" w:hAnsi="Palatino Linotype" w:cs="Palatino Linotype"/>
          <w:b/>
          <w:i/>
          <w:sz w:val="22"/>
          <w:szCs w:val="22"/>
        </w:rPr>
        <w:lastRenderedPageBreak/>
        <w:t>Documento donde conste o se advierta la cantidad de juicios administrativos o laborales por despidos injustificados iniciados del 01 de enero al 25 de febrero de 2025.</w:t>
      </w:r>
    </w:p>
    <w:p w14:paraId="097F5C8B" w14:textId="77777777" w:rsidR="00026E8D" w:rsidRPr="00EF423A" w:rsidRDefault="00B0125C">
      <w:pPr>
        <w:spacing w:before="240" w:after="240" w:line="360" w:lineRule="auto"/>
        <w:ind w:right="51"/>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sz w:val="22"/>
          <w:szCs w:val="22"/>
        </w:rPr>
        <w:t xml:space="preserve">Quinto. Versión Pública. </w:t>
      </w:r>
      <w:r w:rsidRPr="00EF423A">
        <w:rPr>
          <w:rFonts w:ascii="Palatino Linotype" w:eastAsia="Palatino Linotype" w:hAnsi="Palatino Linotype" w:cs="Palatino Linotype"/>
          <w:sz w:val="22"/>
          <w:szCs w:val="22"/>
        </w:rPr>
        <w:t>Como fue debidamente apuntado,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760DE5A8"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0E3061D5"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7125EF55"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575B909B"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sz w:val="22"/>
          <w:szCs w:val="22"/>
        </w:rPr>
        <w:t> </w:t>
      </w:r>
      <w:r w:rsidRPr="00EF423A">
        <w:rPr>
          <w:rFonts w:ascii="Palatino Linotype" w:eastAsia="Palatino Linotype" w:hAnsi="Palatino Linotype" w:cs="Palatino Linotype"/>
          <w:i/>
          <w:sz w:val="22"/>
          <w:szCs w:val="22"/>
        </w:rPr>
        <w:t>“</w:t>
      </w:r>
      <w:r w:rsidRPr="00EF423A">
        <w:rPr>
          <w:rFonts w:ascii="Palatino Linotype" w:eastAsia="Palatino Linotype" w:hAnsi="Palatino Linotype" w:cs="Palatino Linotype"/>
          <w:b/>
          <w:i/>
          <w:sz w:val="22"/>
          <w:szCs w:val="22"/>
        </w:rPr>
        <w:t>Artículo 3.</w:t>
      </w:r>
      <w:r w:rsidRPr="00EF423A">
        <w:rPr>
          <w:rFonts w:ascii="Palatino Linotype" w:eastAsia="Palatino Linotype" w:hAnsi="Palatino Linotype" w:cs="Palatino Linotype"/>
          <w:i/>
          <w:sz w:val="22"/>
          <w:szCs w:val="22"/>
        </w:rPr>
        <w:t xml:space="preserve"> Para los efectos de la presente Ley se entenderá por:</w:t>
      </w:r>
    </w:p>
    <w:p w14:paraId="6EC7668B" w14:textId="77777777" w:rsidR="00026E8D" w:rsidRPr="00EF423A" w:rsidRDefault="00B0125C">
      <w:pPr>
        <w:tabs>
          <w:tab w:val="left" w:pos="1276"/>
        </w:tabs>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w:t>
      </w:r>
    </w:p>
    <w:p w14:paraId="72B5D356" w14:textId="77777777" w:rsidR="00026E8D" w:rsidRPr="00EF423A" w:rsidRDefault="00B0125C">
      <w:pPr>
        <w:tabs>
          <w:tab w:val="left" w:pos="1276"/>
        </w:tabs>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lastRenderedPageBreak/>
        <w:t>IX. Datos personales</w:t>
      </w:r>
      <w:r w:rsidRPr="00EF423A">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4479795C" w14:textId="77777777" w:rsidR="00026E8D" w:rsidRPr="00EF423A" w:rsidRDefault="00B0125C">
      <w:pPr>
        <w:tabs>
          <w:tab w:val="left" w:pos="1276"/>
        </w:tabs>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w:t>
      </w:r>
    </w:p>
    <w:p w14:paraId="0331A6A7" w14:textId="77777777" w:rsidR="00026E8D" w:rsidRPr="00EF423A" w:rsidRDefault="00B0125C">
      <w:pPr>
        <w:tabs>
          <w:tab w:val="left" w:pos="1276"/>
        </w:tabs>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XX. Información clasificada</w:t>
      </w:r>
      <w:r w:rsidRPr="00EF423A">
        <w:rPr>
          <w:rFonts w:ascii="Palatino Linotype" w:eastAsia="Palatino Linotype" w:hAnsi="Palatino Linotype" w:cs="Palatino Linotype"/>
          <w:i/>
          <w:sz w:val="22"/>
          <w:szCs w:val="22"/>
        </w:rPr>
        <w:t>: Aquella considerada por la presente Ley como reservada o confidencial;</w:t>
      </w:r>
    </w:p>
    <w:p w14:paraId="22D2FB2F" w14:textId="77777777" w:rsidR="00026E8D" w:rsidRPr="00EF423A" w:rsidRDefault="00B0125C">
      <w:pPr>
        <w:tabs>
          <w:tab w:val="left" w:pos="1276"/>
        </w:tabs>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XXI. Información confidencial</w:t>
      </w:r>
      <w:r w:rsidRPr="00EF423A">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2FAFB7E" w14:textId="77777777" w:rsidR="00026E8D" w:rsidRPr="00EF423A" w:rsidRDefault="00B0125C">
      <w:pPr>
        <w:tabs>
          <w:tab w:val="left" w:pos="1276"/>
        </w:tabs>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w:t>
      </w:r>
    </w:p>
    <w:p w14:paraId="418ECAD8" w14:textId="77777777" w:rsidR="00026E8D" w:rsidRPr="00EF423A" w:rsidRDefault="00B0125C">
      <w:pPr>
        <w:tabs>
          <w:tab w:val="left" w:pos="1276"/>
        </w:tabs>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XXXII. Protección de Datos Personales</w:t>
      </w:r>
      <w:r w:rsidRPr="00EF423A">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1E08918B" w14:textId="77777777" w:rsidR="00026E8D" w:rsidRPr="00EF423A" w:rsidRDefault="00B0125C">
      <w:pPr>
        <w:tabs>
          <w:tab w:val="left" w:pos="1276"/>
        </w:tabs>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w:t>
      </w:r>
    </w:p>
    <w:p w14:paraId="49C44980" w14:textId="77777777" w:rsidR="00026E8D" w:rsidRPr="00EF423A" w:rsidRDefault="00B0125C">
      <w:pPr>
        <w:tabs>
          <w:tab w:val="left" w:pos="1276"/>
        </w:tabs>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XLV. Versión pública</w:t>
      </w:r>
      <w:r w:rsidRPr="00EF423A">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0A44A2B2"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 Artículo 6</w:t>
      </w:r>
      <w:r w:rsidRPr="00EF423A">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6224F6C"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w:t>
      </w:r>
    </w:p>
    <w:p w14:paraId="6D4DA405"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Artículo 91.</w:t>
      </w:r>
      <w:r w:rsidRPr="00EF423A">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EF423A">
        <w:rPr>
          <w:rFonts w:ascii="Palatino Linotype" w:eastAsia="Palatino Linotype" w:hAnsi="Palatino Linotype" w:cs="Palatino Linotype"/>
          <w:i/>
          <w:sz w:val="22"/>
          <w:szCs w:val="22"/>
        </w:rPr>
        <w:br/>
        <w:t>…</w:t>
      </w:r>
    </w:p>
    <w:p w14:paraId="569A4016"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Artículo 132.</w:t>
      </w:r>
      <w:r w:rsidRPr="00EF423A">
        <w:rPr>
          <w:rFonts w:ascii="Palatino Linotype" w:eastAsia="Palatino Linotype" w:hAnsi="Palatino Linotype" w:cs="Palatino Linotype"/>
          <w:i/>
          <w:sz w:val="22"/>
          <w:szCs w:val="22"/>
        </w:rPr>
        <w:t xml:space="preserve"> La clasificación de la información se llevará a cabo en el momento en que:</w:t>
      </w:r>
    </w:p>
    <w:p w14:paraId="769977F6"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w:t>
      </w:r>
      <w:r w:rsidRPr="00EF423A">
        <w:rPr>
          <w:rFonts w:ascii="Palatino Linotype" w:eastAsia="Palatino Linotype" w:hAnsi="Palatino Linotype" w:cs="Palatino Linotype"/>
          <w:i/>
          <w:sz w:val="22"/>
          <w:szCs w:val="22"/>
        </w:rPr>
        <w:t>. Se reciba una solicitud de acceso a la información;</w:t>
      </w:r>
    </w:p>
    <w:p w14:paraId="789C0EC0"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II.</w:t>
      </w:r>
      <w:r w:rsidRPr="00EF423A">
        <w:rPr>
          <w:rFonts w:ascii="Palatino Linotype" w:eastAsia="Palatino Linotype" w:hAnsi="Palatino Linotype" w:cs="Palatino Linotype"/>
          <w:i/>
          <w:sz w:val="22"/>
          <w:szCs w:val="22"/>
        </w:rPr>
        <w:t xml:space="preserve"> Se determine mediante resolución de autoridad competente; o</w:t>
      </w:r>
    </w:p>
    <w:p w14:paraId="15EEDBA8"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lastRenderedPageBreak/>
        <w:t>III.</w:t>
      </w:r>
      <w:r w:rsidRPr="00EF423A">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076D71E9"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w:t>
      </w:r>
    </w:p>
    <w:p w14:paraId="0CB79BC3"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Artículo 137.</w:t>
      </w:r>
      <w:r w:rsidRPr="00EF423A">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ADF5071"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 Artículo 143.</w:t>
      </w:r>
      <w:r w:rsidRPr="00EF423A">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641DFFA0"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w:t>
      </w:r>
      <w:r w:rsidRPr="00EF423A">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DE491A3" w14:textId="77777777" w:rsidR="00026E8D" w:rsidRPr="00EF423A" w:rsidRDefault="00B0125C">
      <w:pPr>
        <w:spacing w:before="240" w:after="240" w:line="360" w:lineRule="auto"/>
        <w:ind w:right="50"/>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74B4055C" w14:textId="77777777" w:rsidR="00026E8D" w:rsidRPr="00EF423A" w:rsidRDefault="00B0125C">
      <w:pPr>
        <w:spacing w:before="240" w:after="240" w:line="360" w:lineRule="auto"/>
        <w:ind w:right="50"/>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93E9109"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lastRenderedPageBreak/>
        <w:t xml:space="preserve">En el caso específico, la información que se ordena si bien tiene el carácter información pública en razón de que se trata de documentos que se encuentran en posesión del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EF423A">
        <w:rPr>
          <w:rFonts w:ascii="Palatino Linotype" w:eastAsia="Palatino Linotype" w:hAnsi="Palatino Linotype" w:cs="Palatino Linotype"/>
          <w:b/>
          <w:sz w:val="22"/>
          <w:szCs w:val="22"/>
        </w:rPr>
        <w:t>Registro Federal de Contribuyentes</w:t>
      </w:r>
      <w:r w:rsidRPr="00EF423A">
        <w:rPr>
          <w:rFonts w:ascii="Palatino Linotype" w:eastAsia="Palatino Linotype" w:hAnsi="Palatino Linotype" w:cs="Palatino Linotype"/>
          <w:sz w:val="22"/>
          <w:szCs w:val="22"/>
        </w:rPr>
        <w:t xml:space="preserve"> (RFC), la </w:t>
      </w:r>
      <w:r w:rsidRPr="00EF423A">
        <w:rPr>
          <w:rFonts w:ascii="Palatino Linotype" w:eastAsia="Palatino Linotype" w:hAnsi="Palatino Linotype" w:cs="Palatino Linotype"/>
          <w:b/>
          <w:sz w:val="22"/>
          <w:szCs w:val="22"/>
        </w:rPr>
        <w:t>Clave Única de Registro de Población</w:t>
      </w:r>
      <w:r w:rsidRPr="00EF423A">
        <w:rPr>
          <w:rFonts w:ascii="Palatino Linotype" w:eastAsia="Palatino Linotype" w:hAnsi="Palatino Linotype" w:cs="Palatino Linotype"/>
          <w:sz w:val="22"/>
          <w:szCs w:val="22"/>
        </w:rPr>
        <w:t xml:space="preserve"> (CURP), la </w:t>
      </w:r>
      <w:r w:rsidRPr="00EF423A">
        <w:rPr>
          <w:rFonts w:ascii="Palatino Linotype" w:eastAsia="Palatino Linotype" w:hAnsi="Palatino Linotype" w:cs="Palatino Linotype"/>
          <w:b/>
          <w:sz w:val="22"/>
          <w:szCs w:val="22"/>
        </w:rPr>
        <w:t>Clave de cualquier tipo de seguridad social</w:t>
      </w:r>
      <w:r w:rsidRPr="00EF423A">
        <w:rPr>
          <w:rFonts w:ascii="Palatino Linotype" w:eastAsia="Palatino Linotype" w:hAnsi="Palatino Linotype" w:cs="Palatino Linotype"/>
          <w:sz w:val="22"/>
          <w:szCs w:val="22"/>
        </w:rPr>
        <w:t xml:space="preserve"> (ISSEMYM, u otros), los </w:t>
      </w:r>
      <w:r w:rsidRPr="00EF423A">
        <w:rPr>
          <w:rFonts w:ascii="Palatino Linotype" w:eastAsia="Palatino Linotype" w:hAnsi="Palatino Linotype" w:cs="Palatino Linotype"/>
          <w:b/>
          <w:sz w:val="22"/>
          <w:szCs w:val="22"/>
        </w:rPr>
        <w:t>números de cuentas bancarias</w:t>
      </w:r>
      <w:r w:rsidRPr="00EF423A">
        <w:rPr>
          <w:rFonts w:ascii="Palatino Linotype" w:eastAsia="Palatino Linotype" w:hAnsi="Palatino Linotype" w:cs="Palatino Linotype"/>
          <w:sz w:val="22"/>
          <w:szCs w:val="22"/>
        </w:rPr>
        <w:t xml:space="preserve">, claves estandarizadas – interbancarias - (CLABES) y de tarjetas, los </w:t>
      </w:r>
      <w:r w:rsidRPr="00EF423A">
        <w:rPr>
          <w:rFonts w:ascii="Palatino Linotype" w:eastAsia="Palatino Linotype" w:hAnsi="Palatino Linotype" w:cs="Palatino Linotype"/>
          <w:b/>
          <w:sz w:val="22"/>
          <w:szCs w:val="22"/>
        </w:rPr>
        <w:t>préstamos o descuentos</w:t>
      </w:r>
      <w:r w:rsidRPr="00EF423A">
        <w:rPr>
          <w:rFonts w:ascii="Palatino Linotype" w:eastAsia="Palatino Linotype" w:hAnsi="Palatino Linotype" w:cs="Palatino Linotype"/>
          <w:sz w:val="22"/>
          <w:szCs w:val="22"/>
        </w:rPr>
        <w:t xml:space="preserve"> que se le hagan a la persona y que no tengan relación con los impuestos o la cuota por seguridad social, el</w:t>
      </w:r>
      <w:r w:rsidRPr="00EF423A">
        <w:rPr>
          <w:rFonts w:ascii="Palatino Linotype" w:eastAsia="Palatino Linotype" w:hAnsi="Palatino Linotype" w:cs="Palatino Linotype"/>
          <w:b/>
          <w:sz w:val="22"/>
          <w:szCs w:val="22"/>
        </w:rPr>
        <w:t xml:space="preserve"> número de empleado, </w:t>
      </w:r>
      <w:r w:rsidRPr="00EF423A">
        <w:rPr>
          <w:rFonts w:ascii="Palatino Linotype" w:eastAsia="Palatino Linotype" w:hAnsi="Palatino Linotype" w:cs="Palatino Linotype"/>
          <w:sz w:val="22"/>
          <w:szCs w:val="22"/>
        </w:rPr>
        <w:t>y cualquier información de carácter fiscal.</w:t>
      </w:r>
    </w:p>
    <w:p w14:paraId="304ECE6D" w14:textId="77777777" w:rsidR="00026E8D" w:rsidRPr="00EF423A" w:rsidRDefault="00B0125C">
      <w:pPr>
        <w:spacing w:before="240" w:after="240" w:line="360" w:lineRule="auto"/>
        <w:ind w:right="50"/>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A52025D"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Por cuanto hace al </w:t>
      </w:r>
      <w:r w:rsidRPr="00EF423A">
        <w:rPr>
          <w:rFonts w:ascii="Palatino Linotype" w:eastAsia="Palatino Linotype" w:hAnsi="Palatino Linotype" w:cs="Palatino Linotype"/>
          <w:b/>
          <w:sz w:val="22"/>
          <w:szCs w:val="22"/>
        </w:rPr>
        <w:t>Registro Federal de Contribuyentes, RFC,</w:t>
      </w:r>
      <w:r w:rsidRPr="00EF423A">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w:t>
      </w:r>
      <w:proofErr w:type="spellStart"/>
      <w:r w:rsidRPr="00EF423A">
        <w:rPr>
          <w:rFonts w:ascii="Palatino Linotype" w:eastAsia="Palatino Linotype" w:hAnsi="Palatino Linotype" w:cs="Palatino Linotype"/>
          <w:sz w:val="22"/>
          <w:szCs w:val="22"/>
        </w:rPr>
        <w:t>homoclave</w:t>
      </w:r>
      <w:proofErr w:type="spellEnd"/>
      <w:r w:rsidRPr="00EF423A">
        <w:rPr>
          <w:rFonts w:ascii="Palatino Linotype" w:eastAsia="Palatino Linotype" w:hAnsi="Palatino Linotype" w:cs="Palatino Linotype"/>
          <w:sz w:val="22"/>
          <w:szCs w:val="22"/>
        </w:rPr>
        <w:t>, por lo que para su obtención es necesario acreditar ante la autoridad fiscal previamente la identidad de la persona, su fecha de nacimiento, entre otros aspectos.</w:t>
      </w:r>
    </w:p>
    <w:p w14:paraId="173190AA"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3878C4B"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Lo anterior es compartido por el entonces Instituto Nacional de Transparencia, Acceso a la Información y Protección de Datos Personales, INAI, a través del Criterio de interpretación con clave de control SO/019/2017, el cual es del tenor literal siguiente:</w:t>
      </w:r>
    </w:p>
    <w:p w14:paraId="621DFE79" w14:textId="77777777" w:rsidR="00026E8D" w:rsidRPr="00EF423A" w:rsidRDefault="00B0125C">
      <w:pPr>
        <w:spacing w:before="120" w:after="120"/>
        <w:ind w:left="851"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 xml:space="preserve"> “Registro Federal de Contribuyentes (RFC) de personas físicas</w:t>
      </w:r>
      <w:r w:rsidRPr="00EF423A">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33B85102" w14:textId="77777777" w:rsidR="00026E8D" w:rsidRPr="00EF423A" w:rsidRDefault="00B0125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Así, el Registro Federal de Contribuyentes, RFC, se vincula al nombre de su titular y permite identificar la edad de la persona, su fecha de nacimiento, así como su </w:t>
      </w:r>
      <w:proofErr w:type="spellStart"/>
      <w:r w:rsidRPr="00EF423A">
        <w:rPr>
          <w:rFonts w:ascii="Palatino Linotype" w:eastAsia="Palatino Linotype" w:hAnsi="Palatino Linotype" w:cs="Palatino Linotype"/>
          <w:sz w:val="22"/>
          <w:szCs w:val="22"/>
        </w:rPr>
        <w:t>homoclave</w:t>
      </w:r>
      <w:proofErr w:type="spellEnd"/>
      <w:r w:rsidRPr="00EF423A">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41088687" w14:textId="77777777" w:rsidR="00026E8D" w:rsidRPr="00EF423A" w:rsidRDefault="00B0125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bookmarkStart w:id="8" w:name="_heading=h.lnxbz9" w:colFirst="0" w:colLast="0"/>
      <w:bookmarkEnd w:id="8"/>
      <w:r w:rsidRPr="00EF423A">
        <w:rPr>
          <w:rFonts w:ascii="Palatino Linotype" w:eastAsia="Palatino Linotype" w:hAnsi="Palatino Linotype" w:cs="Palatino Linotype"/>
          <w:sz w:val="22"/>
          <w:szCs w:val="22"/>
        </w:rPr>
        <w:t xml:space="preserve">De igual manera la </w:t>
      </w:r>
      <w:r w:rsidRPr="00EF423A">
        <w:rPr>
          <w:rFonts w:ascii="Palatino Linotype" w:eastAsia="Palatino Linotype" w:hAnsi="Palatino Linotype" w:cs="Palatino Linotype"/>
          <w:b/>
          <w:sz w:val="22"/>
          <w:szCs w:val="22"/>
        </w:rPr>
        <w:t>Clave Única de Registro de Población</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CURP,</w:t>
      </w:r>
      <w:r w:rsidRPr="00EF423A">
        <w:rPr>
          <w:rFonts w:ascii="Palatino Linotype" w:eastAsia="Palatino Linotype" w:hAnsi="Palatino Linotype" w:cs="Palatino Linotype"/>
          <w:sz w:val="22"/>
          <w:szCs w:val="22"/>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7F1DC9D9" w14:textId="77777777" w:rsidR="00026E8D" w:rsidRPr="00EF423A" w:rsidRDefault="00B0125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lastRenderedPageBreak/>
        <w:t>Argumento que es compartido por el entonces Instituto Nacional de Transparencia, Acceso a la Información y Protección de Datos Personales, INAI, conforme al Criterio de interpretación con Clave de control SO/018/2017, el cual refiere:</w:t>
      </w:r>
    </w:p>
    <w:p w14:paraId="34D57DBF" w14:textId="77777777" w:rsidR="00026E8D" w:rsidRPr="00EF423A" w:rsidRDefault="00B0125C">
      <w:pPr>
        <w:spacing w:before="120" w:after="120"/>
        <w:ind w:left="851" w:right="851"/>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 xml:space="preserve"> “Clave Única de Registro de Población (CURP). </w:t>
      </w:r>
      <w:r w:rsidRPr="00EF423A">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D45E239"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Por lo que respecta a la </w:t>
      </w:r>
      <w:r w:rsidRPr="00EF423A">
        <w:rPr>
          <w:rFonts w:ascii="Palatino Linotype" w:eastAsia="Palatino Linotype" w:hAnsi="Palatino Linotype" w:cs="Palatino Linotype"/>
          <w:b/>
          <w:sz w:val="22"/>
          <w:szCs w:val="22"/>
        </w:rPr>
        <w:t>clave de seguridad social</w:t>
      </w:r>
      <w:r w:rsidRPr="00EF423A">
        <w:rPr>
          <w:rFonts w:ascii="Palatino Linotype" w:eastAsia="Palatino Linotype" w:hAnsi="Palatino Linotype" w:cs="Palatino Linotype"/>
          <w:sz w:val="22"/>
          <w:szCs w:val="22"/>
        </w:rPr>
        <w:t>, en virtud de que su divulgación no aporta a la transparencia o a la rendición de cuentas y sí provoca una transgresión a la vida privada e intimidad de la persona, esta información también resulta ser de carácter confidencial.</w:t>
      </w:r>
    </w:p>
    <w:p w14:paraId="7D049CBD"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Respecto de los </w:t>
      </w:r>
      <w:r w:rsidRPr="00EF423A">
        <w:rPr>
          <w:rFonts w:ascii="Palatino Linotype" w:eastAsia="Palatino Linotype" w:hAnsi="Palatino Linotype" w:cs="Palatino Linotype"/>
          <w:b/>
          <w:sz w:val="22"/>
          <w:szCs w:val="22"/>
        </w:rPr>
        <w:t>números de cuentas bancari</w:t>
      </w:r>
      <w:r w:rsidRPr="00EF423A">
        <w:rPr>
          <w:rFonts w:ascii="Palatino Linotype" w:eastAsia="Palatino Linotype" w:hAnsi="Palatino Linotype" w:cs="Palatino Linotype"/>
          <w:sz w:val="22"/>
          <w:szCs w:val="22"/>
        </w:rPr>
        <w:t xml:space="preserve">as, </w:t>
      </w:r>
      <w:r w:rsidRPr="00EF423A">
        <w:rPr>
          <w:rFonts w:ascii="Palatino Linotype" w:eastAsia="Palatino Linotype" w:hAnsi="Palatino Linotype" w:cs="Palatino Linotype"/>
          <w:b/>
          <w:sz w:val="22"/>
          <w:szCs w:val="22"/>
        </w:rPr>
        <w:t>claves estandarizadas –interbancarias- (CLABES) y de tarjetas</w:t>
      </w:r>
      <w:r w:rsidRPr="00EF423A">
        <w:rPr>
          <w:rFonts w:ascii="Palatino Linotype" w:eastAsia="Palatino Linotype" w:hAnsi="Palatino Linotype" w:cs="Palatino Linotype"/>
          <w:sz w:val="22"/>
          <w:szCs w:val="22"/>
        </w:rPr>
        <w:t>, el Pleno de este Instituto ha determinado que esa información debe clasificarse como confidencial, y elaborarse una versión pública en la que se teste la misma.</w:t>
      </w:r>
    </w:p>
    <w:p w14:paraId="34FDFE90"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0F1BB68D"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353709B4" w14:textId="77777777" w:rsidR="00026E8D" w:rsidRPr="00EF423A" w:rsidRDefault="00B0125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lastRenderedPageBreak/>
        <w:t xml:space="preserve">En esa virtud, este Pleno determina que dicha información no puede ser del dominio público, toda vez que se podría dar un uso inadecuado a la misma o cometer algún ilícito o fraude como ya ha sido expuesto. </w:t>
      </w:r>
    </w:p>
    <w:p w14:paraId="1B7C0700"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00253EDB"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Lo argumentado encuentra sustento en los Criterios de interpretación </w:t>
      </w:r>
      <w:proofErr w:type="gramStart"/>
      <w:r w:rsidRPr="00EF423A">
        <w:rPr>
          <w:rFonts w:ascii="Palatino Linotype" w:eastAsia="Palatino Linotype" w:hAnsi="Palatino Linotype" w:cs="Palatino Linotype"/>
          <w:sz w:val="22"/>
          <w:szCs w:val="22"/>
        </w:rPr>
        <w:t>con  Clave</w:t>
      </w:r>
      <w:proofErr w:type="gramEnd"/>
      <w:r w:rsidRPr="00EF423A">
        <w:rPr>
          <w:rFonts w:ascii="Palatino Linotype" w:eastAsia="Palatino Linotype" w:hAnsi="Palatino Linotype" w:cs="Palatino Linotype"/>
          <w:sz w:val="22"/>
          <w:szCs w:val="22"/>
        </w:rPr>
        <w:t xml:space="preserve"> de control SO/010/2017 y SO/011/2017, emitidos por el entonces Instituto Nacional de Transparencia, Acceso a la Información y Protección de Datos Personales, INAI, que llevan por rubro y texto los siguientes:</w:t>
      </w:r>
    </w:p>
    <w:p w14:paraId="2FE8FF59" w14:textId="77777777" w:rsidR="00026E8D" w:rsidRPr="00EF423A" w:rsidRDefault="00B0125C">
      <w:pPr>
        <w:spacing w:before="120" w:after="120"/>
        <w:ind w:left="851"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w:t>
      </w:r>
      <w:r w:rsidRPr="00EF423A">
        <w:rPr>
          <w:rFonts w:ascii="Palatino Linotype" w:eastAsia="Palatino Linotype" w:hAnsi="Palatino Linotype" w:cs="Palatino Linotype"/>
          <w:b/>
          <w:i/>
          <w:sz w:val="22"/>
          <w:szCs w:val="22"/>
        </w:rPr>
        <w:t>Cuentas bancarias y/o CLABE interbancaria de personas físicas y morales privadas.</w:t>
      </w:r>
      <w:r w:rsidRPr="00EF423A">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898BE1F" w14:textId="77777777" w:rsidR="00026E8D" w:rsidRPr="00EF423A" w:rsidRDefault="00B0125C">
      <w:pPr>
        <w:spacing w:before="120" w:after="120"/>
        <w:ind w:left="851"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EF423A">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6C26362"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bookmarkStart w:id="9" w:name="_heading=h.35nkun2" w:colFirst="0" w:colLast="0"/>
      <w:bookmarkEnd w:id="9"/>
      <w:r w:rsidRPr="00EF423A">
        <w:rPr>
          <w:rFonts w:ascii="Palatino Linotype" w:eastAsia="Palatino Linotype" w:hAnsi="Palatino Linotype" w:cs="Palatino Linotype"/>
          <w:sz w:val="22"/>
          <w:szCs w:val="22"/>
        </w:rPr>
        <w:t xml:space="preserve">Por cuanto hace a los </w:t>
      </w:r>
      <w:r w:rsidRPr="00EF423A">
        <w:rPr>
          <w:rFonts w:ascii="Palatino Linotype" w:eastAsia="Palatino Linotype" w:hAnsi="Palatino Linotype" w:cs="Palatino Linotype"/>
          <w:b/>
          <w:sz w:val="22"/>
          <w:szCs w:val="22"/>
        </w:rPr>
        <w:t>préstamos o descuentos de carácter personal</w:t>
      </w:r>
      <w:r w:rsidRPr="00EF423A">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14:paraId="5A6B8250"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lastRenderedPageBreak/>
        <w:t>Para entender los límites y alcances de esta restricción, es oportuno recurrir al artículo 84 de la Ley del Trabajo de los Servidores Públicos del Estado y Municipios:</w:t>
      </w:r>
    </w:p>
    <w:p w14:paraId="69731D7D" w14:textId="77777777" w:rsidR="00026E8D" w:rsidRPr="00EF423A" w:rsidRDefault="00B0125C">
      <w:pPr>
        <w:spacing w:before="120" w:after="120"/>
        <w:ind w:left="567" w:right="900"/>
        <w:jc w:val="both"/>
        <w:rPr>
          <w:rFonts w:ascii="Palatino Linotype" w:eastAsia="Palatino Linotype" w:hAnsi="Palatino Linotype" w:cs="Palatino Linotype"/>
          <w:b/>
          <w:i/>
          <w:sz w:val="22"/>
          <w:szCs w:val="22"/>
        </w:rPr>
      </w:pPr>
      <w:bookmarkStart w:id="10" w:name="_heading=h.1ksv4uv" w:colFirst="0" w:colLast="0"/>
      <w:bookmarkEnd w:id="10"/>
      <w:r w:rsidRPr="00EF423A">
        <w:rPr>
          <w:rFonts w:ascii="Palatino Linotype" w:eastAsia="Palatino Linotype" w:hAnsi="Palatino Linotype" w:cs="Palatino Linotype"/>
          <w:b/>
          <w:i/>
          <w:sz w:val="22"/>
          <w:szCs w:val="22"/>
        </w:rPr>
        <w:t xml:space="preserve">“ARTÍCULO 84. </w:t>
      </w:r>
      <w:r w:rsidRPr="00EF423A">
        <w:rPr>
          <w:rFonts w:ascii="Palatino Linotype" w:eastAsia="Palatino Linotype" w:hAnsi="Palatino Linotype" w:cs="Palatino Linotype"/>
          <w:i/>
          <w:sz w:val="22"/>
          <w:szCs w:val="22"/>
        </w:rPr>
        <w:t>Sólo podrán hacerse retenciones, descuentos o deducciones al sueldo de los servidores públicos por concepto de:</w:t>
      </w:r>
    </w:p>
    <w:p w14:paraId="003F29DE"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w:t>
      </w:r>
      <w:r w:rsidRPr="00EF423A">
        <w:rPr>
          <w:rFonts w:ascii="Palatino Linotype" w:eastAsia="Palatino Linotype" w:hAnsi="Palatino Linotype" w:cs="Palatino Linotype"/>
          <w:i/>
          <w:sz w:val="22"/>
          <w:szCs w:val="22"/>
        </w:rPr>
        <w:t xml:space="preserve"> Gravámenes fiscales relacionados con el sueldo;</w:t>
      </w:r>
    </w:p>
    <w:p w14:paraId="1235DAE1"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II.</w:t>
      </w:r>
      <w:r w:rsidRPr="00EF423A">
        <w:rPr>
          <w:rFonts w:ascii="Palatino Linotype" w:eastAsia="Palatino Linotype" w:hAnsi="Palatino Linotype" w:cs="Palatino Linotype"/>
          <w:i/>
          <w:sz w:val="22"/>
          <w:szCs w:val="22"/>
        </w:rPr>
        <w:t xml:space="preserve"> Deudas contraídas con las instituciones públicas o dependencias por concepto de anticipos de sueldo, pagos hechos con exceso, errores o pérdidas debidamente comprobados;</w:t>
      </w:r>
    </w:p>
    <w:p w14:paraId="371AAA2E"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III.</w:t>
      </w:r>
      <w:r w:rsidRPr="00EF423A">
        <w:rPr>
          <w:rFonts w:ascii="Palatino Linotype" w:eastAsia="Palatino Linotype" w:hAnsi="Palatino Linotype" w:cs="Palatino Linotype"/>
          <w:i/>
          <w:sz w:val="22"/>
          <w:szCs w:val="22"/>
        </w:rPr>
        <w:t xml:space="preserve"> </w:t>
      </w:r>
      <w:r w:rsidRPr="00EF423A">
        <w:rPr>
          <w:rFonts w:ascii="Palatino Linotype" w:eastAsia="Palatino Linotype" w:hAnsi="Palatino Linotype" w:cs="Palatino Linotype"/>
          <w:b/>
          <w:i/>
          <w:sz w:val="22"/>
          <w:szCs w:val="22"/>
        </w:rPr>
        <w:t>Cuotas sindicales</w:t>
      </w:r>
      <w:r w:rsidRPr="00EF423A">
        <w:rPr>
          <w:rFonts w:ascii="Palatino Linotype" w:eastAsia="Palatino Linotype" w:hAnsi="Palatino Linotype" w:cs="Palatino Linotype"/>
          <w:i/>
          <w:sz w:val="22"/>
          <w:szCs w:val="22"/>
        </w:rPr>
        <w:t>;</w:t>
      </w:r>
    </w:p>
    <w:p w14:paraId="14FF70A6"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IV.</w:t>
      </w:r>
      <w:r w:rsidRPr="00EF423A">
        <w:rPr>
          <w:rFonts w:ascii="Palatino Linotype" w:eastAsia="Palatino Linotype" w:hAnsi="Palatino Linotype" w:cs="Palatino Linotype"/>
          <w:i/>
          <w:sz w:val="22"/>
          <w:szCs w:val="22"/>
        </w:rPr>
        <w:t xml:space="preserve"> Cuotas de aportación a fondos para la constitución de cooperativas y de cajas de ahorro, siempre que el servidor público hubiese manifestado previamente, de manera expresa, su conformidad;</w:t>
      </w:r>
    </w:p>
    <w:p w14:paraId="2691565D"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V.</w:t>
      </w:r>
      <w:r w:rsidRPr="00EF423A">
        <w:rPr>
          <w:rFonts w:ascii="Palatino Linotype" w:eastAsia="Palatino Linotype" w:hAnsi="Palatino Linotype" w:cs="Palatino Linotype"/>
          <w:i/>
          <w:sz w:val="22"/>
          <w:szCs w:val="22"/>
        </w:rPr>
        <w:t xml:space="preserve"> Descuentos ordenados por el Instituto de Seguridad Social del Estado de México y Municipios, con motivo de cuotas y obligaciones contraídas con éste por los servidores públicos;</w:t>
      </w:r>
    </w:p>
    <w:p w14:paraId="30AB0142"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VI.</w:t>
      </w:r>
      <w:r w:rsidRPr="00EF423A">
        <w:rPr>
          <w:rFonts w:ascii="Palatino Linotype" w:eastAsia="Palatino Linotype" w:hAnsi="Palatino Linotype" w:cs="Palatino Linotype"/>
          <w:i/>
          <w:sz w:val="22"/>
          <w:szCs w:val="22"/>
        </w:rPr>
        <w:t xml:space="preserve"> Obligaciones a cargo del servidor público con las que haya consentido, derivadas de la adquisición o del uso de habitaciones consideradas como de interés social;</w:t>
      </w:r>
    </w:p>
    <w:p w14:paraId="2B5C01CB"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VII.</w:t>
      </w:r>
      <w:r w:rsidRPr="00EF423A">
        <w:rPr>
          <w:rFonts w:ascii="Palatino Linotype" w:eastAsia="Palatino Linotype" w:hAnsi="Palatino Linotype" w:cs="Palatino Linotype"/>
          <w:i/>
          <w:sz w:val="22"/>
          <w:szCs w:val="22"/>
        </w:rPr>
        <w:t xml:space="preserve"> Faltas de puntualidad o de asistencia injustificadas;</w:t>
      </w:r>
    </w:p>
    <w:p w14:paraId="03BD80CC"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VIII. Pensiones alimenticias ordenadas por la autoridad judicial;</w:t>
      </w:r>
      <w:r w:rsidRPr="00EF423A">
        <w:rPr>
          <w:rFonts w:ascii="Palatino Linotype" w:eastAsia="Palatino Linotype" w:hAnsi="Palatino Linotype" w:cs="Palatino Linotype"/>
          <w:i/>
          <w:sz w:val="22"/>
          <w:szCs w:val="22"/>
        </w:rPr>
        <w:t xml:space="preserve"> o</w:t>
      </w:r>
    </w:p>
    <w:p w14:paraId="1802C07E" w14:textId="77777777" w:rsidR="00026E8D" w:rsidRPr="00EF423A" w:rsidRDefault="00B0125C">
      <w:pPr>
        <w:spacing w:before="120" w:after="120"/>
        <w:ind w:left="567" w:right="902"/>
        <w:jc w:val="both"/>
        <w:rPr>
          <w:rFonts w:ascii="Palatino Linotype" w:eastAsia="Palatino Linotype" w:hAnsi="Palatino Linotype" w:cs="Palatino Linotype"/>
          <w:b/>
          <w:i/>
          <w:sz w:val="22"/>
          <w:szCs w:val="22"/>
        </w:rPr>
      </w:pPr>
      <w:r w:rsidRPr="00EF423A">
        <w:rPr>
          <w:rFonts w:ascii="Palatino Linotype" w:eastAsia="Palatino Linotype" w:hAnsi="Palatino Linotype" w:cs="Palatino Linotype"/>
          <w:b/>
          <w:i/>
          <w:sz w:val="22"/>
          <w:szCs w:val="22"/>
        </w:rPr>
        <w:t>IX. Cualquier otro convenido con instituciones de servicios y aceptado por el servidor público.</w:t>
      </w:r>
    </w:p>
    <w:p w14:paraId="3C9F65F5" w14:textId="77777777" w:rsidR="00026E8D" w:rsidRPr="00EF423A" w:rsidRDefault="00B0125C">
      <w:pPr>
        <w:spacing w:before="120" w:after="120"/>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4A174D15"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lastRenderedPageBreak/>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7AF4F9BD"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De este modo, los </w:t>
      </w:r>
      <w:r w:rsidRPr="00EF423A">
        <w:rPr>
          <w:rFonts w:ascii="Palatino Linotype" w:eastAsia="Palatino Linotype" w:hAnsi="Palatino Linotype" w:cs="Palatino Linotype"/>
          <w:b/>
          <w:sz w:val="22"/>
          <w:szCs w:val="22"/>
        </w:rPr>
        <w:t>descuentos o deducciones por cuotas sindicales</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pensiones alimenticias</w:t>
      </w:r>
      <w:r w:rsidRPr="00EF423A">
        <w:rPr>
          <w:rFonts w:ascii="Palatino Linotype" w:eastAsia="Palatino Linotype" w:hAnsi="Palatino Linotype" w:cs="Palatino Linotype"/>
          <w:sz w:val="22"/>
          <w:szCs w:val="22"/>
        </w:rPr>
        <w:t xml:space="preserve"> o </w:t>
      </w:r>
      <w:r w:rsidRPr="00EF423A">
        <w:rPr>
          <w:rFonts w:ascii="Palatino Linotype" w:eastAsia="Palatino Linotype" w:hAnsi="Palatino Linotype" w:cs="Palatino Linotype"/>
          <w:b/>
          <w:sz w:val="22"/>
          <w:szCs w:val="22"/>
        </w:rPr>
        <w:t>créditos adquiridos con instituciones privadas</w:t>
      </w:r>
      <w:r w:rsidRPr="00EF423A">
        <w:rPr>
          <w:rFonts w:ascii="Palatino Linotype" w:eastAsia="Palatino Linotype" w:hAnsi="Palatino Linotype" w:cs="Palatino Linotype"/>
          <w:sz w:val="22"/>
          <w:szCs w:val="22"/>
        </w:rPr>
        <w:t xml:space="preserve">, entre otros que no se relacionen con el gasto público, al revelar parte de las decisiones que adopta una persona respecto del uso y destino de su remuneración salarial, lo cual incide en la manera en que se integra su patrimonio, </w:t>
      </w:r>
      <w:r w:rsidRPr="00EF423A">
        <w:rPr>
          <w:rFonts w:ascii="Palatino Linotype" w:eastAsia="Palatino Linotype" w:hAnsi="Palatino Linotype" w:cs="Palatino Linotype"/>
          <w:b/>
          <w:sz w:val="22"/>
          <w:szCs w:val="22"/>
        </w:rPr>
        <w:t>es información que no es de carácter público, sino que constituye información confidencial</w:t>
      </w:r>
      <w:r w:rsidRPr="00EF423A">
        <w:rPr>
          <w:rFonts w:ascii="Palatino Linotype" w:eastAsia="Palatino Linotype" w:hAnsi="Palatino Linotype" w:cs="Palatino Linotype"/>
          <w:sz w:val="22"/>
          <w:szCs w:val="22"/>
        </w:rPr>
        <w:t xml:space="preserve"> en virtud de que corresponde con decisiones personales, y por tanto, se debe clasificar.</w:t>
      </w:r>
    </w:p>
    <w:p w14:paraId="231DC312" w14:textId="77777777" w:rsidR="00026E8D" w:rsidRPr="00EF423A" w:rsidRDefault="00B0125C">
      <w:pPr>
        <w:pBdr>
          <w:top w:val="nil"/>
          <w:left w:val="nil"/>
          <w:bottom w:val="nil"/>
          <w:right w:val="nil"/>
          <w:between w:val="nil"/>
        </w:pBdr>
        <w:spacing w:after="20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Las claves y conceptos de los descuentos personales guardan también la misma naturaleza que los importes, </w:t>
      </w:r>
      <w:proofErr w:type="gramStart"/>
      <w:r w:rsidRPr="00EF423A">
        <w:rPr>
          <w:rFonts w:ascii="Palatino Linotype" w:eastAsia="Palatino Linotype" w:hAnsi="Palatino Linotype" w:cs="Palatino Linotype"/>
          <w:sz w:val="22"/>
          <w:szCs w:val="22"/>
        </w:rPr>
        <w:t>ya que</w:t>
      </w:r>
      <w:proofErr w:type="gramEnd"/>
      <w:r w:rsidRPr="00EF423A">
        <w:rPr>
          <w:rFonts w:ascii="Palatino Linotype" w:eastAsia="Palatino Linotype" w:hAnsi="Palatino Linotype" w:cs="Palatino Linotype"/>
          <w:sz w:val="22"/>
          <w:szCs w:val="22"/>
        </w:rPr>
        <w:t xml:space="preserv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47D1434F" w14:textId="77777777" w:rsidR="00026E8D" w:rsidRPr="00EF423A" w:rsidRDefault="00B0125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En conclusión, la información relacionada con los préstamos o descuentos de carácter personal, en virtud de no tener relación con la prestación del servicio y al no involucrar instituciones públicas, se consideran datos confidenciales.</w:t>
      </w:r>
    </w:p>
    <w:p w14:paraId="42100943"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Con relación al </w:t>
      </w:r>
      <w:r w:rsidRPr="00EF423A">
        <w:rPr>
          <w:rFonts w:ascii="Palatino Linotype" w:eastAsia="Palatino Linotype" w:hAnsi="Palatino Linotype" w:cs="Palatino Linotype"/>
          <w:b/>
          <w:sz w:val="22"/>
          <w:szCs w:val="22"/>
        </w:rPr>
        <w:t>número de empleado</w:t>
      </w:r>
      <w:r w:rsidRPr="00EF423A">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w:t>
      </w:r>
      <w:r w:rsidRPr="00EF423A">
        <w:rPr>
          <w:rFonts w:ascii="Palatino Linotype" w:eastAsia="Palatino Linotype" w:hAnsi="Palatino Linotype" w:cs="Palatino Linotype"/>
          <w:sz w:val="22"/>
          <w:szCs w:val="22"/>
        </w:rPr>
        <w:lastRenderedPageBreak/>
        <w:t>situación laboral particular, siendo un número único, permanente e intransferible que se asigna para llevar un registro de los trabajadores</w:t>
      </w:r>
      <w:r w:rsidRPr="00EF423A">
        <w:rPr>
          <w:rFonts w:ascii="Palatino Linotype" w:eastAsia="Palatino Linotype" w:hAnsi="Palatino Linotype" w:cs="Palatino Linotype"/>
          <w:sz w:val="22"/>
          <w:szCs w:val="22"/>
          <w:vertAlign w:val="superscript"/>
        </w:rPr>
        <w:footnoteReference w:id="1"/>
      </w:r>
      <w:r w:rsidRPr="00EF423A">
        <w:rPr>
          <w:rFonts w:ascii="Palatino Linotype" w:eastAsia="Palatino Linotype" w:hAnsi="Palatino Linotype" w:cs="Palatino Linotype"/>
          <w:sz w:val="22"/>
          <w:szCs w:val="22"/>
        </w:rPr>
        <w:t>.</w:t>
      </w:r>
    </w:p>
    <w:p w14:paraId="7C4027D4"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INAI  se ha pronunciado sobre su publicidad, a través del Criterio de interpretación con Clave de control SO/006/2019, que indica lo siguiente:</w:t>
      </w:r>
    </w:p>
    <w:p w14:paraId="4444DDB6" w14:textId="77777777" w:rsidR="00026E8D" w:rsidRPr="00EF423A" w:rsidRDefault="00B0125C">
      <w:pPr>
        <w:tabs>
          <w:tab w:val="left" w:pos="7655"/>
        </w:tabs>
        <w:spacing w:before="120" w:after="120"/>
        <w:ind w:left="992" w:right="99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 xml:space="preserve">“Número de empleado. </w:t>
      </w:r>
      <w:r w:rsidRPr="00EF423A">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20FA65F6"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w:t>
      </w:r>
      <w:r w:rsidRPr="00EF423A">
        <w:rPr>
          <w:rFonts w:ascii="Palatino Linotype" w:eastAsia="Palatino Linotype" w:hAnsi="Palatino Linotype" w:cs="Palatino Linotype"/>
          <w:sz w:val="22"/>
          <w:szCs w:val="22"/>
        </w:rPr>
        <w:lastRenderedPageBreak/>
        <w:t>confidencial, a través del Acuerdo emitido por su Comité de Transparencia conforme a la Ley de la Materia.</w:t>
      </w:r>
    </w:p>
    <w:p w14:paraId="412655D9"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sz w:val="22"/>
          <w:szCs w:val="22"/>
        </w:rPr>
        <w:t>De la información fiscal</w:t>
      </w:r>
      <w:r w:rsidRPr="00EF423A">
        <w:rPr>
          <w:rFonts w:ascii="Palatino Linotype" w:eastAsia="Palatino Linotype" w:hAnsi="Palatino Linotype" w:cs="Palatino Linotype"/>
          <w:sz w:val="22"/>
          <w:szCs w:val="22"/>
        </w:rPr>
        <w:t xml:space="preserve">: si derivado del análisis efectuado por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deberá clasificarla como confidencial, de manera fundada y motivada en términos del artículo 143, fracción I de la Ley de Transparencia y Acceso a la Información Pública del Estado de México y Municipios.</w:t>
      </w:r>
    </w:p>
    <w:p w14:paraId="76B84A9C" w14:textId="77777777" w:rsidR="00026E8D" w:rsidRPr="00EF423A" w:rsidRDefault="00B0125C">
      <w:pPr>
        <w:spacing w:before="240" w:after="240" w:line="360" w:lineRule="auto"/>
        <w:ind w:right="50"/>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EF423A">
        <w:rPr>
          <w:rFonts w:ascii="Palatino Linotype" w:eastAsia="Palatino Linotype" w:hAnsi="Palatino Linotype" w:cs="Palatino Linotype"/>
          <w:sz w:val="22"/>
          <w:szCs w:val="22"/>
        </w:rPr>
        <w:t>Responsable</w:t>
      </w:r>
      <w:proofErr w:type="gramEnd"/>
      <w:r w:rsidRPr="00EF423A">
        <w:rPr>
          <w:rFonts w:ascii="Palatino Linotype" w:eastAsia="Palatino Linotype" w:hAnsi="Palatino Linotype" w:cs="Palatino Linotype"/>
          <w:sz w:val="22"/>
          <w:szCs w:val="22"/>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17132847"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“Artículo 49.</w:t>
      </w:r>
      <w:r w:rsidRPr="00EF423A">
        <w:rPr>
          <w:rFonts w:ascii="Palatino Linotype" w:eastAsia="Palatino Linotype" w:hAnsi="Palatino Linotype" w:cs="Palatino Linotype"/>
          <w:i/>
          <w:sz w:val="22"/>
          <w:szCs w:val="22"/>
        </w:rPr>
        <w:t xml:space="preserve"> </w:t>
      </w:r>
      <w:r w:rsidRPr="00EF423A">
        <w:rPr>
          <w:rFonts w:ascii="Palatino Linotype" w:eastAsia="Palatino Linotype" w:hAnsi="Palatino Linotype" w:cs="Palatino Linotype"/>
          <w:b/>
          <w:i/>
          <w:sz w:val="22"/>
          <w:szCs w:val="22"/>
        </w:rPr>
        <w:t>Los Comités de Transparencia</w:t>
      </w:r>
      <w:r w:rsidRPr="00EF423A">
        <w:rPr>
          <w:rFonts w:ascii="Palatino Linotype" w:eastAsia="Palatino Linotype" w:hAnsi="Palatino Linotype" w:cs="Palatino Linotype"/>
          <w:i/>
          <w:sz w:val="22"/>
          <w:szCs w:val="22"/>
        </w:rPr>
        <w:t xml:space="preserve"> tendrán las siguientes atribuciones:</w:t>
      </w:r>
    </w:p>
    <w:p w14:paraId="54FCEAF5"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VIII. Aprobar, modificar o revocar la clasificación de la información</w:t>
      </w:r>
      <w:r w:rsidRPr="00EF423A">
        <w:rPr>
          <w:rFonts w:ascii="Palatino Linotype" w:eastAsia="Palatino Linotype" w:hAnsi="Palatino Linotype" w:cs="Palatino Linotype"/>
          <w:i/>
          <w:sz w:val="22"/>
          <w:szCs w:val="22"/>
        </w:rPr>
        <w:t>…”</w:t>
      </w:r>
    </w:p>
    <w:p w14:paraId="05CE9791"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w:t>
      </w:r>
      <w:r w:rsidRPr="00EF423A">
        <w:rPr>
          <w:rFonts w:ascii="Palatino Linotype" w:eastAsia="Palatino Linotype" w:hAnsi="Palatino Linotype" w:cs="Palatino Linotype"/>
          <w:b/>
          <w:i/>
          <w:sz w:val="22"/>
          <w:szCs w:val="22"/>
        </w:rPr>
        <w:t>Artículo 53.</w:t>
      </w:r>
      <w:r w:rsidRPr="00EF423A">
        <w:rPr>
          <w:rFonts w:ascii="Palatino Linotype" w:eastAsia="Palatino Linotype" w:hAnsi="Palatino Linotype" w:cs="Palatino Linotype"/>
          <w:i/>
          <w:sz w:val="22"/>
          <w:szCs w:val="22"/>
        </w:rPr>
        <w:t xml:space="preserve"> Las </w:t>
      </w:r>
      <w:r w:rsidRPr="00EF423A">
        <w:rPr>
          <w:rFonts w:ascii="Palatino Linotype" w:eastAsia="Palatino Linotype" w:hAnsi="Palatino Linotype" w:cs="Palatino Linotype"/>
          <w:b/>
          <w:i/>
          <w:sz w:val="22"/>
          <w:szCs w:val="22"/>
        </w:rPr>
        <w:t>Unidades de Transparencia</w:t>
      </w:r>
      <w:r w:rsidRPr="00EF423A">
        <w:rPr>
          <w:rFonts w:ascii="Palatino Linotype" w:eastAsia="Palatino Linotype" w:hAnsi="Palatino Linotype" w:cs="Palatino Linotype"/>
          <w:i/>
          <w:sz w:val="22"/>
          <w:szCs w:val="22"/>
        </w:rPr>
        <w:t xml:space="preserve"> tendrán las siguientes </w:t>
      </w:r>
      <w:r w:rsidRPr="00EF423A">
        <w:rPr>
          <w:rFonts w:ascii="Palatino Linotype" w:eastAsia="Palatino Linotype" w:hAnsi="Palatino Linotype" w:cs="Palatino Linotype"/>
          <w:b/>
          <w:i/>
          <w:sz w:val="22"/>
          <w:szCs w:val="22"/>
        </w:rPr>
        <w:t>funciones</w:t>
      </w:r>
      <w:r w:rsidRPr="00EF423A">
        <w:rPr>
          <w:rFonts w:ascii="Palatino Linotype" w:eastAsia="Palatino Linotype" w:hAnsi="Palatino Linotype" w:cs="Palatino Linotype"/>
          <w:i/>
          <w:sz w:val="22"/>
          <w:szCs w:val="22"/>
        </w:rPr>
        <w:t>:</w:t>
      </w:r>
    </w:p>
    <w:p w14:paraId="619951FE"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X. Presentar ante el Comité, el proyecto de clasificación de información</w:t>
      </w:r>
      <w:r w:rsidRPr="00EF423A">
        <w:rPr>
          <w:rFonts w:ascii="Palatino Linotype" w:eastAsia="Palatino Linotype" w:hAnsi="Palatino Linotype" w:cs="Palatino Linotype"/>
          <w:i/>
          <w:sz w:val="22"/>
          <w:szCs w:val="22"/>
        </w:rPr>
        <w:t xml:space="preserve">…” </w:t>
      </w:r>
    </w:p>
    <w:p w14:paraId="51EB5F94"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“Artículo 59.</w:t>
      </w:r>
      <w:r w:rsidRPr="00EF423A">
        <w:rPr>
          <w:rFonts w:ascii="Palatino Linotype" w:eastAsia="Palatino Linotype" w:hAnsi="Palatino Linotype" w:cs="Palatino Linotype"/>
          <w:i/>
          <w:sz w:val="22"/>
          <w:szCs w:val="22"/>
        </w:rPr>
        <w:t xml:space="preserve"> Los </w:t>
      </w:r>
      <w:r w:rsidRPr="00EF423A">
        <w:rPr>
          <w:rFonts w:ascii="Palatino Linotype" w:eastAsia="Palatino Linotype" w:hAnsi="Palatino Linotype" w:cs="Palatino Linotype"/>
          <w:b/>
          <w:i/>
          <w:sz w:val="22"/>
          <w:szCs w:val="22"/>
        </w:rPr>
        <w:t>servidores públicos habilitados</w:t>
      </w:r>
      <w:r w:rsidRPr="00EF423A">
        <w:rPr>
          <w:rFonts w:ascii="Palatino Linotype" w:eastAsia="Palatino Linotype" w:hAnsi="Palatino Linotype" w:cs="Palatino Linotype"/>
          <w:i/>
          <w:sz w:val="22"/>
          <w:szCs w:val="22"/>
        </w:rPr>
        <w:t xml:space="preserve"> tendrán las </w:t>
      </w:r>
      <w:r w:rsidRPr="00EF423A">
        <w:rPr>
          <w:rFonts w:ascii="Palatino Linotype" w:eastAsia="Palatino Linotype" w:hAnsi="Palatino Linotype" w:cs="Palatino Linotype"/>
          <w:b/>
          <w:i/>
          <w:sz w:val="22"/>
          <w:szCs w:val="22"/>
        </w:rPr>
        <w:t>funciones</w:t>
      </w:r>
      <w:r w:rsidRPr="00EF423A">
        <w:rPr>
          <w:rFonts w:ascii="Palatino Linotype" w:eastAsia="Palatino Linotype" w:hAnsi="Palatino Linotype" w:cs="Palatino Linotype"/>
          <w:i/>
          <w:sz w:val="22"/>
          <w:szCs w:val="22"/>
        </w:rPr>
        <w:t xml:space="preserve"> siguientes:</w:t>
      </w:r>
    </w:p>
    <w:p w14:paraId="4DBE9698"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sidRPr="00EF423A">
        <w:rPr>
          <w:rFonts w:ascii="Palatino Linotype" w:eastAsia="Palatino Linotype" w:hAnsi="Palatino Linotype" w:cs="Palatino Linotype"/>
          <w:i/>
          <w:sz w:val="22"/>
          <w:szCs w:val="22"/>
        </w:rPr>
        <w:t>, la cual tendrá los fundamentos y argumentos en que se basa dicha propuesta…”</w:t>
      </w:r>
    </w:p>
    <w:p w14:paraId="23A4194A"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96AFE14"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48A22912" w14:textId="77777777" w:rsidR="00026E8D" w:rsidRPr="00EF423A" w:rsidRDefault="00B0125C">
      <w:pPr>
        <w:spacing w:before="120" w:after="120"/>
        <w:ind w:left="851"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w:t>
      </w:r>
      <w:r w:rsidRPr="00EF423A">
        <w:rPr>
          <w:rFonts w:ascii="Palatino Linotype" w:eastAsia="Palatino Linotype" w:hAnsi="Palatino Linotype" w:cs="Palatino Linotype"/>
          <w:b/>
          <w:i/>
          <w:sz w:val="22"/>
          <w:szCs w:val="22"/>
        </w:rPr>
        <w:t>Artículo 149.</w:t>
      </w:r>
      <w:r w:rsidRPr="00EF423A">
        <w:rPr>
          <w:rFonts w:ascii="Palatino Linotype" w:eastAsia="Palatino Linotype" w:hAnsi="Palatino Linotype" w:cs="Palatino Linotype"/>
          <w:i/>
          <w:sz w:val="22"/>
          <w:szCs w:val="22"/>
        </w:rPr>
        <w:t xml:space="preserve"> El </w:t>
      </w:r>
      <w:r w:rsidRPr="00EF423A">
        <w:rPr>
          <w:rFonts w:ascii="Palatino Linotype" w:eastAsia="Palatino Linotype" w:hAnsi="Palatino Linotype" w:cs="Palatino Linotype"/>
          <w:b/>
          <w:i/>
          <w:sz w:val="22"/>
          <w:szCs w:val="22"/>
        </w:rPr>
        <w:t>acuerdo que clasifique la información como confidencial</w:t>
      </w:r>
      <w:r w:rsidRPr="00EF423A">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100E6F49" w14:textId="77777777" w:rsidR="00026E8D" w:rsidRPr="00EF423A" w:rsidRDefault="00B0125C">
      <w:pPr>
        <w:spacing w:before="240" w:after="240" w:line="360" w:lineRule="auto"/>
        <w:ind w:right="51"/>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 xml:space="preserve">Es decir,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14CFEB89" w14:textId="77777777" w:rsidR="00026E8D" w:rsidRPr="00EF423A" w:rsidRDefault="00B0125C">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lastRenderedPageBreak/>
        <w:t xml:space="preserve">Asimismo, respecto a las formalidades que deberá llevar el acuerdo de clasificación que deberá emitir el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078B9A19"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 xml:space="preserve"> “Quincuagésimo. </w:t>
      </w:r>
      <w:r w:rsidRPr="00EF423A">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1A374D2" w14:textId="77777777" w:rsidR="00026E8D" w:rsidRPr="00EF423A" w:rsidRDefault="00B0125C">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 xml:space="preserve">Quincuagésimo primero. </w:t>
      </w:r>
      <w:r w:rsidRPr="00EF423A">
        <w:rPr>
          <w:rFonts w:ascii="Palatino Linotype" w:eastAsia="Palatino Linotype" w:hAnsi="Palatino Linotype" w:cs="Palatino Linotype"/>
          <w:i/>
          <w:sz w:val="22"/>
          <w:szCs w:val="22"/>
        </w:rPr>
        <w:t xml:space="preserve">Toda acta del Comité de Transparencia deberá contener: </w:t>
      </w:r>
    </w:p>
    <w:p w14:paraId="46C5578F" w14:textId="77777777" w:rsidR="00026E8D" w:rsidRPr="00EF423A" w:rsidRDefault="00B0125C">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w:t>
      </w:r>
      <w:r w:rsidRPr="00EF423A">
        <w:rPr>
          <w:rFonts w:ascii="Palatino Linotype" w:eastAsia="Palatino Linotype" w:hAnsi="Palatino Linotype" w:cs="Palatino Linotype"/>
          <w:i/>
          <w:sz w:val="22"/>
          <w:szCs w:val="22"/>
        </w:rPr>
        <w:t xml:space="preserve"> El número de sesión y fecha; </w:t>
      </w:r>
    </w:p>
    <w:p w14:paraId="1BBCD66D" w14:textId="77777777" w:rsidR="00026E8D" w:rsidRPr="00EF423A" w:rsidRDefault="00B0125C">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II</w:t>
      </w:r>
      <w:r w:rsidRPr="00EF423A">
        <w:rPr>
          <w:rFonts w:ascii="Palatino Linotype" w:eastAsia="Palatino Linotype" w:hAnsi="Palatino Linotype" w:cs="Palatino Linotype"/>
          <w:i/>
          <w:sz w:val="22"/>
          <w:szCs w:val="22"/>
        </w:rPr>
        <w:t xml:space="preserve">. El nombre del área que solicitó la clasificación de información; </w:t>
      </w:r>
    </w:p>
    <w:p w14:paraId="367AE665" w14:textId="77777777" w:rsidR="00026E8D" w:rsidRPr="00EF423A" w:rsidRDefault="00B0125C">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III</w:t>
      </w:r>
      <w:r w:rsidRPr="00EF423A">
        <w:rPr>
          <w:rFonts w:ascii="Palatino Linotype" w:eastAsia="Palatino Linotype" w:hAnsi="Palatino Linotype" w:cs="Palatino Linotype"/>
          <w:i/>
          <w:sz w:val="22"/>
          <w:szCs w:val="22"/>
        </w:rPr>
        <w:t xml:space="preserve">. La fundamentación legal y motivación correspondiente; </w:t>
      </w:r>
    </w:p>
    <w:p w14:paraId="23E57F85" w14:textId="77777777" w:rsidR="00026E8D" w:rsidRPr="00EF423A" w:rsidRDefault="00B0125C">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IV</w:t>
      </w:r>
      <w:r w:rsidRPr="00EF423A">
        <w:rPr>
          <w:rFonts w:ascii="Palatino Linotype" w:eastAsia="Palatino Linotype" w:hAnsi="Palatino Linotype" w:cs="Palatino Linotype"/>
          <w:i/>
          <w:sz w:val="22"/>
          <w:szCs w:val="22"/>
        </w:rPr>
        <w:t xml:space="preserve">. La resolución o resoluciones aprobadas; y </w:t>
      </w:r>
    </w:p>
    <w:p w14:paraId="3659C817" w14:textId="77777777" w:rsidR="00026E8D" w:rsidRPr="00EF423A" w:rsidRDefault="00B0125C">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V</w:t>
      </w:r>
      <w:r w:rsidRPr="00EF423A">
        <w:rPr>
          <w:rFonts w:ascii="Palatino Linotype" w:eastAsia="Palatino Linotype" w:hAnsi="Palatino Linotype" w:cs="Palatino Linotype"/>
          <w:i/>
          <w:sz w:val="22"/>
          <w:szCs w:val="22"/>
        </w:rPr>
        <w:t xml:space="preserve">. La rúbrica o firma digital de cada integrante del Comité de Transparencia. </w:t>
      </w:r>
    </w:p>
    <w:p w14:paraId="2D5DEBBB" w14:textId="77777777" w:rsidR="00026E8D" w:rsidRPr="00EF423A" w:rsidRDefault="00B0125C">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07292274" w14:textId="77777777" w:rsidR="00026E8D" w:rsidRPr="00EF423A" w:rsidRDefault="00B0125C">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w:t>
      </w:r>
      <w:r w:rsidRPr="00EF423A">
        <w:rPr>
          <w:rFonts w:ascii="Palatino Linotype" w:eastAsia="Palatino Linotype" w:hAnsi="Palatino Linotype" w:cs="Palatino Linotype"/>
          <w:i/>
          <w:sz w:val="22"/>
          <w:szCs w:val="22"/>
        </w:rPr>
        <w:t xml:space="preserve"> Los motivos y razonamientos que sustenten la confirmación o modificación de la prueba de daño;</w:t>
      </w:r>
    </w:p>
    <w:p w14:paraId="501B747C" w14:textId="77777777" w:rsidR="00026E8D" w:rsidRPr="00EF423A" w:rsidRDefault="00B0125C">
      <w:pPr>
        <w:pBdr>
          <w:top w:val="nil"/>
          <w:left w:val="nil"/>
          <w:bottom w:val="nil"/>
          <w:right w:val="nil"/>
          <w:between w:val="nil"/>
        </w:pBdr>
        <w:spacing w:before="120" w:after="120"/>
        <w:ind w:left="567" w:right="902"/>
        <w:jc w:val="both"/>
        <w:rPr>
          <w:rFonts w:ascii="Palatino Linotype" w:eastAsia="Palatino Linotype" w:hAnsi="Palatino Linotype" w:cs="Palatino Linotype"/>
          <w:b/>
          <w:i/>
          <w:sz w:val="22"/>
          <w:szCs w:val="22"/>
        </w:rPr>
      </w:pPr>
      <w:r w:rsidRPr="00EF423A">
        <w:rPr>
          <w:rFonts w:ascii="Palatino Linotype" w:eastAsia="Palatino Linotype" w:hAnsi="Palatino Linotype" w:cs="Palatino Linotype"/>
          <w:b/>
          <w:i/>
          <w:sz w:val="22"/>
          <w:szCs w:val="22"/>
        </w:rPr>
        <w:t>II</w:t>
      </w:r>
      <w:r w:rsidRPr="00EF423A">
        <w:rPr>
          <w:rFonts w:ascii="Palatino Linotype" w:eastAsia="Palatino Linotype" w:hAnsi="Palatino Linotype" w:cs="Palatino Linotype"/>
          <w:i/>
          <w:sz w:val="22"/>
          <w:szCs w:val="22"/>
        </w:rPr>
        <w:t>. Descripción de las partes o secciones reservadas, en caso de clasificación parcial</w:t>
      </w:r>
      <w:r w:rsidRPr="00EF423A">
        <w:rPr>
          <w:rFonts w:ascii="Palatino Linotype" w:eastAsia="Palatino Linotype" w:hAnsi="Palatino Linotype" w:cs="Palatino Linotype"/>
          <w:b/>
          <w:i/>
          <w:sz w:val="22"/>
          <w:szCs w:val="22"/>
        </w:rPr>
        <w:t xml:space="preserve">; </w:t>
      </w:r>
    </w:p>
    <w:p w14:paraId="4850A9AA" w14:textId="77777777" w:rsidR="00026E8D" w:rsidRPr="00EF423A" w:rsidRDefault="00B0125C">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III.</w:t>
      </w:r>
      <w:r w:rsidRPr="00EF423A">
        <w:rPr>
          <w:rFonts w:ascii="Palatino Linotype" w:eastAsia="Palatino Linotype" w:hAnsi="Palatino Linotype" w:cs="Palatino Linotype"/>
          <w:i/>
          <w:sz w:val="22"/>
          <w:szCs w:val="22"/>
        </w:rPr>
        <w:t xml:space="preserve"> El periodo por el que mantendrá su clasificación y fecha de expiración; y </w:t>
      </w:r>
    </w:p>
    <w:p w14:paraId="5989B8D2" w14:textId="77777777" w:rsidR="00026E8D" w:rsidRPr="00EF423A" w:rsidRDefault="00B0125C">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IV.</w:t>
      </w:r>
      <w:r w:rsidRPr="00EF423A">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138436DE" w14:textId="77777777" w:rsidR="00026E8D" w:rsidRPr="00EF423A" w:rsidRDefault="00B0125C">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239AFAD" w14:textId="77777777" w:rsidR="00026E8D" w:rsidRPr="00EF423A" w:rsidRDefault="00B0125C">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A154F33"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lastRenderedPageBreak/>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6E8C18B6" w14:textId="77777777" w:rsidR="00026E8D" w:rsidRPr="00EF423A" w:rsidRDefault="00B0125C">
      <w:pPr>
        <w:spacing w:before="120" w:after="120"/>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w:t>
      </w:r>
      <w:r w:rsidRPr="00EF423A">
        <w:rPr>
          <w:rFonts w:ascii="Palatino Linotype" w:eastAsia="Palatino Linotype" w:hAnsi="Palatino Linotype" w:cs="Palatino Linotype"/>
          <w:b/>
          <w:i/>
          <w:sz w:val="22"/>
          <w:szCs w:val="22"/>
        </w:rPr>
        <w:t>Quincuagésimo segundo</w:t>
      </w:r>
      <w:r w:rsidRPr="00EF423A">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F9CFF5F" w14:textId="77777777" w:rsidR="00026E8D" w:rsidRPr="00EF423A" w:rsidRDefault="00B0125C">
      <w:pPr>
        <w:spacing w:before="120" w:after="120"/>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14FD9FBA" w14:textId="77777777" w:rsidR="00026E8D" w:rsidRPr="00EF423A" w:rsidRDefault="00B0125C">
      <w:pPr>
        <w:spacing w:before="120" w:after="120"/>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w:t>
      </w:r>
      <w:r w:rsidRPr="00EF423A">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60E56F98" w14:textId="77777777" w:rsidR="00026E8D" w:rsidRPr="00EF423A" w:rsidRDefault="00B0125C">
      <w:pPr>
        <w:spacing w:before="120" w:after="120"/>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II.</w:t>
      </w:r>
      <w:r w:rsidRPr="00EF423A">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5CF70FEE" w14:textId="77777777" w:rsidR="00026E8D" w:rsidRPr="00EF423A" w:rsidRDefault="00B0125C">
      <w:pPr>
        <w:spacing w:before="120" w:after="120"/>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III.</w:t>
      </w:r>
      <w:r w:rsidRPr="00EF423A">
        <w:rPr>
          <w:rFonts w:ascii="Palatino Linotype" w:eastAsia="Palatino Linotype" w:hAnsi="Palatino Linotype" w:cs="Palatino Linotype"/>
          <w:i/>
          <w:sz w:val="22"/>
          <w:szCs w:val="22"/>
        </w:rPr>
        <w:t xml:space="preserve"> Señalar las personas o instancias autorizadas a acceder a la información clasificada.</w:t>
      </w:r>
    </w:p>
    <w:p w14:paraId="0D2B0504" w14:textId="77777777" w:rsidR="00026E8D" w:rsidRPr="00EF423A" w:rsidRDefault="00B0125C">
      <w:pPr>
        <w:spacing w:before="120" w:after="120"/>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466C1EFA" w14:textId="77777777" w:rsidR="00026E8D" w:rsidRPr="00EF423A" w:rsidRDefault="00B0125C">
      <w:pPr>
        <w:pBdr>
          <w:top w:val="nil"/>
          <w:left w:val="nil"/>
          <w:bottom w:val="nil"/>
          <w:right w:val="nil"/>
          <w:between w:val="nil"/>
        </w:pBdr>
        <w:spacing w:before="120" w:after="120"/>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w:t>
      </w:r>
    </w:p>
    <w:p w14:paraId="3CED4353" w14:textId="77777777" w:rsidR="00026E8D" w:rsidRPr="00EF423A" w:rsidRDefault="00B0125C">
      <w:pPr>
        <w:pBdr>
          <w:top w:val="nil"/>
          <w:left w:val="nil"/>
          <w:bottom w:val="nil"/>
          <w:right w:val="nil"/>
          <w:between w:val="nil"/>
        </w:pBdr>
        <w:spacing w:before="120" w:after="120"/>
        <w:ind w:left="567" w:right="900"/>
        <w:jc w:val="both"/>
        <w:rPr>
          <w:rFonts w:ascii="Palatino Linotype" w:eastAsia="Palatino Linotype" w:hAnsi="Palatino Linotype" w:cs="Palatino Linotype"/>
          <w:b/>
          <w:i/>
          <w:sz w:val="22"/>
          <w:szCs w:val="22"/>
        </w:rPr>
      </w:pPr>
      <w:r w:rsidRPr="00EF423A">
        <w:rPr>
          <w:rFonts w:ascii="Palatino Linotype" w:eastAsia="Palatino Linotype" w:hAnsi="Palatino Linotype" w:cs="Palatino Linotype"/>
          <w:b/>
          <w:i/>
          <w:sz w:val="22"/>
          <w:szCs w:val="22"/>
        </w:rPr>
        <w:t xml:space="preserve">Quincuagésimo cuarto. </w:t>
      </w:r>
      <w:r w:rsidRPr="00EF423A">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EF423A">
        <w:rPr>
          <w:rFonts w:ascii="Palatino Linotype" w:eastAsia="Palatino Linotype" w:hAnsi="Palatino Linotype" w:cs="Palatino Linotype"/>
          <w:b/>
          <w:i/>
          <w:sz w:val="22"/>
          <w:szCs w:val="22"/>
        </w:rPr>
        <w:t xml:space="preserve"> </w:t>
      </w:r>
    </w:p>
    <w:p w14:paraId="753C8D35"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 xml:space="preserve">Quincuagésimo quinto. </w:t>
      </w:r>
      <w:r w:rsidRPr="00EF423A">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EF423A">
        <w:rPr>
          <w:rFonts w:ascii="Palatino Linotype" w:eastAsia="Palatino Linotype" w:hAnsi="Palatino Linotype" w:cs="Palatino Linotype"/>
          <w:i/>
          <w:sz w:val="22"/>
          <w:szCs w:val="22"/>
        </w:rPr>
        <w:t>testado</w:t>
      </w:r>
      <w:proofErr w:type="spellEnd"/>
      <w:r w:rsidRPr="00EF423A">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w:t>
      </w:r>
      <w:r w:rsidRPr="00EF423A">
        <w:rPr>
          <w:rFonts w:ascii="Palatino Linotype" w:eastAsia="Palatino Linotype" w:hAnsi="Palatino Linotype" w:cs="Palatino Linotype"/>
          <w:i/>
          <w:sz w:val="22"/>
          <w:szCs w:val="22"/>
        </w:rPr>
        <w:lastRenderedPageBreak/>
        <w:t>Generales, los presentes Lineamientos y demás normativa aplicable antes de su confirmación por el Comité de Transparencia.</w:t>
      </w:r>
    </w:p>
    <w:p w14:paraId="2F022417" w14:textId="77777777" w:rsidR="00026E8D" w:rsidRPr="00EF423A" w:rsidRDefault="00B0125C">
      <w:pPr>
        <w:spacing w:before="120" w:after="120"/>
        <w:ind w:left="567" w:right="902"/>
        <w:jc w:val="both"/>
        <w:rPr>
          <w:rFonts w:ascii="Palatino Linotype" w:eastAsia="Palatino Linotype" w:hAnsi="Palatino Linotype" w:cs="Palatino Linotype"/>
          <w:b/>
          <w:i/>
          <w:sz w:val="22"/>
          <w:szCs w:val="22"/>
        </w:rPr>
      </w:pPr>
      <w:r w:rsidRPr="00EF423A">
        <w:rPr>
          <w:rFonts w:ascii="Palatino Linotype" w:eastAsia="Palatino Linotype" w:hAnsi="Palatino Linotype" w:cs="Palatino Linotype"/>
          <w:b/>
          <w:i/>
          <w:sz w:val="22"/>
          <w:szCs w:val="22"/>
        </w:rPr>
        <w:t>...</w:t>
      </w:r>
    </w:p>
    <w:p w14:paraId="002F4753"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Quincuagésimo séptimo</w:t>
      </w:r>
      <w:r w:rsidRPr="00EF423A">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0CFDAC6"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w:t>
      </w:r>
      <w:r w:rsidRPr="00EF423A">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108AA6F"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II.</w:t>
      </w:r>
      <w:r w:rsidRPr="00EF423A">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347F37A5"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III</w:t>
      </w:r>
      <w:r w:rsidRPr="00EF423A">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F868E2F"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809615D" w14:textId="77777777" w:rsidR="00026E8D" w:rsidRPr="00EF423A" w:rsidRDefault="00B0125C">
      <w:pPr>
        <w:spacing w:before="120" w:after="120"/>
        <w:ind w:left="567" w:right="902"/>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b/>
          <w:i/>
          <w:sz w:val="22"/>
          <w:szCs w:val="22"/>
        </w:rPr>
        <w:t>Quincuagésimo octavo</w:t>
      </w:r>
      <w:r w:rsidRPr="00EF423A">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5AE900C7" w14:textId="77777777" w:rsidR="00026E8D" w:rsidRPr="00EF423A" w:rsidRDefault="00B0125C">
      <w:pPr>
        <w:spacing w:before="8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sz w:val="22"/>
          <w:szCs w:val="22"/>
        </w:rPr>
        <w:t>Así, con fundamento en lo prescrito en los</w:t>
      </w:r>
      <w:r w:rsidRPr="00EF423A">
        <w:rPr>
          <w:sz w:val="22"/>
          <w:szCs w:val="22"/>
        </w:rPr>
        <w:t xml:space="preserve"> </w:t>
      </w:r>
      <w:r w:rsidRPr="00EF423A">
        <w:rPr>
          <w:rFonts w:ascii="Palatino Linotype" w:eastAsia="Palatino Linotype" w:hAnsi="Palatino Linotype" w:cs="Palatino Linotype"/>
          <w:sz w:val="22"/>
          <w:szCs w:val="22"/>
        </w:rPr>
        <w:t>artículos 5 párrafos trigésimo séptimo, trigésimo octavo y trigésimo noveno,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37CFC3E3" w14:textId="77777777" w:rsidR="00026E8D" w:rsidRPr="00EF423A" w:rsidRDefault="00B0125C">
      <w:pPr>
        <w:spacing w:line="259" w:lineRule="auto"/>
        <w:ind w:left="-142" w:right="49"/>
        <w:jc w:val="center"/>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t>R E S U E L V E:</w:t>
      </w:r>
    </w:p>
    <w:p w14:paraId="389A9D07"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sz w:val="22"/>
          <w:szCs w:val="22"/>
        </w:rPr>
        <w:t xml:space="preserve">Primero. </w:t>
      </w:r>
      <w:r w:rsidRPr="00EF423A">
        <w:rPr>
          <w:rFonts w:ascii="Palatino Linotype" w:eastAsia="Palatino Linotype" w:hAnsi="Palatino Linotype" w:cs="Palatino Linotype"/>
          <w:sz w:val="22"/>
          <w:szCs w:val="22"/>
        </w:rPr>
        <w:t xml:space="preserve">Resultan </w:t>
      </w:r>
      <w:r w:rsidRPr="00EF423A">
        <w:rPr>
          <w:rFonts w:ascii="Palatino Linotype" w:eastAsia="Palatino Linotype" w:hAnsi="Palatino Linotype" w:cs="Palatino Linotype"/>
          <w:b/>
          <w:sz w:val="22"/>
          <w:szCs w:val="22"/>
        </w:rPr>
        <w:t>fundadas</w:t>
      </w:r>
      <w:r w:rsidRPr="00EF423A">
        <w:rPr>
          <w:rFonts w:ascii="Palatino Linotype" w:eastAsia="Palatino Linotype" w:hAnsi="Palatino Linotype" w:cs="Palatino Linotype"/>
          <w:sz w:val="22"/>
          <w:szCs w:val="22"/>
        </w:rPr>
        <w:t xml:space="preserve"> las razones o motivos de inconformidad hechos valer por </w:t>
      </w:r>
      <w:r w:rsidRPr="00EF423A">
        <w:rPr>
          <w:rFonts w:ascii="Palatino Linotype" w:eastAsia="Palatino Linotype" w:hAnsi="Palatino Linotype" w:cs="Palatino Linotype"/>
          <w:b/>
          <w:sz w:val="22"/>
          <w:szCs w:val="22"/>
        </w:rPr>
        <w:t>la parte Recurrente</w:t>
      </w:r>
      <w:r w:rsidRPr="00EF423A">
        <w:rPr>
          <w:rFonts w:ascii="Palatino Linotype" w:eastAsia="Palatino Linotype" w:hAnsi="Palatino Linotype" w:cs="Palatino Linotype"/>
          <w:sz w:val="22"/>
          <w:szCs w:val="22"/>
        </w:rPr>
        <w:t xml:space="preserve"> en el recurso de revisión </w:t>
      </w:r>
      <w:r w:rsidRPr="00EF423A">
        <w:rPr>
          <w:rFonts w:ascii="Palatino Linotype" w:eastAsia="Palatino Linotype" w:hAnsi="Palatino Linotype" w:cs="Palatino Linotype"/>
          <w:b/>
          <w:sz w:val="22"/>
          <w:szCs w:val="22"/>
        </w:rPr>
        <w:t>03304/INFOEM/IP/RR/2025</w:t>
      </w:r>
      <w:r w:rsidRPr="00EF423A">
        <w:rPr>
          <w:rFonts w:ascii="Palatino Linotype" w:eastAsia="Palatino Linotype" w:hAnsi="Palatino Linotype" w:cs="Palatino Linotype"/>
          <w:sz w:val="22"/>
          <w:szCs w:val="22"/>
        </w:rPr>
        <w:t xml:space="preserve">; por lo que, en términos del </w:t>
      </w:r>
      <w:r w:rsidRPr="00EF423A">
        <w:rPr>
          <w:rFonts w:ascii="Palatino Linotype" w:eastAsia="Palatino Linotype" w:hAnsi="Palatino Linotype" w:cs="Palatino Linotype"/>
          <w:b/>
          <w:sz w:val="22"/>
          <w:szCs w:val="22"/>
        </w:rPr>
        <w:t>Considerando</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 xml:space="preserve">Cuarto </w:t>
      </w:r>
      <w:r w:rsidRPr="00EF423A">
        <w:rPr>
          <w:rFonts w:ascii="Palatino Linotype" w:eastAsia="Palatino Linotype" w:hAnsi="Palatino Linotype" w:cs="Palatino Linotype"/>
          <w:sz w:val="22"/>
          <w:szCs w:val="22"/>
        </w:rPr>
        <w:t xml:space="preserve">de esta resolución, se </w:t>
      </w:r>
      <w:r w:rsidRPr="00EF423A">
        <w:rPr>
          <w:rFonts w:ascii="Palatino Linotype" w:eastAsia="Palatino Linotype" w:hAnsi="Palatino Linotype" w:cs="Palatino Linotype"/>
          <w:b/>
          <w:sz w:val="22"/>
          <w:szCs w:val="22"/>
        </w:rPr>
        <w:t xml:space="preserve">MODIFICA </w:t>
      </w:r>
      <w:r w:rsidRPr="00EF423A">
        <w:rPr>
          <w:rFonts w:ascii="Palatino Linotype" w:eastAsia="Palatino Linotype" w:hAnsi="Palatino Linotype" w:cs="Palatino Linotype"/>
          <w:sz w:val="22"/>
          <w:szCs w:val="22"/>
        </w:rPr>
        <w:t xml:space="preserve">la respuesta emitida por el </w:t>
      </w:r>
      <w:r w:rsidRPr="00EF423A">
        <w:rPr>
          <w:rFonts w:ascii="Palatino Linotype" w:eastAsia="Palatino Linotype" w:hAnsi="Palatino Linotype" w:cs="Palatino Linotype"/>
          <w:b/>
          <w:sz w:val="22"/>
          <w:szCs w:val="22"/>
        </w:rPr>
        <w:t xml:space="preserve">Sujeto Obligado. </w:t>
      </w:r>
    </w:p>
    <w:p w14:paraId="1E86ECE9" w14:textId="77777777" w:rsidR="00026E8D" w:rsidRPr="00EF423A" w:rsidRDefault="00B0125C">
      <w:pPr>
        <w:spacing w:before="240" w:after="240" w:line="360" w:lineRule="auto"/>
        <w:ind w:right="49"/>
        <w:jc w:val="both"/>
        <w:rPr>
          <w:rFonts w:ascii="Palatino Linotype" w:eastAsia="Palatino Linotype" w:hAnsi="Palatino Linotype" w:cs="Palatino Linotype"/>
          <w:b/>
          <w:sz w:val="22"/>
          <w:szCs w:val="22"/>
        </w:rPr>
      </w:pPr>
      <w:r w:rsidRPr="00EF423A">
        <w:rPr>
          <w:rFonts w:ascii="Palatino Linotype" w:eastAsia="Palatino Linotype" w:hAnsi="Palatino Linotype" w:cs="Palatino Linotype"/>
          <w:b/>
          <w:sz w:val="22"/>
          <w:szCs w:val="22"/>
        </w:rPr>
        <w:lastRenderedPageBreak/>
        <w:t xml:space="preserve">Segundo. </w:t>
      </w:r>
      <w:r w:rsidRPr="00EF423A">
        <w:rPr>
          <w:rFonts w:ascii="Palatino Linotype" w:eastAsia="Palatino Linotype" w:hAnsi="Palatino Linotype" w:cs="Palatino Linotype"/>
          <w:sz w:val="22"/>
          <w:szCs w:val="22"/>
        </w:rPr>
        <w:t xml:space="preserve">Se </w:t>
      </w:r>
      <w:r w:rsidRPr="00EF423A">
        <w:rPr>
          <w:rFonts w:ascii="Palatino Linotype" w:eastAsia="Palatino Linotype" w:hAnsi="Palatino Linotype" w:cs="Palatino Linotype"/>
          <w:b/>
          <w:sz w:val="22"/>
          <w:szCs w:val="22"/>
        </w:rPr>
        <w:t xml:space="preserve">Ordena </w:t>
      </w:r>
      <w:r w:rsidRPr="00EF423A">
        <w:rPr>
          <w:rFonts w:ascii="Palatino Linotype" w:eastAsia="Palatino Linotype" w:hAnsi="Palatino Linotype" w:cs="Palatino Linotype"/>
          <w:sz w:val="22"/>
          <w:szCs w:val="22"/>
        </w:rPr>
        <w:t xml:space="preserve">al </w:t>
      </w:r>
      <w:r w:rsidRPr="00EF423A">
        <w:rPr>
          <w:rFonts w:ascii="Palatino Linotype" w:eastAsia="Palatino Linotype" w:hAnsi="Palatino Linotype" w:cs="Palatino Linotype"/>
          <w:b/>
          <w:sz w:val="22"/>
          <w:szCs w:val="22"/>
        </w:rPr>
        <w:t>Sujeto Obligado</w:t>
      </w:r>
      <w:r w:rsidRPr="00EF423A">
        <w:rPr>
          <w:rFonts w:ascii="Palatino Linotype" w:eastAsia="Palatino Linotype" w:hAnsi="Palatino Linotype" w:cs="Palatino Linotype"/>
          <w:sz w:val="22"/>
          <w:szCs w:val="22"/>
        </w:rPr>
        <w:t xml:space="preserve"> haga entrega</w:t>
      </w:r>
      <w:r w:rsidRPr="00EF423A">
        <w:rPr>
          <w:rFonts w:ascii="Palatino Linotype" w:eastAsia="Palatino Linotype" w:hAnsi="Palatino Linotype" w:cs="Palatino Linotype"/>
          <w:b/>
          <w:sz w:val="22"/>
          <w:szCs w:val="22"/>
        </w:rPr>
        <w:t>,</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de ser procedente en</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versión pública</w:t>
      </w:r>
      <w:r w:rsidRPr="00EF423A">
        <w:rPr>
          <w:rFonts w:ascii="Palatino Linotype" w:eastAsia="Palatino Linotype" w:hAnsi="Palatino Linotype" w:cs="Palatino Linotype"/>
          <w:sz w:val="22"/>
          <w:szCs w:val="22"/>
        </w:rPr>
        <w:t xml:space="preserve"> a</w:t>
      </w:r>
      <w:r w:rsidRPr="00EF423A">
        <w:rPr>
          <w:rFonts w:ascii="Palatino Linotype" w:eastAsia="Palatino Linotype" w:hAnsi="Palatino Linotype" w:cs="Palatino Linotype"/>
          <w:b/>
          <w:sz w:val="22"/>
          <w:szCs w:val="22"/>
        </w:rPr>
        <w:t xml:space="preserve"> la parte Recurrente,</w:t>
      </w:r>
      <w:r w:rsidRPr="00EF423A">
        <w:rPr>
          <w:rFonts w:ascii="Palatino Linotype" w:eastAsia="Palatino Linotype" w:hAnsi="Palatino Linotype" w:cs="Palatino Linotype"/>
          <w:sz w:val="22"/>
          <w:szCs w:val="22"/>
        </w:rPr>
        <w:t xml:space="preserve"> vía </w:t>
      </w:r>
      <w:r w:rsidRPr="00EF423A">
        <w:rPr>
          <w:rFonts w:ascii="Palatino Linotype" w:eastAsia="Palatino Linotype" w:hAnsi="Palatino Linotype" w:cs="Palatino Linotype"/>
          <w:b/>
          <w:sz w:val="22"/>
          <w:szCs w:val="22"/>
        </w:rPr>
        <w:t xml:space="preserve">SAIMEX, </w:t>
      </w:r>
      <w:r w:rsidRPr="00EF423A">
        <w:rPr>
          <w:rFonts w:ascii="Palatino Linotype" w:eastAsia="Palatino Linotype" w:hAnsi="Palatino Linotype" w:cs="Palatino Linotype"/>
          <w:sz w:val="22"/>
          <w:szCs w:val="22"/>
        </w:rPr>
        <w:t xml:space="preserve">en términos de los </w:t>
      </w:r>
      <w:r w:rsidRPr="00EF423A">
        <w:rPr>
          <w:rFonts w:ascii="Palatino Linotype" w:eastAsia="Palatino Linotype" w:hAnsi="Palatino Linotype" w:cs="Palatino Linotype"/>
          <w:b/>
          <w:sz w:val="22"/>
          <w:szCs w:val="22"/>
        </w:rPr>
        <w:t>Considerandos</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 xml:space="preserve">Cuarto y Quinto, </w:t>
      </w:r>
      <w:r w:rsidRPr="00EF423A">
        <w:rPr>
          <w:rFonts w:ascii="Palatino Linotype" w:eastAsia="Palatino Linotype" w:hAnsi="Palatino Linotype" w:cs="Palatino Linotype"/>
          <w:sz w:val="22"/>
          <w:szCs w:val="22"/>
        </w:rPr>
        <w:t>de lo siguiente</w:t>
      </w:r>
      <w:r w:rsidRPr="00EF423A">
        <w:rPr>
          <w:rFonts w:ascii="Palatino Linotype" w:eastAsia="Palatino Linotype" w:hAnsi="Palatino Linotype" w:cs="Palatino Linotype"/>
          <w:b/>
          <w:i/>
          <w:sz w:val="22"/>
          <w:szCs w:val="22"/>
        </w:rPr>
        <w:t>:</w:t>
      </w:r>
    </w:p>
    <w:p w14:paraId="393B788B" w14:textId="77777777" w:rsidR="00026E8D" w:rsidRPr="00EF423A" w:rsidRDefault="00B0125C">
      <w:pPr>
        <w:numPr>
          <w:ilvl w:val="0"/>
          <w:numId w:val="2"/>
        </w:numPr>
        <w:pBdr>
          <w:top w:val="nil"/>
          <w:left w:val="nil"/>
          <w:bottom w:val="nil"/>
          <w:right w:val="nil"/>
          <w:between w:val="nil"/>
        </w:pBdr>
        <w:spacing w:line="276" w:lineRule="auto"/>
        <w:ind w:right="900"/>
        <w:jc w:val="both"/>
        <w:rPr>
          <w:rFonts w:ascii="Palatino Linotype" w:eastAsia="Palatino Linotype" w:hAnsi="Palatino Linotype" w:cs="Palatino Linotype"/>
          <w:b/>
          <w:i/>
          <w:sz w:val="22"/>
          <w:szCs w:val="22"/>
        </w:rPr>
      </w:pPr>
      <w:r w:rsidRPr="00EF423A">
        <w:rPr>
          <w:rFonts w:ascii="Palatino Linotype" w:eastAsia="Palatino Linotype" w:hAnsi="Palatino Linotype" w:cs="Palatino Linotype"/>
          <w:b/>
          <w:i/>
          <w:sz w:val="22"/>
          <w:szCs w:val="22"/>
        </w:rPr>
        <w:t>La conciliación de nómina de la primera y segunda quincena de enero de 2025, así como de la primera quincena de febrero de 2025.</w:t>
      </w:r>
    </w:p>
    <w:p w14:paraId="398C346E" w14:textId="77777777" w:rsidR="00026E8D" w:rsidRPr="00EF423A" w:rsidRDefault="00B0125C">
      <w:pPr>
        <w:numPr>
          <w:ilvl w:val="0"/>
          <w:numId w:val="2"/>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sz w:val="22"/>
          <w:szCs w:val="22"/>
        </w:rPr>
      </w:pPr>
      <w:bookmarkStart w:id="11" w:name="_heading=h.8t2ht9twk346" w:colFirst="0" w:colLast="0"/>
      <w:bookmarkEnd w:id="11"/>
      <w:r w:rsidRPr="00EF423A">
        <w:rPr>
          <w:rFonts w:ascii="Palatino Linotype" w:eastAsia="Palatino Linotype" w:hAnsi="Palatino Linotype" w:cs="Palatino Linotype"/>
          <w:b/>
          <w:i/>
          <w:sz w:val="22"/>
          <w:szCs w:val="22"/>
        </w:rPr>
        <w:t xml:space="preserve">El recibo de nómina </w:t>
      </w:r>
      <w:r w:rsidRPr="00EF423A">
        <w:rPr>
          <w:rFonts w:ascii="Palatino Linotype" w:eastAsia="Palatino Linotype" w:hAnsi="Palatino Linotype" w:cs="Palatino Linotype"/>
          <w:b/>
          <w:i/>
          <w:sz w:val="22"/>
          <w:szCs w:val="22"/>
          <w:u w:val="single"/>
        </w:rPr>
        <w:t>faltante</w:t>
      </w:r>
      <w:r w:rsidRPr="00EF423A">
        <w:rPr>
          <w:rFonts w:ascii="Palatino Linotype" w:eastAsia="Palatino Linotype" w:hAnsi="Palatino Linotype" w:cs="Palatino Linotype"/>
          <w:b/>
          <w:i/>
          <w:sz w:val="22"/>
          <w:szCs w:val="22"/>
        </w:rPr>
        <w:t xml:space="preserve">, de la primera quincena de enero de 2025, así como los recibos de nómina, </w:t>
      </w:r>
      <w:r w:rsidRPr="00EF423A">
        <w:rPr>
          <w:rFonts w:ascii="Palatino Linotype" w:eastAsia="Palatino Linotype" w:hAnsi="Palatino Linotype" w:cs="Palatino Linotype"/>
          <w:b/>
          <w:i/>
          <w:sz w:val="22"/>
          <w:szCs w:val="22"/>
          <w:u w:val="single"/>
        </w:rPr>
        <w:t>entregados en respuesta</w:t>
      </w:r>
      <w:r w:rsidRPr="00EF423A">
        <w:rPr>
          <w:rFonts w:ascii="Palatino Linotype" w:eastAsia="Palatino Linotype" w:hAnsi="Palatino Linotype" w:cs="Palatino Linotype"/>
          <w:b/>
          <w:i/>
          <w:sz w:val="22"/>
          <w:szCs w:val="22"/>
        </w:rPr>
        <w:t>, en correcta versión pública.</w:t>
      </w:r>
    </w:p>
    <w:p w14:paraId="52C421D2" w14:textId="77777777" w:rsidR="00026E8D" w:rsidRPr="00EF423A" w:rsidRDefault="00B0125C">
      <w:pPr>
        <w:numPr>
          <w:ilvl w:val="0"/>
          <w:numId w:val="2"/>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sz w:val="22"/>
          <w:szCs w:val="22"/>
        </w:rPr>
      </w:pPr>
      <w:r w:rsidRPr="00EF423A">
        <w:rPr>
          <w:rFonts w:ascii="Palatino Linotype" w:eastAsia="Palatino Linotype" w:hAnsi="Palatino Linotype" w:cs="Palatino Linotype"/>
          <w:b/>
          <w:i/>
          <w:sz w:val="22"/>
          <w:szCs w:val="22"/>
        </w:rPr>
        <w:t>Organigrama del Sistema Municipal Para el Desarrollo Integral de la Familia de Huehuetoca, vigente al 25 de febrero de 2025.</w:t>
      </w:r>
    </w:p>
    <w:p w14:paraId="49526887" w14:textId="77777777" w:rsidR="00026E8D" w:rsidRPr="00EF423A" w:rsidRDefault="00B0125C">
      <w:pPr>
        <w:numPr>
          <w:ilvl w:val="0"/>
          <w:numId w:val="2"/>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sz w:val="22"/>
          <w:szCs w:val="22"/>
        </w:rPr>
      </w:pPr>
      <w:r w:rsidRPr="00EF423A">
        <w:rPr>
          <w:rFonts w:ascii="Palatino Linotype" w:eastAsia="Palatino Linotype" w:hAnsi="Palatino Linotype" w:cs="Palatino Linotype"/>
          <w:b/>
          <w:i/>
          <w:sz w:val="22"/>
          <w:szCs w:val="22"/>
        </w:rPr>
        <w:t>Documento que dé cuenta de la cantidad de plazas vacantes por área administrativa, al 25 de febrero de 2025.</w:t>
      </w:r>
    </w:p>
    <w:p w14:paraId="7980EAD1" w14:textId="77777777" w:rsidR="00026E8D" w:rsidRPr="00EF423A" w:rsidRDefault="00B0125C">
      <w:pPr>
        <w:numPr>
          <w:ilvl w:val="0"/>
          <w:numId w:val="2"/>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sz w:val="22"/>
          <w:szCs w:val="22"/>
        </w:rPr>
      </w:pPr>
      <w:r w:rsidRPr="00EF423A">
        <w:rPr>
          <w:rFonts w:ascii="Palatino Linotype" w:eastAsia="Palatino Linotype" w:hAnsi="Palatino Linotype" w:cs="Palatino Linotype"/>
          <w:b/>
          <w:i/>
          <w:sz w:val="22"/>
          <w:szCs w:val="22"/>
        </w:rPr>
        <w:t>Documento donde conste o se advierta la cantidad de juicios administrativos o laborales por despidos injustificados iniciados del 01 de enero al 25 de febrero de 2025.</w:t>
      </w:r>
    </w:p>
    <w:p w14:paraId="61BD43B8" w14:textId="77777777" w:rsidR="00026E8D" w:rsidRPr="00EF423A" w:rsidRDefault="00B0125C">
      <w:pPr>
        <w:pBdr>
          <w:top w:val="nil"/>
          <w:left w:val="nil"/>
          <w:bottom w:val="nil"/>
          <w:right w:val="nil"/>
          <w:between w:val="nil"/>
        </w:pBdr>
        <w:spacing w:before="240" w:after="120"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EF423A">
        <w:rPr>
          <w:rFonts w:ascii="Palatino Linotype" w:eastAsia="Palatino Linotype" w:hAnsi="Palatino Linotype" w:cs="Palatino Linotype"/>
          <w:b/>
          <w:i/>
          <w:sz w:val="22"/>
          <w:szCs w:val="22"/>
        </w:rPr>
        <w:t>Recurrente</w:t>
      </w:r>
      <w:r w:rsidRPr="00EF423A">
        <w:rPr>
          <w:rFonts w:ascii="Palatino Linotype" w:eastAsia="Palatino Linotype" w:hAnsi="Palatino Linotype" w:cs="Palatino Linotype"/>
          <w:i/>
          <w:sz w:val="22"/>
          <w:szCs w:val="22"/>
        </w:rPr>
        <w:t>.</w:t>
      </w:r>
    </w:p>
    <w:p w14:paraId="34DBC3FC" w14:textId="77777777" w:rsidR="00026E8D" w:rsidRPr="00EF423A" w:rsidRDefault="00B0125C">
      <w:pPr>
        <w:pBdr>
          <w:top w:val="nil"/>
          <w:left w:val="nil"/>
          <w:bottom w:val="nil"/>
          <w:right w:val="nil"/>
          <w:between w:val="nil"/>
        </w:pBdr>
        <w:spacing w:before="240" w:after="120" w:line="276" w:lineRule="auto"/>
        <w:ind w:left="567" w:right="900"/>
        <w:jc w:val="both"/>
        <w:rPr>
          <w:rFonts w:ascii="Palatino Linotype" w:eastAsia="Palatino Linotype" w:hAnsi="Palatino Linotype" w:cs="Palatino Linotype"/>
          <w:i/>
          <w:sz w:val="22"/>
          <w:szCs w:val="22"/>
        </w:rPr>
      </w:pPr>
      <w:r w:rsidRPr="00EF423A">
        <w:rPr>
          <w:rFonts w:ascii="Palatino Linotype" w:eastAsia="Palatino Linotype" w:hAnsi="Palatino Linotype" w:cs="Palatino Linotype"/>
          <w:i/>
          <w:sz w:val="22"/>
          <w:szCs w:val="22"/>
        </w:rPr>
        <w:t xml:space="preserve">Para el caso de que la información que se ordena entregar en el </w:t>
      </w:r>
      <w:r w:rsidRPr="00EF423A">
        <w:rPr>
          <w:rFonts w:ascii="Palatino Linotype" w:eastAsia="Palatino Linotype" w:hAnsi="Palatino Linotype" w:cs="Palatino Linotype"/>
          <w:b/>
          <w:i/>
          <w:sz w:val="22"/>
          <w:szCs w:val="22"/>
        </w:rPr>
        <w:t>inciso e)</w:t>
      </w:r>
      <w:r w:rsidRPr="00EF423A">
        <w:rPr>
          <w:rFonts w:ascii="Palatino Linotype" w:eastAsia="Palatino Linotype" w:hAnsi="Palatino Linotype" w:cs="Palatino Linotype"/>
          <w:i/>
          <w:sz w:val="22"/>
          <w:szCs w:val="22"/>
        </w:rPr>
        <w:t xml:space="preserve"> no obre en los archivos del </w:t>
      </w:r>
      <w:r w:rsidRPr="00EF423A">
        <w:rPr>
          <w:rFonts w:ascii="Palatino Linotype" w:eastAsia="Palatino Linotype" w:hAnsi="Palatino Linotype" w:cs="Palatino Linotype"/>
          <w:b/>
          <w:i/>
          <w:sz w:val="22"/>
          <w:szCs w:val="22"/>
        </w:rPr>
        <w:t>Sujeto Obligado</w:t>
      </w:r>
      <w:r w:rsidRPr="00EF423A">
        <w:rPr>
          <w:rFonts w:ascii="Palatino Linotype" w:eastAsia="Palatino Linotype" w:hAnsi="Palatino Linotype" w:cs="Palatino Linotype"/>
          <w:i/>
          <w:sz w:val="22"/>
          <w:szCs w:val="22"/>
        </w:rPr>
        <w:t>, toda vez que dentro del periodo ordenado no se inició juicio laboral por despido injustificado o administrativo alguno, deberá hacerlo del conocimiento de la parte Recurrente en términos del artículo 19, párrafo segundo, de la Ley de Transparencia y Acceso a la Información Pública del Estado de México y Municipios, para tenerse por colmado dicho requerimiento.</w:t>
      </w:r>
    </w:p>
    <w:p w14:paraId="6DFA61BA" w14:textId="77777777" w:rsidR="00026E8D" w:rsidRPr="00EF423A" w:rsidRDefault="00B0125C">
      <w:pPr>
        <w:spacing w:before="240" w:after="240" w:line="360" w:lineRule="auto"/>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sz w:val="22"/>
          <w:szCs w:val="22"/>
        </w:rPr>
        <w:t xml:space="preserve">Tercero.  Notifíquese vía SAIMEX, </w:t>
      </w:r>
      <w:r w:rsidRPr="00EF423A">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w:t>
      </w:r>
      <w:r w:rsidRPr="00EF423A">
        <w:rPr>
          <w:rFonts w:ascii="Palatino Linotype" w:eastAsia="Palatino Linotype" w:hAnsi="Palatino Linotype" w:cs="Palatino Linotype"/>
          <w:sz w:val="22"/>
          <w:szCs w:val="22"/>
        </w:rPr>
        <w:lastRenderedPageBreak/>
        <w:t>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9840BD7"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sz w:val="22"/>
          <w:szCs w:val="22"/>
        </w:rPr>
        <w:t>Cuarto. Notifíquese, vía SAIMEX</w:t>
      </w:r>
      <w:r w:rsidRPr="00EF423A">
        <w:rPr>
          <w:rFonts w:ascii="Palatino Linotype" w:eastAsia="Palatino Linotype" w:hAnsi="Palatino Linotype" w:cs="Palatino Linotype"/>
          <w:sz w:val="22"/>
          <w:szCs w:val="22"/>
        </w:rPr>
        <w:t>, al Titular de la Unidad de Transparencia que</w:t>
      </w:r>
      <w:r w:rsidRPr="00EF423A">
        <w:rPr>
          <w:rFonts w:ascii="Palatino Linotype" w:eastAsia="Palatino Linotype" w:hAnsi="Palatino Linotype" w:cs="Palatino Linotype"/>
          <w:b/>
          <w:sz w:val="22"/>
          <w:szCs w:val="22"/>
        </w:rPr>
        <w:t xml:space="preserve"> </w:t>
      </w:r>
      <w:r w:rsidRPr="00EF423A">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9C706E8" w14:textId="77777777" w:rsidR="00026E8D" w:rsidRPr="00EF423A" w:rsidRDefault="00B0125C">
      <w:pPr>
        <w:spacing w:before="240" w:after="240"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sz w:val="22"/>
          <w:szCs w:val="22"/>
        </w:rPr>
        <w:t xml:space="preserve">Quinto. Notifíquese vía SAIMEX, </w:t>
      </w:r>
      <w:r w:rsidRPr="00EF423A">
        <w:rPr>
          <w:rFonts w:ascii="Palatino Linotype" w:eastAsia="Palatino Linotype" w:hAnsi="Palatino Linotype" w:cs="Palatino Linotype"/>
          <w:sz w:val="22"/>
          <w:szCs w:val="22"/>
        </w:rPr>
        <w:t>a</w:t>
      </w:r>
      <w:r w:rsidRPr="00EF423A">
        <w:rPr>
          <w:rFonts w:ascii="Palatino Linotype" w:eastAsia="Palatino Linotype" w:hAnsi="Palatino Linotype" w:cs="Palatino Linotype"/>
          <w:b/>
          <w:sz w:val="22"/>
          <w:szCs w:val="22"/>
        </w:rPr>
        <w:t xml:space="preserve"> la parte Recurrente</w:t>
      </w:r>
      <w:r w:rsidRPr="00EF423A">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14:paraId="0360B6EB" w14:textId="77777777" w:rsidR="00026E8D" w:rsidRPr="00EF423A" w:rsidRDefault="00B0125C">
      <w:pPr>
        <w:spacing w:line="360" w:lineRule="auto"/>
        <w:ind w:right="49"/>
        <w:jc w:val="both"/>
        <w:rPr>
          <w:rFonts w:ascii="Palatino Linotype" w:eastAsia="Palatino Linotype" w:hAnsi="Palatino Linotype" w:cs="Palatino Linotype"/>
          <w:sz w:val="22"/>
          <w:szCs w:val="22"/>
        </w:rPr>
      </w:pPr>
      <w:r w:rsidRPr="00EF423A">
        <w:rPr>
          <w:rFonts w:ascii="Palatino Linotype" w:eastAsia="Palatino Linotype" w:hAnsi="Palatino Linotype" w:cs="Palatino Linotype"/>
          <w:b/>
          <w:sz w:val="22"/>
          <w:szCs w:val="22"/>
        </w:rPr>
        <w:t>Sexto.</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 xml:space="preserve">Gírese </w:t>
      </w:r>
      <w:r w:rsidRPr="00EF423A">
        <w:rPr>
          <w:rFonts w:ascii="Palatino Linotype" w:eastAsia="Palatino Linotype" w:hAnsi="Palatino Linotype" w:cs="Palatino Linotype"/>
          <w:sz w:val="22"/>
          <w:szCs w:val="22"/>
        </w:rPr>
        <w:t xml:space="preserve">oficio a la </w:t>
      </w:r>
      <w:r w:rsidRPr="00EF423A">
        <w:rPr>
          <w:rFonts w:ascii="Palatino Linotype" w:eastAsia="Palatino Linotype" w:hAnsi="Palatino Linotype" w:cs="Palatino Linotype"/>
          <w:b/>
          <w:sz w:val="22"/>
          <w:szCs w:val="22"/>
        </w:rPr>
        <w:t>Dirección General de Protección de Datos Personales</w:t>
      </w:r>
      <w:r w:rsidRPr="00EF423A">
        <w:rPr>
          <w:rFonts w:ascii="Palatino Linotype" w:eastAsia="Palatino Linotype" w:hAnsi="Palatino Linotype" w:cs="Palatino Linotype"/>
          <w:sz w:val="22"/>
          <w:szCs w:val="22"/>
        </w:rPr>
        <w:t xml:space="preserve"> de este Instituto para hacer de su conocimiento la presente resolución, a fin de que en ejercicio de sus atribuciones y de conformidad con el artículo 82 de la Ley de Protección de Datos Personales en Posesión de Sujetos Obligados del Estado de México y Municipios, determine lo conducente, en términos de lo señalado en el </w:t>
      </w:r>
      <w:r w:rsidRPr="00EF423A">
        <w:rPr>
          <w:rFonts w:ascii="Palatino Linotype" w:eastAsia="Palatino Linotype" w:hAnsi="Palatino Linotype" w:cs="Palatino Linotype"/>
          <w:b/>
          <w:sz w:val="22"/>
          <w:szCs w:val="22"/>
        </w:rPr>
        <w:t>Considerando</w:t>
      </w:r>
      <w:r w:rsidRPr="00EF423A">
        <w:rPr>
          <w:rFonts w:ascii="Palatino Linotype" w:eastAsia="Palatino Linotype" w:hAnsi="Palatino Linotype" w:cs="Palatino Linotype"/>
          <w:sz w:val="22"/>
          <w:szCs w:val="22"/>
        </w:rPr>
        <w:t xml:space="preserve"> </w:t>
      </w:r>
      <w:r w:rsidRPr="00EF423A">
        <w:rPr>
          <w:rFonts w:ascii="Palatino Linotype" w:eastAsia="Palatino Linotype" w:hAnsi="Palatino Linotype" w:cs="Palatino Linotype"/>
          <w:b/>
          <w:sz w:val="22"/>
          <w:szCs w:val="22"/>
        </w:rPr>
        <w:t>Cuarto</w:t>
      </w:r>
      <w:r w:rsidRPr="00EF423A">
        <w:rPr>
          <w:rFonts w:ascii="Palatino Linotype" w:eastAsia="Palatino Linotype" w:hAnsi="Palatino Linotype" w:cs="Palatino Linotype"/>
          <w:sz w:val="22"/>
          <w:szCs w:val="22"/>
        </w:rPr>
        <w:t xml:space="preserve"> de la presente resolución.</w:t>
      </w:r>
    </w:p>
    <w:p w14:paraId="30561789" w14:textId="77777777" w:rsidR="00B37AFA" w:rsidRPr="00EF423A" w:rsidRDefault="00B37AFA">
      <w:pPr>
        <w:spacing w:line="360" w:lineRule="auto"/>
        <w:ind w:right="49"/>
        <w:jc w:val="both"/>
        <w:rPr>
          <w:rFonts w:ascii="Palatino Linotype" w:eastAsia="Palatino Linotype" w:hAnsi="Palatino Linotype" w:cs="Palatino Linotype"/>
          <w:sz w:val="22"/>
          <w:szCs w:val="22"/>
        </w:rPr>
      </w:pPr>
    </w:p>
    <w:p w14:paraId="71D1A527" w14:textId="77777777" w:rsidR="00026E8D" w:rsidRPr="00EF423A" w:rsidRDefault="00026E8D">
      <w:pPr>
        <w:spacing w:line="360" w:lineRule="auto"/>
        <w:ind w:right="49"/>
        <w:jc w:val="both"/>
        <w:rPr>
          <w:rFonts w:ascii="Palatino Linotype" w:eastAsia="Palatino Linotype" w:hAnsi="Palatino Linotype" w:cs="Palatino Linotype"/>
          <w:sz w:val="22"/>
          <w:szCs w:val="22"/>
        </w:rPr>
      </w:pPr>
    </w:p>
    <w:p w14:paraId="12B9C6D3" w14:textId="77777777" w:rsidR="00026E8D" w:rsidRPr="00B37AFA" w:rsidRDefault="00B0125C">
      <w:pPr>
        <w:spacing w:line="360" w:lineRule="auto"/>
        <w:jc w:val="both"/>
        <w:rPr>
          <w:rFonts w:ascii="Palatino Linotype" w:eastAsia="Palatino Linotype" w:hAnsi="Palatino Linotype" w:cs="Palatino Linotype"/>
        </w:rPr>
      </w:pPr>
      <w:bookmarkStart w:id="12" w:name="_heading=h.huxfd74zy0n4" w:colFirst="0" w:colLast="0"/>
      <w:bookmarkEnd w:id="12"/>
      <w:r w:rsidRPr="00EF423A">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CUATRO DE JUNIO DE DOS MIL VEINTICINCO, ANTE EL SECRETARIO TÉCNICO DEL PLENO ALEXIS TAPIA RAMÍREZ.</w:t>
      </w:r>
      <w:r w:rsidRPr="00B37AFA">
        <w:rPr>
          <w:rFonts w:ascii="Palatino Linotype" w:eastAsia="Palatino Linotype" w:hAnsi="Palatino Linotype" w:cs="Palatino Linotype"/>
        </w:rPr>
        <w:t xml:space="preserve"> </w:t>
      </w:r>
    </w:p>
    <w:p w14:paraId="7C0D57A7" w14:textId="77777777" w:rsidR="00026E8D" w:rsidRPr="00B37AFA" w:rsidRDefault="00026E8D">
      <w:pPr>
        <w:rPr>
          <w:rFonts w:ascii="Palatino Linotype" w:eastAsia="Palatino Linotype" w:hAnsi="Palatino Linotype" w:cs="Palatino Linotype"/>
        </w:rPr>
      </w:pPr>
    </w:p>
    <w:p w14:paraId="26E89B0E" w14:textId="77777777" w:rsidR="00026E8D" w:rsidRPr="00B37AFA" w:rsidRDefault="00026E8D">
      <w:pPr>
        <w:rPr>
          <w:rFonts w:ascii="Palatino Linotype" w:eastAsia="Palatino Linotype" w:hAnsi="Palatino Linotype" w:cs="Palatino Linotype"/>
        </w:rPr>
      </w:pPr>
    </w:p>
    <w:p w14:paraId="44912574" w14:textId="77777777" w:rsidR="00026E8D" w:rsidRPr="00B37AFA" w:rsidRDefault="00026E8D">
      <w:pPr>
        <w:spacing w:line="360" w:lineRule="auto"/>
        <w:jc w:val="both"/>
        <w:rPr>
          <w:rFonts w:ascii="Palatino Linotype" w:eastAsia="Palatino Linotype" w:hAnsi="Palatino Linotype" w:cs="Palatino Linotype"/>
        </w:rPr>
      </w:pPr>
      <w:bookmarkStart w:id="13" w:name="_heading=h.3rdcrjn" w:colFirst="0" w:colLast="0"/>
      <w:bookmarkEnd w:id="13"/>
    </w:p>
    <w:p w14:paraId="0F56A3EB" w14:textId="77777777" w:rsidR="00026E8D" w:rsidRPr="00B37AFA" w:rsidRDefault="00026E8D">
      <w:pPr>
        <w:spacing w:line="360" w:lineRule="auto"/>
        <w:jc w:val="both"/>
        <w:rPr>
          <w:rFonts w:ascii="Palatino Linotype" w:eastAsia="Palatino Linotype" w:hAnsi="Palatino Linotype" w:cs="Palatino Linotype"/>
        </w:rPr>
      </w:pPr>
    </w:p>
    <w:p w14:paraId="09DB1A82" w14:textId="77777777" w:rsidR="00026E8D" w:rsidRPr="00B37AFA" w:rsidRDefault="00026E8D">
      <w:pPr>
        <w:spacing w:line="360" w:lineRule="auto"/>
        <w:jc w:val="both"/>
        <w:rPr>
          <w:rFonts w:ascii="Palatino Linotype" w:eastAsia="Palatino Linotype" w:hAnsi="Palatino Linotype" w:cs="Palatino Linotype"/>
        </w:rPr>
      </w:pPr>
    </w:p>
    <w:p w14:paraId="3594A02E" w14:textId="77777777" w:rsidR="00026E8D" w:rsidRPr="00B37AFA" w:rsidRDefault="00026E8D">
      <w:pPr>
        <w:spacing w:line="360" w:lineRule="auto"/>
        <w:jc w:val="both"/>
        <w:rPr>
          <w:rFonts w:ascii="Palatino Linotype" w:eastAsia="Palatino Linotype" w:hAnsi="Palatino Linotype" w:cs="Palatino Linotype"/>
        </w:rPr>
      </w:pPr>
      <w:bookmarkStart w:id="14" w:name="_heading=h.1t3h5sf" w:colFirst="0" w:colLast="0"/>
      <w:bookmarkEnd w:id="14"/>
    </w:p>
    <w:p w14:paraId="21D1CBF8" w14:textId="77777777" w:rsidR="00026E8D" w:rsidRPr="00B37AFA" w:rsidRDefault="00026E8D">
      <w:pPr>
        <w:spacing w:line="360" w:lineRule="auto"/>
        <w:jc w:val="both"/>
        <w:rPr>
          <w:rFonts w:ascii="Palatino Linotype" w:eastAsia="Palatino Linotype" w:hAnsi="Palatino Linotype" w:cs="Palatino Linotype"/>
        </w:rPr>
      </w:pPr>
    </w:p>
    <w:p w14:paraId="088AB8F9" w14:textId="77777777" w:rsidR="00026E8D" w:rsidRPr="00B37AFA" w:rsidRDefault="00026E8D">
      <w:pPr>
        <w:spacing w:line="360" w:lineRule="auto"/>
        <w:jc w:val="both"/>
        <w:rPr>
          <w:rFonts w:ascii="Palatino Linotype" w:eastAsia="Palatino Linotype" w:hAnsi="Palatino Linotype" w:cs="Palatino Linotype"/>
        </w:rPr>
      </w:pPr>
    </w:p>
    <w:p w14:paraId="4CE6CDB2" w14:textId="77777777" w:rsidR="00026E8D" w:rsidRPr="00B37AFA" w:rsidRDefault="00026E8D">
      <w:pPr>
        <w:spacing w:line="360" w:lineRule="auto"/>
        <w:jc w:val="both"/>
        <w:rPr>
          <w:rFonts w:ascii="Palatino Linotype" w:eastAsia="Palatino Linotype" w:hAnsi="Palatino Linotype" w:cs="Palatino Linotype"/>
        </w:rPr>
      </w:pPr>
    </w:p>
    <w:p w14:paraId="4D6E0A11" w14:textId="77777777" w:rsidR="00026E8D" w:rsidRPr="00B37AFA" w:rsidRDefault="00026E8D">
      <w:pPr>
        <w:spacing w:line="360" w:lineRule="auto"/>
        <w:jc w:val="both"/>
        <w:rPr>
          <w:rFonts w:ascii="Palatino Linotype" w:eastAsia="Palatino Linotype" w:hAnsi="Palatino Linotype" w:cs="Palatino Linotype"/>
        </w:rPr>
      </w:pPr>
    </w:p>
    <w:p w14:paraId="1185174E" w14:textId="77777777" w:rsidR="00026E8D" w:rsidRPr="00B37AFA" w:rsidRDefault="00026E8D">
      <w:pPr>
        <w:spacing w:line="360" w:lineRule="auto"/>
        <w:jc w:val="both"/>
        <w:rPr>
          <w:rFonts w:ascii="Palatino Linotype" w:eastAsia="Palatino Linotype" w:hAnsi="Palatino Linotype" w:cs="Palatino Linotype"/>
        </w:rPr>
      </w:pPr>
    </w:p>
    <w:p w14:paraId="39DBB8BE" w14:textId="77777777" w:rsidR="00026E8D" w:rsidRPr="00B37AFA" w:rsidRDefault="00026E8D">
      <w:pPr>
        <w:spacing w:line="360" w:lineRule="auto"/>
        <w:jc w:val="both"/>
        <w:rPr>
          <w:rFonts w:ascii="Palatino Linotype" w:eastAsia="Palatino Linotype" w:hAnsi="Palatino Linotype" w:cs="Palatino Linotype"/>
        </w:rPr>
      </w:pPr>
    </w:p>
    <w:p w14:paraId="3D4B2DB6" w14:textId="77777777" w:rsidR="00026E8D" w:rsidRPr="00B37AFA" w:rsidRDefault="00026E8D">
      <w:pPr>
        <w:spacing w:line="360" w:lineRule="auto"/>
        <w:jc w:val="both"/>
        <w:rPr>
          <w:rFonts w:ascii="Palatino Linotype" w:eastAsia="Palatino Linotype" w:hAnsi="Palatino Linotype" w:cs="Palatino Linotype"/>
        </w:rPr>
      </w:pPr>
    </w:p>
    <w:p w14:paraId="08256D0C" w14:textId="77777777" w:rsidR="00026E8D" w:rsidRPr="00B37AFA" w:rsidRDefault="00026E8D">
      <w:pPr>
        <w:spacing w:line="360" w:lineRule="auto"/>
        <w:jc w:val="both"/>
        <w:rPr>
          <w:rFonts w:ascii="Palatino Linotype" w:eastAsia="Palatino Linotype" w:hAnsi="Palatino Linotype" w:cs="Palatino Linotype"/>
        </w:rPr>
      </w:pPr>
    </w:p>
    <w:p w14:paraId="1ED5153E" w14:textId="77777777" w:rsidR="00026E8D" w:rsidRPr="00B37AFA" w:rsidRDefault="00026E8D">
      <w:pPr>
        <w:spacing w:line="360" w:lineRule="auto"/>
        <w:jc w:val="both"/>
        <w:rPr>
          <w:rFonts w:ascii="Palatino Linotype" w:eastAsia="Palatino Linotype" w:hAnsi="Palatino Linotype" w:cs="Palatino Linotype"/>
        </w:rPr>
      </w:pPr>
    </w:p>
    <w:p w14:paraId="6F9CA19E" w14:textId="77777777" w:rsidR="00026E8D" w:rsidRPr="00B37AFA" w:rsidRDefault="00026E8D">
      <w:pPr>
        <w:spacing w:line="360" w:lineRule="auto"/>
        <w:jc w:val="both"/>
        <w:rPr>
          <w:rFonts w:ascii="Palatino Linotype" w:eastAsia="Palatino Linotype" w:hAnsi="Palatino Linotype" w:cs="Palatino Linotype"/>
        </w:rPr>
      </w:pPr>
    </w:p>
    <w:p w14:paraId="66F13025" w14:textId="77777777" w:rsidR="00026E8D" w:rsidRPr="00B37AFA" w:rsidRDefault="00026E8D">
      <w:pPr>
        <w:spacing w:line="360" w:lineRule="auto"/>
        <w:jc w:val="both"/>
        <w:rPr>
          <w:rFonts w:ascii="Palatino Linotype" w:eastAsia="Palatino Linotype" w:hAnsi="Palatino Linotype" w:cs="Palatino Linotype"/>
        </w:rPr>
      </w:pPr>
    </w:p>
    <w:p w14:paraId="4DD0DE1F" w14:textId="77777777" w:rsidR="00026E8D" w:rsidRPr="00B37AFA" w:rsidRDefault="00026E8D">
      <w:pPr>
        <w:spacing w:line="360" w:lineRule="auto"/>
        <w:jc w:val="both"/>
        <w:rPr>
          <w:rFonts w:ascii="Palatino Linotype" w:eastAsia="Palatino Linotype" w:hAnsi="Palatino Linotype" w:cs="Palatino Linotype"/>
        </w:rPr>
      </w:pPr>
    </w:p>
    <w:p w14:paraId="60E62D91" w14:textId="77777777" w:rsidR="00026E8D" w:rsidRPr="00B37AFA" w:rsidRDefault="00026E8D">
      <w:pPr>
        <w:spacing w:line="360" w:lineRule="auto"/>
        <w:jc w:val="both"/>
        <w:rPr>
          <w:rFonts w:ascii="Palatino Linotype" w:eastAsia="Palatino Linotype" w:hAnsi="Palatino Linotype" w:cs="Palatino Linotype"/>
        </w:rPr>
      </w:pPr>
    </w:p>
    <w:p w14:paraId="796EF980" w14:textId="77777777" w:rsidR="00026E8D" w:rsidRPr="00B37AFA" w:rsidRDefault="00026E8D">
      <w:pPr>
        <w:spacing w:line="360" w:lineRule="auto"/>
        <w:jc w:val="both"/>
        <w:rPr>
          <w:rFonts w:ascii="Palatino Linotype" w:eastAsia="Palatino Linotype" w:hAnsi="Palatino Linotype" w:cs="Palatino Linotype"/>
        </w:rPr>
      </w:pPr>
    </w:p>
    <w:p w14:paraId="31669DEF" w14:textId="77777777" w:rsidR="00026E8D" w:rsidRPr="00B37AFA" w:rsidRDefault="00026E8D">
      <w:pPr>
        <w:spacing w:line="360" w:lineRule="auto"/>
        <w:jc w:val="both"/>
        <w:rPr>
          <w:rFonts w:ascii="Palatino Linotype" w:eastAsia="Palatino Linotype" w:hAnsi="Palatino Linotype" w:cs="Palatino Linotype"/>
        </w:rPr>
      </w:pPr>
    </w:p>
    <w:p w14:paraId="48C5AC2C" w14:textId="77777777" w:rsidR="00026E8D" w:rsidRPr="00B37AFA" w:rsidRDefault="00026E8D">
      <w:pPr>
        <w:spacing w:line="360" w:lineRule="auto"/>
        <w:jc w:val="both"/>
        <w:rPr>
          <w:rFonts w:ascii="Palatino Linotype" w:eastAsia="Palatino Linotype" w:hAnsi="Palatino Linotype" w:cs="Palatino Linotype"/>
        </w:rPr>
      </w:pPr>
    </w:p>
    <w:p w14:paraId="626ADF5C" w14:textId="77777777" w:rsidR="00026E8D" w:rsidRPr="00B37AFA" w:rsidRDefault="00026E8D">
      <w:pPr>
        <w:spacing w:line="360" w:lineRule="auto"/>
        <w:jc w:val="both"/>
        <w:rPr>
          <w:rFonts w:ascii="Palatino Linotype" w:eastAsia="Palatino Linotype" w:hAnsi="Palatino Linotype" w:cs="Palatino Linotype"/>
        </w:rPr>
      </w:pPr>
    </w:p>
    <w:p w14:paraId="3907C249" w14:textId="77777777" w:rsidR="00026E8D" w:rsidRPr="00B37AFA" w:rsidRDefault="00026E8D">
      <w:pPr>
        <w:spacing w:line="360" w:lineRule="auto"/>
        <w:jc w:val="both"/>
        <w:rPr>
          <w:rFonts w:ascii="Palatino Linotype" w:eastAsia="Palatino Linotype" w:hAnsi="Palatino Linotype" w:cs="Palatino Linotype"/>
        </w:rPr>
      </w:pPr>
    </w:p>
    <w:p w14:paraId="79B539A4" w14:textId="77777777" w:rsidR="00026E8D" w:rsidRPr="00B37AFA" w:rsidRDefault="00026E8D">
      <w:pPr>
        <w:spacing w:line="360" w:lineRule="auto"/>
        <w:jc w:val="both"/>
        <w:rPr>
          <w:rFonts w:ascii="Palatino Linotype" w:eastAsia="Palatino Linotype" w:hAnsi="Palatino Linotype" w:cs="Palatino Linotype"/>
        </w:rPr>
      </w:pPr>
    </w:p>
    <w:sectPr w:rsidR="00026E8D" w:rsidRPr="00B37AFA">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9B974" w14:textId="77777777" w:rsidR="00043426" w:rsidRDefault="00043426">
      <w:r>
        <w:separator/>
      </w:r>
    </w:p>
  </w:endnote>
  <w:endnote w:type="continuationSeparator" w:id="0">
    <w:p w14:paraId="7810E6FC" w14:textId="77777777" w:rsidR="00043426" w:rsidRDefault="00043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20884" w14:textId="77777777" w:rsidR="00026E8D" w:rsidRDefault="00B0125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F423A">
      <w:rPr>
        <w:rFonts w:ascii="Palatino Linotype" w:eastAsia="Palatino Linotype" w:hAnsi="Palatino Linotype" w:cs="Palatino Linotype"/>
        <w:b/>
        <w:noProof/>
        <w:color w:val="000000"/>
        <w:sz w:val="20"/>
        <w:szCs w:val="20"/>
      </w:rPr>
      <w:t>65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F423A">
      <w:rPr>
        <w:rFonts w:ascii="Palatino Linotype" w:eastAsia="Palatino Linotype" w:hAnsi="Palatino Linotype" w:cs="Palatino Linotype"/>
        <w:b/>
        <w:noProof/>
        <w:color w:val="000000"/>
        <w:sz w:val="20"/>
        <w:szCs w:val="20"/>
      </w:rPr>
      <w:t>67</w:t>
    </w:r>
    <w:r>
      <w:rPr>
        <w:rFonts w:ascii="Palatino Linotype" w:eastAsia="Palatino Linotype" w:hAnsi="Palatino Linotype" w:cs="Palatino Linotype"/>
        <w:b/>
        <w:color w:val="000000"/>
        <w:sz w:val="20"/>
        <w:szCs w:val="20"/>
      </w:rPr>
      <w:fldChar w:fldCharType="end"/>
    </w:r>
  </w:p>
  <w:p w14:paraId="0ACD71BE" w14:textId="77777777" w:rsidR="00026E8D" w:rsidRDefault="00026E8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48C06" w14:textId="77777777" w:rsidR="00026E8D" w:rsidRDefault="00B0125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F423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F423A">
      <w:rPr>
        <w:rFonts w:ascii="Palatino Linotype" w:eastAsia="Palatino Linotype" w:hAnsi="Palatino Linotype" w:cs="Palatino Linotype"/>
        <w:b/>
        <w:noProof/>
        <w:color w:val="000000"/>
        <w:sz w:val="20"/>
        <w:szCs w:val="20"/>
      </w:rPr>
      <w:t>67</w:t>
    </w:r>
    <w:r>
      <w:rPr>
        <w:rFonts w:ascii="Palatino Linotype" w:eastAsia="Palatino Linotype" w:hAnsi="Palatino Linotype" w:cs="Palatino Linotype"/>
        <w:b/>
        <w:color w:val="000000"/>
        <w:sz w:val="20"/>
        <w:szCs w:val="20"/>
      </w:rPr>
      <w:fldChar w:fldCharType="end"/>
    </w:r>
  </w:p>
  <w:p w14:paraId="289C7DE6" w14:textId="77777777" w:rsidR="00026E8D" w:rsidRDefault="00026E8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AFBF7" w14:textId="77777777" w:rsidR="00043426" w:rsidRDefault="00043426">
      <w:r>
        <w:separator/>
      </w:r>
    </w:p>
  </w:footnote>
  <w:footnote w:type="continuationSeparator" w:id="0">
    <w:p w14:paraId="0ED0C525" w14:textId="77777777" w:rsidR="00043426" w:rsidRDefault="00043426">
      <w:r>
        <w:continuationSeparator/>
      </w:r>
    </w:p>
  </w:footnote>
  <w:footnote w:id="1">
    <w:p w14:paraId="73D0F9BA" w14:textId="77777777" w:rsidR="00026E8D" w:rsidRDefault="00B0125C">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9FEA" w14:textId="77777777" w:rsidR="00026E8D" w:rsidRDefault="00B0125C">
    <w:pPr>
      <w:rPr>
        <w:rFonts w:ascii="Cambria" w:eastAsia="Cambria" w:hAnsi="Cambria" w:cs="Cambria"/>
        <w:color w:val="000000"/>
      </w:rPr>
    </w:pPr>
    <w:r>
      <w:rPr>
        <w:noProof/>
      </w:rPr>
      <w:drawing>
        <wp:anchor distT="0" distB="0" distL="0" distR="0" simplePos="0" relativeHeight="251658240" behindDoc="1" locked="0" layoutInCell="1" hidden="0" allowOverlap="1" wp14:anchorId="21693E30" wp14:editId="5D837F71">
          <wp:simplePos x="0" y="0"/>
          <wp:positionH relativeFrom="column">
            <wp:posOffset>-1080104</wp:posOffset>
          </wp:positionH>
          <wp:positionV relativeFrom="paragraph">
            <wp:posOffset>-488279</wp:posOffset>
          </wp:positionV>
          <wp:extent cx="7809865" cy="10165715"/>
          <wp:effectExtent l="0" t="0" r="0" b="0"/>
          <wp:wrapNone/>
          <wp:docPr id="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0"/>
      <w:tblW w:w="7087" w:type="dxa"/>
      <w:tblInd w:w="3261" w:type="dxa"/>
      <w:tblLayout w:type="fixed"/>
      <w:tblLook w:val="0400" w:firstRow="0" w:lastRow="0" w:firstColumn="0" w:lastColumn="0" w:noHBand="0" w:noVBand="1"/>
    </w:tblPr>
    <w:tblGrid>
      <w:gridCol w:w="2489"/>
      <w:gridCol w:w="4598"/>
    </w:tblGrid>
    <w:tr w:rsidR="00026E8D" w14:paraId="042F426D" w14:textId="77777777">
      <w:tc>
        <w:tcPr>
          <w:tcW w:w="2489" w:type="dxa"/>
          <w:shd w:val="clear" w:color="auto" w:fill="auto"/>
        </w:tcPr>
        <w:p w14:paraId="432CABAD" w14:textId="77777777" w:rsidR="00026E8D" w:rsidRDefault="00B012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23C2D342" w14:textId="77777777" w:rsidR="00026E8D" w:rsidRDefault="00B0125C">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03304/INFOEM/IP/RR/2025</w:t>
          </w:r>
        </w:p>
      </w:tc>
    </w:tr>
    <w:tr w:rsidR="00026E8D" w14:paraId="6C4CAE9C" w14:textId="77777777">
      <w:trPr>
        <w:trHeight w:val="228"/>
      </w:trPr>
      <w:tc>
        <w:tcPr>
          <w:tcW w:w="2489" w:type="dxa"/>
          <w:shd w:val="clear" w:color="auto" w:fill="auto"/>
          <w:vAlign w:val="center"/>
        </w:tcPr>
        <w:p w14:paraId="241412F6" w14:textId="77777777" w:rsidR="00026E8D" w:rsidRDefault="00B012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31282629" w14:textId="77777777" w:rsidR="00026E8D" w:rsidRDefault="00B0125C">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Huehuetoca</w:t>
          </w:r>
        </w:p>
      </w:tc>
    </w:tr>
    <w:tr w:rsidR="00026E8D" w14:paraId="54BE29C2" w14:textId="77777777">
      <w:tc>
        <w:tcPr>
          <w:tcW w:w="2489" w:type="dxa"/>
          <w:shd w:val="clear" w:color="auto" w:fill="auto"/>
          <w:vAlign w:val="center"/>
        </w:tcPr>
        <w:p w14:paraId="54D38DF5" w14:textId="77777777" w:rsidR="00026E8D" w:rsidRDefault="00B0125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52F9D070" w14:textId="77777777" w:rsidR="00026E8D" w:rsidRDefault="00B0125C">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E54E5D9" w14:textId="77777777" w:rsidR="00026E8D" w:rsidRDefault="00B0125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AD55C" w14:textId="77777777" w:rsidR="00026E8D" w:rsidRDefault="00B0125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8BD013F" wp14:editId="25E596A5">
          <wp:simplePos x="0" y="0"/>
          <wp:positionH relativeFrom="column">
            <wp:posOffset>-1079483</wp:posOffset>
          </wp:positionH>
          <wp:positionV relativeFrom="paragraph">
            <wp:posOffset>-328910</wp:posOffset>
          </wp:positionV>
          <wp:extent cx="7809865" cy="10165715"/>
          <wp:effectExtent l="0" t="0" r="0" b="0"/>
          <wp:wrapNone/>
          <wp:docPr id="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1"/>
      <w:tblW w:w="6945" w:type="dxa"/>
      <w:tblInd w:w="3261" w:type="dxa"/>
      <w:tblLayout w:type="fixed"/>
      <w:tblLook w:val="0400" w:firstRow="0" w:lastRow="0" w:firstColumn="0" w:lastColumn="0" w:noHBand="0" w:noVBand="1"/>
    </w:tblPr>
    <w:tblGrid>
      <w:gridCol w:w="2551"/>
      <w:gridCol w:w="4394"/>
    </w:tblGrid>
    <w:tr w:rsidR="00026E8D" w14:paraId="3995B4F9" w14:textId="77777777">
      <w:tc>
        <w:tcPr>
          <w:tcW w:w="2551" w:type="dxa"/>
          <w:shd w:val="clear" w:color="auto" w:fill="auto"/>
          <w:vAlign w:val="center"/>
        </w:tcPr>
        <w:p w14:paraId="1377F37B" w14:textId="77777777" w:rsidR="00026E8D" w:rsidRDefault="00B012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7BC46CFA" w14:textId="77777777" w:rsidR="00026E8D" w:rsidRDefault="00B0125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03304/INFOEM/IP/RR/2025</w:t>
          </w:r>
        </w:p>
      </w:tc>
    </w:tr>
    <w:tr w:rsidR="00026E8D" w14:paraId="03EEF9E2" w14:textId="77777777">
      <w:trPr>
        <w:trHeight w:val="265"/>
      </w:trPr>
      <w:tc>
        <w:tcPr>
          <w:tcW w:w="2551" w:type="dxa"/>
          <w:shd w:val="clear" w:color="auto" w:fill="auto"/>
          <w:vAlign w:val="center"/>
        </w:tcPr>
        <w:p w14:paraId="3F4C7B90" w14:textId="77777777" w:rsidR="00026E8D" w:rsidRDefault="00B012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742D2B9C" w14:textId="77777777" w:rsidR="00026E8D" w:rsidRDefault="00026E8D">
          <w:pPr>
            <w:ind w:left="-45"/>
            <w:jc w:val="both"/>
            <w:rPr>
              <w:rFonts w:ascii="Palatino Linotype" w:eastAsia="Palatino Linotype" w:hAnsi="Palatino Linotype" w:cs="Palatino Linotype"/>
              <w:b/>
              <w:sz w:val="22"/>
              <w:szCs w:val="22"/>
            </w:rPr>
          </w:pPr>
        </w:p>
      </w:tc>
    </w:tr>
    <w:tr w:rsidR="00026E8D" w14:paraId="6DCC94A5" w14:textId="77777777">
      <w:trPr>
        <w:trHeight w:val="228"/>
      </w:trPr>
      <w:tc>
        <w:tcPr>
          <w:tcW w:w="2551" w:type="dxa"/>
          <w:shd w:val="clear" w:color="auto" w:fill="auto"/>
          <w:vAlign w:val="center"/>
        </w:tcPr>
        <w:p w14:paraId="01F51079" w14:textId="77777777" w:rsidR="00026E8D" w:rsidRDefault="00B012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31859C5E" w14:textId="77777777" w:rsidR="00026E8D" w:rsidRDefault="00B0125C">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Huehuetoca</w:t>
          </w:r>
        </w:p>
      </w:tc>
    </w:tr>
    <w:tr w:rsidR="00026E8D" w14:paraId="3DCE17FA" w14:textId="77777777">
      <w:tc>
        <w:tcPr>
          <w:tcW w:w="2551" w:type="dxa"/>
          <w:shd w:val="clear" w:color="auto" w:fill="auto"/>
          <w:vAlign w:val="center"/>
        </w:tcPr>
        <w:p w14:paraId="5C6F6E42" w14:textId="77777777" w:rsidR="00026E8D" w:rsidRDefault="00B012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39E5BE9B" w14:textId="77777777" w:rsidR="00026E8D" w:rsidRDefault="00B0125C">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67A993B" w14:textId="77777777" w:rsidR="00026E8D" w:rsidRDefault="00026E8D">
    <w:pPr>
      <w:pBdr>
        <w:top w:val="nil"/>
        <w:left w:val="nil"/>
        <w:bottom w:val="nil"/>
        <w:right w:val="nil"/>
        <w:between w:val="nil"/>
      </w:pBdr>
      <w:tabs>
        <w:tab w:val="center" w:pos="4252"/>
        <w:tab w:val="right" w:pos="8504"/>
      </w:tabs>
      <w:rPr>
        <w:rFonts w:ascii="Cambria" w:eastAsia="Cambria" w:hAnsi="Cambria" w:cs="Cambria"/>
        <w:color w:val="000000"/>
      </w:rPr>
    </w:pPr>
  </w:p>
  <w:p w14:paraId="485523E1" w14:textId="77777777" w:rsidR="00026E8D" w:rsidRDefault="00026E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B6267"/>
    <w:multiLevelType w:val="multilevel"/>
    <w:tmpl w:val="C09007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B1725F"/>
    <w:multiLevelType w:val="multilevel"/>
    <w:tmpl w:val="E2D23A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0D24E26"/>
    <w:multiLevelType w:val="multilevel"/>
    <w:tmpl w:val="BC5483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6D45DF0"/>
    <w:multiLevelType w:val="multilevel"/>
    <w:tmpl w:val="3454EC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8D"/>
    <w:rsid w:val="00026E8D"/>
    <w:rsid w:val="00043426"/>
    <w:rsid w:val="000762B5"/>
    <w:rsid w:val="003327F2"/>
    <w:rsid w:val="00672F8E"/>
    <w:rsid w:val="00B0125C"/>
    <w:rsid w:val="00B37AFA"/>
    <w:rsid w:val="00EF42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42A91"/>
  <w15:docId w15:val="{AE19C447-3380-490F-9865-396FB2D44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84F"/>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c"/>
    <w:tblPr>
      <w:tblStyleRowBandSize w:val="1"/>
      <w:tblStyleColBandSize w:val="1"/>
      <w:tblCellMar>
        <w:left w:w="115" w:type="dxa"/>
        <w:right w:w="115" w:type="dxa"/>
      </w:tblCellMar>
    </w:tblPr>
  </w:style>
  <w:style w:type="table" w:customStyle="1" w:styleId="a0">
    <w:basedOn w:val="TableNormalc"/>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basedOn w:val="Normal"/>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c"/>
    <w:tblPr>
      <w:tblStyleRowBandSize w:val="1"/>
      <w:tblStyleColBandSize w:val="1"/>
      <w:tblCellMar>
        <w:left w:w="115" w:type="dxa"/>
        <w:right w:w="115" w:type="dxa"/>
      </w:tblCellMar>
    </w:tblPr>
  </w:style>
  <w:style w:type="table" w:customStyle="1" w:styleId="a2">
    <w:basedOn w:val="TableNormalc"/>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b"/>
    <w:tblPr>
      <w:tblStyleRowBandSize w:val="1"/>
      <w:tblStyleColBandSize w:val="1"/>
      <w:tblCellMar>
        <w:left w:w="115" w:type="dxa"/>
        <w:right w:w="115" w:type="dxa"/>
      </w:tblCellMar>
    </w:tblPr>
  </w:style>
  <w:style w:type="table" w:customStyle="1" w:styleId="a4">
    <w:basedOn w:val="TableNormalb"/>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9C2C49"/>
    <w:rPr>
      <w:color w:val="0000FF"/>
      <w:u w:val="single"/>
    </w:rPr>
  </w:style>
  <w:style w:type="table" w:customStyle="1" w:styleId="a5">
    <w:basedOn w:val="TableNormala"/>
    <w:tblPr>
      <w:tblStyleRowBandSize w:val="1"/>
      <w:tblStyleColBandSize w:val="1"/>
      <w:tblCellMar>
        <w:left w:w="115" w:type="dxa"/>
        <w:right w:w="115" w:type="dxa"/>
      </w:tblCellMar>
    </w:tblPr>
  </w:style>
  <w:style w:type="table" w:customStyle="1" w:styleId="a6">
    <w:basedOn w:val="TableNormala"/>
    <w:tblPr>
      <w:tblStyleRowBandSize w:val="1"/>
      <w:tblStyleColBandSize w:val="1"/>
      <w:tblCellMar>
        <w:left w:w="115" w:type="dxa"/>
        <w:right w:w="115" w:type="dxa"/>
      </w:tblCellMar>
    </w:tblPr>
  </w:style>
  <w:style w:type="table" w:customStyle="1" w:styleId="a7">
    <w:basedOn w:val="TableNormal9"/>
    <w:tblPr>
      <w:tblStyleRowBandSize w:val="1"/>
      <w:tblStyleColBandSize w:val="1"/>
      <w:tblCellMar>
        <w:left w:w="115" w:type="dxa"/>
        <w:right w:w="115" w:type="dxa"/>
      </w:tblCellMar>
    </w:tblPr>
  </w:style>
  <w:style w:type="table" w:customStyle="1" w:styleId="a8">
    <w:basedOn w:val="TableNormal9"/>
    <w:tblPr>
      <w:tblStyleRowBandSize w:val="1"/>
      <w:tblStyleColBandSize w:val="1"/>
      <w:tblCellMar>
        <w:left w:w="115" w:type="dxa"/>
        <w:right w:w="115" w:type="dxa"/>
      </w:tblCellMar>
    </w:tblPr>
  </w:style>
  <w:style w:type="table" w:customStyle="1" w:styleId="a9">
    <w:basedOn w:val="TableNormal9"/>
    <w:tblPr>
      <w:tblStyleRowBandSize w:val="1"/>
      <w:tblStyleColBandSize w:val="1"/>
      <w:tblCellMar>
        <w:left w:w="115" w:type="dxa"/>
        <w:right w:w="115" w:type="dxa"/>
      </w:tblCellMar>
    </w:tblPr>
  </w:style>
  <w:style w:type="table" w:customStyle="1" w:styleId="aa">
    <w:basedOn w:val="TableNormal9"/>
    <w:tblPr>
      <w:tblStyleRowBandSize w:val="1"/>
      <w:tblStyleColBandSize w:val="1"/>
      <w:tblCellMar>
        <w:left w:w="115" w:type="dxa"/>
        <w:right w:w="115" w:type="dxa"/>
      </w:tblCellMar>
    </w:tblPr>
  </w:style>
  <w:style w:type="table" w:customStyle="1" w:styleId="ab">
    <w:basedOn w:val="TableNormal8"/>
    <w:tblPr>
      <w:tblStyleRowBandSize w:val="1"/>
      <w:tblStyleColBandSize w:val="1"/>
      <w:tblCellMar>
        <w:left w:w="115" w:type="dxa"/>
        <w:right w:w="115" w:type="dxa"/>
      </w:tblCellMar>
    </w:tblPr>
  </w:style>
  <w:style w:type="table" w:customStyle="1" w:styleId="ac">
    <w:basedOn w:val="TableNormal8"/>
    <w:tblPr>
      <w:tblStyleRowBandSize w:val="1"/>
      <w:tblStyleColBandSize w:val="1"/>
      <w:tblCellMar>
        <w:left w:w="115" w:type="dxa"/>
        <w:right w:w="115" w:type="dxa"/>
      </w:tblCellMar>
    </w:tblPr>
  </w:style>
  <w:style w:type="table" w:customStyle="1" w:styleId="ad">
    <w:basedOn w:val="TableNormal8"/>
    <w:tblPr>
      <w:tblStyleRowBandSize w:val="1"/>
      <w:tblStyleColBandSize w:val="1"/>
      <w:tblCellMar>
        <w:left w:w="115" w:type="dxa"/>
        <w:right w:w="115" w:type="dxa"/>
      </w:tblCellMar>
    </w:tblPr>
  </w:style>
  <w:style w:type="table" w:customStyle="1" w:styleId="ae">
    <w:basedOn w:val="TableNormal8"/>
    <w:tblPr>
      <w:tblStyleRowBandSize w:val="1"/>
      <w:tblStyleColBandSize w:val="1"/>
      <w:tblCellMar>
        <w:left w:w="115" w:type="dxa"/>
        <w:right w:w="115" w:type="dxa"/>
      </w:tblCellMar>
    </w:tblPr>
  </w:style>
  <w:style w:type="table" w:customStyle="1" w:styleId="af">
    <w:basedOn w:val="TableNormal7"/>
    <w:tblPr>
      <w:tblStyleRowBandSize w:val="1"/>
      <w:tblStyleColBandSize w:val="1"/>
      <w:tblCellMar>
        <w:left w:w="115" w:type="dxa"/>
        <w:right w:w="115" w:type="dxa"/>
      </w:tblCellMar>
    </w:tblPr>
  </w:style>
  <w:style w:type="table" w:customStyle="1" w:styleId="af0">
    <w:basedOn w:val="TableNormal7"/>
    <w:tblPr>
      <w:tblStyleRowBandSize w:val="1"/>
      <w:tblStyleColBandSize w:val="1"/>
      <w:tblCellMar>
        <w:left w:w="115" w:type="dxa"/>
        <w:right w:w="115" w:type="dxa"/>
      </w:tblCellMar>
    </w:tblPr>
  </w:style>
  <w:style w:type="table" w:customStyle="1" w:styleId="af1">
    <w:basedOn w:val="TableNormal6"/>
    <w:tblPr>
      <w:tblStyleRowBandSize w:val="1"/>
      <w:tblStyleColBandSize w:val="1"/>
      <w:tblCellMar>
        <w:left w:w="115" w:type="dxa"/>
        <w:right w:w="115" w:type="dxa"/>
      </w:tblCellMar>
    </w:tblPr>
  </w:style>
  <w:style w:type="table" w:customStyle="1" w:styleId="af2">
    <w:basedOn w:val="TableNormal6"/>
    <w:tblPr>
      <w:tblStyleRowBandSize w:val="1"/>
      <w:tblStyleColBandSize w:val="1"/>
      <w:tblCellMar>
        <w:left w:w="115" w:type="dxa"/>
        <w:right w:w="115" w:type="dxa"/>
      </w:tblCellMar>
    </w:tblPr>
  </w:style>
  <w:style w:type="table" w:customStyle="1" w:styleId="af3">
    <w:basedOn w:val="TableNormal5"/>
    <w:tblPr>
      <w:tblStyleRowBandSize w:val="1"/>
      <w:tblStyleColBandSize w:val="1"/>
      <w:tblCellMar>
        <w:left w:w="115" w:type="dxa"/>
        <w:right w:w="115" w:type="dxa"/>
      </w:tblCellMar>
    </w:tblPr>
  </w:style>
  <w:style w:type="table" w:customStyle="1" w:styleId="af4">
    <w:basedOn w:val="TableNormal5"/>
    <w:tblPr>
      <w:tblStyleRowBandSize w:val="1"/>
      <w:tblStyleColBandSize w:val="1"/>
      <w:tblCellMar>
        <w:left w:w="115" w:type="dxa"/>
        <w:right w:w="115" w:type="dxa"/>
      </w:tblCellMar>
    </w:tblPr>
  </w:style>
  <w:style w:type="table" w:customStyle="1" w:styleId="af5">
    <w:basedOn w:val="TableNormal4"/>
    <w:tblPr>
      <w:tblStyleRowBandSize w:val="1"/>
      <w:tblStyleColBandSize w:val="1"/>
      <w:tblCellMar>
        <w:left w:w="115" w:type="dxa"/>
        <w:right w:w="115" w:type="dxa"/>
      </w:tblCellMar>
    </w:tblPr>
  </w:style>
  <w:style w:type="table" w:customStyle="1" w:styleId="af6">
    <w:basedOn w:val="TableNormal4"/>
    <w:tblPr>
      <w:tblStyleRowBandSize w:val="1"/>
      <w:tblStyleColBandSize w:val="1"/>
      <w:tblCellMar>
        <w:left w:w="115" w:type="dxa"/>
        <w:right w:w="115" w:type="dxa"/>
      </w:tblCellMar>
    </w:tblPr>
  </w:style>
  <w:style w:type="table" w:customStyle="1" w:styleId="af7">
    <w:basedOn w:val="TableNormal3"/>
    <w:tblPr>
      <w:tblStyleRowBandSize w:val="1"/>
      <w:tblStyleColBandSize w:val="1"/>
      <w:tblCellMar>
        <w:left w:w="108" w:type="dxa"/>
        <w:right w:w="108" w:type="dxa"/>
      </w:tblCellMar>
    </w:tblPr>
  </w:style>
  <w:style w:type="table" w:customStyle="1" w:styleId="af8">
    <w:basedOn w:val="TableNormal3"/>
    <w:tblPr>
      <w:tblStyleRowBandSize w:val="1"/>
      <w:tblStyleColBandSize w:val="1"/>
      <w:tblCellMar>
        <w:left w:w="115" w:type="dxa"/>
        <w:right w:w="115" w:type="dxa"/>
      </w:tblCellMar>
    </w:tblPr>
  </w:style>
  <w:style w:type="table" w:customStyle="1" w:styleId="af9">
    <w:basedOn w:val="TableNormal3"/>
    <w:tblPr>
      <w:tblStyleRowBandSize w:val="1"/>
      <w:tblStyleColBandSize w:val="1"/>
      <w:tblCellMar>
        <w:left w:w="115" w:type="dxa"/>
        <w:right w:w="115" w:type="dxa"/>
      </w:tblCellMar>
    </w:tblPr>
  </w:style>
  <w:style w:type="table" w:customStyle="1" w:styleId="afa">
    <w:basedOn w:val="TableNormal2"/>
    <w:tblPr>
      <w:tblStyleRowBandSize w:val="1"/>
      <w:tblStyleColBandSize w:val="1"/>
      <w:tblCellMar>
        <w:left w:w="108" w:type="dxa"/>
        <w:right w:w="108" w:type="dxa"/>
      </w:tblCellMar>
    </w:tblPr>
  </w:style>
  <w:style w:type="table" w:customStyle="1" w:styleId="afb">
    <w:basedOn w:val="TableNormal2"/>
    <w:tblPr>
      <w:tblStyleRowBandSize w:val="1"/>
      <w:tblStyleColBandSize w:val="1"/>
      <w:tblCellMar>
        <w:left w:w="115" w:type="dxa"/>
        <w:right w:w="115" w:type="dxa"/>
      </w:tblCellMar>
    </w:tblPr>
  </w:style>
  <w:style w:type="table" w:customStyle="1" w:styleId="afc">
    <w:basedOn w:val="TableNormal2"/>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08" w:type="dxa"/>
        <w:right w:w="108" w:type="dxa"/>
      </w:tblCellMar>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MqzXFrYGZ+SDzMGb7iSuzTTgSw==">CgMxLjAyCGguZ2pkZ3hzMgloLjNkeTZ2a20yCWguMzBqMHpsbDIJaC4yczhleW8xMghoLnR5amN3dDIJaC4zem55c2g3MgloLjJldDkycDAyDmguaTltazNnYTh1ZzYzMghoLmxueGJ6OTIJaC4zNW5rdW4yMgloLjFrc3Y0dXYyDmguOHQyaHQ5dHdrMzQ2Mg5oLmh1eGZkNzR6eTBuNDIJaC4zcmRjcmpuMgloLjF0M2g1c2Y4AHIhMXpwcHpMODFtdkM1NEE5RkNZSkwtclJiX1Rra0pzRm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16700</Words>
  <Characters>91855</Characters>
  <Application>Microsoft Office Word</Application>
  <DocSecurity>0</DocSecurity>
  <Lines>765</Lines>
  <Paragraphs>216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2025-06-06T20:59:00Z</cp:lastPrinted>
  <dcterms:created xsi:type="dcterms:W3CDTF">2025-06-27T04:38:00Z</dcterms:created>
  <dcterms:modified xsi:type="dcterms:W3CDTF">2025-06-27T04:38:00Z</dcterms:modified>
</cp:coreProperties>
</file>