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0B7417" w14:textId="77777777" w:rsidR="00C80046" w:rsidRDefault="00C80046">
      <w:pPr>
        <w:widowControl w:val="0"/>
        <w:pBdr>
          <w:top w:val="nil"/>
          <w:left w:val="nil"/>
          <w:bottom w:val="nil"/>
          <w:right w:val="nil"/>
          <w:between w:val="nil"/>
        </w:pBdr>
        <w:spacing w:after="0" w:line="276" w:lineRule="auto"/>
        <w:jc w:val="left"/>
      </w:pPr>
    </w:p>
    <w:p w14:paraId="4A7175BD" w14:textId="77777777" w:rsidR="00C80046" w:rsidRDefault="00512BDB">
      <w:pPr>
        <w:keepNext/>
        <w:keepLines/>
        <w:pBdr>
          <w:top w:val="nil"/>
          <w:left w:val="nil"/>
          <w:bottom w:val="nil"/>
          <w:right w:val="nil"/>
          <w:between w:val="nil"/>
        </w:pBdr>
        <w:spacing w:after="0" w:line="360" w:lineRule="auto"/>
        <w:jc w:val="center"/>
        <w:rPr>
          <w:color w:val="000000"/>
        </w:rPr>
      </w:pPr>
      <w:r>
        <w:rPr>
          <w:color w:val="000000"/>
        </w:rPr>
        <w:t>RESOLUCIÓN DEL RECURSO DE REVISIÓN 08451/INFOEM/IP/RR/2025</w:t>
      </w:r>
    </w:p>
    <w:p w14:paraId="7DBEB643" w14:textId="77777777" w:rsidR="00C80046" w:rsidRDefault="00C80046">
      <w:pPr>
        <w:spacing w:after="0" w:line="360" w:lineRule="auto"/>
      </w:pPr>
    </w:p>
    <w:sdt>
      <w:sdtPr>
        <w:id w:val="1505984053"/>
        <w:docPartObj>
          <w:docPartGallery w:val="Table of Contents"/>
          <w:docPartUnique/>
        </w:docPartObj>
      </w:sdtPr>
      <w:sdtEndPr/>
      <w:sdtContent>
        <w:p w14:paraId="18632A0B" w14:textId="77777777" w:rsidR="00C80046" w:rsidRDefault="00512BDB">
          <w:pPr>
            <w:pBdr>
              <w:top w:val="nil"/>
              <w:left w:val="nil"/>
              <w:bottom w:val="nil"/>
              <w:right w:val="nil"/>
              <w:between w:val="nil"/>
            </w:pBdr>
            <w:tabs>
              <w:tab w:val="right" w:pos="9072"/>
            </w:tabs>
            <w:spacing w:after="0" w:line="360" w:lineRule="auto"/>
            <w:rPr>
              <w:color w:val="000000"/>
            </w:rPr>
          </w:pPr>
          <w:r>
            <w:fldChar w:fldCharType="begin"/>
          </w:r>
          <w:r>
            <w:instrText xml:space="preserve"> TOC \h \u \z \t "Heading 1,1,Heading 2,2,Heading 3,3,"</w:instrText>
          </w:r>
          <w:r>
            <w:fldChar w:fldCharType="separate"/>
          </w:r>
          <w:hyperlink w:anchor="_heading=h.9n9mszlfft3">
            <w:r>
              <w:rPr>
                <w:color w:val="000000"/>
              </w:rPr>
              <w:t>A N T E C E D E N T E S</w:t>
            </w:r>
            <w:r>
              <w:rPr>
                <w:color w:val="000000"/>
              </w:rPr>
              <w:tab/>
              <w:t>2</w:t>
            </w:r>
          </w:hyperlink>
        </w:p>
        <w:p w14:paraId="2F50ABA8" w14:textId="77777777" w:rsidR="00C80046" w:rsidRDefault="007E536D">
          <w:pPr>
            <w:pBdr>
              <w:top w:val="nil"/>
              <w:left w:val="nil"/>
              <w:bottom w:val="nil"/>
              <w:right w:val="nil"/>
              <w:between w:val="nil"/>
            </w:pBdr>
            <w:tabs>
              <w:tab w:val="right" w:pos="8921"/>
            </w:tabs>
            <w:spacing w:after="0" w:line="360" w:lineRule="auto"/>
            <w:ind w:left="200"/>
            <w:jc w:val="left"/>
            <w:rPr>
              <w:color w:val="000000"/>
            </w:rPr>
          </w:pPr>
          <w:hyperlink w:anchor="_heading=h.csz8p8k4teko">
            <w:r w:rsidR="00512BDB">
              <w:rPr>
                <w:color w:val="000000"/>
              </w:rPr>
              <w:t>I. Presentación de la solicitud de información</w:t>
            </w:r>
            <w:r w:rsidR="00512BDB">
              <w:rPr>
                <w:color w:val="000000"/>
              </w:rPr>
              <w:tab/>
              <w:t>2</w:t>
            </w:r>
          </w:hyperlink>
        </w:p>
        <w:p w14:paraId="44D626B2" w14:textId="77777777" w:rsidR="00C80046" w:rsidRDefault="007E536D">
          <w:pPr>
            <w:pBdr>
              <w:top w:val="nil"/>
              <w:left w:val="nil"/>
              <w:bottom w:val="nil"/>
              <w:right w:val="nil"/>
              <w:between w:val="nil"/>
            </w:pBdr>
            <w:tabs>
              <w:tab w:val="right" w:pos="8921"/>
            </w:tabs>
            <w:spacing w:after="0" w:line="360" w:lineRule="auto"/>
            <w:ind w:left="200"/>
            <w:jc w:val="left"/>
            <w:rPr>
              <w:color w:val="000000"/>
            </w:rPr>
          </w:pPr>
          <w:hyperlink w:anchor="_heading=h.s5szmanbatw">
            <w:r w:rsidR="00512BDB">
              <w:rPr>
                <w:color w:val="000000"/>
              </w:rPr>
              <w:t>II. Respuesta del Sujeto Obligado</w:t>
            </w:r>
            <w:r w:rsidR="00512BDB">
              <w:rPr>
                <w:color w:val="000000"/>
              </w:rPr>
              <w:tab/>
              <w:t>3</w:t>
            </w:r>
          </w:hyperlink>
        </w:p>
        <w:p w14:paraId="66974C42" w14:textId="77777777" w:rsidR="00C80046" w:rsidRDefault="007E536D">
          <w:pPr>
            <w:pBdr>
              <w:top w:val="nil"/>
              <w:left w:val="nil"/>
              <w:bottom w:val="nil"/>
              <w:right w:val="nil"/>
              <w:between w:val="nil"/>
            </w:pBdr>
            <w:tabs>
              <w:tab w:val="right" w:pos="8921"/>
            </w:tabs>
            <w:spacing w:after="0" w:line="360" w:lineRule="auto"/>
            <w:ind w:left="200"/>
            <w:jc w:val="left"/>
            <w:rPr>
              <w:color w:val="000000"/>
            </w:rPr>
          </w:pPr>
          <w:hyperlink w:anchor="_heading=h.rv50d0ao34b9">
            <w:r w:rsidR="00512BDB">
              <w:rPr>
                <w:color w:val="000000"/>
              </w:rPr>
              <w:t>III. Interposición del Recurso de Revisión</w:t>
            </w:r>
            <w:r w:rsidR="00512BDB">
              <w:rPr>
                <w:color w:val="000000"/>
              </w:rPr>
              <w:tab/>
              <w:t>3</w:t>
            </w:r>
          </w:hyperlink>
        </w:p>
        <w:p w14:paraId="555578C3" w14:textId="77777777" w:rsidR="00C80046" w:rsidRDefault="007E536D">
          <w:pPr>
            <w:pBdr>
              <w:top w:val="nil"/>
              <w:left w:val="nil"/>
              <w:bottom w:val="nil"/>
              <w:right w:val="nil"/>
              <w:between w:val="nil"/>
            </w:pBdr>
            <w:tabs>
              <w:tab w:val="right" w:pos="8921"/>
            </w:tabs>
            <w:spacing w:after="0" w:line="360" w:lineRule="auto"/>
            <w:ind w:left="200"/>
            <w:jc w:val="left"/>
            <w:rPr>
              <w:color w:val="000000"/>
            </w:rPr>
          </w:pPr>
          <w:hyperlink w:anchor="_heading=h.oqnixzp4358z">
            <w:r w:rsidR="00512BDB">
              <w:rPr>
                <w:color w:val="000000"/>
              </w:rPr>
              <w:t>IV. Trámite del Recurso de Revisión ante este Instituto</w:t>
            </w:r>
            <w:r w:rsidR="00512BDB">
              <w:rPr>
                <w:color w:val="000000"/>
              </w:rPr>
              <w:tab/>
              <w:t>4</w:t>
            </w:r>
          </w:hyperlink>
        </w:p>
        <w:p w14:paraId="4B06A330" w14:textId="77777777" w:rsidR="00C80046" w:rsidRDefault="007E536D">
          <w:pPr>
            <w:pBdr>
              <w:top w:val="nil"/>
              <w:left w:val="nil"/>
              <w:bottom w:val="nil"/>
              <w:right w:val="nil"/>
              <w:between w:val="nil"/>
            </w:pBdr>
            <w:tabs>
              <w:tab w:val="right" w:pos="8921"/>
            </w:tabs>
            <w:spacing w:after="0" w:line="360" w:lineRule="auto"/>
            <w:ind w:left="200"/>
            <w:jc w:val="left"/>
            <w:rPr>
              <w:color w:val="000000"/>
            </w:rPr>
          </w:pPr>
          <w:hyperlink w:anchor="_heading=h.8735yzlob0cw">
            <w:r w:rsidR="00512BDB">
              <w:rPr>
                <w:color w:val="000000"/>
              </w:rPr>
              <w:t>a) Turno del Medio de Impugnación.</w:t>
            </w:r>
            <w:r w:rsidR="00512BDB">
              <w:rPr>
                <w:color w:val="000000"/>
              </w:rPr>
              <w:tab/>
              <w:t>4</w:t>
            </w:r>
          </w:hyperlink>
        </w:p>
        <w:p w14:paraId="58AF33D0" w14:textId="77777777" w:rsidR="00C80046" w:rsidRDefault="007E536D">
          <w:pPr>
            <w:pBdr>
              <w:top w:val="nil"/>
              <w:left w:val="nil"/>
              <w:bottom w:val="nil"/>
              <w:right w:val="nil"/>
              <w:between w:val="nil"/>
            </w:pBdr>
            <w:tabs>
              <w:tab w:val="right" w:pos="8921"/>
            </w:tabs>
            <w:spacing w:after="0" w:line="360" w:lineRule="auto"/>
            <w:ind w:left="200"/>
            <w:jc w:val="left"/>
            <w:rPr>
              <w:color w:val="000000"/>
            </w:rPr>
          </w:pPr>
          <w:hyperlink w:anchor="_heading=h.rfc921ywcs9l">
            <w:r w:rsidR="00512BDB">
              <w:rPr>
                <w:color w:val="000000"/>
              </w:rPr>
              <w:t>b) Admisión del Recurso de Revisión.</w:t>
            </w:r>
            <w:r w:rsidR="00512BDB">
              <w:rPr>
                <w:color w:val="000000"/>
              </w:rPr>
              <w:tab/>
              <w:t>4</w:t>
            </w:r>
          </w:hyperlink>
        </w:p>
        <w:p w14:paraId="5463A86C" w14:textId="77777777" w:rsidR="00C80046" w:rsidRDefault="007E536D">
          <w:pPr>
            <w:pBdr>
              <w:top w:val="nil"/>
              <w:left w:val="nil"/>
              <w:bottom w:val="nil"/>
              <w:right w:val="nil"/>
              <w:between w:val="nil"/>
            </w:pBdr>
            <w:tabs>
              <w:tab w:val="right" w:pos="8921"/>
            </w:tabs>
            <w:spacing w:after="0" w:line="360" w:lineRule="auto"/>
            <w:ind w:left="200"/>
            <w:jc w:val="left"/>
            <w:rPr>
              <w:color w:val="000000"/>
            </w:rPr>
          </w:pPr>
          <w:hyperlink w:anchor="_heading=h.vzan9bc6ieie">
            <w:r w:rsidR="00512BDB">
              <w:rPr>
                <w:color w:val="000000"/>
              </w:rPr>
              <w:t>c) Informe Justificado.</w:t>
            </w:r>
            <w:r w:rsidR="00512BDB">
              <w:rPr>
                <w:color w:val="000000"/>
              </w:rPr>
              <w:tab/>
              <w:t>4</w:t>
            </w:r>
          </w:hyperlink>
        </w:p>
        <w:p w14:paraId="0E412CBA" w14:textId="77777777" w:rsidR="00C80046" w:rsidRDefault="007E536D">
          <w:pPr>
            <w:pBdr>
              <w:top w:val="nil"/>
              <w:left w:val="nil"/>
              <w:bottom w:val="nil"/>
              <w:right w:val="nil"/>
              <w:between w:val="nil"/>
            </w:pBdr>
            <w:tabs>
              <w:tab w:val="right" w:pos="8921"/>
            </w:tabs>
            <w:spacing w:after="0" w:line="360" w:lineRule="auto"/>
            <w:ind w:left="200"/>
            <w:jc w:val="left"/>
            <w:rPr>
              <w:color w:val="000000"/>
            </w:rPr>
          </w:pPr>
          <w:hyperlink w:anchor="_heading=h.b5r4kdv3wakn">
            <w:r w:rsidR="00512BDB">
              <w:rPr>
                <w:color w:val="000000"/>
              </w:rPr>
              <w:t>d) Cierre de instrucción.</w:t>
            </w:r>
            <w:r w:rsidR="00512BDB">
              <w:rPr>
                <w:color w:val="000000"/>
              </w:rPr>
              <w:tab/>
              <w:t>4</w:t>
            </w:r>
          </w:hyperlink>
        </w:p>
        <w:p w14:paraId="755D87DA" w14:textId="77777777" w:rsidR="00C80046" w:rsidRDefault="007E536D">
          <w:pPr>
            <w:pBdr>
              <w:top w:val="nil"/>
              <w:left w:val="nil"/>
              <w:bottom w:val="nil"/>
              <w:right w:val="nil"/>
              <w:between w:val="nil"/>
            </w:pBdr>
            <w:tabs>
              <w:tab w:val="right" w:pos="9072"/>
            </w:tabs>
            <w:spacing w:after="0" w:line="360" w:lineRule="auto"/>
            <w:rPr>
              <w:color w:val="000000"/>
            </w:rPr>
          </w:pPr>
          <w:hyperlink w:anchor="_heading=h.jifdqc20wx3d">
            <w:r w:rsidR="00512BDB">
              <w:rPr>
                <w:color w:val="000000"/>
              </w:rPr>
              <w:t>C O N S I D E R A N D O S</w:t>
            </w:r>
            <w:r w:rsidR="00512BDB">
              <w:rPr>
                <w:color w:val="000000"/>
              </w:rPr>
              <w:tab/>
              <w:t>5</w:t>
            </w:r>
          </w:hyperlink>
        </w:p>
        <w:p w14:paraId="20319D73" w14:textId="77777777" w:rsidR="00C80046" w:rsidRDefault="007E536D">
          <w:pPr>
            <w:pBdr>
              <w:top w:val="nil"/>
              <w:left w:val="nil"/>
              <w:bottom w:val="nil"/>
              <w:right w:val="nil"/>
              <w:between w:val="nil"/>
            </w:pBdr>
            <w:tabs>
              <w:tab w:val="right" w:pos="8921"/>
            </w:tabs>
            <w:spacing w:after="0" w:line="360" w:lineRule="auto"/>
            <w:ind w:left="200"/>
            <w:jc w:val="left"/>
            <w:rPr>
              <w:color w:val="000000"/>
            </w:rPr>
          </w:pPr>
          <w:hyperlink w:anchor="_heading=h.t3ei54p304d7">
            <w:r w:rsidR="00512BDB">
              <w:rPr>
                <w:color w:val="000000"/>
              </w:rPr>
              <w:t>PRIMERO. Competencia</w:t>
            </w:r>
            <w:r w:rsidR="00512BDB">
              <w:rPr>
                <w:color w:val="000000"/>
              </w:rPr>
              <w:tab/>
              <w:t>5</w:t>
            </w:r>
          </w:hyperlink>
        </w:p>
        <w:p w14:paraId="2A7203F2" w14:textId="77777777" w:rsidR="00C80046" w:rsidRDefault="007E536D">
          <w:pPr>
            <w:pBdr>
              <w:top w:val="nil"/>
              <w:left w:val="nil"/>
              <w:bottom w:val="nil"/>
              <w:right w:val="nil"/>
              <w:between w:val="nil"/>
            </w:pBdr>
            <w:tabs>
              <w:tab w:val="right" w:pos="8921"/>
            </w:tabs>
            <w:spacing w:after="0" w:line="360" w:lineRule="auto"/>
            <w:ind w:left="200"/>
            <w:jc w:val="left"/>
            <w:rPr>
              <w:color w:val="000000"/>
            </w:rPr>
          </w:pPr>
          <w:hyperlink w:anchor="_heading=h.hmbu0cpl2pw0">
            <w:r w:rsidR="00512BDB">
              <w:rPr>
                <w:color w:val="000000"/>
              </w:rPr>
              <w:t>SEGUNDO. Causales de improcedencia y sobreseimiento</w:t>
            </w:r>
            <w:r w:rsidR="00512BDB">
              <w:rPr>
                <w:color w:val="000000"/>
              </w:rPr>
              <w:tab/>
              <w:t>5</w:t>
            </w:r>
          </w:hyperlink>
        </w:p>
        <w:p w14:paraId="730E131C" w14:textId="77777777" w:rsidR="00C80046" w:rsidRDefault="007E536D">
          <w:pPr>
            <w:pBdr>
              <w:top w:val="nil"/>
              <w:left w:val="nil"/>
              <w:bottom w:val="nil"/>
              <w:right w:val="nil"/>
              <w:between w:val="nil"/>
            </w:pBdr>
            <w:tabs>
              <w:tab w:val="right" w:pos="8921"/>
            </w:tabs>
            <w:spacing w:after="0" w:line="360" w:lineRule="auto"/>
            <w:ind w:left="200"/>
            <w:jc w:val="left"/>
            <w:rPr>
              <w:color w:val="000000"/>
            </w:rPr>
          </w:pPr>
          <w:hyperlink w:anchor="_heading=h.o1q2r97k0612">
            <w:r w:rsidR="00512BDB">
              <w:rPr>
                <w:color w:val="000000"/>
              </w:rPr>
              <w:t>TERCERO. Determinación de la Controversia</w:t>
            </w:r>
            <w:r w:rsidR="00512BDB">
              <w:rPr>
                <w:color w:val="000000"/>
              </w:rPr>
              <w:tab/>
              <w:t>7</w:t>
            </w:r>
          </w:hyperlink>
        </w:p>
        <w:p w14:paraId="7DFFFBD9" w14:textId="77777777" w:rsidR="00C80046" w:rsidRDefault="007E536D">
          <w:pPr>
            <w:pBdr>
              <w:top w:val="nil"/>
              <w:left w:val="nil"/>
              <w:bottom w:val="nil"/>
              <w:right w:val="nil"/>
              <w:between w:val="nil"/>
            </w:pBdr>
            <w:tabs>
              <w:tab w:val="right" w:pos="8921"/>
            </w:tabs>
            <w:spacing w:after="0" w:line="360" w:lineRule="auto"/>
            <w:ind w:left="200"/>
            <w:jc w:val="left"/>
            <w:rPr>
              <w:color w:val="000000"/>
            </w:rPr>
          </w:pPr>
          <w:hyperlink w:anchor="_heading=h.sp5kjqyowlva">
            <w:r w:rsidR="00512BDB">
              <w:rPr>
                <w:color w:val="000000"/>
              </w:rPr>
              <w:t>CUARTO. Marco normativo aplicable en materia de transparencia y acceso a la información pública</w:t>
            </w:r>
            <w:r w:rsidR="00512BDB">
              <w:rPr>
                <w:color w:val="000000"/>
              </w:rPr>
              <w:tab/>
              <w:t>9</w:t>
            </w:r>
          </w:hyperlink>
        </w:p>
        <w:p w14:paraId="606DBC93" w14:textId="77777777" w:rsidR="00C80046" w:rsidRDefault="007E536D">
          <w:pPr>
            <w:pBdr>
              <w:top w:val="nil"/>
              <w:left w:val="nil"/>
              <w:bottom w:val="nil"/>
              <w:right w:val="nil"/>
              <w:between w:val="nil"/>
            </w:pBdr>
            <w:tabs>
              <w:tab w:val="right" w:pos="8921"/>
            </w:tabs>
            <w:spacing w:after="0" w:line="360" w:lineRule="auto"/>
            <w:ind w:left="200"/>
            <w:jc w:val="left"/>
            <w:rPr>
              <w:color w:val="000000"/>
            </w:rPr>
          </w:pPr>
          <w:hyperlink w:anchor="_heading=h.6zmamekhw8x5">
            <w:r w:rsidR="00512BDB">
              <w:rPr>
                <w:color w:val="000000"/>
              </w:rPr>
              <w:t>QUINTO. Estudio de Fondo</w:t>
            </w:r>
            <w:r w:rsidR="00512BDB">
              <w:rPr>
                <w:color w:val="000000"/>
              </w:rPr>
              <w:tab/>
              <w:t>10</w:t>
            </w:r>
          </w:hyperlink>
        </w:p>
        <w:p w14:paraId="6CE84045" w14:textId="30BAC3D3" w:rsidR="00C80046" w:rsidRDefault="007E536D">
          <w:pPr>
            <w:pBdr>
              <w:top w:val="nil"/>
              <w:left w:val="nil"/>
              <w:bottom w:val="nil"/>
              <w:right w:val="nil"/>
              <w:between w:val="nil"/>
            </w:pBdr>
            <w:tabs>
              <w:tab w:val="right" w:pos="8921"/>
            </w:tabs>
            <w:spacing w:after="0" w:line="360" w:lineRule="auto"/>
            <w:ind w:left="200"/>
            <w:jc w:val="left"/>
            <w:rPr>
              <w:color w:val="000000"/>
            </w:rPr>
          </w:pPr>
          <w:hyperlink w:anchor="_heading=h.77rndx6958z9">
            <w:r w:rsidR="00512BDB">
              <w:rPr>
                <w:color w:val="000000"/>
              </w:rPr>
              <w:t>SEXTO. Decisión.</w:t>
            </w:r>
            <w:r w:rsidR="00512BDB">
              <w:rPr>
                <w:color w:val="000000"/>
              </w:rPr>
              <w:tab/>
            </w:r>
            <w:r w:rsidR="00A579C3">
              <w:rPr>
                <w:color w:val="000000"/>
              </w:rPr>
              <w:t>17</w:t>
            </w:r>
          </w:hyperlink>
        </w:p>
        <w:p w14:paraId="24F69459" w14:textId="18F4F127" w:rsidR="00C80046" w:rsidRDefault="007E536D">
          <w:pPr>
            <w:pBdr>
              <w:top w:val="nil"/>
              <w:left w:val="nil"/>
              <w:bottom w:val="nil"/>
              <w:right w:val="nil"/>
              <w:between w:val="nil"/>
            </w:pBdr>
            <w:tabs>
              <w:tab w:val="right" w:pos="9072"/>
            </w:tabs>
            <w:spacing w:after="0" w:line="360" w:lineRule="auto"/>
            <w:rPr>
              <w:color w:val="000000"/>
            </w:rPr>
          </w:pPr>
          <w:hyperlink w:anchor="_heading=h.2n9hdwrpyt3h">
            <w:r w:rsidR="00512BDB">
              <w:rPr>
                <w:color w:val="000000"/>
              </w:rPr>
              <w:t>R E S U E L V E:</w:t>
            </w:r>
            <w:r w:rsidR="00512BDB">
              <w:rPr>
                <w:color w:val="000000"/>
              </w:rPr>
              <w:tab/>
            </w:r>
            <w:r w:rsidR="00A579C3">
              <w:rPr>
                <w:color w:val="000000"/>
              </w:rPr>
              <w:t>18</w:t>
            </w:r>
          </w:hyperlink>
        </w:p>
        <w:p w14:paraId="22A5E8C9" w14:textId="77777777" w:rsidR="00C80046" w:rsidRDefault="00512BDB">
          <w:pPr>
            <w:spacing w:after="0" w:line="360" w:lineRule="auto"/>
          </w:pPr>
          <w:r>
            <w:fldChar w:fldCharType="end"/>
          </w:r>
        </w:p>
      </w:sdtContent>
    </w:sdt>
    <w:p w14:paraId="51E02150" w14:textId="77777777" w:rsidR="00C80046" w:rsidRDefault="00C80046">
      <w:pPr>
        <w:tabs>
          <w:tab w:val="left" w:pos="8931"/>
        </w:tabs>
        <w:spacing w:after="0" w:line="360" w:lineRule="auto"/>
        <w:rPr>
          <w:color w:val="000000"/>
        </w:rPr>
      </w:pPr>
    </w:p>
    <w:p w14:paraId="1E6AE00B" w14:textId="77777777" w:rsidR="00C80046" w:rsidRDefault="00C80046">
      <w:pPr>
        <w:tabs>
          <w:tab w:val="left" w:pos="8931"/>
        </w:tabs>
        <w:spacing w:after="0" w:line="360" w:lineRule="auto"/>
        <w:rPr>
          <w:color w:val="000000"/>
        </w:rPr>
      </w:pPr>
    </w:p>
    <w:p w14:paraId="0521C1A5" w14:textId="77777777" w:rsidR="00C80046" w:rsidRDefault="00512BDB">
      <w:pPr>
        <w:tabs>
          <w:tab w:val="left" w:pos="8931"/>
        </w:tabs>
        <w:spacing w:after="0" w:line="360" w:lineRule="auto"/>
        <w:rPr>
          <w:color w:val="000000"/>
        </w:rPr>
      </w:pPr>
      <w:r>
        <w:rPr>
          <w:color w:val="000000"/>
        </w:rPr>
        <w:t xml:space="preserve">Resolución del Pleno del Instituto de Transparencia, Acceso a la Información Pública y Protección de Datos Personales del Estado de México y Municipios, con domicilio en Metepec, Estado de México, de fecha veinte de agosto de dos mil veinticinco. </w:t>
      </w:r>
    </w:p>
    <w:p w14:paraId="7B0E7A87" w14:textId="77777777" w:rsidR="00C80046" w:rsidRDefault="00512BDB">
      <w:pPr>
        <w:tabs>
          <w:tab w:val="left" w:pos="2340"/>
        </w:tabs>
        <w:spacing w:after="0" w:line="360" w:lineRule="auto"/>
        <w:rPr>
          <w:b/>
          <w:color w:val="FF0000"/>
        </w:rPr>
      </w:pPr>
      <w:r>
        <w:rPr>
          <w:b/>
          <w:color w:val="FF0000"/>
        </w:rPr>
        <w:tab/>
      </w:r>
    </w:p>
    <w:p w14:paraId="757F97F5" w14:textId="77777777" w:rsidR="00C80046" w:rsidRDefault="00512BDB">
      <w:pPr>
        <w:spacing w:after="0" w:line="360" w:lineRule="auto"/>
        <w:rPr>
          <w:color w:val="000000"/>
        </w:rPr>
      </w:pPr>
      <w:r>
        <w:rPr>
          <w:b/>
          <w:color w:val="000000"/>
        </w:rPr>
        <w:t xml:space="preserve">VISTO </w:t>
      </w:r>
      <w:r>
        <w:rPr>
          <w:color w:val="000000"/>
        </w:rPr>
        <w:t xml:space="preserve">el expediente electrónico conformado con motivo del Recurso de Revisión </w:t>
      </w:r>
      <w:r w:rsidRPr="0095543B">
        <w:rPr>
          <w:b/>
          <w:color w:val="000000"/>
        </w:rPr>
        <w:t>08451/INFOEM/IP/RR/2025</w:t>
      </w:r>
      <w:r>
        <w:rPr>
          <w:color w:val="000000"/>
        </w:rPr>
        <w:t xml:space="preserve">, en contra de la respuesta del Sujeto Obligado, </w:t>
      </w:r>
      <w:r w:rsidRPr="0095543B">
        <w:rPr>
          <w:b/>
          <w:color w:val="000000"/>
        </w:rPr>
        <w:t xml:space="preserve">Organismo Público Descentralizado para la Prestación de Servicios de Agua Potable Alcantarillado y Saneamiento de Coacalco de Berriozábal, </w:t>
      </w:r>
      <w:r>
        <w:rPr>
          <w:color w:val="000000"/>
        </w:rPr>
        <w:t xml:space="preserve">a la solicitud de acceso a la información pública </w:t>
      </w:r>
      <w:r>
        <w:t xml:space="preserve">00024/OASCOACALC/IP/2025 </w:t>
      </w:r>
      <w:r>
        <w:rPr>
          <w:color w:val="000000"/>
        </w:rPr>
        <w:t>se emite la presente Resolución, con base en los Antecedentes y Considerandos que se exponen a continuación:</w:t>
      </w:r>
    </w:p>
    <w:p w14:paraId="3AF58937" w14:textId="77777777" w:rsidR="00C80046" w:rsidRDefault="00512BDB">
      <w:pPr>
        <w:tabs>
          <w:tab w:val="left" w:pos="1965"/>
        </w:tabs>
        <w:spacing w:after="0" w:line="360" w:lineRule="auto"/>
        <w:rPr>
          <w:b/>
          <w:color w:val="FF0000"/>
        </w:rPr>
      </w:pPr>
      <w:r>
        <w:rPr>
          <w:b/>
          <w:color w:val="FF0000"/>
        </w:rPr>
        <w:tab/>
      </w:r>
    </w:p>
    <w:p w14:paraId="789DDC84" w14:textId="77777777" w:rsidR="00C80046" w:rsidRDefault="00512BDB">
      <w:pPr>
        <w:pStyle w:val="Ttulo1"/>
        <w:spacing w:before="0" w:line="360" w:lineRule="auto"/>
        <w:jc w:val="center"/>
        <w:rPr>
          <w:rFonts w:ascii="Palatino Linotype" w:eastAsia="Palatino Linotype" w:hAnsi="Palatino Linotype" w:cs="Palatino Linotype"/>
          <w:b/>
          <w:color w:val="000000"/>
          <w:sz w:val="22"/>
          <w:szCs w:val="22"/>
        </w:rPr>
      </w:pPr>
      <w:bookmarkStart w:id="0" w:name="_heading=h.9n9mszlfft3" w:colFirst="0" w:colLast="0"/>
      <w:bookmarkEnd w:id="0"/>
      <w:r>
        <w:rPr>
          <w:rFonts w:ascii="Palatino Linotype" w:eastAsia="Palatino Linotype" w:hAnsi="Palatino Linotype" w:cs="Palatino Linotype"/>
          <w:b/>
          <w:color w:val="000000"/>
          <w:sz w:val="22"/>
          <w:szCs w:val="22"/>
        </w:rPr>
        <w:t>A N T E C E D E N T E S</w:t>
      </w:r>
    </w:p>
    <w:p w14:paraId="5B21B67A" w14:textId="77777777" w:rsidR="00C80046" w:rsidRDefault="00C80046">
      <w:pPr>
        <w:spacing w:after="0" w:line="360" w:lineRule="auto"/>
        <w:jc w:val="center"/>
        <w:rPr>
          <w:b/>
          <w:color w:val="000000"/>
        </w:rPr>
      </w:pPr>
    </w:p>
    <w:p w14:paraId="37625058" w14:textId="77777777" w:rsidR="00C80046" w:rsidRDefault="00512BDB">
      <w:pPr>
        <w:pStyle w:val="Ttulo2"/>
        <w:spacing w:before="0" w:line="360" w:lineRule="auto"/>
        <w:rPr>
          <w:rFonts w:ascii="Palatino Linotype" w:eastAsia="Palatino Linotype" w:hAnsi="Palatino Linotype" w:cs="Palatino Linotype"/>
          <w:b/>
          <w:color w:val="000000"/>
          <w:sz w:val="22"/>
          <w:szCs w:val="22"/>
        </w:rPr>
      </w:pPr>
      <w:bookmarkStart w:id="1" w:name="_heading=h.csz8p8k4teko" w:colFirst="0" w:colLast="0"/>
      <w:bookmarkEnd w:id="1"/>
      <w:r>
        <w:rPr>
          <w:rFonts w:ascii="Palatino Linotype" w:eastAsia="Palatino Linotype" w:hAnsi="Palatino Linotype" w:cs="Palatino Linotype"/>
          <w:b/>
          <w:color w:val="000000"/>
          <w:sz w:val="22"/>
          <w:szCs w:val="22"/>
        </w:rPr>
        <w:t>I. Presentación de la solicitud de información</w:t>
      </w:r>
    </w:p>
    <w:p w14:paraId="51B11AA2" w14:textId="77777777" w:rsidR="00C80046" w:rsidRDefault="00C80046">
      <w:pPr>
        <w:spacing w:after="0" w:line="360" w:lineRule="auto"/>
        <w:rPr>
          <w:b/>
          <w:color w:val="000000"/>
        </w:rPr>
      </w:pPr>
    </w:p>
    <w:p w14:paraId="12578A74" w14:textId="77777777" w:rsidR="00C80046" w:rsidRDefault="00512BDB">
      <w:pPr>
        <w:spacing w:after="0" w:line="360" w:lineRule="auto"/>
        <w:rPr>
          <w:color w:val="000000"/>
        </w:rPr>
      </w:pPr>
      <w:r>
        <w:rPr>
          <w:color w:val="000000"/>
        </w:rPr>
        <w:t>Con fecha dieciséis de junio de dos mil veinticinco, la persona Solicitante presentó un requerimiento de acceso a la información, a través del Sistema de Acceso a la Información Mexiquense (SAIMEX), ante el Organismo Público Descentralizado para la Prestación de Servicios de Agua Potable Alcantarillado y Saneamiento de Coacalco de Berriozábal,</w:t>
      </w:r>
      <w:r>
        <w:rPr>
          <w:b/>
          <w:color w:val="000000"/>
        </w:rPr>
        <w:t xml:space="preserve"> </w:t>
      </w:r>
      <w:r>
        <w:rPr>
          <w:color w:val="000000"/>
        </w:rPr>
        <w:t>en los siguientes términos:</w:t>
      </w:r>
    </w:p>
    <w:p w14:paraId="43673033" w14:textId="77777777" w:rsidR="00C80046" w:rsidRDefault="00C80046">
      <w:pPr>
        <w:tabs>
          <w:tab w:val="left" w:pos="4667"/>
        </w:tabs>
        <w:spacing w:after="0" w:line="360" w:lineRule="auto"/>
        <w:ind w:right="567"/>
        <w:rPr>
          <w:b/>
          <w:i/>
          <w:color w:val="FF0000"/>
        </w:rPr>
      </w:pPr>
    </w:p>
    <w:p w14:paraId="68B0E6DF" w14:textId="77777777" w:rsidR="00C80046" w:rsidRDefault="00512BDB">
      <w:pPr>
        <w:spacing w:after="0" w:line="360" w:lineRule="auto"/>
        <w:ind w:left="567" w:right="567"/>
        <w:rPr>
          <w:b/>
          <w:i/>
          <w:color w:val="000000"/>
          <w:sz w:val="20"/>
          <w:szCs w:val="20"/>
        </w:rPr>
      </w:pPr>
      <w:r>
        <w:rPr>
          <w:b/>
          <w:i/>
          <w:color w:val="000000"/>
          <w:sz w:val="20"/>
          <w:szCs w:val="20"/>
        </w:rPr>
        <w:t>“DESCRIPCIÓN CLARA Y PRECISA DE LA INFORMACIÓN SOLICITADA.</w:t>
      </w:r>
    </w:p>
    <w:p w14:paraId="6595EAC0" w14:textId="77777777" w:rsidR="00C80046" w:rsidRDefault="00512BDB">
      <w:pPr>
        <w:spacing w:after="0" w:line="360" w:lineRule="auto"/>
        <w:ind w:left="567" w:right="567"/>
        <w:rPr>
          <w:i/>
          <w:color w:val="000000"/>
          <w:sz w:val="20"/>
          <w:szCs w:val="20"/>
        </w:rPr>
      </w:pPr>
      <w:proofErr w:type="gramStart"/>
      <w:r>
        <w:rPr>
          <w:i/>
          <w:color w:val="000000"/>
          <w:sz w:val="20"/>
          <w:szCs w:val="20"/>
        </w:rPr>
        <w:lastRenderedPageBreak/>
        <w:t>solicito</w:t>
      </w:r>
      <w:proofErr w:type="gramEnd"/>
      <w:r>
        <w:rPr>
          <w:i/>
          <w:color w:val="000000"/>
          <w:sz w:val="20"/>
          <w:szCs w:val="20"/>
        </w:rPr>
        <w:t xml:space="preserve"> la relación de los vehículos que forman parte del parque vehicular del ORGANISMO PÚBLICO (SAPASAC), así mismo saber que servidores públicos tienen el </w:t>
      </w:r>
      <w:proofErr w:type="spellStart"/>
      <w:r>
        <w:rPr>
          <w:i/>
          <w:color w:val="000000"/>
          <w:sz w:val="20"/>
          <w:szCs w:val="20"/>
        </w:rPr>
        <w:t>veneficio</w:t>
      </w:r>
      <w:proofErr w:type="spellEnd"/>
      <w:r>
        <w:rPr>
          <w:i/>
          <w:color w:val="000000"/>
          <w:sz w:val="20"/>
          <w:szCs w:val="20"/>
        </w:rPr>
        <w:t xml:space="preserve"> de dotación de gasolina para llevar a cabo funciones de acuerdo al reglamento interno del ORGANISMO PÚBLICO (SAPASAC)” (Sic) </w:t>
      </w:r>
    </w:p>
    <w:p w14:paraId="435BBD9D" w14:textId="77777777" w:rsidR="00C80046" w:rsidRDefault="00C80046">
      <w:pPr>
        <w:spacing w:after="0" w:line="360" w:lineRule="auto"/>
        <w:ind w:right="567"/>
        <w:rPr>
          <w:i/>
          <w:color w:val="000000"/>
          <w:sz w:val="20"/>
          <w:szCs w:val="20"/>
        </w:rPr>
      </w:pPr>
    </w:p>
    <w:p w14:paraId="3185FF29" w14:textId="77777777" w:rsidR="00C80046" w:rsidRDefault="00512BDB">
      <w:pPr>
        <w:spacing w:after="0" w:line="360" w:lineRule="auto"/>
        <w:ind w:left="567" w:right="567"/>
        <w:rPr>
          <w:b/>
          <w:i/>
          <w:color w:val="000000"/>
          <w:sz w:val="20"/>
          <w:szCs w:val="20"/>
        </w:rPr>
      </w:pPr>
      <w:r>
        <w:rPr>
          <w:b/>
          <w:i/>
          <w:color w:val="000000"/>
          <w:sz w:val="20"/>
          <w:szCs w:val="20"/>
        </w:rPr>
        <w:t>“MODALIDAD DE ENTREGA</w:t>
      </w:r>
    </w:p>
    <w:p w14:paraId="7C9A9A89" w14:textId="77777777" w:rsidR="00C80046" w:rsidRDefault="00512BDB">
      <w:pPr>
        <w:spacing w:after="0" w:line="360" w:lineRule="auto"/>
        <w:ind w:left="567" w:right="567"/>
        <w:rPr>
          <w:i/>
          <w:color w:val="000000"/>
          <w:sz w:val="20"/>
          <w:szCs w:val="20"/>
        </w:rPr>
      </w:pPr>
      <w:r>
        <w:rPr>
          <w:i/>
          <w:color w:val="000000"/>
          <w:sz w:val="20"/>
          <w:szCs w:val="20"/>
        </w:rPr>
        <w:t>A través del SAIMEX”</w:t>
      </w:r>
    </w:p>
    <w:p w14:paraId="52278762" w14:textId="77777777" w:rsidR="00C80046" w:rsidRDefault="00C80046">
      <w:pPr>
        <w:spacing w:after="0" w:line="360" w:lineRule="auto"/>
        <w:ind w:left="567" w:right="567"/>
        <w:rPr>
          <w:i/>
          <w:color w:val="000000"/>
          <w:sz w:val="20"/>
          <w:szCs w:val="20"/>
        </w:rPr>
      </w:pPr>
    </w:p>
    <w:p w14:paraId="5181A021" w14:textId="77777777" w:rsidR="00C80046" w:rsidRDefault="00512BDB">
      <w:pPr>
        <w:pStyle w:val="Ttulo2"/>
        <w:spacing w:before="0" w:line="360" w:lineRule="auto"/>
        <w:rPr>
          <w:rFonts w:ascii="Palatino Linotype" w:eastAsia="Palatino Linotype" w:hAnsi="Palatino Linotype" w:cs="Palatino Linotype"/>
          <w:b/>
          <w:color w:val="000000"/>
          <w:sz w:val="22"/>
          <w:szCs w:val="22"/>
        </w:rPr>
      </w:pPr>
      <w:bookmarkStart w:id="2" w:name="_heading=h.s5szmanbatw" w:colFirst="0" w:colLast="0"/>
      <w:bookmarkEnd w:id="2"/>
      <w:r>
        <w:rPr>
          <w:rFonts w:ascii="Palatino Linotype" w:eastAsia="Palatino Linotype" w:hAnsi="Palatino Linotype" w:cs="Palatino Linotype"/>
          <w:b/>
          <w:color w:val="000000"/>
          <w:sz w:val="22"/>
          <w:szCs w:val="22"/>
        </w:rPr>
        <w:t>II. Respuesta del Sujeto Obligado</w:t>
      </w:r>
    </w:p>
    <w:p w14:paraId="74E8F08B" w14:textId="77777777" w:rsidR="00C80046" w:rsidRDefault="00C80046">
      <w:pPr>
        <w:spacing w:after="0" w:line="360" w:lineRule="auto"/>
        <w:rPr>
          <w:b/>
          <w:color w:val="FF0000"/>
        </w:rPr>
      </w:pPr>
    </w:p>
    <w:p w14:paraId="27610D8B" w14:textId="77777777" w:rsidR="00C80046" w:rsidRDefault="00512BDB">
      <w:pPr>
        <w:spacing w:after="0" w:line="360" w:lineRule="auto"/>
        <w:rPr>
          <w:color w:val="000000"/>
        </w:rPr>
      </w:pPr>
      <w:bookmarkStart w:id="3" w:name="_heading=h.lguc76jwcuma" w:colFirst="0" w:colLast="0"/>
      <w:bookmarkEnd w:id="3"/>
      <w:r>
        <w:rPr>
          <w:color w:val="000000"/>
        </w:rPr>
        <w:t xml:space="preserve">Con fecha cuatro de julio de dos mil veinticinco, el Organismo Público Descentralizado para la Prestación de Servicios de Agua Potable Alcantarillado y Saneamiento de Coacalco de Berriozábal, notificó la respuesta a la solicitud, a través del Sistema de Acceso a la Información Mexiquense (SAIMEX), mediante la digitalización del documento siguiente: </w:t>
      </w:r>
    </w:p>
    <w:p w14:paraId="51514983" w14:textId="77777777" w:rsidR="00C80046" w:rsidRDefault="00C80046">
      <w:pPr>
        <w:spacing w:after="0" w:line="360" w:lineRule="auto"/>
        <w:rPr>
          <w:color w:val="FF0000"/>
        </w:rPr>
      </w:pPr>
    </w:p>
    <w:p w14:paraId="367E1363" w14:textId="77777777" w:rsidR="00C80046" w:rsidRDefault="00512BDB">
      <w:pPr>
        <w:spacing w:after="0" w:line="360" w:lineRule="auto"/>
        <w:rPr>
          <w:color w:val="000000"/>
        </w:rPr>
      </w:pPr>
      <w:r>
        <w:rPr>
          <w:color w:val="000000"/>
        </w:rPr>
        <w:t xml:space="preserve">i) Oficio número SAPASAC/GA/SGCV/010/2025, del tres de julio de dos mil veinticinco, suscrito por el Jefe de Departamento de Control Vehicular y Servicios Generales, y dirigido al Jefe de Departamento de la Unidad de Anticorrupción, Buen Gobierno y Transparencia, por medio del cual precisó lo siguiente: </w:t>
      </w:r>
    </w:p>
    <w:p w14:paraId="1DBA8CEA" w14:textId="77777777" w:rsidR="00C80046" w:rsidRDefault="00C80046">
      <w:pPr>
        <w:spacing w:after="0" w:line="360" w:lineRule="auto"/>
        <w:ind w:left="567" w:right="567"/>
        <w:rPr>
          <w:i/>
          <w:color w:val="000000"/>
          <w:sz w:val="20"/>
          <w:szCs w:val="20"/>
        </w:rPr>
      </w:pPr>
    </w:p>
    <w:p w14:paraId="18BCBF95" w14:textId="77777777" w:rsidR="00C80046" w:rsidRDefault="00512BDB">
      <w:pPr>
        <w:spacing w:after="0" w:line="360" w:lineRule="auto"/>
        <w:ind w:left="567" w:right="567"/>
        <w:rPr>
          <w:i/>
          <w:color w:val="000000"/>
          <w:sz w:val="20"/>
          <w:szCs w:val="20"/>
        </w:rPr>
      </w:pPr>
      <w:r>
        <w:rPr>
          <w:i/>
          <w:color w:val="000000"/>
          <w:sz w:val="20"/>
          <w:szCs w:val="20"/>
        </w:rPr>
        <w:t>“…</w:t>
      </w:r>
    </w:p>
    <w:p w14:paraId="1C0E710D" w14:textId="77777777" w:rsidR="00C80046" w:rsidRDefault="00512BDB">
      <w:pPr>
        <w:spacing w:after="0" w:line="360" w:lineRule="auto"/>
        <w:ind w:left="567" w:right="567"/>
        <w:rPr>
          <w:i/>
          <w:color w:val="000000"/>
          <w:sz w:val="20"/>
          <w:szCs w:val="20"/>
        </w:rPr>
      </w:pPr>
      <w:r>
        <w:rPr>
          <w:i/>
          <w:color w:val="000000"/>
          <w:sz w:val="20"/>
          <w:szCs w:val="20"/>
        </w:rPr>
        <w:t xml:space="preserve">En cuanto a los </w:t>
      </w:r>
      <w:r>
        <w:rPr>
          <w:b/>
          <w:i/>
          <w:color w:val="000000"/>
          <w:sz w:val="20"/>
          <w:szCs w:val="20"/>
        </w:rPr>
        <w:t xml:space="preserve">"servidores públicos tienen el </w:t>
      </w:r>
      <w:proofErr w:type="spellStart"/>
      <w:r>
        <w:rPr>
          <w:b/>
          <w:i/>
          <w:color w:val="000000"/>
          <w:sz w:val="20"/>
          <w:szCs w:val="20"/>
        </w:rPr>
        <w:t>veneficio</w:t>
      </w:r>
      <w:proofErr w:type="spellEnd"/>
      <w:r>
        <w:rPr>
          <w:b/>
          <w:i/>
          <w:color w:val="000000"/>
          <w:sz w:val="20"/>
          <w:szCs w:val="20"/>
        </w:rPr>
        <w:t xml:space="preserve"> de dotación de gasolina </w:t>
      </w:r>
      <w:r>
        <w:rPr>
          <w:i/>
          <w:color w:val="000000"/>
          <w:sz w:val="20"/>
          <w:szCs w:val="20"/>
        </w:rPr>
        <w:t>me permito contestarle que los servidores públicos que laboran en este Organismo no son beneficiados para dotación de gasolina.</w:t>
      </w:r>
    </w:p>
    <w:p w14:paraId="7113C2DB" w14:textId="77777777" w:rsidR="00C80046" w:rsidRDefault="00512BDB">
      <w:pPr>
        <w:spacing w:after="0" w:line="360" w:lineRule="auto"/>
        <w:ind w:left="567" w:right="567"/>
        <w:rPr>
          <w:i/>
          <w:color w:val="000000"/>
          <w:sz w:val="18"/>
          <w:szCs w:val="18"/>
        </w:rPr>
      </w:pPr>
      <w:r>
        <w:rPr>
          <w:i/>
          <w:color w:val="000000"/>
          <w:sz w:val="20"/>
          <w:szCs w:val="20"/>
        </w:rPr>
        <w:t>…”</w:t>
      </w:r>
    </w:p>
    <w:p w14:paraId="1E27422C" w14:textId="77777777" w:rsidR="00C80046" w:rsidRDefault="00C80046">
      <w:pPr>
        <w:spacing w:after="0" w:line="360" w:lineRule="auto"/>
        <w:ind w:right="567"/>
        <w:rPr>
          <w:color w:val="FF0000"/>
        </w:rPr>
      </w:pPr>
    </w:p>
    <w:p w14:paraId="63225A23" w14:textId="77777777" w:rsidR="00C80046" w:rsidRDefault="00512BDB">
      <w:pPr>
        <w:pStyle w:val="Ttulo2"/>
        <w:spacing w:before="0" w:line="360" w:lineRule="auto"/>
        <w:rPr>
          <w:rFonts w:ascii="Palatino Linotype" w:eastAsia="Palatino Linotype" w:hAnsi="Palatino Linotype" w:cs="Palatino Linotype"/>
          <w:b/>
          <w:color w:val="000000"/>
          <w:sz w:val="22"/>
          <w:szCs w:val="22"/>
        </w:rPr>
      </w:pPr>
      <w:bookmarkStart w:id="4" w:name="_heading=h.rv50d0ao34b9" w:colFirst="0" w:colLast="0"/>
      <w:bookmarkEnd w:id="4"/>
      <w:r>
        <w:rPr>
          <w:rFonts w:ascii="Palatino Linotype" w:eastAsia="Palatino Linotype" w:hAnsi="Palatino Linotype" w:cs="Palatino Linotype"/>
          <w:b/>
          <w:color w:val="000000"/>
          <w:sz w:val="22"/>
          <w:szCs w:val="22"/>
        </w:rPr>
        <w:t>III. Interposición del Recurso de Revisión</w:t>
      </w:r>
    </w:p>
    <w:p w14:paraId="37E8EDD9" w14:textId="77777777" w:rsidR="00C80046" w:rsidRDefault="00C80046">
      <w:pPr>
        <w:spacing w:after="0" w:line="360" w:lineRule="auto"/>
        <w:rPr>
          <w:color w:val="FF0000"/>
        </w:rPr>
      </w:pPr>
    </w:p>
    <w:p w14:paraId="7DF95E58" w14:textId="77777777" w:rsidR="00C80046" w:rsidRDefault="00512BDB">
      <w:pPr>
        <w:widowControl w:val="0"/>
        <w:spacing w:after="0" w:line="360" w:lineRule="auto"/>
        <w:rPr>
          <w:color w:val="000000"/>
        </w:rPr>
      </w:pPr>
      <w:r>
        <w:rPr>
          <w:color w:val="000000"/>
        </w:rPr>
        <w:t>Con fecha once de julio de dos mil veinticinco, se recibió en este Instituto, a través del Sistema de Acceso a la Información Mexiquense (SAIMEX), el Recurso de Revisión interpuesto por la parte Recurrente, en contra de la respuesta del Sujeto Obligado</w:t>
      </w:r>
      <w:r>
        <w:t>,</w:t>
      </w:r>
      <w:r>
        <w:rPr>
          <w:b/>
        </w:rPr>
        <w:t xml:space="preserve"> </w:t>
      </w:r>
      <w:r>
        <w:rPr>
          <w:color w:val="000000"/>
        </w:rPr>
        <w:t>en los siguientes términos:</w:t>
      </w:r>
    </w:p>
    <w:p w14:paraId="62A53EDE" w14:textId="77777777" w:rsidR="00C80046" w:rsidRDefault="00C80046">
      <w:pPr>
        <w:tabs>
          <w:tab w:val="left" w:pos="4667"/>
        </w:tabs>
        <w:spacing w:after="0" w:line="360" w:lineRule="auto"/>
        <w:ind w:left="567" w:right="567"/>
        <w:rPr>
          <w:b/>
          <w:i/>
          <w:color w:val="FF0000"/>
          <w:sz w:val="20"/>
          <w:szCs w:val="20"/>
        </w:rPr>
      </w:pPr>
    </w:p>
    <w:p w14:paraId="7869AFE0" w14:textId="77777777" w:rsidR="00C80046" w:rsidRDefault="00512BDB">
      <w:pPr>
        <w:tabs>
          <w:tab w:val="left" w:pos="4667"/>
        </w:tabs>
        <w:spacing w:after="0" w:line="360" w:lineRule="auto"/>
        <w:ind w:left="567" w:right="567"/>
        <w:rPr>
          <w:b/>
          <w:i/>
          <w:color w:val="000000"/>
          <w:sz w:val="20"/>
          <w:szCs w:val="20"/>
        </w:rPr>
      </w:pPr>
      <w:r>
        <w:rPr>
          <w:b/>
          <w:i/>
          <w:color w:val="000000"/>
          <w:sz w:val="20"/>
          <w:szCs w:val="20"/>
        </w:rPr>
        <w:t>“ACTO IMPUGNADO</w:t>
      </w:r>
    </w:p>
    <w:p w14:paraId="098D0D6E" w14:textId="77777777" w:rsidR="00C80046" w:rsidRDefault="00512BDB">
      <w:pPr>
        <w:tabs>
          <w:tab w:val="left" w:pos="4667"/>
        </w:tabs>
        <w:spacing w:after="0" w:line="360" w:lineRule="auto"/>
        <w:ind w:left="567" w:right="567"/>
        <w:rPr>
          <w:i/>
          <w:color w:val="000000"/>
          <w:sz w:val="20"/>
          <w:szCs w:val="20"/>
        </w:rPr>
      </w:pPr>
      <w:r>
        <w:rPr>
          <w:i/>
          <w:color w:val="000000"/>
          <w:sz w:val="20"/>
          <w:szCs w:val="20"/>
        </w:rPr>
        <w:t>INFORMACION INCOMPLETA” (Sic.)</w:t>
      </w:r>
    </w:p>
    <w:p w14:paraId="0348DB8E" w14:textId="77777777" w:rsidR="00C80046" w:rsidRDefault="00C80046">
      <w:pPr>
        <w:tabs>
          <w:tab w:val="left" w:pos="4667"/>
        </w:tabs>
        <w:spacing w:after="0" w:line="360" w:lineRule="auto"/>
        <w:ind w:left="567" w:right="567"/>
        <w:rPr>
          <w:i/>
          <w:color w:val="FF0000"/>
          <w:sz w:val="20"/>
          <w:szCs w:val="20"/>
        </w:rPr>
      </w:pPr>
    </w:p>
    <w:p w14:paraId="1D1B789B" w14:textId="77777777" w:rsidR="00C80046" w:rsidRDefault="00512BDB">
      <w:pPr>
        <w:tabs>
          <w:tab w:val="left" w:pos="4667"/>
        </w:tabs>
        <w:spacing w:after="0" w:line="360" w:lineRule="auto"/>
        <w:ind w:left="567" w:right="567"/>
        <w:rPr>
          <w:b/>
          <w:i/>
          <w:color w:val="000000"/>
          <w:sz w:val="20"/>
          <w:szCs w:val="20"/>
        </w:rPr>
      </w:pPr>
      <w:r>
        <w:rPr>
          <w:b/>
          <w:i/>
          <w:color w:val="000000"/>
          <w:sz w:val="20"/>
          <w:szCs w:val="20"/>
        </w:rPr>
        <w:t>“RAZONES O MOTIVOS DE LA INCONFORMIDAD</w:t>
      </w:r>
    </w:p>
    <w:p w14:paraId="41EE979F" w14:textId="77777777" w:rsidR="00C80046" w:rsidRDefault="00512BDB">
      <w:pPr>
        <w:tabs>
          <w:tab w:val="left" w:pos="4667"/>
        </w:tabs>
        <w:spacing w:after="0" w:line="360" w:lineRule="auto"/>
        <w:ind w:left="567" w:right="567"/>
        <w:rPr>
          <w:i/>
          <w:color w:val="000000"/>
          <w:sz w:val="20"/>
          <w:szCs w:val="20"/>
        </w:rPr>
      </w:pPr>
      <w:proofErr w:type="gramStart"/>
      <w:r>
        <w:rPr>
          <w:i/>
          <w:color w:val="000000"/>
          <w:sz w:val="20"/>
          <w:szCs w:val="20"/>
        </w:rPr>
        <w:t>el</w:t>
      </w:r>
      <w:proofErr w:type="gramEnd"/>
      <w:r>
        <w:rPr>
          <w:i/>
          <w:color w:val="000000"/>
          <w:sz w:val="20"/>
          <w:szCs w:val="20"/>
        </w:rPr>
        <w:t xml:space="preserve"> organismo si cuenta con parque vehicular POR LO TANTO esta información que si obra dentro del mismo organismo” (Sic.)</w:t>
      </w:r>
    </w:p>
    <w:p w14:paraId="793B79E9" w14:textId="77777777" w:rsidR="00C80046" w:rsidRDefault="00C80046">
      <w:pPr>
        <w:tabs>
          <w:tab w:val="left" w:pos="4667"/>
        </w:tabs>
        <w:spacing w:after="0" w:line="360" w:lineRule="auto"/>
        <w:ind w:right="567"/>
        <w:rPr>
          <w:i/>
          <w:color w:val="000000"/>
          <w:sz w:val="20"/>
          <w:szCs w:val="20"/>
        </w:rPr>
      </w:pPr>
    </w:p>
    <w:p w14:paraId="79C0E6F6" w14:textId="77777777" w:rsidR="00C80046" w:rsidRDefault="00512BDB">
      <w:pPr>
        <w:pStyle w:val="Ttulo2"/>
        <w:spacing w:before="0" w:line="360" w:lineRule="auto"/>
        <w:rPr>
          <w:rFonts w:ascii="Palatino Linotype" w:eastAsia="Palatino Linotype" w:hAnsi="Palatino Linotype" w:cs="Palatino Linotype"/>
          <w:b/>
          <w:color w:val="000000"/>
          <w:sz w:val="22"/>
          <w:szCs w:val="22"/>
        </w:rPr>
      </w:pPr>
      <w:bookmarkStart w:id="5" w:name="_heading=h.oqnixzp4358z" w:colFirst="0" w:colLast="0"/>
      <w:bookmarkEnd w:id="5"/>
      <w:r>
        <w:rPr>
          <w:rFonts w:ascii="Palatino Linotype" w:eastAsia="Palatino Linotype" w:hAnsi="Palatino Linotype" w:cs="Palatino Linotype"/>
          <w:b/>
          <w:color w:val="000000"/>
          <w:sz w:val="22"/>
          <w:szCs w:val="22"/>
        </w:rPr>
        <w:t>IV. Trámite del Recurso de Revisión ante este Instituto</w:t>
      </w:r>
    </w:p>
    <w:p w14:paraId="78696D5D" w14:textId="77777777" w:rsidR="00C80046" w:rsidRDefault="00C80046">
      <w:pPr>
        <w:spacing w:after="0" w:line="360" w:lineRule="auto"/>
        <w:rPr>
          <w:b/>
          <w:color w:val="FF0000"/>
        </w:rPr>
      </w:pPr>
    </w:p>
    <w:p w14:paraId="7F958EAE" w14:textId="77777777" w:rsidR="00C80046" w:rsidRDefault="00512BDB">
      <w:pPr>
        <w:spacing w:after="0" w:line="360" w:lineRule="auto"/>
        <w:rPr>
          <w:b/>
          <w:color w:val="000000"/>
        </w:rPr>
      </w:pPr>
      <w:bookmarkStart w:id="6" w:name="_heading=h.8735yzlob0cw" w:colFirst="0" w:colLast="0"/>
      <w:bookmarkEnd w:id="6"/>
      <w:r>
        <w:rPr>
          <w:b/>
          <w:color w:val="000000"/>
        </w:rPr>
        <w:t>a) Turno del Medio de Impugnación.</w:t>
      </w:r>
      <w:r>
        <w:rPr>
          <w:b/>
        </w:rPr>
        <w:t xml:space="preserve"> </w:t>
      </w:r>
      <w:r>
        <w:rPr>
          <w:color w:val="000000"/>
        </w:rPr>
        <w:t xml:space="preserve">El once de julio de dos mil veinticinco, el Sistema de Acceso a la Información Mexiquense (SAIMEX), asignó el número de expediente </w:t>
      </w:r>
      <w:r>
        <w:rPr>
          <w:b/>
          <w:color w:val="000000"/>
        </w:rPr>
        <w:t xml:space="preserve"> 08451/INFOEM/IP/RR/2025</w:t>
      </w:r>
      <w:r>
        <w:rPr>
          <w:color w:val="000000"/>
        </w:rPr>
        <w:t xml:space="preserve">, al Medio de Impugnación que nos ocupa, con base en el sistema aprobado por el Pleno de este Órgano Garante y lo turnó al </w:t>
      </w:r>
      <w:r>
        <w:rPr>
          <w:b/>
          <w:color w:val="000000"/>
        </w:rPr>
        <w:t>Comisionado Ponente Luis Gustavo Parra Noriega</w:t>
      </w:r>
      <w:r>
        <w:rPr>
          <w:color w:val="000000"/>
        </w:rPr>
        <w:t>, para los efectos del artículo 185, fracción I de la Ley de Transparencia y Acceso a la Información Pública del Estado de México y Municipios.</w:t>
      </w:r>
    </w:p>
    <w:p w14:paraId="278F99D4" w14:textId="77777777" w:rsidR="00C80046" w:rsidRDefault="00C80046">
      <w:pPr>
        <w:spacing w:after="0" w:line="360" w:lineRule="auto"/>
        <w:rPr>
          <w:color w:val="FF0000"/>
        </w:rPr>
      </w:pPr>
    </w:p>
    <w:p w14:paraId="4B0D3427" w14:textId="77777777" w:rsidR="00C80046" w:rsidRDefault="00512BDB">
      <w:pPr>
        <w:spacing w:after="0" w:line="360" w:lineRule="auto"/>
        <w:rPr>
          <w:color w:val="000000"/>
        </w:rPr>
      </w:pPr>
      <w:bookmarkStart w:id="7" w:name="_heading=h.rfc921ywcs9l" w:colFirst="0" w:colLast="0"/>
      <w:bookmarkEnd w:id="7"/>
      <w:r>
        <w:rPr>
          <w:b/>
          <w:color w:val="000000"/>
        </w:rPr>
        <w:t>b) Admisión del Recurso de Revisión.</w:t>
      </w:r>
      <w:r>
        <w:rPr>
          <w:b/>
        </w:rPr>
        <w:t xml:space="preserve"> </w:t>
      </w:r>
      <w:r>
        <w:rPr>
          <w:color w:val="000000"/>
        </w:rPr>
        <w:t xml:space="preserve">El dieciséis de julio de dos mil veinticinco, se acordó la admisión del Recurso de Revisión interpuesto por el Recurrente en contra del Sujeto </w:t>
      </w:r>
      <w:r>
        <w:rPr>
          <w:color w:val="000000"/>
        </w:rPr>
        <w:lastRenderedPageBreak/>
        <w:t xml:space="preserve">Obligado, en términos del artículo 185, fracciones I y II de la Ley de Transparencia y Acceso a la Información Pública del Estado de México y Municipios, el cual fue debidamente notificado a las partes, el mismo día, a través del Sistema de Acceso a la Información Mexiquense (SAIMEX), en el que se les otorgó un plazo de siete días hábiles posteriores a la misma, para que manifestaran lo que a su derecho conviniera y formularan alegatos. </w:t>
      </w:r>
    </w:p>
    <w:p w14:paraId="5496A9B6" w14:textId="77777777" w:rsidR="00C80046" w:rsidRDefault="00C80046">
      <w:pPr>
        <w:spacing w:after="0" w:line="360" w:lineRule="auto"/>
        <w:rPr>
          <w:b/>
          <w:color w:val="000000"/>
        </w:rPr>
      </w:pPr>
    </w:p>
    <w:p w14:paraId="32F99A63" w14:textId="77777777" w:rsidR="00C80046" w:rsidRDefault="00512BDB">
      <w:pPr>
        <w:tabs>
          <w:tab w:val="left" w:pos="3261"/>
        </w:tabs>
        <w:spacing w:after="0" w:line="360" w:lineRule="auto"/>
      </w:pPr>
      <w:bookmarkStart w:id="8" w:name="_heading=h.vzan9bc6ieie" w:colFirst="0" w:colLast="0"/>
      <w:bookmarkEnd w:id="8"/>
      <w:r>
        <w:rPr>
          <w:b/>
          <w:color w:val="000000"/>
        </w:rPr>
        <w:t>c) Informe Justificado o Manifestaciones.</w:t>
      </w:r>
      <w:r>
        <w:t xml:space="preserve"> Las partes fueron omisas en realizar manifestaciones o alegatos </w:t>
      </w:r>
    </w:p>
    <w:p w14:paraId="2CA497B1" w14:textId="77777777" w:rsidR="00C80046" w:rsidRDefault="00C80046">
      <w:pPr>
        <w:tabs>
          <w:tab w:val="left" w:pos="3261"/>
        </w:tabs>
        <w:spacing w:after="0" w:line="360" w:lineRule="auto"/>
      </w:pPr>
    </w:p>
    <w:p w14:paraId="415C1EF8" w14:textId="77777777" w:rsidR="00C80046" w:rsidRDefault="00512BDB">
      <w:pPr>
        <w:spacing w:after="0" w:line="360" w:lineRule="auto"/>
        <w:ind w:right="-28"/>
        <w:rPr>
          <w:color w:val="000000"/>
        </w:rPr>
      </w:pPr>
      <w:bookmarkStart w:id="9" w:name="_heading=h.b5r4kdv3wakn" w:colFirst="0" w:colLast="0"/>
      <w:bookmarkEnd w:id="9"/>
      <w:r>
        <w:rPr>
          <w:b/>
          <w:color w:val="000000"/>
        </w:rPr>
        <w:t>d) Cierre de instrucción.</w:t>
      </w:r>
      <w:r>
        <w:rPr>
          <w:color w:val="000000"/>
        </w:rPr>
        <w:t xml:space="preserve"> El </w:t>
      </w:r>
      <w:r>
        <w:t>diecinueve de</w:t>
      </w:r>
      <w:r>
        <w:rPr>
          <w:color w:val="000000"/>
        </w:rPr>
        <w:t xml:space="preserve"> agosto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 </w:t>
      </w:r>
    </w:p>
    <w:p w14:paraId="061CD661" w14:textId="77777777" w:rsidR="00C80046" w:rsidRDefault="00C80046">
      <w:pPr>
        <w:spacing w:after="0" w:line="360" w:lineRule="auto"/>
        <w:ind w:right="-28"/>
        <w:rPr>
          <w:color w:val="000000"/>
          <w:highlight w:val="red"/>
        </w:rPr>
      </w:pPr>
    </w:p>
    <w:p w14:paraId="1B590941" w14:textId="77777777" w:rsidR="00C80046" w:rsidRDefault="00512BDB">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41C4B710" w14:textId="77777777" w:rsidR="00C80046" w:rsidRDefault="00C80046">
      <w:pPr>
        <w:spacing w:after="0" w:line="360" w:lineRule="auto"/>
        <w:rPr>
          <w:color w:val="000000"/>
        </w:rPr>
      </w:pPr>
    </w:p>
    <w:p w14:paraId="32AFC059" w14:textId="77777777" w:rsidR="00C80046" w:rsidRDefault="00512BDB">
      <w:pPr>
        <w:pStyle w:val="Ttulo1"/>
        <w:spacing w:before="0" w:line="360" w:lineRule="auto"/>
        <w:jc w:val="center"/>
        <w:rPr>
          <w:rFonts w:ascii="Palatino Linotype" w:eastAsia="Palatino Linotype" w:hAnsi="Palatino Linotype" w:cs="Palatino Linotype"/>
          <w:b/>
          <w:color w:val="000000"/>
          <w:sz w:val="22"/>
          <w:szCs w:val="22"/>
        </w:rPr>
      </w:pPr>
      <w:bookmarkStart w:id="10" w:name="_heading=h.jifdqc20wx3d" w:colFirst="0" w:colLast="0"/>
      <w:bookmarkEnd w:id="10"/>
      <w:r>
        <w:rPr>
          <w:rFonts w:ascii="Palatino Linotype" w:eastAsia="Palatino Linotype" w:hAnsi="Palatino Linotype" w:cs="Palatino Linotype"/>
          <w:b/>
          <w:color w:val="000000"/>
          <w:sz w:val="22"/>
          <w:szCs w:val="22"/>
        </w:rPr>
        <w:t>C O N S I D E R A N D O S</w:t>
      </w:r>
    </w:p>
    <w:p w14:paraId="1B72E083" w14:textId="77777777" w:rsidR="00C80046" w:rsidRDefault="00C80046">
      <w:pPr>
        <w:spacing w:after="0" w:line="360" w:lineRule="auto"/>
        <w:jc w:val="center"/>
        <w:rPr>
          <w:b/>
          <w:color w:val="000000"/>
        </w:rPr>
      </w:pPr>
    </w:p>
    <w:p w14:paraId="211BD4B0" w14:textId="77777777" w:rsidR="00C80046" w:rsidRDefault="00512BDB">
      <w:pPr>
        <w:pStyle w:val="Ttulo2"/>
        <w:spacing w:before="0" w:line="360" w:lineRule="auto"/>
        <w:rPr>
          <w:rFonts w:ascii="Palatino Linotype" w:eastAsia="Palatino Linotype" w:hAnsi="Palatino Linotype" w:cs="Palatino Linotype"/>
          <w:b/>
          <w:color w:val="000000"/>
          <w:sz w:val="22"/>
          <w:szCs w:val="22"/>
        </w:rPr>
      </w:pPr>
      <w:bookmarkStart w:id="11" w:name="_heading=h.t3ei54p304d7" w:colFirst="0" w:colLast="0"/>
      <w:bookmarkEnd w:id="11"/>
      <w:r>
        <w:rPr>
          <w:rFonts w:ascii="Palatino Linotype" w:eastAsia="Palatino Linotype" w:hAnsi="Palatino Linotype" w:cs="Palatino Linotype"/>
          <w:b/>
          <w:color w:val="000000"/>
          <w:sz w:val="22"/>
          <w:szCs w:val="22"/>
        </w:rPr>
        <w:t>PRIMERO. Competencia</w:t>
      </w:r>
    </w:p>
    <w:p w14:paraId="43BB2846" w14:textId="77777777" w:rsidR="00C80046" w:rsidRDefault="00C80046">
      <w:pPr>
        <w:spacing w:after="0" w:line="360" w:lineRule="auto"/>
        <w:rPr>
          <w:b/>
          <w:color w:val="FF0000"/>
        </w:rPr>
      </w:pPr>
    </w:p>
    <w:p w14:paraId="7E04D214" w14:textId="77777777" w:rsidR="00C80046" w:rsidRDefault="00512BDB">
      <w:pPr>
        <w:spacing w:after="0" w:line="360" w:lineRule="auto"/>
        <w:rPr>
          <w:color w:val="000000"/>
        </w:rPr>
      </w:pPr>
      <w:r>
        <w:rPr>
          <w:color w:val="000000"/>
        </w:rPr>
        <w:lastRenderedPageBreak/>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9FC4281" w14:textId="77777777" w:rsidR="00C80046" w:rsidRDefault="00C80046">
      <w:pPr>
        <w:spacing w:after="0" w:line="360" w:lineRule="auto"/>
        <w:rPr>
          <w:b/>
          <w:color w:val="000000"/>
        </w:rPr>
      </w:pPr>
    </w:p>
    <w:p w14:paraId="7D8FFE70" w14:textId="77777777" w:rsidR="00C80046" w:rsidRDefault="00512BDB">
      <w:pPr>
        <w:pStyle w:val="Ttulo2"/>
        <w:spacing w:before="0" w:line="360" w:lineRule="auto"/>
        <w:rPr>
          <w:rFonts w:ascii="Palatino Linotype" w:eastAsia="Palatino Linotype" w:hAnsi="Palatino Linotype" w:cs="Palatino Linotype"/>
          <w:b/>
          <w:color w:val="000000"/>
          <w:sz w:val="22"/>
          <w:szCs w:val="22"/>
        </w:rPr>
      </w:pPr>
      <w:bookmarkStart w:id="12" w:name="_heading=h.hmbu0cpl2pw0" w:colFirst="0" w:colLast="0"/>
      <w:bookmarkEnd w:id="12"/>
      <w:r>
        <w:rPr>
          <w:rFonts w:ascii="Palatino Linotype" w:eastAsia="Palatino Linotype" w:hAnsi="Palatino Linotype" w:cs="Palatino Linotype"/>
          <w:b/>
          <w:color w:val="000000"/>
          <w:sz w:val="22"/>
          <w:szCs w:val="22"/>
        </w:rPr>
        <w:t xml:space="preserve">SEGUNDO. Causales de improcedencia y sobreseimiento </w:t>
      </w:r>
    </w:p>
    <w:p w14:paraId="18211C01" w14:textId="77777777" w:rsidR="00C80046" w:rsidRDefault="00C80046">
      <w:pPr>
        <w:spacing w:after="0" w:line="360" w:lineRule="auto"/>
        <w:rPr>
          <w:color w:val="000000"/>
        </w:rPr>
      </w:pPr>
    </w:p>
    <w:p w14:paraId="493C1C04" w14:textId="77777777" w:rsidR="00C80046" w:rsidRDefault="00512BDB">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color w:val="000000"/>
        </w:rPr>
        <w:t>litis</w:t>
      </w:r>
      <w:proofErr w:type="spellEnd"/>
      <w:r>
        <w:rPr>
          <w:color w:val="000000"/>
        </w:rPr>
        <w:t>, es necesario estudiar las causales de improcedencia y sobreseimiento que se adviertan, para determinar lo que en Derecho proceda.</w:t>
      </w:r>
    </w:p>
    <w:p w14:paraId="220BB480" w14:textId="77777777" w:rsidR="00C80046" w:rsidRDefault="00C80046">
      <w:pPr>
        <w:spacing w:after="0" w:line="360" w:lineRule="auto"/>
        <w:rPr>
          <w:b/>
          <w:color w:val="000000"/>
        </w:rPr>
      </w:pPr>
    </w:p>
    <w:p w14:paraId="36184D52" w14:textId="77777777" w:rsidR="00C80046" w:rsidRDefault="00512BDB">
      <w:pPr>
        <w:spacing w:after="0" w:line="360" w:lineRule="auto"/>
        <w:rPr>
          <w:b/>
          <w:color w:val="000000"/>
        </w:rPr>
      </w:pPr>
      <w:r>
        <w:rPr>
          <w:b/>
          <w:color w:val="000000"/>
        </w:rPr>
        <w:t>Causales de improcedencia</w:t>
      </w:r>
    </w:p>
    <w:p w14:paraId="5D5B0CD1" w14:textId="77777777" w:rsidR="00C80046" w:rsidRDefault="00C80046">
      <w:pPr>
        <w:spacing w:after="0" w:line="360" w:lineRule="auto"/>
        <w:rPr>
          <w:color w:val="000000"/>
        </w:rPr>
      </w:pPr>
    </w:p>
    <w:p w14:paraId="09079974" w14:textId="77777777" w:rsidR="00C80046" w:rsidRDefault="00512BDB">
      <w:pPr>
        <w:spacing w:after="0" w:line="360" w:lineRule="auto"/>
        <w:rPr>
          <w:color w:val="000000"/>
        </w:rPr>
      </w:pPr>
      <w:r>
        <w:rPr>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w:t>
      </w:r>
      <w:r>
        <w:rPr>
          <w:color w:val="000000"/>
        </w:rPr>
        <w:lastRenderedPageBreak/>
        <w:t>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3969D5C" w14:textId="77777777" w:rsidR="00C80046" w:rsidRDefault="00C80046">
      <w:pPr>
        <w:spacing w:after="0" w:line="360" w:lineRule="auto"/>
        <w:rPr>
          <w:color w:val="000000"/>
        </w:rPr>
      </w:pPr>
    </w:p>
    <w:p w14:paraId="441F77F6" w14:textId="77777777" w:rsidR="00C80046" w:rsidRDefault="00512BDB">
      <w:pPr>
        <w:spacing w:after="0" w:line="360" w:lineRule="auto"/>
        <w:rPr>
          <w:color w:val="000000"/>
        </w:rPr>
      </w:pPr>
      <w:r>
        <w:rPr>
          <w:color w:val="000000"/>
        </w:rPr>
        <w:t>En el presente caso, </w:t>
      </w:r>
      <w:r>
        <w:rPr>
          <w:b/>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0649F249" w14:textId="77777777" w:rsidR="00C80046" w:rsidRDefault="00C80046">
      <w:pPr>
        <w:spacing w:after="0" w:line="360" w:lineRule="auto"/>
        <w:rPr>
          <w:color w:val="000000"/>
        </w:rPr>
      </w:pPr>
    </w:p>
    <w:p w14:paraId="5DE08CCB" w14:textId="77777777" w:rsidR="00C80046" w:rsidRDefault="00512BDB">
      <w:pPr>
        <w:spacing w:after="0" w:line="360" w:lineRule="auto"/>
        <w:rPr>
          <w:color w:val="000000"/>
        </w:rPr>
      </w:pPr>
      <w:r>
        <w:rPr>
          <w:color w:val="000000"/>
        </w:rPr>
        <w:t xml:space="preserve">Conforme a lo anterior, se actualiza la causal de procedencia señalada en el artículo 179, fracción V, de la Ley de la materia, toda vez que el Solicitante se inconformó con la entrega de información incompleta. </w:t>
      </w:r>
    </w:p>
    <w:p w14:paraId="0A864362" w14:textId="77777777" w:rsidR="00C80046" w:rsidRDefault="00C80046">
      <w:pPr>
        <w:spacing w:after="0" w:line="360" w:lineRule="auto"/>
        <w:rPr>
          <w:color w:val="000000"/>
        </w:rPr>
      </w:pPr>
    </w:p>
    <w:p w14:paraId="5BD3AED6" w14:textId="77777777" w:rsidR="00C80046" w:rsidRDefault="00512BDB">
      <w:pPr>
        <w:spacing w:after="0" w:line="360" w:lineRule="auto"/>
        <w:rPr>
          <w:color w:val="0D0D0D"/>
        </w:rPr>
      </w:pPr>
      <w:r>
        <w:rPr>
          <w:b/>
          <w:color w:val="0D0D0D"/>
        </w:rPr>
        <w:t>Causales de sobreseimiento</w:t>
      </w:r>
    </w:p>
    <w:p w14:paraId="62E73656" w14:textId="77777777" w:rsidR="00C80046" w:rsidRDefault="00C80046">
      <w:pPr>
        <w:spacing w:after="0" w:line="360" w:lineRule="auto"/>
        <w:rPr>
          <w:color w:val="0D0D0D"/>
        </w:rPr>
      </w:pPr>
    </w:p>
    <w:p w14:paraId="5B1C5EFA" w14:textId="77777777" w:rsidR="00C80046" w:rsidRDefault="00512BDB">
      <w:pPr>
        <w:spacing w:after="0" w:line="360" w:lineRule="auto"/>
        <w:rPr>
          <w:color w:val="0D0D0D"/>
        </w:rPr>
      </w:pPr>
      <w:r>
        <w:rPr>
          <w:color w:val="0D0D0D"/>
        </w:rPr>
        <w:t>Por ser de previo y especial pronunciamiento, este Instituto analiza si se actualiza alguna causal de sobreseimiento.</w:t>
      </w:r>
    </w:p>
    <w:p w14:paraId="6A747F93" w14:textId="77777777" w:rsidR="00C80046" w:rsidRDefault="00C80046">
      <w:pPr>
        <w:spacing w:after="0" w:line="360" w:lineRule="auto"/>
        <w:rPr>
          <w:color w:val="0D0D0D"/>
        </w:rPr>
      </w:pPr>
    </w:p>
    <w:p w14:paraId="124F13AE" w14:textId="77777777" w:rsidR="00C80046" w:rsidRDefault="00512BDB">
      <w:pPr>
        <w:spacing w:after="0" w:line="360" w:lineRule="auto"/>
        <w:rPr>
          <w:color w:val="000000"/>
        </w:rPr>
      </w:pPr>
      <w:r>
        <w:rPr>
          <w:color w:val="0D0D0D"/>
        </w:rPr>
        <w:t>Sobre el tema, e</w:t>
      </w:r>
      <w:r>
        <w:rPr>
          <w:color w:val="000000"/>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w:t>
      </w:r>
      <w:r>
        <w:rPr>
          <w:color w:val="000000"/>
        </w:rPr>
        <w:lastRenderedPageBreak/>
        <w:t>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7EB2B58D" w14:textId="77777777" w:rsidR="00C80046" w:rsidRDefault="00C80046">
      <w:pPr>
        <w:spacing w:after="0" w:line="360" w:lineRule="auto"/>
        <w:rPr>
          <w:color w:val="000000"/>
        </w:rPr>
      </w:pPr>
    </w:p>
    <w:p w14:paraId="28EBDD08" w14:textId="77777777" w:rsidR="00C80046" w:rsidRDefault="00512BDB">
      <w:pPr>
        <w:spacing w:after="0" w:line="360" w:lineRule="auto"/>
        <w:rPr>
          <w:color w:val="0D0D0D"/>
        </w:rPr>
      </w:pPr>
      <w:r>
        <w:rPr>
          <w:color w:val="0D0D0D"/>
        </w:rPr>
        <w:t xml:space="preserve">Por tales motivos, se considera procedente entrar al fondo del presente asunto. </w:t>
      </w:r>
    </w:p>
    <w:p w14:paraId="7B8B4AA7" w14:textId="77777777" w:rsidR="00C80046" w:rsidRDefault="00C80046">
      <w:pPr>
        <w:spacing w:after="0" w:line="360" w:lineRule="auto"/>
        <w:rPr>
          <w:b/>
          <w:color w:val="000000"/>
        </w:rPr>
      </w:pPr>
    </w:p>
    <w:p w14:paraId="29BBE533" w14:textId="77777777" w:rsidR="00C80046" w:rsidRDefault="00512BDB">
      <w:pPr>
        <w:pStyle w:val="Ttulo2"/>
        <w:spacing w:before="0" w:line="360" w:lineRule="auto"/>
        <w:rPr>
          <w:rFonts w:ascii="Palatino Linotype" w:eastAsia="Palatino Linotype" w:hAnsi="Palatino Linotype" w:cs="Palatino Linotype"/>
          <w:b/>
          <w:color w:val="000000"/>
          <w:sz w:val="22"/>
          <w:szCs w:val="22"/>
        </w:rPr>
      </w:pPr>
      <w:bookmarkStart w:id="13" w:name="_heading=h.o1q2r97k0612" w:colFirst="0" w:colLast="0"/>
      <w:bookmarkEnd w:id="13"/>
      <w:r>
        <w:rPr>
          <w:rFonts w:ascii="Palatino Linotype" w:eastAsia="Palatino Linotype" w:hAnsi="Palatino Linotype" w:cs="Palatino Linotype"/>
          <w:b/>
          <w:color w:val="000000"/>
          <w:sz w:val="22"/>
          <w:szCs w:val="22"/>
        </w:rPr>
        <w:t>TERCERO. Determinación de la Controversia</w:t>
      </w:r>
    </w:p>
    <w:p w14:paraId="2854AB2C" w14:textId="77777777" w:rsidR="00C80046" w:rsidRDefault="00C80046">
      <w:pPr>
        <w:spacing w:after="0" w:line="360" w:lineRule="auto"/>
        <w:rPr>
          <w:color w:val="FF0000"/>
          <w:highlight w:val="yellow"/>
        </w:rPr>
      </w:pPr>
    </w:p>
    <w:p w14:paraId="53378210" w14:textId="77777777" w:rsidR="00C80046" w:rsidRDefault="00512BDB">
      <w:pPr>
        <w:spacing w:after="0" w:line="360" w:lineRule="auto"/>
        <w:rPr>
          <w:color w:val="000000"/>
        </w:rPr>
      </w:pPr>
      <w:r>
        <w:rPr>
          <w:color w:val="000000"/>
        </w:rPr>
        <w:t xml:space="preserve">Una vez realizado el estudio de las constancias que integran el expediente en que se actúa, se desprende que la persona Recurrente requirió el parque vehicular del Organismo y saber que Servidores Públicos tienen el beneficio de dotación de gasolina para el ejercicio de sus funciones, al dieciséis de junio de dos mil veinticinco. </w:t>
      </w:r>
    </w:p>
    <w:p w14:paraId="138579CE" w14:textId="77777777" w:rsidR="00C80046" w:rsidRDefault="00C80046">
      <w:pPr>
        <w:spacing w:after="0" w:line="360" w:lineRule="auto"/>
        <w:rPr>
          <w:color w:val="000000"/>
        </w:rPr>
      </w:pPr>
    </w:p>
    <w:p w14:paraId="029E8D16" w14:textId="77777777" w:rsidR="00C80046" w:rsidRDefault="00512BDB">
      <w:pPr>
        <w:spacing w:after="0" w:line="360" w:lineRule="auto"/>
        <w:ind w:right="-28"/>
        <w:rPr>
          <w:color w:val="000000"/>
        </w:rPr>
      </w:pPr>
      <w:r>
        <w:rPr>
          <w:color w:val="000000"/>
        </w:rPr>
        <w:t xml:space="preserve">En respuesta, el Sujeto Obligado, por medio del Jefe de Departamento de Control Vehicular y Servicios Generales  precisó que los servidores públicos no son beneficiados para dotación de gasolina; ante dicha circunstancia, el Particular se inconformó de la información incompleta, al precisar que el Organismo cuenta con parque vehicular, lo cual  actualiza la causal de procedencia prevista en la fracción V, del artículo 179 de la Ley de Transparencia y Acceso a la Información Pública del Estado de México y Municipios. </w:t>
      </w:r>
    </w:p>
    <w:p w14:paraId="17972FC7" w14:textId="77777777" w:rsidR="00C80046" w:rsidRDefault="00C80046">
      <w:pPr>
        <w:spacing w:after="0" w:line="360" w:lineRule="auto"/>
        <w:ind w:right="-28"/>
        <w:rPr>
          <w:color w:val="000000"/>
        </w:rPr>
      </w:pPr>
    </w:p>
    <w:p w14:paraId="1E10B446" w14:textId="77777777" w:rsidR="00C80046" w:rsidRDefault="00512BDB">
      <w:pPr>
        <w:widowControl w:val="0"/>
        <w:spacing w:after="0" w:line="360" w:lineRule="auto"/>
        <w:rPr>
          <w:color w:val="000000"/>
        </w:rPr>
      </w:pPr>
      <w:r>
        <w:rPr>
          <w:color w:val="000000"/>
        </w:rPr>
        <w:t xml:space="preserve">Conforme a lo analizado, se puede advertir que el ahora Recurrente no se inconformó respecto a la dotación de gasolina a los servidores públicos, por lo que no se hará pronunciamiento alguno de la información previamente referida de conformidad con el </w:t>
      </w:r>
      <w:r>
        <w:rPr>
          <w:color w:val="000000"/>
        </w:rPr>
        <w:lastRenderedPageBreak/>
        <w:t>artículo 195 de la Ley de Transparencia y Acceso a la Información Pública del Estado de México y Municipios, con relación con el diverso 195, fracción IV, del Código de Procedimientos Administrativos del Estado de México, que establece que será improcedente el recurso contra los actos que se hayan consentido tácitamente, entendiéndose por estos cuando el agravio no se haya promovido en el plazo señalado para el efecto.</w:t>
      </w:r>
    </w:p>
    <w:p w14:paraId="01E096C8" w14:textId="77777777" w:rsidR="00C80046" w:rsidRDefault="00C80046">
      <w:pPr>
        <w:widowControl w:val="0"/>
        <w:spacing w:after="0" w:line="360" w:lineRule="auto"/>
        <w:rPr>
          <w:color w:val="000000"/>
          <w:highlight w:val="yellow"/>
        </w:rPr>
      </w:pPr>
    </w:p>
    <w:p w14:paraId="200536B9" w14:textId="77777777" w:rsidR="00C80046" w:rsidRDefault="00512BDB">
      <w:pPr>
        <w:widowControl w:val="0"/>
        <w:spacing w:after="0" w:line="360" w:lineRule="auto"/>
        <w:rPr>
          <w:color w:val="000000"/>
        </w:rPr>
      </w:pPr>
      <w:r>
        <w:rPr>
          <w:color w:val="000000"/>
        </w:rPr>
        <w:t>De la misma manera resulta aplicable el criterio sostenido por el Poder Judicial de la Federación de rubro ACTOS CONSENTIDOS TÁCITAMENTE,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0311164E" w14:textId="77777777" w:rsidR="00C80046" w:rsidRDefault="00512BDB">
      <w:pPr>
        <w:widowControl w:val="0"/>
        <w:spacing w:after="0" w:line="360" w:lineRule="auto"/>
        <w:rPr>
          <w:color w:val="000000"/>
        </w:rPr>
      </w:pPr>
      <w:r>
        <w:rPr>
          <w:color w:val="000000"/>
        </w:rPr>
        <w:t xml:space="preserve"> </w:t>
      </w:r>
    </w:p>
    <w:p w14:paraId="41915034" w14:textId="77777777" w:rsidR="00C80046" w:rsidRDefault="00512BDB">
      <w:pPr>
        <w:widowControl w:val="0"/>
        <w:spacing w:after="0" w:line="360" w:lineRule="auto"/>
        <w:rPr>
          <w:color w:val="000000"/>
        </w:rPr>
      </w:pPr>
      <w:r>
        <w:rPr>
          <w:color w:val="000000"/>
        </w:rPr>
        <w:t>De acuerdo con el criterio en comento, en el caso de que la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w:t>
      </w:r>
    </w:p>
    <w:p w14:paraId="7EBEB8A0" w14:textId="77777777" w:rsidR="00C80046" w:rsidRDefault="00512BDB">
      <w:pPr>
        <w:widowControl w:val="0"/>
        <w:spacing w:after="0" w:line="360" w:lineRule="auto"/>
        <w:rPr>
          <w:color w:val="000000"/>
        </w:rPr>
      </w:pPr>
      <w:r>
        <w:rPr>
          <w:color w:val="000000"/>
        </w:rPr>
        <w:t xml:space="preserve"> </w:t>
      </w:r>
    </w:p>
    <w:p w14:paraId="75BDCBE1" w14:textId="77777777" w:rsidR="00C80046" w:rsidRDefault="00512BDB">
      <w:pPr>
        <w:widowControl w:val="0"/>
        <w:spacing w:after="0" w:line="360" w:lineRule="auto"/>
        <w:rPr>
          <w:color w:val="000000"/>
        </w:rPr>
      </w:pPr>
      <w:r>
        <w:rPr>
          <w:color w:val="000000"/>
        </w:rPr>
        <w:t xml:space="preserve">Asimismo, resulta relevante traer a colación el Criterio de Interpretación, con clave de control SO/001/2020, de la Segunda Época, emitido por el Instituto Nacional de Transparencia, Acceso a la Información y Protección de Datos Personales, el cual establece que es improcedente entrar al análisis de las partes de la respuesta del Sujeto Obligado que no </w:t>
      </w:r>
      <w:r>
        <w:rPr>
          <w:color w:val="000000"/>
        </w:rPr>
        <w:lastRenderedPageBreak/>
        <w:t xml:space="preserve">fueron impugnadas por el Recurrente; por lo que, en el presente caso, se tiene por consentida la entrega de la dotación de combustible a los servidores públicos y únicamente se entrará al análisis del resto de la información. Así las cosas, una vez admitido y notificado el Recurso de Revisión a las partes, estas fueron omisas en manifestarse. </w:t>
      </w:r>
    </w:p>
    <w:p w14:paraId="0D437D63" w14:textId="77777777" w:rsidR="00C80046" w:rsidRDefault="00C80046">
      <w:pPr>
        <w:spacing w:after="0" w:line="360" w:lineRule="auto"/>
        <w:ind w:right="-28"/>
        <w:rPr>
          <w:color w:val="000000"/>
        </w:rPr>
      </w:pPr>
    </w:p>
    <w:p w14:paraId="712E022C" w14:textId="77777777" w:rsidR="00C80046" w:rsidRDefault="00512BDB">
      <w:pPr>
        <w:tabs>
          <w:tab w:val="left" w:pos="4962"/>
        </w:tabs>
        <w:spacing w:after="0" w:line="360" w:lineRule="auto"/>
        <w:rPr>
          <w:color w:val="000000"/>
        </w:rPr>
      </w:pPr>
      <w:r>
        <w:rPr>
          <w:color w:val="000000"/>
        </w:rPr>
        <w:t xml:space="preserve">Lo anterior, se desprende de las documentales que obran en el expediente de referencia, materia de la presente resolución, consistente en: la solicitud de acceso a la información, la respuesta y el escrito </w:t>
      </w:r>
      <w:proofErr w:type="spellStart"/>
      <w:r>
        <w:rPr>
          <w:color w:val="000000"/>
        </w:rPr>
        <w:t>recursal</w:t>
      </w:r>
      <w:proofErr w:type="spellEnd"/>
      <w:r>
        <w:rPr>
          <w:color w:val="000000"/>
        </w:rPr>
        <w:t>; instrumentales que se toman en cuenta a efecto de resolver el presente medio de impugnación, conforme a lo dispuesto por el artículo 185, fracción IV, de la Ley de Transparencia y Acceso a la Información Pública del Estado de México y Municipios.</w:t>
      </w:r>
    </w:p>
    <w:p w14:paraId="0D164F91" w14:textId="77777777" w:rsidR="00C80046" w:rsidRDefault="00C80046">
      <w:pPr>
        <w:spacing w:after="0" w:line="360" w:lineRule="auto"/>
        <w:rPr>
          <w:b/>
          <w:color w:val="000000"/>
        </w:rPr>
      </w:pPr>
    </w:p>
    <w:p w14:paraId="2BF731A3" w14:textId="77777777" w:rsidR="00C80046" w:rsidRDefault="00512BDB">
      <w:pPr>
        <w:pStyle w:val="Ttulo2"/>
        <w:spacing w:before="0" w:line="360" w:lineRule="auto"/>
        <w:rPr>
          <w:rFonts w:ascii="Palatino Linotype" w:eastAsia="Palatino Linotype" w:hAnsi="Palatino Linotype" w:cs="Palatino Linotype"/>
          <w:b/>
          <w:color w:val="000000"/>
          <w:sz w:val="22"/>
          <w:szCs w:val="22"/>
        </w:rPr>
      </w:pPr>
      <w:bookmarkStart w:id="14" w:name="_heading=h.sp5kjqyowlva" w:colFirst="0" w:colLast="0"/>
      <w:bookmarkEnd w:id="14"/>
      <w:r>
        <w:rPr>
          <w:rFonts w:ascii="Palatino Linotype" w:eastAsia="Palatino Linotype" w:hAnsi="Palatino Linotype" w:cs="Palatino Linotype"/>
          <w:b/>
          <w:color w:val="000000"/>
          <w:sz w:val="22"/>
          <w:szCs w:val="22"/>
        </w:rPr>
        <w:t>CUARTO. Marco normativo aplicable en materia de transparencia y acceso a la información pública</w:t>
      </w:r>
    </w:p>
    <w:p w14:paraId="45380A63" w14:textId="77777777" w:rsidR="00C80046" w:rsidRDefault="00C80046">
      <w:pPr>
        <w:spacing w:after="0" w:line="360" w:lineRule="auto"/>
        <w:rPr>
          <w:color w:val="FF0000"/>
        </w:rPr>
      </w:pPr>
    </w:p>
    <w:p w14:paraId="11F35F72" w14:textId="77777777" w:rsidR="00C80046" w:rsidRDefault="00512BDB">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0A145F9" w14:textId="77777777" w:rsidR="00C80046" w:rsidRDefault="00C80046">
      <w:pPr>
        <w:spacing w:after="0" w:line="360" w:lineRule="auto"/>
        <w:rPr>
          <w:color w:val="000000"/>
        </w:rPr>
      </w:pPr>
    </w:p>
    <w:p w14:paraId="060625B8" w14:textId="77777777" w:rsidR="00C80046" w:rsidRDefault="00512BDB">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4E1C987" w14:textId="77777777" w:rsidR="00C80046" w:rsidRDefault="00C80046">
      <w:pPr>
        <w:spacing w:after="0" w:line="360" w:lineRule="auto"/>
        <w:rPr>
          <w:color w:val="000000"/>
        </w:rPr>
      </w:pPr>
    </w:p>
    <w:p w14:paraId="54FD1709" w14:textId="77777777" w:rsidR="00C80046" w:rsidRDefault="00512BDB">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0C6989B1" w14:textId="77777777" w:rsidR="00C80046" w:rsidRDefault="00C80046">
      <w:pPr>
        <w:spacing w:after="0" w:line="360" w:lineRule="auto"/>
        <w:rPr>
          <w:color w:val="000000"/>
        </w:rPr>
      </w:pPr>
    </w:p>
    <w:p w14:paraId="47D40179" w14:textId="77777777" w:rsidR="00C80046" w:rsidRDefault="00512BDB">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2B496550" w14:textId="77777777" w:rsidR="00C80046" w:rsidRDefault="00C80046">
      <w:pPr>
        <w:spacing w:after="0" w:line="360" w:lineRule="auto"/>
        <w:rPr>
          <w:color w:val="000000"/>
        </w:rPr>
      </w:pPr>
    </w:p>
    <w:p w14:paraId="39C0662F" w14:textId="77777777" w:rsidR="00C80046" w:rsidRDefault="00512BDB">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251CF4CA" w14:textId="77777777" w:rsidR="00C80046" w:rsidRDefault="00C80046">
      <w:pPr>
        <w:spacing w:after="0" w:line="360" w:lineRule="auto"/>
        <w:rPr>
          <w:color w:val="000000"/>
        </w:rPr>
      </w:pPr>
    </w:p>
    <w:p w14:paraId="62E7A972" w14:textId="77777777" w:rsidR="00C80046" w:rsidRDefault="00512BDB">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C5C5FDD" w14:textId="77777777" w:rsidR="00C80046" w:rsidRDefault="00C80046">
      <w:pPr>
        <w:spacing w:after="0" w:line="360" w:lineRule="auto"/>
        <w:rPr>
          <w:color w:val="FF0000"/>
        </w:rPr>
      </w:pPr>
    </w:p>
    <w:p w14:paraId="2ED69F3E" w14:textId="77777777" w:rsidR="00C80046" w:rsidRDefault="00512BDB">
      <w:pPr>
        <w:pStyle w:val="Ttulo2"/>
        <w:spacing w:before="0" w:line="360" w:lineRule="auto"/>
        <w:rPr>
          <w:rFonts w:ascii="Palatino Linotype" w:eastAsia="Palatino Linotype" w:hAnsi="Palatino Linotype" w:cs="Palatino Linotype"/>
          <w:b/>
          <w:color w:val="000000"/>
          <w:sz w:val="22"/>
          <w:szCs w:val="22"/>
        </w:rPr>
      </w:pPr>
      <w:bookmarkStart w:id="15" w:name="_heading=h.6zmamekhw8x5" w:colFirst="0" w:colLast="0"/>
      <w:bookmarkEnd w:id="15"/>
      <w:r>
        <w:rPr>
          <w:rFonts w:ascii="Palatino Linotype" w:eastAsia="Palatino Linotype" w:hAnsi="Palatino Linotype" w:cs="Palatino Linotype"/>
          <w:b/>
          <w:color w:val="000000"/>
          <w:sz w:val="22"/>
          <w:szCs w:val="22"/>
        </w:rPr>
        <w:t>QUINTO. Estudio de Fondo</w:t>
      </w:r>
    </w:p>
    <w:p w14:paraId="7AA7CE09" w14:textId="77777777" w:rsidR="00C80046" w:rsidRDefault="00C80046">
      <w:pPr>
        <w:spacing w:after="0" w:line="360" w:lineRule="auto"/>
        <w:rPr>
          <w:b/>
          <w:color w:val="000000"/>
        </w:rPr>
      </w:pPr>
    </w:p>
    <w:p w14:paraId="1298182C" w14:textId="77777777" w:rsidR="00C80046" w:rsidRDefault="00512BDB">
      <w:pPr>
        <w:spacing w:after="0" w:line="360" w:lineRule="auto"/>
        <w:rPr>
          <w:color w:val="000000"/>
        </w:rPr>
      </w:pPr>
      <w:r>
        <w:rPr>
          <w:color w:val="000000"/>
        </w:rPr>
        <w:t xml:space="preserve">Expuestas las posturas de las partes, se procede al análisis del agravio hecho valer por el Recurrente, concerniente a la entrega de información incompleta, para lo cual en principio resulta necesario contextualizar la solicitud de información. </w:t>
      </w:r>
    </w:p>
    <w:p w14:paraId="6FE40ED9" w14:textId="77777777" w:rsidR="00C80046" w:rsidRDefault="00C80046">
      <w:pPr>
        <w:spacing w:after="0" w:line="360" w:lineRule="auto"/>
        <w:rPr>
          <w:color w:val="000000"/>
        </w:rPr>
      </w:pPr>
    </w:p>
    <w:p w14:paraId="1B1A83E2" w14:textId="77777777" w:rsidR="00C80046" w:rsidRDefault="00512BDB">
      <w:pPr>
        <w:spacing w:after="0" w:line="360" w:lineRule="auto"/>
        <w:rPr>
          <w:color w:val="000000"/>
        </w:rPr>
      </w:pPr>
      <w:r>
        <w:rPr>
          <w:color w:val="000000"/>
        </w:rPr>
        <w:t xml:space="preserve">En principio, los artículos 1º, 2º , fracción VII y 4º , fracción IV de la Ley de Fiscalización Superior del Estado de México, que tiene por objeto establecer disposiciones encaminadas a </w:t>
      </w:r>
      <w:r>
        <w:rPr>
          <w:color w:val="000000"/>
        </w:rPr>
        <w:lastRenderedPageBreak/>
        <w:t xml:space="preserve">fiscalizar, auditar y revisar las cuentas y actos relativos a la aplicación de los recursos públicos del Estado de México y de los Municipios, y para tal efecto señala a los Organismos Públicos Descentralizados de la Administración Pública Estatal y Municipal como organismos auxiliares como sujetos  de fiscalización.  </w:t>
      </w:r>
    </w:p>
    <w:p w14:paraId="6342420D" w14:textId="77777777" w:rsidR="00C80046" w:rsidRDefault="00C80046">
      <w:pPr>
        <w:spacing w:after="0" w:line="360" w:lineRule="auto"/>
        <w:rPr>
          <w:color w:val="000000"/>
        </w:rPr>
      </w:pPr>
    </w:p>
    <w:p w14:paraId="7FECDB77" w14:textId="77777777" w:rsidR="00C80046" w:rsidRDefault="00512BDB">
      <w:pPr>
        <w:spacing w:after="0" w:line="360" w:lineRule="auto"/>
        <w:rPr>
          <w:color w:val="000000"/>
        </w:rPr>
      </w:pPr>
      <w:r>
        <w:rPr>
          <w:color w:val="000000"/>
        </w:rPr>
        <w:t xml:space="preserve">Conforme a lo anterior, los Lineamientos para la Integración y Presentación de los Informes Trimestrales Estatales y Municipales del Ejercicio Fiscal dos mil veinticinco, describe en el Instructivo de Llenado del Módulo 4, se refiere que la información, sobre el inventario de bienes muebles de los Organismos Descentralizados Municipales, se integrará de forma semestral, tal como se muestra a continuación: </w:t>
      </w:r>
    </w:p>
    <w:p w14:paraId="3CAC4FE7" w14:textId="77777777" w:rsidR="00C80046" w:rsidRDefault="00C80046">
      <w:pPr>
        <w:spacing w:after="0" w:line="360" w:lineRule="auto"/>
        <w:rPr>
          <w:color w:val="000000"/>
        </w:rPr>
      </w:pPr>
    </w:p>
    <w:p w14:paraId="39822B82" w14:textId="77777777" w:rsidR="00C80046" w:rsidRDefault="00512BDB">
      <w:pPr>
        <w:spacing w:after="0" w:line="360" w:lineRule="auto"/>
        <w:rPr>
          <w:color w:val="000000"/>
        </w:rPr>
      </w:pPr>
      <w:r>
        <w:rPr>
          <w:noProof/>
          <w:color w:val="000000"/>
        </w:rPr>
        <w:drawing>
          <wp:inline distT="0" distB="0" distL="0" distR="0" wp14:anchorId="559CB5F9" wp14:editId="77FE019F">
            <wp:extent cx="5671185" cy="1268730"/>
            <wp:effectExtent l="0" t="0" r="0" b="0"/>
            <wp:docPr id="1722985380" name="image3.png" descr="Interfaz de usuario gráf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10;&#10;El contenido generado por IA puede ser incorrecto."/>
                    <pic:cNvPicPr preferRelativeResize="0"/>
                  </pic:nvPicPr>
                  <pic:blipFill>
                    <a:blip r:embed="rId8"/>
                    <a:srcRect/>
                    <a:stretch>
                      <a:fillRect/>
                    </a:stretch>
                  </pic:blipFill>
                  <pic:spPr>
                    <a:xfrm>
                      <a:off x="0" y="0"/>
                      <a:ext cx="5671185" cy="1268730"/>
                    </a:xfrm>
                    <a:prstGeom prst="rect">
                      <a:avLst/>
                    </a:prstGeom>
                    <a:ln/>
                  </pic:spPr>
                </pic:pic>
              </a:graphicData>
            </a:graphic>
          </wp:inline>
        </w:drawing>
      </w:r>
    </w:p>
    <w:p w14:paraId="51CBE4DB" w14:textId="77777777" w:rsidR="00C80046" w:rsidRDefault="00C80046">
      <w:pPr>
        <w:spacing w:after="0" w:line="360" w:lineRule="auto"/>
        <w:rPr>
          <w:color w:val="000000"/>
        </w:rPr>
      </w:pPr>
    </w:p>
    <w:p w14:paraId="16177C1B" w14:textId="77777777" w:rsidR="00C80046" w:rsidRDefault="00512BDB">
      <w:pPr>
        <w:spacing w:after="0" w:line="360" w:lineRule="auto"/>
        <w:rPr>
          <w:color w:val="000000"/>
        </w:rPr>
      </w:pPr>
      <w:r>
        <w:rPr>
          <w:color w:val="000000"/>
        </w:rPr>
        <w:t xml:space="preserve">Además, conforme al artículo 92, fracción XXXVII de la Ley de Transparencia y Acceso a la Información Pública del Estado de México y Municipios, precisa que es una obligación de Transparencia para los Sujetos Obligados, la Publicación del inventario de bienes muebles e inmuebles, por lo que cabe ceñir que no solo se trata de información pública de oficio, sino que también corresponde a información que reportan al Órgano Superior de Fiscalización. </w:t>
      </w:r>
    </w:p>
    <w:p w14:paraId="1E00C36B" w14:textId="77777777" w:rsidR="00C80046" w:rsidRDefault="00C80046">
      <w:pPr>
        <w:spacing w:after="0" w:line="360" w:lineRule="auto"/>
        <w:rPr>
          <w:color w:val="000000"/>
        </w:rPr>
      </w:pPr>
    </w:p>
    <w:p w14:paraId="1E55AEC6" w14:textId="77777777" w:rsidR="00C80046" w:rsidRDefault="00512BDB">
      <w:pPr>
        <w:spacing w:after="0" w:line="360" w:lineRule="auto"/>
        <w:rPr>
          <w:color w:val="000000"/>
        </w:rPr>
      </w:pPr>
      <w:r>
        <w:rPr>
          <w:color w:val="000000"/>
        </w:rPr>
        <w:lastRenderedPageBreak/>
        <w:t xml:space="preserve">Sobre lo anterior, los artículos 44 y 59 del Reglamento Interno del Organismo Público Descentralizado para la Prestación de Servicios de Agua Potable Alcantarillado y Saneamiento de Coacalco de Berriozábal, precisa que para el ejercicio de sus funciones contará con un </w:t>
      </w:r>
      <w:r>
        <w:rPr>
          <w:b/>
          <w:color w:val="000000"/>
        </w:rPr>
        <w:t>Departamento de Patrimonio</w:t>
      </w:r>
      <w:r>
        <w:rPr>
          <w:color w:val="000000"/>
        </w:rPr>
        <w:t xml:space="preserve">, encargado de actualizar y transparentar el manejo , uso y destino de los bienes muebles e inmuebles que forman parte del patrimonio del organismo y el </w:t>
      </w:r>
      <w:r>
        <w:rPr>
          <w:b/>
          <w:color w:val="000000"/>
        </w:rPr>
        <w:t>Departamento  de Servicios Generales y Control Vehicular</w:t>
      </w:r>
      <w:r>
        <w:rPr>
          <w:color w:val="000000"/>
        </w:rPr>
        <w:t xml:space="preserve"> , responsable de mantener el óptimas condiciones y mantener el parque vehicular y maquinaria pesada propiedad del organismo, y llevar a cabo los servicios de mantenimiento de los bienes muebles e inmuebles del Organismo. </w:t>
      </w:r>
    </w:p>
    <w:p w14:paraId="581E9FAB" w14:textId="77777777" w:rsidR="00C80046" w:rsidRDefault="00C80046">
      <w:pPr>
        <w:spacing w:after="0" w:line="360" w:lineRule="auto"/>
        <w:rPr>
          <w:color w:val="000000"/>
        </w:rPr>
      </w:pPr>
    </w:p>
    <w:p w14:paraId="29E056BD" w14:textId="77777777" w:rsidR="00C80046" w:rsidRDefault="00512BDB">
      <w:pPr>
        <w:spacing w:after="0" w:line="360" w:lineRule="auto"/>
        <w:rPr>
          <w:color w:val="000000"/>
        </w:rPr>
      </w:pPr>
      <w:r>
        <w:rPr>
          <w:color w:val="000000"/>
        </w:rPr>
        <w:t xml:space="preserve">Asimismo, este Instituto localizó en la fracción XXXVIII A “Inventario de bienes muebles” del sistema de Información Pública de Oficio Mexiquense (IPOMEX 4.0) (consultado en la liga electrónica </w:t>
      </w:r>
      <w:hyperlink r:id="rId9" w:anchor="/info-fraccion/52/278/1">
        <w:r>
          <w:rPr>
            <w:color w:val="0563C1"/>
            <w:u w:val="single"/>
          </w:rPr>
          <w:t>https://ipomex.org.mx/ipomex/#/info-fraccion/52/278/1</w:t>
        </w:r>
      </w:hyperlink>
      <w:r>
        <w:rPr>
          <w:color w:val="000000"/>
        </w:rPr>
        <w:t>), del cual se logró vislumbrara que el Organismo Público Descentralizado para la Prestación de Servicios de Agua Potable Alcantarillado y Saneamiento de Coacalco de Berriozábal, cuanta con parque vehicular tal como se muestra en la siguiente imagen ilustrativa:</w:t>
      </w:r>
    </w:p>
    <w:p w14:paraId="1E6C4E8E" w14:textId="77777777" w:rsidR="00C80046" w:rsidRDefault="00C80046">
      <w:pPr>
        <w:spacing w:after="0" w:line="360" w:lineRule="auto"/>
        <w:rPr>
          <w:color w:val="000000"/>
        </w:rPr>
      </w:pPr>
    </w:p>
    <w:p w14:paraId="3C0E5269" w14:textId="77777777" w:rsidR="00C80046" w:rsidRDefault="00512BDB">
      <w:pPr>
        <w:spacing w:after="0" w:line="360" w:lineRule="auto"/>
        <w:jc w:val="center"/>
        <w:rPr>
          <w:color w:val="000000"/>
        </w:rPr>
      </w:pPr>
      <w:r>
        <w:rPr>
          <w:noProof/>
          <w:color w:val="000000"/>
        </w:rPr>
        <w:drawing>
          <wp:inline distT="0" distB="0" distL="0" distR="0" wp14:anchorId="66912DBD" wp14:editId="6A94AAF6">
            <wp:extent cx="3798158" cy="1785317"/>
            <wp:effectExtent l="0" t="0" r="0" b="0"/>
            <wp:docPr id="1722985381" name="image1.png" descr="Interfaz de usuario gráfica, Texto, Aplicación, Correo electrón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Texto, Aplicación, Correo electrónico&#10;&#10;El contenido generado por IA puede ser incorrecto."/>
                    <pic:cNvPicPr preferRelativeResize="0"/>
                  </pic:nvPicPr>
                  <pic:blipFill>
                    <a:blip r:embed="rId10"/>
                    <a:srcRect/>
                    <a:stretch>
                      <a:fillRect/>
                    </a:stretch>
                  </pic:blipFill>
                  <pic:spPr>
                    <a:xfrm>
                      <a:off x="0" y="0"/>
                      <a:ext cx="3798158" cy="1785317"/>
                    </a:xfrm>
                    <a:prstGeom prst="rect">
                      <a:avLst/>
                    </a:prstGeom>
                    <a:ln/>
                  </pic:spPr>
                </pic:pic>
              </a:graphicData>
            </a:graphic>
          </wp:inline>
        </w:drawing>
      </w:r>
    </w:p>
    <w:p w14:paraId="0C7C6229" w14:textId="77777777" w:rsidR="00C80046" w:rsidRDefault="00C80046">
      <w:pPr>
        <w:spacing w:after="0" w:line="360" w:lineRule="auto"/>
      </w:pPr>
    </w:p>
    <w:p w14:paraId="1ACE7479" w14:textId="77777777" w:rsidR="00C80046" w:rsidRDefault="00512BDB">
      <w:pPr>
        <w:spacing w:after="0" w:line="360" w:lineRule="auto"/>
        <w:rPr>
          <w:color w:val="000000"/>
        </w:rPr>
      </w:pPr>
      <w:r>
        <w:rPr>
          <w:color w:val="000000"/>
        </w:rPr>
        <w:t xml:space="preserve">Conforme a lo anterior, se logra vislumbrar que la pretensión del ahora Recurrente, es obtener la relación de los vehículos que forman parte del parque vehicular del Organismo Público Descentralizado para la Prestación de Servicios de Agua Potable Alcantarillado y Saneamiento de Coacalco de Berriozábal, al dieciséis de junio de dos mil veinticinco. </w:t>
      </w:r>
    </w:p>
    <w:p w14:paraId="7D56F48F" w14:textId="77777777" w:rsidR="00C80046" w:rsidRDefault="00C80046">
      <w:pPr>
        <w:spacing w:after="0" w:line="360" w:lineRule="auto"/>
        <w:rPr>
          <w:color w:val="000000"/>
        </w:rPr>
      </w:pPr>
    </w:p>
    <w:p w14:paraId="0BF11168" w14:textId="77777777" w:rsidR="00C80046" w:rsidRDefault="00512BDB">
      <w:pPr>
        <w:spacing w:after="0" w:line="360" w:lineRule="auto"/>
        <w:rPr>
          <w:color w:val="000000"/>
        </w:rPr>
      </w:pPr>
      <w:r>
        <w:rPr>
          <w:color w:val="000000"/>
        </w:rPr>
        <w:t xml:space="preserve">Establecida dicha circunstancia, se procede analizar la respuesta entregada, para lo cual, es de señalar que de las constancias que obran en el expediente, se logra vislumbrar que el Sujeto Obligado turno la solicitud de información al </w:t>
      </w:r>
      <w:r>
        <w:rPr>
          <w:b/>
          <w:color w:val="000000"/>
        </w:rPr>
        <w:t>Departamento de Control vehicular y Servicios Generales</w:t>
      </w:r>
      <w:r>
        <w:rPr>
          <w:color w:val="000000"/>
        </w:rPr>
        <w:t>;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3A357535" w14:textId="77777777" w:rsidR="00C80046" w:rsidRDefault="00C80046">
      <w:pPr>
        <w:spacing w:after="0" w:line="360" w:lineRule="auto"/>
        <w:rPr>
          <w:color w:val="000000"/>
        </w:rPr>
      </w:pPr>
    </w:p>
    <w:p w14:paraId="2FDE5576" w14:textId="77777777" w:rsidR="00C80046" w:rsidRDefault="00512BDB">
      <w:pPr>
        <w:spacing w:after="0" w:line="360" w:lineRule="auto"/>
        <w:rPr>
          <w:color w:val="000000"/>
        </w:rPr>
      </w:pPr>
      <w:r>
        <w:rPr>
          <w:color w:val="000000"/>
        </w:rPr>
        <w:t xml:space="preserve">Conforme a lo expuesto en párrafos anteriores, se advierte que el Sujeto Obligado, no cumplió con el procedimiento de búsqueda previsto en el artículo 162 de la Ley de Transparencia y Acceso a la Información Pública del Estado de México y Municipios, toda vez que no turnó la solicitud de información al Departamento de Patrimonio, encargada de actualizar el registro de bienes muebles e inmuebles propiedad del Organismo.  </w:t>
      </w:r>
    </w:p>
    <w:p w14:paraId="7F815639" w14:textId="77777777" w:rsidR="00C80046" w:rsidRDefault="00C80046">
      <w:pPr>
        <w:spacing w:after="0" w:line="360" w:lineRule="auto"/>
        <w:rPr>
          <w:color w:val="000000"/>
        </w:rPr>
      </w:pPr>
    </w:p>
    <w:p w14:paraId="1FD5B80E" w14:textId="77777777" w:rsidR="00C80046" w:rsidRDefault="00512BDB">
      <w:pPr>
        <w:spacing w:after="0" w:line="360" w:lineRule="auto"/>
        <w:rPr>
          <w:color w:val="000000"/>
        </w:rPr>
      </w:pPr>
      <w:r>
        <w:rPr>
          <w:color w:val="000000"/>
        </w:rPr>
        <w:lastRenderedPageBreak/>
        <w:t>Ahora bien, cabe precisar que el Sujeto Obligado omitió pronunciarse sobre la relación de vehículos previamente referido, es decir no entregó la información completa; sobre el tema, el artículo 1.8, fracción XIII, del Código Administrativo del Estado de México, establece que para que tenga validez, todo acto administrativo deberá resolver todos los puntos propuestos por los interesados.</w:t>
      </w:r>
    </w:p>
    <w:p w14:paraId="6502A190" w14:textId="77777777" w:rsidR="00C80046" w:rsidRDefault="00C80046">
      <w:pPr>
        <w:spacing w:after="0" w:line="360" w:lineRule="auto"/>
        <w:rPr>
          <w:color w:val="000000"/>
        </w:rPr>
      </w:pPr>
    </w:p>
    <w:p w14:paraId="30FCFF29" w14:textId="77777777" w:rsidR="00C80046" w:rsidRDefault="00512BDB">
      <w:pPr>
        <w:spacing w:after="0" w:line="360" w:lineRule="auto"/>
        <w:rPr>
          <w:color w:val="000000"/>
        </w:rPr>
      </w:pPr>
      <w:r>
        <w:rPr>
          <w:color w:val="000000"/>
        </w:rPr>
        <w:t xml:space="preserve">Situación que se robustece, con el </w:t>
      </w:r>
      <w:proofErr w:type="spellStart"/>
      <w:r>
        <w:rPr>
          <w:color w:val="000000"/>
        </w:rPr>
        <w:t>el</w:t>
      </w:r>
      <w:proofErr w:type="spellEnd"/>
      <w:r>
        <w:rPr>
          <w:color w:val="000000"/>
        </w:rPr>
        <w:t xml:space="preserve"> Criterio de Interpretación, con clave de control SO/002/2017, de la Segunda Época, emitido por el Instituto Nacional de Transparencia, Acceso a la Información y Protección de Datos Personales, que establece que todo acto administrativo debe apegarse al </w:t>
      </w:r>
      <w:r>
        <w:rPr>
          <w:b/>
          <w:color w:val="000000"/>
        </w:rPr>
        <w:t>principio de exhaustividad</w:t>
      </w:r>
      <w:r>
        <w:rPr>
          <w:color w:val="000000"/>
        </w:rPr>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74D5864F" w14:textId="77777777" w:rsidR="00C80046" w:rsidRDefault="00C80046">
      <w:pPr>
        <w:spacing w:after="0" w:line="360" w:lineRule="auto"/>
        <w:rPr>
          <w:color w:val="000000"/>
        </w:rPr>
      </w:pPr>
    </w:p>
    <w:p w14:paraId="3E8E6A4D" w14:textId="77777777" w:rsidR="00C80046" w:rsidRDefault="00512BDB">
      <w:pPr>
        <w:spacing w:after="0" w:line="360" w:lineRule="auto"/>
        <w:rPr>
          <w:b/>
          <w:color w:val="000000"/>
        </w:rPr>
      </w:pPr>
      <w:r>
        <w:rPr>
          <w:color w:val="000000"/>
        </w:rPr>
        <w:t xml:space="preserve">En esa tesitura, se concluye que el Sujeto Obligado, no satisfizo el derecho de acceso a la información del Solicitante, al no dar atención al requerimiento de información de manera completa, pues omitió entregar la relación de vehículos que formaban parte del parque vehicular, al dieciséis de junio de dos mil veinticinco, lo cual da como resultado que el agravio resulta </w:t>
      </w:r>
      <w:r>
        <w:rPr>
          <w:b/>
          <w:color w:val="000000"/>
        </w:rPr>
        <w:t>FUNDADO.</w:t>
      </w:r>
    </w:p>
    <w:p w14:paraId="7890F17F" w14:textId="77777777" w:rsidR="00C80046" w:rsidRDefault="00C80046">
      <w:pPr>
        <w:spacing w:after="0" w:line="360" w:lineRule="auto"/>
        <w:rPr>
          <w:b/>
          <w:color w:val="000000"/>
        </w:rPr>
      </w:pPr>
    </w:p>
    <w:p w14:paraId="6B8D9A0F" w14:textId="77777777" w:rsidR="00C80046" w:rsidRDefault="00512BDB">
      <w:pPr>
        <w:spacing w:after="0" w:line="360" w:lineRule="auto"/>
        <w:rPr>
          <w:color w:val="000000"/>
        </w:rPr>
      </w:pPr>
      <w:r>
        <w:rPr>
          <w:color w:val="000000"/>
        </w:rPr>
        <w:lastRenderedPageBreak/>
        <w:t xml:space="preserve">Así, este Instituto considera que, para atender el requerimiento de información, el Sujeto Obligado deberá realizar una búsqueda exhaustiva y razonable en los archivos de la Dirección General, a efecto de que proporcione el documento previamente referido. </w:t>
      </w:r>
    </w:p>
    <w:p w14:paraId="325C1448" w14:textId="77777777" w:rsidR="00C80046" w:rsidRDefault="00C80046">
      <w:pPr>
        <w:spacing w:after="0" w:line="360" w:lineRule="auto"/>
        <w:rPr>
          <w:color w:val="000000"/>
        </w:rPr>
      </w:pPr>
    </w:p>
    <w:p w14:paraId="1182D81D" w14:textId="77777777" w:rsidR="00C80046" w:rsidRDefault="00512BDB">
      <w:pPr>
        <w:spacing w:after="0" w:line="360" w:lineRule="auto"/>
        <w:rPr>
          <w:color w:val="000000"/>
        </w:rPr>
      </w:pPr>
      <w:r>
        <w:rPr>
          <w:color w:val="000000"/>
        </w:rPr>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63A98EB9" w14:textId="77777777" w:rsidR="00C80046" w:rsidRDefault="00C80046">
      <w:pPr>
        <w:spacing w:after="0" w:line="360" w:lineRule="auto"/>
        <w:rPr>
          <w:color w:val="000000"/>
        </w:rPr>
      </w:pPr>
    </w:p>
    <w:p w14:paraId="7AD54644" w14:textId="77777777" w:rsidR="00C80046" w:rsidRDefault="00512BDB">
      <w:pPr>
        <w:spacing w:after="0" w:line="360" w:lineRule="auto"/>
        <w:rPr>
          <w:color w:val="000000"/>
        </w:rPr>
      </w:pPr>
      <w:r>
        <w:rPr>
          <w:color w:val="000000"/>
        </w:rPr>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w:t>
      </w:r>
    </w:p>
    <w:p w14:paraId="62F59098" w14:textId="77777777" w:rsidR="00C80046" w:rsidRDefault="00C80046">
      <w:pPr>
        <w:spacing w:after="0" w:line="360" w:lineRule="auto"/>
        <w:rPr>
          <w:color w:val="000000"/>
        </w:rPr>
      </w:pPr>
    </w:p>
    <w:p w14:paraId="01B8F4A9" w14:textId="77777777" w:rsidR="00C80046" w:rsidRDefault="00512BDB">
      <w:pPr>
        <w:spacing w:after="0" w:line="360" w:lineRule="auto"/>
        <w:rPr>
          <w:color w:val="000000"/>
        </w:rPr>
      </w:pPr>
      <w:r>
        <w:rPr>
          <w:color w:val="000000"/>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el documento que dé cuenta de lo requerido.</w:t>
      </w:r>
    </w:p>
    <w:p w14:paraId="2F8E97EA" w14:textId="77777777" w:rsidR="00C80046" w:rsidRDefault="00C80046">
      <w:pPr>
        <w:spacing w:after="0" w:line="360" w:lineRule="auto"/>
      </w:pPr>
    </w:p>
    <w:p w14:paraId="0C66BF69" w14:textId="77777777" w:rsidR="00C80046" w:rsidRDefault="00512BDB">
      <w:pPr>
        <w:spacing w:after="0" w:line="360" w:lineRule="auto"/>
        <w:rPr>
          <w:color w:val="000000"/>
        </w:rPr>
      </w:pPr>
      <w:r>
        <w:rPr>
          <w:color w:val="000000"/>
        </w:rPr>
        <w:lastRenderedPageBreak/>
        <w:t xml:space="preserve">Ahora bien, no pasa desapercibido para este Instituto que los documentos, pudieran contener datos o información clasificada;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5CC9C9A1" w14:textId="77777777" w:rsidR="00C80046" w:rsidRDefault="00C80046">
      <w:pPr>
        <w:spacing w:after="0" w:line="360" w:lineRule="auto"/>
        <w:rPr>
          <w:color w:val="000000"/>
        </w:rPr>
      </w:pPr>
    </w:p>
    <w:p w14:paraId="4448FEF4" w14:textId="77777777" w:rsidR="00C80046" w:rsidRDefault="00512BDB">
      <w:pPr>
        <w:spacing w:after="0" w:line="360" w:lineRule="auto"/>
        <w:rPr>
          <w:color w:val="000000"/>
        </w:rPr>
      </w:pPr>
      <w:r>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3F69ABD6" w14:textId="77777777" w:rsidR="00C80046" w:rsidRDefault="00C80046">
      <w:pPr>
        <w:spacing w:after="0" w:line="360" w:lineRule="auto"/>
        <w:rPr>
          <w:color w:val="000000"/>
        </w:rPr>
      </w:pPr>
    </w:p>
    <w:p w14:paraId="53F1F85F" w14:textId="6036282A" w:rsidR="00C80046" w:rsidRDefault="001D4B47">
      <w:pPr>
        <w:pStyle w:val="Ttulo2"/>
        <w:spacing w:before="0" w:line="360" w:lineRule="auto"/>
        <w:rPr>
          <w:rFonts w:ascii="Palatino Linotype" w:eastAsia="Palatino Linotype" w:hAnsi="Palatino Linotype" w:cs="Palatino Linotype"/>
          <w:b/>
          <w:color w:val="000000"/>
          <w:sz w:val="22"/>
          <w:szCs w:val="22"/>
        </w:rPr>
      </w:pPr>
      <w:bookmarkStart w:id="16" w:name="_heading=h.77rndx6958z9" w:colFirst="0" w:colLast="0"/>
      <w:bookmarkEnd w:id="16"/>
      <w:r>
        <w:rPr>
          <w:rFonts w:ascii="Palatino Linotype" w:eastAsia="Palatino Linotype" w:hAnsi="Palatino Linotype" w:cs="Palatino Linotype"/>
          <w:b/>
          <w:color w:val="000000"/>
          <w:sz w:val="22"/>
          <w:szCs w:val="22"/>
        </w:rPr>
        <w:t>SEXTO. Decisión</w:t>
      </w:r>
    </w:p>
    <w:p w14:paraId="04D2473B" w14:textId="77777777" w:rsidR="00C80046" w:rsidRDefault="00C80046">
      <w:pPr>
        <w:spacing w:after="0" w:line="360" w:lineRule="auto"/>
        <w:rPr>
          <w:b/>
          <w:color w:val="000000"/>
        </w:rPr>
      </w:pPr>
    </w:p>
    <w:p w14:paraId="1203596F" w14:textId="77777777" w:rsidR="00C80046" w:rsidRDefault="00512BDB">
      <w:pPr>
        <w:spacing w:after="0" w:line="360" w:lineRule="auto"/>
      </w:pPr>
      <w:r>
        <w:t xml:space="preserve">Con fundamento en el artículo 186, fracción III, de la Ley de Transparencia y Acceso a la Información Pública del Estado de México y Municipios, este Instituto considera procedente </w:t>
      </w:r>
      <w:r>
        <w:rPr>
          <w:b/>
        </w:rPr>
        <w:t>MODIFICAR</w:t>
      </w:r>
      <w:r>
        <w:t xml:space="preserve"> la respuesta otorgada por el Sujeto Obligado a la solicitud de información 00024/OASCOACALC/IP/2025, a efecto de que entregue, en versión pública, la información solicitada.</w:t>
      </w:r>
    </w:p>
    <w:p w14:paraId="258AB73D" w14:textId="77777777" w:rsidR="00C80046" w:rsidRDefault="00C80046">
      <w:pPr>
        <w:spacing w:after="0" w:line="360" w:lineRule="auto"/>
        <w:rPr>
          <w:color w:val="000000"/>
        </w:rPr>
      </w:pPr>
    </w:p>
    <w:p w14:paraId="55A476AD" w14:textId="26540C79" w:rsidR="00C80046" w:rsidRDefault="00512BDB">
      <w:pPr>
        <w:spacing w:after="0" w:line="360" w:lineRule="auto"/>
        <w:rPr>
          <w:b/>
          <w:color w:val="000000"/>
        </w:rPr>
      </w:pPr>
      <w:r>
        <w:rPr>
          <w:b/>
          <w:color w:val="000000"/>
        </w:rPr>
        <w:t>Términos de la Resolución p</w:t>
      </w:r>
      <w:r w:rsidR="001D4B47">
        <w:rPr>
          <w:b/>
          <w:color w:val="000000"/>
        </w:rPr>
        <w:t>ara conocimiento del Particular</w:t>
      </w:r>
    </w:p>
    <w:p w14:paraId="2169AAAF" w14:textId="77777777" w:rsidR="00C80046" w:rsidRDefault="00C80046">
      <w:pPr>
        <w:spacing w:after="0" w:line="360" w:lineRule="auto"/>
        <w:rPr>
          <w:b/>
          <w:color w:val="000000"/>
        </w:rPr>
      </w:pPr>
    </w:p>
    <w:p w14:paraId="6DC5BB43" w14:textId="77777777" w:rsidR="00C80046" w:rsidRDefault="00512BDB">
      <w:pPr>
        <w:spacing w:after="0" w:line="360" w:lineRule="auto"/>
        <w:rPr>
          <w:color w:val="000000"/>
        </w:rPr>
      </w:pPr>
      <w:r>
        <w:lastRenderedPageBreak/>
        <w:t xml:space="preserve">Se le hace del conocimiento a la persona Recurrente que, en el presente asunto, se le da la razón, pues el Organismo Público Descentralizado para la Prestación de Servicios de Agua Potable Alcantarillado y Saneamiento de Coacalco de Berriozábal no proporcionó la información completa. Por ello, usted debe recibir a través del Sistema de Acceso a la Información Mexiquense (SAIMEX) la información solicitada. </w:t>
      </w:r>
      <w:r>
        <w:rPr>
          <w:color w:val="000000"/>
        </w:rPr>
        <w:t>La labor del Instituto, es apoyar a la población a acceder a la información pública y garantizar la protección de sus datos personales.</w:t>
      </w:r>
    </w:p>
    <w:p w14:paraId="55ADE250" w14:textId="77777777" w:rsidR="00C80046" w:rsidRDefault="00C80046">
      <w:pPr>
        <w:spacing w:after="0" w:line="360" w:lineRule="auto"/>
      </w:pPr>
    </w:p>
    <w:p w14:paraId="0AD00356" w14:textId="77777777" w:rsidR="00C80046" w:rsidRDefault="00512BDB">
      <w:pPr>
        <w:spacing w:after="0" w:line="360" w:lineRule="auto"/>
        <w:rPr>
          <w:color w:val="000000"/>
        </w:rPr>
      </w:pPr>
      <w:r>
        <w:rPr>
          <w:color w:val="000000"/>
        </w:rPr>
        <w:t>Por lo expuesto y fundado, este Pleno:</w:t>
      </w:r>
    </w:p>
    <w:p w14:paraId="691CBFC6" w14:textId="77777777" w:rsidR="00C80046" w:rsidRDefault="00C80046">
      <w:pPr>
        <w:spacing w:after="0" w:line="360" w:lineRule="auto"/>
        <w:rPr>
          <w:color w:val="000000"/>
        </w:rPr>
      </w:pPr>
    </w:p>
    <w:p w14:paraId="0EF5FE5A" w14:textId="232F90D5" w:rsidR="00C80046" w:rsidRDefault="001D4B47">
      <w:pPr>
        <w:pStyle w:val="Ttulo1"/>
        <w:spacing w:before="0" w:line="360" w:lineRule="auto"/>
        <w:jc w:val="center"/>
        <w:rPr>
          <w:rFonts w:ascii="Palatino Linotype" w:eastAsia="Palatino Linotype" w:hAnsi="Palatino Linotype" w:cs="Palatino Linotype"/>
          <w:b/>
          <w:color w:val="000000"/>
          <w:sz w:val="22"/>
          <w:szCs w:val="22"/>
        </w:rPr>
      </w:pPr>
      <w:bookmarkStart w:id="17" w:name="_heading=h.2n9hdwrpyt3h" w:colFirst="0" w:colLast="0"/>
      <w:bookmarkEnd w:id="17"/>
      <w:r>
        <w:rPr>
          <w:rFonts w:ascii="Palatino Linotype" w:eastAsia="Palatino Linotype" w:hAnsi="Palatino Linotype" w:cs="Palatino Linotype"/>
          <w:b/>
          <w:color w:val="000000"/>
          <w:sz w:val="22"/>
          <w:szCs w:val="22"/>
        </w:rPr>
        <w:t>R E S U E L V E</w:t>
      </w:r>
    </w:p>
    <w:p w14:paraId="0E2B79FF" w14:textId="77777777" w:rsidR="00C80046" w:rsidRDefault="00C80046">
      <w:pPr>
        <w:spacing w:after="0" w:line="360" w:lineRule="auto"/>
        <w:ind w:right="-91"/>
        <w:jc w:val="center"/>
        <w:rPr>
          <w:b/>
          <w:color w:val="000000"/>
        </w:rPr>
      </w:pPr>
    </w:p>
    <w:p w14:paraId="34F3E110" w14:textId="77777777" w:rsidR="00C80046" w:rsidRDefault="00512BDB">
      <w:pPr>
        <w:spacing w:after="0" w:line="360" w:lineRule="auto"/>
      </w:pPr>
      <w:r>
        <w:rPr>
          <w:b/>
        </w:rPr>
        <w:t xml:space="preserve">PRIMERO. </w:t>
      </w:r>
      <w:r>
        <w:t xml:space="preserve">Se </w:t>
      </w:r>
      <w:r>
        <w:rPr>
          <w:b/>
        </w:rPr>
        <w:t xml:space="preserve">MODIFICA </w:t>
      </w:r>
      <w:r>
        <w:t>la respuesta entregada por el Organismo Público Descentralizado para la Prestación de Servicios de Agua Potable Alcantarillado y Saneamiento de Coacalco de Berriozábal, a la solicitud de información 00024/OASCOACALC/IP/2025</w:t>
      </w:r>
      <w:r>
        <w:rPr>
          <w:color w:val="000000"/>
        </w:rPr>
        <w:t>,</w:t>
      </w:r>
      <w:r>
        <w:t xml:space="preserve"> por resultar </w:t>
      </w:r>
      <w:r>
        <w:rPr>
          <w:b/>
        </w:rPr>
        <w:t xml:space="preserve">FUNDADAS </w:t>
      </w:r>
      <w:r>
        <w:t>las razones o motivos de inconformidad hechos valer por la persona Recurrente, en términos de los considerandos QUINTO y SEXTO de la presente Resolución.</w:t>
      </w:r>
    </w:p>
    <w:p w14:paraId="0B0DE9D9" w14:textId="77777777" w:rsidR="00C80046" w:rsidRDefault="00C80046">
      <w:pPr>
        <w:spacing w:after="0" w:line="360" w:lineRule="auto"/>
      </w:pPr>
    </w:p>
    <w:p w14:paraId="2FD0E4CD" w14:textId="77777777" w:rsidR="00C80046" w:rsidRDefault="00512BDB">
      <w:pPr>
        <w:spacing w:after="0" w:line="360" w:lineRule="auto"/>
        <w:rPr>
          <w:color w:val="000000"/>
        </w:rPr>
      </w:pPr>
      <w:r>
        <w:rPr>
          <w:b/>
        </w:rPr>
        <w:t xml:space="preserve">SEGUNDO. </w:t>
      </w:r>
      <w:r>
        <w:t xml:space="preserve">Se </w:t>
      </w:r>
      <w:r>
        <w:rPr>
          <w:b/>
        </w:rPr>
        <w:t>ORDENA</w:t>
      </w:r>
      <w:r>
        <w:t xml:space="preserve"> al Sujeto Obligado</w:t>
      </w:r>
      <w:r>
        <w:rPr>
          <w:b/>
        </w:rPr>
        <w:t xml:space="preserve">, </w:t>
      </w:r>
      <w:r>
        <w:t xml:space="preserve">a efecto de que previa búsqueda exhaustiva y razonable en los archivos de las unidades administrativas competentes, entregue a través del Sistema de Acceso a la Información Mexiquense (SAIMEX), en su caso en versión pública, el documento que dé cuenta de </w:t>
      </w:r>
      <w:r>
        <w:rPr>
          <w:color w:val="000000"/>
        </w:rPr>
        <w:t>lo siguiente:</w:t>
      </w:r>
    </w:p>
    <w:p w14:paraId="7BE6646F" w14:textId="77777777" w:rsidR="00C80046" w:rsidRDefault="00C80046">
      <w:pPr>
        <w:spacing w:after="0" w:line="360" w:lineRule="auto"/>
        <w:ind w:right="-30"/>
        <w:rPr>
          <w:color w:val="000000"/>
        </w:rPr>
      </w:pPr>
    </w:p>
    <w:p w14:paraId="50A7FFF8" w14:textId="77777777" w:rsidR="00C80046" w:rsidRDefault="00512BDB">
      <w:pPr>
        <w:numPr>
          <w:ilvl w:val="0"/>
          <w:numId w:val="1"/>
        </w:numPr>
        <w:spacing w:after="0" w:line="360" w:lineRule="auto"/>
      </w:pPr>
      <w:bookmarkStart w:id="18" w:name="_heading=h.h9oiaihptcj7" w:colFirst="0" w:colLast="0"/>
      <w:bookmarkEnd w:id="18"/>
      <w:r>
        <w:rPr>
          <w:color w:val="000000"/>
        </w:rPr>
        <w:lastRenderedPageBreak/>
        <w:t>Los vehículos con los que contaba el Sujeto Obligado, al dieciséis de junio de dos mil veinticinco.</w:t>
      </w:r>
    </w:p>
    <w:p w14:paraId="58139A7E" w14:textId="77777777" w:rsidR="00C80046" w:rsidRDefault="00C80046">
      <w:pPr>
        <w:spacing w:after="0" w:line="360" w:lineRule="auto"/>
        <w:ind w:left="720" w:right="-28"/>
      </w:pPr>
    </w:p>
    <w:p w14:paraId="031AC5F8" w14:textId="77777777" w:rsidR="00C80046" w:rsidRDefault="00512BDB">
      <w:pPr>
        <w:spacing w:after="0" w:line="360" w:lineRule="auto"/>
      </w:pPr>
      <w:r>
        <w:t>Además, de ser necesario, deberá proporcionar el Acuerdo de Clasificación donde el Comité de Transparencia, confirme la eliminación de los datos confidenciales, en la versión pública, de conformidad con los artículos 49, fracciones II y VIII y 132, fracción II de la Ley de Transparencia y Acceso a la Información Pública del Estado de México y Municipios.</w:t>
      </w:r>
    </w:p>
    <w:p w14:paraId="352967AD" w14:textId="77777777" w:rsidR="00C80046" w:rsidRDefault="00C80046">
      <w:pPr>
        <w:spacing w:after="0" w:line="360" w:lineRule="auto"/>
      </w:pPr>
    </w:p>
    <w:p w14:paraId="107B349D" w14:textId="77777777" w:rsidR="00C80046" w:rsidRDefault="00512BDB">
      <w:pPr>
        <w:spacing w:after="0" w:line="360" w:lineRule="auto"/>
        <w:ind w:right="-28"/>
        <w:rPr>
          <w:b/>
        </w:rPr>
      </w:pPr>
      <w:r>
        <w:rPr>
          <w:b/>
        </w:rPr>
        <w:t xml:space="preserve">TERCERO. NOTIFÍQUESE POR SAIMEX </w:t>
      </w:r>
      <w: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619E3091" w14:textId="77777777" w:rsidR="00C80046" w:rsidRDefault="00C80046">
      <w:pPr>
        <w:spacing w:after="0" w:line="360" w:lineRule="auto"/>
        <w:ind w:right="-28"/>
        <w:rPr>
          <w:color w:val="000000"/>
        </w:rPr>
      </w:pPr>
    </w:p>
    <w:p w14:paraId="0CBA1A19" w14:textId="77777777" w:rsidR="00C80046" w:rsidRDefault="00512BDB">
      <w:pPr>
        <w:spacing w:after="0" w:line="360" w:lineRule="auto"/>
        <w:rPr>
          <w:color w:val="000000"/>
        </w:rPr>
      </w:pPr>
      <w:r>
        <w:rPr>
          <w:color w:val="000000"/>
        </w:rPr>
        <w:t xml:space="preserve">De conformidad con el artículo 198 de la </w:t>
      </w:r>
      <w:r>
        <w:t>Ley de Transparencia y Acceso a la Información Pública del Estado de México y Municipios</w:t>
      </w:r>
      <w:r>
        <w:rPr>
          <w:color w:val="000000"/>
        </w:rPr>
        <w:t>, de considerarlo procedente, el Sujeto Obligado de manera fundada y motivada, podrá solicitar una ampliación de plazo para el cumplimiento de la presente resolución.</w:t>
      </w:r>
    </w:p>
    <w:p w14:paraId="5A87E861" w14:textId="77777777" w:rsidR="00C80046" w:rsidRDefault="00C80046">
      <w:pPr>
        <w:spacing w:after="0" w:line="360" w:lineRule="auto"/>
        <w:rPr>
          <w:color w:val="000000"/>
        </w:rPr>
      </w:pPr>
    </w:p>
    <w:p w14:paraId="2AEAAD07" w14:textId="77777777" w:rsidR="00C80046" w:rsidRDefault="00512BDB">
      <w:pPr>
        <w:spacing w:after="0" w:line="360" w:lineRule="auto"/>
        <w:rPr>
          <w:color w:val="000000"/>
        </w:rPr>
      </w:pPr>
      <w:r>
        <w:rPr>
          <w:b/>
          <w:color w:val="000000"/>
        </w:rPr>
        <w:lastRenderedPageBreak/>
        <w:t xml:space="preserve">CUARTO. </w:t>
      </w:r>
      <w:r>
        <w:rPr>
          <w:b/>
        </w:rPr>
        <w:t>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07FCAC94" w14:textId="77777777" w:rsidR="00C80046" w:rsidRDefault="00C80046">
      <w:pPr>
        <w:spacing w:after="0" w:line="360" w:lineRule="auto"/>
      </w:pPr>
    </w:p>
    <w:p w14:paraId="037564BD" w14:textId="378CEA48" w:rsidR="00C80046" w:rsidRDefault="00512BDB">
      <w:pPr>
        <w:spacing w:after="0" w:line="360" w:lineRule="auto"/>
      </w:pPr>
      <w:r>
        <w:t xml:space="preserve">ASÍ LO RESUELVE, POR </w:t>
      </w:r>
      <w:r>
        <w:rPr>
          <w:b/>
        </w:rPr>
        <w:t>UNANIMIDAD</w:t>
      </w:r>
      <w:r>
        <w:t xml:space="preserve"> DE VOTOS EL PLENO DEL INSTITUTO DE TRANSPARENCIA, ACCESO A LA INFORMACIÓN PÚBLICA Y PROTECCIÓN DE DATOS PERSONALES DEL ESTADO DE MÉXICO Y MUNICIPIOS, CONFORMADO POR LOS COMISIONADOS JOSÉ MARTÍNEZ VILCHIS </w:t>
      </w:r>
      <w:r w:rsidR="001D4B47">
        <w:t>(</w:t>
      </w:r>
      <w:bookmarkStart w:id="19" w:name="_GoBack"/>
      <w:bookmarkEnd w:id="19"/>
      <w:r>
        <w:t>AUSENCIA JUSTIFICADA</w:t>
      </w:r>
      <w:r w:rsidR="001D4B47">
        <w:t>)</w:t>
      </w:r>
      <w:r>
        <w:t>, MARÍA DEL ROSARIO MEJÍA AYALA, SHARON CRISTINA MORALES MARTÍNEZ, LUIS GUSTAVO PARRA NORIEGA Y GUADALUPE RAMÍREZ PEÑA, EN LA VIGÉSIMA NOVENA SESIÓN ORDINARIA, CELEBRADA EL VEINTE DE AGOSTO DE DOS MIL VEINTICINCO, ANTE EL SECRETARIO TÉCNICO DEL PLENO, ALEXIS TAPIA RAMÍREZ.</w:t>
      </w:r>
    </w:p>
    <w:p w14:paraId="49A65843" w14:textId="77777777" w:rsidR="00C80046" w:rsidRDefault="00C80046">
      <w:pPr>
        <w:spacing w:after="0" w:line="360" w:lineRule="auto"/>
        <w:rPr>
          <w:color w:val="FF0000"/>
        </w:rPr>
      </w:pPr>
    </w:p>
    <w:p w14:paraId="0D94E5A0" w14:textId="77777777" w:rsidR="00C80046" w:rsidRDefault="00C80046">
      <w:pPr>
        <w:spacing w:after="0" w:line="360" w:lineRule="auto"/>
        <w:rPr>
          <w:color w:val="FF0000"/>
        </w:rPr>
      </w:pPr>
    </w:p>
    <w:p w14:paraId="2439D217" w14:textId="77777777" w:rsidR="00C80046" w:rsidRDefault="00C80046">
      <w:pPr>
        <w:spacing w:after="0" w:line="360" w:lineRule="auto"/>
        <w:rPr>
          <w:color w:val="FF0000"/>
        </w:rPr>
      </w:pPr>
    </w:p>
    <w:p w14:paraId="593D8137" w14:textId="77777777" w:rsidR="00C80046" w:rsidRDefault="00C80046">
      <w:pPr>
        <w:spacing w:after="0" w:line="360" w:lineRule="auto"/>
        <w:rPr>
          <w:color w:val="FF0000"/>
        </w:rPr>
      </w:pPr>
    </w:p>
    <w:p w14:paraId="2792F20D" w14:textId="77777777" w:rsidR="00C80046" w:rsidRDefault="00C80046">
      <w:pPr>
        <w:spacing w:after="0" w:line="360" w:lineRule="auto"/>
        <w:rPr>
          <w:color w:val="FF0000"/>
        </w:rPr>
      </w:pPr>
    </w:p>
    <w:p w14:paraId="4B5C92BF" w14:textId="77777777" w:rsidR="00C80046" w:rsidRDefault="00C80046">
      <w:pPr>
        <w:spacing w:after="0" w:line="360" w:lineRule="auto"/>
        <w:rPr>
          <w:color w:val="FF0000"/>
        </w:rPr>
      </w:pPr>
    </w:p>
    <w:p w14:paraId="397681CE" w14:textId="77777777" w:rsidR="00C80046" w:rsidRDefault="00C80046">
      <w:pPr>
        <w:spacing w:after="0" w:line="360" w:lineRule="auto"/>
        <w:rPr>
          <w:color w:val="FF0000"/>
        </w:rPr>
      </w:pPr>
    </w:p>
    <w:p w14:paraId="125E7C34" w14:textId="77777777" w:rsidR="00C80046" w:rsidRDefault="00C80046">
      <w:pPr>
        <w:spacing w:after="0" w:line="360" w:lineRule="auto"/>
        <w:rPr>
          <w:color w:val="FF0000"/>
        </w:rPr>
      </w:pPr>
    </w:p>
    <w:p w14:paraId="4DCF8B7D" w14:textId="77777777" w:rsidR="00C80046" w:rsidRDefault="00C80046">
      <w:pPr>
        <w:spacing w:after="0" w:line="360" w:lineRule="auto"/>
        <w:rPr>
          <w:color w:val="FF0000"/>
        </w:rPr>
      </w:pPr>
    </w:p>
    <w:p w14:paraId="2E2727E2" w14:textId="77777777" w:rsidR="00C80046" w:rsidRDefault="00C80046">
      <w:pPr>
        <w:spacing w:after="0" w:line="360" w:lineRule="auto"/>
        <w:rPr>
          <w:color w:val="FF0000"/>
        </w:rPr>
      </w:pPr>
    </w:p>
    <w:p w14:paraId="2F31CB0A" w14:textId="77777777" w:rsidR="00C80046" w:rsidRDefault="00C80046">
      <w:pPr>
        <w:spacing w:after="0" w:line="360" w:lineRule="auto"/>
        <w:rPr>
          <w:color w:val="FF0000"/>
        </w:rPr>
      </w:pPr>
    </w:p>
    <w:p w14:paraId="2447127B" w14:textId="77777777" w:rsidR="00C80046" w:rsidRDefault="00C80046">
      <w:pPr>
        <w:spacing w:after="0" w:line="360" w:lineRule="auto"/>
        <w:rPr>
          <w:color w:val="FF0000"/>
        </w:rPr>
      </w:pPr>
    </w:p>
    <w:sectPr w:rsidR="00C80046">
      <w:headerReference w:type="even" r:id="rId11"/>
      <w:headerReference w:type="default" r:id="rId12"/>
      <w:footerReference w:type="even" r:id="rId13"/>
      <w:footerReference w:type="default" r:id="rId14"/>
      <w:headerReference w:type="first" r:id="rId15"/>
      <w:footerReference w:type="first" r:id="rId16"/>
      <w:pgSz w:w="12240" w:h="15840"/>
      <w:pgMar w:top="2410" w:right="1608" w:bottom="1560"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9B344B" w14:textId="77777777" w:rsidR="007E536D" w:rsidRDefault="007E536D">
      <w:pPr>
        <w:spacing w:after="0" w:line="240" w:lineRule="auto"/>
      </w:pPr>
      <w:r>
        <w:separator/>
      </w:r>
    </w:p>
  </w:endnote>
  <w:endnote w:type="continuationSeparator" w:id="0">
    <w:p w14:paraId="46F052DF" w14:textId="77777777" w:rsidR="007E536D" w:rsidRDefault="007E5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89457864-E72F-4C40-A41B-D61BC1B08CAE}"/>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A4A74D87-FAB9-4AA9-BD58-85DAD10A7746}"/>
    <w:embedBold r:id="rId3" w:fontKey="{04BC5D86-E8FA-4E35-AD31-DC6FED69EFB6}"/>
    <w:embedItalic r:id="rId4" w:fontKey="{A1BA60F0-9719-4802-A282-942C7AB39950}"/>
    <w:embedBoldItalic r:id="rId5" w:fontKey="{E12343AA-C84E-462A-8961-FB45B55DEB2C}"/>
  </w:font>
  <w:font w:name="Calibri">
    <w:panose1 w:val="020F0502020204030204"/>
    <w:charset w:val="00"/>
    <w:family w:val="swiss"/>
    <w:pitch w:val="variable"/>
    <w:sig w:usb0="E4002EFF" w:usb1="C200247B" w:usb2="00000009" w:usb3="00000000" w:csb0="000001FF" w:csb1="00000000"/>
    <w:embedRegular r:id="rId6" w:fontKey="{FD044D6B-7599-487E-8B83-E7D00D4E82B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C975E493-8CFB-48F0-BF0B-2F24ADF7525E}"/>
  </w:font>
  <w:font w:name="Georgia">
    <w:panose1 w:val="02040502050405020303"/>
    <w:charset w:val="00"/>
    <w:family w:val="roman"/>
    <w:pitch w:val="variable"/>
    <w:sig w:usb0="00000287" w:usb1="00000000" w:usb2="00000000" w:usb3="00000000" w:csb0="0000009F" w:csb1="00000000"/>
    <w:embedRegular r:id="rId8" w:fontKey="{916EA7DF-6FEF-4017-9514-997E44456C21}"/>
    <w:embedItalic r:id="rId9" w:fontKey="{4975D333-13CB-499F-A647-82281B5A53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AB6DE" w14:textId="77777777" w:rsidR="00C80046" w:rsidRDefault="00512BD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C971A3">
      <w:rPr>
        <w:b/>
        <w:color w:val="000000"/>
        <w:sz w:val="24"/>
        <w:szCs w:val="24"/>
      </w:rPr>
      <w:fldChar w:fldCharType="separate"/>
    </w:r>
    <w:r w:rsidR="00C971A3">
      <w:rPr>
        <w:b/>
        <w:noProof/>
        <w:color w:val="000000"/>
        <w:sz w:val="24"/>
        <w:szCs w:val="24"/>
      </w:rPr>
      <w:t>21</w:t>
    </w:r>
    <w:r>
      <w:rPr>
        <w:b/>
        <w:color w:val="000000"/>
        <w:sz w:val="24"/>
        <w:szCs w:val="24"/>
      </w:rPr>
      <w:fldChar w:fldCharType="end"/>
    </w:r>
  </w:p>
  <w:p w14:paraId="5DA63AD6" w14:textId="77777777" w:rsidR="00C80046" w:rsidRDefault="00C8004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83A6D" w14:textId="77777777" w:rsidR="00C80046" w:rsidRDefault="00512BD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971A3">
      <w:rPr>
        <w:b/>
        <w:noProof/>
        <w:color w:val="000000"/>
        <w:sz w:val="24"/>
        <w:szCs w:val="24"/>
      </w:rPr>
      <w:t>20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971A3">
      <w:rPr>
        <w:b/>
        <w:noProof/>
        <w:color w:val="000000"/>
        <w:sz w:val="24"/>
        <w:szCs w:val="24"/>
      </w:rPr>
      <w:t>21</w:t>
    </w:r>
    <w:r>
      <w:rPr>
        <w:b/>
        <w:color w:val="000000"/>
        <w:sz w:val="24"/>
        <w:szCs w:val="24"/>
      </w:rPr>
      <w:fldChar w:fldCharType="end"/>
    </w:r>
  </w:p>
  <w:p w14:paraId="78262D94" w14:textId="77777777" w:rsidR="00C80046" w:rsidRDefault="00C80046">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4DC5D" w14:textId="77777777" w:rsidR="00C80046" w:rsidRDefault="00512BD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971A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971A3">
      <w:rPr>
        <w:b/>
        <w:noProof/>
        <w:color w:val="000000"/>
        <w:sz w:val="24"/>
        <w:szCs w:val="24"/>
      </w:rPr>
      <w:t>21</w:t>
    </w:r>
    <w:r>
      <w:rPr>
        <w:b/>
        <w:color w:val="000000"/>
        <w:sz w:val="24"/>
        <w:szCs w:val="24"/>
      </w:rPr>
      <w:fldChar w:fldCharType="end"/>
    </w:r>
  </w:p>
  <w:p w14:paraId="7D76BC97" w14:textId="77777777" w:rsidR="00C80046" w:rsidRDefault="00C8004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C36A00" w14:textId="77777777" w:rsidR="007E536D" w:rsidRDefault="007E536D">
      <w:pPr>
        <w:spacing w:after="0" w:line="240" w:lineRule="auto"/>
      </w:pPr>
      <w:r>
        <w:separator/>
      </w:r>
    </w:p>
  </w:footnote>
  <w:footnote w:type="continuationSeparator" w:id="0">
    <w:p w14:paraId="0EEECB12" w14:textId="77777777" w:rsidR="007E536D" w:rsidRDefault="007E53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E7287" w14:textId="77777777" w:rsidR="00C80046" w:rsidRDefault="00C80046">
    <w:pPr>
      <w:widowControl w:val="0"/>
      <w:pBdr>
        <w:top w:val="nil"/>
        <w:left w:val="nil"/>
        <w:bottom w:val="nil"/>
        <w:right w:val="nil"/>
        <w:between w:val="nil"/>
      </w:pBdr>
      <w:spacing w:after="0" w:line="276" w:lineRule="auto"/>
      <w:jc w:val="left"/>
      <w:rPr>
        <w:color w:val="FF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C80046" w14:paraId="57BB1A1D" w14:textId="77777777">
      <w:trPr>
        <w:trHeight w:val="132"/>
      </w:trPr>
      <w:tc>
        <w:tcPr>
          <w:tcW w:w="2691" w:type="dxa"/>
        </w:tcPr>
        <w:p w14:paraId="3B6C7AE9" w14:textId="77777777" w:rsidR="00C80046" w:rsidRDefault="00512BDB">
          <w:pPr>
            <w:tabs>
              <w:tab w:val="right" w:pos="8838"/>
            </w:tabs>
            <w:ind w:right="-105"/>
            <w:rPr>
              <w:b/>
            </w:rPr>
          </w:pPr>
          <w:r>
            <w:rPr>
              <w:b/>
            </w:rPr>
            <w:t>Recurso de Revisión:</w:t>
          </w:r>
        </w:p>
      </w:tc>
      <w:tc>
        <w:tcPr>
          <w:tcW w:w="3405" w:type="dxa"/>
        </w:tcPr>
        <w:p w14:paraId="4BB41CA1" w14:textId="77777777" w:rsidR="00C80046" w:rsidRDefault="00512BDB">
          <w:pPr>
            <w:tabs>
              <w:tab w:val="right" w:pos="8838"/>
            </w:tabs>
            <w:ind w:left="-28" w:right="-32"/>
          </w:pPr>
          <w:r>
            <w:t>03846/INFOEM/IP/RR/2020</w:t>
          </w:r>
        </w:p>
      </w:tc>
    </w:tr>
    <w:tr w:rsidR="00C80046" w14:paraId="306B8A31" w14:textId="77777777">
      <w:trPr>
        <w:trHeight w:val="261"/>
      </w:trPr>
      <w:tc>
        <w:tcPr>
          <w:tcW w:w="2691" w:type="dxa"/>
        </w:tcPr>
        <w:p w14:paraId="3FE5AB45" w14:textId="77777777" w:rsidR="00C80046" w:rsidRDefault="00512BDB">
          <w:pPr>
            <w:tabs>
              <w:tab w:val="right" w:pos="8838"/>
            </w:tabs>
            <w:ind w:right="-105"/>
            <w:rPr>
              <w:b/>
            </w:rPr>
          </w:pPr>
          <w:r>
            <w:rPr>
              <w:b/>
            </w:rPr>
            <w:t>Sujeto Obligado:</w:t>
          </w:r>
        </w:p>
      </w:tc>
      <w:tc>
        <w:tcPr>
          <w:tcW w:w="3405" w:type="dxa"/>
        </w:tcPr>
        <w:p w14:paraId="68E83CA6" w14:textId="77777777" w:rsidR="00C80046" w:rsidRDefault="00512BDB">
          <w:pPr>
            <w:tabs>
              <w:tab w:val="right" w:pos="8838"/>
            </w:tabs>
            <w:ind w:right="-32"/>
          </w:pPr>
          <w:r>
            <w:t xml:space="preserve">Ayuntamiento de </w:t>
          </w:r>
          <w:proofErr w:type="spellStart"/>
          <w:r>
            <w:t>Temascalcingo</w:t>
          </w:r>
          <w:proofErr w:type="spellEnd"/>
        </w:p>
      </w:tc>
    </w:tr>
    <w:tr w:rsidR="00C80046" w14:paraId="47ABAD46" w14:textId="77777777">
      <w:trPr>
        <w:trHeight w:val="261"/>
      </w:trPr>
      <w:tc>
        <w:tcPr>
          <w:tcW w:w="2691" w:type="dxa"/>
        </w:tcPr>
        <w:p w14:paraId="28A14422" w14:textId="77777777" w:rsidR="00C80046" w:rsidRDefault="00512BDB">
          <w:pPr>
            <w:tabs>
              <w:tab w:val="right" w:pos="8838"/>
            </w:tabs>
            <w:ind w:right="-105"/>
            <w:rPr>
              <w:b/>
            </w:rPr>
          </w:pPr>
          <w:r>
            <w:rPr>
              <w:b/>
            </w:rPr>
            <w:t>Comisionado Ponente:</w:t>
          </w:r>
        </w:p>
      </w:tc>
      <w:tc>
        <w:tcPr>
          <w:tcW w:w="3405" w:type="dxa"/>
        </w:tcPr>
        <w:p w14:paraId="4DBF8705" w14:textId="77777777" w:rsidR="00C80046" w:rsidRDefault="00512BDB">
          <w:pPr>
            <w:tabs>
              <w:tab w:val="right" w:pos="8838"/>
            </w:tabs>
            <w:ind w:right="-32"/>
            <w:rPr>
              <w:b/>
            </w:rPr>
          </w:pPr>
          <w:r>
            <w:t>Luis Gustavo Parra Noriega</w:t>
          </w:r>
        </w:p>
      </w:tc>
    </w:tr>
  </w:tbl>
  <w:p w14:paraId="202323D5" w14:textId="77777777" w:rsidR="00C80046" w:rsidRDefault="007E536D">
    <w:pPr>
      <w:pBdr>
        <w:top w:val="nil"/>
        <w:left w:val="nil"/>
        <w:bottom w:val="nil"/>
        <w:right w:val="nil"/>
        <w:between w:val="nil"/>
      </w:pBdr>
      <w:tabs>
        <w:tab w:val="center" w:pos="4419"/>
        <w:tab w:val="right" w:pos="8838"/>
      </w:tabs>
      <w:spacing w:after="0" w:line="240" w:lineRule="auto"/>
      <w:rPr>
        <w:color w:val="000000"/>
      </w:rPr>
    </w:pPr>
    <w:r>
      <w:rPr>
        <w:color w:val="000000"/>
      </w:rPr>
      <w:pict w14:anchorId="6CFFCA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ABA33" w14:textId="77777777" w:rsidR="00C80046" w:rsidRDefault="00512BDB">
    <w:pPr>
      <w:tabs>
        <w:tab w:val="left" w:pos="3913"/>
      </w:tabs>
      <w:rPr>
        <w:sz w:val="2"/>
        <w:szCs w:val="2"/>
      </w:rPr>
    </w:pPr>
    <w:r>
      <w:tab/>
    </w:r>
  </w:p>
  <w:tbl>
    <w:tblPr>
      <w:tblStyle w:val="a0"/>
      <w:tblW w:w="7654"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551"/>
      <w:gridCol w:w="5103"/>
    </w:tblGrid>
    <w:tr w:rsidR="00C80046" w14:paraId="453F584E" w14:textId="77777777">
      <w:trPr>
        <w:trHeight w:val="138"/>
      </w:trPr>
      <w:tc>
        <w:tcPr>
          <w:tcW w:w="2551" w:type="dxa"/>
          <w:vAlign w:val="center"/>
        </w:tcPr>
        <w:p w14:paraId="55F6135D" w14:textId="77777777" w:rsidR="00C80046" w:rsidRDefault="00512BDB">
          <w:pPr>
            <w:tabs>
              <w:tab w:val="right" w:pos="8838"/>
            </w:tabs>
            <w:ind w:right="-105"/>
            <w:jc w:val="left"/>
            <w:rPr>
              <w:b/>
            </w:rPr>
          </w:pPr>
          <w:r>
            <w:rPr>
              <w:b/>
            </w:rPr>
            <w:t>Recurso de Revisión:</w:t>
          </w:r>
        </w:p>
      </w:tc>
      <w:tc>
        <w:tcPr>
          <w:tcW w:w="5103" w:type="dxa"/>
        </w:tcPr>
        <w:p w14:paraId="5C51B2A5" w14:textId="77777777" w:rsidR="00C80046" w:rsidRDefault="00512BDB">
          <w:pPr>
            <w:tabs>
              <w:tab w:val="right" w:pos="8838"/>
            </w:tabs>
            <w:ind w:left="-113" w:right="57"/>
            <w:rPr>
              <w:color w:val="000000"/>
            </w:rPr>
          </w:pPr>
          <w:r>
            <w:rPr>
              <w:color w:val="000000"/>
            </w:rPr>
            <w:t>08451/INFOEM/IP/RR/2025</w:t>
          </w:r>
        </w:p>
      </w:tc>
    </w:tr>
    <w:tr w:rsidR="00C80046" w14:paraId="740C9848" w14:textId="77777777">
      <w:trPr>
        <w:trHeight w:val="273"/>
      </w:trPr>
      <w:tc>
        <w:tcPr>
          <w:tcW w:w="2551" w:type="dxa"/>
        </w:tcPr>
        <w:p w14:paraId="2A2B858C" w14:textId="77777777" w:rsidR="00C80046" w:rsidRDefault="00512BDB">
          <w:pPr>
            <w:tabs>
              <w:tab w:val="right" w:pos="8838"/>
            </w:tabs>
            <w:ind w:right="-105"/>
            <w:rPr>
              <w:b/>
            </w:rPr>
          </w:pPr>
          <w:r>
            <w:rPr>
              <w:b/>
            </w:rPr>
            <w:t>Sujeto Obligado:</w:t>
          </w:r>
        </w:p>
      </w:tc>
      <w:tc>
        <w:tcPr>
          <w:tcW w:w="5103" w:type="dxa"/>
        </w:tcPr>
        <w:p w14:paraId="62AF2433" w14:textId="77777777" w:rsidR="00C80046" w:rsidRDefault="00512BDB">
          <w:pPr>
            <w:tabs>
              <w:tab w:val="left" w:pos="2728"/>
              <w:tab w:val="right" w:pos="8838"/>
            </w:tabs>
            <w:ind w:left="-113" w:right="1450"/>
          </w:pPr>
          <w:r>
            <w:rPr>
              <w:color w:val="000000"/>
            </w:rPr>
            <w:t>Organismo Público Descentralizado para la Prestación de Servicios de Agua Potable Alcantarillado y Saneamiento de Coacalco de Berriozábal</w:t>
          </w:r>
        </w:p>
      </w:tc>
    </w:tr>
    <w:tr w:rsidR="00C80046" w14:paraId="7CCF2752" w14:textId="77777777">
      <w:trPr>
        <w:trHeight w:val="273"/>
      </w:trPr>
      <w:tc>
        <w:tcPr>
          <w:tcW w:w="2551" w:type="dxa"/>
        </w:tcPr>
        <w:p w14:paraId="223B079B" w14:textId="77777777" w:rsidR="00C80046" w:rsidRDefault="00512BDB">
          <w:pPr>
            <w:tabs>
              <w:tab w:val="right" w:pos="8838"/>
            </w:tabs>
            <w:ind w:right="-105"/>
            <w:rPr>
              <w:b/>
            </w:rPr>
          </w:pPr>
          <w:r>
            <w:rPr>
              <w:b/>
            </w:rPr>
            <w:t>Comisionado Ponente:</w:t>
          </w:r>
        </w:p>
      </w:tc>
      <w:tc>
        <w:tcPr>
          <w:tcW w:w="5103" w:type="dxa"/>
        </w:tcPr>
        <w:p w14:paraId="4D9F8C1E" w14:textId="77777777" w:rsidR="00C80046" w:rsidRDefault="00512BDB">
          <w:pPr>
            <w:tabs>
              <w:tab w:val="right" w:pos="8838"/>
            </w:tabs>
            <w:ind w:left="-113" w:right="-170"/>
            <w:rPr>
              <w:b/>
            </w:rPr>
          </w:pPr>
          <w:r>
            <w:t>Luis Gustavo Parra Noriega</w:t>
          </w:r>
        </w:p>
      </w:tc>
    </w:tr>
  </w:tbl>
  <w:p w14:paraId="32247F7C" w14:textId="77777777" w:rsidR="00C80046" w:rsidRDefault="007E536D">
    <w:pPr>
      <w:pBdr>
        <w:top w:val="nil"/>
        <w:left w:val="nil"/>
        <w:bottom w:val="nil"/>
        <w:right w:val="nil"/>
        <w:between w:val="nil"/>
      </w:pBdr>
      <w:tabs>
        <w:tab w:val="center" w:pos="4419"/>
        <w:tab w:val="right" w:pos="8838"/>
      </w:tabs>
      <w:spacing w:after="0" w:line="240" w:lineRule="auto"/>
      <w:rPr>
        <w:color w:val="000000"/>
      </w:rPr>
    </w:pPr>
    <w:r>
      <w:rPr>
        <w:color w:val="000000"/>
      </w:rPr>
      <w:pict w14:anchorId="2C069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A00DC" w14:textId="77777777" w:rsidR="00C80046" w:rsidRDefault="00C80046">
    <w:pPr>
      <w:widowControl w:val="0"/>
      <w:pBdr>
        <w:top w:val="nil"/>
        <w:left w:val="nil"/>
        <w:bottom w:val="nil"/>
        <w:right w:val="nil"/>
        <w:between w:val="nil"/>
      </w:pBdr>
      <w:spacing w:after="0" w:line="276" w:lineRule="auto"/>
      <w:jc w:val="left"/>
      <w:rPr>
        <w:color w:val="000000"/>
      </w:rPr>
    </w:pPr>
  </w:p>
  <w:tbl>
    <w:tblPr>
      <w:tblStyle w:val="a1"/>
      <w:tblW w:w="6379"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551"/>
      <w:gridCol w:w="3828"/>
    </w:tblGrid>
    <w:tr w:rsidR="00C80046" w14:paraId="1AAC4195" w14:textId="77777777">
      <w:trPr>
        <w:trHeight w:val="132"/>
      </w:trPr>
      <w:tc>
        <w:tcPr>
          <w:tcW w:w="2551" w:type="dxa"/>
        </w:tcPr>
        <w:p w14:paraId="575FDD00" w14:textId="77777777" w:rsidR="00C80046" w:rsidRDefault="00512BDB">
          <w:pPr>
            <w:tabs>
              <w:tab w:val="right" w:pos="8838"/>
            </w:tabs>
            <w:ind w:right="-105"/>
            <w:rPr>
              <w:b/>
            </w:rPr>
          </w:pPr>
          <w:r>
            <w:rPr>
              <w:b/>
            </w:rPr>
            <w:t>Recurso de Revisión:</w:t>
          </w:r>
        </w:p>
      </w:tc>
      <w:tc>
        <w:tcPr>
          <w:tcW w:w="3828" w:type="dxa"/>
        </w:tcPr>
        <w:p w14:paraId="13AE241E" w14:textId="77777777" w:rsidR="00C80046" w:rsidRDefault="00512BDB">
          <w:pPr>
            <w:tabs>
              <w:tab w:val="right" w:pos="8838"/>
            </w:tabs>
            <w:ind w:left="-113" w:right="-32"/>
          </w:pPr>
          <w:r>
            <w:rPr>
              <w:color w:val="000000"/>
            </w:rPr>
            <w:t>08451/INFOEM/IP/RR/2025</w:t>
          </w:r>
        </w:p>
      </w:tc>
    </w:tr>
    <w:tr w:rsidR="00C80046" w14:paraId="20918E80" w14:textId="77777777">
      <w:trPr>
        <w:trHeight w:val="132"/>
      </w:trPr>
      <w:tc>
        <w:tcPr>
          <w:tcW w:w="2551" w:type="dxa"/>
        </w:tcPr>
        <w:p w14:paraId="5D5CAAD2" w14:textId="77777777" w:rsidR="00C80046" w:rsidRDefault="00512BDB">
          <w:pPr>
            <w:tabs>
              <w:tab w:val="left" w:pos="1875"/>
            </w:tabs>
            <w:ind w:right="-105"/>
            <w:rPr>
              <w:b/>
            </w:rPr>
          </w:pPr>
          <w:r>
            <w:rPr>
              <w:b/>
            </w:rPr>
            <w:t>Recurrente:</w:t>
          </w:r>
          <w:r>
            <w:rPr>
              <w:b/>
            </w:rPr>
            <w:tab/>
          </w:r>
        </w:p>
      </w:tc>
      <w:tc>
        <w:tcPr>
          <w:tcW w:w="3828" w:type="dxa"/>
        </w:tcPr>
        <w:p w14:paraId="4712353F" w14:textId="77777777" w:rsidR="00C80046" w:rsidRDefault="00C80046">
          <w:pPr>
            <w:tabs>
              <w:tab w:val="right" w:pos="8838"/>
            </w:tabs>
          </w:pPr>
        </w:p>
      </w:tc>
    </w:tr>
    <w:tr w:rsidR="00C80046" w14:paraId="0A83DDBD" w14:textId="77777777">
      <w:trPr>
        <w:trHeight w:val="261"/>
      </w:trPr>
      <w:tc>
        <w:tcPr>
          <w:tcW w:w="2551" w:type="dxa"/>
        </w:tcPr>
        <w:p w14:paraId="0B148B76" w14:textId="77777777" w:rsidR="00C80046" w:rsidRDefault="00512BDB">
          <w:pPr>
            <w:tabs>
              <w:tab w:val="right" w:pos="8838"/>
            </w:tabs>
            <w:ind w:right="-105"/>
            <w:rPr>
              <w:b/>
            </w:rPr>
          </w:pPr>
          <w:r>
            <w:rPr>
              <w:b/>
            </w:rPr>
            <w:t>Sujeto Obligado:</w:t>
          </w:r>
        </w:p>
      </w:tc>
      <w:tc>
        <w:tcPr>
          <w:tcW w:w="3828" w:type="dxa"/>
        </w:tcPr>
        <w:p w14:paraId="2E36E1DE" w14:textId="77777777" w:rsidR="00C80046" w:rsidRDefault="00512BDB">
          <w:pPr>
            <w:tabs>
              <w:tab w:val="right" w:pos="8838"/>
            </w:tabs>
            <w:ind w:left="-113" w:right="33"/>
          </w:pPr>
          <w:r>
            <w:rPr>
              <w:color w:val="000000"/>
            </w:rPr>
            <w:t>Organismo Público Descentralizado para la Prestación de Servicios de Agua Potable Alcantarillado y Saneamiento de Coacalco de Berriozábal</w:t>
          </w:r>
        </w:p>
      </w:tc>
    </w:tr>
    <w:tr w:rsidR="00C80046" w14:paraId="35329333" w14:textId="77777777">
      <w:trPr>
        <w:trHeight w:val="261"/>
      </w:trPr>
      <w:tc>
        <w:tcPr>
          <w:tcW w:w="2551" w:type="dxa"/>
        </w:tcPr>
        <w:p w14:paraId="7FDE5833" w14:textId="77777777" w:rsidR="00C80046" w:rsidRDefault="00512BDB">
          <w:pPr>
            <w:tabs>
              <w:tab w:val="right" w:pos="8838"/>
            </w:tabs>
            <w:ind w:right="-105"/>
            <w:rPr>
              <w:b/>
            </w:rPr>
          </w:pPr>
          <w:r>
            <w:rPr>
              <w:b/>
            </w:rPr>
            <w:t>Comisionado Ponente:</w:t>
          </w:r>
        </w:p>
      </w:tc>
      <w:tc>
        <w:tcPr>
          <w:tcW w:w="3828" w:type="dxa"/>
        </w:tcPr>
        <w:p w14:paraId="0FEA93BE" w14:textId="77777777" w:rsidR="00C80046" w:rsidRDefault="00512BDB">
          <w:pPr>
            <w:tabs>
              <w:tab w:val="right" w:pos="8838"/>
            </w:tabs>
            <w:ind w:left="-113" w:right="-32"/>
            <w:rPr>
              <w:b/>
            </w:rPr>
          </w:pPr>
          <w:r>
            <w:t>Luis Gustavo Parra Noriega</w:t>
          </w:r>
        </w:p>
      </w:tc>
    </w:tr>
  </w:tbl>
  <w:p w14:paraId="7045E7B0" w14:textId="77777777" w:rsidR="00C80046" w:rsidRDefault="007E536D">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14D63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3.5pt;width:663.5pt;height:12in;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B87D56"/>
    <w:multiLevelType w:val="multilevel"/>
    <w:tmpl w:val="5A7E21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046"/>
    <w:rsid w:val="001D4B47"/>
    <w:rsid w:val="00512BDB"/>
    <w:rsid w:val="00580794"/>
    <w:rsid w:val="007E536D"/>
    <w:rsid w:val="0095543B"/>
    <w:rsid w:val="00A579C3"/>
    <w:rsid w:val="00C80046"/>
    <w:rsid w:val="00C971A3"/>
    <w:rsid w:val="00D62F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7F22D"/>
  <w15:docId w15:val="{2E6BA6E9-0BFC-442E-959B-AC288BCDC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de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character" w:customStyle="1" w:styleId="Mencinsinresolver5">
    <w:name w:val="Mención sin resolver5"/>
    <w:basedOn w:val="Fuentedeprrafopredeter"/>
    <w:uiPriority w:val="99"/>
    <w:semiHidden/>
    <w:unhideWhenUsed/>
    <w:rsid w:val="00844901"/>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ipomex.org.mx/ipome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T3xWNvccyAvxhne8Zgo4M8XLQg==">CgMxLjAyDWguOW45bXN6bGZmdDMyDmguY3N6OHA4azR0ZWtvMg1oLnM1c3ptYW5iYXR3Mg5oLmxndWM3Nmp3Y3VtYTIOaC5ydjUwZDBhbzM0YjkyDmgub3FuaXh6cDQzNTh6Mg5oLjg3MzV5emxvYjBjdzIOaC5yZmM5MjF5d2NzOWwyDmgudnphbjliYzZpZWllMg5oLmI1cjRrZHYzd2FrbjIOaC5qaWZkcWMyMHd4M2QyDmgudDNlaTU0cDMwNGQ3Mg5oLmhtYnUwY3BsMnB3MDIOaC5vMXEycjk3azA2MTIyDmguc3A1a2pxeW93bHZhMg5oLjZ6bWFtZWtodzh4NTIOaC43N3JuZHg2OTU4ejkyDmguMm45aGR3cnB5dDNoMg5oLmg5b2lhaWhwdGNqNzgAciExSG1UbU4xcmVUa0twLUZBWWNaMVZXWXdDejhjRFlBV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4390</Words>
  <Characters>24146</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USUARIO</cp:lastModifiedBy>
  <cp:revision>3</cp:revision>
  <cp:lastPrinted>2025-08-22T00:35:00Z</cp:lastPrinted>
  <dcterms:created xsi:type="dcterms:W3CDTF">2025-08-22T00:35:00Z</dcterms:created>
  <dcterms:modified xsi:type="dcterms:W3CDTF">2025-08-22T00:35:00Z</dcterms:modified>
</cp:coreProperties>
</file>