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rdcrjn"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tres de septiembre de dos mil veinticinco. </w:t>
      </w:r>
    </w:p>
    <w:p w:rsidR="00000000" w:rsidDel="00000000" w:rsidP="00000000" w:rsidRDefault="00000000" w:rsidRPr="00000000" w14:paraId="00000002">
      <w:pPr>
        <w:tabs>
          <w:tab w:val="left" w:leader="none" w:pos="5812"/>
        </w:tabs>
        <w:spacing w:after="240" w:before="240" w:line="360" w:lineRule="auto"/>
        <w:jc w:val="both"/>
        <w:rPr>
          <w:rFonts w:ascii="Palatino Linotype" w:cs="Palatino Linotype" w:eastAsia="Palatino Linotype" w:hAnsi="Palatino Linotype"/>
        </w:rPr>
      </w:pPr>
      <w:bookmarkStart w:colFirst="0" w:colLast="0" w:name="_heading=h.daj3j2xo6q66"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05109/INFOEM/IP/RR/2025</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una persona que no proporcionó nombre o seudónimo,</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w:t>
      </w:r>
      <w:r w:rsidDel="00000000" w:rsidR="00000000" w:rsidRPr="00000000">
        <w:rPr>
          <w:rFonts w:ascii="Palatino Linotype" w:cs="Palatino Linotype" w:eastAsia="Palatino Linotype" w:hAnsi="Palatino Linotype"/>
          <w:b w:val="1"/>
          <w:rtl w:val="0"/>
        </w:rPr>
        <w:t xml:space="preserve"> 00122/ZINACANT/IP/2025,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Zinacantepec,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veinticuatro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la solicitud de acceso a la información pública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mediante la cual requirió lo siguiente:</w:t>
      </w:r>
    </w:p>
    <w:p w:rsidR="00000000" w:rsidDel="00000000" w:rsidP="00000000" w:rsidRDefault="00000000" w:rsidRPr="00000000" w14:paraId="0000000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“Solicito acceso a los expedientes de cualquier denuncia o investigación relacionada con actos de corrupción, conflictos de interés o irregularidades cometidas por funcionarios del Ayuntamiento, incluidos los relacionados con el Presidente Municipal</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once de abril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del SAIMEX, sustancialmente en los términos siguientes:   </w:t>
      </w:r>
    </w:p>
    <w:p w:rsidR="00000000" w:rsidDel="00000000" w:rsidP="00000000" w:rsidRDefault="00000000" w:rsidRPr="00000000" w14:paraId="00000008">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(sic)</w:t>
      </w:r>
    </w:p>
    <w:p w:rsidR="00000000" w:rsidDel="00000000" w:rsidP="00000000" w:rsidRDefault="00000000" w:rsidRPr="00000000" w14:paraId="0000000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Escrito mediante el cual la titular de la Unidad de Transparencia notificó a la persona solicitante la respuesta proporcionada por el área competente. </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ZIN/CM/261/2025 mediante el cual la Contralora Municipal manifiesto que el ciudadano/a, solicita acceso a los expedientes que se relacionen con los rubros mencionados, acción que en el ámbito jurídico implica la consulta de los mismos, sin embargo, de conformidad con el artículo 20 del Código de Procedimientos Administrativos del Estado de México, de aplicación supletoria a la Ley de Responsabilidades Administrativas del Estado de México y Municipios dispone que las partes podrán consultar los expedientes en que se documenta el procedimiento y proceso administrativo y obtener copia certificada de los documentos y actuaciones que los integren, razón por la cual lo solicitado no encuadra en materia de acceso a la información pública, por lo que la solicitud de mérito no puede atenderse por esta vía; pues para el caso y tener acceso a la consulta de expedientes se debe acreditar que se es parte en los términos indicados por la referida disposición legal. De igual forma indicó que para las irregularidades cometidas por servidores públicos de elección popular que integran el Ayuntamiento, la solicitud debía dirigirse a la autoridad competente.</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seis de mayo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E">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INFORMACION”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INFORMACION” (sic)</w:t>
      </w:r>
    </w:p>
    <w:p w:rsidR="00000000" w:rsidDel="00000000" w:rsidP="00000000" w:rsidRDefault="00000000" w:rsidRPr="00000000" w14:paraId="0000001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El</w:t>
      </w:r>
      <w:r w:rsidDel="00000000" w:rsidR="00000000" w:rsidRPr="00000000">
        <w:rPr>
          <w:rFonts w:ascii="Palatino Linotype" w:cs="Palatino Linotype" w:eastAsia="Palatino Linotype" w:hAnsi="Palatino Linotype"/>
          <w:b w:val="1"/>
          <w:rtl w:val="0"/>
        </w:rPr>
        <w:t xml:space="preserve"> nueve de mayo de dos mil veinticinco,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612130" cy="1596390"/>
            <wp:effectExtent b="0" l="0" r="0" t="0"/>
            <wp:docPr id="214013184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12130" cy="159639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término para resolver</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agosto de dos mil veinticinco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C">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D">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1E">
      <w:pPr>
        <w:numPr>
          <w:ilvl w:val="0"/>
          <w:numId w:val="1"/>
        </w:num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1F">
      <w:pPr>
        <w:tabs>
          <w:tab w:val="left" w:leader="none" w:pos="567"/>
        </w:tabs>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4">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5">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once de abril de dos mil veinticinco,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día</w:t>
      </w:r>
      <w:r w:rsidDel="00000000" w:rsidR="00000000" w:rsidRPr="00000000">
        <w:rPr>
          <w:rFonts w:ascii="Palatino Linotype" w:cs="Palatino Linotype" w:eastAsia="Palatino Linotype" w:hAnsi="Palatino Linotype"/>
          <w:b w:val="1"/>
          <w:rtl w:val="0"/>
        </w:rPr>
        <w:t xml:space="preserve"> seis de mayo de dos mil veinticinco, </w:t>
      </w:r>
      <w:r w:rsidDel="00000000" w:rsidR="00000000" w:rsidRPr="00000000">
        <w:rPr>
          <w:rFonts w:ascii="Palatino Linotype" w:cs="Palatino Linotype" w:eastAsia="Palatino Linotype" w:hAnsi="Palatino Linotype"/>
          <w:rtl w:val="0"/>
        </w:rPr>
        <w:t xml:space="preserve">esto es, al décimo segundo día hábil posterior a aquel en el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bookmarkStart w:colFirst="0" w:colLast="0" w:name="_heading=h.3znysh7" w:id="7"/>
      <w:bookmarkEnd w:id="7"/>
      <w:r w:rsidDel="00000000" w:rsidR="00000000" w:rsidRPr="00000000">
        <w:rPr>
          <w:rFonts w:ascii="Palatino Linotype" w:cs="Palatino Linotype" w:eastAsia="Palatino Linotype" w:hAnsi="Palatino Linotype"/>
          <w:rtl w:val="0"/>
        </w:rPr>
        <w:t xml:space="preserve">Además,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señaló </w:t>
      </w:r>
      <w:r w:rsidDel="00000000" w:rsidR="00000000" w:rsidRPr="00000000">
        <w:rPr>
          <w:rFonts w:ascii="Palatino Linotype" w:cs="Palatino Linotype" w:eastAsia="Palatino Linotype" w:hAnsi="Palatino Linotype"/>
          <w:b w:val="1"/>
          <w:rtl w:val="0"/>
        </w:rPr>
        <w:t xml:space="preserve">nombre,</w:t>
      </w:r>
      <w:r w:rsidDel="00000000" w:rsidR="00000000" w:rsidRPr="00000000">
        <w:rPr>
          <w:rFonts w:ascii="Palatino Linotype" w:cs="Palatino Linotype" w:eastAsia="Palatino Linotype" w:hAnsi="Palatino Linotype"/>
          <w:rtl w:val="0"/>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w:t>
      </w:r>
      <w:r w:rsidDel="00000000" w:rsidR="00000000" w:rsidRPr="00000000">
        <w:rPr>
          <w:rFonts w:ascii="Palatino Linotype" w:cs="Palatino Linotype" w:eastAsia="Palatino Linotype" w:hAnsi="Palatino Linotype"/>
          <w:b w:val="1"/>
          <w:i w:val="1"/>
          <w:sz w:val="22"/>
          <w:szCs w:val="22"/>
          <w:rtl w:val="0"/>
        </w:rPr>
        <w:t xml:space="preserve">seudónimo</w:t>
      </w:r>
      <w:r w:rsidDel="00000000" w:rsidR="00000000" w:rsidRPr="00000000">
        <w:rPr>
          <w:rFonts w:ascii="Palatino Linotype" w:cs="Palatino Linotype" w:eastAsia="Palatino Linotype" w:hAnsi="Palatino Linotype"/>
          <w:i w:val="1"/>
          <w:sz w:val="22"/>
          <w:szCs w:val="22"/>
          <w:rtl w:val="0"/>
        </w:rPr>
        <w:t xml:space="preserve">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1">
      <w:pPr>
        <w:tabs>
          <w:tab w:val="left" w:leader="none" w:pos="7938"/>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tabs>
          <w:tab w:val="left" w:leader="none" w:pos="7938"/>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bookmarkStart w:colFirst="0" w:colLast="0" w:name="_heading=h.2et92p0" w:id="8"/>
      <w:bookmarkEnd w:id="8"/>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3B">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con clave de control SO/003/2017,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3E">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F">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4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4C">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Los expedientes de cualquier denuncia o investigación relacionada con actos de corrupción, conflicto de intereses o irregularidades cometidas por funcionarios del ayuntamiento, incluidos los relacionados con el presidente municipal. </w:t>
      </w:r>
    </w:p>
    <w:p w:rsidR="00000000" w:rsidDel="00000000" w:rsidP="00000000" w:rsidRDefault="00000000" w:rsidRPr="00000000" w14:paraId="0000004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toda vez que la parte solicitante fue omisa en señalar el periodo sobre el cual requería la información, es oportuno mencionar que la información susceptible de entrega corresponde a la generada en el año inmediato anterior a la presentación de la solicitud, esto es, del </w:t>
      </w:r>
      <w:r w:rsidDel="00000000" w:rsidR="00000000" w:rsidRPr="00000000">
        <w:rPr>
          <w:rFonts w:ascii="Palatino Linotype" w:cs="Palatino Linotype" w:eastAsia="Palatino Linotype" w:hAnsi="Palatino Linotype"/>
          <w:u w:val="single"/>
          <w:rtl w:val="0"/>
        </w:rPr>
        <w:t xml:space="preserve">veinticuatro de marzo de dos mil veinticuatro al veinticuatro de marzo de dos mil veinticinco,</w:t>
      </w:r>
      <w:r w:rsidDel="00000000" w:rsidR="00000000" w:rsidRPr="00000000">
        <w:rPr>
          <w:rFonts w:ascii="Palatino Linotype" w:cs="Palatino Linotype" w:eastAsia="Palatino Linotype" w:hAnsi="Palatino Linotype"/>
          <w:rtl w:val="0"/>
        </w:rPr>
        <w:t xml:space="preserve"> de conformidad con el criterio orientador con clave de control SO/003/2019 emitido por el entonces Pleno del Instituto Nacional de Transparencia Acceso a la Información y Protección de Datos Personales, INAI, el cual es del tenor literal siguiente: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Periodo de búsqueda de la información</w:t>
      </w:r>
      <w:r w:rsidDel="00000000" w:rsidR="00000000" w:rsidRPr="00000000">
        <w:rPr>
          <w:rFonts w:ascii="Palatino Linotype" w:cs="Palatino Linotype" w:eastAsia="Palatino Linotype" w:hAnsi="Palatino Linotype"/>
          <w:i w:val="1"/>
          <w:sz w:val="22"/>
          <w:szCs w:val="22"/>
          <w:rtl w:val="0"/>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4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conducto de la Contralora Municipal manifiesto que el ciudadano/a, solicita acceso a los expedientes que se relacionen con los rubros mencionados, acción que en el ámbito jurídico implica la consulta de los mismos, sin embargo, de conformidad con el artículo 20 del Código de Procedimientos Administrativos del Estado de México, de aplicación supletoria a la Ley de Responsabilidades Administrativas del Estado de México y Municipios dispone que las partes podrán consultar los expedientes en que se documenta el procedimiento y proceso administrativo y obtener copia certificada de los documentos y actuaciones que los integren, razón por la cual lo solicitado no encuadra en materia de acceso a la información pública, por lo que la solicitud de mérito no puede atenderse por esta vía; pues para el caso y tener acceso a la consulta de expedientes se debe acreditar que se es parte en los términos indicados por la referida disposición legal. De igual forma indicó que para las irregularidades cometidas por servidores públicos de elección popular que integran el Ayuntamiento, la solicitud debía dirigirse la autoridad competente.</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993"/>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persona solicitante interpuso el recurso de revisión que se resuelve, mediante el cual alegó, en lo medular, que no le fue entregada la información.</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rendir su informe justificado, y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5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 los requerimientos de información,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rsidR="00000000" w:rsidDel="00000000" w:rsidP="00000000" w:rsidRDefault="00000000" w:rsidRPr="00000000" w14:paraId="0000005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000000" w:rsidDel="00000000" w:rsidP="00000000" w:rsidRDefault="00000000" w:rsidRPr="00000000" w14:paraId="0000005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000000" w:rsidDel="00000000" w:rsidP="00000000" w:rsidRDefault="00000000" w:rsidRPr="00000000" w14:paraId="00000057">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línea de pensamiento, derivado del análisis de las constancias que obran en el expediente electrónico en el que se actúa, se advirtió que la Unidad de Transparencia, turnó la solicitud de información a la Contraloría Interna Municipal como la dependencia responsable para conocer de la información que es del interés de la persona solicitante.</w:t>
      </w:r>
    </w:p>
    <w:p w:rsidR="00000000" w:rsidDel="00000000" w:rsidP="00000000" w:rsidRDefault="00000000" w:rsidRPr="00000000" w14:paraId="0000005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es oportuno mencionar que de conformidad con el artículo 110 de la Ley Orgánica del Estado de México, el órgano interno de control municipal es el órgano interno de control encargado de promover, evaluar y fortalecer el buen funcionamiento del control interno, competente para aplicar las leyes en materia de responsabilidades de los servidores públicos, cuyas atribuciones, en su parte conducente se encuentran enmarcadas en el artículo 112 de la referida Ley, a saber:</w:t>
      </w:r>
    </w:p>
    <w:p w:rsidR="00000000" w:rsidDel="00000000" w:rsidP="00000000" w:rsidRDefault="00000000" w:rsidRPr="00000000" w14:paraId="0000005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112</w:t>
      </w:r>
      <w:r w:rsidDel="00000000" w:rsidR="00000000" w:rsidRPr="00000000">
        <w:rPr>
          <w:rFonts w:ascii="Palatino Linotype" w:cs="Palatino Linotype" w:eastAsia="Palatino Linotype" w:hAnsi="Palatino Linotype"/>
          <w:i w:val="1"/>
          <w:sz w:val="22"/>
          <w:szCs w:val="22"/>
          <w:rtl w:val="0"/>
        </w:rPr>
        <w:t xml:space="preserve">. El órgano interno de control municipal tendrá a su cargo las funciones siguientes:</w:t>
      </w:r>
    </w:p>
    <w:p w:rsidR="00000000" w:rsidDel="00000000" w:rsidP="00000000" w:rsidRDefault="00000000" w:rsidRPr="00000000" w14:paraId="0000005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Planear, programar, organizar y coordinar el sistema de control y evaluación municipal;</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Fiscalizar el ingreso y ejercicio del gasto público municipal y su congruencia con el presupuesto de egresos;</w:t>
      </w:r>
    </w:p>
    <w:p w:rsidR="00000000" w:rsidDel="00000000" w:rsidP="00000000" w:rsidRDefault="00000000" w:rsidRPr="00000000" w14:paraId="000000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Establecer las bases generales para la realización de auditorías e inspecciones;</w:t>
      </w:r>
    </w:p>
    <w:p w:rsidR="00000000" w:rsidDel="00000000" w:rsidP="00000000" w:rsidRDefault="00000000" w:rsidRPr="00000000" w14:paraId="0000005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Coordinarse con el Órgano Superior de Fiscalización del Estado de México y la Contraloría del Poder Legislativo y con la Secretaría de la Contraloría del Estado para el cumplimiento de sus funciones;</w:t>
      </w:r>
    </w:p>
    <w:p w:rsidR="00000000" w:rsidDel="00000000" w:rsidP="00000000" w:rsidRDefault="00000000" w:rsidRPr="00000000" w14:paraId="0000006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Establecer y operar un sistema de atención de quejas, denuncias y sugerencias;</w:t>
      </w:r>
    </w:p>
    <w:p w:rsidR="00000000" w:rsidDel="00000000" w:rsidP="00000000" w:rsidRDefault="00000000" w:rsidRPr="00000000" w14:paraId="0000006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Realizar auditorías y evaluaciones e informar del resultado de las mismas al ayuntamiento;</w:t>
      </w:r>
    </w:p>
    <w:p w:rsidR="00000000" w:rsidDel="00000000" w:rsidP="00000000" w:rsidRDefault="00000000" w:rsidRPr="00000000" w14:paraId="0000006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Recibir las denuncias que se formulen por presuntas infracciones o faltas administrativas derivadas de actos u omisiones cometidos por las personas servidoras públicas de sus municipios, o de particulares vinculados con faltas administrativas graves; así como </w:t>
      </w:r>
      <w:r w:rsidDel="00000000" w:rsidR="00000000" w:rsidRPr="00000000">
        <w:rPr>
          <w:rFonts w:ascii="Palatino Linotype" w:cs="Palatino Linotype" w:eastAsia="Palatino Linotype" w:hAnsi="Palatino Linotype"/>
          <w:b w:val="1"/>
          <w:i w:val="1"/>
          <w:sz w:val="22"/>
          <w:szCs w:val="22"/>
          <w:u w:val="single"/>
          <w:rtl w:val="0"/>
        </w:rPr>
        <w:t xml:space="preserve">iniciar de oficio, por denuncia o derivado de auditorías realizadas por las autoridades competentes</w:t>
      </w:r>
      <w:r w:rsidDel="00000000" w:rsidR="00000000" w:rsidRPr="00000000">
        <w:rPr>
          <w:rFonts w:ascii="Palatino Linotype" w:cs="Palatino Linotype" w:eastAsia="Palatino Linotype" w:hAnsi="Palatino Linotype"/>
          <w:b w:val="1"/>
          <w:i w:val="1"/>
          <w:sz w:val="22"/>
          <w:szCs w:val="22"/>
          <w:rtl w:val="0"/>
        </w:rPr>
        <w:t xml:space="preserve">, los procedimientos de investigación por posibles faltas administrativas y en su caso, la calificación de faltas graves y no graves, en términos de la Ley de Responsabilidades Administrativas del Estado de México y Municipios.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Asimismo, </w:t>
      </w:r>
      <w:r w:rsidDel="00000000" w:rsidR="00000000" w:rsidRPr="00000000">
        <w:rPr>
          <w:rFonts w:ascii="Palatino Linotype" w:cs="Palatino Linotype" w:eastAsia="Palatino Linotype" w:hAnsi="Palatino Linotype"/>
          <w:b w:val="1"/>
          <w:i w:val="1"/>
          <w:sz w:val="22"/>
          <w:szCs w:val="22"/>
          <w:u w:val="single"/>
          <w:rtl w:val="0"/>
        </w:rPr>
        <w:t xml:space="preserve">substanciar los procedimientos de responsabilidad administrativa</w:t>
      </w:r>
      <w:r w:rsidDel="00000000" w:rsidR="00000000" w:rsidRPr="00000000">
        <w:rPr>
          <w:rFonts w:ascii="Palatino Linotype" w:cs="Palatino Linotype" w:eastAsia="Palatino Linotype" w:hAnsi="Palatino Linotype"/>
          <w:b w:val="1"/>
          <w:i w:val="1"/>
          <w:sz w:val="22"/>
          <w:szCs w:val="22"/>
          <w:rtl w:val="0"/>
        </w:rPr>
        <w:t xml:space="preserve"> y emitir en su caso, las resoluciones que son de su competencia, </w:t>
      </w:r>
      <w:r w:rsidDel="00000000" w:rsidR="00000000" w:rsidRPr="00000000">
        <w:rPr>
          <w:rFonts w:ascii="Palatino Linotype" w:cs="Palatino Linotype" w:eastAsia="Palatino Linotype" w:hAnsi="Palatino Linotype"/>
          <w:b w:val="1"/>
          <w:i w:val="1"/>
          <w:sz w:val="22"/>
          <w:szCs w:val="22"/>
          <w:u w:val="single"/>
          <w:rtl w:val="0"/>
        </w:rPr>
        <w:t xml:space="preserve">imponiendo cuando proceda, las sanciones que correspondan</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remitiendo los expedientes al Tribunal de Justicia Administrativa del Estado de México, por faltas graves y faltas de particulares en términos de la referida Ley de Responsabilidades Administrativas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instruyendo, tramitando y resolviendo los recursos que le corresponda conocer, previstos en esta;”</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cumplimiento sus atribuciones el Órgano Interno de Control se auxilia de las siguientes áreas, de conformidad con el artículo 49 del Reglamento Orgánico Municipal de Zinacantepec:</w:t>
      </w:r>
    </w:p>
    <w:p w:rsidR="00000000" w:rsidDel="00000000" w:rsidP="00000000" w:rsidRDefault="00000000" w:rsidRPr="00000000" w14:paraId="00000067">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Subcontraloría Municipal </w:t>
      </w:r>
    </w:p>
    <w:p w:rsidR="00000000" w:rsidDel="00000000" w:rsidP="00000000" w:rsidRDefault="00000000" w:rsidRPr="00000000" w14:paraId="00000068">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Departamento de Fiscalización, Control y Evaluación Interna de la Gestión Pública </w:t>
      </w:r>
    </w:p>
    <w:p w:rsidR="00000000" w:rsidDel="00000000" w:rsidP="00000000" w:rsidRDefault="00000000" w:rsidRPr="00000000" w14:paraId="00000069">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III. Departamento de Prevención, Detección, Disuasión, Sanción y Combate de la Corrupción </w:t>
      </w:r>
    </w:p>
    <w:p w:rsidR="00000000" w:rsidDel="00000000" w:rsidP="00000000" w:rsidRDefault="00000000" w:rsidRPr="00000000" w14:paraId="0000006A">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Autoridad Investigadora. </w:t>
      </w:r>
    </w:p>
    <w:p w:rsidR="00000000" w:rsidDel="00000000" w:rsidP="00000000" w:rsidRDefault="00000000" w:rsidRPr="00000000" w14:paraId="0000006B">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Autoridad Substanciadora. </w:t>
      </w:r>
    </w:p>
    <w:p w:rsidR="00000000" w:rsidDel="00000000" w:rsidP="00000000" w:rsidRDefault="00000000" w:rsidRPr="00000000" w14:paraId="0000006C">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Autoridad Resolutora.</w:t>
      </w:r>
    </w:p>
    <w:p w:rsidR="00000000" w:rsidDel="00000000" w:rsidP="00000000" w:rsidRDefault="00000000" w:rsidRPr="00000000" w14:paraId="0000006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10, de la Ley de Responsabilidades Administrativas del Estado de México y Municipios, en su parte conducente, confiere a los órganos internos de control la atribución para investigar, substanciar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faltas no graves.</w:t>
      </w:r>
    </w:p>
    <w:p w:rsidR="00000000" w:rsidDel="00000000" w:rsidP="00000000" w:rsidRDefault="00000000" w:rsidRPr="00000000" w14:paraId="0000006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procesa en los términos de la Ley de Responsabilidades de la entidad.</w:t>
      </w:r>
    </w:p>
    <w:p w:rsidR="00000000" w:rsidDel="00000000" w:rsidP="00000000" w:rsidRDefault="00000000" w:rsidRPr="00000000" w14:paraId="0000006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importante mencionar que en términos de los artículos 3 fracciones XIII y XVI, 10 y 13 de la Ley de Responsabilidades Ley de Responsabilidades Administrativas del Estado de México y Municipios los órganos internos de control son competentes para investigar, substanciación y calificación de las faltas administrativas, así como imponer sanciones respecto de las faltas administrativas no graves de los servidores públicos; mientras que la Contraloría del Poder Legislativo, será competente respecto de los servidores públicos de elección popular municipal y de los mismos servidores públicos del Poder Legislativo, y, finalmente el Tribunal de Justicia Administrativa del Estado de México es competente para imponer sanciones por faltas graves de servidores públicos, así como por actos u omisiones de personas físicas o jurídicas colectivas que se encuentran vinculadas con las faltas administrativas graves. </w:t>
      </w:r>
    </w:p>
    <w:p w:rsidR="00000000" w:rsidDel="00000000" w:rsidP="00000000" w:rsidRDefault="00000000" w:rsidRPr="00000000" w14:paraId="0000007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debe mencionarse que cuando las </w:t>
      </w:r>
      <w:r w:rsidDel="00000000" w:rsidR="00000000" w:rsidRPr="00000000">
        <w:rPr>
          <w:rFonts w:ascii="Palatino Linotype" w:cs="Palatino Linotype" w:eastAsia="Palatino Linotype" w:hAnsi="Palatino Linotype"/>
          <w:b w:val="1"/>
          <w:rtl w:val="0"/>
        </w:rPr>
        <w:t xml:space="preserve">autoridades investigadoras </w:t>
      </w:r>
      <w:r w:rsidDel="00000000" w:rsidR="00000000" w:rsidRPr="00000000">
        <w:rPr>
          <w:rFonts w:ascii="Palatino Linotype" w:cs="Palatino Linotype" w:eastAsia="Palatino Linotype" w:hAnsi="Palatino Linotype"/>
          <w:rtl w:val="0"/>
        </w:rPr>
        <w:t xml:space="preserve">determinen que de los actos u omisiones investigados se desprende que el servidor público incurrió en la comisión de faltas administrativas graves y no graves, se deberá substanciar el procedimiento en cuanto a las faltas graves, para que el Tribunal de Justicia Administrativa sea quien imponga la sanción que corresponda a dicha falta administrativa grave.</w:t>
      </w:r>
    </w:p>
    <w:p w:rsidR="00000000" w:rsidDel="00000000" w:rsidP="00000000" w:rsidRDefault="00000000" w:rsidRPr="00000000" w14:paraId="00000071">
      <w:pPr>
        <w:tabs>
          <w:tab w:val="left" w:leader="none" w:pos="3544"/>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se colige que la Contraloría Interna Municipal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cuenta con atribuciones para conocer de la información solicitada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al ser el órgano responsable de investigación, substanciación y calificación de las faltas administrativas, así como de imponer sanciones respecto de las faltas administrativas no graves de los servidores públicos,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rsidR="00000000" w:rsidDel="00000000" w:rsidP="00000000" w:rsidRDefault="00000000" w:rsidRPr="00000000" w14:paraId="00000072">
      <w:pPr>
        <w:tabs>
          <w:tab w:val="left" w:leader="none" w:pos="1140"/>
        </w:tabs>
        <w:spacing w:after="240" w:before="240" w:line="360" w:lineRule="auto"/>
        <w:jc w:val="both"/>
        <w:rPr>
          <w:rFonts w:ascii="Palatino Linotype" w:cs="Palatino Linotype" w:eastAsia="Palatino Linotype" w:hAnsi="Palatino Linotype"/>
        </w:rPr>
      </w:pPr>
      <w:bookmarkStart w:colFirst="0" w:colLast="0" w:name="_heading=h.8gaipez7rs8q" w:id="9"/>
      <w:bookmarkEnd w:id="9"/>
      <w:r w:rsidDel="00000000" w:rsidR="00000000" w:rsidRPr="00000000">
        <w:rPr>
          <w:rFonts w:ascii="Palatino Linotype" w:cs="Palatino Linotype" w:eastAsia="Palatino Linotype" w:hAnsi="Palatino Linotype"/>
          <w:rtl w:val="0"/>
        </w:rPr>
        <w:t xml:space="preserve">Ahora bien, recordemos que la persona servidora pública habilitada de la Contraloría Municipal refirió que para tener acceso a la consulta de los expedientes se debía acreditar que se era parte en los términos del artículo 20 del Código de Procedimientos Administrativos del Estado de México, de aplicación supletoria a la Ley de Responsabilidades Administrativas del Estado de México y Municipios, que es del tenor literal siguiente:</w:t>
      </w:r>
    </w:p>
    <w:p w:rsidR="00000000" w:rsidDel="00000000" w:rsidP="00000000" w:rsidRDefault="00000000" w:rsidRPr="00000000" w14:paraId="00000073">
      <w:pPr>
        <w:tabs>
          <w:tab w:val="left" w:leader="none" w:pos="1140"/>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20.-</w:t>
      </w:r>
      <w:r w:rsidDel="00000000" w:rsidR="00000000" w:rsidRPr="00000000">
        <w:rPr>
          <w:rFonts w:ascii="Palatino Linotype" w:cs="Palatino Linotype" w:eastAsia="Palatino Linotype" w:hAnsi="Palatino Linotype"/>
          <w:i w:val="1"/>
          <w:sz w:val="22"/>
          <w:szCs w:val="22"/>
          <w:rtl w:val="0"/>
        </w:rPr>
        <w:t xml:space="preserve"> Las partes podrán consultar los expedientes en que se documenta el procedimiento y proceso administrativo y obtener copia certificada de los documentos y actuaciones que los integren.”</w:t>
      </w:r>
    </w:p>
    <w:p w:rsidR="00000000" w:rsidDel="00000000" w:rsidP="00000000" w:rsidRDefault="00000000" w:rsidRPr="00000000" w14:paraId="00000074">
      <w:pPr>
        <w:tabs>
          <w:tab w:val="left" w:leader="none" w:pos="114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lo anterior, refirió que la información requerida no encuadra en materia de acceso a la información pública, por lo que la solicitud de mérito no puede atenderse por esta vía.</w:t>
      </w:r>
    </w:p>
    <w:p w:rsidR="00000000" w:rsidDel="00000000" w:rsidP="00000000" w:rsidRDefault="00000000" w:rsidRPr="00000000" w14:paraId="00000075">
      <w:pPr>
        <w:tabs>
          <w:tab w:val="left" w:leader="none" w:pos="1140"/>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por lo que se refiere a las irregularidades cometidas por servidores públicos de elección popular que integran el Ayuntamiento, sugirió dirigir la solicitud a la autoridad competente.</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respecto de los </w:t>
      </w:r>
      <w:r w:rsidDel="00000000" w:rsidR="00000000" w:rsidRPr="00000000">
        <w:rPr>
          <w:rFonts w:ascii="Palatino Linotype" w:cs="Palatino Linotype" w:eastAsia="Palatino Linotype" w:hAnsi="Palatino Linotype"/>
          <w:b w:val="1"/>
          <w:rtl w:val="0"/>
        </w:rPr>
        <w:t xml:space="preserve">expedientes de procedimientos administrativos</w:t>
      </w:r>
      <w:r w:rsidDel="00000000" w:rsidR="00000000" w:rsidRPr="00000000">
        <w:rPr>
          <w:rFonts w:ascii="Palatino Linotype" w:cs="Palatino Linotype" w:eastAsia="Palatino Linotype" w:hAnsi="Palatino Linotype"/>
          <w:rtl w:val="0"/>
        </w:rPr>
        <w:t xml:space="preserve">, es dable señalar que de conformidad con el artículo 92, fracción XXII, de la Ley de Transparencia y Acceso a la Información Pública del Estado de México y Municipios, los sujetos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entre ellos, el listado de servidores públicos con sanciones administrativas definitivas, en donde se especifique la causa de sanción y la disposición, como se lee en seguida, </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listado de Servidores Públicos con sanciones administrativas definitivas</w:t>
      </w:r>
      <w:r w:rsidDel="00000000" w:rsidR="00000000" w:rsidRPr="00000000">
        <w:rPr>
          <w:rFonts w:ascii="Palatino Linotype" w:cs="Palatino Linotype" w:eastAsia="Palatino Linotype" w:hAnsi="Palatino Linotype"/>
          <w:i w:val="1"/>
          <w:sz w:val="22"/>
          <w:szCs w:val="22"/>
          <w:rtl w:val="0"/>
        </w:rPr>
        <w:t xml:space="preserve">, especificando la causa de sanción y la disposición;"</w:t>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w:t>
      </w:r>
      <w:r w:rsidDel="00000000" w:rsidR="00000000" w:rsidRPr="00000000">
        <w:rPr>
          <w:rFonts w:ascii="Palatino Linotype" w:cs="Palatino Linotype" w:eastAsia="Palatino Linotype" w:hAnsi="Palatino Linotype"/>
          <w:b w:val="1"/>
          <w:u w:val="single"/>
          <w:rtl w:val="0"/>
        </w:rPr>
        <w:t xml:space="preserve">sólo pueden ser dadas a conocer las responsabilidades administrativas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por faltas graves</w:t>
      </w:r>
      <w:r w:rsidDel="00000000" w:rsidR="00000000" w:rsidRPr="00000000">
        <w:rPr>
          <w:rFonts w:ascii="Palatino Linotype" w:cs="Palatino Linotype" w:eastAsia="Palatino Linotype" w:hAnsi="Palatino Linotype"/>
          <w:rtl w:val="0"/>
        </w:rPr>
        <w:t xml:space="preserve">. Lo anterior, con motivo de la entrada en vigor de la Ley del Sistema Anticorrupción del Estado de México y Municipios publicada en el periódico oficial "Gaceta del Gobierno" el treinta de mayo de 2017, que establece que </w:t>
      </w:r>
      <w:r w:rsidDel="00000000" w:rsidR="00000000" w:rsidRPr="00000000">
        <w:rPr>
          <w:rFonts w:ascii="Palatino Linotype" w:cs="Palatino Linotype" w:eastAsia="Palatino Linotype" w:hAnsi="Palatino Linotype"/>
          <w:b w:val="1"/>
          <w:u w:val="single"/>
          <w:rtl w:val="0"/>
        </w:rPr>
        <w:t xml:space="preserve">las sanciones no graves no serán públicas</w:t>
      </w:r>
      <w:r w:rsidDel="00000000" w:rsidR="00000000" w:rsidRPr="00000000">
        <w:rPr>
          <w:rFonts w:ascii="Palatino Linotype" w:cs="Palatino Linotype" w:eastAsia="Palatino Linotype" w:hAnsi="Palatino Linotype"/>
          <w:rtl w:val="0"/>
        </w:rPr>
        <w:t xml:space="preserve">,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 Las sanciones impuestas por faltas administrativas graves serán del conocimiento público </w:t>
      </w:r>
      <w:r w:rsidDel="00000000" w:rsidR="00000000" w:rsidRPr="00000000">
        <w:rPr>
          <w:rFonts w:ascii="Palatino Linotype" w:cs="Palatino Linotype" w:eastAsia="Palatino Linotype" w:hAnsi="Palatino Linotype"/>
          <w:b w:val="1"/>
          <w:i w:val="1"/>
          <w:sz w:val="22"/>
          <w:szCs w:val="22"/>
          <w:u w:val="single"/>
          <w:rtl w:val="0"/>
        </w:rPr>
        <w:t xml:space="preserve">cuando éstas contengan impedimentos o inhabilitaciones</w:t>
      </w:r>
      <w:r w:rsidDel="00000000" w:rsidR="00000000" w:rsidRPr="00000000">
        <w:rPr>
          <w:rFonts w:ascii="Palatino Linotype" w:cs="Palatino Linotype" w:eastAsia="Palatino Linotype" w:hAnsi="Palatino Linotype"/>
          <w:i w:val="1"/>
          <w:sz w:val="22"/>
          <w:szCs w:val="22"/>
          <w:rtl w:val="0"/>
        </w:rPr>
        <w:t xml:space="preserve"> para ser contratados como servidores públicos o como prestadores de servicios o contratistas del sector público, en términos de la Ley de Responsabilidades Administrativas del Estado de México y Municipios.</w:t>
      </w:r>
    </w:p>
    <w:p w:rsidR="00000000" w:rsidDel="00000000" w:rsidP="00000000" w:rsidRDefault="00000000" w:rsidRPr="00000000" w14:paraId="0000007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registros de </w:t>
      </w:r>
      <w:r w:rsidDel="00000000" w:rsidR="00000000" w:rsidRPr="00000000">
        <w:rPr>
          <w:rFonts w:ascii="Palatino Linotype" w:cs="Palatino Linotype" w:eastAsia="Palatino Linotype" w:hAnsi="Palatino Linotype"/>
          <w:b w:val="1"/>
          <w:i w:val="1"/>
          <w:sz w:val="22"/>
          <w:szCs w:val="22"/>
          <w:u w:val="single"/>
          <w:rtl w:val="0"/>
        </w:rPr>
        <w:t xml:space="preserve">las sanciones relativas a responsabilidades administrativas no graves, quedarán registradas para efectos de eventual reincidencia, pero no serán públicas.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importante, referir que la Ley de Responsabilidades Administrativas del Estado de México y Municipios, vigente, señala como faltas administrativas graves y no graves, lo siguiente:</w:t>
      </w:r>
    </w:p>
    <w:p w:rsidR="00000000" w:rsidDel="00000000" w:rsidP="00000000" w:rsidRDefault="00000000" w:rsidRPr="00000000" w14:paraId="0000007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br w:type="textWrapping"/>
        <w:t xml:space="preserve">...</w:t>
      </w:r>
    </w:p>
    <w:p w:rsidR="00000000" w:rsidDel="00000000" w:rsidP="00000000" w:rsidRDefault="00000000" w:rsidRPr="00000000" w14:paraId="0000007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Falta administrativa no grave</w:t>
      </w:r>
      <w:r w:rsidDel="00000000" w:rsidR="00000000" w:rsidRPr="00000000">
        <w:rPr>
          <w:rFonts w:ascii="Palatino Linotype" w:cs="Palatino Linotype" w:eastAsia="Palatino Linotype" w:hAnsi="Palatino Linotype"/>
          <w:i w:val="1"/>
          <w:sz w:val="22"/>
          <w:szCs w:val="22"/>
          <w:rtl w:val="0"/>
        </w:rPr>
        <w:t xml:space="preserve">: A las faltas administrativas de los servidores públicos en los términos de la presente Ley, cuya imposición de la sanción corresponde a la Secretaría de la Contraloría del Estado de México y a los órganos internos de control.</w:t>
      </w:r>
    </w:p>
    <w:p w:rsidR="00000000" w:rsidDel="00000000" w:rsidP="00000000" w:rsidRDefault="00000000" w:rsidRPr="00000000" w14:paraId="0000008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Falta administrativa grave</w:t>
      </w:r>
      <w:r w:rsidDel="00000000" w:rsidR="00000000" w:rsidRPr="00000000">
        <w:rPr>
          <w:rFonts w:ascii="Palatino Linotype" w:cs="Palatino Linotype" w:eastAsia="Palatino Linotype" w:hAnsi="Palatino Linotype"/>
          <w:i w:val="1"/>
          <w:sz w:val="22"/>
          <w:szCs w:val="22"/>
          <w:rtl w:val="0"/>
        </w:rPr>
        <w:t xml:space="preserve">: A las faltas administrativas de los servidores públicos catalogadas como graves en los términos de la presente Ley, cuya sanción corresponde al Tribunal de Justicia Administrativa del Estado de México..."</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50. Incurre en </w:t>
      </w:r>
      <w:r w:rsidDel="00000000" w:rsidR="00000000" w:rsidRPr="00000000">
        <w:rPr>
          <w:rFonts w:ascii="Palatino Linotype" w:cs="Palatino Linotype" w:eastAsia="Palatino Linotype" w:hAnsi="Palatino Linotype"/>
          <w:b w:val="1"/>
          <w:i w:val="1"/>
          <w:sz w:val="22"/>
          <w:szCs w:val="22"/>
          <w:u w:val="single"/>
          <w:rtl w:val="0"/>
        </w:rPr>
        <w:t xml:space="preserve">falta administrativa no grave</w:t>
      </w:r>
      <w:r w:rsidDel="00000000" w:rsidR="00000000" w:rsidRPr="00000000">
        <w:rPr>
          <w:rFonts w:ascii="Palatino Linotype" w:cs="Palatino Linotype" w:eastAsia="Palatino Linotype" w:hAnsi="Palatino Linotype"/>
          <w:b w:val="1"/>
          <w:i w:val="1"/>
          <w:sz w:val="22"/>
          <w:szCs w:val="22"/>
          <w:rtl w:val="0"/>
        </w:rPr>
        <w:t xml:space="preserve">, el servidor público que con sus actos u omisiones, incumpla o transgreda las obligaciones siguientes: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Denunciar los actos u omisiones que en ejercicio de sus funciones llegare a advertir, que puedan constituir faltas administrativas en términos del artículo 95 de la presente Ley.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Presentar en tiempo y forma la declaración de situación patrimonial y la de intereses que, en su caso, considere se actualice, en los términos establecidos por esta Ley.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Rendir cuentas sobre el ejercicio de las funciones, en términos de las normas aplicables.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Colaborar en los procedimientos judiciales y administrativos en los que sea parte.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Observar buena conducta en su empleo, cargo o comisión tratando con respeto, diligencia, imparcialidad y rectitud a las personas y servidores públicos con los que tenga relación con motivo de éste.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Observar un trato respetuoso con sus subalternos.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Supervisar que los servidores públicos sujetos a su dirección, cumplan con las disposiciones de esta Ley.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Cumplir con la entrega de índole administrativo del despacho y de toda aquella documentación inherente a su cargo, en los términos que establezcan las disposiciones legales o administrativas que al efecto se señalen.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XIV.</w:t>
      </w:r>
      <w:r w:rsidDel="00000000" w:rsidR="00000000" w:rsidRPr="00000000">
        <w:rPr>
          <w:rFonts w:ascii="Palatino Linotype" w:cs="Palatino Linotype" w:eastAsia="Palatino Linotype" w:hAnsi="Palatino Linotype"/>
          <w:i w:val="1"/>
          <w:sz w:val="22"/>
          <w:szCs w:val="22"/>
          <w:rtl w:val="0"/>
        </w:rPr>
        <w:t xml:space="preserve"> Proporcionar, en su caso, en tiempo y forma ante las dependencias competentes, la documentación comprobatoria de la aplicación de recursos económicos federales, estatales o municipales, asignados a través de los programas respectivos.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w:t>
      </w:r>
      <w:r w:rsidDel="00000000" w:rsidR="00000000" w:rsidRPr="00000000">
        <w:rPr>
          <w:rFonts w:ascii="Palatino Linotype" w:cs="Palatino Linotype" w:eastAsia="Palatino Linotype" w:hAnsi="Palatino Linotype"/>
          <w:i w:val="1"/>
          <w:sz w:val="22"/>
          <w:szCs w:val="22"/>
          <w:rtl w:val="0"/>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w:t>
      </w:r>
      <w:r w:rsidDel="00000000" w:rsidR="00000000" w:rsidRPr="00000000">
        <w:rPr>
          <w:rFonts w:ascii="Palatino Linotype" w:cs="Palatino Linotype" w:eastAsia="Palatino Linotype" w:hAnsi="Palatino Linotype"/>
          <w:i w:val="1"/>
          <w:sz w:val="22"/>
          <w:szCs w:val="22"/>
          <w:rtl w:val="0"/>
        </w:rPr>
        <w:t xml:space="preserve"> Cumplir con las disposiciones en materia de Gobierno Digital que impongan la Ley de la materia, su reglamento y demás disposiciones aplicables.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w:t>
      </w:r>
      <w:r w:rsidDel="00000000" w:rsidR="00000000" w:rsidRPr="00000000">
        <w:rPr>
          <w:rFonts w:ascii="Palatino Linotype" w:cs="Palatino Linotype" w:eastAsia="Palatino Linotype" w:hAnsi="Palatino Linotype"/>
          <w:i w:val="1"/>
          <w:sz w:val="22"/>
          <w:szCs w:val="22"/>
          <w:rtl w:val="0"/>
        </w:rPr>
        <w:t xml:space="preserve"> Utilizar las medidas de seguridad informática y protección de datos e información personal recomendada por las instancias competentes.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w:t>
      </w:r>
      <w:r w:rsidDel="00000000" w:rsidR="00000000" w:rsidRPr="00000000">
        <w:rPr>
          <w:rFonts w:ascii="Palatino Linotype" w:cs="Palatino Linotype" w:eastAsia="Palatino Linotype" w:hAnsi="Palatino Linotype"/>
          <w:i w:val="1"/>
          <w:sz w:val="22"/>
          <w:szCs w:val="22"/>
          <w:rtl w:val="0"/>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Rule="auto"/>
        <w:ind w:left="993"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XIX.</w:t>
      </w:r>
      <w:r w:rsidDel="00000000" w:rsidR="00000000" w:rsidRPr="00000000">
        <w:rPr>
          <w:rFonts w:ascii="Palatino Linotype" w:cs="Palatino Linotype" w:eastAsia="Palatino Linotype" w:hAnsi="Palatino Linotype"/>
          <w:i w:val="1"/>
          <w:sz w:val="22"/>
          <w:szCs w:val="22"/>
          <w:rtl w:val="0"/>
        </w:rPr>
        <w:t xml:space="preserve"> Las demás que le impongan las leyes, reglamentos o disposiciones administrativas aplicables.”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el artículo 51 de la Ley de Responsabilidades Administrativas indica que </w:t>
      </w:r>
      <w:r w:rsidDel="00000000" w:rsidR="00000000" w:rsidRPr="00000000">
        <w:rPr>
          <w:rFonts w:ascii="Palatino Linotype" w:cs="Palatino Linotype" w:eastAsia="Palatino Linotype" w:hAnsi="Palatino Linotype"/>
          <w:b w:val="1"/>
          <w:rtl w:val="0"/>
        </w:rPr>
        <w:t xml:space="preserve">también serán consideradas faltas administrativas </w:t>
      </w:r>
      <w:r w:rsidDel="00000000" w:rsidR="00000000" w:rsidRPr="00000000">
        <w:rPr>
          <w:rFonts w:ascii="Palatino Linotype" w:cs="Palatino Linotype" w:eastAsia="Palatino Linotype" w:hAnsi="Palatino Linotype"/>
          <w:b w:val="1"/>
          <w:u w:val="single"/>
          <w:rtl w:val="0"/>
        </w:rPr>
        <w:t xml:space="preserve">no graves</w:t>
      </w:r>
      <w:r w:rsidDel="00000000" w:rsidR="00000000" w:rsidRPr="00000000">
        <w:rPr>
          <w:rFonts w:ascii="Palatino Linotype" w:cs="Palatino Linotype" w:eastAsia="Palatino Linotype" w:hAnsi="Palatino Linotype"/>
          <w:b w:val="1"/>
          <w:rtl w:val="0"/>
        </w:rPr>
        <w:t xml:space="preserve">, los daños y perjuicios</w:t>
      </w:r>
      <w:r w:rsidDel="00000000" w:rsidR="00000000" w:rsidRPr="00000000">
        <w:rPr>
          <w:rFonts w:ascii="Palatino Linotype" w:cs="Palatino Linotype" w:eastAsia="Palatino Linotype" w:hAnsi="Palatino Linotype"/>
          <w:rtl w:val="0"/>
        </w:rPr>
        <w:t xml:space="preserve"> que </w:t>
      </w:r>
      <w:r w:rsidDel="00000000" w:rsidR="00000000" w:rsidRPr="00000000">
        <w:rPr>
          <w:rFonts w:ascii="Palatino Linotype" w:cs="Palatino Linotype" w:eastAsia="Palatino Linotype" w:hAnsi="Palatino Linotype"/>
          <w:b w:val="1"/>
          <w:u w:val="single"/>
          <w:rtl w:val="0"/>
        </w:rPr>
        <w:t xml:space="preserve">de manera culposa o negligente y sin incurrir en alguna de las faltas administrativas graves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cause un servidor público a la Hacienda Pública o al patrimonio de un ente público</w:t>
      </w:r>
      <w:r w:rsidDel="00000000" w:rsidR="00000000" w:rsidRPr="00000000">
        <w:rPr>
          <w:rFonts w:ascii="Palatino Linotype" w:cs="Palatino Linotype" w:eastAsia="Palatino Linotype" w:hAnsi="Palatino Linotype"/>
          <w:rtl w:val="0"/>
        </w:rPr>
        <w:t xml:space="preserve">, siendo de suma importancia mencionar que la autoridad resolutora podrá abstenerse de imponer la sanción que corresponda </w:t>
      </w:r>
      <w:r w:rsidDel="00000000" w:rsidR="00000000" w:rsidRPr="00000000">
        <w:rPr>
          <w:rFonts w:ascii="Palatino Linotype" w:cs="Palatino Linotype" w:eastAsia="Palatino Linotype" w:hAnsi="Palatino Linotype"/>
          <w:b w:val="1"/>
          <w:rtl w:val="0"/>
        </w:rPr>
        <w:t xml:space="preserve">cuando el daño o perjuicio</w:t>
      </w:r>
      <w:r w:rsidDel="00000000" w:rsidR="00000000" w:rsidRPr="00000000">
        <w:rPr>
          <w:rFonts w:ascii="Palatino Linotype" w:cs="Palatino Linotype" w:eastAsia="Palatino Linotype" w:hAnsi="Palatino Linotype"/>
          <w:rtl w:val="0"/>
        </w:rPr>
        <w:t xml:space="preserve"> a la Hacienda Pública Estatal o Municipal o al patrimonio de los entes públicos </w:t>
      </w:r>
      <w:r w:rsidDel="00000000" w:rsidR="00000000" w:rsidRPr="00000000">
        <w:rPr>
          <w:rFonts w:ascii="Palatino Linotype" w:cs="Palatino Linotype" w:eastAsia="Palatino Linotype" w:hAnsi="Palatino Linotype"/>
          <w:b w:val="1"/>
          <w:rtl w:val="0"/>
        </w:rPr>
        <w:t xml:space="preserve">no exceda de dos mil veces el valor diario de la unidad de medida y actualización y el daño haya sido resarcido o recuperado</w:t>
      </w:r>
      <w:r w:rsidDel="00000000" w:rsidR="00000000" w:rsidRPr="00000000">
        <w:rPr>
          <w:rFonts w:ascii="Palatino Linotype" w:cs="Palatino Linotype" w:eastAsia="Palatino Linotype" w:hAnsi="Palatino Linotype"/>
          <w:rtl w:val="0"/>
        </w:rPr>
        <w:t xml:space="preserve">, tal como se lee en seguida: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51.</w:t>
      </w:r>
      <w:r w:rsidDel="00000000" w:rsidR="00000000" w:rsidRPr="00000000">
        <w:rPr>
          <w:rFonts w:ascii="Palatino Linotype" w:cs="Palatino Linotype" w:eastAsia="Palatino Linotype" w:hAnsi="Palatino Linotype"/>
          <w:i w:val="1"/>
          <w:sz w:val="22"/>
          <w:szCs w:val="22"/>
          <w:rtl w:val="0"/>
        </w:rPr>
        <w:t xml:space="preserve"> También se considerará </w:t>
      </w:r>
      <w:r w:rsidDel="00000000" w:rsidR="00000000" w:rsidRPr="00000000">
        <w:rPr>
          <w:rFonts w:ascii="Palatino Linotype" w:cs="Palatino Linotype" w:eastAsia="Palatino Linotype" w:hAnsi="Palatino Linotype"/>
          <w:b w:val="1"/>
          <w:i w:val="1"/>
          <w:sz w:val="22"/>
          <w:szCs w:val="22"/>
          <w:rtl w:val="0"/>
        </w:rPr>
        <w:t xml:space="preserve">falta administrativa no grave, los daños y perjuicios que, de manera culposa o negligente y sin incurrir en alguna de las faltas administrativas graves</w:t>
      </w:r>
      <w:r w:rsidDel="00000000" w:rsidR="00000000" w:rsidRPr="00000000">
        <w:rPr>
          <w:rFonts w:ascii="Palatino Linotype" w:cs="Palatino Linotype" w:eastAsia="Palatino Linotype" w:hAnsi="Palatino Linotype"/>
          <w:i w:val="1"/>
          <w:sz w:val="22"/>
          <w:szCs w:val="22"/>
          <w:rtl w:val="0"/>
        </w:rPr>
        <w:t xml:space="preserve"> señaladas en el Capítulo siguiente, </w:t>
      </w:r>
      <w:r w:rsidDel="00000000" w:rsidR="00000000" w:rsidRPr="00000000">
        <w:rPr>
          <w:rFonts w:ascii="Palatino Linotype" w:cs="Palatino Linotype" w:eastAsia="Palatino Linotype" w:hAnsi="Palatino Linotype"/>
          <w:b w:val="1"/>
          <w:i w:val="1"/>
          <w:sz w:val="22"/>
          <w:szCs w:val="22"/>
          <w:rtl w:val="0"/>
        </w:rPr>
        <w:t xml:space="preserve">cause un servidor público a la Hacienda Pública o al patrimonio de un ente público.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rtl w:val="0"/>
        </w:rPr>
        <w:t xml:space="preserve">autoridad resolutora podrá abstenerse de imponer la sanción que corresponda</w:t>
      </w:r>
      <w:r w:rsidDel="00000000" w:rsidR="00000000" w:rsidRPr="00000000">
        <w:rPr>
          <w:rFonts w:ascii="Palatino Linotype" w:cs="Palatino Linotype" w:eastAsia="Palatino Linotype" w:hAnsi="Palatino Linotype"/>
          <w:i w:val="1"/>
          <w:sz w:val="22"/>
          <w:szCs w:val="22"/>
          <w:rtl w:val="0"/>
        </w:rPr>
        <w:t xml:space="preserve"> conforme al artículo 79 de esta Ley </w:t>
      </w:r>
      <w:r w:rsidDel="00000000" w:rsidR="00000000" w:rsidRPr="00000000">
        <w:rPr>
          <w:rFonts w:ascii="Palatino Linotype" w:cs="Palatino Linotype" w:eastAsia="Palatino Linotype" w:hAnsi="Palatino Linotype"/>
          <w:b w:val="1"/>
          <w:i w:val="1"/>
          <w:sz w:val="22"/>
          <w:szCs w:val="22"/>
          <w:rtl w:val="0"/>
        </w:rPr>
        <w:t xml:space="preserve">cuando el daño o perjuicio a la Hacienda Pública Estatal o Municipal o al patrimonio de los entes públicos no exceda de dos mil veces el valor diario de la unidad de medida y actualización y el daño haya sido resarcido o recuperado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w:t>
      </w:r>
      <w:r w:rsidDel="00000000" w:rsidR="00000000" w:rsidRPr="00000000">
        <w:rPr>
          <w:rFonts w:ascii="Palatino Linotype" w:cs="Palatino Linotype" w:eastAsia="Palatino Linotype" w:hAnsi="Palatino Linotype"/>
          <w:b w:val="1"/>
          <w:rtl w:val="0"/>
        </w:rPr>
        <w:t xml:space="preserve">los daños y perjuicios que cause un servidor público a la Hacienda Pública o al patrimonio de un ente público</w:t>
      </w:r>
      <w:r w:rsidDel="00000000" w:rsidR="00000000" w:rsidRPr="00000000">
        <w:rPr>
          <w:rFonts w:ascii="Palatino Linotype" w:cs="Palatino Linotype" w:eastAsia="Palatino Linotype" w:hAnsi="Palatino Linotype"/>
          <w:rtl w:val="0"/>
        </w:rPr>
        <w:t xml:space="preserve">, también</w:t>
      </w:r>
      <w:r w:rsidDel="00000000" w:rsidR="00000000" w:rsidRPr="00000000">
        <w:rPr>
          <w:rFonts w:ascii="Palatino Linotype" w:cs="Palatino Linotype" w:eastAsia="Palatino Linotype" w:hAnsi="Palatino Linotype"/>
          <w:b w:val="1"/>
          <w:rtl w:val="0"/>
        </w:rPr>
        <w:t xml:space="preserve"> podrán ser considerados como una falta </w:t>
      </w:r>
      <w:r w:rsidDel="00000000" w:rsidR="00000000" w:rsidRPr="00000000">
        <w:rPr>
          <w:rFonts w:ascii="Palatino Linotype" w:cs="Palatino Linotype" w:eastAsia="Palatino Linotype" w:hAnsi="Palatino Linotype"/>
          <w:b w:val="1"/>
          <w:u w:val="single"/>
          <w:rtl w:val="0"/>
        </w:rPr>
        <w:t xml:space="preserve">no grave</w:t>
      </w:r>
      <w:r w:rsidDel="00000000" w:rsidR="00000000" w:rsidRPr="00000000">
        <w:rPr>
          <w:rFonts w:ascii="Palatino Linotype" w:cs="Palatino Linotype" w:eastAsia="Palatino Linotype" w:hAnsi="Palatino Linotype"/>
          <w:rtl w:val="0"/>
        </w:rPr>
        <w:t xml:space="preserve">, para lo cual se deben actualizar los siguientes supuestos:</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1. </w:t>
      </w:r>
      <w:r w:rsidDel="00000000" w:rsidR="00000000" w:rsidRPr="00000000">
        <w:rPr>
          <w:rFonts w:ascii="Palatino Linotype" w:cs="Palatino Linotype" w:eastAsia="Palatino Linotype" w:hAnsi="Palatino Linotype"/>
          <w:rtl w:val="0"/>
        </w:rPr>
        <w:t xml:space="preserve">El daño o perjuicio se hubiera ocasionado de manera culposa o negligente, esto es sin dolo.</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No debe incurrir en alguna de las faltas administrativas graves.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No exceda de dos mil veces el valor diario de la unidad de medida y actualización.</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line="360" w:lineRule="auto"/>
        <w:ind w:left="284"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4. El daño haya sido </w:t>
      </w:r>
      <w:r w:rsidDel="00000000" w:rsidR="00000000" w:rsidRPr="00000000">
        <w:rPr>
          <w:rFonts w:ascii="Palatino Linotype" w:cs="Palatino Linotype" w:eastAsia="Palatino Linotype" w:hAnsi="Palatino Linotype"/>
          <w:sz w:val="22"/>
          <w:szCs w:val="22"/>
          <w:rtl w:val="0"/>
        </w:rPr>
        <w:t xml:space="preserve">resarcido o recuperado.</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caso contrario, los daños o perjuicios </w:t>
      </w:r>
      <w:r w:rsidDel="00000000" w:rsidR="00000000" w:rsidRPr="00000000">
        <w:rPr>
          <w:rFonts w:ascii="Palatino Linotype" w:cs="Palatino Linotype" w:eastAsia="Palatino Linotype" w:hAnsi="Palatino Linotype"/>
          <w:b w:val="1"/>
          <w:rtl w:val="0"/>
        </w:rPr>
        <w:t xml:space="preserve">se considerarán como faltas graves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 las faltas administrativas graves, la Ley de Responsabilidades determina que serán consideradas las siguientes:</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52. Para efectos de la presente Ley, se consideran </w:t>
      </w:r>
      <w:r w:rsidDel="00000000" w:rsidR="00000000" w:rsidRPr="00000000">
        <w:rPr>
          <w:rFonts w:ascii="Palatino Linotype" w:cs="Palatino Linotype" w:eastAsia="Palatino Linotype" w:hAnsi="Palatino Linotype"/>
          <w:b w:val="1"/>
          <w:i w:val="1"/>
          <w:sz w:val="22"/>
          <w:szCs w:val="22"/>
          <w:u w:val="single"/>
          <w:rtl w:val="0"/>
        </w:rPr>
        <w:t xml:space="preserve">faltas administrativas graves</w:t>
      </w:r>
      <w:r w:rsidDel="00000000" w:rsidR="00000000" w:rsidRPr="00000000">
        <w:rPr>
          <w:rFonts w:ascii="Palatino Linotype" w:cs="Palatino Linotype" w:eastAsia="Palatino Linotype" w:hAnsi="Palatino Linotype"/>
          <w:b w:val="1"/>
          <w:i w:val="1"/>
          <w:sz w:val="22"/>
          <w:szCs w:val="22"/>
          <w:rtl w:val="0"/>
        </w:rPr>
        <w:t xml:space="preserve"> de los servidores públicos, mediante cualquier acto u omisión, las siguientes: </w:t>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cohecho.</w:t>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peculado. </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desvío de recursos públicos. </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utilización indebida de información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El abuso de funciones. </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Cometer o tolerar conductas de hostigamiento y acoso sexual. </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El actuar bajo conflicto de interés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contratación indebida.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El enriquecimiento oculto u ocultamiento de conflicto de interés. </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w:t>
      </w:r>
      <w:r w:rsidDel="00000000" w:rsidR="00000000" w:rsidRPr="00000000">
        <w:rPr>
          <w:rFonts w:ascii="Palatino Linotype" w:cs="Palatino Linotype" w:eastAsia="Palatino Linotype" w:hAnsi="Palatino Linotype"/>
          <w:i w:val="1"/>
          <w:sz w:val="22"/>
          <w:szCs w:val="22"/>
          <w:rtl w:val="0"/>
        </w:rPr>
        <w:t xml:space="preserve">. El tráfico de influencias. </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El encubrimiento. </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w:t>
      </w:r>
      <w:r w:rsidDel="00000000" w:rsidR="00000000" w:rsidRPr="00000000">
        <w:rPr>
          <w:rFonts w:ascii="Palatino Linotype" w:cs="Palatino Linotype" w:eastAsia="Palatino Linotype" w:hAnsi="Palatino Linotype"/>
          <w:i w:val="1"/>
          <w:sz w:val="22"/>
          <w:szCs w:val="22"/>
          <w:rtl w:val="0"/>
        </w:rPr>
        <w:t xml:space="preserve"> El desacato. </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w:t>
      </w:r>
      <w:r w:rsidDel="00000000" w:rsidR="00000000" w:rsidRPr="00000000">
        <w:rPr>
          <w:rFonts w:ascii="Palatino Linotype" w:cs="Palatino Linotype" w:eastAsia="Palatino Linotype" w:hAnsi="Palatino Linotype"/>
          <w:i w:val="1"/>
          <w:sz w:val="22"/>
          <w:szCs w:val="22"/>
          <w:rtl w:val="0"/>
        </w:rPr>
        <w:t xml:space="preserve"> La obstrucción de la Justicia.”</w:t>
      </w:r>
    </w:p>
    <w:p w:rsidR="00000000" w:rsidDel="00000000" w:rsidP="00000000" w:rsidRDefault="00000000" w:rsidRPr="00000000" w14:paraId="000000B0">
      <w:pPr>
        <w:tabs>
          <w:tab w:val="left" w:leader="none" w:pos="2100"/>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referencia a lo anterior, y de la naturaleza específica de lo solicitado, se procede marcar la pauta sobre la respuesta que en el caso debe proporcionar el </w:t>
      </w:r>
      <w:r w:rsidDel="00000000" w:rsidR="00000000" w:rsidRPr="00000000">
        <w:rPr>
          <w:rFonts w:ascii="Palatino Linotype" w:cs="Palatino Linotype" w:eastAsia="Palatino Linotype" w:hAnsi="Palatino Linotype"/>
          <w:b w:val="1"/>
          <w:rtl w:val="0"/>
        </w:rPr>
        <w:t xml:space="preserve">Sujeto Obligado: </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los procedimientos sobre faltas administrativas que se encuentren en trámite.</w:t>
      </w:r>
    </w:p>
    <w:p w:rsidR="00000000" w:rsidDel="00000000" w:rsidP="00000000" w:rsidRDefault="00000000" w:rsidRPr="00000000" w14:paraId="000000B2">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necesario mencionar que el realizar un pronunciamiento sobre la existencia de un procedimiento de posibles responsabilidades </w:t>
      </w:r>
      <w:r w:rsidDel="00000000" w:rsidR="00000000" w:rsidRPr="00000000">
        <w:rPr>
          <w:rFonts w:ascii="Palatino Linotype" w:cs="Palatino Linotype" w:eastAsia="Palatino Linotype" w:hAnsi="Palatino Linotype"/>
          <w:b w:val="1"/>
          <w:u w:val="single"/>
          <w:rtl w:val="0"/>
        </w:rPr>
        <w:t xml:space="preserve">en trámite</w:t>
      </w:r>
      <w:r w:rsidDel="00000000" w:rsidR="00000000" w:rsidRPr="00000000">
        <w:rPr>
          <w:rFonts w:ascii="Palatino Linotype" w:cs="Palatino Linotype" w:eastAsia="Palatino Linotype" w:hAnsi="Palatino Linotype"/>
          <w:rtl w:val="0"/>
        </w:rPr>
        <w:t xml:space="preserve">, podría afectar a los servidores públicos presuntamente infractores, </w:t>
      </w:r>
      <w:r w:rsidDel="00000000" w:rsidR="00000000" w:rsidRPr="00000000">
        <w:rPr>
          <w:rFonts w:ascii="Palatino Linotype" w:cs="Palatino Linotype" w:eastAsia="Palatino Linotype" w:hAnsi="Palatino Linotype"/>
          <w:b w:val="1"/>
          <w:u w:val="single"/>
          <w:rtl w:val="0"/>
        </w:rPr>
        <w:t xml:space="preserve">pues se daría a conocer la existencia de una investigación en su contra, lo cual, generaría una percepción negativa de estos, sin que se hubiere probado su responsabilidad o culpabilidad, lo cual dañaría, su honor y su derecho a la presunción inocencia e inclusive su actividad profesional, pues aún no se juntan los elementos necesarios para iniciar la segunda etapa del procedimiento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B3">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rsidR="00000000" w:rsidDel="00000000" w:rsidP="00000000" w:rsidRDefault="00000000" w:rsidRPr="00000000" w14:paraId="000000B4">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del </w:t>
      </w:r>
      <w:r w:rsidDel="00000000" w:rsidR="00000000" w:rsidRPr="00000000">
        <w:rPr>
          <w:rFonts w:ascii="Palatino Linotype" w:cs="Palatino Linotype" w:eastAsia="Palatino Linotype" w:hAnsi="Palatino Linotype"/>
          <w:b w:val="1"/>
          <w:rtl w:val="0"/>
        </w:rPr>
        <w:t xml:space="preserve">derecho a la privacidad</w:t>
      </w:r>
      <w:r w:rsidDel="00000000" w:rsidR="00000000" w:rsidRPr="00000000">
        <w:rPr>
          <w:rFonts w:ascii="Palatino Linotype" w:cs="Palatino Linotype" w:eastAsia="Palatino Linotype" w:hAnsi="Palatino Linotype"/>
          <w:rtl w:val="0"/>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000000" w:rsidDel="00000000" w:rsidP="00000000" w:rsidRDefault="00000000" w:rsidRPr="00000000" w14:paraId="000000B5">
      <w:pPr>
        <w:tabs>
          <w:tab w:val="left" w:leader="none" w:pos="3962"/>
        </w:tabs>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A LA PRIVACIDAD O INTIMIDAD. ESTÁ PROTEGIDO POR EL ARTÍCULO 16, PRIMER PÁRRAFO, DE LA CONSTITUCIÓN POLÍTICA DE LOS ESTADOS UNIDOS MEXICANOS</w:t>
      </w:r>
      <w:r w:rsidDel="00000000" w:rsidR="00000000" w:rsidRPr="00000000">
        <w:rPr>
          <w:rFonts w:ascii="Palatino Linotype" w:cs="Palatino Linotype" w:eastAsia="Palatino Linotype" w:hAnsi="Palatino Linotype"/>
          <w:i w:val="1"/>
          <w:sz w:val="22"/>
          <w:szCs w:val="22"/>
          <w:rtl w:val="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000000" w:rsidDel="00000000" w:rsidP="00000000" w:rsidRDefault="00000000" w:rsidRPr="00000000" w14:paraId="000000B6">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000000" w:rsidDel="00000000" w:rsidP="00000000" w:rsidRDefault="00000000" w:rsidRPr="00000000" w14:paraId="000000B7">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rsidR="00000000" w:rsidDel="00000000" w:rsidP="00000000" w:rsidRDefault="00000000" w:rsidRPr="00000000" w14:paraId="000000B8">
      <w:pPr>
        <w:tabs>
          <w:tab w:val="left" w:leader="none" w:pos="3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Por lo que hace al </w:t>
      </w:r>
      <w:r w:rsidDel="00000000" w:rsidR="00000000" w:rsidRPr="00000000">
        <w:rPr>
          <w:rFonts w:ascii="Palatino Linotype" w:cs="Palatino Linotype" w:eastAsia="Palatino Linotype" w:hAnsi="Palatino Linotype"/>
          <w:b w:val="1"/>
          <w:rtl w:val="0"/>
        </w:rPr>
        <w:t xml:space="preserve">derecho al honor</w:t>
      </w:r>
      <w:r w:rsidDel="00000000" w:rsidR="00000000" w:rsidRPr="00000000">
        <w:rPr>
          <w:rFonts w:ascii="Palatino Linotype" w:cs="Palatino Linotype" w:eastAsia="Palatino Linotype" w:hAnsi="Palatino Linotype"/>
          <w:rtl w:val="0"/>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r w:rsidDel="00000000" w:rsidR="00000000" w:rsidRPr="00000000">
        <w:rPr>
          <w:rtl w:val="0"/>
        </w:rPr>
      </w:r>
    </w:p>
    <w:p w:rsidR="00000000" w:rsidDel="00000000" w:rsidP="00000000" w:rsidRDefault="00000000" w:rsidRPr="00000000" w14:paraId="000000B9">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r w:rsidDel="00000000" w:rsidR="00000000" w:rsidRPr="00000000">
        <w:rPr>
          <w:rtl w:val="0"/>
        </w:rPr>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el honor es el concepto que la persona tiene de sí misma o que los demás se han formado de ella, en virtud de su proceder o de la expresión de su calidad ética y social. </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Del="00000000" w:rsidR="00000000" w:rsidRPr="00000000">
        <w:rPr>
          <w:rFonts w:ascii="Palatino Linotype" w:cs="Palatino Linotype" w:eastAsia="Palatino Linotype" w:hAnsi="Palatino Linotype"/>
          <w:b w:val="1"/>
          <w:rtl w:val="0"/>
        </w:rPr>
        <w:t xml:space="preserve">En el aspecto objetivo, el honor es lesionado por todo aquello que afecta a la reputación que la persona merece.</w:t>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0BD">
      <w:pPr>
        <w:tabs>
          <w:tab w:val="left" w:leader="none" w:pos="7938"/>
        </w:tabs>
        <w:spacing w:after="120" w:before="120" w:line="276"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sz w:val="22"/>
          <w:szCs w:val="22"/>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r w:rsidDel="00000000" w:rsidR="00000000" w:rsidRPr="00000000">
        <w:rPr>
          <w:rtl w:val="0"/>
        </w:rPr>
      </w:r>
    </w:p>
    <w:p w:rsidR="00000000" w:rsidDel="00000000" w:rsidP="00000000" w:rsidRDefault="00000000" w:rsidRPr="00000000" w14:paraId="000000BE">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 la </w:t>
      </w:r>
      <w:r w:rsidDel="00000000" w:rsidR="00000000" w:rsidRPr="00000000">
        <w:rPr>
          <w:rFonts w:ascii="Palatino Linotype" w:cs="Palatino Linotype" w:eastAsia="Palatino Linotype" w:hAnsi="Palatino Linotype"/>
          <w:b w:val="1"/>
          <w:rtl w:val="0"/>
        </w:rPr>
        <w:t xml:space="preserve">presunción de inocencia, </w:t>
      </w:r>
      <w:r w:rsidDel="00000000" w:rsidR="00000000" w:rsidRPr="00000000">
        <w:rPr>
          <w:rFonts w:ascii="Palatino Linotype" w:cs="Palatino Linotype" w:eastAsia="Palatino Linotype" w:hAnsi="Palatino Linotype"/>
          <w:rtl w:val="0"/>
        </w:rPr>
        <w:t xml:space="preserve">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rsidR="00000000" w:rsidDel="00000000" w:rsidP="00000000" w:rsidRDefault="00000000" w:rsidRPr="00000000" w14:paraId="000000BF">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rsidR="00000000" w:rsidDel="00000000" w:rsidP="00000000" w:rsidRDefault="00000000" w:rsidRPr="00000000" w14:paraId="000000C0">
      <w:pPr>
        <w:tabs>
          <w:tab w:val="left" w:leader="none" w:pos="3962"/>
        </w:tabs>
        <w:spacing w:after="240" w:before="240" w:lineRule="auto"/>
        <w:ind w:left="993"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PRESUNCIÓN DE INOCENCIA COMO REGLA DE TRATO PROCESAL</w:t>
      </w:r>
      <w:r w:rsidDel="00000000" w:rsidR="00000000" w:rsidRPr="00000000">
        <w:rPr>
          <w:rFonts w:ascii="Palatino Linotype" w:cs="Palatino Linotype" w:eastAsia="Palatino Linotype" w:hAnsi="Palatino Linotype"/>
          <w:i w:val="1"/>
          <w:sz w:val="22"/>
          <w:szCs w:val="22"/>
          <w:rtl w:val="0"/>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rsidR="00000000" w:rsidDel="00000000" w:rsidP="00000000" w:rsidRDefault="00000000" w:rsidRPr="00000000" w14:paraId="000000C1">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rsidR="00000000" w:rsidDel="00000000" w:rsidP="00000000" w:rsidRDefault="00000000" w:rsidRPr="00000000" w14:paraId="000000C2">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000000" w:rsidDel="00000000" w:rsidP="00000000" w:rsidRDefault="00000000" w:rsidRPr="00000000" w14:paraId="000000C3">
      <w:pPr>
        <w:spacing w:after="120" w:before="120"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“PRESUNCIÓN DE INOCENCIA. ALCANCES DE ESE PRINCIPIO CONSTITUCIONAL. </w:t>
      </w:r>
      <w:r w:rsidDel="00000000" w:rsidR="00000000" w:rsidRPr="00000000">
        <w:rPr>
          <w:rFonts w:ascii="Palatino Linotype" w:cs="Palatino Linotype" w:eastAsia="Palatino Linotype" w:hAnsi="Palatino Linotype"/>
          <w:i w:val="1"/>
          <w:sz w:val="22"/>
          <w:szCs w:val="22"/>
          <w:rtl w:val="0"/>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000000" w:rsidDel="00000000" w:rsidP="00000000" w:rsidRDefault="00000000" w:rsidRPr="00000000" w14:paraId="000000C4">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000000" w:rsidDel="00000000" w:rsidP="00000000" w:rsidRDefault="00000000" w:rsidRPr="00000000" w14:paraId="000000C5">
      <w:pPr>
        <w:tabs>
          <w:tab w:val="left" w:leader="none" w:pos="3962"/>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se estima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conforme a la causal establecida en el artículo 140, fracción VI de la Ley de Transparencia y Acceso a la Información Pública del Estado de México y Municipios, el cual dispone lo siguiente:</w:t>
      </w:r>
    </w:p>
    <w:p w:rsidR="00000000" w:rsidDel="00000000" w:rsidP="00000000" w:rsidRDefault="00000000" w:rsidRPr="00000000" w14:paraId="000000C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C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C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diverso anterior, tenemos que la reserva procede cuando la publicidad de la información afecte o vulnere la conducción o los derechos del debido proceso en los procedimientos judiciales o administrativos, incluidos los de quejas, denuncias, inconformidades, responsabilidades administrativas y resarcitorias en tanto no hayan quedado firmes.</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rsidR="00000000" w:rsidDel="00000000" w:rsidP="00000000" w:rsidRDefault="00000000" w:rsidRPr="00000000" w14:paraId="000000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000000" w:rsidDel="00000000" w:rsidP="00000000" w:rsidRDefault="00000000" w:rsidRPr="00000000" w14:paraId="000000C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necesario tomar en cuenta el derecho al buen nombre y a la intimidad porque se considera que, hasta en tanto no exista una resolución firme, la publicación de la información solicitada afectaría la reputación de personas.</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de importante relevancia hacer del conocimiento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la información con la que cuente respecto de expedientes de procedimientos sobre responsabilidad administrativa que no han causado estado;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reservados dichos procedimientos conforme a los argumentos previamente señalados, y en términos del considerando siguiente.</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debe perderse de vista el contenido del artículo 142, fracción IV, de la Ley de Transparencia y Acceso a la Información Pública del Estado de México y Municipios, que es del tenor literal siguiente: </w:t>
      </w:r>
    </w:p>
    <w:p w:rsidR="00000000" w:rsidDel="00000000" w:rsidP="00000000" w:rsidRDefault="00000000" w:rsidRPr="00000000" w14:paraId="000000D0">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Bajo ninguna circunstancia podrá invocarse el carácter de reservado </w:t>
      </w:r>
      <w:r w:rsidDel="00000000" w:rsidR="00000000" w:rsidRPr="00000000">
        <w:rPr>
          <w:rFonts w:ascii="Palatino Linotype" w:cs="Palatino Linotype" w:eastAsia="Palatino Linotype" w:hAnsi="Palatino Linotype"/>
          <w:i w:val="1"/>
          <w:sz w:val="22"/>
          <w:szCs w:val="22"/>
          <w:rtl w:val="0"/>
        </w:rPr>
        <w:t xml:space="preserve">cuando: </w:t>
      </w:r>
    </w:p>
    <w:p w:rsidR="00000000" w:rsidDel="00000000" w:rsidP="00000000" w:rsidRDefault="00000000" w:rsidRPr="00000000" w14:paraId="000000D1">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violaciones graves de derechos humanos</w:t>
      </w:r>
      <w:r w:rsidDel="00000000" w:rsidR="00000000" w:rsidRPr="00000000">
        <w:rPr>
          <w:rFonts w:ascii="Palatino Linotype" w:cs="Palatino Linotype" w:eastAsia="Palatino Linotype" w:hAnsi="Palatino Linotype"/>
          <w:i w:val="1"/>
          <w:sz w:val="22"/>
          <w:szCs w:val="22"/>
          <w:rtl w:val="0"/>
        </w:rPr>
        <w:t xml:space="preserve">, calificada así por autoridad competente; </w:t>
      </w:r>
    </w:p>
    <w:p w:rsidR="00000000" w:rsidDel="00000000" w:rsidP="00000000" w:rsidRDefault="00000000" w:rsidRPr="00000000" w14:paraId="000000D2">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trate de la </w:t>
      </w:r>
      <w:r w:rsidDel="00000000" w:rsidR="00000000" w:rsidRPr="00000000">
        <w:rPr>
          <w:rFonts w:ascii="Palatino Linotype" w:cs="Palatino Linotype" w:eastAsia="Palatino Linotype" w:hAnsi="Palatino Linotype"/>
          <w:b w:val="1"/>
          <w:i w:val="1"/>
          <w:sz w:val="22"/>
          <w:szCs w:val="22"/>
          <w:rtl w:val="0"/>
        </w:rPr>
        <w:t xml:space="preserve">investigación de posibles violaciones graves de derechos humanos</w:t>
      </w:r>
      <w:r w:rsidDel="00000000" w:rsidR="00000000" w:rsidRPr="00000000">
        <w:rPr>
          <w:rFonts w:ascii="Palatino Linotype" w:cs="Palatino Linotype" w:eastAsia="Palatino Linotype" w:hAnsi="Palatino Linotype"/>
          <w:i w:val="1"/>
          <w:sz w:val="22"/>
          <w:szCs w:val="22"/>
          <w:rtl w:val="0"/>
        </w:rPr>
        <w:t xml:space="preserve"> aun cuando no exista pronunciamiento previo de autoridad competente, cuando se determine, a partir de criterios cuantitativos y cualitativos la trascendencia social de las violaciones; </w:t>
      </w:r>
    </w:p>
    <w:p w:rsidR="00000000" w:rsidDel="00000000" w:rsidP="00000000" w:rsidRDefault="00000000" w:rsidRPr="00000000" w14:paraId="000000D3">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delitos de lesa humanidad</w:t>
      </w:r>
      <w:r w:rsidDel="00000000" w:rsidR="00000000" w:rsidRPr="00000000">
        <w:rPr>
          <w:rFonts w:ascii="Palatino Linotype" w:cs="Palatino Linotype" w:eastAsia="Palatino Linotype" w:hAnsi="Palatino Linotype"/>
          <w:i w:val="1"/>
          <w:sz w:val="22"/>
          <w:szCs w:val="22"/>
          <w:rtl w:val="0"/>
        </w:rPr>
        <w:t xml:space="preserve"> conforme a los tratados ratificados por el Senado de la República, las resoluciones emitidas por organismos internacionales cuya competencia sea reconocida por el Estado Mexicano, así como en las disposiciones jurídicas aplicables; y </w:t>
      </w:r>
    </w:p>
    <w:p w:rsidR="00000000" w:rsidDel="00000000" w:rsidP="00000000" w:rsidRDefault="00000000" w:rsidRPr="00000000" w14:paraId="000000D4">
      <w:pPr>
        <w:tabs>
          <w:tab w:val="left" w:leader="none" w:pos="1134"/>
        </w:tabs>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trate de </w:t>
      </w:r>
      <w:r w:rsidDel="00000000" w:rsidR="00000000" w:rsidRPr="00000000">
        <w:rPr>
          <w:rFonts w:ascii="Palatino Linotype" w:cs="Palatino Linotype" w:eastAsia="Palatino Linotype" w:hAnsi="Palatino Linotype"/>
          <w:b w:val="1"/>
          <w:i w:val="1"/>
          <w:sz w:val="22"/>
          <w:szCs w:val="22"/>
          <w:rtl w:val="0"/>
        </w:rPr>
        <w:t xml:space="preserve">información relacionada con actos de corrupción</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aquella información que se relacione con violaciones graves a derechos humanos, delitos de lesa humanidad o actos de corrupción, no puede actualizar alguno de los supuestos de clasificación como información reservada establecidos en el artículo 140 de la Ley de Transparencia y Acceso a la Información Pública del Estado de México y Municipios.</w:t>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la Convención Interamericana contra la Corrupción, señala que </w:t>
      </w:r>
      <w:r w:rsidDel="00000000" w:rsidR="00000000" w:rsidRPr="00000000">
        <w:rPr>
          <w:rFonts w:ascii="Palatino Linotype" w:cs="Palatino Linotype" w:eastAsia="Palatino Linotype" w:hAnsi="Palatino Linotype"/>
          <w:b w:val="1"/>
          <w:u w:val="single"/>
          <w:rtl w:val="0"/>
        </w:rPr>
        <w:t xml:space="preserve">la corrupción socava la legitimidad de las instituciones públicas, atenta contra la sociedad, el orden moral y la justicia, así como contra el desarrollo integral de los pueblos</w:t>
      </w:r>
      <w:r w:rsidDel="00000000" w:rsidR="00000000" w:rsidRPr="00000000">
        <w:rPr>
          <w:rFonts w:ascii="Palatino Linotype" w:cs="Palatino Linotype" w:eastAsia="Palatino Linotype" w:hAnsi="Palatino Linotype"/>
          <w:rtl w:val="0"/>
        </w:rPr>
        <w:t xml:space="preserve">; asimismo, considera que el combate contra la corrupción fortalece las instituciones democráticas, evita distorsiones de la economía, vicios en la gestión pública y el deterioro de la moral social.</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específico, en el artículo VI de dicha Convención se señalan las siguientes conductas como actos de corrupción:</w:t>
      </w:r>
    </w:p>
    <w:p w:rsidR="00000000" w:rsidDel="00000000" w:rsidP="00000000" w:rsidRDefault="00000000" w:rsidRPr="00000000" w14:paraId="000000D9">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000000" w:rsidDel="00000000" w:rsidP="00000000" w:rsidRDefault="00000000" w:rsidRPr="00000000" w14:paraId="000000DA">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rsidR="00000000" w:rsidDel="00000000" w:rsidP="00000000" w:rsidRDefault="00000000" w:rsidRPr="00000000" w14:paraId="000000DB">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La realización por parte de un funcionario público o una persona que ejerza funciones públicas de cualquier acto u omisión en el ejercicio de sus funciones, con el fin de obtener ilícitamente beneficios para sí mismo o para un tercero;</w:t>
      </w:r>
    </w:p>
    <w:p w:rsidR="00000000" w:rsidDel="00000000" w:rsidP="00000000" w:rsidRDefault="00000000" w:rsidRPr="00000000" w14:paraId="000000DC">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El aprovechamiento doloso u ocultación de bienes provenientes de cualesquiera de los actos a los que se refiere el presente artículo; y</w:t>
      </w:r>
    </w:p>
    <w:p w:rsidR="00000000" w:rsidDel="00000000" w:rsidP="00000000" w:rsidRDefault="00000000" w:rsidRPr="00000000" w14:paraId="000000DD">
      <w:pPr>
        <w:spacing w:after="240"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 La participación como autor, coautor, instigador, cómplice, encubridor o en cualquier otra forma en la comisión, tentativa de comisión, asociación o confabulación para la comisión de cualquiera de los actos a los que se refiere el presente artículo.</w: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Bajo lo previo, es posible reflexionar que </w:t>
      </w:r>
      <w:r w:rsidDel="00000000" w:rsidR="00000000" w:rsidRPr="00000000">
        <w:rPr>
          <w:rFonts w:ascii="Palatino Linotype" w:cs="Palatino Linotype" w:eastAsia="Palatino Linotype" w:hAnsi="Palatino Linotype"/>
          <w:b w:val="1"/>
          <w:rtl w:val="0"/>
        </w:rPr>
        <w:t xml:space="preserve">la corrupción no solo es un fenómeno que debilita a las instituciones democráticas y a la gobernabilidad, sino que también, fomenta la impunidad, socava el Estado de derecho y exacerba la desigualdad, además de que afecta a los derechos humanos</w:t>
      </w:r>
      <w:r w:rsidDel="00000000" w:rsidR="00000000" w:rsidRPr="00000000">
        <w:rPr>
          <w:rFonts w:ascii="Palatino Linotype" w:cs="Palatino Linotype" w:eastAsia="Palatino Linotype" w:hAnsi="Palatino Linotype"/>
          <w:rtl w:val="0"/>
        </w:rPr>
        <w:t xml:space="preserve">, por lo que, </w:t>
      </w:r>
      <w:r w:rsidDel="00000000" w:rsidR="00000000" w:rsidRPr="00000000">
        <w:rPr>
          <w:rFonts w:ascii="Palatino Linotype" w:cs="Palatino Linotype" w:eastAsia="Palatino Linotype" w:hAnsi="Palatino Linotype"/>
          <w:b w:val="1"/>
          <w:rtl w:val="0"/>
        </w:rPr>
        <w:t xml:space="preserve">cobra una relevancia social la rendición de cuentas respecto a información o hechos que estén vinculados o relacionados con actos de corrupción.</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Asimismo, conforme a la definición de servidor público que establece tanto el artículo 108 de nuestra Constitución como el artículo 212 del Código Penal Federal reformado, es posible considerar como </w:t>
      </w:r>
      <w:r w:rsidDel="00000000" w:rsidR="00000000" w:rsidRPr="00000000">
        <w:rPr>
          <w:rFonts w:ascii="Palatino Linotype" w:cs="Palatino Linotype" w:eastAsia="Palatino Linotype" w:hAnsi="Palatino Linotype"/>
          <w:b w:val="1"/>
          <w:i w:val="1"/>
          <w:rtl w:val="0"/>
        </w:rPr>
        <w:t xml:space="preserve">acto de corrupción</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acción u omisión que llevé a cabo una persona que desempeñe un empleo, cargo o comisión en las instituciones gubernamentales, así como por particulares con funciones públicas, en la cual, en pleno ejercicio de sus funciones, </w:t>
      </w:r>
      <w:r w:rsidDel="00000000" w:rsidR="00000000" w:rsidRPr="00000000">
        <w:rPr>
          <w:rFonts w:ascii="Palatino Linotype" w:cs="Palatino Linotype" w:eastAsia="Palatino Linotype" w:hAnsi="Palatino Linotype"/>
          <w:b w:val="1"/>
          <w:u w:val="single"/>
          <w:rtl w:val="0"/>
        </w:rPr>
        <w:t xml:space="preserve">obtenga un beneficio o una ventaja de cualquier naturaleza para sí o un tercero</w:t>
      </w:r>
      <w:r w:rsidDel="00000000" w:rsidR="00000000" w:rsidRPr="00000000">
        <w:rPr>
          <w:rFonts w:ascii="Palatino Linotype" w:cs="Palatino Linotype" w:eastAsia="Palatino Linotype" w:hAnsi="Palatino Linotype"/>
          <w:b w:val="1"/>
          <w:rtl w:val="0"/>
        </w:rPr>
        <w:t xml:space="preserve"> sobre algún hecho que no sea permisible en las normas vigentes, </w:t>
      </w:r>
      <w:r w:rsidDel="00000000" w:rsidR="00000000" w:rsidRPr="00000000">
        <w:rPr>
          <w:rFonts w:ascii="Palatino Linotype" w:cs="Palatino Linotype" w:eastAsia="Palatino Linotype" w:hAnsi="Palatino Linotype"/>
          <w:b w:val="1"/>
          <w:u w:val="single"/>
          <w:rtl w:val="0"/>
        </w:rPr>
        <w:t xml:space="preserve">o bien, incurra en una conducta catalogada por la Ley como acto de corrupción.</w:t>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Código Penal del Estado de México establece en el Título Sexto Delitos por Hechos de Corrupción, del Libro Segundo, a los siguientes: </w:t>
      </w:r>
    </w:p>
    <w:p w:rsidR="00000000" w:rsidDel="00000000" w:rsidP="00000000" w:rsidRDefault="00000000" w:rsidRPr="00000000" w14:paraId="000000E1">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Incumplimiento de funciones públicas (artículo 331), </w:t>
      </w:r>
      <w:r w:rsidDel="00000000" w:rsidR="00000000" w:rsidRPr="00000000">
        <w:rPr>
          <w:rtl w:val="0"/>
        </w:rPr>
      </w:r>
    </w:p>
    <w:p w:rsidR="00000000" w:rsidDel="00000000" w:rsidP="00000000" w:rsidRDefault="00000000" w:rsidRPr="00000000" w14:paraId="000000E2">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Ejercicio indebido de función pública (artículo 332)</w:t>
      </w:r>
      <w:r w:rsidDel="00000000" w:rsidR="00000000" w:rsidRPr="00000000">
        <w:rPr>
          <w:rtl w:val="0"/>
        </w:rPr>
      </w:r>
    </w:p>
    <w:p w:rsidR="00000000" w:rsidDel="00000000" w:rsidP="00000000" w:rsidRDefault="00000000" w:rsidRPr="00000000" w14:paraId="000000E3">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Abandono de funciones públicas (artículo 333)</w:t>
      </w:r>
    </w:p>
    <w:p w:rsidR="00000000" w:rsidDel="00000000" w:rsidP="00000000" w:rsidRDefault="00000000" w:rsidRPr="00000000" w14:paraId="000000E4">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Coalición (artículo 334)</w:t>
      </w:r>
    </w:p>
    <w:p w:rsidR="00000000" w:rsidDel="00000000" w:rsidP="00000000" w:rsidRDefault="00000000" w:rsidRPr="00000000" w14:paraId="000000E5">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Abuso de autoridad (artículos 335, 336, 337, 338 y 339)</w:t>
      </w:r>
      <w:r w:rsidDel="00000000" w:rsidR="00000000" w:rsidRPr="00000000">
        <w:rPr>
          <w:rtl w:val="0"/>
        </w:rPr>
      </w:r>
    </w:p>
    <w:p w:rsidR="00000000" w:rsidDel="00000000" w:rsidP="00000000" w:rsidRDefault="00000000" w:rsidRPr="00000000" w14:paraId="000000E6">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Uso ilícito de atribuciones y facultades (artículo 340)</w:t>
      </w:r>
      <w:r w:rsidDel="00000000" w:rsidR="00000000" w:rsidRPr="00000000">
        <w:rPr>
          <w:rtl w:val="0"/>
        </w:rPr>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Concusión (artículo 342)</w:t>
      </w:r>
    </w:p>
    <w:p w:rsidR="00000000" w:rsidDel="00000000" w:rsidP="00000000" w:rsidRDefault="00000000" w:rsidRPr="00000000" w14:paraId="000000E8">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Intimidación (artículo 343)</w:t>
      </w:r>
    </w:p>
    <w:p w:rsidR="00000000" w:rsidDel="00000000" w:rsidP="00000000" w:rsidRDefault="00000000" w:rsidRPr="00000000" w14:paraId="000000E9">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Ejercicio abusivo de funciones (artículo 344)</w:t>
      </w:r>
    </w:p>
    <w:p w:rsidR="00000000" w:rsidDel="00000000" w:rsidP="00000000" w:rsidRDefault="00000000" w:rsidRPr="00000000" w14:paraId="000000EA">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Tráfico de influencia (artículo 345)</w:t>
      </w:r>
    </w:p>
    <w:p w:rsidR="00000000" w:rsidDel="00000000" w:rsidP="00000000" w:rsidRDefault="00000000" w:rsidRPr="00000000" w14:paraId="000000EB">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Cohecho (artículos 347, 348 y 350)</w:t>
      </w:r>
      <w:r w:rsidDel="00000000" w:rsidR="00000000" w:rsidRPr="00000000">
        <w:rPr>
          <w:rtl w:val="0"/>
        </w:rPr>
      </w:r>
    </w:p>
    <w:p w:rsidR="00000000" w:rsidDel="00000000" w:rsidP="00000000" w:rsidRDefault="00000000" w:rsidRPr="00000000" w14:paraId="000000EC">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Peculado (artículo 351) </w:t>
      </w:r>
      <w:r w:rsidDel="00000000" w:rsidR="00000000" w:rsidRPr="00000000">
        <w:rPr>
          <w:rtl w:val="0"/>
        </w:rPr>
      </w:r>
    </w:p>
    <w:p w:rsidR="00000000" w:rsidDel="00000000" w:rsidP="00000000" w:rsidRDefault="00000000" w:rsidRPr="00000000" w14:paraId="000000ED">
      <w:pPr>
        <w:numPr>
          <w:ilvl w:val="0"/>
          <w:numId w:val="2"/>
        </w:numPr>
        <w:pBdr>
          <w:top w:space="0" w:sz="0" w:val="nil"/>
          <w:left w:space="0" w:sz="0" w:val="nil"/>
          <w:bottom w:space="0" w:sz="0" w:val="nil"/>
          <w:right w:space="0" w:sz="0" w:val="nil"/>
          <w:between w:space="0" w:sz="0" w:val="nil"/>
        </w:pBdr>
        <w:spacing w:after="120" w:before="120" w:lineRule="auto"/>
        <w:ind w:left="714" w:hanging="357"/>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Enriquecimiento Ilícito (artículo 352)</w:t>
      </w:r>
      <w:r w:rsidDel="00000000" w:rsidR="00000000" w:rsidRPr="00000000">
        <w:rPr>
          <w:rtl w:val="0"/>
        </w:rPr>
      </w:r>
    </w:p>
    <w:p w:rsidR="00000000" w:rsidDel="00000000" w:rsidP="00000000" w:rsidRDefault="00000000" w:rsidRPr="00000000" w14:paraId="000000E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Dicha información es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sólo al ente público sino a toda la sociedad en general.</w:t>
      </w:r>
    </w:p>
    <w:p w:rsidR="00000000" w:rsidDel="00000000" w:rsidP="00000000" w:rsidRDefault="00000000" w:rsidRPr="00000000" w14:paraId="000000E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 Información de interés público:</w:t>
      </w:r>
      <w:r w:rsidDel="00000000" w:rsidR="00000000" w:rsidRPr="00000000">
        <w:rPr>
          <w:rFonts w:ascii="Palatino Linotype" w:cs="Palatino Linotype" w:eastAsia="Palatino Linotype" w:hAnsi="Palatino Linotype"/>
          <w:i w:val="1"/>
          <w:sz w:val="22"/>
          <w:szCs w:val="22"/>
          <w:rtl w:val="0"/>
        </w:rPr>
        <w:t xml:space="preserve"> Se refiere a la información que resulta relevante o beneficiosa para la sociedad y no simplemente de interés individual,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w:t>
      </w:r>
      <w:r w:rsidDel="00000000" w:rsidR="00000000" w:rsidRPr="00000000">
        <w:rPr>
          <w:rFonts w:ascii="Palatino Linotype" w:cs="Palatino Linotype" w:eastAsia="Palatino Linotype" w:hAnsi="Palatino Linotype"/>
          <w:i w:val="1"/>
          <w:sz w:val="22"/>
          <w:szCs w:val="22"/>
          <w:rtl w:val="0"/>
        </w:rPr>
        <w:t xml:space="preserve"> El Instituto deberá regir su funcionamiento de acuerdo a los siguientes principios: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Máxima Publicidad:</w:t>
      </w:r>
      <w:r w:rsidDel="00000000" w:rsidR="00000000" w:rsidRPr="00000000">
        <w:rPr>
          <w:rFonts w:ascii="Palatino Linotype" w:cs="Palatino Linotype" w:eastAsia="Palatino Linotype" w:hAnsi="Palatino Linotype"/>
          <w:i w:val="1"/>
          <w:sz w:val="22"/>
          <w:szCs w:val="22"/>
          <w:rtl w:val="0"/>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democrática…”(Sic)</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r w:rsidDel="00000000" w:rsidR="00000000" w:rsidRPr="00000000">
        <w:rPr>
          <w:rtl w:val="0"/>
        </w:rPr>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Por tal motivo, se considera para el caso de que existiera algún procedimiento relacionado con faltas administrativas en trámite, en contra de servidores públicos y que estuviera relacionado con alguna excepción de las establecidas en el artículo 142 de la Ley de Transparencia y Acceso a la Información Pública del Estado de México y Municipios, tales como actos de corrupción, se </w:t>
      </w:r>
      <w:r w:rsidDel="00000000" w:rsidR="00000000" w:rsidRPr="00000000">
        <w:rPr>
          <w:rFonts w:ascii="Palatino Linotype" w:cs="Palatino Linotype" w:eastAsia="Palatino Linotype" w:hAnsi="Palatino Linotype"/>
          <w:b w:val="1"/>
          <w:u w:val="single"/>
          <w:rtl w:val="0"/>
        </w:rPr>
        <w:t xml:space="preserve">deberá entregar el soporte documental correspondiente que dé cuenta de la existencia de dichos procedimientos y el estado que guardan, en versión pública de ser necesario, conforme al considerando siguiente.</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Es de suma importancia mencionar que si bien entregar información respecto a la existencia de un procedimiento de sanción administrativa, podría generar una percepción negativa de los servidores públicos presuntamente infractores, ocasionando un perjuicio en su </w:t>
      </w:r>
      <w:r w:rsidDel="00000000" w:rsidR="00000000" w:rsidRPr="00000000">
        <w:rPr>
          <w:rFonts w:ascii="Palatino Linotype" w:cs="Palatino Linotype" w:eastAsia="Palatino Linotype" w:hAnsi="Palatino Linotype"/>
          <w:b w:val="1"/>
          <w:rtl w:val="0"/>
        </w:rPr>
        <w:t xml:space="preserve">honor, intimidad, buena imagen y nombre, así como a su vida privada, </w:t>
      </w:r>
      <w:r w:rsidDel="00000000" w:rsidR="00000000" w:rsidRPr="00000000">
        <w:rPr>
          <w:rFonts w:ascii="Palatino Linotype" w:cs="Palatino Linotype" w:eastAsia="Palatino Linotype" w:hAnsi="Palatino Linotype"/>
          <w:rtl w:val="0"/>
        </w:rPr>
        <w:t xml:space="preserve">también lo es, que </w:t>
      </w:r>
      <w:r w:rsidDel="00000000" w:rsidR="00000000" w:rsidRPr="00000000">
        <w:rPr>
          <w:rFonts w:ascii="Palatino Linotype" w:cs="Palatino Linotype" w:eastAsia="Palatino Linotype" w:hAnsi="Palatino Linotype"/>
          <w:b w:val="1"/>
          <w:u w:val="single"/>
          <w:rtl w:val="0"/>
        </w:rPr>
        <w:t xml:space="preserve">tratándose de asuntos relacionados con actos de corrupción, se trataría de una falta grave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por lo que tales prerrogativas quedan supeditadas al interés mayor de conocer tales eventualidades y por lo tanto no precede su clasificación en términos del artículo 143, fracción I de la Ley de la materia.</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rsidR="00000000" w:rsidDel="00000000" w:rsidP="00000000" w:rsidRDefault="00000000" w:rsidRPr="00000000" w14:paraId="000000F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Del="00000000" w:rsidR="00000000" w:rsidRPr="00000000">
        <w:rPr>
          <w:rFonts w:ascii="Palatino Linotype" w:cs="Palatino Linotype" w:eastAsia="Palatino Linotype" w:hAnsi="Palatino Linotype"/>
          <w:b w:val="1"/>
          <w:rtl w:val="0"/>
        </w:rPr>
        <w:t xml:space="preserve">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dela Ley de la materia, por lo que en el presente caso no se vulneran los derechos de la persona referida, aun cuando es plenamente identificada.</w:t>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aplicable por analogía la determinación del entonces Instituto Nacional de Transparencia, Acceso a la Información y Protección de Datos Personales (INAI), en la Resolución del Recurso de Revisión de Acceso con número de folio RRA 12225/22, que en su parte conducente, señala lo siguiente:</w:t>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ANÁLISIS DE INTERÉS PÚBLICO</w:t>
      </w:r>
      <w:r w:rsidDel="00000000" w:rsidR="00000000" w:rsidRPr="00000000">
        <w:rPr>
          <w:rtl w:val="0"/>
        </w:rPr>
      </w:r>
    </w:p>
    <w:p w:rsidR="00000000" w:rsidDel="00000000" w:rsidP="00000000" w:rsidRDefault="00000000" w:rsidRPr="00000000" w14:paraId="000000FF">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0">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con base en elementos de idoneidad, necesidad y proporcionalidad. Para estos efectos, se entenderá por: </w:t>
      </w:r>
    </w:p>
    <w:p w:rsidR="00000000" w:rsidDel="00000000" w:rsidP="00000000" w:rsidRDefault="00000000" w:rsidRPr="00000000" w14:paraId="00000101">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Idoneidad:</w:t>
      </w:r>
      <w:r w:rsidDel="00000000" w:rsidR="00000000" w:rsidRPr="00000000">
        <w:rPr>
          <w:rFonts w:ascii="Palatino Linotype" w:cs="Palatino Linotype" w:eastAsia="Palatino Linotype" w:hAnsi="Palatino Linotype"/>
          <w:i w:val="1"/>
          <w:sz w:val="22"/>
          <w:szCs w:val="22"/>
          <w:rtl w:val="0"/>
        </w:rPr>
        <w:t xml:space="preserve"> La legitimidad del derecho adoptado como preferente, que sea el adecuado para el logro de un fin constitucionalmente válido o apto para conseguir el fin pretendido; </w:t>
      </w:r>
    </w:p>
    <w:p w:rsidR="00000000" w:rsidDel="00000000" w:rsidP="00000000" w:rsidRDefault="00000000" w:rsidRPr="00000000" w14:paraId="00000102">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Necesidad:</w:t>
      </w:r>
      <w:r w:rsidDel="00000000" w:rsidR="00000000" w:rsidRPr="00000000">
        <w:rPr>
          <w:rFonts w:ascii="Palatino Linotype" w:cs="Palatino Linotype" w:eastAsia="Palatino Linotype" w:hAnsi="Palatino Linotype"/>
          <w:i w:val="1"/>
          <w:sz w:val="22"/>
          <w:szCs w:val="22"/>
          <w:rtl w:val="0"/>
        </w:rPr>
        <w:t xml:space="preserve"> La falta de un medio alternativo menos lesivo a la apertura de la información, para satisfacer el interés público, y </w:t>
      </w:r>
    </w:p>
    <w:p w:rsidR="00000000" w:rsidDel="00000000" w:rsidP="00000000" w:rsidRDefault="00000000" w:rsidRPr="00000000" w14:paraId="00000103">
      <w:pPr>
        <w:spacing w:after="120" w:before="120" w:lineRule="auto"/>
        <w:ind w:left="851" w:right="474"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Proporcionalidad:</w:t>
      </w:r>
      <w:r w:rsidDel="00000000" w:rsidR="00000000" w:rsidRPr="00000000">
        <w:rPr>
          <w:rFonts w:ascii="Palatino Linotype" w:cs="Palatino Linotype" w:eastAsia="Palatino Linotype" w:hAnsi="Palatino Linotype"/>
          <w:i w:val="1"/>
          <w:sz w:val="22"/>
          <w:szCs w:val="22"/>
          <w:rtl w:val="0"/>
        </w:rPr>
        <w:t xml:space="preserve"> El equilibrio entre perjuicio y beneficio a favor del interés público, a fin de que la decisión tomada represente un beneficio mayor al perjuicio que podría causar a la población.</w:t>
      </w:r>
    </w:p>
    <w:p w:rsidR="00000000" w:rsidDel="00000000" w:rsidP="00000000" w:rsidRDefault="00000000" w:rsidRPr="00000000" w14:paraId="00000104">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mismo sentido, resulta aplicable la tesis I.4o.A.70 K, emitida por Tribunales Colegiados de Circuito, publicada en el Semanario Judicial de la Federación y su Gaceta, Tomo XXIV, página 2346, de agosto de 2006, Novena Época, materia común: </w:t>
      </w:r>
    </w:p>
    <w:p w:rsidR="00000000" w:rsidDel="00000000" w:rsidP="00000000" w:rsidRDefault="00000000" w:rsidRPr="00000000" w14:paraId="0000010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subprincipios siguientes: a) idoneidad</w:t>
      </w:r>
      <w:r w:rsidDel="00000000" w:rsidR="00000000" w:rsidRPr="00000000">
        <w:rPr>
          <w:rFonts w:ascii="Palatino Linotype" w:cs="Palatino Linotype" w:eastAsia="Palatino Linotype" w:hAnsi="Palatino Linotype"/>
          <w:i w:val="1"/>
          <w:sz w:val="22"/>
          <w:szCs w:val="22"/>
          <w:rtl w:val="0"/>
        </w:rPr>
        <w:t xml:space="preserve">, la cual es la legitimidad constitucional del principio adoptado como preferente, por resultar ser el adecuado para el logro de un fin constitucionalmente válido o apto para conseguir el objetivo pretendido; </w:t>
      </w:r>
      <w:r w:rsidDel="00000000" w:rsidR="00000000" w:rsidRPr="00000000">
        <w:rPr>
          <w:rFonts w:ascii="Palatino Linotype" w:cs="Palatino Linotype" w:eastAsia="Palatino Linotype" w:hAnsi="Palatino Linotype"/>
          <w:b w:val="1"/>
          <w:i w:val="1"/>
          <w:sz w:val="22"/>
          <w:szCs w:val="22"/>
          <w:rtl w:val="0"/>
        </w:rPr>
        <w:t xml:space="preserve">b) necesidad</w:t>
      </w:r>
      <w:r w:rsidDel="00000000" w:rsidR="00000000" w:rsidRPr="00000000">
        <w:rPr>
          <w:rFonts w:ascii="Palatino Linotype" w:cs="Palatino Linotype" w:eastAsia="Palatino Linotype" w:hAnsi="Palatino Linotype"/>
          <w:i w:val="1"/>
          <w:sz w:val="22"/>
          <w:szCs w:val="22"/>
          <w:rtl w:val="0"/>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Del="00000000" w:rsidR="00000000" w:rsidRPr="00000000">
        <w:rPr>
          <w:rFonts w:ascii="Palatino Linotype" w:cs="Palatino Linotype" w:eastAsia="Palatino Linotype" w:hAnsi="Palatino Linotype"/>
          <w:b w:val="1"/>
          <w:i w:val="1"/>
          <w:sz w:val="22"/>
          <w:szCs w:val="22"/>
          <w:rtl w:val="0"/>
        </w:rPr>
        <w:t xml:space="preserve">c) el mandato de proporcionalidad entre medios y fines implica que al elegir entre un perjuicio y un beneficio a favor de dos bienes tutelados, el principio satisfecho o que resulta privilegiado lo sea en mayor proporción que el sacrificado</w:t>
      </w:r>
      <w:r w:rsidDel="00000000" w:rsidR="00000000" w:rsidRPr="00000000">
        <w:rPr>
          <w:rFonts w:ascii="Palatino Linotype" w:cs="Palatino Linotype" w:eastAsia="Palatino Linotype" w:hAnsi="Palatino Linotype"/>
          <w:i w:val="1"/>
          <w:sz w:val="22"/>
          <w:szCs w:val="22"/>
          <w:rtl w:val="0"/>
        </w:rPr>
        <w:t xml:space="preserve">.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rsidR="00000000" w:rsidDel="00000000" w:rsidP="00000000" w:rsidRDefault="00000000" w:rsidRPr="00000000" w14:paraId="00000106">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Como se aprecia de la tesis citada, cuando dos derechos fundamentales entran en colisión, el problema se debe resolver atendiendo a las características y naturaleza del caso concreto, conforme al criterio de proporcionalidad, ponderando los elementos o subprincipios de idoneidad, necesidad y proporcionalidad, antes descritos.</w:t>
      </w:r>
    </w:p>
    <w:p w:rsidR="00000000" w:rsidDel="00000000" w:rsidP="00000000" w:rsidRDefault="00000000" w:rsidRPr="00000000" w14:paraId="00000107">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orden de ideas, resulta procedente analizar cada uno de los elementos referidos, partiendo de que, en el caso concreto, se estima como preferente el derecho de acceso a la información, bajo las consideraciones que se verterán a continuación.</w:t>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IDONEIDAD</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La legitimidad del derecho adoptado como preferente, que sea el adecuado para el logro de una finalidad constitucionalmente válida o apta para conseguir el fin pretendido. </w:t>
      </w:r>
    </w:p>
    <w:p w:rsidR="00000000" w:rsidDel="00000000" w:rsidP="00000000" w:rsidRDefault="00000000" w:rsidRPr="00000000" w14:paraId="00000109">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rsidR="00000000" w:rsidDel="00000000" w:rsidP="00000000" w:rsidRDefault="00000000" w:rsidRPr="00000000" w14:paraId="0000010A">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rsidR="00000000" w:rsidDel="00000000" w:rsidP="00000000" w:rsidRDefault="00000000" w:rsidRPr="00000000" w14:paraId="0000010B">
      <w:pPr>
        <w:spacing w:after="120" w:before="120" w:lineRule="auto"/>
        <w:ind w:left="851" w:right="476"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aspecto individual, maximiza el campo de la autonomía personal, posibilita el ejercicio de la libertad de expresión en un contexto diversidad de datos, voces y opiniones. </w:t>
      </w:r>
    </w:p>
    <w:p w:rsidR="00000000" w:rsidDel="00000000" w:rsidP="00000000" w:rsidRDefault="00000000" w:rsidRPr="00000000" w14:paraId="0000010C">
      <w:pPr>
        <w:spacing w:after="120" w:before="120" w:lineRule="auto"/>
        <w:ind w:left="851" w:right="476"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rsidR="00000000" w:rsidDel="00000000" w:rsidP="00000000" w:rsidRDefault="00000000" w:rsidRPr="00000000" w14:paraId="0000010D">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rsidR="00000000" w:rsidDel="00000000" w:rsidP="00000000" w:rsidRDefault="00000000" w:rsidRPr="00000000" w14:paraId="0000010E">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rsidR="00000000" w:rsidDel="00000000" w:rsidP="00000000" w:rsidRDefault="00000000" w:rsidRPr="00000000" w14:paraId="0000010F">
      <w:pPr>
        <w:spacing w:after="120" w:before="120" w:lineRule="auto"/>
        <w:ind w:left="425" w:right="47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orden, </w:t>
      </w:r>
      <w:r w:rsidDel="00000000" w:rsidR="00000000" w:rsidRPr="00000000">
        <w:rPr>
          <w:rFonts w:ascii="Palatino Linotype" w:cs="Palatino Linotype" w:eastAsia="Palatino Linotype" w:hAnsi="Palatino Linotype"/>
          <w:b w:val="1"/>
          <w:i w:val="1"/>
          <w:sz w:val="22"/>
          <w:szCs w:val="22"/>
          <w:rtl w:val="0"/>
        </w:rPr>
        <w:t xml:space="preserve">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Del="00000000" w:rsidR="00000000" w:rsidRPr="00000000">
        <w:rPr>
          <w:rFonts w:ascii="Palatino Linotype" w:cs="Palatino Linotype" w:eastAsia="Palatino Linotype" w:hAnsi="Palatino Linotype"/>
          <w:i w:val="1"/>
          <w:sz w:val="22"/>
          <w:szCs w:val="22"/>
          <w:rtl w:val="0"/>
        </w:rPr>
        <w:t xml:space="preserve"> federal a través de los recursos públicos destinados al Servicio de Administración Tributaria que dejaron de ingresar con las que </w:t>
      </w:r>
      <w:r w:rsidDel="00000000" w:rsidR="00000000" w:rsidRPr="00000000">
        <w:rPr>
          <w:rFonts w:ascii="Palatino Linotype" w:cs="Palatino Linotype" w:eastAsia="Palatino Linotype" w:hAnsi="Palatino Linotype"/>
          <w:b w:val="1"/>
          <w:i w:val="1"/>
          <w:sz w:val="22"/>
          <w:szCs w:val="22"/>
          <w:rtl w:val="0"/>
        </w:rPr>
        <w:t xml:space="preserve">se presume obtuvieron un beneficio personal</w:t>
      </w:r>
      <w:r w:rsidDel="00000000" w:rsidR="00000000" w:rsidRPr="00000000">
        <w:rPr>
          <w:rFonts w:ascii="Palatino Linotype" w:cs="Palatino Linotype" w:eastAsia="Palatino Linotype" w:hAnsi="Palatino Linotype"/>
          <w:i w:val="1"/>
          <w:sz w:val="22"/>
          <w:szCs w:val="22"/>
          <w:rtl w:val="0"/>
        </w:rPr>
        <w:t xml:space="preserve">, luego entonces </w:t>
      </w:r>
      <w:r w:rsidDel="00000000" w:rsidR="00000000" w:rsidRPr="00000000">
        <w:rPr>
          <w:rFonts w:ascii="Palatino Linotype" w:cs="Palatino Linotype" w:eastAsia="Palatino Linotype" w:hAnsi="Palatino Linotype"/>
          <w:b w:val="1"/>
          <w:i w:val="1"/>
          <w:sz w:val="22"/>
          <w:szCs w:val="22"/>
          <w:rtl w:val="0"/>
        </w:rPr>
        <w:t xml:space="preserve">existe una preferencia social mayor que trasciende para dar a conocer, precisamente los nombres de los servidores que enfrentan acusaciones sobre este caso. </w:t>
      </w:r>
    </w:p>
    <w:p w:rsidR="00000000" w:rsidDel="00000000" w:rsidP="00000000" w:rsidRDefault="00000000" w:rsidRPr="00000000" w14:paraId="00000110">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NECESIDAD</w:t>
      </w:r>
      <w:r w:rsidDel="00000000" w:rsidR="00000000" w:rsidRPr="00000000">
        <w:rPr>
          <w:rFonts w:ascii="Palatino Linotype" w:cs="Palatino Linotype" w:eastAsia="Palatino Linotype" w:hAnsi="Palatino Linotype"/>
          <w:i w:val="1"/>
          <w:sz w:val="22"/>
          <w:szCs w:val="22"/>
          <w:rtl w:val="0"/>
        </w:rPr>
        <w:t xml:space="preserve">. La falta de un medio alternativo menos lesivo a la apertura de la información, para satisfacer el interés público. </w:t>
      </w:r>
    </w:p>
    <w:p w:rsidR="00000000" w:rsidDel="00000000" w:rsidP="00000000" w:rsidRDefault="00000000" w:rsidRPr="00000000" w14:paraId="00000112">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rsidR="00000000" w:rsidDel="00000000" w:rsidP="00000000" w:rsidRDefault="00000000" w:rsidRPr="00000000" w14:paraId="00000113">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Esto es, </w:t>
      </w:r>
      <w:r w:rsidDel="00000000" w:rsidR="00000000" w:rsidRPr="00000000">
        <w:rPr>
          <w:rFonts w:ascii="Palatino Linotype" w:cs="Palatino Linotype" w:eastAsia="Palatino Linotype" w:hAnsi="Palatino Linotype"/>
          <w:b w:val="1"/>
          <w:i w:val="1"/>
          <w:sz w:val="22"/>
          <w:szCs w:val="22"/>
          <w:rtl w:val="0"/>
        </w:rPr>
        <w:t xml:space="preserve">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Del="00000000" w:rsidR="00000000" w:rsidRPr="00000000">
        <w:rPr>
          <w:rFonts w:ascii="Palatino Linotype" w:cs="Palatino Linotype" w:eastAsia="Palatino Linotype" w:hAnsi="Palatino Linotype"/>
          <w:i w:val="1"/>
          <w:sz w:val="22"/>
          <w:szCs w:val="22"/>
          <w:rtl w:val="0"/>
        </w:rPr>
        <w:t xml:space="preserve">, tales como cohecho, peculado y enriquecimiento ilícito, catalogados como actos de corrupción en el Código Penal Federal, así como en la Convención Interamericana contra la Corrupción. </w:t>
      </w:r>
    </w:p>
    <w:p w:rsidR="00000000" w:rsidDel="00000000" w:rsidP="00000000" w:rsidRDefault="00000000" w:rsidRPr="00000000" w14:paraId="00000114">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rsidR="00000000" w:rsidDel="00000000" w:rsidP="00000000" w:rsidRDefault="00000000" w:rsidRPr="00000000" w14:paraId="00000115">
      <w:pP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116">
      <w:pPr>
        <w:numPr>
          <w:ilvl w:val="0"/>
          <w:numId w:val="3"/>
        </w:numPr>
        <w:pBdr>
          <w:top w:space="0" w:sz="0" w:val="nil"/>
          <w:left w:space="0" w:sz="0" w:val="nil"/>
          <w:bottom w:space="0" w:sz="0" w:val="nil"/>
          <w:right w:space="0" w:sz="0" w:val="nil"/>
          <w:between w:space="0" w:sz="0" w:val="nil"/>
        </w:pBdr>
        <w:spacing w:after="120" w:before="120" w:lineRule="auto"/>
        <w:ind w:left="425" w:right="47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PROPORCIONALIDAD</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El equilibrio entre perjuicio y beneficio a favor del interés público, a fin de que la decisión tomada represente un beneficio mayor al perjuicio que podría causar a la población. </w:t>
      </w:r>
    </w:p>
    <w:p w:rsidR="00000000" w:rsidDel="00000000" w:rsidP="00000000" w:rsidRDefault="00000000" w:rsidRPr="00000000" w14:paraId="00000117">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 lo expuesto, </w:t>
      </w:r>
      <w:r w:rsidDel="00000000" w:rsidR="00000000" w:rsidRPr="00000000">
        <w:rPr>
          <w:rFonts w:ascii="Palatino Linotype" w:cs="Palatino Linotype" w:eastAsia="Palatino Linotype" w:hAnsi="Palatino Linotype"/>
          <w:b w:val="1"/>
          <w:i w:val="1"/>
          <w:sz w:val="22"/>
          <w:szCs w:val="22"/>
          <w:rtl w:val="0"/>
        </w:rPr>
        <w:t xml:space="preserve">si bien se causa un perjuicio a la intimidad, honor, imagen y presunción de inocencia, de los servidores y ex servidores públicos que enfrentan acusaciones sobre diversos casos</w:t>
      </w:r>
      <w:r w:rsidDel="00000000" w:rsidR="00000000" w:rsidRPr="00000000">
        <w:rPr>
          <w:rFonts w:ascii="Palatino Linotype" w:cs="Palatino Linotype" w:eastAsia="Palatino Linotype" w:hAnsi="Palatino Linotype"/>
          <w:i w:val="1"/>
          <w:sz w:val="22"/>
          <w:szCs w:val="22"/>
          <w:rtl w:val="0"/>
        </w:rPr>
        <w:t xml:space="preserve">, lo cierto es que, </w:t>
      </w:r>
      <w:r w:rsidDel="00000000" w:rsidR="00000000" w:rsidRPr="00000000">
        <w:rPr>
          <w:rFonts w:ascii="Palatino Linotype" w:cs="Palatino Linotype" w:eastAsia="Palatino Linotype" w:hAnsi="Palatino Linotype"/>
          <w:b w:val="1"/>
          <w:i w:val="1"/>
          <w:sz w:val="22"/>
          <w:szCs w:val="22"/>
          <w:rtl w:val="0"/>
        </w:rPr>
        <w:t xml:space="preserve">divulgar sus nombres representa un beneficio mayor para la sociedad puesto que rinde cuentas sobre quiénes están probablemente implicados en conductas relacionadas con hechos de corrupción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8">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Sumado a lo anterior, debemos recordar que uno de los señalamientos de la Convención Interamericana contra la Corrupción, lo cual ha sido ratificado por México, es que la corrupción atenta contra la sociedad, el orden moral y la justicia. </w:t>
      </w:r>
    </w:p>
    <w:p w:rsidR="00000000" w:rsidDel="00000000" w:rsidP="00000000" w:rsidRDefault="00000000" w:rsidRPr="00000000" w14:paraId="00000119">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manera que, si la Fiscalía General de la República aperturó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rsidR="00000000" w:rsidDel="00000000" w:rsidP="00000000" w:rsidRDefault="00000000" w:rsidRPr="00000000" w14:paraId="0000011A">
      <w:pPr>
        <w:spacing w:after="120" w:before="120" w:lineRule="auto"/>
        <w:ind w:left="426"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rsidR="00000000" w:rsidDel="00000000" w:rsidP="00000000" w:rsidRDefault="00000000" w:rsidRPr="00000000" w14:paraId="0000011B">
      <w:pPr>
        <w:spacing w:after="120" w:before="120" w:lineRule="auto"/>
        <w:ind w:left="426" w:right="474"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Del="00000000" w:rsidR="00000000" w:rsidRPr="00000000">
        <w:rPr>
          <w:rFonts w:ascii="Palatino Linotype" w:cs="Palatino Linotype" w:eastAsia="Palatino Linotype" w:hAnsi="Palatino Linotype"/>
          <w:b w:val="1"/>
          <w:i w:val="1"/>
          <w:sz w:val="22"/>
          <w:szCs w:val="22"/>
          <w:rtl w:val="0"/>
        </w:rPr>
        <w:t xml:space="preserve">no es posible clasificarla en términos del artículo 113, fracción I de la Ley de la materia.”</w:t>
      </w:r>
    </w:p>
    <w:p w:rsidR="00000000" w:rsidDel="00000000" w:rsidP="00000000" w:rsidRDefault="00000000" w:rsidRPr="00000000" w14:paraId="0000011C">
      <w:pPr>
        <w:numPr>
          <w:ilvl w:val="0"/>
          <w:numId w:val="4"/>
        </w:numPr>
        <w:pBdr>
          <w:top w:space="0" w:sz="0" w:val="nil"/>
          <w:left w:space="0" w:sz="0" w:val="nil"/>
          <w:bottom w:space="0" w:sz="0" w:val="nil"/>
          <w:right w:space="0" w:sz="0" w:val="nil"/>
          <w:between w:space="0" w:sz="0" w:val="nil"/>
        </w:pBdr>
        <w:spacing w:after="240" w:before="240" w:line="360" w:lineRule="auto"/>
        <w:ind w:left="720" w:right="51"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los procedimientos sobre faltas administrativas concluidos.</w:t>
      </w:r>
    </w:p>
    <w:p w:rsidR="00000000" w:rsidDel="00000000" w:rsidP="00000000" w:rsidRDefault="00000000" w:rsidRPr="00000000" w14:paraId="000001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mencionó en líneas anteriores, sólo pueden ser dadas a conocer las responsabilidades administrativas por faltas graves condenatorias, de conformidad con la Ley del Sistema Anticorrupción del Estado de México y Municipios que establece que </w:t>
      </w:r>
      <w:r w:rsidDel="00000000" w:rsidR="00000000" w:rsidRPr="00000000">
        <w:rPr>
          <w:rFonts w:ascii="Palatino Linotype" w:cs="Palatino Linotype" w:eastAsia="Palatino Linotype" w:hAnsi="Palatino Linotype"/>
          <w:b w:val="1"/>
          <w:u w:val="single"/>
          <w:rtl w:val="0"/>
        </w:rPr>
        <w:t xml:space="preserve">las sanciones no graves no serán públicas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así como las graves absolutorias,</w:t>
      </w:r>
      <w:r w:rsidDel="00000000" w:rsidR="00000000" w:rsidRPr="00000000">
        <w:rPr>
          <w:rFonts w:ascii="Palatino Linotype" w:cs="Palatino Linotype" w:eastAsia="Palatino Linotype" w:hAnsi="Palatino Linotype"/>
          <w:rtl w:val="0"/>
        </w:rPr>
        <w:t xml:space="preserve"> en virtud de que dichas faltas, </w:t>
      </w:r>
      <w:r w:rsidDel="00000000" w:rsidR="00000000" w:rsidRPr="00000000">
        <w:rPr>
          <w:rFonts w:ascii="Palatino Linotype" w:cs="Palatino Linotype" w:eastAsia="Palatino Linotype" w:hAnsi="Palatino Linotype"/>
          <w:b w:val="1"/>
          <w:rtl w:val="0"/>
        </w:rPr>
        <w:t xml:space="preserve">no tienen una trascendencia social, </w:t>
      </w:r>
      <w:r w:rsidDel="00000000" w:rsidR="00000000" w:rsidRPr="00000000">
        <w:rPr>
          <w:rFonts w:ascii="Palatino Linotype" w:cs="Palatino Linotype" w:eastAsia="Palatino Linotype" w:hAnsi="Palatino Linotype"/>
          <w:rtl w:val="0"/>
        </w:rPr>
        <w:t xml:space="preserve">pues no existe un daño externo, sino que únicamente le atañe al servidor público en cuestión.</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entendido, es evidente que en caso de existir procedimientos concluidos instaurados en contra de servidores públicos </w:t>
      </w:r>
      <w:r w:rsidDel="00000000" w:rsidR="00000000" w:rsidRPr="00000000">
        <w:rPr>
          <w:rFonts w:ascii="Palatino Linotype" w:cs="Palatino Linotype" w:eastAsia="Palatino Linotype" w:hAnsi="Palatino Linotype"/>
          <w:b w:val="1"/>
          <w:rtl w:val="0"/>
        </w:rPr>
        <w:t xml:space="preserve">por faltas graves absolutorias</w:t>
      </w:r>
      <w:r w:rsidDel="00000000" w:rsidR="00000000" w:rsidRPr="00000000">
        <w:rPr>
          <w:rFonts w:ascii="Palatino Linotype" w:cs="Palatino Linotype" w:eastAsia="Palatino Linotype" w:hAnsi="Palatino Linotype"/>
          <w:rtl w:val="0"/>
        </w:rPr>
        <w:t xml:space="preserve"> y</w:t>
      </w:r>
      <w:r w:rsidDel="00000000" w:rsidR="00000000" w:rsidRPr="00000000">
        <w:rPr>
          <w:rFonts w:ascii="Palatino Linotype" w:cs="Palatino Linotype" w:eastAsia="Palatino Linotype" w:hAnsi="Palatino Linotype"/>
          <w:b w:val="1"/>
          <w:rtl w:val="0"/>
        </w:rPr>
        <w:t xml:space="preserve"> no graves condenatorias o absolutorias</w:t>
      </w:r>
      <w:r w:rsidDel="00000000" w:rsidR="00000000" w:rsidRPr="00000000">
        <w:rPr>
          <w:rFonts w:ascii="Palatino Linotype" w:cs="Palatino Linotype" w:eastAsia="Palatino Linotype" w:hAnsi="Palatino Linotype"/>
          <w:rtl w:val="0"/>
        </w:rPr>
        <w:t xml:space="preserve">, procede la entrega de los expedientes en versión pública, en donde se clasifiquen como información confidencial en términos del artículo 143, fracción I de la Ley de Transparencia y Acceso a la Información Pública del Estado de México y Municipios, los datos personales de los servidores públicos, incluido su nombre y aquellos datos que les identifiquen o le hagan identificables, de manera enunciativa, más no limitativa, su cargo.</w:t>
      </w:r>
    </w:p>
    <w:p w:rsidR="00000000" w:rsidDel="00000000" w:rsidP="00000000" w:rsidRDefault="00000000" w:rsidRPr="00000000" w14:paraId="000001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los procedimientos concluidos se relacionan con faltas administrativas </w:t>
      </w:r>
      <w:r w:rsidDel="00000000" w:rsidR="00000000" w:rsidRPr="00000000">
        <w:rPr>
          <w:rFonts w:ascii="Palatino Linotype" w:cs="Palatino Linotype" w:eastAsia="Palatino Linotype" w:hAnsi="Palatino Linotype"/>
          <w:b w:val="1"/>
          <w:rtl w:val="0"/>
        </w:rPr>
        <w:t xml:space="preserve">graves condenatorias</w:t>
      </w:r>
      <w:r w:rsidDel="00000000" w:rsidR="00000000" w:rsidRPr="00000000">
        <w:rPr>
          <w:rFonts w:ascii="Palatino Linotype" w:cs="Palatino Linotype" w:eastAsia="Palatino Linotype" w:hAnsi="Palatino Linotype"/>
          <w:rtl w:val="0"/>
        </w:rPr>
        <w:t xml:space="preserve"> y estas han quedado firmes, es decir, que el procedimiento ya no acepta recurso o medio de defensa alguno, es procedente entregar el expediente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versión pública para el caso de que el mismo contenga datos personales de los servidores públicos responsables susceptibles de protegerse, reiterando que en dicho supuesto no es procedente la clasificación del nombre de estos.</w:t>
      </w:r>
    </w:p>
    <w:p w:rsidR="00000000" w:rsidDel="00000000" w:rsidP="00000000" w:rsidRDefault="00000000" w:rsidRPr="00000000" w14:paraId="000001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ya que como se precisó en párrafos anteriores, proporcionar el nombre de los servidores públicos acreedores a una sanción por la comisión de una falta grave, garantizaría la rendición de cuentas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 que le fueron conferidas.</w:t>
      </w:r>
    </w:p>
    <w:p w:rsidR="00000000" w:rsidDel="00000000" w:rsidP="00000000" w:rsidRDefault="00000000" w:rsidRPr="00000000" w14:paraId="000001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con dicha información, se estaría revelando que el desempeño de los servidores públicos, en caso de haber sido sancionadas, no fue conforme a derecho.</w:t>
      </w:r>
    </w:p>
    <w:p w:rsidR="00000000" w:rsidDel="00000000" w:rsidP="00000000" w:rsidRDefault="00000000" w:rsidRPr="00000000" w14:paraId="000001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para el caso de que derivado de la búsqueda que se ordena, no se llegara a localizar información de procedimientos concluidos, en los que se hubiera determinado una sanción por falta grave, por no haberse generado, bastará con que así se haga del conocimiento de la persona solicitante en términos del artículo 19, párrafo segundo de la Ley de la Materia, que es del tenor literal siguiente:</w:t>
      </w:r>
    </w:p>
    <w:p w:rsidR="00000000" w:rsidDel="00000000" w:rsidP="00000000" w:rsidRDefault="00000000" w:rsidRPr="00000000" w14:paraId="0000012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5">
      <w:pPr>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refiere a los servidores públicos de elección popular, el artículo 10, párrafo segundo de la Ley de Responsabilidades Administrativas del Estado de México y Municipios, dispone que la atribución para investigar, substanciar y calificar las faltas administrativas cometidas por estos, corresponde a la Contraloría del Poder Legislativo, y, en razón de ello, la servidora pública habilitada de la Contraloría Municipal sugirió dirigir la solicitud a la autoridad competente, sin embargo, no debe perderse de vista que el Órgano Interno de Control, a través de la autoridad investigadora también cuenta con competencia para sustanciar el procedimiento en el ámbito de sus competencias, para posteriormente remitirlo a la autoridad sustanciadora o resolutoria competente.</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1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1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12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2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2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2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2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3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3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3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3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3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3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38">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3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3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3C">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rsidR="00000000" w:rsidDel="00000000" w:rsidP="00000000" w:rsidRDefault="00000000" w:rsidRPr="00000000" w14:paraId="0000013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D">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4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5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5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5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53">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deberá observar el Lineamiento Quincuagésimo tercero de los Lineamientos Generales en Materia de Clasificación y Desclasificación de la Información supraindicados, que establece los formatos para la clasificación de los documentos, conforme a lo siguiente: </w:t>
      </w:r>
    </w:p>
    <w:p w:rsidR="00000000" w:rsidDel="00000000" w:rsidP="00000000" w:rsidRDefault="00000000" w:rsidRPr="00000000" w14:paraId="00000154">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55">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156">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158">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Pr>
        <w:drawing>
          <wp:inline distB="0" distT="0" distL="0" distR="0">
            <wp:extent cx="4295775" cy="295275"/>
            <wp:effectExtent b="0" l="0" r="0" t="0"/>
            <wp:docPr id="2140131852" name="image3.png"/>
            <a:graphic>
              <a:graphicData uri="http://schemas.openxmlformats.org/drawingml/2006/picture">
                <pic:pic>
                  <pic:nvPicPr>
                    <pic:cNvPr id="0" name="image3.png"/>
                    <pic:cNvPicPr preferRelativeResize="0"/>
                  </pic:nvPicPr>
                  <pic:blipFill>
                    <a:blip r:embed="rId8"/>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Pr>
        <w:drawing>
          <wp:inline distB="0" distT="0" distL="0" distR="0">
            <wp:extent cx="4333875" cy="2959788"/>
            <wp:effectExtent b="0" l="0" r="0" t="0"/>
            <wp:docPr id="2140131851" name="image3.png"/>
            <a:graphic>
              <a:graphicData uri="http://schemas.openxmlformats.org/drawingml/2006/picture">
                <pic:pic>
                  <pic:nvPicPr>
                    <pic:cNvPr id="0" name="image3.png"/>
                    <pic:cNvPicPr preferRelativeResize="0"/>
                  </pic:nvPicPr>
                  <pic:blipFill>
                    <a:blip r:embed="rId8"/>
                    <a:srcRect b="26237" l="0" r="0" t="30908"/>
                    <a:stretch>
                      <a:fillRect/>
                    </a:stretch>
                  </pic:blipFill>
                  <pic:spPr>
                    <a:xfrm>
                      <a:off x="0" y="0"/>
                      <a:ext cx="4333875" cy="295978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Pr>
        <w:drawing>
          <wp:inline distB="0" distT="0" distL="0" distR="0">
            <wp:extent cx="4333875" cy="1803319"/>
            <wp:effectExtent b="0" l="0" r="0" t="0"/>
            <wp:docPr id="2140131853" name="image3.png"/>
            <a:graphic>
              <a:graphicData uri="http://schemas.openxmlformats.org/drawingml/2006/picture">
                <pic:pic>
                  <pic:nvPicPr>
                    <pic:cNvPr id="0" name="image3.png"/>
                    <pic:cNvPicPr preferRelativeResize="0"/>
                  </pic:nvPicPr>
                  <pic:blipFill>
                    <a:blip r:embed="rId8"/>
                    <a:srcRect b="491" l="0" r="0" t="73398"/>
                    <a:stretch>
                      <a:fillRect/>
                    </a:stretch>
                  </pic:blipFill>
                  <pic:spPr>
                    <a:xfrm>
                      <a:off x="0" y="0"/>
                      <a:ext cx="4333875" cy="1803319"/>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15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5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6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6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6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69">
      <w:pPr>
        <w:spacing w:after="240" w:before="240" w:line="360" w:lineRule="auto"/>
        <w:jc w:val="both"/>
        <w:rPr>
          <w:rFonts w:ascii="Palatino Linotype" w:cs="Palatino Linotype" w:eastAsia="Palatino Linotype" w:hAnsi="Palatino Linotype"/>
        </w:rPr>
      </w:pPr>
      <w:bookmarkStart w:colFirst="0" w:colLast="0" w:name="_heading=h.1t3h5sf" w:id="10"/>
      <w:bookmarkEnd w:id="10"/>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fundadas</w:t>
      </w:r>
      <w:r w:rsidDel="00000000" w:rsidR="00000000" w:rsidRPr="00000000">
        <w:rPr>
          <w:rFonts w:ascii="Palatino Linotype" w:cs="Palatino Linotype" w:eastAsia="Palatino Linotype" w:hAnsi="Palatino Linotype"/>
          <w:rtl w:val="0"/>
        </w:rPr>
        <w:t xml:space="preserve"> las razones o motivos de inconformidad hechos valer por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05109/INFOEM/IP/RR/2025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tl w:val="0"/>
        </w:rPr>
      </w:r>
    </w:p>
    <w:p w:rsidR="00000000" w:rsidDel="00000000" w:rsidP="00000000" w:rsidRDefault="00000000" w:rsidRPr="00000000" w14:paraId="0000016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 los </w:t>
      </w:r>
      <w:r w:rsidDel="00000000" w:rsidR="00000000" w:rsidRPr="00000000">
        <w:rPr>
          <w:rFonts w:ascii="Palatino Linotype" w:cs="Palatino Linotype" w:eastAsia="Palatino Linotype" w:hAnsi="Palatino Linotype"/>
          <w:b w:val="1"/>
          <w:rtl w:val="0"/>
        </w:rPr>
        <w:t xml:space="preserve">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versión pública de lo siguiente:</w:t>
      </w:r>
    </w:p>
    <w:p w:rsidR="00000000" w:rsidDel="00000000" w:rsidP="00000000" w:rsidRDefault="00000000" w:rsidRPr="00000000" w14:paraId="0000016B">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veinticuatro de marzo de dos mil veinticuatro al veinticuatro de marzo de dos mil veinticinco:</w:t>
      </w:r>
    </w:p>
    <w:p w:rsidR="00000000" w:rsidDel="00000000" w:rsidP="00000000" w:rsidRDefault="00000000" w:rsidRPr="00000000" w14:paraId="0000016C">
      <w:pPr>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Expedientes completos de los procedimientos de responsabilidad administrativa con resolución firme:</w:t>
      </w:r>
    </w:p>
    <w:p w:rsidR="00000000" w:rsidDel="00000000" w:rsidP="00000000" w:rsidRDefault="00000000" w:rsidRPr="00000000" w14:paraId="0000016D">
      <w:pPr>
        <w:spacing w:after="120" w:before="12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Absolutorios por faltas graves y no graves, y condenatorios por faltas no graves, testando el nombre cargo y cualquier dato que haga identificable a los servidores públicos.</w:t>
      </w:r>
    </w:p>
    <w:p w:rsidR="00000000" w:rsidDel="00000000" w:rsidP="00000000" w:rsidRDefault="00000000" w:rsidRPr="00000000" w14:paraId="0000016E">
      <w:pPr>
        <w:spacing w:after="120" w:before="120" w:line="360" w:lineRule="auto"/>
        <w:ind w:lef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Condenatorios con sanción por faltas graves, dejando visible el nombre de los servidores públicos.</w:t>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4962"/>
        </w:tabs>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Expedientes completos de procedimientos de responsabilidad administrativa en trámite y que se relacionen con actos de corrupción o posibles violaciones graves a derechos humanos, de conformidad con el artículo 142, de la Ley de Transparencia y Acceso a la Información Pública del Estado de México y Municipios, dejando visible el nombre de los servidores públicos.</w:t>
      </w:r>
    </w:p>
    <w:p w:rsidR="00000000" w:rsidDel="00000000" w:rsidP="00000000" w:rsidRDefault="00000000" w:rsidRPr="00000000" w14:paraId="00000170">
      <w:pPr>
        <w:spacing w:after="120" w:before="12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Acuerdo del Comité de Transparencia en donde de manera fundada y motivada, confirme la clasificación de los expedientes de procedimientos de responsabilidad administrativa en trámite, como información reservada, en términos de los artículos 128, 129, 135 y 140 de la Ley de Transparencia y Acceso a la Información Pública del Estado de México y Municipios, con excepción de los referidos en el punto anterior.</w:t>
      </w:r>
    </w:p>
    <w:p w:rsidR="00000000" w:rsidDel="00000000" w:rsidP="00000000" w:rsidRDefault="00000000" w:rsidRPr="00000000" w14:paraId="00000171">
      <w:pPr>
        <w:spacing w:after="120" w:before="120" w:lineRule="auto"/>
        <w:ind w:lef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rsidR="00000000" w:rsidDel="00000000" w:rsidP="00000000" w:rsidRDefault="00000000" w:rsidRPr="00000000" w14:paraId="00000172">
      <w:pPr>
        <w:tabs>
          <w:tab w:val="left" w:leader="none" w:pos="851"/>
        </w:tabs>
        <w:spacing w:after="120" w:before="120" w:lineRule="auto"/>
        <w:ind w:left="567"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el supuesto que la información ordenada en alguno de los puntos, por no haberse generado, bastará con que así lo haga del conocimiento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de manera fundada y motivada,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rPr>
      </w:pPr>
      <w:bookmarkStart w:colFirst="0" w:colLast="0" w:name="_heading=h.hnzxsch5gysz" w:id="11"/>
      <w:bookmarkEnd w:id="11"/>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75">
      <w:pPr>
        <w:spacing w:after="240" w:before="240" w:line="360" w:lineRule="auto"/>
        <w:jc w:val="both"/>
        <w:rPr>
          <w:rFonts w:ascii="Palatino Linotype" w:cs="Palatino Linotype" w:eastAsia="Palatino Linotype" w:hAnsi="Palatino Linotype"/>
        </w:rPr>
      </w:pPr>
      <w:bookmarkStart w:colFirst="0" w:colLast="0" w:name="_heading=h.ot3qq6vxa08f" w:id="12"/>
      <w:bookmarkEnd w:id="12"/>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76">
      <w:pPr>
        <w:tabs>
          <w:tab w:val="left" w:leader="none" w:pos="8647"/>
        </w:tabs>
        <w:spacing w:after="240" w:before="240" w:line="360" w:lineRule="auto"/>
        <w:ind w:right="51"/>
        <w:jc w:val="both"/>
        <w:rPr>
          <w:rFonts w:ascii="Palatino Linotype" w:cs="Palatino Linotype" w:eastAsia="Palatino Linotype" w:hAnsi="Palatino Linotype"/>
        </w:rPr>
      </w:pPr>
      <w:bookmarkStart w:colFirst="0" w:colLast="0" w:name="_heading=h.lnxbz9" w:id="13"/>
      <w:bookmarkEnd w:id="1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EMITIENDO VOTO PARTICULAR Y GUADALUPE RAMÍREZ PEÑA, EN LA TRIGÉSIMA PRIMERA SESIÓN ORDINARIA CELEBRADA EL TRES DE SEPTIEMBRE DE DOS MIL VEINTICINCO, ANTE EL SECRETARIO TÉCNICO DEL PLENO ALEXIS TAPIA RAMÍREZ.</w:t>
      </w:r>
    </w:p>
    <w:p w:rsidR="00000000" w:rsidDel="00000000" w:rsidP="00000000" w:rsidRDefault="00000000" w:rsidRPr="00000000" w14:paraId="000001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-488257</wp:posOffset>
          </wp:positionV>
          <wp:extent cx="7809865" cy="10165715"/>
          <wp:effectExtent b="0" l="0" r="0" t="0"/>
          <wp:wrapNone/>
          <wp:docPr id="21401318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095.0" w:type="dxa"/>
      <w:jc w:val="left"/>
      <w:tblInd w:w="3261.0" w:type="dxa"/>
      <w:tblLayout w:type="fixed"/>
      <w:tblLook w:val="0400"/>
    </w:tblPr>
    <w:tblGrid>
      <w:gridCol w:w="2489"/>
      <w:gridCol w:w="3606"/>
      <w:tblGridChange w:id="0">
        <w:tblGrid>
          <w:gridCol w:w="2489"/>
          <w:gridCol w:w="3606"/>
        </w:tblGrid>
      </w:tblGridChange>
    </w:tblGrid>
    <w:tr>
      <w:trPr>
        <w:cantSplit w:val="0"/>
        <w:tblHeader w:val="0"/>
      </w:trPr>
      <w:tc>
        <w:tcPr/>
        <w:p w:rsidR="00000000" w:rsidDel="00000000" w:rsidP="00000000" w:rsidRDefault="00000000" w:rsidRPr="00000000" w14:paraId="0000019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05109/INFOEM/IP/RR/2025</w:t>
          </w:r>
        </w:p>
      </w:tc>
    </w:tr>
    <w:tr>
      <w:trPr>
        <w:cantSplit w:val="0"/>
        <w:trHeight w:val="228" w:hRule="atLeast"/>
        <w:tblHeader w:val="0"/>
      </w:trPr>
      <w:tc>
        <w:tcPr>
          <w:vAlign w:val="center"/>
        </w:tcPr>
        <w:p w:rsidR="00000000" w:rsidDel="00000000" w:rsidP="00000000" w:rsidRDefault="00000000" w:rsidRPr="00000000" w14:paraId="0000019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99">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9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9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-369889</wp:posOffset>
          </wp:positionV>
          <wp:extent cx="7809865" cy="10165715"/>
          <wp:effectExtent b="0" l="0" r="0" t="0"/>
          <wp:wrapNone/>
          <wp:docPr id="214013184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119.0" w:type="dxa"/>
      <w:tblLayout w:type="fixed"/>
      <w:tblLook w:val="0400"/>
    </w:tblPr>
    <w:tblGrid>
      <w:gridCol w:w="2551"/>
      <w:gridCol w:w="3544"/>
      <w:tblGridChange w:id="0">
        <w:tblGrid>
          <w:gridCol w:w="2551"/>
          <w:gridCol w:w="3544"/>
        </w:tblGrid>
      </w:tblGridChange>
    </w:tblGrid>
    <w:tr>
      <w:trPr>
        <w:cantSplit w:val="0"/>
        <w:tblHeader w:val="0"/>
      </w:trPr>
      <w:tc>
        <w:tcPr/>
        <w:p w:rsidR="00000000" w:rsidDel="00000000" w:rsidP="00000000" w:rsidRDefault="00000000" w:rsidRPr="00000000" w14:paraId="0000019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9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05109/INFOEM/IP/RR/2025</w:t>
          </w:r>
        </w:p>
      </w:tc>
    </w:tr>
    <w:tr>
      <w:trPr>
        <w:cantSplit w:val="0"/>
        <w:tblHeader w:val="0"/>
      </w:trPr>
      <w:tc>
        <w:tcPr/>
        <w:p w:rsidR="00000000" w:rsidDel="00000000" w:rsidP="00000000" w:rsidRDefault="00000000" w:rsidRPr="00000000" w14:paraId="000001A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A1">
          <w:pPr>
            <w:ind w:right="175"/>
            <w:jc w:val="both"/>
            <w:rPr>
              <w:rFonts w:ascii="Palatino Linotype" w:cs="Palatino Linotype" w:eastAsia="Palatino Linotype" w:hAnsi="Palatino Linotype"/>
              <w:b w:val="1"/>
              <w:color w:val="ff0000"/>
              <w:sz w:val="22"/>
              <w:szCs w:val="22"/>
              <w:highlight w:val="yellow"/>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A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A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A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A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table" w:styleId="TableNormalf" w:customStyle="1">
    <w:name w:val="Table Normal"/>
    <w:tblPr>
      <w:tblCellMar>
        <w:top w:w="0.0" w:type="dxa"/>
        <w:left w:w="0.0" w:type="dxa"/>
        <w:bottom w:w="0.0" w:type="dxa"/>
        <w:right w:w="0.0" w:type="dxa"/>
      </w:tblCellMar>
    </w:tblPr>
  </w:style>
  <w:style w:type="table" w:styleId="TableNormalf0" w:customStyle="1">
    <w:name w:val="Table Normal"/>
    <w:tblPr>
      <w:tblCellMar>
        <w:top w:w="0.0" w:type="dxa"/>
        <w:left w:w="0.0" w:type="dxa"/>
        <w:bottom w:w="0.0" w:type="dxa"/>
        <w:right w:w="0.0" w:type="dxa"/>
      </w:tblCellMar>
    </w:tblPr>
  </w:style>
  <w:style w:type="table" w:styleId="TableNormalf1" w:customStyle="1">
    <w:name w:val="Table Normal"/>
    <w:tblPr>
      <w:tblCellMar>
        <w:top w:w="0.0" w:type="dxa"/>
        <w:left w:w="0.0" w:type="dxa"/>
        <w:bottom w:w="0.0" w:type="dxa"/>
        <w:right w:w="0.0" w:type="dxa"/>
      </w:tblCellMar>
    </w:tblPr>
  </w:style>
  <w:style w:type="table" w:styleId="TableNormalf2" w:customStyle="1">
    <w:name w:val="Table Normal"/>
    <w:tblPr>
      <w:tblCellMar>
        <w:top w:w="0.0" w:type="dxa"/>
        <w:left w:w="0.0" w:type="dxa"/>
        <w:bottom w:w="0.0" w:type="dxa"/>
        <w:right w:w="0.0" w:type="dxa"/>
      </w:tblCellMar>
    </w:tblPr>
  </w:style>
  <w:style w:type="table" w:styleId="TableNormalf3" w:customStyle="1">
    <w:name w:val="Table Normal"/>
    <w:tblPr>
      <w:tblCellMar>
        <w:top w:w="0.0" w:type="dxa"/>
        <w:left w:w="0.0" w:type="dxa"/>
        <w:bottom w:w="0.0" w:type="dxa"/>
        <w:right w:w="0.0" w:type="dxa"/>
      </w:tblCellMar>
    </w:tblPr>
  </w:style>
  <w:style w:type="table" w:styleId="a" w:customStyle="1">
    <w:basedOn w:val="TableNormalf3"/>
    <w:tblPr>
      <w:tblStyleRowBandSize w:val="1"/>
      <w:tblStyleColBandSize w:val="1"/>
      <w:tblCellMar>
        <w:left w:w="115.0" w:type="dxa"/>
        <w:right w:w="115.0" w:type="dxa"/>
      </w:tblCellMar>
    </w:tblPr>
  </w:style>
  <w:style w:type="table" w:styleId="a0" w:customStyle="1">
    <w:basedOn w:val="TableNormalf3"/>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f3"/>
    <w:tblPr>
      <w:tblStyleRowBandSize w:val="1"/>
      <w:tblStyleColBandSize w:val="1"/>
      <w:tblCellMar>
        <w:left w:w="115.0" w:type="dxa"/>
        <w:right w:w="115.0" w:type="dxa"/>
      </w:tblCellMar>
    </w:tblPr>
  </w:style>
  <w:style w:type="table" w:styleId="a2" w:customStyle="1">
    <w:basedOn w:val="TableNormalf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3" w:customStyle="1">
    <w:basedOn w:val="TableNormalf2"/>
    <w:tblPr>
      <w:tblStyleRowBandSize w:val="1"/>
      <w:tblStyleColBandSize w:val="1"/>
      <w:tblCellMar>
        <w:left w:w="115.0" w:type="dxa"/>
        <w:right w:w="115.0" w:type="dxa"/>
      </w:tblCellMar>
    </w:tblPr>
  </w:style>
  <w:style w:type="table" w:styleId="a4" w:customStyle="1">
    <w:basedOn w:val="TableNormalf2"/>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5E017B"/>
    <w:pPr>
      <w:numPr>
        <w:numId w:val="1"/>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character" w:styleId="Mencinsinresolver2" w:customStyle="1">
    <w:name w:val="Mención sin resolver2"/>
    <w:basedOn w:val="Fuentedeprrafopredeter"/>
    <w:uiPriority w:val="99"/>
    <w:semiHidden w:val="1"/>
    <w:unhideWhenUsed w:val="1"/>
    <w:rsid w:val="00251B93"/>
    <w:rPr>
      <w:color w:val="605e5c"/>
      <w:shd w:color="auto" w:fill="e1dfdd" w:val="clear"/>
    </w:rPr>
  </w:style>
  <w:style w:type="paragraph" w:styleId="Textodeglobo">
    <w:name w:val="Balloon Text"/>
    <w:basedOn w:val="Normal"/>
    <w:link w:val="TextodegloboCar"/>
    <w:uiPriority w:val="99"/>
    <w:semiHidden w:val="1"/>
    <w:unhideWhenUsed w:val="1"/>
    <w:rsid w:val="00DD0D64"/>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D0D64"/>
    <w:rPr>
      <w:rFonts w:ascii="Segoe UI" w:cs="Segoe UI" w:hAnsi="Segoe UI"/>
      <w:sz w:val="18"/>
      <w:szCs w:val="18"/>
    </w:rPr>
  </w:style>
  <w:style w:type="paragraph" w:styleId="Sinespaciado">
    <w:name w:val="No Spacing"/>
    <w:aliases w:val="Francesa"/>
    <w:link w:val="SinespaciadoCar"/>
    <w:uiPriority w:val="1"/>
    <w:qFormat w:val="1"/>
    <w:rsid w:val="000D0148"/>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0D0148"/>
    <w:rPr>
      <w:rFonts w:asciiTheme="minorHAnsi" w:cstheme="minorBidi" w:eastAsiaTheme="minorHAnsi" w:hAnsiTheme="minorHAnsi"/>
      <w:sz w:val="22"/>
      <w:szCs w:val="22"/>
      <w:lang w:eastAsia="en-US"/>
    </w:rPr>
  </w:style>
  <w:style w:type="paragraph" w:styleId="rtejustify" w:customStyle="1">
    <w:name w:val="rtejustify"/>
    <w:basedOn w:val="Normal"/>
    <w:rsid w:val="00876EB7"/>
    <w:pPr>
      <w:spacing w:after="100" w:afterAutospacing="1" w:before="100" w:beforeAutospacing="1"/>
    </w:pPr>
  </w:style>
  <w:style w:type="table" w:styleId="a5" w:customStyle="1">
    <w:basedOn w:val="TableNormalf1"/>
    <w:tblPr>
      <w:tblStyleRowBandSize w:val="1"/>
      <w:tblStyleColBandSize w:val="1"/>
      <w:tblCellMar>
        <w:left w:w="108.0" w:type="dxa"/>
        <w:right w:w="108.0" w:type="dxa"/>
      </w:tblCellMar>
    </w:tblPr>
  </w:style>
  <w:style w:type="table" w:styleId="a6" w:customStyle="1">
    <w:basedOn w:val="TableNormalf1"/>
    <w:tblPr>
      <w:tblStyleRowBandSize w:val="1"/>
      <w:tblStyleColBandSize w:val="1"/>
      <w:tblCellMar>
        <w:left w:w="108.0" w:type="dxa"/>
        <w:right w:w="108.0" w:type="dxa"/>
      </w:tblCellMar>
    </w:tblPr>
  </w:style>
  <w:style w:type="table" w:styleId="a7" w:customStyle="1">
    <w:basedOn w:val="TableNormalf1"/>
    <w:tblPr>
      <w:tblStyleRowBandSize w:val="1"/>
      <w:tblStyleColBandSize w:val="1"/>
      <w:tblCellMar>
        <w:left w:w="108.0" w:type="dxa"/>
        <w:right w:w="108.0" w:type="dxa"/>
      </w:tblCellMar>
    </w:tblPr>
  </w:style>
  <w:style w:type="table" w:styleId="a8" w:customStyle="1">
    <w:basedOn w:val="TableNormalf1"/>
    <w:tblPr>
      <w:tblStyleRowBandSize w:val="1"/>
      <w:tblStyleColBandSize w:val="1"/>
      <w:tblCellMar>
        <w:left w:w="108.0" w:type="dxa"/>
        <w:right w:w="108.0" w:type="dxa"/>
      </w:tblCellMar>
    </w:tblPr>
  </w:style>
  <w:style w:type="table" w:styleId="a9" w:customStyle="1">
    <w:basedOn w:val="TableNormalf1"/>
    <w:tblPr>
      <w:tblStyleRowBandSize w:val="1"/>
      <w:tblStyleColBandSize w:val="1"/>
      <w:tblCellMar>
        <w:left w:w="108.0" w:type="dxa"/>
        <w:right w:w="108.0" w:type="dxa"/>
      </w:tblCellMar>
    </w:tblPr>
  </w:style>
  <w:style w:type="table" w:styleId="aa" w:customStyle="1">
    <w:basedOn w:val="TableNormalf1"/>
    <w:tblPr>
      <w:tblStyleRowBandSize w:val="1"/>
      <w:tblStyleColBandSize w:val="1"/>
      <w:tblCellMar>
        <w:left w:w="115.0" w:type="dxa"/>
        <w:right w:w="115.0" w:type="dxa"/>
      </w:tblCellMar>
    </w:tblPr>
  </w:style>
  <w:style w:type="table" w:styleId="ab" w:customStyle="1">
    <w:basedOn w:val="TableNormalf1"/>
    <w:tblPr>
      <w:tblStyleRowBandSize w:val="1"/>
      <w:tblStyleColBandSize w:val="1"/>
      <w:tblCellMar>
        <w:left w:w="115.0" w:type="dxa"/>
        <w:right w:w="115.0" w:type="dxa"/>
      </w:tblCellMar>
    </w:tblPr>
  </w:style>
  <w:style w:type="table" w:styleId="ac" w:customStyle="1">
    <w:basedOn w:val="TableNormalf0"/>
    <w:tblPr>
      <w:tblStyleRowBandSize w:val="1"/>
      <w:tblStyleColBandSize w:val="1"/>
      <w:tblCellMar>
        <w:left w:w="108.0" w:type="dxa"/>
        <w:right w:w="108.0" w:type="dxa"/>
      </w:tblCellMar>
    </w:tblPr>
  </w:style>
  <w:style w:type="table" w:styleId="ad" w:customStyle="1">
    <w:basedOn w:val="TableNormalf0"/>
    <w:tblPr>
      <w:tblStyleRowBandSize w:val="1"/>
      <w:tblStyleColBandSize w:val="1"/>
      <w:tblCellMar>
        <w:left w:w="115.0" w:type="dxa"/>
        <w:right w:w="115.0" w:type="dxa"/>
      </w:tblCellMar>
    </w:tblPr>
  </w:style>
  <w:style w:type="table" w:styleId="ae" w:customStyle="1">
    <w:basedOn w:val="TableNormalf0"/>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left w:w="115.0" w:type="dxa"/>
        <w:right w:w="115.0" w:type="dxa"/>
      </w:tblCellMar>
    </w:tblPr>
  </w:style>
  <w:style w:type="table" w:styleId="af1" w:customStyle="1">
    <w:basedOn w:val="TableNormalf"/>
    <w:tblPr>
      <w:tblStyleRowBandSize w:val="1"/>
      <w:tblStyleColBandSize w:val="1"/>
      <w:tblCellMar>
        <w:left w:w="115.0" w:type="dxa"/>
        <w:right w:w="115.0" w:type="dxa"/>
      </w:tblCellMar>
    </w:tblPr>
  </w:style>
  <w:style w:type="table" w:styleId="af2" w:customStyle="1">
    <w:basedOn w:val="TableNormale"/>
    <w:tblPr>
      <w:tblStyleRowBandSize w:val="1"/>
      <w:tblStyleColBandSize w:val="1"/>
      <w:tblCellMar>
        <w:left w:w="115.0" w:type="dxa"/>
        <w:right w:w="115.0" w:type="dxa"/>
      </w:tblCellMar>
    </w:tblPr>
  </w:style>
  <w:style w:type="table" w:styleId="af3" w:customStyle="1">
    <w:basedOn w:val="TableNormale"/>
    <w:tblPr>
      <w:tblStyleRowBandSize w:val="1"/>
      <w:tblStyleColBandSize w:val="1"/>
      <w:tblCellMar>
        <w:left w:w="115.0" w:type="dxa"/>
        <w:right w:w="115.0" w:type="dxa"/>
      </w:tblCellMar>
    </w:tblPr>
  </w:style>
  <w:style w:type="table" w:styleId="af4" w:customStyle="1">
    <w:basedOn w:val="TableNormald"/>
    <w:tblPr>
      <w:tblStyleRowBandSize w:val="1"/>
      <w:tblStyleColBandSize w:val="1"/>
      <w:tblCellMar>
        <w:left w:w="115.0" w:type="dxa"/>
        <w:right w:w="115.0" w:type="dxa"/>
      </w:tblCellMar>
    </w:tblPr>
  </w:style>
  <w:style w:type="table" w:styleId="af5" w:customStyle="1">
    <w:basedOn w:val="TableNormald"/>
    <w:tblPr>
      <w:tblStyleRowBandSize w:val="1"/>
      <w:tblStyleColBandSize w:val="1"/>
      <w:tblCellMar>
        <w:left w:w="115.0" w:type="dxa"/>
        <w:right w:w="115.0" w:type="dxa"/>
      </w:tblCellMar>
    </w:tblPr>
  </w:style>
  <w:style w:type="table" w:styleId="af6" w:customStyle="1">
    <w:basedOn w:val="TableNormalc"/>
    <w:tblPr>
      <w:tblStyleRowBandSize w:val="1"/>
      <w:tblStyleColBandSize w:val="1"/>
      <w:tblCellMar>
        <w:left w:w="115.0" w:type="dxa"/>
        <w:right w:w="115.0" w:type="dxa"/>
      </w:tblCellMar>
    </w:tblPr>
  </w:style>
  <w:style w:type="table" w:styleId="af7" w:customStyle="1">
    <w:basedOn w:val="TableNormalc"/>
    <w:tblPr>
      <w:tblStyleRowBandSize w:val="1"/>
      <w:tblStyleColBandSize w:val="1"/>
      <w:tblCellMar>
        <w:left w:w="115.0" w:type="dxa"/>
        <w:right w:w="115.0" w:type="dxa"/>
      </w:tblCellMar>
    </w:tblPr>
  </w:style>
  <w:style w:type="character" w:styleId="Textoennegrita">
    <w:name w:val="Strong"/>
    <w:basedOn w:val="Fuentedeprrafopredeter"/>
    <w:uiPriority w:val="22"/>
    <w:qFormat w:val="1"/>
    <w:rsid w:val="002C02D7"/>
    <w:rPr>
      <w:b w:val="1"/>
      <w:bCs w:val="1"/>
    </w:rPr>
  </w:style>
  <w:style w:type="character" w:styleId="object" w:customStyle="1">
    <w:name w:val="object"/>
    <w:basedOn w:val="Fuentedeprrafopredeter"/>
    <w:rsid w:val="002C02D7"/>
  </w:style>
  <w:style w:type="table" w:styleId="af8" w:customStyle="1">
    <w:basedOn w:val="TableNormalb"/>
    <w:tblPr>
      <w:tblStyleRowBandSize w:val="1"/>
      <w:tblStyleColBandSize w:val="1"/>
      <w:tblCellMar>
        <w:left w:w="115.0" w:type="dxa"/>
        <w:right w:w="115.0" w:type="dxa"/>
      </w:tblCellMar>
    </w:tblPr>
  </w:style>
  <w:style w:type="table" w:styleId="af9" w:customStyle="1">
    <w:basedOn w:val="TableNormalb"/>
    <w:tblPr>
      <w:tblStyleRowBandSize w:val="1"/>
      <w:tblStyleColBandSize w:val="1"/>
      <w:tblCellMar>
        <w:left w:w="115.0" w:type="dxa"/>
        <w:right w:w="115.0" w:type="dxa"/>
      </w:tblCellMar>
    </w:tblPr>
  </w:style>
  <w:style w:type="table" w:styleId="afa" w:customStyle="1">
    <w:basedOn w:val="TableNormala"/>
    <w:tblPr>
      <w:tblStyleRowBandSize w:val="1"/>
      <w:tblStyleColBandSize w:val="1"/>
      <w:tblCellMar>
        <w:left w:w="115.0" w:type="dxa"/>
        <w:right w:w="115.0" w:type="dxa"/>
      </w:tblCellMar>
    </w:tblPr>
  </w:style>
  <w:style w:type="table" w:styleId="afb" w:customStyle="1">
    <w:basedOn w:val="TableNormala"/>
    <w:tblPr>
      <w:tblStyleRowBandSize w:val="1"/>
      <w:tblStyleColBandSize w:val="1"/>
      <w:tblCellMar>
        <w:left w:w="115.0" w:type="dxa"/>
        <w:right w:w="115.0" w:type="dxa"/>
      </w:tblCellMar>
    </w:tblPr>
  </w:style>
  <w:style w:type="table" w:styleId="afc" w:customStyle="1">
    <w:basedOn w:val="TableNormal9"/>
    <w:tblPr>
      <w:tblStyleRowBandSize w:val="1"/>
      <w:tblStyleColBandSize w:val="1"/>
      <w:tblCellMar>
        <w:left w:w="115.0" w:type="dxa"/>
        <w:right w:w="115.0" w:type="dxa"/>
      </w:tblCellMar>
    </w:tblPr>
  </w:style>
  <w:style w:type="table" w:styleId="afd" w:customStyle="1">
    <w:basedOn w:val="TableNormal9"/>
    <w:tblPr>
      <w:tblStyleRowBandSize w:val="1"/>
      <w:tblStyleColBandSize w:val="1"/>
      <w:tblCellMar>
        <w:left w:w="115.0" w:type="dxa"/>
        <w:right w:w="115.0" w:type="dxa"/>
      </w:tblCellMar>
    </w:tblPr>
  </w:style>
  <w:style w:type="table" w:styleId="afe" w:customStyle="1">
    <w:basedOn w:val="TableNormal8"/>
    <w:tblPr>
      <w:tblStyleRowBandSize w:val="1"/>
      <w:tblStyleColBandSize w:val="1"/>
      <w:tblCellMar>
        <w:left w:w="115.0" w:type="dxa"/>
        <w:right w:w="115.0" w:type="dxa"/>
      </w:tblCellMar>
    </w:tblPr>
  </w:style>
  <w:style w:type="table" w:styleId="aff" w:customStyle="1">
    <w:basedOn w:val="TableNormal8"/>
    <w:tblPr>
      <w:tblStyleRowBandSize w:val="1"/>
      <w:tblStyleColBandSize w:val="1"/>
      <w:tblCellMar>
        <w:left w:w="115.0" w:type="dxa"/>
        <w:right w:w="115.0" w:type="dxa"/>
      </w:tblCellMar>
    </w:tblPr>
  </w:style>
  <w:style w:type="table" w:styleId="aff0" w:customStyle="1">
    <w:basedOn w:val="TableNormal7"/>
    <w:tblPr>
      <w:tblStyleRowBandSize w:val="1"/>
      <w:tblStyleColBandSize w:val="1"/>
      <w:tblCellMar>
        <w:left w:w="115.0" w:type="dxa"/>
        <w:right w:w="115.0" w:type="dxa"/>
      </w:tblCellMar>
    </w:tblPr>
  </w:style>
  <w:style w:type="table" w:styleId="aff1" w:customStyle="1">
    <w:basedOn w:val="TableNormal7"/>
    <w:tblPr>
      <w:tblStyleRowBandSize w:val="1"/>
      <w:tblStyleColBandSize w:val="1"/>
      <w:tblCellMar>
        <w:left w:w="115.0" w:type="dxa"/>
        <w:right w:w="115.0" w:type="dxa"/>
      </w:tblCellMar>
    </w:tblPr>
  </w:style>
  <w:style w:type="table" w:styleId="aff2" w:customStyle="1">
    <w:basedOn w:val="TableNormal6"/>
    <w:tblPr>
      <w:tblStyleRowBandSize w:val="1"/>
      <w:tblStyleColBandSize w:val="1"/>
      <w:tblCellMar>
        <w:left w:w="115.0" w:type="dxa"/>
        <w:right w:w="115.0" w:type="dxa"/>
      </w:tblCellMar>
    </w:tblPr>
  </w:style>
  <w:style w:type="table" w:styleId="aff3" w:customStyle="1">
    <w:basedOn w:val="TableNormal6"/>
    <w:tblPr>
      <w:tblStyleRowBandSize w:val="1"/>
      <w:tblStyleColBandSize w:val="1"/>
      <w:tblCellMar>
        <w:left w:w="115.0" w:type="dxa"/>
        <w:right w:w="115.0" w:type="dxa"/>
      </w:tblCellMar>
    </w:tblPr>
  </w:style>
  <w:style w:type="table" w:styleId="aff4" w:customStyle="1">
    <w:basedOn w:val="TableNormal5"/>
    <w:tblPr>
      <w:tblStyleRowBandSize w:val="1"/>
      <w:tblStyleColBandSize w:val="1"/>
      <w:tblCellMar>
        <w:left w:w="115.0" w:type="dxa"/>
        <w:right w:w="115.0" w:type="dxa"/>
      </w:tblCellMar>
    </w:tblPr>
  </w:style>
  <w:style w:type="table" w:styleId="aff5" w:customStyle="1">
    <w:basedOn w:val="TableNormal5"/>
    <w:tblPr>
      <w:tblStyleRowBandSize w:val="1"/>
      <w:tblStyleColBandSize w:val="1"/>
      <w:tblCellMar>
        <w:left w:w="115.0" w:type="dxa"/>
        <w:right w:w="115.0" w:type="dxa"/>
      </w:tblCellMar>
    </w:tblPr>
  </w:style>
  <w:style w:type="table" w:styleId="aff6" w:customStyle="1">
    <w:basedOn w:val="TableNormal4"/>
    <w:tblPr>
      <w:tblStyleRowBandSize w:val="1"/>
      <w:tblStyleColBandSize w:val="1"/>
      <w:tblCellMar>
        <w:left w:w="115.0" w:type="dxa"/>
        <w:right w:w="115.0" w:type="dxa"/>
      </w:tblCellMar>
    </w:tblPr>
  </w:style>
  <w:style w:type="table" w:styleId="aff7" w:customStyle="1">
    <w:basedOn w:val="TableNormal4"/>
    <w:tblPr>
      <w:tblStyleRowBandSize w:val="1"/>
      <w:tblStyleColBandSize w:val="1"/>
      <w:tblCellMar>
        <w:left w:w="115.0" w:type="dxa"/>
        <w:right w:w="115.0" w:type="dxa"/>
      </w:tblCellMar>
    </w:tblPr>
  </w:style>
  <w:style w:type="table" w:styleId="aff8" w:customStyle="1">
    <w:basedOn w:val="TableNormal3"/>
    <w:tblPr>
      <w:tblStyleRowBandSize w:val="1"/>
      <w:tblStyleColBandSize w:val="1"/>
      <w:tblCellMar>
        <w:left w:w="115.0" w:type="dxa"/>
        <w:right w:w="115.0" w:type="dxa"/>
      </w:tblCellMar>
    </w:tblPr>
  </w:style>
  <w:style w:type="table" w:styleId="aff9" w:customStyle="1">
    <w:basedOn w:val="TableNormal3"/>
    <w:tblPr>
      <w:tblStyleRowBandSize w:val="1"/>
      <w:tblStyleColBandSize w:val="1"/>
      <w:tblCellMar>
        <w:left w:w="115.0" w:type="dxa"/>
        <w:right w:w="115.0" w:type="dxa"/>
      </w:tblCellMar>
    </w:tblPr>
  </w:style>
  <w:style w:type="table" w:styleId="affa" w:customStyle="1">
    <w:basedOn w:val="TableNormal2"/>
    <w:tblPr>
      <w:tblStyleRowBandSize w:val="1"/>
      <w:tblStyleColBandSize w:val="1"/>
      <w:tblCellMar>
        <w:left w:w="115.0" w:type="dxa"/>
        <w:right w:w="115.0" w:type="dxa"/>
      </w:tblCellMar>
    </w:tblPr>
  </w:style>
  <w:style w:type="table" w:styleId="affb" w:customStyle="1">
    <w:basedOn w:val="TableNormal2"/>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0"/>
    <w:tblPr>
      <w:tblStyleRowBandSize w:val="1"/>
      <w:tblStyleColBandSize w:val="1"/>
      <w:tblCellMar>
        <w:left w:w="115.0" w:type="dxa"/>
        <w:right w:w="115.0" w:type="dxa"/>
      </w:tblCellMar>
    </w:tblPr>
  </w:style>
  <w:style w:type="table" w:styleId="afff"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4gUlCyscSur9Qb/ANAXd2xvk3g==">CgMxLjAyCWguM3JkY3JqbjIOaC5kYWozajJ4bzZxNjYyCGguZ2pkZ3hzMgloLjNkeTZ2a20yCWguMzBqMHpsbDIJaC4yczhleW8xMghoLnR5amN3dDIJaC4zem55c2g3MgloLjJldDkycDAyDmguOGdhaXBlejdyczhxMgloLjF0M2g1c2YyDmguaG56eHNjaDVneXN6Mg5oLm90M3FxNnZ4YTA4ZjIIaC5sbnhiejk4AHIhMTNxNW11ejE4UGRxY2p5YkoyUm1WM1oxUGNadWJKS1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2025-10-03T16:54:00Z</dcterms:created>
  <dc:creator>USUARIO</dc:creator>
</cp:coreProperties>
</file>