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673D5" w14:textId="0F6C290C" w:rsidR="00166EBD" w:rsidRPr="00D62C2C" w:rsidRDefault="00166EBD" w:rsidP="0066528D">
      <w:pPr>
        <w:spacing w:line="360" w:lineRule="auto"/>
        <w:jc w:val="both"/>
        <w:rPr>
          <w:rFonts w:ascii="Palatino Linotype" w:eastAsia="Palatino Linotype" w:hAnsi="Palatino Linotype" w:cs="Palatino Linotype"/>
          <w:b/>
          <w:color w:val="000000" w:themeColor="text1"/>
        </w:rPr>
      </w:pPr>
      <w:bookmarkStart w:id="0" w:name="_GoBack"/>
      <w:bookmarkEnd w:id="0"/>
      <w:r w:rsidRPr="0066528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6528D">
        <w:rPr>
          <w:rFonts w:ascii="Palatino Linotype" w:eastAsia="Palatino Linotype" w:hAnsi="Palatino Linotype" w:cs="Palatino Linotype"/>
          <w:b/>
          <w:color w:val="000000" w:themeColor="text1"/>
        </w:rPr>
        <w:t>de fecha tres</w:t>
      </w:r>
      <w:r w:rsidR="00AD6C2A">
        <w:rPr>
          <w:rFonts w:ascii="Palatino Linotype" w:eastAsia="Palatino Linotype" w:hAnsi="Palatino Linotype" w:cs="Palatino Linotype"/>
          <w:b/>
          <w:color w:val="000000" w:themeColor="text1"/>
        </w:rPr>
        <w:t xml:space="preserve"> (03)</w:t>
      </w:r>
      <w:r w:rsidRPr="0066528D">
        <w:rPr>
          <w:rFonts w:ascii="Palatino Linotype" w:eastAsia="Palatino Linotype" w:hAnsi="Palatino Linotype" w:cs="Palatino Linotype"/>
          <w:b/>
          <w:color w:val="000000" w:themeColor="text1"/>
        </w:rPr>
        <w:t xml:space="preserve"> de diciembre de dos mil veinticinco</w:t>
      </w:r>
      <w:r w:rsidR="00D62C2C">
        <w:rPr>
          <w:rFonts w:ascii="Palatino Linotype" w:eastAsia="Palatino Linotype" w:hAnsi="Palatino Linotype" w:cs="Palatino Linotype"/>
          <w:b/>
          <w:color w:val="000000" w:themeColor="text1"/>
        </w:rPr>
        <w:t>.</w:t>
      </w:r>
    </w:p>
    <w:p w14:paraId="3326B5BB" w14:textId="77777777" w:rsidR="00166EBD" w:rsidRPr="0066528D" w:rsidRDefault="00166EBD" w:rsidP="0066528D">
      <w:pPr>
        <w:spacing w:line="360" w:lineRule="auto"/>
        <w:jc w:val="both"/>
        <w:rPr>
          <w:rFonts w:ascii="Palatino Linotype" w:eastAsia="Palatino Linotype" w:hAnsi="Palatino Linotype" w:cs="Palatino Linotype"/>
          <w:color w:val="000000" w:themeColor="text1"/>
        </w:rPr>
      </w:pPr>
    </w:p>
    <w:p w14:paraId="6F168A71" w14:textId="23EC525F" w:rsidR="00166EBD" w:rsidRPr="0066528D" w:rsidRDefault="00166EBD" w:rsidP="0066528D">
      <w:pPr>
        <w:spacing w:line="360" w:lineRule="auto"/>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b/>
          <w:color w:val="000000" w:themeColor="text1"/>
        </w:rPr>
        <w:t>VISTO</w:t>
      </w:r>
      <w:r w:rsidRPr="0066528D">
        <w:rPr>
          <w:rFonts w:ascii="Palatino Linotype" w:eastAsia="Palatino Linotype" w:hAnsi="Palatino Linotype" w:cs="Palatino Linotype"/>
          <w:color w:val="000000" w:themeColor="text1"/>
        </w:rPr>
        <w:t xml:space="preserve"> el expediente electrónico formado con motivo del recurso de revisión </w:t>
      </w:r>
      <w:r w:rsidRPr="0066528D">
        <w:rPr>
          <w:rFonts w:ascii="Palatino Linotype" w:eastAsia="Palatino Linotype" w:hAnsi="Palatino Linotype" w:cs="Palatino Linotype"/>
          <w:b/>
          <w:color w:val="000000" w:themeColor="text1"/>
        </w:rPr>
        <w:t xml:space="preserve">05148/INFOEM/IP/RR/2025, </w:t>
      </w:r>
      <w:r w:rsidRPr="0066528D">
        <w:rPr>
          <w:rFonts w:ascii="Palatino Linotype" w:eastAsia="Palatino Linotype" w:hAnsi="Palatino Linotype" w:cs="Palatino Linotype"/>
          <w:color w:val="000000" w:themeColor="text1"/>
        </w:rPr>
        <w:t xml:space="preserve">promovido por </w:t>
      </w:r>
      <w:r w:rsidRPr="0066528D">
        <w:rPr>
          <w:rFonts w:ascii="Palatino Linotype" w:eastAsia="Palatino Linotype" w:hAnsi="Palatino Linotype" w:cs="Palatino Linotype"/>
          <w:b/>
          <w:bCs/>
          <w:color w:val="000000" w:themeColor="text1"/>
        </w:rPr>
        <w:t>un usuario que no proporcionó nombre</w:t>
      </w:r>
      <w:r w:rsidRPr="0066528D">
        <w:rPr>
          <w:rFonts w:ascii="Palatino Linotype" w:eastAsia="Palatino Linotype" w:hAnsi="Palatino Linotype" w:cs="Palatino Linotype"/>
          <w:b/>
          <w:color w:val="000000" w:themeColor="text1"/>
        </w:rPr>
        <w:t>,</w:t>
      </w:r>
      <w:r w:rsidRPr="0066528D">
        <w:rPr>
          <w:rFonts w:ascii="Palatino Linotype" w:eastAsia="Palatino Linotype" w:hAnsi="Palatino Linotype" w:cs="Palatino Linotype"/>
          <w:color w:val="000000" w:themeColor="text1"/>
        </w:rPr>
        <w:t xml:space="preserve"> </w:t>
      </w:r>
      <w:r w:rsidR="00AD6C2A">
        <w:rPr>
          <w:rFonts w:ascii="Palatino Linotype" w:eastAsia="Palatino Linotype" w:hAnsi="Palatino Linotype" w:cs="Palatino Linotype"/>
          <w:color w:val="000000" w:themeColor="text1"/>
        </w:rPr>
        <w:t xml:space="preserve">a </w:t>
      </w:r>
      <w:r w:rsidRPr="0066528D">
        <w:rPr>
          <w:rFonts w:ascii="Palatino Linotype" w:eastAsia="Palatino Linotype" w:hAnsi="Palatino Linotype" w:cs="Palatino Linotype"/>
          <w:color w:val="000000" w:themeColor="text1"/>
        </w:rPr>
        <w:t xml:space="preserve">quien en lo sucesivo se identificará como </w:t>
      </w:r>
      <w:r w:rsidRPr="0066528D">
        <w:rPr>
          <w:rFonts w:ascii="Palatino Linotype" w:eastAsia="Palatino Linotype" w:hAnsi="Palatino Linotype" w:cs="Palatino Linotype"/>
          <w:b/>
          <w:color w:val="000000" w:themeColor="text1"/>
        </w:rPr>
        <w:t>EL RECURRENTE</w:t>
      </w:r>
      <w:r w:rsidRPr="0066528D">
        <w:rPr>
          <w:rFonts w:ascii="Palatino Linotype" w:eastAsia="Palatino Linotype" w:hAnsi="Palatino Linotype" w:cs="Palatino Linotype"/>
          <w:color w:val="000000" w:themeColor="text1"/>
        </w:rPr>
        <w:t xml:space="preserve">, en contra de la respuesta del </w:t>
      </w:r>
      <w:r w:rsidRPr="0066528D">
        <w:rPr>
          <w:rFonts w:ascii="Palatino Linotype" w:eastAsia="Palatino Linotype" w:hAnsi="Palatino Linotype" w:cs="Palatino Linotype"/>
          <w:b/>
          <w:color w:val="000000" w:themeColor="text1"/>
        </w:rPr>
        <w:t xml:space="preserve">Ayuntamiento de Zinacantepec, </w:t>
      </w:r>
      <w:r w:rsidRPr="0066528D">
        <w:rPr>
          <w:rFonts w:ascii="Palatino Linotype" w:eastAsia="Palatino Linotype" w:hAnsi="Palatino Linotype" w:cs="Palatino Linotype"/>
          <w:color w:val="000000" w:themeColor="text1"/>
        </w:rPr>
        <w:t>en adelante el</w:t>
      </w:r>
      <w:r w:rsidRPr="0066528D">
        <w:rPr>
          <w:rFonts w:ascii="Palatino Linotype" w:eastAsia="Palatino Linotype" w:hAnsi="Palatino Linotype" w:cs="Palatino Linotype"/>
          <w:b/>
          <w:color w:val="000000" w:themeColor="text1"/>
        </w:rPr>
        <w:t xml:space="preserve"> SUJETO OBLIGADO</w:t>
      </w:r>
      <w:r w:rsidRPr="0066528D">
        <w:rPr>
          <w:rFonts w:ascii="Palatino Linotype" w:eastAsia="Palatino Linotype" w:hAnsi="Palatino Linotype" w:cs="Palatino Linotype"/>
          <w:color w:val="000000" w:themeColor="text1"/>
        </w:rPr>
        <w:t>, por lo que se procede a dictar la presente resolución, con base en los siguientes:</w:t>
      </w:r>
    </w:p>
    <w:p w14:paraId="4ECA0424" w14:textId="77777777" w:rsidR="00166EBD" w:rsidRPr="0066528D" w:rsidRDefault="00166EBD" w:rsidP="0066528D">
      <w:pPr>
        <w:spacing w:line="360" w:lineRule="auto"/>
        <w:jc w:val="both"/>
        <w:rPr>
          <w:rFonts w:ascii="Palatino Linotype" w:eastAsia="Palatino Linotype" w:hAnsi="Palatino Linotype" w:cs="Palatino Linotype"/>
          <w:b/>
          <w:color w:val="000000" w:themeColor="text1"/>
        </w:rPr>
      </w:pPr>
    </w:p>
    <w:p w14:paraId="370DB2EB" w14:textId="77777777" w:rsidR="00166EBD" w:rsidRPr="0066528D" w:rsidRDefault="00166EBD" w:rsidP="0066528D">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66528D">
        <w:rPr>
          <w:rFonts w:ascii="Palatino Linotype" w:eastAsia="Palatino Linotype" w:hAnsi="Palatino Linotype" w:cs="Palatino Linotype"/>
          <w:b/>
          <w:color w:val="000000" w:themeColor="text1"/>
        </w:rPr>
        <w:t>A N T E C E D E N T E S</w:t>
      </w:r>
    </w:p>
    <w:p w14:paraId="2395B30C" w14:textId="77777777" w:rsidR="00166EBD" w:rsidRPr="0066528D" w:rsidRDefault="00166EBD" w:rsidP="0066528D">
      <w:pPr>
        <w:spacing w:line="360" w:lineRule="auto"/>
        <w:rPr>
          <w:rFonts w:ascii="Palatino Linotype" w:eastAsia="Palatino Linotype" w:hAnsi="Palatino Linotype" w:cs="Palatino Linotype"/>
          <w:color w:val="000000" w:themeColor="text1"/>
        </w:rPr>
      </w:pPr>
    </w:p>
    <w:p w14:paraId="41028663"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El </w:t>
      </w:r>
      <w:r w:rsidRPr="0066528D">
        <w:rPr>
          <w:rFonts w:ascii="Palatino Linotype" w:eastAsia="Palatino Linotype" w:hAnsi="Palatino Linotype" w:cs="Palatino Linotype"/>
          <w:b/>
          <w:color w:val="000000" w:themeColor="text1"/>
        </w:rPr>
        <w:t>tres de abril de dos mil veinticinco</w:t>
      </w:r>
      <w:r w:rsidRPr="0066528D">
        <w:rPr>
          <w:rFonts w:ascii="Palatino Linotype" w:eastAsia="Palatino Linotype" w:hAnsi="Palatino Linotype" w:cs="Palatino Linotype"/>
          <w:color w:val="000000" w:themeColor="text1"/>
        </w:rPr>
        <w:t xml:space="preserve">, </w:t>
      </w:r>
      <w:r w:rsidRPr="0066528D">
        <w:rPr>
          <w:rFonts w:ascii="Palatino Linotype" w:eastAsia="Palatino Linotype" w:hAnsi="Palatino Linotype" w:cs="Palatino Linotype"/>
          <w:b/>
          <w:color w:val="000000" w:themeColor="text1"/>
        </w:rPr>
        <w:t>EL RECURRENTE,</w:t>
      </w:r>
      <w:r w:rsidRPr="0066528D">
        <w:rPr>
          <w:rFonts w:ascii="Palatino Linotype" w:eastAsia="Palatino Linotype" w:hAnsi="Palatino Linotype" w:cs="Palatino Linotype"/>
          <w:color w:val="000000" w:themeColor="text1"/>
        </w:rPr>
        <w:t xml:space="preserve"> ante el </w:t>
      </w:r>
      <w:r w:rsidRPr="0066528D">
        <w:rPr>
          <w:rFonts w:ascii="Palatino Linotype" w:eastAsia="Palatino Linotype" w:hAnsi="Palatino Linotype" w:cs="Palatino Linotype"/>
          <w:b/>
          <w:color w:val="000000" w:themeColor="text1"/>
        </w:rPr>
        <w:t>SUJETO OBLIGADO</w:t>
      </w:r>
      <w:r w:rsidRPr="0066528D">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66528D">
        <w:rPr>
          <w:rFonts w:ascii="Palatino Linotype" w:eastAsia="Palatino Linotype" w:hAnsi="Palatino Linotype" w:cs="Palatino Linotype"/>
          <w:b/>
          <w:bCs/>
          <w:color w:val="000000" w:themeColor="text1"/>
        </w:rPr>
        <w:t>00202/ZINACANT/IP/2025</w:t>
      </w:r>
      <w:r w:rsidRPr="0066528D">
        <w:rPr>
          <w:rFonts w:ascii="Palatino Linotype" w:eastAsia="Palatino Linotype" w:hAnsi="Palatino Linotype" w:cs="Palatino Linotype"/>
          <w:b/>
          <w:color w:val="000000" w:themeColor="text1"/>
        </w:rPr>
        <w:t xml:space="preserve">, </w:t>
      </w:r>
      <w:r w:rsidRPr="0066528D">
        <w:rPr>
          <w:rFonts w:ascii="Palatino Linotype" w:eastAsia="Palatino Linotype" w:hAnsi="Palatino Linotype" w:cs="Palatino Linotype"/>
          <w:color w:val="000000" w:themeColor="text1"/>
        </w:rPr>
        <w:t>en la que se solicitó lo siguiente:</w:t>
      </w:r>
    </w:p>
    <w:p w14:paraId="18EA5231"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05FED8D"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 xml:space="preserve">“Solicito los informes sobre las denuncias internas por irregularidades o malas prácticas en el Ayuntamiento de Zinacantepec durante los últimos dos años, incluyendo detalles de los involucrados, los cargos ocupados, las sanciones impuestas (si las hubo) y el estatus de cada denuncia.” (Sic) </w:t>
      </w:r>
    </w:p>
    <w:p w14:paraId="2B292C91"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59F7158"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Se señaló como modalidad de entrega a través de SAIMEX.  </w:t>
      </w:r>
    </w:p>
    <w:p w14:paraId="30CC1F6D"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1DE6600"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lastRenderedPageBreak/>
        <w:t xml:space="preserve">El </w:t>
      </w:r>
      <w:r w:rsidRPr="0066528D">
        <w:rPr>
          <w:rFonts w:ascii="Palatino Linotype" w:eastAsia="Palatino Linotype" w:hAnsi="Palatino Linotype" w:cs="Palatino Linotype"/>
          <w:b/>
          <w:color w:val="000000" w:themeColor="text1"/>
        </w:rPr>
        <w:t>cuatro de abril de dos mil veinticinco</w:t>
      </w:r>
      <w:r w:rsidRPr="0066528D">
        <w:rPr>
          <w:rFonts w:ascii="Palatino Linotype" w:eastAsia="Palatino Linotype" w:hAnsi="Palatino Linotype" w:cs="Palatino Linotype"/>
          <w:color w:val="000000" w:themeColor="text1"/>
        </w:rPr>
        <w:t xml:space="preserve">, se realizó un requerimiento de información al servidor público habilitado. </w:t>
      </w:r>
    </w:p>
    <w:p w14:paraId="6BFBD9D3"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7E06CF6"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El </w:t>
      </w:r>
      <w:r w:rsidRPr="0066528D">
        <w:rPr>
          <w:rFonts w:ascii="Palatino Linotype" w:eastAsia="Palatino Linotype" w:hAnsi="Palatino Linotype" w:cs="Palatino Linotype"/>
          <w:b/>
          <w:color w:val="000000" w:themeColor="text1"/>
        </w:rPr>
        <w:t>veintinueve de abril de dos mil veinticinco</w:t>
      </w:r>
      <w:r w:rsidRPr="0066528D">
        <w:rPr>
          <w:rFonts w:ascii="Palatino Linotype" w:eastAsia="Palatino Linotype" w:hAnsi="Palatino Linotype" w:cs="Palatino Linotype"/>
          <w:color w:val="000000" w:themeColor="text1"/>
        </w:rPr>
        <w:t>, el Sujeto Obligado dio respuesta a la solicitud de información en los siguientes términos:</w:t>
      </w:r>
    </w:p>
    <w:tbl>
      <w:tblPr>
        <w:tblW w:w="7595" w:type="dxa"/>
        <w:jc w:val="center"/>
        <w:tblCellSpacing w:w="0" w:type="dxa"/>
        <w:tblCellMar>
          <w:left w:w="0" w:type="dxa"/>
          <w:right w:w="0" w:type="dxa"/>
        </w:tblCellMar>
        <w:tblLook w:val="04A0" w:firstRow="1" w:lastRow="0" w:firstColumn="1" w:lastColumn="0" w:noHBand="0" w:noVBand="1"/>
      </w:tblPr>
      <w:tblGrid>
        <w:gridCol w:w="7595"/>
      </w:tblGrid>
      <w:tr w:rsidR="0066528D" w:rsidRPr="0066528D" w14:paraId="486D2E1D" w14:textId="77777777" w:rsidTr="00166EBD">
        <w:trPr>
          <w:trHeight w:val="292"/>
          <w:tblCellSpacing w:w="0" w:type="dxa"/>
          <w:jc w:val="center"/>
        </w:trPr>
        <w:tc>
          <w:tcPr>
            <w:tcW w:w="0" w:type="auto"/>
            <w:vAlign w:val="center"/>
            <w:hideMark/>
          </w:tcPr>
          <w:p w14:paraId="00B204C2" w14:textId="77777777" w:rsidR="00166EBD" w:rsidRPr="0066528D" w:rsidRDefault="00166EBD" w:rsidP="0066528D">
            <w:pPr>
              <w:jc w:val="right"/>
              <w:rPr>
                <w:rFonts w:ascii="Palatino Linotype" w:hAnsi="Palatino Linotype"/>
                <w:i/>
                <w:color w:val="000000" w:themeColor="text1"/>
              </w:rPr>
            </w:pPr>
            <w:r w:rsidRPr="0066528D">
              <w:rPr>
                <w:rFonts w:ascii="Palatino Linotype" w:hAnsi="Palatino Linotype"/>
                <w:i/>
                <w:color w:val="000000" w:themeColor="text1"/>
              </w:rPr>
              <w:t>“Zinacantepec, México a 29 de Abril de 2025</w:t>
            </w:r>
          </w:p>
        </w:tc>
      </w:tr>
      <w:tr w:rsidR="0066528D" w:rsidRPr="0066528D" w14:paraId="48F6E231" w14:textId="77777777" w:rsidTr="00166EBD">
        <w:trPr>
          <w:trHeight w:val="292"/>
          <w:tblCellSpacing w:w="0" w:type="dxa"/>
          <w:jc w:val="center"/>
        </w:trPr>
        <w:tc>
          <w:tcPr>
            <w:tcW w:w="0" w:type="auto"/>
            <w:vAlign w:val="center"/>
            <w:hideMark/>
          </w:tcPr>
          <w:p w14:paraId="1F8EEBC0" w14:textId="77777777" w:rsidR="00166EBD" w:rsidRPr="0066528D" w:rsidRDefault="00166EBD" w:rsidP="0066528D">
            <w:pPr>
              <w:jc w:val="right"/>
              <w:rPr>
                <w:rFonts w:ascii="Palatino Linotype" w:hAnsi="Palatino Linotype"/>
                <w:i/>
                <w:color w:val="000000" w:themeColor="text1"/>
              </w:rPr>
            </w:pPr>
            <w:r w:rsidRPr="0066528D">
              <w:rPr>
                <w:rFonts w:ascii="Palatino Linotype" w:hAnsi="Palatino Linotype"/>
                <w:i/>
                <w:color w:val="000000" w:themeColor="text1"/>
              </w:rPr>
              <w:t>Nombre del solicitante: C. Solicitante</w:t>
            </w:r>
          </w:p>
        </w:tc>
      </w:tr>
      <w:tr w:rsidR="0066528D" w:rsidRPr="0066528D" w14:paraId="1D2227E0" w14:textId="77777777" w:rsidTr="00166EBD">
        <w:trPr>
          <w:trHeight w:val="292"/>
          <w:tblCellSpacing w:w="0" w:type="dxa"/>
          <w:jc w:val="center"/>
        </w:trPr>
        <w:tc>
          <w:tcPr>
            <w:tcW w:w="0" w:type="auto"/>
            <w:vAlign w:val="center"/>
            <w:hideMark/>
          </w:tcPr>
          <w:p w14:paraId="4250498B" w14:textId="77777777" w:rsidR="00166EBD" w:rsidRPr="0066528D" w:rsidRDefault="00166EBD" w:rsidP="0066528D">
            <w:pPr>
              <w:jc w:val="right"/>
              <w:rPr>
                <w:rFonts w:ascii="Palatino Linotype" w:hAnsi="Palatino Linotype"/>
                <w:i/>
                <w:color w:val="000000" w:themeColor="text1"/>
              </w:rPr>
            </w:pPr>
            <w:r w:rsidRPr="0066528D">
              <w:rPr>
                <w:rFonts w:ascii="Palatino Linotype" w:hAnsi="Palatino Linotype"/>
                <w:i/>
                <w:color w:val="000000" w:themeColor="text1"/>
              </w:rPr>
              <w:t>Folio de la solicitud: 00202/ZINACANT/IP/2025</w:t>
            </w:r>
          </w:p>
        </w:tc>
      </w:tr>
      <w:tr w:rsidR="0066528D" w:rsidRPr="0066528D" w14:paraId="08AA1021" w14:textId="77777777" w:rsidTr="00166EBD">
        <w:trPr>
          <w:trHeight w:val="438"/>
          <w:tblCellSpacing w:w="0" w:type="dxa"/>
          <w:jc w:val="center"/>
        </w:trPr>
        <w:tc>
          <w:tcPr>
            <w:tcW w:w="0" w:type="auto"/>
            <w:vAlign w:val="center"/>
            <w:hideMark/>
          </w:tcPr>
          <w:p w14:paraId="42606FB3" w14:textId="77777777" w:rsidR="00166EBD" w:rsidRPr="0066528D" w:rsidRDefault="00166EBD" w:rsidP="0066528D">
            <w:pPr>
              <w:jc w:val="right"/>
              <w:rPr>
                <w:rFonts w:ascii="Palatino Linotype" w:hAnsi="Palatino Linotype"/>
                <w:i/>
                <w:color w:val="000000" w:themeColor="text1"/>
              </w:rPr>
            </w:pPr>
          </w:p>
        </w:tc>
      </w:tr>
      <w:tr w:rsidR="0066528D" w:rsidRPr="0066528D" w14:paraId="5B871A73" w14:textId="77777777" w:rsidTr="00166EBD">
        <w:trPr>
          <w:trHeight w:val="146"/>
          <w:tblCellSpacing w:w="0" w:type="dxa"/>
          <w:jc w:val="center"/>
        </w:trPr>
        <w:tc>
          <w:tcPr>
            <w:tcW w:w="0" w:type="auto"/>
            <w:vAlign w:val="center"/>
            <w:hideMark/>
          </w:tcPr>
          <w:p w14:paraId="7F397D41" w14:textId="77777777" w:rsidR="00166EBD" w:rsidRPr="0066528D" w:rsidRDefault="00166EBD" w:rsidP="0066528D">
            <w:pPr>
              <w:jc w:val="both"/>
              <w:rPr>
                <w:rFonts w:ascii="Palatino Linotype" w:hAnsi="Palatino Linotype"/>
                <w:i/>
                <w:color w:val="000000" w:themeColor="text1"/>
              </w:rPr>
            </w:pPr>
            <w:r w:rsidRPr="0066528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6528D" w:rsidRPr="0066528D" w14:paraId="722CD3C0" w14:textId="77777777" w:rsidTr="00166EBD">
        <w:trPr>
          <w:trHeight w:val="365"/>
          <w:tblCellSpacing w:w="0" w:type="dxa"/>
          <w:jc w:val="center"/>
        </w:trPr>
        <w:tc>
          <w:tcPr>
            <w:tcW w:w="0" w:type="auto"/>
            <w:vAlign w:val="center"/>
            <w:hideMark/>
          </w:tcPr>
          <w:p w14:paraId="690EA716" w14:textId="77777777" w:rsidR="00166EBD" w:rsidRPr="0066528D" w:rsidRDefault="00166EBD" w:rsidP="0066528D">
            <w:pPr>
              <w:jc w:val="both"/>
              <w:rPr>
                <w:rFonts w:ascii="Palatino Linotype" w:hAnsi="Palatino Linotype"/>
                <w:i/>
                <w:color w:val="000000" w:themeColor="text1"/>
              </w:rPr>
            </w:pPr>
          </w:p>
        </w:tc>
      </w:tr>
      <w:tr w:rsidR="0066528D" w:rsidRPr="0066528D" w14:paraId="55D6E6EC" w14:textId="77777777" w:rsidTr="00166EBD">
        <w:trPr>
          <w:trHeight w:val="146"/>
          <w:tblCellSpacing w:w="0" w:type="dxa"/>
          <w:jc w:val="center"/>
        </w:trPr>
        <w:tc>
          <w:tcPr>
            <w:tcW w:w="0" w:type="auto"/>
            <w:vAlign w:val="center"/>
            <w:hideMark/>
          </w:tcPr>
          <w:p w14:paraId="3CC46802" w14:textId="77777777" w:rsidR="00166EBD" w:rsidRPr="0066528D" w:rsidRDefault="00166EBD" w:rsidP="0066528D">
            <w:pPr>
              <w:jc w:val="both"/>
              <w:rPr>
                <w:rFonts w:ascii="Palatino Linotype" w:hAnsi="Palatino Linotype"/>
                <w:i/>
                <w:color w:val="000000" w:themeColor="text1"/>
              </w:rPr>
            </w:pPr>
            <w:r w:rsidRPr="0066528D">
              <w:rPr>
                <w:rFonts w:ascii="Palatino Linotype" w:hAnsi="Palatino Linotype"/>
                <w:i/>
                <w:color w:val="000000" w:themeColor="text1"/>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66528D" w:rsidRPr="0066528D" w14:paraId="4CD7B8E0" w14:textId="77777777" w:rsidTr="00166EBD">
        <w:trPr>
          <w:trHeight w:val="365"/>
          <w:tblCellSpacing w:w="0" w:type="dxa"/>
          <w:jc w:val="center"/>
        </w:trPr>
        <w:tc>
          <w:tcPr>
            <w:tcW w:w="0" w:type="auto"/>
            <w:vAlign w:val="center"/>
            <w:hideMark/>
          </w:tcPr>
          <w:p w14:paraId="3065CF8A" w14:textId="77777777" w:rsidR="00166EBD" w:rsidRPr="0066528D" w:rsidRDefault="00166EBD" w:rsidP="0066528D">
            <w:pPr>
              <w:rPr>
                <w:rFonts w:ascii="Palatino Linotype" w:hAnsi="Palatino Linotype"/>
                <w:i/>
                <w:color w:val="000000" w:themeColor="text1"/>
              </w:rPr>
            </w:pPr>
          </w:p>
        </w:tc>
      </w:tr>
      <w:tr w:rsidR="0066528D" w:rsidRPr="0066528D" w14:paraId="3D539A71" w14:textId="77777777" w:rsidTr="00166EBD">
        <w:trPr>
          <w:trHeight w:val="146"/>
          <w:tblCellSpacing w:w="0" w:type="dxa"/>
          <w:jc w:val="center"/>
        </w:trPr>
        <w:tc>
          <w:tcPr>
            <w:tcW w:w="0" w:type="auto"/>
            <w:vAlign w:val="center"/>
            <w:hideMark/>
          </w:tcPr>
          <w:p w14:paraId="0ADC37C1" w14:textId="77777777" w:rsidR="00166EBD" w:rsidRPr="0066528D" w:rsidRDefault="00166EBD" w:rsidP="0066528D">
            <w:pPr>
              <w:jc w:val="center"/>
              <w:rPr>
                <w:rFonts w:ascii="Palatino Linotype" w:hAnsi="Palatino Linotype"/>
                <w:i/>
                <w:color w:val="000000" w:themeColor="text1"/>
              </w:rPr>
            </w:pPr>
          </w:p>
        </w:tc>
      </w:tr>
      <w:tr w:rsidR="0066528D" w:rsidRPr="0066528D" w14:paraId="22B694A7" w14:textId="77777777" w:rsidTr="00166EBD">
        <w:trPr>
          <w:trHeight w:val="146"/>
          <w:tblCellSpacing w:w="0" w:type="dxa"/>
          <w:jc w:val="center"/>
        </w:trPr>
        <w:tc>
          <w:tcPr>
            <w:tcW w:w="0" w:type="auto"/>
            <w:vAlign w:val="center"/>
            <w:hideMark/>
          </w:tcPr>
          <w:p w14:paraId="4B58A4C9" w14:textId="77777777" w:rsidR="00166EBD" w:rsidRPr="0066528D" w:rsidRDefault="00166EBD" w:rsidP="0066528D">
            <w:pPr>
              <w:rPr>
                <w:rFonts w:ascii="Palatino Linotype" w:hAnsi="Palatino Linotype"/>
                <w:i/>
                <w:color w:val="000000" w:themeColor="text1"/>
              </w:rPr>
            </w:pPr>
          </w:p>
        </w:tc>
      </w:tr>
      <w:tr w:rsidR="0066528D" w:rsidRPr="0066528D" w14:paraId="0DE6963E" w14:textId="77777777" w:rsidTr="00166EBD">
        <w:trPr>
          <w:trHeight w:val="146"/>
          <w:tblCellSpacing w:w="0" w:type="dxa"/>
          <w:jc w:val="center"/>
        </w:trPr>
        <w:tc>
          <w:tcPr>
            <w:tcW w:w="0" w:type="auto"/>
            <w:vAlign w:val="center"/>
            <w:hideMark/>
          </w:tcPr>
          <w:p w14:paraId="51719825" w14:textId="77777777" w:rsidR="00166EBD" w:rsidRPr="0066528D" w:rsidRDefault="00166EBD" w:rsidP="0066528D">
            <w:pPr>
              <w:rPr>
                <w:rFonts w:ascii="Palatino Linotype" w:hAnsi="Palatino Linotype"/>
                <w:i/>
                <w:color w:val="000000" w:themeColor="text1"/>
              </w:rPr>
            </w:pPr>
            <w:r w:rsidRPr="0066528D">
              <w:rPr>
                <w:rFonts w:ascii="Palatino Linotype" w:hAnsi="Palatino Linotype"/>
                <w:i/>
                <w:color w:val="000000" w:themeColor="text1"/>
              </w:rPr>
              <w:t>ATENTAMENTE</w:t>
            </w:r>
          </w:p>
        </w:tc>
      </w:tr>
      <w:tr w:rsidR="0066528D" w:rsidRPr="0066528D" w14:paraId="44E150AF" w14:textId="77777777" w:rsidTr="00166EBD">
        <w:trPr>
          <w:trHeight w:val="219"/>
          <w:tblCellSpacing w:w="0" w:type="dxa"/>
          <w:jc w:val="center"/>
        </w:trPr>
        <w:tc>
          <w:tcPr>
            <w:tcW w:w="0" w:type="auto"/>
            <w:vAlign w:val="center"/>
            <w:hideMark/>
          </w:tcPr>
          <w:p w14:paraId="621E70FC" w14:textId="77777777" w:rsidR="00166EBD" w:rsidRPr="0066528D" w:rsidRDefault="00166EBD" w:rsidP="0066528D">
            <w:pPr>
              <w:rPr>
                <w:rFonts w:ascii="Palatino Linotype" w:hAnsi="Palatino Linotype"/>
                <w:i/>
                <w:color w:val="000000" w:themeColor="text1"/>
              </w:rPr>
            </w:pPr>
          </w:p>
        </w:tc>
      </w:tr>
      <w:tr w:rsidR="00166EBD" w:rsidRPr="0066528D" w14:paraId="60D399CB" w14:textId="77777777" w:rsidTr="00166EBD">
        <w:trPr>
          <w:trHeight w:val="146"/>
          <w:tblCellSpacing w:w="0" w:type="dxa"/>
          <w:jc w:val="center"/>
        </w:trPr>
        <w:tc>
          <w:tcPr>
            <w:tcW w:w="0" w:type="auto"/>
            <w:vAlign w:val="center"/>
            <w:hideMark/>
          </w:tcPr>
          <w:p w14:paraId="12E11AF3" w14:textId="77777777" w:rsidR="00166EBD" w:rsidRPr="0066528D" w:rsidRDefault="00166EBD" w:rsidP="0066528D">
            <w:pPr>
              <w:rPr>
                <w:rFonts w:ascii="Palatino Linotype" w:hAnsi="Palatino Linotype"/>
                <w:i/>
                <w:color w:val="000000" w:themeColor="text1"/>
              </w:rPr>
            </w:pPr>
            <w:r w:rsidRPr="0066528D">
              <w:rPr>
                <w:rFonts w:ascii="Palatino Linotype" w:hAnsi="Palatino Linotype"/>
                <w:i/>
                <w:color w:val="000000" w:themeColor="text1"/>
              </w:rPr>
              <w:t>BRENDA SELENE HERNANDEZ LOPEZ”</w:t>
            </w:r>
          </w:p>
        </w:tc>
      </w:tr>
    </w:tbl>
    <w:p w14:paraId="4BEC55C2" w14:textId="77777777" w:rsidR="00166EBD" w:rsidRPr="0066528D" w:rsidRDefault="00166EBD" w:rsidP="0066528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lastRenderedPageBreak/>
        <w:t>A la respuesta se adjuntaron los archivos electrónicos que se describen en seguida:</w:t>
      </w:r>
    </w:p>
    <w:p w14:paraId="44A2CD8A" w14:textId="77777777" w:rsidR="00166EBD" w:rsidRPr="0066528D" w:rsidRDefault="00D07D43" w:rsidP="0066528D">
      <w:pPr>
        <w:pStyle w:val="Prrafodelista"/>
        <w:numPr>
          <w:ilvl w:val="0"/>
          <w:numId w:val="8"/>
        </w:numPr>
        <w:pBdr>
          <w:top w:val="nil"/>
          <w:left w:val="nil"/>
          <w:bottom w:val="nil"/>
          <w:right w:val="nil"/>
          <w:between w:val="nil"/>
        </w:pBdr>
        <w:spacing w:line="360" w:lineRule="auto"/>
        <w:ind w:left="0" w:firstLine="0"/>
        <w:rPr>
          <w:rFonts w:ascii="Palatino Linotype" w:hAnsi="Palatino Linotype"/>
          <w:color w:val="000000" w:themeColor="text1"/>
        </w:rPr>
      </w:pPr>
      <w:hyperlink r:id="rId7" w:tgtFrame="_blank" w:history="1">
        <w:r w:rsidR="00166EBD" w:rsidRPr="0066528D">
          <w:rPr>
            <w:rStyle w:val="Hipervnculo"/>
            <w:rFonts w:ascii="Palatino Linotype" w:eastAsiaTheme="majorEastAsia" w:hAnsi="Palatino Linotype" w:cs="Arial"/>
            <w:b/>
            <w:bCs/>
            <w:color w:val="000000" w:themeColor="text1"/>
          </w:rPr>
          <w:t>SOLICITUD 0202_25 OFICIO.pdf</w:t>
        </w:r>
      </w:hyperlink>
      <w:r w:rsidR="00166EBD" w:rsidRPr="0066528D">
        <w:rPr>
          <w:rFonts w:ascii="Palatino Linotype" w:hAnsi="Palatino Linotype"/>
          <w:color w:val="000000" w:themeColor="text1"/>
        </w:rPr>
        <w:t>: oficio número ZIN/CM/0304/2025 de fecha diez de abril de dos mil veinticinco, suscrito por la Contralora Municipal, quien señaló que la información solicitada es un derecho de petición, por lo cual no es posible emitir una respuesta.</w:t>
      </w:r>
    </w:p>
    <w:p w14:paraId="34B40DB6" w14:textId="77777777" w:rsidR="00166EBD" w:rsidRPr="0066528D" w:rsidRDefault="00D07D43" w:rsidP="0066528D">
      <w:pPr>
        <w:pStyle w:val="Prrafodelista"/>
        <w:numPr>
          <w:ilvl w:val="0"/>
          <w:numId w:val="8"/>
        </w:numPr>
        <w:pBdr>
          <w:top w:val="nil"/>
          <w:left w:val="nil"/>
          <w:bottom w:val="nil"/>
          <w:right w:val="nil"/>
          <w:between w:val="nil"/>
        </w:pBdr>
        <w:spacing w:line="360" w:lineRule="auto"/>
        <w:ind w:left="0" w:firstLine="0"/>
        <w:rPr>
          <w:rFonts w:ascii="Palatino Linotype" w:hAnsi="Palatino Linotype"/>
          <w:color w:val="000000" w:themeColor="text1"/>
        </w:rPr>
      </w:pPr>
      <w:hyperlink r:id="rId8" w:tgtFrame="_blank" w:history="1">
        <w:r w:rsidR="00166EBD" w:rsidRPr="0066528D">
          <w:rPr>
            <w:rStyle w:val="Hipervnculo"/>
            <w:rFonts w:ascii="Palatino Linotype" w:eastAsiaTheme="majorEastAsia" w:hAnsi="Palatino Linotype" w:cs="Arial"/>
            <w:b/>
            <w:bCs/>
            <w:color w:val="000000" w:themeColor="text1"/>
          </w:rPr>
          <w:t>RESPUESTA SOLICITUD 202.pdf</w:t>
        </w:r>
      </w:hyperlink>
      <w:r w:rsidR="00166EBD" w:rsidRPr="0066528D">
        <w:rPr>
          <w:rFonts w:ascii="Palatino Linotype" w:hAnsi="Palatino Linotype"/>
          <w:color w:val="000000" w:themeColor="text1"/>
        </w:rPr>
        <w:t xml:space="preserve">: oficio de respuesta de fecha veintinueve de abril de dos mil veinticinco, suscrito por el Titular de la Unidad de Transparencia, quien señaló que se remite respuesta proporcionada por el área competente. </w:t>
      </w:r>
    </w:p>
    <w:p w14:paraId="7A7ECC24"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6A76CA"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El </w:t>
      </w:r>
      <w:r w:rsidRPr="0066528D">
        <w:rPr>
          <w:rFonts w:ascii="Palatino Linotype" w:eastAsia="Palatino Linotype" w:hAnsi="Palatino Linotype" w:cs="Palatino Linotype"/>
          <w:b/>
          <w:color w:val="000000" w:themeColor="text1"/>
        </w:rPr>
        <w:t>seis de mayo de dos mil veinticinco</w:t>
      </w:r>
      <w:r w:rsidRPr="0066528D">
        <w:rPr>
          <w:rFonts w:ascii="Palatino Linotype" w:eastAsia="Palatino Linotype" w:hAnsi="Palatino Linotype" w:cs="Palatino Linotype"/>
          <w:color w:val="000000" w:themeColor="text1"/>
        </w:rPr>
        <w:t xml:space="preserve">, </w:t>
      </w:r>
      <w:r w:rsidRPr="0066528D">
        <w:rPr>
          <w:rFonts w:ascii="Palatino Linotype" w:eastAsia="Palatino Linotype" w:hAnsi="Palatino Linotype" w:cs="Palatino Linotype"/>
          <w:b/>
          <w:color w:val="000000" w:themeColor="text1"/>
        </w:rPr>
        <w:t>El Recurrente</w:t>
      </w:r>
      <w:r w:rsidRPr="0066528D">
        <w:rPr>
          <w:rFonts w:ascii="Palatino Linotype" w:eastAsia="Palatino Linotype" w:hAnsi="Palatino Linotype" w:cs="Palatino Linotype"/>
          <w:color w:val="000000" w:themeColor="text1"/>
        </w:rPr>
        <w:t xml:space="preserve"> interpuso el recurso de revisión, en contra de la respuesta, señalando como:</w:t>
      </w:r>
    </w:p>
    <w:p w14:paraId="285C0B03"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E1F2DA8" w14:textId="53239BB0" w:rsidR="00166EBD" w:rsidRPr="0066528D" w:rsidRDefault="00AD6C2A" w:rsidP="0066528D">
      <w:pPr>
        <w:numPr>
          <w:ilvl w:val="0"/>
          <w:numId w:val="1"/>
        </w:numPr>
        <w:spacing w:line="360" w:lineRule="auto"/>
        <w:ind w:left="0" w:firstLine="0"/>
        <w:jc w:val="both"/>
        <w:rPr>
          <w:rFonts w:ascii="Palatino Linotype" w:hAnsi="Palatino Linotype"/>
          <w:color w:val="000000" w:themeColor="text1"/>
        </w:rPr>
      </w:pPr>
      <w:r w:rsidRPr="0066528D">
        <w:rPr>
          <w:rFonts w:ascii="Palatino Linotype" w:eastAsia="Palatino Linotype" w:hAnsi="Palatino Linotype" w:cs="Palatino Linotype"/>
          <w:b/>
          <w:color w:val="000000" w:themeColor="text1"/>
        </w:rPr>
        <w:t>ACTO IMPUGNADO</w:t>
      </w:r>
      <w:r w:rsidR="00166EBD" w:rsidRPr="0066528D">
        <w:rPr>
          <w:rFonts w:ascii="Palatino Linotype" w:eastAsia="Palatino Linotype" w:hAnsi="Palatino Linotype" w:cs="Palatino Linotype"/>
          <w:b/>
          <w:i/>
          <w:color w:val="000000" w:themeColor="text1"/>
        </w:rPr>
        <w:t>:</w:t>
      </w:r>
      <w:r w:rsidR="00166EBD" w:rsidRPr="0066528D">
        <w:rPr>
          <w:rFonts w:ascii="Palatino Linotype" w:eastAsia="Palatino Linotype" w:hAnsi="Palatino Linotype" w:cs="Palatino Linotype"/>
          <w:i/>
          <w:color w:val="000000" w:themeColor="text1"/>
        </w:rPr>
        <w:t xml:space="preserve"> "</w:t>
      </w:r>
      <w:r w:rsidR="00166EBD" w:rsidRPr="0066528D">
        <w:rPr>
          <w:rFonts w:ascii="Palatino Linotype" w:hAnsi="Palatino Linotype"/>
          <w:color w:val="000000" w:themeColor="text1"/>
        </w:rPr>
        <w:t xml:space="preserve"> </w:t>
      </w:r>
      <w:r w:rsidR="00166EBD" w:rsidRPr="0066528D">
        <w:rPr>
          <w:rFonts w:ascii="Palatino Linotype" w:eastAsia="Palatino Linotype" w:hAnsi="Palatino Linotype" w:cs="Palatino Linotype"/>
          <w:i/>
          <w:color w:val="000000" w:themeColor="text1"/>
        </w:rPr>
        <w:t>NO ENTREGA INFORMACION" (Sic)</w:t>
      </w:r>
    </w:p>
    <w:p w14:paraId="3D276F62" w14:textId="77777777" w:rsidR="00166EBD" w:rsidRPr="0066528D" w:rsidRDefault="00166EBD" w:rsidP="0066528D">
      <w:pPr>
        <w:spacing w:line="360" w:lineRule="auto"/>
        <w:jc w:val="both"/>
        <w:rPr>
          <w:rFonts w:ascii="Palatino Linotype" w:hAnsi="Palatino Linotype"/>
          <w:color w:val="000000" w:themeColor="text1"/>
        </w:rPr>
      </w:pPr>
    </w:p>
    <w:p w14:paraId="2CE8C510" w14:textId="0091A87A" w:rsidR="00166EBD" w:rsidRPr="0066528D" w:rsidRDefault="00AD6C2A" w:rsidP="0066528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b/>
          <w:color w:val="000000" w:themeColor="text1"/>
        </w:rPr>
        <w:t>RAZONES O MOTIVOS DE INCONFORMIDAD</w:t>
      </w:r>
      <w:r w:rsidR="00166EBD" w:rsidRPr="0066528D">
        <w:rPr>
          <w:rFonts w:ascii="Palatino Linotype" w:eastAsia="Palatino Linotype" w:hAnsi="Palatino Linotype" w:cs="Palatino Linotype"/>
          <w:b/>
          <w:color w:val="000000" w:themeColor="text1"/>
        </w:rPr>
        <w:t>: “</w:t>
      </w:r>
      <w:r w:rsidR="00166EBD" w:rsidRPr="0066528D">
        <w:rPr>
          <w:rFonts w:ascii="Palatino Linotype" w:eastAsia="Palatino Linotype" w:hAnsi="Palatino Linotype" w:cs="Palatino Linotype"/>
          <w:i/>
          <w:color w:val="000000" w:themeColor="text1"/>
        </w:rPr>
        <w:t>NO ENTREGA INFORMACION" (Sic)</w:t>
      </w:r>
    </w:p>
    <w:p w14:paraId="78DCD512" w14:textId="77777777" w:rsidR="00166EBD" w:rsidRPr="0066528D" w:rsidRDefault="00166EBD" w:rsidP="0066528D">
      <w:pPr>
        <w:spacing w:line="360" w:lineRule="auto"/>
        <w:jc w:val="both"/>
        <w:rPr>
          <w:rFonts w:ascii="Palatino Linotype" w:eastAsia="Palatino Linotype" w:hAnsi="Palatino Linotype" w:cs="Palatino Linotype"/>
          <w:color w:val="000000" w:themeColor="text1"/>
        </w:rPr>
      </w:pPr>
    </w:p>
    <w:p w14:paraId="4AE700B6"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66528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6528D">
        <w:rPr>
          <w:rFonts w:ascii="Palatino Linotype" w:eastAsia="Palatino Linotype" w:hAnsi="Palatino Linotype" w:cs="Palatino Linotype"/>
          <w:color w:val="000000" w:themeColor="text1"/>
        </w:rPr>
        <w:t xml:space="preserve">se turna a la </w:t>
      </w:r>
      <w:r w:rsidRPr="0066528D">
        <w:rPr>
          <w:rFonts w:ascii="Palatino Linotype" w:eastAsia="Palatino Linotype" w:hAnsi="Palatino Linotype" w:cs="Palatino Linotype"/>
          <w:b/>
          <w:color w:val="000000" w:themeColor="text1"/>
        </w:rPr>
        <w:t xml:space="preserve">Comisionada María del Rosario Mejía Ayala, </w:t>
      </w:r>
      <w:r w:rsidRPr="0066528D">
        <w:rPr>
          <w:rFonts w:ascii="Palatino Linotype" w:eastAsia="Palatino Linotype" w:hAnsi="Palatino Linotype" w:cs="Palatino Linotype"/>
          <w:color w:val="000000" w:themeColor="text1"/>
        </w:rPr>
        <w:t xml:space="preserve">para su análisis. </w:t>
      </w:r>
    </w:p>
    <w:p w14:paraId="1B13129F"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5BE22B2" w14:textId="02BACCBE" w:rsidR="00166EBD" w:rsidRPr="0066528D" w:rsidRDefault="00AD6C2A"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166EBD" w:rsidRPr="0066528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166EBD" w:rsidRPr="0066528D">
        <w:rPr>
          <w:rFonts w:ascii="Palatino Linotype" w:eastAsia="Palatino Linotype" w:hAnsi="Palatino Linotype" w:cs="Palatino Linotype"/>
          <w:b/>
          <w:color w:val="000000" w:themeColor="text1"/>
        </w:rPr>
        <w:t>doce de mayo de dos mil veinticinco</w:t>
      </w:r>
      <w:r w:rsidR="00166EBD" w:rsidRPr="0066528D">
        <w:rPr>
          <w:rFonts w:ascii="Palatino Linotype" w:eastAsia="Palatino Linotype" w:hAnsi="Palatino Linotype" w:cs="Palatino Linotype"/>
          <w:color w:val="000000" w:themeColor="text1"/>
        </w:rPr>
        <w:t xml:space="preserve">, puso a disposición de las partes el expediente electrónico vía </w:t>
      </w:r>
      <w:r w:rsidR="00166EBD" w:rsidRPr="0066528D">
        <w:rPr>
          <w:rFonts w:ascii="Palatino Linotype" w:eastAsia="Palatino Linotype" w:hAnsi="Palatino Linotype" w:cs="Palatino Linotype"/>
          <w:b/>
          <w:color w:val="000000" w:themeColor="text1"/>
        </w:rPr>
        <w:t xml:space="preserve">SAIMEX </w:t>
      </w:r>
      <w:r w:rsidR="00166EBD" w:rsidRPr="0066528D">
        <w:rPr>
          <w:rFonts w:ascii="Palatino Linotype" w:eastAsia="Palatino Linotype" w:hAnsi="Palatino Linotype" w:cs="Palatino Linotype"/>
          <w:color w:val="000000" w:themeColor="text1"/>
        </w:rPr>
        <w:t xml:space="preserve">a efecto </w:t>
      </w:r>
      <w:r w:rsidR="00166EBD" w:rsidRPr="0066528D">
        <w:rPr>
          <w:rFonts w:ascii="Palatino Linotype" w:eastAsia="Palatino Linotype" w:hAnsi="Palatino Linotype" w:cs="Palatino Linotype"/>
          <w:color w:val="000000" w:themeColor="text1"/>
        </w:rPr>
        <w:lastRenderedPageBreak/>
        <w:t xml:space="preserve">de que en un plazo máximo de siete días manifestara lo que a derecho conviniera, ofreciera pruebas y alegatos según corresponda al caso concreto, de esta forma para que el </w:t>
      </w:r>
      <w:r w:rsidR="00166EBD" w:rsidRPr="0066528D">
        <w:rPr>
          <w:rFonts w:ascii="Palatino Linotype" w:eastAsia="Palatino Linotype" w:hAnsi="Palatino Linotype" w:cs="Palatino Linotype"/>
          <w:b/>
          <w:color w:val="000000" w:themeColor="text1"/>
        </w:rPr>
        <w:t>SUJETO OBLIGADO</w:t>
      </w:r>
      <w:r w:rsidR="00166EBD" w:rsidRPr="0066528D">
        <w:rPr>
          <w:rFonts w:ascii="Palatino Linotype" w:eastAsia="Palatino Linotype" w:hAnsi="Palatino Linotype" w:cs="Palatino Linotype"/>
          <w:color w:val="000000" w:themeColor="text1"/>
        </w:rPr>
        <w:t xml:space="preserve"> presentará el informe justificado procedente. </w:t>
      </w:r>
    </w:p>
    <w:p w14:paraId="2A45E4B3" w14:textId="77777777" w:rsidR="00166EBD" w:rsidRPr="0066528D" w:rsidRDefault="00166EBD" w:rsidP="0066528D">
      <w:pPr>
        <w:pBdr>
          <w:top w:val="nil"/>
          <w:left w:val="nil"/>
          <w:bottom w:val="nil"/>
          <w:right w:val="nil"/>
          <w:between w:val="nil"/>
        </w:pBdr>
        <w:rPr>
          <w:rFonts w:ascii="Palatino Linotype" w:eastAsia="Palatino Linotype" w:hAnsi="Palatino Linotype" w:cs="Palatino Linotype"/>
          <w:color w:val="000000" w:themeColor="text1"/>
        </w:rPr>
      </w:pPr>
    </w:p>
    <w:p w14:paraId="56637F4B"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De las constancias del expediente electrónico SAIMEX se advierte que el Recurrente no realizó manifestaciones; por su parte, el Sujeto Obligado no entregó informe justificado.</w:t>
      </w:r>
    </w:p>
    <w:p w14:paraId="42173909"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FF3F17A"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El </w:t>
      </w:r>
      <w:r w:rsidRPr="0066528D">
        <w:rPr>
          <w:rFonts w:ascii="Palatino Linotype" w:eastAsia="Palatino Linotype" w:hAnsi="Palatino Linotype" w:cs="Palatino Linotype"/>
          <w:b/>
          <w:color w:val="000000" w:themeColor="text1"/>
        </w:rPr>
        <w:t>dieciséis de octubre de dos mil veinticinco</w:t>
      </w:r>
      <w:r w:rsidRPr="0066528D">
        <w:rPr>
          <w:rFonts w:ascii="Palatino Linotype" w:eastAsia="Palatino Linotype" w:hAnsi="Palatino Linotype" w:cs="Palatino Linotype"/>
          <w:color w:val="000000" w:themeColor="text1"/>
        </w:rPr>
        <w:t xml:space="preserve">, se notificó el acuerdo mediante el cual se aprobó la ampliación de plazo para emitir resolución y se decretó el cierre de instrucción. </w:t>
      </w:r>
    </w:p>
    <w:p w14:paraId="1C839BAE" w14:textId="77777777" w:rsidR="00166EBD" w:rsidRPr="0066528D" w:rsidRDefault="00166EBD" w:rsidP="0066528D">
      <w:pPr>
        <w:spacing w:line="360" w:lineRule="auto"/>
        <w:rPr>
          <w:rFonts w:ascii="Palatino Linotype" w:eastAsia="Palatino Linotype" w:hAnsi="Palatino Linotype" w:cs="Palatino Linotype"/>
          <w:color w:val="000000" w:themeColor="text1"/>
        </w:rPr>
      </w:pPr>
    </w:p>
    <w:p w14:paraId="7FF82B30" w14:textId="77777777" w:rsidR="00166EBD" w:rsidRPr="0066528D" w:rsidRDefault="00166EBD" w:rsidP="0066528D">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66528D">
        <w:rPr>
          <w:rFonts w:ascii="Palatino Linotype" w:eastAsia="Palatino Linotype" w:hAnsi="Palatino Linotype" w:cs="Palatino Linotype"/>
          <w:b/>
          <w:color w:val="000000" w:themeColor="text1"/>
        </w:rPr>
        <w:t>C O N S I D E R A N D O</w:t>
      </w:r>
    </w:p>
    <w:p w14:paraId="6E9DCD7E" w14:textId="77777777" w:rsidR="00166EBD" w:rsidRPr="0066528D" w:rsidRDefault="00166EBD" w:rsidP="0066528D">
      <w:pPr>
        <w:spacing w:line="360" w:lineRule="auto"/>
        <w:jc w:val="center"/>
        <w:rPr>
          <w:rFonts w:ascii="Palatino Linotype" w:eastAsia="Palatino Linotype" w:hAnsi="Palatino Linotype" w:cs="Palatino Linotype"/>
          <w:color w:val="000000" w:themeColor="text1"/>
        </w:rPr>
      </w:pPr>
    </w:p>
    <w:p w14:paraId="36E13AC2" w14:textId="77777777" w:rsidR="00166EBD" w:rsidRPr="0066528D" w:rsidRDefault="00166EBD" w:rsidP="0066528D">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66528D">
        <w:rPr>
          <w:rFonts w:ascii="Palatino Linotype" w:eastAsia="Palatino Linotype" w:hAnsi="Palatino Linotype" w:cs="Palatino Linotype"/>
          <w:b/>
          <w:color w:val="000000" w:themeColor="text1"/>
        </w:rPr>
        <w:t>PRIMERO. De la competencia</w:t>
      </w:r>
    </w:p>
    <w:p w14:paraId="7997F22D" w14:textId="77777777" w:rsidR="00166EBD" w:rsidRPr="0066528D" w:rsidRDefault="00166EBD" w:rsidP="0066528D">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0FCD0530" w14:textId="77777777" w:rsidR="00166EBD" w:rsidRPr="0066528D" w:rsidRDefault="00166EBD" w:rsidP="0066528D">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66528D">
        <w:rPr>
          <w:rFonts w:ascii="Palatino Linotype" w:eastAsia="Palatino Linotype" w:hAnsi="Palatino Linotype" w:cs="Palatino Linotype"/>
          <w:b/>
          <w:color w:val="000000" w:themeColor="text1"/>
        </w:rPr>
        <w:lastRenderedPageBreak/>
        <w:t>SEGUNDO. De la oportunidad y procedencia.</w:t>
      </w:r>
    </w:p>
    <w:p w14:paraId="65953C0C"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El medio de impugnación fue presentado a través del </w:t>
      </w:r>
      <w:r w:rsidRPr="0066528D">
        <w:rPr>
          <w:rFonts w:ascii="Palatino Linotype" w:eastAsia="Palatino Linotype" w:hAnsi="Palatino Linotype" w:cs="Palatino Linotype"/>
          <w:b/>
          <w:color w:val="000000" w:themeColor="text1"/>
        </w:rPr>
        <w:t>SAIMEX,</w:t>
      </w:r>
      <w:r w:rsidRPr="0066528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66528D">
        <w:rPr>
          <w:rFonts w:ascii="Palatino Linotype" w:eastAsia="Palatino Linotype" w:hAnsi="Palatino Linotype" w:cs="Palatino Linotype"/>
          <w:b/>
          <w:color w:val="000000" w:themeColor="text1"/>
        </w:rPr>
        <w:t>SUJETO OBLIGADO</w:t>
      </w:r>
      <w:r w:rsidRPr="0066528D">
        <w:rPr>
          <w:rFonts w:ascii="Palatino Linotype" w:eastAsia="Palatino Linotype" w:hAnsi="Palatino Linotype" w:cs="Palatino Linotype"/>
          <w:color w:val="000000" w:themeColor="text1"/>
        </w:rPr>
        <w:t xml:space="preserve"> entregó respuesta a la solicitud el día </w:t>
      </w:r>
      <w:r w:rsidRPr="0066528D">
        <w:rPr>
          <w:rFonts w:ascii="Palatino Linotype" w:eastAsia="Palatino Linotype" w:hAnsi="Palatino Linotype" w:cs="Palatino Linotype"/>
          <w:b/>
          <w:color w:val="000000" w:themeColor="text1"/>
        </w:rPr>
        <w:t>veintinueve de abril de dos mil veinticinco</w:t>
      </w:r>
      <w:r w:rsidRPr="0066528D">
        <w:rPr>
          <w:rFonts w:ascii="Palatino Linotype" w:eastAsia="Palatino Linotype" w:hAnsi="Palatino Linotype" w:cs="Palatino Linotype"/>
          <w:color w:val="000000" w:themeColor="text1"/>
        </w:rPr>
        <w:t>, de tal forma que el plazo para interponer el recurso de revisión transcurrió del</w:t>
      </w:r>
      <w:r w:rsidRPr="0066528D">
        <w:rPr>
          <w:rFonts w:ascii="Palatino Linotype" w:eastAsia="Palatino Linotype" w:hAnsi="Palatino Linotype" w:cs="Palatino Linotype"/>
          <w:b/>
          <w:color w:val="000000" w:themeColor="text1"/>
        </w:rPr>
        <w:t xml:space="preserve"> treinta de abril al veintidós de mayo de dos mil veinticinco</w:t>
      </w:r>
      <w:r w:rsidRPr="0066528D">
        <w:rPr>
          <w:rFonts w:ascii="Palatino Linotype" w:eastAsia="Palatino Linotype" w:hAnsi="Palatino Linotype" w:cs="Palatino Linotype"/>
          <w:color w:val="000000" w:themeColor="text1"/>
        </w:rPr>
        <w:t xml:space="preserve">; en consecuencia, presentó su inconformidad el día </w:t>
      </w:r>
      <w:r w:rsidRPr="0066528D">
        <w:rPr>
          <w:rFonts w:ascii="Palatino Linotype" w:eastAsia="Palatino Linotype" w:hAnsi="Palatino Linotype" w:cs="Palatino Linotype"/>
          <w:b/>
          <w:color w:val="000000" w:themeColor="text1"/>
        </w:rPr>
        <w:t>dieciséis de junio de dos mil veinticinco</w:t>
      </w:r>
      <w:r w:rsidRPr="0066528D">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66528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66528D">
        <w:rPr>
          <w:rFonts w:ascii="Palatino Linotype" w:eastAsia="Palatino Linotype" w:hAnsi="Palatino Linotype" w:cs="Palatino Linotype"/>
          <w:color w:val="000000" w:themeColor="text1"/>
        </w:rPr>
        <w:t>vigente.</w:t>
      </w:r>
    </w:p>
    <w:p w14:paraId="292D8B27"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3401522" w14:textId="77777777" w:rsidR="00166EBD" w:rsidRPr="0066528D" w:rsidRDefault="00166EBD" w:rsidP="0066528D">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6528D">
        <w:rPr>
          <w:rFonts w:ascii="Palatino Linotype" w:eastAsia="Calibri" w:hAnsi="Palatino Linotype" w:cs="Arial"/>
          <w:color w:val="000000" w:themeColor="text1"/>
          <w:lang w:val="es-ES_tradnl" w:eastAsia="es-ES"/>
        </w:rPr>
        <w:t xml:space="preserve">Por otra parte, de la revisión al expediente electrónico del </w:t>
      </w:r>
      <w:r w:rsidRPr="0066528D">
        <w:rPr>
          <w:rFonts w:ascii="Palatino Linotype" w:eastAsia="Calibri" w:hAnsi="Palatino Linotype" w:cs="Arial"/>
          <w:b/>
          <w:color w:val="000000" w:themeColor="text1"/>
          <w:lang w:val="es-ES_tradnl" w:eastAsia="es-ES"/>
        </w:rPr>
        <w:t>SAIMEX</w:t>
      </w:r>
      <w:r w:rsidRPr="0066528D">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C779B82" w14:textId="77777777" w:rsidR="00166EBD" w:rsidRPr="0066528D" w:rsidRDefault="00166EBD" w:rsidP="0066528D">
      <w:pPr>
        <w:pStyle w:val="Prrafodelista"/>
        <w:ind w:left="0"/>
        <w:rPr>
          <w:rFonts w:ascii="Palatino Linotype" w:eastAsia="Calibri" w:hAnsi="Palatino Linotype" w:cs="Arial"/>
          <w:color w:val="000000" w:themeColor="text1"/>
          <w:lang w:val="es-ES_tradnl" w:eastAsia="es-ES"/>
        </w:rPr>
      </w:pPr>
    </w:p>
    <w:p w14:paraId="7395A21D" w14:textId="77777777" w:rsidR="00166EBD" w:rsidRPr="0066528D" w:rsidRDefault="00166EBD" w:rsidP="0066528D">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6528D">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66528D">
        <w:rPr>
          <w:rFonts w:ascii="Palatino Linotype" w:eastAsia="Calibri" w:hAnsi="Palatino Linotype" w:cs="Arial"/>
          <w:bCs/>
          <w:color w:val="000000" w:themeColor="text1"/>
          <w:lang w:val="es-ES" w:eastAsia="es-ES"/>
        </w:rPr>
        <w:t>5, párrafos vigésimo, vigésimo primero y vigésimo segundo fracciones IV y V </w:t>
      </w:r>
      <w:r w:rsidRPr="0066528D">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w:t>
      </w:r>
      <w:r w:rsidRPr="0066528D">
        <w:rPr>
          <w:rFonts w:ascii="Palatino Linotype" w:eastAsia="Calibri" w:hAnsi="Palatino Linotype" w:cs="Arial"/>
          <w:color w:val="000000" w:themeColor="text1"/>
          <w:lang w:val="es-ES_tradnl" w:eastAsia="es-ES"/>
        </w:rPr>
        <w:lastRenderedPageBreak/>
        <w:t>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E793536" w14:textId="77777777" w:rsidR="00166EBD" w:rsidRPr="0066528D" w:rsidRDefault="00166EBD" w:rsidP="0066528D">
      <w:pPr>
        <w:pStyle w:val="Prrafodelista"/>
        <w:ind w:left="0"/>
        <w:rPr>
          <w:rFonts w:ascii="Palatino Linotype" w:eastAsia="Calibri" w:hAnsi="Palatino Linotype" w:cs="Arial"/>
          <w:color w:val="000000" w:themeColor="text1"/>
          <w:lang w:val="es-ES_tradnl" w:eastAsia="es-ES"/>
        </w:rPr>
      </w:pPr>
    </w:p>
    <w:p w14:paraId="1AFB2A11" w14:textId="77777777" w:rsidR="00166EBD" w:rsidRPr="0066528D" w:rsidRDefault="00166EBD" w:rsidP="0066528D">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6528D">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08992A9" w14:textId="77777777" w:rsidR="00166EBD" w:rsidRPr="0066528D" w:rsidRDefault="00166EBD" w:rsidP="0066528D">
      <w:pPr>
        <w:pStyle w:val="Prrafodelista"/>
        <w:ind w:left="0"/>
        <w:rPr>
          <w:rFonts w:ascii="Palatino Linotype" w:eastAsia="Calibri" w:hAnsi="Palatino Linotype" w:cs="Arial"/>
          <w:color w:val="000000" w:themeColor="text1"/>
          <w:lang w:val="es-ES_tradnl" w:eastAsia="es-ES"/>
        </w:rPr>
      </w:pPr>
    </w:p>
    <w:p w14:paraId="28CC37FC" w14:textId="77777777" w:rsidR="00166EBD" w:rsidRPr="0066528D" w:rsidRDefault="00166EBD" w:rsidP="0066528D">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6528D">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D8C892D" w14:textId="77777777" w:rsidR="00166EBD" w:rsidRPr="0066528D" w:rsidRDefault="00166EBD" w:rsidP="0066528D">
      <w:pPr>
        <w:pStyle w:val="Prrafodelista"/>
        <w:ind w:left="0"/>
        <w:rPr>
          <w:rFonts w:ascii="Palatino Linotype" w:eastAsia="Calibri" w:hAnsi="Palatino Linotype" w:cs="Arial"/>
          <w:color w:val="000000" w:themeColor="text1"/>
          <w:lang w:val="es-ES_tradnl" w:eastAsia="es-ES"/>
        </w:rPr>
      </w:pPr>
    </w:p>
    <w:p w14:paraId="537759E4" w14:textId="77777777" w:rsidR="00166EBD" w:rsidRPr="0066528D" w:rsidRDefault="00166EBD" w:rsidP="0066528D">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66528D">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4C051CD"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10EF460" w14:textId="77777777" w:rsidR="00166EBD" w:rsidRPr="0066528D" w:rsidRDefault="00166EBD"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Por otro lado, el escrito contiene las formalidades previstas por el artículo 180 último párrafo de la Ley de la materia actual, por lo que es procedente que este Instituto de </w:t>
      </w:r>
      <w:r w:rsidRPr="0066528D">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14:paraId="35C1C49E" w14:textId="77777777" w:rsidR="00166EBD" w:rsidRPr="0066528D" w:rsidRDefault="00166EBD" w:rsidP="0066528D">
      <w:pPr>
        <w:pBdr>
          <w:top w:val="nil"/>
          <w:left w:val="nil"/>
          <w:bottom w:val="nil"/>
          <w:right w:val="nil"/>
          <w:between w:val="nil"/>
        </w:pBdr>
        <w:rPr>
          <w:rFonts w:ascii="Palatino Linotype" w:eastAsia="Palatino Linotype" w:hAnsi="Palatino Linotype" w:cs="Palatino Linotype"/>
          <w:color w:val="000000" w:themeColor="text1"/>
        </w:rPr>
      </w:pPr>
    </w:p>
    <w:p w14:paraId="65A0AEA6" w14:textId="77777777" w:rsidR="00166EBD" w:rsidRPr="0066528D" w:rsidRDefault="00166EBD" w:rsidP="0066528D">
      <w:pPr>
        <w:pStyle w:val="Ttulo1"/>
        <w:rPr>
          <w:rFonts w:ascii="Palatino Linotype" w:eastAsia="MS Mincho" w:hAnsi="Palatino Linotype" w:cs="Times New Roman"/>
          <w:b/>
          <w:color w:val="000000" w:themeColor="text1"/>
          <w:sz w:val="24"/>
          <w:szCs w:val="24"/>
        </w:rPr>
      </w:pPr>
      <w:r w:rsidRPr="0066528D">
        <w:rPr>
          <w:rFonts w:ascii="Palatino Linotype" w:hAnsi="Palatino Linotype"/>
          <w:b/>
          <w:color w:val="000000" w:themeColor="text1"/>
          <w:sz w:val="24"/>
          <w:szCs w:val="24"/>
        </w:rPr>
        <w:t xml:space="preserve">TERCERO. Planteamiento de la Litis </w:t>
      </w:r>
    </w:p>
    <w:p w14:paraId="60590605" w14:textId="77777777" w:rsidR="00166EBD" w:rsidRPr="0066528D" w:rsidRDefault="00166EBD" w:rsidP="0066528D">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66528D">
        <w:rPr>
          <w:rFonts w:ascii="Palatino Linotype" w:hAnsi="Palatino Linotype"/>
          <w:bCs/>
          <w:color w:val="000000" w:themeColor="text1"/>
        </w:rPr>
        <w:t xml:space="preserve">El recurrente solicitó </w:t>
      </w:r>
      <w:r w:rsidR="00351435" w:rsidRPr="0066528D">
        <w:rPr>
          <w:rFonts w:ascii="Palatino Linotype" w:eastAsia="Palatino Linotype" w:hAnsi="Palatino Linotype" w:cs="Palatino Linotype"/>
          <w:color w:val="000000" w:themeColor="text1"/>
        </w:rPr>
        <w:t>de las denuncias internas por irregularidades o malas prácticas en el Ayuntamiento de Zinacantepec, incluyendo detalles de los involucrados, cargos ocupados, estatus de cada uno</w:t>
      </w:r>
      <w:r w:rsidR="009C19A7" w:rsidRPr="0066528D">
        <w:rPr>
          <w:rFonts w:ascii="Palatino Linotype" w:eastAsia="Palatino Linotype" w:hAnsi="Palatino Linotype" w:cs="Palatino Linotype"/>
          <w:color w:val="000000" w:themeColor="text1"/>
        </w:rPr>
        <w:t xml:space="preserve"> y en su caso las</w:t>
      </w:r>
      <w:r w:rsidR="00351435" w:rsidRPr="0066528D">
        <w:rPr>
          <w:rFonts w:ascii="Palatino Linotype" w:eastAsia="Palatino Linotype" w:hAnsi="Palatino Linotype" w:cs="Palatino Linotype"/>
          <w:color w:val="000000" w:themeColor="text1"/>
        </w:rPr>
        <w:t xml:space="preserve"> sanciones impuestas, d</w:t>
      </w:r>
      <w:r w:rsidR="009C19A7" w:rsidRPr="0066528D">
        <w:rPr>
          <w:rFonts w:ascii="Palatino Linotype" w:eastAsia="Palatino Linotype" w:hAnsi="Palatino Linotype" w:cs="Palatino Linotype"/>
          <w:color w:val="000000" w:themeColor="text1"/>
        </w:rPr>
        <w:t xml:space="preserve">e los últimos dos años. </w:t>
      </w:r>
    </w:p>
    <w:p w14:paraId="5248E759" w14:textId="77777777" w:rsidR="00166EBD" w:rsidRPr="0066528D" w:rsidRDefault="00166EBD" w:rsidP="0066528D">
      <w:pPr>
        <w:pStyle w:val="Prrafodelista"/>
        <w:spacing w:before="240" w:after="240" w:line="360" w:lineRule="auto"/>
        <w:ind w:left="0"/>
        <w:jc w:val="both"/>
        <w:rPr>
          <w:rFonts w:ascii="Palatino Linotype" w:hAnsi="Palatino Linotype"/>
          <w:i/>
          <w:color w:val="000000" w:themeColor="text1"/>
        </w:rPr>
      </w:pPr>
    </w:p>
    <w:p w14:paraId="51E032FF" w14:textId="77777777" w:rsidR="000C5EA1" w:rsidRPr="0066528D" w:rsidRDefault="00166EBD" w:rsidP="0066528D">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66528D">
        <w:rPr>
          <w:rFonts w:ascii="Palatino Linotype" w:eastAsia="Palatino Linotype" w:hAnsi="Palatino Linotype" w:cs="Palatino Linotype"/>
          <w:color w:val="000000" w:themeColor="text1"/>
        </w:rPr>
        <w:t xml:space="preserve">En respuesta, el Sujeto Obligado señaló </w:t>
      </w:r>
      <w:r w:rsidR="009C19A7" w:rsidRPr="0066528D">
        <w:rPr>
          <w:rFonts w:ascii="Palatino Linotype" w:eastAsia="Palatino Linotype" w:hAnsi="Palatino Linotype" w:cs="Palatino Linotype"/>
          <w:color w:val="000000" w:themeColor="text1"/>
        </w:rPr>
        <w:t xml:space="preserve">que no es posible proporcionar respuesta por tratarse de un derecho de petición. </w:t>
      </w:r>
      <w:r w:rsidRPr="0066528D">
        <w:rPr>
          <w:rFonts w:ascii="Palatino Linotype" w:eastAsia="Palatino Linotype" w:hAnsi="Palatino Linotype" w:cs="Palatino Linotype"/>
          <w:color w:val="000000" w:themeColor="text1"/>
        </w:rPr>
        <w:t xml:space="preserve"> </w:t>
      </w:r>
      <w:r w:rsidR="009C19A7" w:rsidRPr="0066528D">
        <w:rPr>
          <w:rFonts w:ascii="Palatino Linotype" w:eastAsia="Palatino Linotype" w:hAnsi="Palatino Linotype" w:cs="Palatino Linotype"/>
          <w:color w:val="000000" w:themeColor="text1"/>
        </w:rPr>
        <w:t xml:space="preserve">Posteriormente, en Recurrente se inconformó por la negativa de la información. </w:t>
      </w:r>
    </w:p>
    <w:p w14:paraId="21114F88" w14:textId="77777777" w:rsidR="00166EBD" w:rsidRPr="0066528D" w:rsidRDefault="00166EBD" w:rsidP="0066528D">
      <w:pPr>
        <w:pStyle w:val="Prrafodelista"/>
        <w:spacing w:before="240" w:after="240" w:line="360" w:lineRule="auto"/>
        <w:ind w:left="0"/>
        <w:jc w:val="both"/>
        <w:rPr>
          <w:rFonts w:ascii="Palatino Linotype" w:hAnsi="Palatino Linotype"/>
          <w:i/>
          <w:color w:val="000000" w:themeColor="text1"/>
        </w:rPr>
      </w:pPr>
    </w:p>
    <w:p w14:paraId="3024E7A7" w14:textId="25D96F43" w:rsidR="00166EBD" w:rsidRPr="0066528D" w:rsidRDefault="00166EBD" w:rsidP="0066528D">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66528D">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66528D">
        <w:rPr>
          <w:rFonts w:ascii="Palatino Linotype" w:hAnsi="Palatino Linotype"/>
          <w:color w:val="000000" w:themeColor="text1"/>
          <w:lang w:val="es-ES_tradnl"/>
        </w:rPr>
        <w:t>actualiza la causal de procedencia</w:t>
      </w:r>
      <w:r w:rsidRPr="0066528D">
        <w:rPr>
          <w:rFonts w:ascii="Palatino Linotype" w:hAnsi="Palatino Linotype"/>
          <w:b/>
          <w:color w:val="000000" w:themeColor="text1"/>
          <w:lang w:val="es-ES_tradnl"/>
        </w:rPr>
        <w:t xml:space="preserve"> </w:t>
      </w:r>
      <w:r w:rsidRPr="0066528D">
        <w:rPr>
          <w:rFonts w:ascii="Palatino Linotype" w:hAnsi="Palatino Linotype" w:cs="Arial"/>
          <w:color w:val="000000" w:themeColor="text1"/>
          <w:lang w:val="es-ES_tradnl"/>
        </w:rPr>
        <w:t xml:space="preserve">contenida en </w:t>
      </w:r>
      <w:r w:rsidRPr="0066528D">
        <w:rPr>
          <w:rFonts w:ascii="Palatino Linotype" w:hAnsi="Palatino Linotype" w:cs="Arial"/>
          <w:color w:val="000000" w:themeColor="text1"/>
          <w:lang w:val="es-ES"/>
        </w:rPr>
        <w:t xml:space="preserve">el artículo 179 </w:t>
      </w:r>
      <w:r w:rsidR="006E20D8" w:rsidRPr="0066528D">
        <w:rPr>
          <w:rFonts w:ascii="Palatino Linotype" w:hAnsi="Palatino Linotype" w:cs="Arial"/>
          <w:color w:val="000000" w:themeColor="text1"/>
          <w:lang w:val="es-ES"/>
        </w:rPr>
        <w:t>fracción I</w:t>
      </w:r>
      <w:r w:rsidRPr="0066528D">
        <w:rPr>
          <w:rFonts w:ascii="Palatino Linotype" w:hAnsi="Palatino Linotype" w:cs="Arial"/>
          <w:color w:val="000000" w:themeColor="text1"/>
          <w:lang w:val="es-ES"/>
        </w:rPr>
        <w:t xml:space="preserve">, de la </w:t>
      </w:r>
      <w:r w:rsidRPr="0066528D">
        <w:rPr>
          <w:rFonts w:ascii="Palatino Linotype" w:eastAsia="Calibri" w:hAnsi="Palatino Linotype" w:cs="Arial"/>
          <w:b/>
          <w:color w:val="000000" w:themeColor="text1"/>
          <w:lang w:val="es-ES"/>
        </w:rPr>
        <w:t>Ley de Transparencia y Acceso a la Información Pública del Estado de México y Municipios</w:t>
      </w:r>
      <w:r w:rsidRPr="0066528D">
        <w:rPr>
          <w:rFonts w:ascii="Palatino Linotype" w:hAnsi="Palatino Linotype" w:cs="Arial"/>
          <w:color w:val="000000" w:themeColor="text1"/>
          <w:lang w:val="es-ES"/>
        </w:rPr>
        <w:t>, relativo a la negativa de la información.</w:t>
      </w:r>
    </w:p>
    <w:p w14:paraId="12D7C3F1" w14:textId="77777777" w:rsidR="00166EBD" w:rsidRPr="0066528D" w:rsidRDefault="00166EBD" w:rsidP="0066528D">
      <w:pPr>
        <w:pStyle w:val="Ttulo2"/>
        <w:tabs>
          <w:tab w:val="left" w:pos="426"/>
        </w:tabs>
        <w:rPr>
          <w:rFonts w:ascii="Palatino Linotype" w:hAnsi="Palatino Linotype" w:cs="Arial"/>
          <w:b/>
          <w:color w:val="000000" w:themeColor="text1"/>
          <w:sz w:val="24"/>
          <w:szCs w:val="24"/>
        </w:rPr>
      </w:pPr>
      <w:bookmarkStart w:id="5" w:name="_Toc87456489"/>
      <w:r w:rsidRPr="0066528D">
        <w:rPr>
          <w:rFonts w:ascii="Palatino Linotype" w:hAnsi="Palatino Linotype" w:cs="Arial"/>
          <w:b/>
          <w:color w:val="000000" w:themeColor="text1"/>
          <w:sz w:val="24"/>
          <w:szCs w:val="24"/>
        </w:rPr>
        <w:t>CUARTO. Estudio y Resolución del asunto.</w:t>
      </w:r>
      <w:bookmarkEnd w:id="5"/>
    </w:p>
    <w:p w14:paraId="50B888FD" w14:textId="77777777" w:rsidR="00166EBD" w:rsidRPr="0066528D" w:rsidRDefault="00166EBD" w:rsidP="0066528D">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66528D">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26C20A9" w14:textId="77777777" w:rsidR="00166EBD" w:rsidRPr="0066528D" w:rsidRDefault="00166EBD" w:rsidP="0066528D">
      <w:pPr>
        <w:pStyle w:val="Prrafodelista"/>
        <w:spacing w:line="360" w:lineRule="auto"/>
        <w:ind w:left="0"/>
        <w:jc w:val="both"/>
        <w:rPr>
          <w:rFonts w:ascii="Palatino Linotype" w:eastAsia="Calibri" w:hAnsi="Palatino Linotype" w:cs="Arial"/>
          <w:color w:val="000000" w:themeColor="text1"/>
        </w:rPr>
      </w:pPr>
    </w:p>
    <w:p w14:paraId="192DC991" w14:textId="77777777" w:rsidR="00166EBD" w:rsidRPr="0066528D" w:rsidRDefault="00166EBD" w:rsidP="0066528D">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66528D">
        <w:rPr>
          <w:rFonts w:ascii="Palatino Linotype" w:eastAsia="Palatino Linotype" w:hAnsi="Palatino Linotype" w:cs="Palatino Linotype"/>
          <w:color w:val="000000" w:themeColor="text1"/>
        </w:rPr>
        <w:lastRenderedPageBreak/>
        <w:t>En el presente cas</w:t>
      </w:r>
      <w:r w:rsidR="00D14E93" w:rsidRPr="0066528D">
        <w:rPr>
          <w:rFonts w:ascii="Palatino Linotype" w:eastAsia="Palatino Linotype" w:hAnsi="Palatino Linotype" w:cs="Palatino Linotype"/>
          <w:color w:val="000000" w:themeColor="text1"/>
        </w:rPr>
        <w:t>o, el Recurrente solicitó de las denuncias internas por irregularidades o malas prácticas en el Ayuntamiento de Zinacantepec, incluyendo detalles de los involucrados, cargos ocupados, estatus de cada uno y en su caso las sanciones impuestas, de los últimos dos años.</w:t>
      </w:r>
    </w:p>
    <w:p w14:paraId="0C9A6ECF" w14:textId="77777777" w:rsidR="00D14E93" w:rsidRPr="0066528D" w:rsidRDefault="00D14E93" w:rsidP="0066528D">
      <w:pPr>
        <w:pStyle w:val="Prrafodelista"/>
        <w:spacing w:line="360" w:lineRule="auto"/>
        <w:ind w:left="0"/>
        <w:jc w:val="both"/>
        <w:rPr>
          <w:rFonts w:ascii="Palatino Linotype" w:eastAsia="Calibri" w:hAnsi="Palatino Linotype" w:cs="Arial"/>
          <w:color w:val="000000" w:themeColor="text1"/>
        </w:rPr>
      </w:pPr>
    </w:p>
    <w:p w14:paraId="1B99B858" w14:textId="77777777" w:rsidR="00166EBD" w:rsidRPr="0066528D" w:rsidRDefault="00D14E93" w:rsidP="0066528D">
      <w:pPr>
        <w:pStyle w:val="Prrafodelista"/>
        <w:numPr>
          <w:ilvl w:val="0"/>
          <w:numId w:val="2"/>
        </w:numPr>
        <w:spacing w:line="360" w:lineRule="auto"/>
        <w:ind w:left="0" w:firstLine="0"/>
        <w:jc w:val="both"/>
        <w:rPr>
          <w:rFonts w:ascii="Palatino Linotype" w:eastAsia="MS Mincho" w:hAnsi="Palatino Linotype"/>
          <w:color w:val="000000" w:themeColor="text1"/>
        </w:rPr>
      </w:pPr>
      <w:r w:rsidRPr="0066528D">
        <w:rPr>
          <w:rFonts w:ascii="Palatino Linotype" w:eastAsia="MS Mincho" w:hAnsi="Palatino Linotype"/>
          <w:color w:val="000000" w:themeColor="text1"/>
        </w:rPr>
        <w:t>En este caso, primeramente d</w:t>
      </w:r>
      <w:r w:rsidR="00166EBD" w:rsidRPr="0066528D">
        <w:rPr>
          <w:rFonts w:ascii="Palatino Linotype" w:eastAsia="MS Mincho" w:hAnsi="Palatino Linotype"/>
          <w:color w:val="000000" w:themeColor="text1"/>
        </w:rPr>
        <w:t xml:space="preserve">ebemos mencionar que el acceso a la información es un derecho humano constitucional y convencionalmente reconocido y para tal efecto </w:t>
      </w:r>
      <w:r w:rsidR="00166EBD" w:rsidRPr="0066528D">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00166EBD" w:rsidRPr="0066528D">
        <w:rPr>
          <w:rFonts w:ascii="Palatino Linotype" w:eastAsia="Calibri" w:hAnsi="Palatino Linotype"/>
          <w:i/>
          <w:color w:val="000000" w:themeColor="text1"/>
          <w:lang w:val="es-ES"/>
        </w:rPr>
        <w:t xml:space="preserve">en el ámbito de sus atribuciones, de promover, respetar, proteger y </w:t>
      </w:r>
      <w:r w:rsidR="00166EBD" w:rsidRPr="0066528D">
        <w:rPr>
          <w:rFonts w:ascii="Palatino Linotype" w:eastAsia="Calibri" w:hAnsi="Palatino Linotype"/>
          <w:b/>
          <w:i/>
          <w:color w:val="000000" w:themeColor="text1"/>
          <w:lang w:val="es-ES"/>
        </w:rPr>
        <w:t>garantizar</w:t>
      </w:r>
      <w:r w:rsidR="00166EBD" w:rsidRPr="0066528D">
        <w:rPr>
          <w:rFonts w:ascii="Palatino Linotype" w:eastAsia="Calibri" w:hAnsi="Palatino Linotype"/>
          <w:i/>
          <w:color w:val="000000" w:themeColor="text1"/>
          <w:lang w:val="es-ES"/>
        </w:rPr>
        <w:t xml:space="preserve"> los derechos humanos. </w:t>
      </w:r>
      <w:r w:rsidR="00166EBD" w:rsidRPr="0066528D">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00166EBD" w:rsidRPr="0066528D">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00166EBD" w:rsidRPr="0066528D">
        <w:rPr>
          <w:rStyle w:val="Refdenotaalpie"/>
          <w:rFonts w:ascii="Palatino Linotype" w:hAnsi="Palatino Linotype"/>
          <w:i/>
          <w:color w:val="000000" w:themeColor="text1"/>
        </w:rPr>
        <w:footnoteReference w:id="1"/>
      </w:r>
      <w:r w:rsidR="00166EBD" w:rsidRPr="0066528D">
        <w:rPr>
          <w:rFonts w:ascii="Palatino Linotype" w:hAnsi="Palatino Linotype"/>
          <w:i/>
          <w:color w:val="000000" w:themeColor="text1"/>
        </w:rPr>
        <w:t xml:space="preserve">, </w:t>
      </w:r>
      <w:r w:rsidR="00166EBD" w:rsidRPr="0066528D">
        <w:rPr>
          <w:rFonts w:ascii="Palatino Linotype" w:hAnsi="Palatino Linotype"/>
          <w:color w:val="000000" w:themeColor="text1"/>
        </w:rPr>
        <w:t>asimismo establece</w:t>
      </w:r>
      <w:r w:rsidR="00166EBD" w:rsidRPr="0066528D">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341C3D5" w14:textId="77777777" w:rsidR="00166EBD" w:rsidRPr="0066528D" w:rsidRDefault="00166EBD" w:rsidP="0066528D">
      <w:pPr>
        <w:pStyle w:val="Prrafodelista"/>
        <w:ind w:left="0"/>
        <w:rPr>
          <w:rFonts w:ascii="Palatino Linotype" w:eastAsia="Calibri" w:hAnsi="Palatino Linotype" w:cs="Arial"/>
          <w:color w:val="000000" w:themeColor="text1"/>
        </w:rPr>
      </w:pPr>
    </w:p>
    <w:p w14:paraId="3D02C79A" w14:textId="77777777" w:rsidR="00166EBD" w:rsidRPr="0066528D" w:rsidRDefault="00166EBD" w:rsidP="0066528D">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66528D">
        <w:rPr>
          <w:rFonts w:ascii="Palatino Linotype" w:hAnsi="Palatino Linotype"/>
          <w:color w:val="000000" w:themeColor="text1"/>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w:t>
      </w:r>
      <w:r w:rsidRPr="0066528D">
        <w:rPr>
          <w:rFonts w:ascii="Palatino Linotype" w:hAnsi="Palatino Linotype"/>
          <w:color w:val="000000" w:themeColor="text1"/>
        </w:rPr>
        <w:lastRenderedPageBreak/>
        <w:t>tienen la responsabilidad de realizar una correcta gestión documental que permita localizar de manera rápida los documentos que se soliciten o bien, simplemente para el desarrollo de sus facultades, competencias y atribuciones que a diario desempeñan.</w:t>
      </w:r>
    </w:p>
    <w:p w14:paraId="2EB0374A" w14:textId="77777777" w:rsidR="00166EBD" w:rsidRPr="0066528D" w:rsidRDefault="00166EBD" w:rsidP="0066528D">
      <w:pPr>
        <w:pStyle w:val="Prrafodelista"/>
        <w:ind w:left="0"/>
        <w:rPr>
          <w:rFonts w:ascii="Palatino Linotype" w:hAnsi="Palatino Linotype"/>
          <w:color w:val="000000" w:themeColor="text1"/>
        </w:rPr>
      </w:pPr>
    </w:p>
    <w:p w14:paraId="3945CB47" w14:textId="77777777" w:rsidR="00166EBD" w:rsidRPr="0066528D" w:rsidRDefault="00166EBD" w:rsidP="0066528D">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66528D">
        <w:rPr>
          <w:rFonts w:ascii="Palatino Linotype" w:hAnsi="Palatino Linotype"/>
          <w:color w:val="000000" w:themeColor="text1"/>
        </w:rPr>
        <w:t xml:space="preserve">Es así que, su obligación es </w:t>
      </w:r>
      <w:r w:rsidRPr="0066528D">
        <w:rPr>
          <w:rFonts w:ascii="Palatino Linotype" w:hAnsi="Palatino Linotype"/>
          <w:i/>
          <w:color w:val="000000" w:themeColor="text1"/>
        </w:rPr>
        <w:t>realizar, con efectividad, los trámites internos necesarios para la atención de las solicitudes de información</w:t>
      </w:r>
      <w:r w:rsidRPr="0066528D">
        <w:rPr>
          <w:rStyle w:val="Refdenotaalpie"/>
          <w:rFonts w:ascii="Palatino Linotype" w:hAnsi="Palatino Linotype"/>
          <w:color w:val="000000" w:themeColor="text1"/>
        </w:rPr>
        <w:footnoteReference w:id="2"/>
      </w:r>
      <w:r w:rsidRPr="0066528D">
        <w:rPr>
          <w:rFonts w:ascii="Palatino Linotype" w:hAnsi="Palatino Linotype"/>
          <w:color w:val="000000" w:themeColor="text1"/>
        </w:rPr>
        <w:t>, es decir, deben otorgar respuestas concisas, contundentes y sobre todo que den la certeza de los actos que realizan.</w:t>
      </w:r>
    </w:p>
    <w:p w14:paraId="459441E1" w14:textId="77777777" w:rsidR="00166EBD" w:rsidRPr="0066528D" w:rsidRDefault="00166EBD" w:rsidP="0066528D">
      <w:pPr>
        <w:pStyle w:val="Prrafodelista"/>
        <w:ind w:left="0"/>
        <w:rPr>
          <w:rFonts w:ascii="Palatino Linotype" w:eastAsia="Calibri" w:hAnsi="Palatino Linotype" w:cs="Arial"/>
          <w:color w:val="000000" w:themeColor="text1"/>
        </w:rPr>
      </w:pPr>
    </w:p>
    <w:p w14:paraId="63B01B78" w14:textId="77777777" w:rsidR="00166EBD" w:rsidRPr="0066528D" w:rsidRDefault="00166EBD" w:rsidP="0066528D">
      <w:pPr>
        <w:pStyle w:val="Prrafodelista"/>
        <w:numPr>
          <w:ilvl w:val="0"/>
          <w:numId w:val="2"/>
        </w:numPr>
        <w:spacing w:line="360" w:lineRule="auto"/>
        <w:ind w:left="0" w:firstLine="0"/>
        <w:jc w:val="both"/>
        <w:rPr>
          <w:rFonts w:ascii="Palatino Linotype" w:eastAsia="MS Mincho" w:hAnsi="Palatino Linotype"/>
          <w:color w:val="000000" w:themeColor="text1"/>
        </w:rPr>
      </w:pPr>
      <w:r w:rsidRPr="0066528D">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66528D">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14:paraId="79D4E8F4"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i/>
          <w:iCs/>
          <w:color w:val="000000" w:themeColor="text1"/>
        </w:rPr>
        <w:t xml:space="preserve">Artículo 50. </w:t>
      </w:r>
      <w:r w:rsidRPr="0066528D">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14:paraId="77F9E0EF" w14:textId="77777777" w:rsidR="00166EBD" w:rsidRPr="0066528D" w:rsidRDefault="00166EBD" w:rsidP="0066528D">
      <w:pPr>
        <w:jc w:val="both"/>
        <w:rPr>
          <w:rFonts w:ascii="Palatino Linotype" w:eastAsia="Palatino Linotype" w:hAnsi="Palatino Linotype" w:cs="Palatino Linotype"/>
          <w:i/>
          <w:iCs/>
          <w:color w:val="000000" w:themeColor="text1"/>
        </w:rPr>
      </w:pPr>
    </w:p>
    <w:p w14:paraId="48371A40"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i/>
          <w:iCs/>
          <w:color w:val="000000" w:themeColor="text1"/>
        </w:rPr>
        <w:t xml:space="preserve">Artículo 53. </w:t>
      </w:r>
      <w:r w:rsidRPr="0066528D">
        <w:rPr>
          <w:rFonts w:ascii="Palatino Linotype" w:eastAsia="Palatino Linotype" w:hAnsi="Palatino Linotype" w:cs="Palatino Linotype"/>
          <w:i/>
          <w:iCs/>
          <w:color w:val="000000" w:themeColor="text1"/>
        </w:rPr>
        <w:t>Las Unidades de Transparencia tendrán las siguientes funciones:</w:t>
      </w:r>
    </w:p>
    <w:p w14:paraId="04F6D29C"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i/>
          <w:iCs/>
          <w:color w:val="000000" w:themeColor="text1"/>
        </w:rPr>
        <w:t>(…)</w:t>
      </w:r>
    </w:p>
    <w:p w14:paraId="0BFA577C"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bCs/>
          <w:i/>
          <w:iCs/>
          <w:color w:val="000000" w:themeColor="text1"/>
        </w:rPr>
        <w:t>II.</w:t>
      </w:r>
      <w:r w:rsidRPr="0066528D">
        <w:rPr>
          <w:rFonts w:ascii="Palatino Linotype" w:eastAsia="Palatino Linotype" w:hAnsi="Palatino Linotype" w:cs="Palatino Linotype"/>
          <w:i/>
          <w:iCs/>
          <w:color w:val="000000" w:themeColor="text1"/>
        </w:rPr>
        <w:t xml:space="preserve"> Recibir, tramitar y dar respuesta a las solicitudes de acceso a la información;</w:t>
      </w:r>
    </w:p>
    <w:p w14:paraId="1DFAD4FD"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i/>
          <w:iCs/>
          <w:color w:val="000000" w:themeColor="text1"/>
        </w:rPr>
        <w:t>(…)</w:t>
      </w:r>
    </w:p>
    <w:p w14:paraId="3AC9B671"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bCs/>
          <w:i/>
          <w:iCs/>
          <w:color w:val="000000" w:themeColor="text1"/>
        </w:rPr>
        <w:t>IV.</w:t>
      </w:r>
      <w:r w:rsidRPr="0066528D">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14:paraId="6768E04B"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bCs/>
          <w:i/>
          <w:iCs/>
          <w:color w:val="000000" w:themeColor="text1"/>
        </w:rPr>
        <w:t>V.</w:t>
      </w:r>
      <w:r w:rsidRPr="0066528D">
        <w:rPr>
          <w:rFonts w:ascii="Palatino Linotype" w:eastAsia="Palatino Linotype" w:hAnsi="Palatino Linotype" w:cs="Palatino Linotype"/>
          <w:i/>
          <w:iCs/>
          <w:color w:val="000000" w:themeColor="text1"/>
        </w:rPr>
        <w:t xml:space="preserve"> Entregar, en su caso, a los particulares la información solicitada;</w:t>
      </w:r>
    </w:p>
    <w:p w14:paraId="3D7195E2"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i/>
          <w:iCs/>
          <w:color w:val="000000" w:themeColor="text1"/>
        </w:rPr>
        <w:t>(…)</w:t>
      </w:r>
    </w:p>
    <w:p w14:paraId="498FC383" w14:textId="77777777" w:rsidR="00166EBD" w:rsidRPr="0066528D" w:rsidRDefault="00166EBD" w:rsidP="0066528D">
      <w:pPr>
        <w:jc w:val="both"/>
        <w:rPr>
          <w:rFonts w:ascii="Palatino Linotype" w:eastAsia="Palatino Linotype" w:hAnsi="Palatino Linotype" w:cs="Palatino Linotype"/>
          <w:i/>
          <w:iCs/>
          <w:color w:val="000000" w:themeColor="text1"/>
        </w:rPr>
      </w:pPr>
    </w:p>
    <w:p w14:paraId="2B4C4C36"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i/>
          <w:iCs/>
          <w:color w:val="000000" w:themeColor="text1"/>
        </w:rPr>
        <w:t xml:space="preserve">Artículo 58. </w:t>
      </w:r>
      <w:r w:rsidRPr="0066528D">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14:paraId="2914825E" w14:textId="77777777" w:rsidR="00166EBD" w:rsidRPr="0066528D" w:rsidRDefault="00166EBD" w:rsidP="0066528D">
      <w:pPr>
        <w:jc w:val="both"/>
        <w:rPr>
          <w:rFonts w:ascii="Palatino Linotype" w:eastAsia="Palatino Linotype" w:hAnsi="Palatino Linotype" w:cs="Palatino Linotype"/>
          <w:i/>
          <w:iCs/>
          <w:color w:val="000000" w:themeColor="text1"/>
        </w:rPr>
      </w:pPr>
    </w:p>
    <w:p w14:paraId="12DA2652"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i/>
          <w:iCs/>
          <w:color w:val="000000" w:themeColor="text1"/>
        </w:rPr>
        <w:t xml:space="preserve">Artículo 59. </w:t>
      </w:r>
      <w:r w:rsidRPr="0066528D">
        <w:rPr>
          <w:rFonts w:ascii="Palatino Linotype" w:eastAsia="Palatino Linotype" w:hAnsi="Palatino Linotype" w:cs="Palatino Linotype"/>
          <w:i/>
          <w:iCs/>
          <w:color w:val="000000" w:themeColor="text1"/>
        </w:rPr>
        <w:t>Los servidores públicos habilitados tendrán las funciones siguientes:</w:t>
      </w:r>
    </w:p>
    <w:p w14:paraId="55FCC6EB" w14:textId="77777777" w:rsidR="00166EBD" w:rsidRPr="0066528D" w:rsidRDefault="00166EBD" w:rsidP="0066528D">
      <w:pPr>
        <w:jc w:val="both"/>
        <w:rPr>
          <w:rFonts w:ascii="Palatino Linotype" w:eastAsia="Palatino Linotype" w:hAnsi="Palatino Linotype" w:cs="Palatino Linotype"/>
          <w:i/>
          <w:iCs/>
          <w:color w:val="000000" w:themeColor="text1"/>
        </w:rPr>
      </w:pPr>
    </w:p>
    <w:p w14:paraId="5D6808E0"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bCs/>
          <w:i/>
          <w:iCs/>
          <w:color w:val="000000" w:themeColor="text1"/>
        </w:rPr>
        <w:t>I.</w:t>
      </w:r>
      <w:r w:rsidRPr="0066528D">
        <w:rPr>
          <w:rFonts w:ascii="Palatino Linotype" w:eastAsia="Palatino Linotype" w:hAnsi="Palatino Linotype" w:cs="Palatino Linotype"/>
          <w:i/>
          <w:iCs/>
          <w:color w:val="000000" w:themeColor="text1"/>
        </w:rPr>
        <w:t xml:space="preserve"> Localizar la información que le solicite la Unidad de Transparencia;</w:t>
      </w:r>
    </w:p>
    <w:p w14:paraId="7B295B9A"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bCs/>
          <w:i/>
          <w:iCs/>
          <w:color w:val="000000" w:themeColor="text1"/>
        </w:rPr>
        <w:t>II.</w:t>
      </w:r>
      <w:r w:rsidRPr="0066528D">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14:paraId="7CAC282A"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i/>
          <w:iCs/>
          <w:color w:val="000000" w:themeColor="text1"/>
        </w:rPr>
        <w:lastRenderedPageBreak/>
        <w:t>(...)</w:t>
      </w:r>
    </w:p>
    <w:p w14:paraId="738DD1F5" w14:textId="77777777" w:rsidR="00166EBD" w:rsidRPr="0066528D" w:rsidRDefault="00166EBD" w:rsidP="0066528D">
      <w:pPr>
        <w:jc w:val="both"/>
        <w:rPr>
          <w:rFonts w:ascii="Palatino Linotype" w:eastAsia="Palatino Linotype" w:hAnsi="Palatino Linotype" w:cs="Palatino Linotype"/>
          <w:i/>
          <w:iCs/>
          <w:color w:val="000000" w:themeColor="text1"/>
        </w:rPr>
      </w:pPr>
    </w:p>
    <w:p w14:paraId="22BCAA34" w14:textId="77777777" w:rsidR="00166EBD" w:rsidRPr="0066528D" w:rsidRDefault="00166EBD" w:rsidP="0066528D">
      <w:pPr>
        <w:jc w:val="both"/>
        <w:rPr>
          <w:rFonts w:ascii="Palatino Linotype" w:eastAsia="Palatino Linotype" w:hAnsi="Palatino Linotype" w:cs="Palatino Linotype"/>
          <w:i/>
          <w:iCs/>
          <w:color w:val="000000" w:themeColor="text1"/>
        </w:rPr>
      </w:pPr>
      <w:r w:rsidRPr="0066528D">
        <w:rPr>
          <w:rFonts w:ascii="Palatino Linotype" w:eastAsia="Palatino Linotype" w:hAnsi="Palatino Linotype" w:cs="Palatino Linotype"/>
          <w:b/>
          <w:i/>
          <w:iCs/>
          <w:color w:val="000000" w:themeColor="text1"/>
        </w:rPr>
        <w:t xml:space="preserve">Artículo 162. </w:t>
      </w:r>
      <w:r w:rsidRPr="0066528D">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DA4CA8" w14:textId="77777777" w:rsidR="00166EBD" w:rsidRPr="0066528D" w:rsidRDefault="00166EBD" w:rsidP="0066528D">
      <w:pPr>
        <w:spacing w:line="360" w:lineRule="auto"/>
        <w:jc w:val="both"/>
        <w:rPr>
          <w:rFonts w:ascii="Palatino Linotype" w:eastAsia="Palatino Linotype" w:hAnsi="Palatino Linotype" w:cs="Palatino Linotype"/>
          <w:color w:val="000000" w:themeColor="text1"/>
        </w:rPr>
      </w:pPr>
    </w:p>
    <w:p w14:paraId="63BB929C" w14:textId="77777777" w:rsidR="00166EBD" w:rsidRPr="0066528D" w:rsidRDefault="00166EBD" w:rsidP="0066528D">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66528D">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66528D">
        <w:rPr>
          <w:rFonts w:ascii="Palatino Linotype" w:eastAsia="Arial Unicode MS" w:hAnsi="Palatino Linotype" w:cs="Arial"/>
          <w:color w:val="000000" w:themeColor="text1"/>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2DF452C0" w14:textId="77777777" w:rsidR="00166EBD" w:rsidRPr="0066528D" w:rsidRDefault="00166EBD" w:rsidP="0066528D">
      <w:pPr>
        <w:pStyle w:val="Prrafodelista"/>
        <w:spacing w:line="360" w:lineRule="auto"/>
        <w:ind w:left="0"/>
        <w:jc w:val="both"/>
        <w:rPr>
          <w:rFonts w:ascii="Palatino Linotype" w:eastAsia="Arial Unicode MS" w:hAnsi="Palatino Linotype" w:cs="Arial"/>
          <w:color w:val="000000" w:themeColor="text1"/>
          <w:lang w:eastAsia="en-US"/>
        </w:rPr>
      </w:pPr>
    </w:p>
    <w:p w14:paraId="11174EB1" w14:textId="77777777" w:rsidR="00166EBD" w:rsidRPr="0066528D" w:rsidRDefault="00166EBD" w:rsidP="0066528D">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66528D">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4632A5F5" w14:textId="77777777" w:rsidR="00166EBD" w:rsidRPr="0066528D" w:rsidRDefault="00166EBD" w:rsidP="0066528D">
      <w:pPr>
        <w:pStyle w:val="Prrafodelista"/>
        <w:ind w:left="0"/>
        <w:rPr>
          <w:rFonts w:ascii="Palatino Linotype" w:eastAsia="Arial Unicode MS" w:hAnsi="Palatino Linotype" w:cs="Arial"/>
          <w:color w:val="000000" w:themeColor="text1"/>
          <w:lang w:eastAsia="en-US"/>
        </w:rPr>
      </w:pPr>
    </w:p>
    <w:p w14:paraId="201570B0" w14:textId="77777777" w:rsidR="00166EBD" w:rsidRPr="0066528D" w:rsidRDefault="00166EBD" w:rsidP="0066528D">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66528D">
        <w:rPr>
          <w:rFonts w:ascii="Palatino Linotype" w:eastAsia="Arial Unicode MS" w:hAnsi="Palatino Linotype" w:cs="Arial"/>
          <w:color w:val="000000" w:themeColor="text1"/>
          <w:lang w:eastAsia="en-US"/>
        </w:rPr>
        <w:t xml:space="preserve">En el caso que se resuelve, la respuesta fue emitida por la Contraloría Municipal, quien de acuerdo </w:t>
      </w:r>
      <w:r w:rsidR="004B22C3" w:rsidRPr="0066528D">
        <w:rPr>
          <w:rFonts w:ascii="Palatino Linotype" w:eastAsia="Arial Unicode MS" w:hAnsi="Palatino Linotype" w:cs="Arial"/>
          <w:color w:val="000000" w:themeColor="text1"/>
          <w:lang w:eastAsia="en-US"/>
        </w:rPr>
        <w:t xml:space="preserve">artículo 7, fracción del Reglamento Interno del Órgano Interno de Control Municipal de Zinacantepec, tiene entre sus atribuciones vigilar que se lleve a cabo el inicio </w:t>
      </w:r>
      <w:r w:rsidR="004B22C3" w:rsidRPr="0066528D">
        <w:rPr>
          <w:rFonts w:ascii="Palatino Linotype" w:eastAsia="Arial Unicode MS" w:hAnsi="Palatino Linotype" w:cs="Arial"/>
          <w:color w:val="000000" w:themeColor="text1"/>
          <w:lang w:eastAsia="en-US"/>
        </w:rPr>
        <w:lastRenderedPageBreak/>
        <w:t>y desarrollo de la investigación por denuncias, actuaciones de oficio o auditorias</w:t>
      </w:r>
      <w:r w:rsidR="00F87FF2" w:rsidRPr="0066528D">
        <w:rPr>
          <w:rFonts w:ascii="Palatino Linotype" w:eastAsia="Arial Unicode MS" w:hAnsi="Palatino Linotype" w:cs="Arial"/>
          <w:color w:val="000000" w:themeColor="text1"/>
          <w:lang w:eastAsia="en-US"/>
        </w:rPr>
        <w:t xml:space="preserve">, </w:t>
      </w:r>
      <w:r w:rsidR="00F87FF2" w:rsidRPr="0066528D">
        <w:rPr>
          <w:rFonts w:ascii="Palatino Linotype" w:hAnsi="Palatino Linotype"/>
          <w:color w:val="000000" w:themeColor="text1"/>
        </w:rPr>
        <w:t xml:space="preserve">relativas a conductas irregulares de las servidoras y los servidores públicos o particulares, es decir, que la solicitud fue turnada y respondida por el servidor público con facultades para generar, poseer y administrar la información solicitada, por lo tanto, se puede concluir que el Sujeto Obligado dio cumplimiento al proceso de búsqueda establecido en la legislación aplicable. </w:t>
      </w:r>
    </w:p>
    <w:p w14:paraId="7190CAC1" w14:textId="77777777" w:rsidR="00F87FF2" w:rsidRPr="0066528D" w:rsidRDefault="00F87FF2" w:rsidP="0066528D">
      <w:pPr>
        <w:pStyle w:val="Prrafodelista"/>
        <w:ind w:left="0"/>
        <w:rPr>
          <w:rFonts w:ascii="Palatino Linotype" w:eastAsia="Arial Unicode MS" w:hAnsi="Palatino Linotype" w:cs="Arial"/>
          <w:color w:val="000000" w:themeColor="text1"/>
          <w:lang w:eastAsia="en-US"/>
        </w:rPr>
      </w:pPr>
    </w:p>
    <w:p w14:paraId="5ABF3E81" w14:textId="77777777" w:rsidR="007436A1" w:rsidRPr="0066528D" w:rsidRDefault="00F87FF2" w:rsidP="0066528D">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66528D">
        <w:rPr>
          <w:rFonts w:ascii="Palatino Linotype" w:eastAsia="Arial Unicode MS" w:hAnsi="Palatino Linotype" w:cs="Arial"/>
          <w:color w:val="000000" w:themeColor="text1"/>
          <w:lang w:eastAsia="en-US"/>
        </w:rPr>
        <w:t>Ahora bien, recordemos que el Sujeto Obligado señaló que la solicitud se trata de un derecho de petición, que no puede ser atendido a través del de</w:t>
      </w:r>
      <w:r w:rsidR="003E0356" w:rsidRPr="0066528D">
        <w:rPr>
          <w:rFonts w:ascii="Palatino Linotype" w:eastAsia="Arial Unicode MS" w:hAnsi="Palatino Linotype" w:cs="Arial"/>
          <w:color w:val="000000" w:themeColor="text1"/>
          <w:lang w:eastAsia="en-US"/>
        </w:rPr>
        <w:t>recho de acceso a la información, por tratarse de una pretensión consistente en obligar a contestar lo solicitado y que pretende que se genere informe respecto al hecho planteado.</w:t>
      </w:r>
    </w:p>
    <w:p w14:paraId="75CDC662" w14:textId="77777777" w:rsidR="007436A1" w:rsidRPr="0066528D" w:rsidRDefault="007436A1" w:rsidP="0066528D">
      <w:pPr>
        <w:pStyle w:val="Prrafodelista"/>
        <w:ind w:left="0"/>
        <w:rPr>
          <w:rFonts w:ascii="Palatino Linotype" w:eastAsiaTheme="minorEastAsia" w:hAnsi="Palatino Linotype" w:cstheme="minorBidi"/>
          <w:color w:val="000000" w:themeColor="text1"/>
        </w:rPr>
      </w:pPr>
    </w:p>
    <w:p w14:paraId="7240908A" w14:textId="77777777" w:rsidR="007436A1" w:rsidRPr="0066528D" w:rsidRDefault="007436A1" w:rsidP="0066528D">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66528D">
        <w:rPr>
          <w:rFonts w:ascii="Palatino Linotype" w:eastAsiaTheme="minorEastAsia" w:hAnsi="Palatino Linotype" w:cstheme="minorBidi"/>
          <w:color w:val="000000" w:themeColor="text1"/>
        </w:rPr>
        <w:t>Establecido lo anterior</w:t>
      </w:r>
      <w:r w:rsidRPr="0066528D">
        <w:rPr>
          <w:rFonts w:ascii="Palatino Linotype" w:eastAsia="MS Mincho" w:hAnsi="Palatino Linotype" w:cs="Arial"/>
          <w:color w:val="000000" w:themeColor="text1"/>
          <w:lang w:val="es-ES_tradnl"/>
        </w:rPr>
        <w:t xml:space="preserve">, el derecho de acceso a la información pública consiste en el </w:t>
      </w:r>
      <w:r w:rsidRPr="0066528D">
        <w:rPr>
          <w:rFonts w:ascii="Palatino Linotype" w:eastAsia="MS Mincho" w:hAnsi="Palatino Linotype" w:cs="Arial"/>
          <w:b/>
          <w:color w:val="000000" w:themeColor="text1"/>
          <w:lang w:val="es-ES_tradnl"/>
        </w:rPr>
        <w:t>acceso a documentos</w:t>
      </w:r>
      <w:r w:rsidRPr="0066528D">
        <w:rPr>
          <w:rFonts w:ascii="Palatino Linotype" w:eastAsia="MS Mincho" w:hAnsi="Palatino Linotype" w:cs="Arial"/>
          <w:color w:val="000000" w:themeColor="text1"/>
          <w:lang w:val="es-ES_tradnl"/>
        </w:rPr>
        <w:t xml:space="preserve"> generados, poseídos o administrados por la autoridad, en ejercicio de sus funciones, con antelación a que fuera presentada la solicitud de acceso a la información pública.</w:t>
      </w:r>
    </w:p>
    <w:p w14:paraId="31F5F08D" w14:textId="77777777" w:rsidR="007436A1" w:rsidRPr="0066528D" w:rsidRDefault="007436A1" w:rsidP="0066528D">
      <w:pPr>
        <w:pStyle w:val="Prrafodelista"/>
        <w:ind w:left="0"/>
        <w:rPr>
          <w:rFonts w:ascii="Palatino Linotype" w:eastAsia="MS Mincho" w:hAnsi="Palatino Linotype" w:cs="Arial"/>
          <w:color w:val="000000" w:themeColor="text1"/>
          <w:lang w:val="es-ES_tradnl"/>
        </w:rPr>
      </w:pPr>
    </w:p>
    <w:p w14:paraId="431A12C9" w14:textId="77777777" w:rsidR="007436A1" w:rsidRPr="0066528D" w:rsidRDefault="007436A1" w:rsidP="0066528D">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66528D">
        <w:rPr>
          <w:rFonts w:ascii="Palatino Linotype" w:eastAsia="MS Mincho" w:hAnsi="Palatino Linotype" w:cs="Arial"/>
          <w:color w:val="000000" w:themeColor="text1"/>
          <w:lang w:val="es-ES_tradnl"/>
        </w:rPr>
        <w:t xml:space="preserve">Así, el </w:t>
      </w:r>
      <w:r w:rsidRPr="0066528D">
        <w:rPr>
          <w:rFonts w:ascii="Palatino Linotype" w:eastAsia="MS Mincho" w:hAnsi="Palatino Linotype" w:cs="Arial"/>
          <w:color w:val="000000" w:themeColor="text1"/>
        </w:rPr>
        <w:t>Criterio</w:t>
      </w:r>
      <w:r w:rsidRPr="0066528D">
        <w:rPr>
          <w:rFonts w:ascii="Palatino Linotype" w:eastAsia="MS Mincho" w:hAnsi="Palatino Linotype" w:cs="Arial"/>
          <w:color w:val="000000" w:themeColor="text1"/>
          <w:lang w:val="es-ES_tradnl"/>
        </w:rPr>
        <w:t xml:space="preserve"> </w:t>
      </w:r>
      <w:r w:rsidRPr="0066528D">
        <w:rPr>
          <w:rFonts w:ascii="Palatino Linotype" w:eastAsia="MS Mincho" w:hAnsi="Palatino Linotype" w:cs="Arial"/>
          <w:color w:val="000000" w:themeColor="text1"/>
        </w:rPr>
        <w:t>028-10</w:t>
      </w:r>
      <w:r w:rsidRPr="0066528D">
        <w:rPr>
          <w:rFonts w:ascii="Palatino Linotype" w:eastAsia="MS Mincho" w:hAnsi="Palatino Linotype" w:cs="Arial"/>
          <w:color w:val="000000" w:themeColor="text1"/>
          <w:lang w:val="es-ES_tradnl"/>
        </w:rPr>
        <w:t xml:space="preserve"> </w:t>
      </w:r>
      <w:r w:rsidRPr="0066528D">
        <w:rPr>
          <w:rFonts w:ascii="Palatino Linotype" w:eastAsia="MS Mincho" w:hAnsi="Palatino Linotype" w:cs="Arial"/>
          <w:color w:val="000000" w:themeColor="text1"/>
        </w:rPr>
        <w:t>emitido por</w:t>
      </w:r>
      <w:r w:rsidRPr="0066528D">
        <w:rPr>
          <w:rFonts w:ascii="Palatino Linotype" w:eastAsia="MS Mincho" w:hAnsi="Palatino Linotype" w:cs="Arial"/>
          <w:color w:val="000000" w:themeColor="text1"/>
          <w:lang w:val="es-ES_tradnl"/>
        </w:rPr>
        <w:t xml:space="preserve"> el Pleno del entonces llamado </w:t>
      </w:r>
      <w:r w:rsidRPr="0066528D">
        <w:rPr>
          <w:rFonts w:ascii="Palatino Linotype" w:eastAsia="MS Mincho" w:hAnsi="Palatino Linotype" w:cs="Arial"/>
          <w:color w:val="000000" w:themeColor="text1"/>
        </w:rPr>
        <w:t>Instituto Federal de Acceso a la Información y Protección de Datos, ahora Instituto Nacional de Transparencia, Acceso a la Información y Protección de Datos Personales est</w:t>
      </w:r>
      <w:r w:rsidRPr="0066528D">
        <w:rPr>
          <w:rFonts w:ascii="Palatino Linotype" w:eastAsia="MS Mincho" w:hAnsi="Palatino Linotype" w:cs="Arial"/>
          <w:color w:val="000000" w:themeColor="text1"/>
          <w:lang w:val="es-ES_tradnl"/>
        </w:rPr>
        <w:t xml:space="preserve">ablece  que se deberá garantizar </w:t>
      </w:r>
      <w:r w:rsidRPr="0066528D">
        <w:rPr>
          <w:rFonts w:ascii="Palatino Linotype" w:eastAsia="MS Mincho"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66528D">
        <w:rPr>
          <w:rFonts w:ascii="Palatino Linotype" w:eastAsia="MS Mincho" w:hAnsi="Palatino Linotype" w:cs="Arial"/>
          <w:color w:val="000000" w:themeColor="text1"/>
          <w:lang w:val="es-ES_tradnl"/>
        </w:rPr>
        <w:t xml:space="preserve"> </w:t>
      </w:r>
      <w:r w:rsidRPr="0066528D">
        <w:rPr>
          <w:rFonts w:ascii="Palatino Linotype" w:eastAsia="MS Mincho" w:hAnsi="Palatino Linotype" w:cs="Arial"/>
          <w:color w:val="000000" w:themeColor="text1"/>
        </w:rPr>
        <w:t>particular lleve a cabo una solicitud de información sin identificar de forma precisa la do</w:t>
      </w:r>
      <w:r w:rsidRPr="0066528D">
        <w:rPr>
          <w:rFonts w:ascii="Palatino Linotype" w:eastAsia="MS Mincho" w:hAnsi="Palatino Linotype" w:cs="Arial"/>
          <w:color w:val="000000" w:themeColor="text1"/>
          <w:lang w:val="es-ES_tradnl"/>
        </w:rPr>
        <w:t xml:space="preserve">cumentación a la que requiere acceso, como a continuación se observa: </w:t>
      </w:r>
    </w:p>
    <w:p w14:paraId="5A4F8062" w14:textId="77777777" w:rsidR="007436A1" w:rsidRPr="0066528D" w:rsidRDefault="007436A1" w:rsidP="0066528D">
      <w:pPr>
        <w:spacing w:before="240" w:after="360" w:line="276" w:lineRule="auto"/>
        <w:contextualSpacing/>
        <w:jc w:val="both"/>
        <w:rPr>
          <w:rFonts w:ascii="Palatino Linotype" w:eastAsia="MS Mincho" w:hAnsi="Palatino Linotype" w:cs="Arial"/>
          <w:i/>
          <w:iCs/>
          <w:color w:val="000000" w:themeColor="text1"/>
          <w:lang w:val="es-ES_tradnl"/>
        </w:rPr>
      </w:pPr>
      <w:r w:rsidRPr="0066528D">
        <w:rPr>
          <w:rFonts w:ascii="Palatino Linotype" w:eastAsia="MS Mincho" w:hAnsi="Palatino Linotype" w:cs="Arial"/>
          <w:b/>
          <w:bCs/>
          <w:i/>
          <w:iCs/>
          <w:color w:val="000000" w:themeColor="text1"/>
          <w:lang w:val="es-ES_tradnl"/>
        </w:rPr>
        <w:lastRenderedPageBreak/>
        <w:t>“Cuando en una solicitud de información no se identifique un documento en específico, si ésta tiene una expresión documental, el sujeto obligado deberá entregar al particular el documento en específico.</w:t>
      </w:r>
      <w:r w:rsidRPr="0066528D">
        <w:rPr>
          <w:rFonts w:ascii="Palatino Linotype" w:eastAsia="MS Mincho" w:hAnsi="Palatino Linotype" w:cs="Arial"/>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6FD27DD" w14:textId="77777777" w:rsidR="007436A1" w:rsidRPr="0066528D" w:rsidRDefault="007436A1" w:rsidP="0066528D">
      <w:pPr>
        <w:pStyle w:val="Prrafodelista"/>
        <w:numPr>
          <w:ilvl w:val="0"/>
          <w:numId w:val="2"/>
        </w:numPr>
        <w:spacing w:before="240" w:after="360" w:line="360" w:lineRule="auto"/>
        <w:ind w:left="0" w:firstLine="0"/>
        <w:jc w:val="both"/>
        <w:rPr>
          <w:rFonts w:ascii="Palatino Linotype" w:eastAsia="MS Mincho" w:hAnsi="Palatino Linotype" w:cs="Arial"/>
          <w:color w:val="000000" w:themeColor="text1"/>
          <w:lang w:val="es-ES_tradnl"/>
        </w:rPr>
      </w:pPr>
      <w:r w:rsidRPr="0066528D">
        <w:rPr>
          <w:rFonts w:ascii="Palatino Linotype" w:eastAsia="MS Mincho" w:hAnsi="Palatino Linotype" w:cs="Arial"/>
          <w:color w:val="000000" w:themeColor="text1"/>
        </w:rPr>
        <w:t xml:space="preserve">Robustece lo anterior </w:t>
      </w:r>
      <w:r w:rsidRPr="0066528D">
        <w:rPr>
          <w:rFonts w:ascii="Palatino Linotype" w:eastAsia="MS Mincho" w:hAnsi="Palatino Linotype" w:cs="Arial"/>
          <w:color w:val="000000" w:themeColor="text1"/>
          <w:lang w:val="es-ES_tradnl"/>
        </w:rPr>
        <w:t>el criterio orientador 16/17 emitido de igual forma por el Instituto Nacional de Transparencia, Acceso a la Información y Protección de Datos Personales que a la literalidad prevé:</w:t>
      </w:r>
    </w:p>
    <w:p w14:paraId="28EF1138" w14:textId="77777777" w:rsidR="007436A1" w:rsidRPr="0066528D" w:rsidRDefault="007436A1" w:rsidP="0066528D">
      <w:pPr>
        <w:spacing w:before="240" w:after="360" w:line="276" w:lineRule="auto"/>
        <w:contextualSpacing/>
        <w:jc w:val="both"/>
        <w:rPr>
          <w:rFonts w:ascii="Palatino Linotype" w:eastAsia="MS Mincho" w:hAnsi="Palatino Linotype" w:cs="Arial"/>
          <w:i/>
          <w:color w:val="000000" w:themeColor="text1"/>
          <w:lang w:val="es-ES_tradnl"/>
        </w:rPr>
      </w:pPr>
      <w:r w:rsidRPr="0066528D">
        <w:rPr>
          <w:rFonts w:ascii="Palatino Linotype" w:eastAsia="MS Mincho" w:hAnsi="Palatino Linotype" w:cs="Arial"/>
          <w:b/>
          <w:i/>
          <w:color w:val="000000" w:themeColor="text1"/>
          <w:lang w:val="es-ES_tradnl"/>
        </w:rPr>
        <w:t>“Expresión documental</w:t>
      </w:r>
      <w:r w:rsidRPr="0066528D">
        <w:rPr>
          <w:rFonts w:ascii="Palatino Linotype" w:eastAsia="MS Mincho" w:hAnsi="Palatino Linotype" w:cs="Arial"/>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6745334" w14:textId="77777777" w:rsidR="007436A1" w:rsidRPr="0066528D" w:rsidRDefault="007436A1" w:rsidP="0066528D">
      <w:pPr>
        <w:spacing w:before="240" w:after="360" w:line="276" w:lineRule="auto"/>
        <w:contextualSpacing/>
        <w:jc w:val="both"/>
        <w:rPr>
          <w:rFonts w:ascii="Palatino Linotype" w:eastAsia="MS Mincho" w:hAnsi="Palatino Linotype" w:cs="Arial"/>
          <w:i/>
          <w:color w:val="000000" w:themeColor="text1"/>
          <w:lang w:val="es-ES_tradnl"/>
        </w:rPr>
      </w:pPr>
    </w:p>
    <w:p w14:paraId="67A8E521" w14:textId="77777777" w:rsidR="007436A1" w:rsidRPr="0066528D" w:rsidRDefault="007436A1" w:rsidP="0066528D">
      <w:pPr>
        <w:spacing w:before="240" w:after="360" w:line="276" w:lineRule="auto"/>
        <w:contextualSpacing/>
        <w:jc w:val="both"/>
        <w:rPr>
          <w:rFonts w:ascii="Palatino Linotype" w:eastAsia="MS Mincho" w:hAnsi="Palatino Linotype" w:cs="Arial"/>
          <w:i/>
          <w:color w:val="000000" w:themeColor="text1"/>
          <w:lang w:val="es-ES_tradnl"/>
        </w:rPr>
      </w:pPr>
      <w:r w:rsidRPr="0066528D">
        <w:rPr>
          <w:rFonts w:ascii="Palatino Linotype" w:eastAsia="MS Mincho" w:hAnsi="Palatino Linotype" w:cs="Arial"/>
          <w:i/>
          <w:color w:val="000000" w:themeColor="text1"/>
          <w:lang w:val="es-ES_tradnl"/>
        </w:rPr>
        <w:t>Resoluciones:</w:t>
      </w:r>
    </w:p>
    <w:p w14:paraId="556B0AEA" w14:textId="77777777" w:rsidR="007436A1" w:rsidRPr="0066528D" w:rsidRDefault="007436A1" w:rsidP="0066528D">
      <w:pPr>
        <w:spacing w:before="240" w:after="360" w:line="276" w:lineRule="auto"/>
        <w:contextualSpacing/>
        <w:jc w:val="both"/>
        <w:rPr>
          <w:rFonts w:ascii="Palatino Linotype" w:eastAsia="MS Mincho" w:hAnsi="Palatino Linotype" w:cs="Arial"/>
          <w:i/>
          <w:color w:val="000000" w:themeColor="text1"/>
          <w:lang w:val="es-ES_tradnl"/>
        </w:rPr>
      </w:pPr>
    </w:p>
    <w:p w14:paraId="068E8A61" w14:textId="77777777" w:rsidR="007436A1" w:rsidRPr="0066528D" w:rsidRDefault="007436A1" w:rsidP="0066528D">
      <w:pPr>
        <w:spacing w:before="240" w:after="360" w:line="276" w:lineRule="auto"/>
        <w:contextualSpacing/>
        <w:jc w:val="both"/>
        <w:rPr>
          <w:rFonts w:ascii="Palatino Linotype" w:eastAsia="MS Mincho" w:hAnsi="Palatino Linotype" w:cs="Arial"/>
          <w:i/>
          <w:color w:val="000000" w:themeColor="text1"/>
          <w:lang w:val="es-ES_tradnl"/>
        </w:rPr>
      </w:pPr>
      <w:r w:rsidRPr="0066528D">
        <w:rPr>
          <w:rFonts w:ascii="Palatino Linotype" w:eastAsia="MS Mincho" w:hAnsi="Palatino Linotype" w:cs="Arial"/>
          <w:i/>
          <w:color w:val="000000" w:themeColor="text1"/>
          <w:lang w:val="es-ES_tradnl"/>
        </w:rPr>
        <w:t>•</w:t>
      </w:r>
      <w:r w:rsidRPr="0066528D">
        <w:rPr>
          <w:rFonts w:ascii="Palatino Linotype" w:eastAsia="MS Mincho" w:hAnsi="Palatino Linotype" w:cs="Arial"/>
          <w:i/>
          <w:color w:val="000000" w:themeColor="text1"/>
          <w:lang w:val="es-ES_tradnl"/>
        </w:rPr>
        <w:tab/>
        <w:t>RRA 0774/16. Secretaría de Salud. 31 de agosto de 2016. Por unanimidad. Comisionada Ponente María Patricia Kurczyn Villalobos.</w:t>
      </w:r>
    </w:p>
    <w:p w14:paraId="255F56C6" w14:textId="77777777" w:rsidR="007436A1" w:rsidRPr="0066528D" w:rsidRDefault="007436A1" w:rsidP="0066528D">
      <w:pPr>
        <w:spacing w:before="240" w:after="360" w:line="276" w:lineRule="auto"/>
        <w:contextualSpacing/>
        <w:jc w:val="both"/>
        <w:rPr>
          <w:rFonts w:ascii="Palatino Linotype" w:eastAsia="MS Mincho" w:hAnsi="Palatino Linotype" w:cs="Arial"/>
          <w:i/>
          <w:color w:val="000000" w:themeColor="text1"/>
          <w:lang w:val="es-ES_tradnl"/>
        </w:rPr>
      </w:pPr>
      <w:r w:rsidRPr="0066528D">
        <w:rPr>
          <w:rFonts w:ascii="Palatino Linotype" w:eastAsia="MS Mincho" w:hAnsi="Palatino Linotype" w:cs="Arial"/>
          <w:i/>
          <w:color w:val="000000" w:themeColor="text1"/>
          <w:lang w:val="es-ES_tradnl"/>
        </w:rPr>
        <w:lastRenderedPageBreak/>
        <w:t>•</w:t>
      </w:r>
      <w:r w:rsidRPr="0066528D">
        <w:rPr>
          <w:rFonts w:ascii="Palatino Linotype" w:eastAsia="MS Mincho" w:hAnsi="Palatino Linotype" w:cs="Arial"/>
          <w:i/>
          <w:color w:val="000000" w:themeColor="text1"/>
          <w:lang w:val="es-ES_tradnl"/>
        </w:rPr>
        <w:tab/>
        <w:t xml:space="preserve">RRA 0143/17. Universidad Autónoma Agraria Antonio Narro. 22 de febrero de 2017. Por unanimidad. Comisionado Ponente Oscar Mauricio Guerra Ford. </w:t>
      </w:r>
    </w:p>
    <w:p w14:paraId="5590B1DC" w14:textId="77777777" w:rsidR="007436A1" w:rsidRPr="0066528D" w:rsidRDefault="007436A1" w:rsidP="0066528D">
      <w:pPr>
        <w:spacing w:before="240" w:after="360" w:line="276" w:lineRule="auto"/>
        <w:contextualSpacing/>
        <w:jc w:val="both"/>
        <w:rPr>
          <w:rFonts w:ascii="Palatino Linotype" w:eastAsia="MS Mincho" w:hAnsi="Palatino Linotype" w:cs="Arial"/>
          <w:i/>
          <w:color w:val="000000" w:themeColor="text1"/>
          <w:lang w:val="es-ES_tradnl"/>
        </w:rPr>
      </w:pPr>
      <w:r w:rsidRPr="0066528D">
        <w:rPr>
          <w:rFonts w:ascii="Palatino Linotype" w:eastAsia="MS Mincho" w:hAnsi="Palatino Linotype" w:cs="Arial"/>
          <w:i/>
          <w:color w:val="000000" w:themeColor="text1"/>
          <w:lang w:val="es-ES_tradnl"/>
        </w:rPr>
        <w:t>•</w:t>
      </w:r>
      <w:r w:rsidRPr="0066528D">
        <w:rPr>
          <w:rFonts w:ascii="Palatino Linotype" w:eastAsia="MS Mincho" w:hAnsi="Palatino Linotype" w:cs="Arial"/>
          <w:i/>
          <w:color w:val="000000" w:themeColor="text1"/>
          <w:lang w:val="es-ES_tradnl"/>
        </w:rPr>
        <w:tab/>
        <w:t>RRA 0540/17. Secretaría de Economía. 08 de marzo del 2017. Por unanimidad. Comisionado Ponente Francisco Javier Acuña Llamas”</w:t>
      </w:r>
    </w:p>
    <w:p w14:paraId="2B042D26" w14:textId="77777777" w:rsidR="007436A1" w:rsidRPr="0066528D" w:rsidRDefault="007436A1" w:rsidP="0066528D">
      <w:pPr>
        <w:spacing w:before="240" w:after="360" w:line="360" w:lineRule="auto"/>
        <w:contextualSpacing/>
        <w:jc w:val="both"/>
        <w:rPr>
          <w:rFonts w:ascii="Palatino Linotype" w:eastAsia="MS Mincho" w:hAnsi="Palatino Linotype" w:cs="Arial"/>
          <w:i/>
          <w:color w:val="000000" w:themeColor="text1"/>
          <w:lang w:val="es-ES_tradnl"/>
        </w:rPr>
      </w:pPr>
    </w:p>
    <w:p w14:paraId="5A44D7AE" w14:textId="77777777" w:rsidR="007436A1" w:rsidRPr="0066528D" w:rsidRDefault="007436A1" w:rsidP="0066528D">
      <w:pPr>
        <w:numPr>
          <w:ilvl w:val="0"/>
          <w:numId w:val="2"/>
        </w:numPr>
        <w:spacing w:before="240" w:after="360" w:line="360" w:lineRule="auto"/>
        <w:ind w:left="0" w:firstLine="0"/>
        <w:contextualSpacing/>
        <w:jc w:val="both"/>
        <w:rPr>
          <w:rFonts w:ascii="Palatino Linotype" w:eastAsia="MS Mincho" w:hAnsi="Palatino Linotype" w:cs="Arial"/>
          <w:i/>
          <w:color w:val="000000" w:themeColor="text1"/>
          <w:lang w:val="es-ES_tradnl"/>
        </w:rPr>
      </w:pPr>
      <w:r w:rsidRPr="0066528D">
        <w:rPr>
          <w:rFonts w:ascii="Palatino Linotype" w:eastAsia="MS Mincho" w:hAnsi="Palatino Linotype" w:cs="Arial"/>
          <w:color w:val="000000" w:themeColor="text1"/>
          <w:lang w:val="es-ES_tradnl"/>
        </w:rPr>
        <w:t>Por otro lado</w:t>
      </w:r>
      <w:r w:rsidRPr="0066528D">
        <w:rPr>
          <w:rFonts w:ascii="Palatino Linotype" w:hAnsi="Palatino Linotype" w:cs="Arial"/>
          <w:color w:val="000000" w:themeColor="text1"/>
        </w:rPr>
        <w:t xml:space="preserve">, </w:t>
      </w:r>
      <w:r w:rsidRPr="0066528D">
        <w:rPr>
          <w:rFonts w:ascii="Palatino Linotype" w:eastAsia="Calibri" w:hAnsi="Palatino Linotype"/>
          <w:color w:val="000000" w:themeColor="text1"/>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5D3F5457" w14:textId="77777777" w:rsidR="007436A1" w:rsidRPr="0066528D" w:rsidRDefault="007436A1" w:rsidP="0066528D">
      <w:pPr>
        <w:tabs>
          <w:tab w:val="left" w:pos="8222"/>
        </w:tabs>
        <w:spacing w:before="240" w:after="240" w:line="276" w:lineRule="auto"/>
        <w:contextualSpacing/>
        <w:jc w:val="both"/>
        <w:rPr>
          <w:rFonts w:ascii="Palatino Linotype" w:eastAsia="Calibri" w:hAnsi="Palatino Linotype"/>
          <w:i/>
          <w:color w:val="000000" w:themeColor="text1"/>
        </w:rPr>
      </w:pPr>
      <w:r w:rsidRPr="0066528D">
        <w:rPr>
          <w:rFonts w:ascii="Palatino Linotype" w:eastAsia="Calibri" w:hAnsi="Palatino Linotype"/>
          <w:color w:val="000000" w:themeColor="text1"/>
        </w:rPr>
        <w:t>“</w:t>
      </w:r>
      <w:r w:rsidRPr="0066528D">
        <w:rPr>
          <w:rFonts w:ascii="Palatino Linotype" w:eastAsia="Calibri" w:hAnsi="Palatino Linotype"/>
          <w:b/>
          <w:i/>
          <w:color w:val="000000" w:themeColor="text1"/>
        </w:rPr>
        <w:t>Artículo 12.</w:t>
      </w:r>
      <w:r w:rsidRPr="0066528D">
        <w:rPr>
          <w:rFonts w:ascii="Palatino Linotype" w:eastAsia="Calibri" w:hAnsi="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19367BE" w14:textId="77777777" w:rsidR="007436A1" w:rsidRPr="0066528D" w:rsidRDefault="007436A1" w:rsidP="0066528D">
      <w:pPr>
        <w:tabs>
          <w:tab w:val="left" w:pos="8222"/>
        </w:tabs>
        <w:spacing w:before="240" w:after="240" w:line="276" w:lineRule="auto"/>
        <w:contextualSpacing/>
        <w:jc w:val="both"/>
        <w:rPr>
          <w:rFonts w:ascii="Palatino Linotype" w:eastAsia="Calibri" w:hAnsi="Palatino Linotype"/>
          <w:i/>
          <w:color w:val="000000" w:themeColor="text1"/>
        </w:rPr>
      </w:pPr>
    </w:p>
    <w:p w14:paraId="6EFFD191" w14:textId="77777777" w:rsidR="007436A1" w:rsidRPr="0066528D" w:rsidRDefault="007436A1" w:rsidP="0066528D">
      <w:pPr>
        <w:tabs>
          <w:tab w:val="left" w:pos="8222"/>
        </w:tabs>
        <w:spacing w:before="240" w:after="240" w:line="276" w:lineRule="auto"/>
        <w:contextualSpacing/>
        <w:jc w:val="both"/>
        <w:rPr>
          <w:rFonts w:ascii="Palatino Linotype" w:eastAsia="Calibri" w:hAnsi="Palatino Linotype"/>
          <w:i/>
          <w:color w:val="000000" w:themeColor="text1"/>
        </w:rPr>
      </w:pPr>
      <w:r w:rsidRPr="0066528D">
        <w:rPr>
          <w:rFonts w:ascii="Palatino Linotype" w:eastAsia="Calibri"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671796F1" w14:textId="77777777" w:rsidR="007436A1" w:rsidRPr="0066528D" w:rsidRDefault="007436A1" w:rsidP="0066528D">
      <w:pPr>
        <w:spacing w:before="100" w:beforeAutospacing="1" w:after="100" w:afterAutospacing="1" w:line="360" w:lineRule="auto"/>
        <w:contextualSpacing/>
        <w:jc w:val="both"/>
        <w:rPr>
          <w:rFonts w:ascii="Palatino Linotype" w:eastAsia="MS Mincho" w:hAnsi="Palatino Linotype" w:cs="Segoe UI"/>
          <w:color w:val="000000" w:themeColor="text1"/>
          <w:lang w:val="es-ES_tradnl"/>
        </w:rPr>
      </w:pPr>
    </w:p>
    <w:p w14:paraId="0F0691B7" w14:textId="77777777" w:rsidR="007436A1" w:rsidRPr="0066528D" w:rsidRDefault="007436A1" w:rsidP="0066528D">
      <w:pPr>
        <w:numPr>
          <w:ilvl w:val="0"/>
          <w:numId w:val="2"/>
        </w:numPr>
        <w:spacing w:before="240" w:after="240" w:line="360" w:lineRule="auto"/>
        <w:ind w:left="0" w:firstLine="0"/>
        <w:contextualSpacing/>
        <w:jc w:val="both"/>
        <w:rPr>
          <w:rFonts w:ascii="Palatino Linotype" w:hAnsi="Palatino Linotype" w:cs="Arial"/>
          <w:i/>
          <w:color w:val="000000" w:themeColor="text1"/>
          <w:lang w:val="es-ES_tradnl"/>
        </w:rPr>
      </w:pPr>
      <w:r w:rsidRPr="0066528D">
        <w:rPr>
          <w:rFonts w:ascii="Palatino Linotype" w:hAnsi="Palatino Linotype" w:cs="Arial"/>
          <w:color w:val="000000" w:themeColor="text1"/>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66528D">
        <w:rPr>
          <w:rFonts w:ascii="Palatino Linotype" w:hAnsi="Palatino Linotype" w:cs="Arial"/>
          <w:i/>
          <w:color w:val="000000" w:themeColor="text1"/>
          <w:lang w:val="es-ES_tradnl"/>
        </w:rPr>
        <w:t>ad hoc</w:t>
      </w:r>
      <w:r w:rsidRPr="0066528D">
        <w:rPr>
          <w:rFonts w:ascii="Palatino Linotype" w:hAnsi="Palatino Linotype" w:cs="Arial"/>
          <w:color w:val="000000" w:themeColor="text1"/>
          <w:lang w:val="es-ES_tradnl"/>
        </w:rPr>
        <w:t>, para satisfacer la solicitud.</w:t>
      </w:r>
      <w:r w:rsidRPr="0066528D">
        <w:rPr>
          <w:rFonts w:ascii="Palatino Linotype" w:hAnsi="Palatino Linotype" w:cs="Arial"/>
          <w:i/>
          <w:color w:val="000000" w:themeColor="text1"/>
          <w:lang w:val="es-ES_tradnl"/>
        </w:rPr>
        <w:t xml:space="preserve"> </w:t>
      </w:r>
      <w:r w:rsidRPr="0066528D">
        <w:rPr>
          <w:rFonts w:ascii="Palatino Linotype" w:hAnsi="Palatino Linotype" w:cs="Arial"/>
          <w:color w:val="000000" w:themeColor="text1"/>
          <w:lang w:val="es-ES_tradnl"/>
        </w:rPr>
        <w:t xml:space="preserve">Como apoyo a lo anterior, es aplicable por analogía el Criterio 09-10, emitido por el Pleno del entonces </w:t>
      </w:r>
      <w:r w:rsidRPr="0066528D">
        <w:rPr>
          <w:rFonts w:ascii="Palatino Linotype" w:hAnsi="Palatino Linotype" w:cs="Arial"/>
          <w:bCs/>
          <w:color w:val="000000" w:themeColor="text1"/>
          <w:lang w:val="es-ES_tradnl"/>
        </w:rPr>
        <w:t>Instituto Federal de Acceso a la Información y Protección de Datos, que a la letra dice:</w:t>
      </w:r>
    </w:p>
    <w:p w14:paraId="4425E70F" w14:textId="77777777" w:rsidR="007436A1" w:rsidRPr="0066528D" w:rsidRDefault="007436A1" w:rsidP="0066528D">
      <w:pPr>
        <w:spacing w:before="240" w:after="360" w:line="276" w:lineRule="auto"/>
        <w:contextualSpacing/>
        <w:jc w:val="both"/>
        <w:rPr>
          <w:rFonts w:ascii="Palatino Linotype" w:hAnsi="Palatino Linotype" w:cs="Arial"/>
          <w:color w:val="000000" w:themeColor="text1"/>
          <w:lang w:val="es-ES_tradnl"/>
        </w:rPr>
      </w:pPr>
      <w:r w:rsidRPr="0066528D">
        <w:rPr>
          <w:rFonts w:ascii="Palatino Linotype" w:hAnsi="Palatino Linotype" w:cs="Arial"/>
          <w:b/>
          <w:bCs/>
          <w:i/>
          <w:color w:val="000000" w:themeColor="text1"/>
          <w:lang w:val="es-ES_tradnl"/>
        </w:rPr>
        <w:t xml:space="preserve">“Las dependencias y entidades no están obligadas a generar documentos </w:t>
      </w:r>
      <w:r w:rsidRPr="0066528D">
        <w:rPr>
          <w:rFonts w:ascii="Palatino Linotype" w:hAnsi="Palatino Linotype" w:cs="Arial"/>
          <w:b/>
          <w:bCs/>
          <w:i/>
          <w:iCs/>
          <w:color w:val="000000" w:themeColor="text1"/>
          <w:lang w:val="es-ES_tradnl"/>
        </w:rPr>
        <w:t xml:space="preserve">ad hoc </w:t>
      </w:r>
      <w:r w:rsidRPr="0066528D">
        <w:rPr>
          <w:rFonts w:ascii="Palatino Linotype" w:hAnsi="Palatino Linotype" w:cs="Arial"/>
          <w:b/>
          <w:bCs/>
          <w:i/>
          <w:color w:val="000000" w:themeColor="text1"/>
          <w:lang w:val="es-ES_tradnl"/>
        </w:rPr>
        <w:t xml:space="preserve">para responder una solicitud de acceso a la información. </w:t>
      </w:r>
      <w:r w:rsidRPr="0066528D">
        <w:rPr>
          <w:rFonts w:ascii="Palatino Linotype" w:hAnsi="Palatino Linotype" w:cs="Arial"/>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w:t>
      </w:r>
      <w:r w:rsidRPr="0066528D">
        <w:rPr>
          <w:rFonts w:ascii="Palatino Linotype" w:hAnsi="Palatino Linotype" w:cs="Arial"/>
          <w:i/>
          <w:color w:val="000000" w:themeColor="text1"/>
          <w:lang w:val="es-ES_tradnl"/>
        </w:rPr>
        <w:lastRenderedPageBreak/>
        <w:t xml:space="preserve">documentos que se encuentren en sus archivos, las dependencias y entidades no están obligadas a elaborar documentos </w:t>
      </w:r>
      <w:r w:rsidRPr="0066528D">
        <w:rPr>
          <w:rFonts w:ascii="Palatino Linotype" w:hAnsi="Palatino Linotype" w:cs="Arial"/>
          <w:i/>
          <w:iCs/>
          <w:color w:val="000000" w:themeColor="text1"/>
          <w:lang w:val="es-ES_tradnl"/>
        </w:rPr>
        <w:t xml:space="preserve">ad hoc </w:t>
      </w:r>
      <w:r w:rsidRPr="0066528D">
        <w:rPr>
          <w:rFonts w:ascii="Palatino Linotype" w:hAnsi="Palatino Linotype" w:cs="Arial"/>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7D1E1332" w14:textId="77777777" w:rsidR="007436A1" w:rsidRPr="0066528D" w:rsidRDefault="007436A1" w:rsidP="0066528D">
      <w:pPr>
        <w:spacing w:before="240" w:after="360" w:line="276" w:lineRule="auto"/>
        <w:contextualSpacing/>
        <w:jc w:val="both"/>
        <w:rPr>
          <w:rFonts w:ascii="Palatino Linotype" w:hAnsi="Palatino Linotype" w:cs="Arial"/>
          <w:i/>
          <w:color w:val="000000" w:themeColor="text1"/>
          <w:lang w:val="es-ES_tradnl"/>
        </w:rPr>
      </w:pPr>
      <w:r w:rsidRPr="0066528D">
        <w:rPr>
          <w:rFonts w:ascii="Palatino Linotype" w:hAnsi="Palatino Linotype" w:cs="Arial"/>
          <w:b/>
          <w:bCs/>
          <w:i/>
          <w:color w:val="000000" w:themeColor="text1"/>
          <w:lang w:val="es-ES_tradnl"/>
        </w:rPr>
        <w:t xml:space="preserve">Expedientes: </w:t>
      </w:r>
      <w:r w:rsidRPr="0066528D">
        <w:rPr>
          <w:rFonts w:ascii="Palatino Linotype" w:hAnsi="Palatino Linotype" w:cs="Arial"/>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05D362D3" w14:textId="77777777" w:rsidR="003E0356" w:rsidRPr="0066528D" w:rsidRDefault="007436A1" w:rsidP="0066528D">
      <w:pPr>
        <w:pStyle w:val="Prrafodelista"/>
        <w:numPr>
          <w:ilvl w:val="0"/>
          <w:numId w:val="2"/>
        </w:numPr>
        <w:spacing w:line="360" w:lineRule="auto"/>
        <w:ind w:left="0" w:firstLine="0"/>
        <w:jc w:val="both"/>
        <w:rPr>
          <w:rFonts w:ascii="Palatino Linotype" w:hAnsi="Palatino Linotype"/>
          <w:color w:val="000000" w:themeColor="text1"/>
          <w:lang w:val="es-ES" w:eastAsia="es-ES"/>
        </w:rPr>
      </w:pPr>
      <w:r w:rsidRPr="0066528D">
        <w:rPr>
          <w:rFonts w:ascii="Palatino Linotype" w:hAnsi="Palatino Linotype"/>
          <w:color w:val="000000" w:themeColor="text1"/>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1982DD4C" w14:textId="77777777" w:rsidR="006C2135" w:rsidRPr="0066528D" w:rsidRDefault="006C2135" w:rsidP="0066528D">
      <w:pPr>
        <w:numPr>
          <w:ilvl w:val="0"/>
          <w:numId w:val="13"/>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66528D">
        <w:rPr>
          <w:rFonts w:ascii="Palatino Linotype" w:eastAsia="Palatino Linotype" w:hAnsi="Palatino Linotype" w:cs="Palatino Linotype"/>
          <w:b/>
          <w:color w:val="000000" w:themeColor="text1"/>
        </w:rPr>
        <w:t xml:space="preserve">De los procedimientos administrativos de responsabilidades por faltas no graves concluidos condenatorios. </w:t>
      </w:r>
    </w:p>
    <w:p w14:paraId="4C705944" w14:textId="77777777" w:rsidR="006C2135" w:rsidRPr="0066528D" w:rsidRDefault="006C2135" w:rsidP="0066528D">
      <w:pPr>
        <w:pStyle w:val="Prrafodelista"/>
        <w:numPr>
          <w:ilvl w:val="0"/>
          <w:numId w:val="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que señala:</w:t>
      </w:r>
    </w:p>
    <w:p w14:paraId="0D1D6970" w14:textId="77777777" w:rsidR="006C2135" w:rsidRPr="0066528D" w:rsidRDefault="006C2135" w:rsidP="0066528D">
      <w:pPr>
        <w:spacing w:before="240" w:after="240" w:line="276" w:lineRule="auto"/>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629819" w14:textId="77777777" w:rsidR="006C2135" w:rsidRPr="0066528D" w:rsidRDefault="006C2135" w:rsidP="0066528D">
      <w:pPr>
        <w:spacing w:before="240" w:after="240" w:line="276" w:lineRule="auto"/>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w:t>
      </w:r>
    </w:p>
    <w:p w14:paraId="2D71C994" w14:textId="77777777" w:rsidR="006C2135" w:rsidRDefault="006C2135" w:rsidP="0066528D">
      <w:pPr>
        <w:spacing w:before="240" w:after="240" w:line="276" w:lineRule="auto"/>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i/>
          <w:color w:val="000000" w:themeColor="text1"/>
        </w:rPr>
        <w:lastRenderedPageBreak/>
        <w:t xml:space="preserve">XXII. </w:t>
      </w:r>
      <w:r w:rsidRPr="0066528D">
        <w:rPr>
          <w:rFonts w:ascii="Palatino Linotype" w:eastAsia="Palatino Linotype" w:hAnsi="Palatino Linotype" w:cs="Palatino Linotype"/>
          <w:b/>
          <w:i/>
          <w:color w:val="000000" w:themeColor="text1"/>
        </w:rPr>
        <w:t>El listado de Servidores Públicos con sanciones administrativas definitivas, especificando la causa de sanción y la disposición;" (Sic) (Énfasis añadido)</w:t>
      </w:r>
    </w:p>
    <w:p w14:paraId="534D53AA" w14:textId="77777777" w:rsidR="00AD6C2A" w:rsidRPr="0066528D" w:rsidRDefault="00AD6C2A" w:rsidP="0066528D">
      <w:pPr>
        <w:spacing w:before="240" w:after="240" w:line="276" w:lineRule="auto"/>
        <w:jc w:val="both"/>
        <w:rPr>
          <w:rFonts w:ascii="Palatino Linotype" w:eastAsia="Palatino Linotype" w:hAnsi="Palatino Linotype" w:cs="Palatino Linotype"/>
          <w:b/>
          <w:i/>
          <w:color w:val="000000" w:themeColor="text1"/>
        </w:rPr>
      </w:pPr>
    </w:p>
    <w:p w14:paraId="014F0C16" w14:textId="77777777" w:rsidR="006C2135" w:rsidRPr="0066528D" w:rsidRDefault="006C2135" w:rsidP="0066528D">
      <w:pPr>
        <w:numPr>
          <w:ilvl w:val="0"/>
          <w:numId w:val="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No obstante, </w:t>
      </w:r>
      <w:r w:rsidRPr="0066528D">
        <w:rPr>
          <w:rFonts w:ascii="Palatino Linotype" w:eastAsia="Palatino Linotype" w:hAnsi="Palatino Linotype" w:cs="Palatino Linotype"/>
          <w:b/>
          <w:color w:val="000000" w:themeColor="text1"/>
          <w:u w:val="single"/>
        </w:rPr>
        <w:t>sólo pueden ser dadas a conocer las responsabilidades administrativas</w:t>
      </w:r>
      <w:r w:rsidRPr="0066528D">
        <w:rPr>
          <w:rFonts w:ascii="Palatino Linotype" w:eastAsia="Palatino Linotype" w:hAnsi="Palatino Linotype" w:cs="Palatino Linotype"/>
          <w:color w:val="000000" w:themeColor="text1"/>
        </w:rPr>
        <w:t xml:space="preserve"> </w:t>
      </w:r>
      <w:r w:rsidRPr="0066528D">
        <w:rPr>
          <w:rFonts w:ascii="Palatino Linotype" w:eastAsia="Palatino Linotype" w:hAnsi="Palatino Linotype" w:cs="Palatino Linotype"/>
          <w:b/>
          <w:color w:val="000000" w:themeColor="text1"/>
          <w:u w:val="single"/>
        </w:rPr>
        <w:t>por faltas graves</w:t>
      </w:r>
      <w:r w:rsidRPr="0066528D">
        <w:rPr>
          <w:rFonts w:ascii="Palatino Linotype" w:eastAsia="Palatino Linotype" w:hAnsi="Palatino Linotype" w:cs="Palatino Linotype"/>
          <w:color w:val="000000" w:themeColor="text1"/>
        </w:rPr>
        <w:t xml:space="preserve">. Lo anterior, con motivo de la entrada en vigor de la Ley del Sistema Anticorrupción del Estado de México y Municipios publicada en el periódico oficial "Gaceta del Gobierno" el treinta de mayo de 2017, que establece que </w:t>
      </w:r>
      <w:r w:rsidRPr="0066528D">
        <w:rPr>
          <w:rFonts w:ascii="Palatino Linotype" w:eastAsia="Palatino Linotype" w:hAnsi="Palatino Linotype" w:cs="Palatino Linotype"/>
          <w:b/>
          <w:color w:val="000000" w:themeColor="text1"/>
          <w:u w:val="single"/>
        </w:rPr>
        <w:t>las sanciones no graves no serán públicas</w:t>
      </w:r>
      <w:r w:rsidRPr="0066528D">
        <w:rPr>
          <w:rFonts w:ascii="Palatino Linotype" w:eastAsia="Palatino Linotype" w:hAnsi="Palatino Linotype" w:cs="Palatino Linotype"/>
          <w:color w:val="000000" w:themeColor="text1"/>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14:paraId="508F48E3" w14:textId="77777777" w:rsidR="006C2135" w:rsidRPr="0066528D" w:rsidRDefault="006C2135" w:rsidP="0066528D">
      <w:pPr>
        <w:spacing w:before="240" w:after="240" w:line="276" w:lineRule="auto"/>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b/>
          <w:i/>
          <w:color w:val="000000" w:themeColor="text1"/>
        </w:rPr>
        <w:t xml:space="preserve">“Artículo 53. Las sanciones impuestas por faltas administrativas graves serán del conocimiento público </w:t>
      </w:r>
      <w:r w:rsidRPr="0066528D">
        <w:rPr>
          <w:rFonts w:ascii="Palatino Linotype" w:eastAsia="Palatino Linotype" w:hAnsi="Palatino Linotype" w:cs="Palatino Linotype"/>
          <w:b/>
          <w:i/>
          <w:color w:val="000000" w:themeColor="text1"/>
          <w:u w:val="single"/>
        </w:rPr>
        <w:t>cuando éstas contengan impedimentos o inhabilitaciones</w:t>
      </w:r>
      <w:r w:rsidRPr="0066528D">
        <w:rPr>
          <w:rFonts w:ascii="Palatino Linotype" w:eastAsia="Palatino Linotype" w:hAnsi="Palatino Linotype" w:cs="Palatino Linotype"/>
          <w:b/>
          <w:i/>
          <w:color w:val="000000" w:themeColor="text1"/>
        </w:rPr>
        <w:t xml:space="preserve"> para ser contratados como servidores públicos o como prestadores de servicios o contratistas del sector público, en términos de la Ley de Responsabilidades Administrativas del Estado de México y Municipios.</w:t>
      </w:r>
    </w:p>
    <w:p w14:paraId="23EBFC57" w14:textId="77777777" w:rsidR="006C2135" w:rsidRDefault="006C2135" w:rsidP="0066528D">
      <w:pPr>
        <w:spacing w:before="240" w:after="240" w:line="276" w:lineRule="auto"/>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 xml:space="preserve"> Los registros de </w:t>
      </w:r>
      <w:r w:rsidRPr="0066528D">
        <w:rPr>
          <w:rFonts w:ascii="Palatino Linotype" w:eastAsia="Palatino Linotype" w:hAnsi="Palatino Linotype" w:cs="Palatino Linotype"/>
          <w:b/>
          <w:i/>
          <w:color w:val="000000" w:themeColor="text1"/>
          <w:u w:val="single"/>
        </w:rPr>
        <w:t>las sanciones relativas a responsabilidades administrativas no graves, quedarán registradas para efectos de eventual reincidencia, pero no serán públicas.</w:t>
      </w:r>
      <w:r w:rsidRPr="0066528D">
        <w:rPr>
          <w:rFonts w:ascii="Palatino Linotype" w:eastAsia="Palatino Linotype" w:hAnsi="Palatino Linotype" w:cs="Palatino Linotype"/>
          <w:i/>
          <w:color w:val="000000" w:themeColor="text1"/>
        </w:rPr>
        <w:t>” (Sic) (Énfasis añadido)</w:t>
      </w:r>
    </w:p>
    <w:p w14:paraId="588F74E7" w14:textId="77777777" w:rsidR="00AD6C2A" w:rsidRPr="0066528D" w:rsidRDefault="00AD6C2A" w:rsidP="0066528D">
      <w:pPr>
        <w:spacing w:before="240" w:after="240" w:line="276" w:lineRule="auto"/>
        <w:jc w:val="both"/>
        <w:rPr>
          <w:rFonts w:ascii="Palatino Linotype" w:eastAsia="Palatino Linotype" w:hAnsi="Palatino Linotype" w:cs="Palatino Linotype"/>
          <w:i/>
          <w:color w:val="000000" w:themeColor="text1"/>
        </w:rPr>
      </w:pPr>
    </w:p>
    <w:p w14:paraId="2F3C6CAC" w14:textId="77777777" w:rsidR="006C2135" w:rsidRPr="0066528D" w:rsidRDefault="006C2135" w:rsidP="0066528D">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En ese sentido es importante, referir que la Ley de Responsabilidades Administrativas del Estado de México y Municipios, señala que incurrirá en una falta administrativa no grave, aquellos servidores públicos cuyos actos y omisiones incumplan o </w:t>
      </w:r>
      <w:r w:rsidRPr="0066528D">
        <w:rPr>
          <w:rFonts w:ascii="Palatino Linotype" w:eastAsia="Palatino Linotype" w:hAnsi="Palatino Linotype" w:cs="Palatino Linotype"/>
          <w:color w:val="000000" w:themeColor="text1"/>
        </w:rPr>
        <w:lastRenderedPageBreak/>
        <w:t>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3C21DEDF" w14:textId="77777777" w:rsidR="006C2135" w:rsidRPr="0066528D" w:rsidRDefault="006C2135"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A6FE96D"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66528D">
        <w:rPr>
          <w:rFonts w:ascii="Palatino Linotype" w:eastAsia="Palatino Linotype" w:hAnsi="Palatino Linotype" w:cs="Palatino Linotype"/>
          <w:i/>
          <w:color w:val="000000" w:themeColor="text1"/>
        </w:rPr>
        <w:t>personas físicas, morales, instituciones públicas u otros trabajadores</w:t>
      </w:r>
      <w:r w:rsidRPr="0066528D">
        <w:rPr>
          <w:rFonts w:ascii="Palatino Linotype" w:eastAsia="Palatino Linotype" w:hAnsi="Palatino Linotype" w:cs="Palatino Linotype"/>
          <w:color w:val="000000" w:themeColor="text1"/>
        </w:rPr>
        <w:t xml:space="preserve">), ni haber un detrimento en el erario. </w:t>
      </w:r>
      <w:r w:rsidRPr="0066528D">
        <w:rPr>
          <w:rFonts w:ascii="Palatino Linotype" w:eastAsia="Palatino Linotype" w:hAnsi="Palatino Linotype" w:cs="Palatino Linotype"/>
          <w:b/>
          <w:color w:val="000000" w:themeColor="text1"/>
        </w:rPr>
        <w:t xml:space="preserve">Así, se puede advertir que dichas faltas, no tienen una trascendencia social, </w:t>
      </w:r>
      <w:r w:rsidRPr="0066528D">
        <w:rPr>
          <w:rFonts w:ascii="Palatino Linotype" w:eastAsia="Palatino Linotype" w:hAnsi="Palatino Linotype" w:cs="Palatino Linotype"/>
          <w:color w:val="000000" w:themeColor="text1"/>
        </w:rPr>
        <w:t>pues no existe un daño externo, sino que únicamente le atañe al servidor público en cuestión.</w:t>
      </w:r>
    </w:p>
    <w:p w14:paraId="325AE153"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63830830"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66528D">
        <w:rPr>
          <w:rFonts w:ascii="Palatino Linotype" w:eastAsia="Palatino Linotype" w:hAnsi="Palatino Linotype" w:cs="Palatino Linotype"/>
          <w:b/>
          <w:color w:val="000000" w:themeColor="text1"/>
        </w:rPr>
        <w:t>honor, intimidad y buena imagen</w:t>
      </w:r>
      <w:r w:rsidRPr="0066528D">
        <w:rPr>
          <w:rFonts w:ascii="Palatino Linotype" w:eastAsia="Palatino Linotype" w:hAnsi="Palatino Linotype" w:cs="Palatino Linotype"/>
          <w:color w:val="000000" w:themeColor="text1"/>
        </w:rPr>
        <w:t>, pues como se precisó la afectación es para el propio servidor público, situación que no afecta a terceros.</w:t>
      </w:r>
    </w:p>
    <w:p w14:paraId="34DE0DE1"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45C72E8E"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Por lo cual,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66528D">
        <w:rPr>
          <w:rFonts w:ascii="Palatino Linotype" w:eastAsia="Palatino Linotype" w:hAnsi="Palatino Linotype" w:cs="Palatino Linotype"/>
          <w:i/>
          <w:color w:val="000000" w:themeColor="text1"/>
        </w:rPr>
        <w:t>a priori</w:t>
      </w:r>
      <w:r w:rsidRPr="0066528D">
        <w:rPr>
          <w:rFonts w:ascii="Palatino Linotype" w:eastAsia="Palatino Linotype" w:hAnsi="Palatino Linotype" w:cs="Palatino Linotype"/>
          <w:color w:val="000000" w:themeColor="text1"/>
        </w:rPr>
        <w:t xml:space="preserve"> por parte de la sociedad, afectando su prestigio y su buen nombre, pues esto podría causar una mala percepción del servidor público frente a la sociedad, </w:t>
      </w:r>
      <w:r w:rsidRPr="0066528D">
        <w:rPr>
          <w:rFonts w:ascii="Palatino Linotype" w:eastAsia="Palatino Linotype" w:hAnsi="Palatino Linotype" w:cs="Palatino Linotype"/>
          <w:b/>
          <w:color w:val="000000" w:themeColor="text1"/>
        </w:rPr>
        <w:t>lo cual daña su vida privada y profesional,</w:t>
      </w:r>
      <w:r w:rsidRPr="0066528D">
        <w:rPr>
          <w:rFonts w:ascii="Palatino Linotype" w:eastAsia="Palatino Linotype" w:hAnsi="Palatino Linotype" w:cs="Palatino Linotype"/>
          <w:color w:val="000000" w:themeColor="text1"/>
        </w:rPr>
        <w:t xml:space="preserve"> mismas </w:t>
      </w:r>
      <w:r w:rsidRPr="0066528D">
        <w:rPr>
          <w:rFonts w:ascii="Palatino Linotype" w:eastAsia="Palatino Linotype" w:hAnsi="Palatino Linotype" w:cs="Palatino Linotype"/>
          <w:color w:val="000000" w:themeColor="text1"/>
        </w:rPr>
        <w:lastRenderedPageBreak/>
        <w:t>que forman parte de su intimidad; por lo que se concluye que dicha información, en caso de que existiera, tiene el carácter de confidencial.</w:t>
      </w:r>
    </w:p>
    <w:p w14:paraId="0551D1CF"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2EEAABF8"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Por lo cual, se considera procedente la clasificación, en términos del artículo 143, fracción I, de la Ley de Transparencia y Acceso a la Información Pública del Estado de México y Municipios, </w:t>
      </w:r>
      <w:r w:rsidRPr="0066528D">
        <w:rPr>
          <w:rFonts w:ascii="Palatino Linotype" w:eastAsia="Palatino Linotype" w:hAnsi="Palatino Linotype" w:cs="Palatino Linotype"/>
          <w:b/>
          <w:color w:val="000000" w:themeColor="text1"/>
        </w:rPr>
        <w:t>del nombre de los servidores públicos que hayan recibido alguna sanción por falta administrativa no grave</w:t>
      </w:r>
      <w:r w:rsidRPr="0066528D">
        <w:rPr>
          <w:rFonts w:ascii="Palatino Linotype" w:eastAsia="Palatino Linotype" w:hAnsi="Palatino Linotype" w:cs="Palatino Linotype"/>
          <w:color w:val="000000" w:themeColor="text1"/>
        </w:rPr>
        <w:t>.</w:t>
      </w:r>
    </w:p>
    <w:p w14:paraId="7BD424A7"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148F1986"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Luego entonces, conforme a los preceptos legales antes citados </w:t>
      </w:r>
      <w:r w:rsidRPr="0066528D">
        <w:rPr>
          <w:rFonts w:ascii="Palatino Linotype" w:eastAsia="Palatino Linotype" w:hAnsi="Palatino Linotype" w:cs="Palatino Linotype"/>
          <w:b/>
          <w:color w:val="000000" w:themeColor="text1"/>
        </w:rPr>
        <w:t>la resoluciones a los procedimientos que derivaron en sanciones administrativas no graves concluidos de manera condenatoria, serán de acceso público en versión pública</w:t>
      </w:r>
      <w:r w:rsidRPr="0066528D">
        <w:rPr>
          <w:rFonts w:ascii="Palatino Linotype" w:eastAsia="Palatino Linotype" w:hAnsi="Palatino Linotype" w:cs="Palatino Linotype"/>
          <w:color w:val="000000" w:themeColor="text1"/>
        </w:rPr>
        <w:t>, clasificando como información confidencial el nombre, cargo, y en su caso la sanción que se hubiese impuesto, para lo cual deberá ser emitido por el Comité de Transparencia del Sujeto Obligado, conforme a lo establecido en el considerando quinto.</w:t>
      </w:r>
    </w:p>
    <w:p w14:paraId="50D2F116"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p>
    <w:p w14:paraId="4777B6CD" w14:textId="77777777" w:rsidR="006C2135" w:rsidRPr="0066528D" w:rsidRDefault="006C2135" w:rsidP="0066528D">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66528D">
        <w:rPr>
          <w:rFonts w:ascii="Palatino Linotype" w:eastAsia="Palatino Linotype" w:hAnsi="Palatino Linotype" w:cs="Palatino Linotype"/>
          <w:b/>
          <w:color w:val="000000" w:themeColor="text1"/>
        </w:rPr>
        <w:t xml:space="preserve">De las resoluciones a los procedimientos sobre faltas administrativas graves concluidos con sanción condenatoria. </w:t>
      </w:r>
    </w:p>
    <w:p w14:paraId="3C562351"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Si las resoluciones de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este se encuentren los que se deberán proteger, para lo cual el Sujeto Obligado deberá realizar y notificar el acuerdo de clasificación de la información relativa a los datos personales a efecto de que pueda emitir la versión pública de lo que se le solicitó, deberá </w:t>
      </w:r>
      <w:r w:rsidRPr="0066528D">
        <w:rPr>
          <w:rFonts w:ascii="Palatino Linotype" w:eastAsia="Palatino Linotype" w:hAnsi="Palatino Linotype" w:cs="Palatino Linotype"/>
          <w:color w:val="000000" w:themeColor="text1"/>
        </w:rPr>
        <w:lastRenderedPageBreak/>
        <w:t>clasificarla por la hipótesis análoga siendo aplicables los numerales de la Ley de la materia, que a la letra esgrimen:</w:t>
      </w:r>
    </w:p>
    <w:p w14:paraId="3E6D9826" w14:textId="77777777" w:rsidR="006C2135" w:rsidRPr="0066528D" w:rsidRDefault="006C2135" w:rsidP="0066528D">
      <w:pPr>
        <w:spacing w:line="360" w:lineRule="auto"/>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b/>
          <w:i/>
          <w:color w:val="000000" w:themeColor="text1"/>
        </w:rPr>
        <w:t>“Artículo 3. Para los efectos de la presente Ley se entenderá por:</w:t>
      </w:r>
    </w:p>
    <w:p w14:paraId="0D72CA3E" w14:textId="77777777" w:rsidR="006C2135" w:rsidRPr="0066528D" w:rsidRDefault="006C2135" w:rsidP="0066528D">
      <w:pPr>
        <w:spacing w:line="276" w:lineRule="auto"/>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b/>
          <w:i/>
          <w:color w:val="000000" w:themeColor="text1"/>
        </w:rPr>
        <w:t>[…]</w:t>
      </w:r>
    </w:p>
    <w:p w14:paraId="07C5573C" w14:textId="77777777" w:rsidR="006C2135" w:rsidRPr="0066528D" w:rsidRDefault="006C2135" w:rsidP="0066528D">
      <w:pPr>
        <w:spacing w:line="276" w:lineRule="auto"/>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b/>
          <w:i/>
          <w:color w:val="000000" w:themeColor="text1"/>
        </w:rPr>
        <w:t>IX. Datos personales: La información concerniente a una persona, identificada o identificable según lo dispuesto por la Ley de Protección de Datos Personales del Estado de México;</w:t>
      </w:r>
    </w:p>
    <w:p w14:paraId="38B060CE" w14:textId="77777777" w:rsidR="006C2135" w:rsidRPr="0066528D" w:rsidRDefault="006C2135" w:rsidP="0066528D">
      <w:pPr>
        <w:spacing w:line="276" w:lineRule="auto"/>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b/>
          <w:i/>
          <w:color w:val="000000" w:themeColor="text1"/>
        </w:rPr>
        <w:t>[…]</w:t>
      </w:r>
    </w:p>
    <w:p w14:paraId="617E87AA" w14:textId="77777777" w:rsidR="006C2135" w:rsidRPr="0066528D" w:rsidRDefault="006C2135" w:rsidP="0066528D">
      <w:pPr>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b/>
          <w:i/>
          <w:color w:val="000000" w:themeColor="text1"/>
        </w:rPr>
        <w:t>XLV. Versión pública: Documento en el que se elimine, suprime o borra la información clasificada como reservada o confidencial para permitir su acceso.</w:t>
      </w:r>
    </w:p>
    <w:p w14:paraId="4E2773E0" w14:textId="77777777" w:rsidR="006C2135" w:rsidRPr="0066528D" w:rsidRDefault="006C2135" w:rsidP="0066528D">
      <w:pPr>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Artículo 122. La clasificación es el proceso mediante el cual el Sujeto Obligado determina que la información en su poder actualiza alguno de los supuestos de reserva o confidencialidad, de conformidad con lo dispuesto en el presente título.</w:t>
      </w:r>
    </w:p>
    <w:p w14:paraId="5A954086" w14:textId="77777777" w:rsidR="006C2135" w:rsidRPr="0066528D" w:rsidRDefault="006C2135" w:rsidP="0066528D">
      <w:pPr>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w:t>
      </w:r>
    </w:p>
    <w:p w14:paraId="2AD940F4" w14:textId="77777777" w:rsidR="006C2135" w:rsidRPr="0066528D" w:rsidRDefault="006C2135" w:rsidP="0066528D">
      <w:pPr>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Artículo 132. La clasificación de la información se llevará a cabo en el momento en que:</w:t>
      </w:r>
    </w:p>
    <w:p w14:paraId="6B9D962C" w14:textId="77777777" w:rsidR="006C2135" w:rsidRPr="0066528D" w:rsidRDefault="006C2135" w:rsidP="0066528D">
      <w:pPr>
        <w:jc w:val="both"/>
        <w:rPr>
          <w:rFonts w:ascii="Palatino Linotype" w:eastAsia="Palatino Linotype" w:hAnsi="Palatino Linotype" w:cs="Palatino Linotype"/>
          <w:i/>
          <w:color w:val="000000" w:themeColor="text1"/>
        </w:rPr>
      </w:pPr>
      <w:r w:rsidRPr="0066528D">
        <w:rPr>
          <w:rFonts w:ascii="Palatino Linotype" w:eastAsia="Palatino Linotype" w:hAnsi="Palatino Linotype" w:cs="Palatino Linotype"/>
          <w:i/>
          <w:color w:val="000000" w:themeColor="text1"/>
        </w:rPr>
        <w:t>[…]</w:t>
      </w:r>
    </w:p>
    <w:p w14:paraId="17970568" w14:textId="77777777" w:rsidR="006C2135" w:rsidRPr="0066528D" w:rsidRDefault="006C2135" w:rsidP="0066528D">
      <w:pPr>
        <w:jc w:val="both"/>
        <w:rPr>
          <w:rFonts w:ascii="Palatino Linotype" w:eastAsia="Palatino Linotype" w:hAnsi="Palatino Linotype" w:cs="Palatino Linotype"/>
          <w:b/>
          <w:i/>
          <w:color w:val="000000" w:themeColor="text1"/>
        </w:rPr>
      </w:pPr>
      <w:r w:rsidRPr="0066528D">
        <w:rPr>
          <w:rFonts w:ascii="Palatino Linotype" w:eastAsia="Palatino Linotype" w:hAnsi="Palatino Linotype" w:cs="Palatino Linotype"/>
          <w:b/>
          <w:i/>
          <w:color w:val="000000" w:themeColor="text1"/>
        </w:rPr>
        <w:t>III. Se generen versiones públicas para dar cumplimiento a las obligaciones de transparencia previstas en esta Ley.</w:t>
      </w:r>
    </w:p>
    <w:p w14:paraId="17B71E28" w14:textId="77777777" w:rsidR="006C2135" w:rsidRPr="0066528D" w:rsidRDefault="006C2135" w:rsidP="0066528D">
      <w:pPr>
        <w:jc w:val="both"/>
        <w:rPr>
          <w:rFonts w:ascii="Palatino Linotype" w:eastAsia="Palatino Linotype" w:hAnsi="Palatino Linotype" w:cs="Palatino Linotype"/>
          <w:b/>
          <w:i/>
          <w:color w:val="000000" w:themeColor="text1"/>
          <w:u w:val="single"/>
        </w:rPr>
      </w:pPr>
      <w:r w:rsidRPr="0066528D">
        <w:rPr>
          <w:rFonts w:ascii="Palatino Linotype" w:eastAsia="Palatino Linotype" w:hAnsi="Palatino Linotype" w:cs="Palatino Linotype"/>
          <w:b/>
          <w:i/>
          <w:color w:val="000000" w:themeColor="text1"/>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66528D">
        <w:rPr>
          <w:rFonts w:ascii="Palatino Linotype" w:eastAsia="Palatino Linotype" w:hAnsi="Palatino Linotype" w:cs="Palatino Linotype"/>
          <w:b/>
          <w:i/>
          <w:color w:val="000000" w:themeColor="text1"/>
          <w:u w:val="single"/>
        </w:rPr>
        <w:t>de manera genérica y fundando y motivando su clasificación.” (Sic)</w:t>
      </w:r>
    </w:p>
    <w:p w14:paraId="670CA0EC" w14:textId="77777777" w:rsidR="006C2135" w:rsidRPr="0066528D" w:rsidRDefault="006C2135" w:rsidP="0066528D">
      <w:pPr>
        <w:spacing w:line="360" w:lineRule="auto"/>
        <w:jc w:val="both"/>
        <w:rPr>
          <w:rFonts w:ascii="Palatino Linotype" w:eastAsia="Palatino Linotype" w:hAnsi="Palatino Linotype" w:cs="Palatino Linotype"/>
          <w:b/>
          <w:i/>
          <w:color w:val="000000" w:themeColor="text1"/>
          <w:u w:val="single"/>
        </w:rPr>
      </w:pPr>
    </w:p>
    <w:p w14:paraId="6A866702"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w:t>
      </w:r>
      <w:r w:rsidRPr="0066528D">
        <w:rPr>
          <w:rFonts w:ascii="Palatino Linotype" w:eastAsia="Palatino Linotype" w:hAnsi="Palatino Linotype" w:cs="Palatino Linotype"/>
          <w:color w:val="000000" w:themeColor="text1"/>
        </w:rPr>
        <w:lastRenderedPageBreak/>
        <w:t xml:space="preserve">Sujetos Obligados deberá estar justificado en la Ley, lo anterior en términos de lo dispuesto por el artículo 14 con relación con el 58 de la Ley de Protección de Datos Personales del Estado de México. </w:t>
      </w:r>
    </w:p>
    <w:p w14:paraId="412A996F" w14:textId="77777777" w:rsidR="006C2135" w:rsidRPr="0066528D" w:rsidRDefault="006C2135"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A4D0BC5"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C9533E"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7E8B40B8"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3F3ED2D2"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682AA56B"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Efectivamente, cuando se clasifica información como confidencial o reservada </w:t>
      </w:r>
      <w:r w:rsidRPr="0066528D">
        <w:rPr>
          <w:rFonts w:ascii="Palatino Linotype" w:eastAsia="Palatino Linotype" w:hAnsi="Palatino Linotype" w:cs="Palatino Linotype"/>
          <w:b/>
          <w:color w:val="000000" w:themeColor="text1"/>
        </w:rPr>
        <w:t>es deber someterlo al Comité de Transparencia</w:t>
      </w:r>
      <w:r w:rsidRPr="0066528D">
        <w:rPr>
          <w:rFonts w:ascii="Palatino Linotype" w:eastAsia="Palatino Linotype" w:hAnsi="Palatino Linotype" w:cs="Palatino Linotype"/>
          <w:color w:val="000000" w:themeColor="text1"/>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w:t>
      </w:r>
      <w:r w:rsidRPr="0066528D">
        <w:rPr>
          <w:rFonts w:ascii="Palatino Linotype" w:eastAsia="Palatino Linotype" w:hAnsi="Palatino Linotype" w:cs="Palatino Linotype"/>
          <w:color w:val="000000" w:themeColor="text1"/>
        </w:rPr>
        <w:lastRenderedPageBreak/>
        <w:t>estado de incertidumbre, al no conocer o comprender porque no aparecen en la documentación respectiva.</w:t>
      </w:r>
    </w:p>
    <w:p w14:paraId="4718DFA0"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2047CA3A"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7D25E962"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32775E65"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286D2408"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7E0C0A7D"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2EFB5778"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7B576C62"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63E5EAFA"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067470EF"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lastRenderedPageBreak/>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3C1D3AD2"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48665465"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14:paraId="18C072D2"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2A01AABF"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D002DAB"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2AE4A927"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w:t>
      </w:r>
      <w:r w:rsidRPr="0066528D">
        <w:rPr>
          <w:rFonts w:ascii="Palatino Linotype" w:eastAsia="Palatino Linotype" w:hAnsi="Palatino Linotype" w:cs="Palatino Linotype"/>
          <w:color w:val="000000" w:themeColor="text1"/>
        </w:rPr>
        <w:lastRenderedPageBreak/>
        <w:t>Corte de Justicia de la Nación, publicada en el Semanario Judicial de la Federación y su Gaceta, Tomo XXXI, página 928, de marzo de 2010, Novena Época, materia constitucional.</w:t>
      </w:r>
    </w:p>
    <w:p w14:paraId="213A0134"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494CFF08"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2D3013A3" w14:textId="77777777" w:rsidR="006C2135" w:rsidRPr="0066528D" w:rsidRDefault="006C2135" w:rsidP="0066528D">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b/>
          <w:color w:val="000000" w:themeColor="text1"/>
        </w:rPr>
        <w:t>Idoneidad:</w:t>
      </w:r>
      <w:r w:rsidRPr="0066528D">
        <w:rPr>
          <w:rFonts w:ascii="Palatino Linotype" w:eastAsia="Palatino Linotype" w:hAnsi="Palatino Linotype" w:cs="Palatino Linotype"/>
          <w:color w:val="000000" w:themeColor="text1"/>
        </w:rPr>
        <w:t xml:space="preserve"> La legitimidad del derecho adoptado como preferente, que sea el adecuado para el logro de un fin constitucionalmente válido o apto para conseguir el fin pretendido;</w:t>
      </w:r>
    </w:p>
    <w:p w14:paraId="286E14F4" w14:textId="77777777" w:rsidR="006C2135" w:rsidRPr="0066528D" w:rsidRDefault="006C2135" w:rsidP="0066528D">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b/>
          <w:color w:val="000000" w:themeColor="text1"/>
        </w:rPr>
        <w:t>Necesidad:</w:t>
      </w:r>
      <w:r w:rsidRPr="0066528D">
        <w:rPr>
          <w:rFonts w:ascii="Palatino Linotype" w:eastAsia="Palatino Linotype" w:hAnsi="Palatino Linotype" w:cs="Palatino Linotype"/>
          <w:color w:val="000000" w:themeColor="text1"/>
        </w:rPr>
        <w:t xml:space="preserve"> La falta de un medio alternativo menos lesivo a la apertura de la información, para satisfacer el interés público, y</w:t>
      </w:r>
    </w:p>
    <w:p w14:paraId="2226AC16" w14:textId="77777777" w:rsidR="006C2135" w:rsidRPr="0066528D" w:rsidRDefault="006C2135" w:rsidP="0066528D">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b/>
          <w:color w:val="000000" w:themeColor="text1"/>
        </w:rPr>
        <w:t>Proporcionalidad:</w:t>
      </w:r>
      <w:r w:rsidRPr="0066528D">
        <w:rPr>
          <w:rFonts w:ascii="Palatino Linotype" w:eastAsia="Palatino Linotype" w:hAnsi="Palatino Linotype" w:cs="Palatino Linotype"/>
          <w:color w:val="000000" w:themeColor="text1"/>
        </w:rPr>
        <w:t xml:space="preserve"> El equilibrio entre perjuicio y beneficio a favor del interés público, a fin de que la decisión tomada represente un beneficio mayor al perjuicio que podría causar a la población.</w:t>
      </w:r>
    </w:p>
    <w:p w14:paraId="40A47A7F"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p>
    <w:p w14:paraId="00FC1DF3" w14:textId="24A6559D"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En ese orden de ideas, resulta procedente analizar cada uno de los elementos referidos, partiendo de que, en el caso concreto, se estima como preferente el derecho de acceso a la información, bajo las consideraciones</w:t>
      </w:r>
      <w:r w:rsidR="00AD6C2A">
        <w:rPr>
          <w:rFonts w:ascii="Palatino Linotype" w:eastAsia="Palatino Linotype" w:hAnsi="Palatino Linotype" w:cs="Palatino Linotype"/>
          <w:color w:val="000000" w:themeColor="text1"/>
        </w:rPr>
        <w:t xml:space="preserve"> que se verterán a continuación:</w:t>
      </w:r>
    </w:p>
    <w:p w14:paraId="6315B583"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p>
    <w:p w14:paraId="52E1524F"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b/>
          <w:color w:val="000000" w:themeColor="text1"/>
        </w:rPr>
        <w:lastRenderedPageBreak/>
        <w:t>a) Idoneidad</w:t>
      </w:r>
      <w:r w:rsidRPr="0066528D">
        <w:rPr>
          <w:rFonts w:ascii="Palatino Linotype" w:eastAsia="Palatino Linotype" w:hAnsi="Palatino Linotype" w:cs="Palatino Linotype"/>
          <w:color w:val="000000" w:themeColor="text1"/>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291F7F56" w14:textId="77777777" w:rsidR="006C2135" w:rsidRPr="0066528D" w:rsidRDefault="006C2135" w:rsidP="0066528D">
      <w:pPr>
        <w:spacing w:line="360" w:lineRule="auto"/>
        <w:jc w:val="both"/>
        <w:rPr>
          <w:rFonts w:ascii="Palatino Linotype" w:eastAsia="Palatino Linotype" w:hAnsi="Palatino Linotype" w:cs="Palatino Linotype"/>
          <w:b/>
          <w:color w:val="000000" w:themeColor="text1"/>
        </w:rPr>
      </w:pPr>
    </w:p>
    <w:p w14:paraId="3864C987"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0D941E3B" w14:textId="77777777" w:rsidR="006C2135" w:rsidRPr="0066528D" w:rsidRDefault="006C2135"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6587D47"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0BCAB6FB"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7ADA78C5"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Así, se advierte que aquellas personas con responsabilidades públicas mantienen la protección derivada del derecho al honor incluso cuando no estén actuando en carácter de </w:t>
      </w:r>
      <w:r w:rsidRPr="0066528D">
        <w:rPr>
          <w:rFonts w:ascii="Palatino Linotype" w:eastAsia="Palatino Linotype" w:hAnsi="Palatino Linotype" w:cs="Palatino Linotype"/>
          <w:color w:val="000000" w:themeColor="text1"/>
        </w:rPr>
        <w:lastRenderedPageBreak/>
        <w:t>particulares, pero las implicaciones de esta protección deben ser ponderadas con las que derivan del interés en un debate abierto sobre los asuntos públicos.</w:t>
      </w:r>
    </w:p>
    <w:p w14:paraId="2A58299C"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13410BE2"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41719825"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3DE6A260"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En ese contexto, dado que la información se relaciona con el actuar de los servidores públicos,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 </w:t>
      </w:r>
    </w:p>
    <w:p w14:paraId="53F01C08"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3D7052F8"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192BDBCC"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429BE392"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lastRenderedPageBreak/>
        <w:t>Además, que, con dicha información, se estaría revelando que el desempeño de los servidores públicos sancionados, no fue conforme a derecho, asimismo, de dar a conocer que los referidos acreditaron que había cometido alguna responsabilidad grave.</w:t>
      </w:r>
    </w:p>
    <w:p w14:paraId="7176364C"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5F0DEEC7" w14:textId="77777777" w:rsidR="006C2135"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1C2F32D1" w14:textId="77777777" w:rsidR="00AD6C2A" w:rsidRPr="0066528D" w:rsidRDefault="00AD6C2A" w:rsidP="00AD6C2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F8058D4"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bookmarkStart w:id="6" w:name="_heading=h.tyjcwt" w:colFirst="0" w:colLast="0"/>
      <w:bookmarkEnd w:id="6"/>
      <w:r w:rsidRPr="0066528D">
        <w:rPr>
          <w:rFonts w:ascii="Palatino Linotype" w:eastAsia="Palatino Linotype" w:hAnsi="Palatino Linotype" w:cs="Palatino Linotype"/>
          <w:b/>
          <w:color w:val="000000" w:themeColor="text1"/>
        </w:rPr>
        <w:t xml:space="preserve">b) Necesidad: </w:t>
      </w:r>
      <w:r w:rsidRPr="0066528D">
        <w:rPr>
          <w:rFonts w:ascii="Palatino Linotype" w:eastAsia="Palatino Linotype" w:hAnsi="Palatino Linotype" w:cs="Palatino Linotype"/>
          <w:color w:val="000000" w:themeColor="text1"/>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09DC9B0E"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p>
    <w:p w14:paraId="6F3519FC"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Además, ello permite evaluar la actuación del </w:t>
      </w:r>
      <w:r w:rsidRPr="0066528D">
        <w:rPr>
          <w:rFonts w:ascii="Palatino Linotype" w:eastAsia="Palatino Linotype" w:hAnsi="Palatino Linotype" w:cs="Palatino Linotype"/>
          <w:b/>
          <w:color w:val="000000" w:themeColor="text1"/>
        </w:rPr>
        <w:t>Sujeto Obligado</w:t>
      </w:r>
      <w:r w:rsidRPr="0066528D">
        <w:rPr>
          <w:rFonts w:ascii="Palatino Linotype" w:eastAsia="Palatino Linotype" w:hAnsi="Palatino Linotype" w:cs="Palatino Linotype"/>
          <w:color w:val="000000" w:themeColor="text1"/>
        </w:rPr>
        <w:t>, pues se podrá advertir la forma en la que ejercieron las funciones que legalmente tienen conferidas.</w:t>
      </w:r>
    </w:p>
    <w:p w14:paraId="6332D7B3" w14:textId="77777777" w:rsidR="006C2135" w:rsidRPr="0066528D" w:rsidRDefault="006C2135"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089D14F"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lastRenderedPageBreak/>
        <w:t>Lo anterior, considerando que sólo por esta vía se podría lograr el acceso a la información correspondiente a los documentos del interés de la Particular, para garantizar la rendición de cuentas sobre su actuación, así como, la de los servidores públicos sancionados.</w:t>
      </w:r>
    </w:p>
    <w:p w14:paraId="322F9107"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65DB7E66"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En tal virtud, por la trascendencia social de la materia del requerimiento, el derecho de acceso a la información deberá prevalecer sobre el derecho a la privacidad.</w:t>
      </w:r>
    </w:p>
    <w:p w14:paraId="308D0C7C"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p>
    <w:p w14:paraId="2E24CD6F"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b/>
          <w:color w:val="000000" w:themeColor="text1"/>
        </w:rPr>
        <w:t>c) Proporcionalidad en sentido estricto:</w:t>
      </w:r>
      <w:r w:rsidRPr="0066528D">
        <w:rPr>
          <w:rFonts w:ascii="Palatino Linotype" w:eastAsia="Palatino Linotype" w:hAnsi="Palatino Linotype" w:cs="Palatino Linotype"/>
          <w:color w:val="000000" w:themeColor="text1"/>
        </w:rPr>
        <w:t xml:space="preserve"> El sacrificio de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54E9F3BD" w14:textId="77777777" w:rsidR="006C2135" w:rsidRPr="0066528D" w:rsidRDefault="006C2135" w:rsidP="0066528D">
      <w:pPr>
        <w:spacing w:line="360" w:lineRule="auto"/>
        <w:jc w:val="both"/>
        <w:rPr>
          <w:rFonts w:ascii="Palatino Linotype" w:eastAsia="Palatino Linotype" w:hAnsi="Palatino Linotype" w:cs="Palatino Linotype"/>
          <w:color w:val="000000" w:themeColor="text1"/>
        </w:rPr>
      </w:pPr>
    </w:p>
    <w:p w14:paraId="2E388063"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8A230ED" w14:textId="77777777" w:rsidR="006C2135" w:rsidRPr="0066528D" w:rsidRDefault="006C2135"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13BE192"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En ese orden de ideas, es posible advertir un margen de beneficio mayor al favorecer el derecho de acceso a la información, respecto del derecho a la vida privada; por lo que, la </w:t>
      </w:r>
      <w:r w:rsidRPr="0066528D">
        <w:rPr>
          <w:rFonts w:ascii="Palatino Linotype" w:eastAsia="Palatino Linotype" w:hAnsi="Palatino Linotype" w:cs="Palatino Linotype"/>
          <w:color w:val="000000" w:themeColor="text1"/>
        </w:rPr>
        <w:lastRenderedPageBreak/>
        <w:t>intervención que subsume este ejercicio de ponderación apunta a la obtención de mayores efectos positivos y una afectación menor en la esfera de privacidad de los servidores públicos.</w:t>
      </w:r>
    </w:p>
    <w:p w14:paraId="41495FFA"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36F3CDAA"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4225D66A"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409F6A50"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Por tanto, se concluye que, al tenor de la ponderación realizada, se cumple con los tres elementos para darle preminencia, en el caso concreto, al derecho de acceso a la información.</w:t>
      </w:r>
    </w:p>
    <w:p w14:paraId="3EBE55AE"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26E9CD27" w14:textId="77777777" w:rsidR="006C2135"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72701BF2" w14:textId="77777777" w:rsidR="006C2135" w:rsidRPr="0066528D" w:rsidRDefault="006C2135" w:rsidP="0066528D">
      <w:pPr>
        <w:pBdr>
          <w:top w:val="nil"/>
          <w:left w:val="nil"/>
          <w:bottom w:val="nil"/>
          <w:right w:val="nil"/>
          <w:between w:val="nil"/>
        </w:pBdr>
        <w:rPr>
          <w:rFonts w:ascii="Palatino Linotype" w:eastAsia="Palatino Linotype" w:hAnsi="Palatino Linotype" w:cs="Palatino Linotype"/>
          <w:color w:val="000000" w:themeColor="text1"/>
        </w:rPr>
      </w:pPr>
    </w:p>
    <w:p w14:paraId="51ECF764" w14:textId="77777777" w:rsidR="00BF43DD" w:rsidRPr="0066528D"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Conforme a lo anterior, se concluye que el sujeto obligado únicamente se encuentra constreñido, a proporcionar los procedimientos que ya hayan causado estado, sin testar el nombre de servidores públicos que fueron sancionados por responsabilidades graves.</w:t>
      </w:r>
    </w:p>
    <w:p w14:paraId="27B589C1" w14:textId="77777777" w:rsidR="00BF43DD" w:rsidRPr="004F3C92" w:rsidRDefault="00BF43DD" w:rsidP="0066528D">
      <w:pPr>
        <w:numPr>
          <w:ilvl w:val="0"/>
          <w:numId w:val="2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4F3C92">
        <w:rPr>
          <w:rFonts w:ascii="Palatino Linotype" w:eastAsia="Palatino Linotype" w:hAnsi="Palatino Linotype" w:cs="Palatino Linotype"/>
          <w:b/>
          <w:color w:val="000000" w:themeColor="text1"/>
        </w:rPr>
        <w:lastRenderedPageBreak/>
        <w:t>Procedimientos en trámite a la fecha de la presente resolución.</w:t>
      </w:r>
    </w:p>
    <w:p w14:paraId="172705DE" w14:textId="77777777" w:rsidR="00BF43DD" w:rsidRPr="004F3C92" w:rsidRDefault="00BF43DD" w:rsidP="0066528D">
      <w:pPr>
        <w:pStyle w:val="Prrafodelista"/>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Al respecto,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p>
    <w:p w14:paraId="4F18D3EA"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6868FAE" w14:textId="77777777"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7342A740"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5F17466C" w14:textId="77777777"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Por su parte, en los Lineamientos Generales en Materia de Clasificación y Desclasificación de la Información, así como para la elaboración de versiones públicas, se establece lo siguiente:</w:t>
      </w:r>
    </w:p>
    <w:p w14:paraId="58474A28" w14:textId="77777777" w:rsidR="00BF43DD" w:rsidRPr="004F3C92" w:rsidRDefault="00BF43DD" w:rsidP="0066528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i/>
          <w:color w:val="000000" w:themeColor="text1"/>
        </w:rPr>
        <w:t>“(…)</w:t>
      </w:r>
    </w:p>
    <w:p w14:paraId="41F4C29D" w14:textId="77777777" w:rsidR="00BF43DD" w:rsidRPr="004F3C92" w:rsidRDefault="00BF43DD" w:rsidP="0066528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b/>
          <w:i/>
          <w:color w:val="000000" w:themeColor="text1"/>
        </w:rPr>
        <w:t>Vigésimo octavo.</w:t>
      </w:r>
      <w:r w:rsidRPr="004F3C92">
        <w:rPr>
          <w:rFonts w:ascii="Palatino Linotype" w:eastAsia="Palatino Linotype" w:hAnsi="Palatino Linotype" w:cs="Palatino Linotype"/>
          <w:i/>
          <w:color w:val="000000" w:themeColor="text1"/>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65DAD1F5" w14:textId="77777777" w:rsidR="00BF43DD" w:rsidRPr="004F3C92" w:rsidRDefault="00BF43DD" w:rsidP="0066528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b/>
          <w:i/>
          <w:color w:val="000000" w:themeColor="text1"/>
        </w:rPr>
        <w:t>I.</w:t>
      </w:r>
      <w:r w:rsidRPr="004F3C92">
        <w:rPr>
          <w:rFonts w:ascii="Palatino Linotype" w:eastAsia="Palatino Linotype" w:hAnsi="Palatino Linotype" w:cs="Palatino Linotype"/>
          <w:i/>
          <w:color w:val="000000" w:themeColor="text1"/>
        </w:rPr>
        <w:t xml:space="preserve"> La existencia de un procedimiento de responsabilidad administrativa en trámite, y </w:t>
      </w:r>
    </w:p>
    <w:p w14:paraId="16B58471" w14:textId="77777777" w:rsidR="00BF43DD" w:rsidRPr="004F3C92" w:rsidRDefault="00BF43DD" w:rsidP="0066528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b/>
          <w:i/>
          <w:color w:val="000000" w:themeColor="text1"/>
        </w:rPr>
        <w:t>II.</w:t>
      </w:r>
      <w:r w:rsidRPr="004F3C92">
        <w:rPr>
          <w:rFonts w:ascii="Palatino Linotype" w:eastAsia="Palatino Linotype" w:hAnsi="Palatino Linotype" w:cs="Palatino Linotype"/>
          <w:i/>
          <w:color w:val="000000" w:themeColor="text1"/>
        </w:rPr>
        <w:t xml:space="preserve"> Que la información se refiera a actuaciones, diligencias y constancias propias del procedimiento de responsabilidad.</w:t>
      </w:r>
    </w:p>
    <w:p w14:paraId="4CA68DC2" w14:textId="77777777" w:rsidR="00BF43DD" w:rsidRPr="004F3C92" w:rsidRDefault="00BF43DD" w:rsidP="0066528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i/>
          <w:color w:val="000000" w:themeColor="text1"/>
        </w:rPr>
        <w:t>(…)”</w:t>
      </w:r>
    </w:p>
    <w:p w14:paraId="2C9939D9"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D4D02AA" w14:textId="77777777"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lastRenderedPageBreak/>
        <w:t xml:space="preserve">De lo anterior, se advierte que para que se actualice la causal de reserva que se analiza se debe acreditar </w:t>
      </w:r>
      <w:r w:rsidRPr="004F3C92">
        <w:rPr>
          <w:rFonts w:ascii="Palatino Linotype" w:eastAsia="Palatino Linotype" w:hAnsi="Palatino Linotype" w:cs="Palatino Linotype"/>
          <w:b/>
          <w:color w:val="000000" w:themeColor="text1"/>
        </w:rPr>
        <w:t>I)</w:t>
      </w:r>
      <w:r w:rsidRPr="004F3C92">
        <w:rPr>
          <w:rFonts w:ascii="Palatino Linotype" w:eastAsia="Palatino Linotype" w:hAnsi="Palatino Linotype" w:cs="Palatino Linotype"/>
          <w:color w:val="000000" w:themeColor="text1"/>
        </w:rPr>
        <w:t xml:space="preserve"> la existencia de un procedimiento de responsabilidad administrativa en trámite, y </w:t>
      </w:r>
      <w:r w:rsidRPr="004F3C92">
        <w:rPr>
          <w:rFonts w:ascii="Palatino Linotype" w:eastAsia="Palatino Linotype" w:hAnsi="Palatino Linotype" w:cs="Palatino Linotype"/>
          <w:b/>
          <w:color w:val="000000" w:themeColor="text1"/>
        </w:rPr>
        <w:t>II)</w:t>
      </w:r>
      <w:r w:rsidRPr="004F3C92">
        <w:rPr>
          <w:rFonts w:ascii="Palatino Linotype" w:eastAsia="Palatino Linotype" w:hAnsi="Palatino Linotype" w:cs="Palatino Linotype"/>
          <w:color w:val="000000" w:themeColor="text1"/>
        </w:rPr>
        <w:t xml:space="preserve"> que la información se refiera a actuaciones, diligencias y constancias propias del procedimiento de responsabilidad.</w:t>
      </w:r>
    </w:p>
    <w:p w14:paraId="5E6BFC83"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6FC315BD" w14:textId="651ED174"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 xml:space="preserve">Por tales consideraciones, resulta procedente la reserva, en términos del artículo 140, fracción VI, de la Ley de Transparencia y Acceso a la Información Pública del Estado de México y Municipios, de los </w:t>
      </w:r>
      <w:r w:rsidR="006E20D8" w:rsidRPr="004F3C92">
        <w:rPr>
          <w:rFonts w:ascii="Palatino Linotype" w:eastAsia="Palatino Linotype" w:hAnsi="Palatino Linotype" w:cs="Palatino Linotype"/>
          <w:color w:val="000000" w:themeColor="text1"/>
        </w:rPr>
        <w:t>expedientes</w:t>
      </w:r>
      <w:r w:rsidRPr="004F3C92">
        <w:rPr>
          <w:rFonts w:ascii="Palatino Linotype" w:eastAsia="Palatino Linotype" w:hAnsi="Palatino Linotype" w:cs="Palatino Linotype"/>
          <w:color w:val="000000" w:themeColor="text1"/>
        </w:rPr>
        <w:t xml:space="preserve"> por responsabilidades administrativas en trámite, en caso de que existieran.</w:t>
      </w:r>
    </w:p>
    <w:p w14:paraId="2A25DFEF"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A0C9970" w14:textId="77777777"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2067075A" w14:textId="77777777" w:rsidR="00BF43DD" w:rsidRPr="004F3C92" w:rsidRDefault="00BF43DD" w:rsidP="0066528D">
      <w:pPr>
        <w:pStyle w:val="Prrafodelista"/>
        <w:ind w:left="0"/>
        <w:rPr>
          <w:rFonts w:ascii="Palatino Linotype" w:eastAsia="Palatino Linotype" w:hAnsi="Palatino Linotype" w:cs="Palatino Linotype"/>
          <w:color w:val="000000" w:themeColor="text1"/>
        </w:rPr>
      </w:pPr>
    </w:p>
    <w:p w14:paraId="2B91BADF" w14:textId="77777777" w:rsidR="00BF43DD" w:rsidRPr="004F3C92" w:rsidRDefault="00BF43DD" w:rsidP="0066528D">
      <w:pPr>
        <w:numPr>
          <w:ilvl w:val="0"/>
          <w:numId w:val="2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b/>
          <w:color w:val="000000" w:themeColor="text1"/>
        </w:rPr>
      </w:pPr>
      <w:r w:rsidRPr="004F3C92">
        <w:rPr>
          <w:rFonts w:ascii="Palatino Linotype" w:eastAsia="Palatino Linotype" w:hAnsi="Palatino Linotype" w:cs="Palatino Linotype"/>
          <w:b/>
          <w:color w:val="000000" w:themeColor="text1"/>
        </w:rPr>
        <w:t>Excepciones</w:t>
      </w:r>
    </w:p>
    <w:p w14:paraId="6B2A56DB" w14:textId="77777777" w:rsidR="00BF43DD" w:rsidRPr="004F3C92" w:rsidRDefault="00BF43DD" w:rsidP="0066528D">
      <w:pPr>
        <w:pStyle w:val="Prrafodelista"/>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 xml:space="preserve">El numeral 53 de la Ley del Sistema Anticorrupción del Estado de México y Municipios dispone que </w:t>
      </w:r>
      <w:r w:rsidRPr="004F3C92">
        <w:rPr>
          <w:rFonts w:ascii="Palatino Linotype" w:eastAsia="Palatino Linotype" w:hAnsi="Palatino Linotype" w:cs="Palatino Linotype"/>
          <w:b/>
          <w:color w:val="000000" w:themeColor="text1"/>
          <w:u w:val="single"/>
        </w:rPr>
        <w:t>las sanciones por faltas administrativas graves serán públicas</w:t>
      </w:r>
      <w:r w:rsidRPr="004F3C92">
        <w:rPr>
          <w:rFonts w:ascii="Palatino Linotype" w:eastAsia="Palatino Linotype" w:hAnsi="Palatino Linotype" w:cs="Palatino Linotype"/>
          <w:color w:val="000000" w:themeColor="text1"/>
        </w:rPr>
        <w:t xml:space="preserve"> cuando de éstas devengan impedimentos o inhabilitaciones para continuar ejerciendo el servicio público.</w:t>
      </w:r>
    </w:p>
    <w:p w14:paraId="525302A6"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55997425" w14:textId="77777777"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 xml:space="preserve">Al respecto, la Ley de Responsabilidades Administrativas del Estado de México y Municipios, define de forma clara y concreta cada uno de los actos considerados como faltas administrativas graves de los servidores públicos en sus artículos 53, 54, 55, 56, 57, 58, 59, </w:t>
      </w:r>
      <w:r w:rsidRPr="004F3C92">
        <w:rPr>
          <w:rFonts w:ascii="Palatino Linotype" w:eastAsia="Palatino Linotype" w:hAnsi="Palatino Linotype" w:cs="Palatino Linotype"/>
          <w:color w:val="000000" w:themeColor="text1"/>
        </w:rPr>
        <w:lastRenderedPageBreak/>
        <w:t>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7B09811C"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36AB0EED" w14:textId="77777777"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 xml:space="preserve">Lo anterior separa, en consecuencia, a los actos contenidos en el artículo 52 de la Ley de Responsabilidades Administrativas Estatal de todos los demás que pudieran ser investigados por el Órgano de Control Interno del </w:t>
      </w:r>
      <w:r w:rsidRPr="004F3C92">
        <w:rPr>
          <w:rFonts w:ascii="Palatino Linotype" w:eastAsia="Palatino Linotype" w:hAnsi="Palatino Linotype" w:cs="Palatino Linotype"/>
          <w:b/>
          <w:color w:val="000000" w:themeColor="text1"/>
        </w:rPr>
        <w:t>SUJETO OBLIGADO</w:t>
      </w:r>
      <w:r w:rsidRPr="004F3C92">
        <w:rPr>
          <w:rFonts w:ascii="Palatino Linotype" w:eastAsia="Palatino Linotype" w:hAnsi="Palatino Linotype" w:cs="Palatino Linotype"/>
          <w:color w:val="000000" w:themeColor="text1"/>
        </w:rPr>
        <w:t>, ya que éstos se pueden determinar cómo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5B686865"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4F79E3C6" w14:textId="77777777" w:rsidR="00BF43DD" w:rsidRPr="004F3C92" w:rsidRDefault="00BF43DD" w:rsidP="0066528D">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En ese sentido, debemos traer a estudio lo dispuesto por el numeral 142 de la Ley de Transparencia y Acceso a la Información Pública del Estado de México y Municipios, mismo que se inserta a continuación:</w:t>
      </w:r>
    </w:p>
    <w:p w14:paraId="0CB2C011" w14:textId="77777777" w:rsidR="00BF43DD" w:rsidRPr="004F3C92" w:rsidRDefault="00BF43DD" w:rsidP="0066528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i/>
          <w:color w:val="000000" w:themeColor="text1"/>
        </w:rPr>
        <w:t>“</w:t>
      </w:r>
      <w:r w:rsidRPr="004F3C92">
        <w:rPr>
          <w:rFonts w:ascii="Palatino Linotype" w:eastAsia="Palatino Linotype" w:hAnsi="Palatino Linotype" w:cs="Palatino Linotype"/>
          <w:b/>
          <w:i/>
          <w:color w:val="000000" w:themeColor="text1"/>
        </w:rPr>
        <w:t>Artículo 142.</w:t>
      </w:r>
      <w:r w:rsidRPr="004F3C92">
        <w:rPr>
          <w:rFonts w:ascii="Palatino Linotype" w:eastAsia="Palatino Linotype" w:hAnsi="Palatino Linotype" w:cs="Palatino Linotype"/>
          <w:i/>
          <w:color w:val="000000" w:themeColor="text1"/>
        </w:rPr>
        <w:t xml:space="preserve"> </w:t>
      </w:r>
      <w:r w:rsidRPr="004F3C92">
        <w:rPr>
          <w:rFonts w:ascii="Palatino Linotype" w:eastAsia="Palatino Linotype" w:hAnsi="Palatino Linotype" w:cs="Palatino Linotype"/>
          <w:b/>
          <w:i/>
          <w:color w:val="000000" w:themeColor="text1"/>
        </w:rPr>
        <w:t>Bajo ninguna circunstancia podrá invocarse el carácter de reservado cuando:</w:t>
      </w:r>
    </w:p>
    <w:p w14:paraId="407EF6CF" w14:textId="77777777" w:rsidR="00BF43DD" w:rsidRPr="004F3C92" w:rsidRDefault="00BF43DD" w:rsidP="0066528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b/>
          <w:i/>
          <w:color w:val="000000" w:themeColor="text1"/>
        </w:rPr>
        <w:t>I. Se trate de violaciones graves de derechos humanos</w:t>
      </w:r>
      <w:r w:rsidRPr="004F3C92">
        <w:rPr>
          <w:rFonts w:ascii="Palatino Linotype" w:eastAsia="Palatino Linotype" w:hAnsi="Palatino Linotype" w:cs="Palatino Linotype"/>
          <w:i/>
          <w:color w:val="000000" w:themeColor="text1"/>
        </w:rPr>
        <w:t>, calificada así por autoridad competente;</w:t>
      </w:r>
    </w:p>
    <w:p w14:paraId="61CF4A99" w14:textId="77777777" w:rsidR="00BF43DD" w:rsidRPr="004F3C92" w:rsidRDefault="00BF43DD" w:rsidP="0066528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b/>
          <w:i/>
          <w:color w:val="000000" w:themeColor="text1"/>
        </w:rPr>
        <w:t>II.</w:t>
      </w:r>
      <w:r w:rsidRPr="004F3C92">
        <w:rPr>
          <w:rFonts w:ascii="Palatino Linotype" w:eastAsia="Palatino Linotype" w:hAnsi="Palatino Linotype" w:cs="Palatino Linotype"/>
          <w:i/>
          <w:color w:val="000000" w:themeColor="text1"/>
        </w:rPr>
        <w:t xml:space="preserve"> </w:t>
      </w:r>
      <w:r w:rsidRPr="004F3C92">
        <w:rPr>
          <w:rFonts w:ascii="Palatino Linotype" w:eastAsia="Palatino Linotype" w:hAnsi="Palatino Linotype" w:cs="Palatino Linotype"/>
          <w:b/>
          <w:i/>
          <w:color w:val="000000" w:themeColor="text1"/>
          <w:u w:val="single"/>
        </w:rPr>
        <w:t>Se trate de la investigación de posibles violaciones graves de derechos humanos aun cuando no exista pronunciamiento previo de autoridad competente</w:t>
      </w:r>
      <w:r w:rsidRPr="004F3C92">
        <w:rPr>
          <w:rFonts w:ascii="Palatino Linotype" w:eastAsia="Palatino Linotype" w:hAnsi="Palatino Linotype" w:cs="Palatino Linotype"/>
          <w:i/>
          <w:color w:val="000000" w:themeColor="text1"/>
        </w:rPr>
        <w:t xml:space="preserve">, cuando se determine, a partir de criterios cuantitativos y cualitativos la trascendencia social de las violaciones; </w:t>
      </w:r>
    </w:p>
    <w:p w14:paraId="686DC2E5" w14:textId="77777777" w:rsidR="00BF43DD" w:rsidRPr="004F3C92" w:rsidRDefault="00BF43DD" w:rsidP="0066528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F3C92">
        <w:rPr>
          <w:rFonts w:ascii="Palatino Linotype" w:eastAsia="Palatino Linotype" w:hAnsi="Palatino Linotype" w:cs="Palatino Linotype"/>
          <w:b/>
          <w:i/>
          <w:color w:val="000000" w:themeColor="text1"/>
        </w:rPr>
        <w:t>III.</w:t>
      </w:r>
      <w:r w:rsidRPr="004F3C92">
        <w:rPr>
          <w:rFonts w:ascii="Palatino Linotype" w:eastAsia="Palatino Linotype" w:hAnsi="Palatino Linotype" w:cs="Palatino Linotype"/>
          <w:i/>
          <w:color w:val="000000" w:themeColor="text1"/>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55DAB9EF" w14:textId="77777777" w:rsidR="00BF43DD" w:rsidRPr="004F3C92" w:rsidRDefault="00BF43D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b/>
          <w:i/>
          <w:color w:val="000000" w:themeColor="text1"/>
        </w:rPr>
        <w:lastRenderedPageBreak/>
        <w:t>IV. Se trate de información relacionada con actos de corrupción</w:t>
      </w:r>
      <w:r w:rsidRPr="004F3C92">
        <w:rPr>
          <w:rFonts w:ascii="Palatino Linotype" w:eastAsia="Palatino Linotype" w:hAnsi="Palatino Linotype" w:cs="Palatino Linotype"/>
          <w:i/>
          <w:color w:val="000000" w:themeColor="text1"/>
        </w:rPr>
        <w:t xml:space="preserve"> de conformidad con las disposiciones jurídicas aplicables.”</w:t>
      </w:r>
    </w:p>
    <w:p w14:paraId="431BF17F" w14:textId="77777777" w:rsidR="00BF43DD" w:rsidRPr="004F3C92" w:rsidRDefault="00BF43DD" w:rsidP="0066528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220C6FA7" w14:textId="77777777" w:rsidR="00BF43DD" w:rsidRPr="004F3C92" w:rsidRDefault="00BF43DD" w:rsidP="006652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52241D54" w14:textId="77777777" w:rsidR="00BF43DD" w:rsidRPr="004F3C92" w:rsidRDefault="00BF43DD" w:rsidP="006652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E85FA2E" w14:textId="77777777" w:rsidR="00BF43DD" w:rsidRPr="004F3C92" w:rsidRDefault="00BF43DD" w:rsidP="006652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04DB8850" w14:textId="77777777" w:rsidR="00BF43DD" w:rsidRPr="004F3C92" w:rsidRDefault="00BF43DD" w:rsidP="006652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509111E" w14:textId="77777777" w:rsidR="00BF43DD" w:rsidRPr="004F3C92" w:rsidRDefault="00BF43DD" w:rsidP="006652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 xml:space="preserve">Luego entonces, </w:t>
      </w:r>
      <w:r w:rsidRPr="004F3C92">
        <w:rPr>
          <w:rFonts w:ascii="Palatino Linotype" w:eastAsia="Palatino Linotype" w:hAnsi="Palatino Linotype" w:cs="Palatino Linotype"/>
          <w:b/>
          <w:color w:val="000000" w:themeColor="text1"/>
        </w:rPr>
        <w:t>la autoridad quien, en primera instancia, clasifica la conducta sobre la cual se integra un expediente de investigación como una posible falta administrativa grave es el Órgano de Control Interno</w:t>
      </w:r>
      <w:r w:rsidRPr="004F3C92">
        <w:rPr>
          <w:rFonts w:ascii="Palatino Linotype" w:eastAsia="Palatino Linotype" w:hAnsi="Palatino Linotype" w:cs="Palatino Linotype"/>
          <w:color w:val="000000" w:themeColor="text1"/>
        </w:rPr>
        <w:t>, pues 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4F3C92">
        <w:rPr>
          <w:rFonts w:ascii="Palatino Linotype" w:eastAsia="Palatino Linotype" w:hAnsi="Palatino Linotype" w:cs="Palatino Linotype"/>
          <w:b/>
          <w:color w:val="000000" w:themeColor="text1"/>
        </w:rPr>
        <w:t>.</w:t>
      </w:r>
    </w:p>
    <w:p w14:paraId="77E2A49B" w14:textId="77777777" w:rsidR="00BF43DD" w:rsidRPr="004F3C92" w:rsidRDefault="00BF43DD" w:rsidP="006652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CD1C020" w14:textId="77777777" w:rsidR="00BF43DD" w:rsidRPr="004F3C92" w:rsidRDefault="00BF43DD" w:rsidP="006652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lastRenderedPageBreak/>
        <w:t>En consecuencia, 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25C4622B" w14:textId="77777777" w:rsidR="00BF43DD" w:rsidRPr="004F3C92" w:rsidRDefault="00BF43DD" w:rsidP="006652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9F6DD97" w14:textId="77777777" w:rsidR="00BF43DD" w:rsidRPr="004F3C92" w:rsidRDefault="00BF43DD" w:rsidP="006652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 xml:space="preserve">En tales circunstancias, </w:t>
      </w:r>
      <w:r w:rsidRPr="004F3C92">
        <w:rPr>
          <w:rFonts w:ascii="Palatino Linotype" w:eastAsia="Palatino Linotype" w:hAnsi="Palatino Linotype" w:cs="Palatino Linotype"/>
          <w:b/>
          <w:color w:val="000000" w:themeColor="text1"/>
        </w:rPr>
        <w:t>de identificarse expedientes formados que se encuentren en la etapa de investigación, o bien, en el procedimiento de responsabilidades administrativas por faltas graves relacionados con violaciones graves de derechos humanos o actos de corrupción</w:t>
      </w:r>
      <w:r w:rsidRPr="004F3C92">
        <w:rPr>
          <w:rFonts w:ascii="Palatino Linotype" w:eastAsia="Palatino Linotype" w:hAnsi="Palatino Linotype" w:cs="Palatino Linotype"/>
          <w:color w:val="000000" w:themeColor="text1"/>
        </w:rPr>
        <w:t xml:space="preserve">, de conformidad con el artículo 142 de la Ley de Transparencia y Acceso a la Información Pública del Estado de México y Municipios, y el artículo 53 de la Ley del Sistema Anticorrupción del Estado de México y Municipios, </w:t>
      </w:r>
      <w:r w:rsidRPr="004F3C92">
        <w:rPr>
          <w:rFonts w:ascii="Palatino Linotype" w:eastAsia="Palatino Linotype" w:hAnsi="Palatino Linotype" w:cs="Palatino Linotype"/>
          <w:b/>
          <w:color w:val="000000" w:themeColor="text1"/>
        </w:rPr>
        <w:t>el SUJETO OBLIGADO deberá hacer entrega de éstas al no ser sujetos de clasificación</w:t>
      </w:r>
      <w:r w:rsidRPr="004F3C92">
        <w:rPr>
          <w:rFonts w:ascii="Palatino Linotype" w:eastAsia="Palatino Linotype" w:hAnsi="Palatino Linotype" w:cs="Palatino Linotype"/>
          <w:color w:val="000000" w:themeColor="text1"/>
        </w:rPr>
        <w:t>.</w:t>
      </w:r>
    </w:p>
    <w:p w14:paraId="0E9FDF1F" w14:textId="77777777" w:rsidR="00BF43DD" w:rsidRPr="004F3C92" w:rsidRDefault="00BF43DD" w:rsidP="006652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63F6614" w14:textId="77777777" w:rsidR="006C2135" w:rsidRPr="004F3C92" w:rsidRDefault="00BF43DD" w:rsidP="0066528D">
      <w:pPr>
        <w:numPr>
          <w:ilvl w:val="0"/>
          <w:numId w:val="2"/>
        </w:numPr>
        <w:pBdr>
          <w:top w:val="nil"/>
          <w:left w:val="nil"/>
          <w:bottom w:val="nil"/>
          <w:right w:val="nil"/>
          <w:between w:val="nil"/>
        </w:pBdr>
        <w:tabs>
          <w:tab w:val="left" w:pos="0"/>
        </w:tabs>
        <w:spacing w:after="240" w:line="360" w:lineRule="auto"/>
        <w:ind w:left="0" w:firstLine="0"/>
        <w:jc w:val="both"/>
        <w:rPr>
          <w:rFonts w:ascii="Palatino Linotype" w:eastAsia="Palatino Linotype" w:hAnsi="Palatino Linotype" w:cs="Palatino Linotype"/>
          <w:color w:val="000000" w:themeColor="text1"/>
        </w:rPr>
      </w:pPr>
      <w:r w:rsidRPr="004F3C92">
        <w:rPr>
          <w:rFonts w:ascii="Palatino Linotype" w:eastAsia="Palatino Linotype" w:hAnsi="Palatino Linotype" w:cs="Palatino Linotype"/>
          <w:color w:val="000000" w:themeColor="text1"/>
        </w:rPr>
        <w:t xml:space="preserve">Razón de lo anterior, el </w:t>
      </w:r>
      <w:r w:rsidRPr="004F3C92">
        <w:rPr>
          <w:rFonts w:ascii="Palatino Linotype" w:eastAsia="Palatino Linotype" w:hAnsi="Palatino Linotype" w:cs="Palatino Linotype"/>
          <w:b/>
          <w:color w:val="000000" w:themeColor="text1"/>
        </w:rPr>
        <w:t>SUJETO OBLIGADO</w:t>
      </w:r>
      <w:r w:rsidRPr="004F3C92">
        <w:rPr>
          <w:rFonts w:ascii="Palatino Linotype" w:eastAsia="Palatino Linotype" w:hAnsi="Palatino Linotype" w:cs="Palatino Linotype"/>
          <w:color w:val="000000" w:themeColor="text1"/>
        </w:rPr>
        <w:t xml:space="preserve"> deberá entregar todos aquellos expedientes relacionadas con responsabilidades administrativas graves, a pesar de que éstas aún no hayan recibido una sentencia, </w:t>
      </w:r>
      <w:r w:rsidRPr="004F3C92">
        <w:rPr>
          <w:rFonts w:ascii="Palatino Linotype" w:eastAsia="Palatino Linotype" w:hAnsi="Palatino Linotype" w:cs="Palatino Linotype"/>
          <w:b/>
          <w:color w:val="000000" w:themeColor="text1"/>
        </w:rPr>
        <w:t>sin testar el nombre del o los servidores públicos presuntamente responsables</w:t>
      </w:r>
      <w:r w:rsidRPr="004F3C92">
        <w:rPr>
          <w:rFonts w:ascii="Palatino Linotype" w:eastAsia="Palatino Linotype" w:hAnsi="Palatino Linotype" w:cs="Palatino Linotype"/>
          <w:color w:val="000000" w:themeColor="text1"/>
        </w:rPr>
        <w:t xml:space="preserve">, atendiendo lo dispuesto por el artículo 142 de la Ley de Transparencia y Acceso a la Información Pública del Estado de México y Municipios. </w:t>
      </w:r>
    </w:p>
    <w:p w14:paraId="693BE17C" w14:textId="77777777" w:rsidR="006C2135" w:rsidRPr="004F3C92" w:rsidRDefault="006C2135" w:rsidP="006652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F3C92">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001F02BF" w:rsidRPr="004F3C92">
        <w:rPr>
          <w:rFonts w:ascii="Palatino Linotype" w:eastAsia="Palatino Linotype" w:hAnsi="Palatino Linotype" w:cs="Palatino Linotype"/>
          <w:b/>
          <w:color w:val="000000" w:themeColor="text1"/>
        </w:rPr>
        <w:t>REVOCAR</w:t>
      </w:r>
      <w:r w:rsidRPr="004F3C92">
        <w:rPr>
          <w:rFonts w:ascii="Palatino Linotype" w:eastAsia="Palatino Linotype" w:hAnsi="Palatino Linotype" w:cs="Palatino Linotype"/>
          <w:b/>
          <w:color w:val="000000" w:themeColor="text1"/>
        </w:rPr>
        <w:t xml:space="preserve"> </w:t>
      </w:r>
      <w:r w:rsidRPr="004F3C92">
        <w:rPr>
          <w:rFonts w:ascii="Palatino Linotype" w:eastAsia="Palatino Linotype" w:hAnsi="Palatino Linotype" w:cs="Palatino Linotype"/>
          <w:color w:val="000000" w:themeColor="text1"/>
        </w:rPr>
        <w:t xml:space="preserve">la respuesta otorgada por el Sujeto Obligado, y determina que es dable </w:t>
      </w:r>
      <w:r w:rsidRPr="004F3C92">
        <w:rPr>
          <w:rFonts w:ascii="Palatino Linotype" w:eastAsia="Palatino Linotype" w:hAnsi="Palatino Linotype" w:cs="Palatino Linotype"/>
          <w:b/>
          <w:color w:val="000000" w:themeColor="text1"/>
        </w:rPr>
        <w:t>ORDENAR</w:t>
      </w:r>
      <w:r w:rsidRPr="004F3C92">
        <w:rPr>
          <w:rFonts w:ascii="Palatino Linotype" w:eastAsia="Palatino Linotype" w:hAnsi="Palatino Linotype" w:cs="Palatino Linotype"/>
          <w:color w:val="000000" w:themeColor="text1"/>
        </w:rPr>
        <w:t>,</w:t>
      </w:r>
      <w:r w:rsidR="005719E9" w:rsidRPr="004F3C92">
        <w:rPr>
          <w:rFonts w:ascii="Palatino Linotype" w:eastAsia="Palatino Linotype" w:hAnsi="Palatino Linotype" w:cs="Palatino Linotype"/>
          <w:color w:val="000000" w:themeColor="text1"/>
        </w:rPr>
        <w:t xml:space="preserve"> de ser procedente en versión pública,</w:t>
      </w:r>
      <w:r w:rsidRPr="004F3C92">
        <w:rPr>
          <w:rFonts w:ascii="Palatino Linotype" w:eastAsia="Palatino Linotype" w:hAnsi="Palatino Linotype" w:cs="Palatino Linotype"/>
          <w:color w:val="000000" w:themeColor="text1"/>
        </w:rPr>
        <w:t xml:space="preserve"> la siguiente información:</w:t>
      </w:r>
      <w:r w:rsidRPr="004F3C92">
        <w:rPr>
          <w:rFonts w:ascii="Palatino Linotype" w:eastAsia="Palatino Linotype" w:hAnsi="Palatino Linotype" w:cs="Palatino Linotype"/>
          <w:b/>
          <w:color w:val="000000" w:themeColor="text1"/>
        </w:rPr>
        <w:t xml:space="preserve"> </w:t>
      </w:r>
    </w:p>
    <w:p w14:paraId="54FFEA46" w14:textId="77777777" w:rsidR="00E33E52" w:rsidRPr="004F3C92" w:rsidRDefault="00E33E52" w:rsidP="0066528D">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F3C92">
        <w:rPr>
          <w:rFonts w:ascii="Palatino Linotype" w:eastAsia="Palatino Linotype" w:hAnsi="Palatino Linotype" w:cs="Palatino Linotype"/>
          <w:b/>
          <w:color w:val="000000" w:themeColor="text1"/>
        </w:rPr>
        <w:lastRenderedPageBreak/>
        <w:t xml:space="preserve">Soporte documental donde consten las denuncias interpuestas por irregularidades o malas prácticas en el Ayuntamiento de Zinacantepec, en su caso incluyendo detalles de los involucrados, cargos ocupados, estatus y sanciones si las hubo, del periodo comprendido del tres de abril de dos mil veintitrés al tres de abril de dos mil veinticinco, de los procedimientos que estén concluidos y hayan causado estado, por faltas graves, no graves o absolutorias, en versión pública; y </w:t>
      </w:r>
    </w:p>
    <w:p w14:paraId="78CB57EB" w14:textId="77777777" w:rsidR="00E33E52" w:rsidRPr="004F3C92" w:rsidRDefault="00E33E52" w:rsidP="0066528D">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F3C92">
        <w:rPr>
          <w:rFonts w:ascii="Palatino Linotype" w:eastAsia="Palatino Linotype" w:hAnsi="Palatino Linotype" w:cs="Palatino Linotype"/>
          <w:b/>
          <w:color w:val="000000" w:themeColor="text1"/>
        </w:rPr>
        <w:t xml:space="preserve">Acuerdo mediante el cual se clasifiquen como reservadas las denuncias de las que derivaron procedimientos administrativos que no han causado estado, siempre y </w:t>
      </w:r>
      <w:r w:rsidRPr="004F3C92">
        <w:rPr>
          <w:rFonts w:ascii="Palatino Linotype" w:eastAsia="Palatino Linotype" w:hAnsi="Palatino Linotype" w:cs="Palatino Linotype"/>
          <w:b/>
          <w:i/>
          <w:color w:val="000000" w:themeColor="text1"/>
        </w:rPr>
        <w:t xml:space="preserve">cuando no se configure alguno de los supuestos contemplados en el artículo 142 de la Ley de la materia, </w:t>
      </w:r>
      <w:r w:rsidRPr="004F3C92">
        <w:rPr>
          <w:rFonts w:ascii="Palatino Linotype" w:eastAsia="Palatino Linotype" w:hAnsi="Palatino Linotype" w:cs="Palatino Linotype"/>
          <w:b/>
          <w:color w:val="000000" w:themeColor="text1"/>
        </w:rPr>
        <w:t>en caso contrario deberá hacer entrega de las mismas en versión pública, conforme a lo establecido en considerando quinto de la presente resolución.</w:t>
      </w:r>
      <w:r w:rsidRPr="004F3C92">
        <w:rPr>
          <w:rFonts w:ascii="Palatino Linotype" w:eastAsia="Palatino Linotype" w:hAnsi="Palatino Linotype" w:cs="Palatino Linotype"/>
          <w:b/>
          <w:i/>
          <w:color w:val="000000" w:themeColor="text1"/>
        </w:rPr>
        <w:t xml:space="preserve"> </w:t>
      </w:r>
    </w:p>
    <w:p w14:paraId="2BF8C011" w14:textId="77777777" w:rsidR="006C2135" w:rsidRPr="004F3C92" w:rsidRDefault="006C2135" w:rsidP="006652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0ED2306" w14:textId="77777777" w:rsidR="00166EBD" w:rsidRPr="0066528D" w:rsidRDefault="00166EBD" w:rsidP="0066528D">
      <w:pPr>
        <w:pStyle w:val="Ttulo1"/>
        <w:rPr>
          <w:rFonts w:ascii="Palatino Linotype" w:hAnsi="Palatino Linotype"/>
          <w:b/>
          <w:color w:val="000000" w:themeColor="text1"/>
          <w:sz w:val="24"/>
          <w:szCs w:val="24"/>
          <w:lang w:val="es-ES_tradnl"/>
        </w:rPr>
      </w:pPr>
      <w:bookmarkStart w:id="7" w:name="_Toc87549682"/>
      <w:r w:rsidRPr="004F3C92">
        <w:rPr>
          <w:rFonts w:ascii="Palatino Linotype" w:hAnsi="Palatino Linotype"/>
          <w:b/>
          <w:color w:val="000000" w:themeColor="text1"/>
          <w:sz w:val="24"/>
          <w:szCs w:val="24"/>
          <w:lang w:val="es-ES_tradnl"/>
        </w:rPr>
        <w:t>QUINTO. De la versión pública.</w:t>
      </w:r>
      <w:bookmarkEnd w:id="7"/>
    </w:p>
    <w:p w14:paraId="5B13CE63" w14:textId="77777777" w:rsidR="00166EBD" w:rsidRPr="0066528D" w:rsidRDefault="00166EBD" w:rsidP="0066528D">
      <w:pPr>
        <w:rPr>
          <w:rFonts w:ascii="Palatino Linotype" w:hAnsi="Palatino Linotype"/>
          <w:color w:val="000000" w:themeColor="text1"/>
          <w:lang w:eastAsia="es-ES_tradnl"/>
        </w:rPr>
      </w:pPr>
    </w:p>
    <w:p w14:paraId="21E19D12" w14:textId="77777777" w:rsidR="00166EBD" w:rsidRPr="0066528D" w:rsidRDefault="00166EBD" w:rsidP="0066528D">
      <w:pPr>
        <w:pStyle w:val="Prrafodelista"/>
        <w:numPr>
          <w:ilvl w:val="0"/>
          <w:numId w:val="2"/>
        </w:numPr>
        <w:tabs>
          <w:tab w:val="left" w:pos="0"/>
        </w:tabs>
        <w:spacing w:line="360" w:lineRule="auto"/>
        <w:ind w:left="0" w:firstLine="0"/>
        <w:jc w:val="both"/>
        <w:rPr>
          <w:rFonts w:ascii="Palatino Linotype" w:hAnsi="Palatino Linotype" w:cs="Arial"/>
          <w:color w:val="000000" w:themeColor="text1"/>
        </w:rPr>
      </w:pPr>
      <w:r w:rsidRPr="0066528D">
        <w:rPr>
          <w:rFonts w:ascii="Palatino Linotype" w:hAnsi="Palatino Linotype" w:cs="Arial"/>
          <w:color w:val="000000" w:themeColor="text1"/>
        </w:rPr>
        <w:t>Debe destacarse que, debido a la naturaleza de la información solicitada</w:t>
      </w:r>
      <w:r w:rsidRPr="0066528D">
        <w:rPr>
          <w:rFonts w:ascii="Palatino Linotype" w:hAnsi="Palatino Linotype" w:cs="Arial"/>
          <w:b/>
          <w:color w:val="000000" w:themeColor="text1"/>
        </w:rPr>
        <w:t xml:space="preserve">, </w:t>
      </w:r>
      <w:r w:rsidRPr="0066528D">
        <w:rPr>
          <w:rFonts w:ascii="Palatino Linotype" w:hAnsi="Palatino Linotype" w:cs="Arial"/>
          <w:color w:val="000000" w:themeColor="text1"/>
        </w:rPr>
        <w:t xml:space="preserve">eventualmente pudiera obrar datos personales susceptibles de protegerse, así como información susceptible de clasificarse como reservada, el </w:t>
      </w:r>
      <w:r w:rsidRPr="0066528D">
        <w:rPr>
          <w:rFonts w:ascii="Palatino Linotype" w:hAnsi="Palatino Linotype" w:cs="Arial"/>
          <w:b/>
          <w:bCs/>
          <w:color w:val="000000" w:themeColor="text1"/>
        </w:rPr>
        <w:t xml:space="preserve">Sujeto Obligado </w:t>
      </w:r>
      <w:r w:rsidRPr="0066528D">
        <w:rPr>
          <w:rFonts w:ascii="Palatino Linotype" w:hAnsi="Palatino Linotype" w:cs="Arial"/>
          <w:color w:val="000000" w:themeColor="text1"/>
        </w:rPr>
        <w:t xml:space="preserve">deberá de hacer la adecuada versión pública, protegiendo los datos que no son susceptibles de ser proporcionados. </w:t>
      </w:r>
    </w:p>
    <w:p w14:paraId="67538950" w14:textId="77777777" w:rsidR="00166EBD" w:rsidRPr="0066528D" w:rsidRDefault="00166EBD" w:rsidP="0066528D">
      <w:pPr>
        <w:pStyle w:val="Prrafodelista"/>
        <w:tabs>
          <w:tab w:val="left" w:pos="0"/>
          <w:tab w:val="left" w:pos="284"/>
        </w:tabs>
        <w:spacing w:line="360" w:lineRule="auto"/>
        <w:ind w:left="0"/>
        <w:jc w:val="both"/>
        <w:rPr>
          <w:rFonts w:ascii="Palatino Linotype" w:eastAsia="MS Mincho" w:hAnsi="Palatino Linotype"/>
          <w:color w:val="000000" w:themeColor="text1"/>
          <w:lang w:val="es-ES"/>
        </w:rPr>
      </w:pPr>
    </w:p>
    <w:p w14:paraId="0AC7B0BC" w14:textId="77777777" w:rsidR="00166EBD" w:rsidRPr="0066528D" w:rsidRDefault="00166EBD" w:rsidP="0066528D">
      <w:pPr>
        <w:numPr>
          <w:ilvl w:val="0"/>
          <w:numId w:val="2"/>
        </w:numPr>
        <w:tabs>
          <w:tab w:val="left" w:pos="284"/>
        </w:tabs>
        <w:spacing w:line="360" w:lineRule="auto"/>
        <w:ind w:left="0" w:firstLine="0"/>
        <w:contextualSpacing/>
        <w:jc w:val="both"/>
        <w:rPr>
          <w:rFonts w:ascii="Palatino Linotype" w:hAnsi="Palatino Linotype" w:cs="Arial"/>
          <w:color w:val="000000" w:themeColor="text1"/>
        </w:rPr>
      </w:pPr>
      <w:r w:rsidRPr="0066528D">
        <w:rPr>
          <w:rFonts w:ascii="Palatino Linotype" w:hAnsi="Palatino Linotype" w:cs="Arial"/>
          <w:color w:val="000000" w:themeColor="text1"/>
        </w:rPr>
        <w:t xml:space="preserve">No pasa desapercibido para este Órgano Garante que los </w:t>
      </w:r>
      <w:r w:rsidRPr="0066528D">
        <w:rPr>
          <w:rFonts w:ascii="Palatino Linotype" w:hAnsi="Palatino Linotype" w:cs="Arial"/>
          <w:b/>
          <w:bCs/>
          <w:color w:val="000000" w:themeColor="text1"/>
        </w:rPr>
        <w:t xml:space="preserve">Sujetos Obligados </w:t>
      </w:r>
      <w:r w:rsidRPr="0066528D">
        <w:rPr>
          <w:rFonts w:ascii="Palatino Linotype" w:hAnsi="Palatino Linotype" w:cs="Arial"/>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66528D">
        <w:rPr>
          <w:rFonts w:ascii="Palatino Linotype" w:hAnsi="Palatino Linotype" w:cs="Arial"/>
          <w:color w:val="000000" w:themeColor="text1"/>
        </w:rPr>
        <w:lastRenderedPageBreak/>
        <w:t>deben seguir una serie de pasos y procedimientos, por lo que es menester reiterar los mismos:</w:t>
      </w:r>
    </w:p>
    <w:p w14:paraId="29D3DAA4" w14:textId="77777777" w:rsidR="00166EBD" w:rsidRPr="0066528D" w:rsidRDefault="00166EBD" w:rsidP="0066528D">
      <w:pPr>
        <w:tabs>
          <w:tab w:val="left" w:pos="284"/>
        </w:tabs>
        <w:spacing w:line="360" w:lineRule="auto"/>
        <w:contextualSpacing/>
        <w:jc w:val="both"/>
        <w:rPr>
          <w:rFonts w:ascii="Palatino Linotype" w:hAnsi="Palatino Linotype" w:cs="Arial"/>
          <w:color w:val="000000" w:themeColor="text1"/>
        </w:rPr>
      </w:pPr>
    </w:p>
    <w:tbl>
      <w:tblPr>
        <w:tblStyle w:val="Tablanormal1"/>
        <w:tblW w:w="9639" w:type="dxa"/>
        <w:tblInd w:w="137" w:type="dxa"/>
        <w:tblLook w:val="04A0" w:firstRow="1" w:lastRow="0" w:firstColumn="1" w:lastColumn="0" w:noHBand="0" w:noVBand="1"/>
      </w:tblPr>
      <w:tblGrid>
        <w:gridCol w:w="2693"/>
        <w:gridCol w:w="6946"/>
      </w:tblGrid>
      <w:tr w:rsidR="0066528D" w:rsidRPr="0066528D" w14:paraId="4AF208FA" w14:textId="77777777" w:rsidTr="00AD6C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3F777DDA" w14:textId="77777777" w:rsidR="00166EBD" w:rsidRPr="0066528D" w:rsidRDefault="00166EBD" w:rsidP="0066528D">
            <w:pPr>
              <w:tabs>
                <w:tab w:val="left" w:pos="284"/>
              </w:tabs>
              <w:spacing w:line="276" w:lineRule="auto"/>
              <w:rPr>
                <w:rFonts w:ascii="Palatino Linotype" w:hAnsi="Palatino Linotype"/>
                <w:bCs w:val="0"/>
                <w:color w:val="000000" w:themeColor="text1"/>
              </w:rPr>
            </w:pPr>
            <w:r w:rsidRPr="0066528D">
              <w:rPr>
                <w:rFonts w:ascii="Palatino Linotype" w:hAnsi="Palatino Linotype" w:cstheme="majorBidi"/>
                <w:color w:val="000000" w:themeColor="text1"/>
              </w:rPr>
              <w:t>a) Requisitos previos.</w:t>
            </w:r>
          </w:p>
        </w:tc>
        <w:tc>
          <w:tcPr>
            <w:tcW w:w="6946" w:type="dxa"/>
            <w:hideMark/>
          </w:tcPr>
          <w:p w14:paraId="6623D77B" w14:textId="77777777" w:rsidR="00166EBD" w:rsidRPr="0066528D" w:rsidRDefault="00166EBD" w:rsidP="0066528D">
            <w:pPr>
              <w:tabs>
                <w:tab w:val="left" w:pos="284"/>
              </w:tabs>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66528D">
              <w:rPr>
                <w:rFonts w:ascii="Palatino Linotype" w:hAnsi="Palatino Linotype" w:cs="Arial"/>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80E67DF" w14:textId="77777777" w:rsidR="00166EBD" w:rsidRPr="0066528D" w:rsidRDefault="00166EBD" w:rsidP="0066528D">
            <w:pPr>
              <w:tabs>
                <w:tab w:val="left" w:pos="284"/>
              </w:tabs>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66528D">
              <w:rPr>
                <w:rFonts w:ascii="Palatino Linotype" w:hAnsi="Palatino Linotype" w:cs="Arial"/>
                <w:color w:val="000000" w:themeColor="text1"/>
              </w:rPr>
              <w:t>Al hacerlo tienen que precisar de qué información se trata, señalando el supuesto de clasificación (confidencialidad o reserva).</w:t>
            </w:r>
          </w:p>
          <w:p w14:paraId="2BB395DA" w14:textId="77777777" w:rsidR="00166EBD" w:rsidRPr="0066528D" w:rsidRDefault="00166EBD" w:rsidP="0066528D">
            <w:pPr>
              <w:tabs>
                <w:tab w:val="left" w:pos="284"/>
              </w:tabs>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66528D">
              <w:rPr>
                <w:rFonts w:ascii="Palatino Linotype" w:hAnsi="Palatino Linotype" w:cs="Arial"/>
                <w:color w:val="000000" w:themeColor="text1"/>
              </w:rPr>
              <w:t>Además, se debe señalar el procedimiento, de los tres que establecen los artículos 132 y 106 de la Ley Estatal y General, respectivamente.</w:t>
            </w:r>
          </w:p>
          <w:p w14:paraId="23889CBF" w14:textId="77777777" w:rsidR="00166EBD" w:rsidRPr="0066528D" w:rsidRDefault="00166EBD" w:rsidP="0066528D">
            <w:pPr>
              <w:tabs>
                <w:tab w:val="left" w:pos="284"/>
              </w:tabs>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66528D">
              <w:rPr>
                <w:rFonts w:ascii="Palatino Linotype" w:hAnsi="Palatino Linotype" w:cs="Arial"/>
                <w:color w:val="000000" w:themeColor="text1"/>
              </w:rPr>
              <w:t xml:space="preserve">El último de estos requisitos previos consiste en que no se pueden emitir acuerdos de carácter general ni particular, esto es, </w:t>
            </w:r>
            <w:r w:rsidRPr="0066528D">
              <w:rPr>
                <w:rFonts w:ascii="Palatino Linotype" w:hAnsi="Palatino Linotype" w:cs="Arial"/>
                <w:color w:val="000000" w:themeColor="text1"/>
                <w:u w:val="single"/>
              </w:rPr>
              <w:t>no se puede hacer un acuerdo para clasificar de manera general todos los documentos de un expediente o área, sin</w:t>
            </w:r>
            <w:r w:rsidRPr="0066528D">
              <w:rPr>
                <w:rFonts w:ascii="Palatino Linotype" w:hAnsi="Palatino Linotype" w:cs="Arial"/>
                <w:color w:val="000000" w:themeColor="text1"/>
              </w:rPr>
              <w:t xml:space="preserve"> individualizar su análisis y tampoco se puede hacer un acuerdo por cada dato que se vaya a clasificar dentro de un documento con diez datos, por ejemplo, susceptibles de ser clasificados.</w:t>
            </w:r>
          </w:p>
        </w:tc>
      </w:tr>
      <w:tr w:rsidR="0066528D" w:rsidRPr="0066528D" w14:paraId="7BB55BD7" w14:textId="77777777" w:rsidTr="00AD6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424F4480" w14:textId="77777777" w:rsidR="00166EBD" w:rsidRPr="0066528D" w:rsidRDefault="00166EBD" w:rsidP="0066528D">
            <w:pPr>
              <w:tabs>
                <w:tab w:val="left" w:pos="284"/>
              </w:tabs>
              <w:spacing w:line="276" w:lineRule="auto"/>
              <w:rPr>
                <w:rFonts w:ascii="Palatino Linotype" w:hAnsi="Palatino Linotype"/>
                <w:bCs w:val="0"/>
                <w:color w:val="000000" w:themeColor="text1"/>
              </w:rPr>
            </w:pPr>
            <w:r w:rsidRPr="0066528D">
              <w:rPr>
                <w:rFonts w:ascii="Palatino Linotype" w:hAnsi="Palatino Linotype" w:cstheme="majorBidi"/>
                <w:color w:val="000000" w:themeColor="text1"/>
              </w:rPr>
              <w:t>b) Supuestos de clasificación.</w:t>
            </w:r>
          </w:p>
        </w:tc>
        <w:tc>
          <w:tcPr>
            <w:tcW w:w="6946" w:type="dxa"/>
            <w:hideMark/>
          </w:tcPr>
          <w:p w14:paraId="7603A8A1" w14:textId="77777777" w:rsidR="00166EBD" w:rsidRPr="0066528D" w:rsidRDefault="00166EBD" w:rsidP="0066528D">
            <w:pPr>
              <w:tabs>
                <w:tab w:val="left" w:pos="284"/>
              </w:tabs>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0569294B" w14:textId="77777777" w:rsidR="00166EBD" w:rsidRPr="0066528D" w:rsidRDefault="00166EBD" w:rsidP="0066528D">
            <w:pPr>
              <w:tabs>
                <w:tab w:val="left" w:pos="284"/>
              </w:tabs>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66528D">
              <w:rPr>
                <w:rFonts w:ascii="Palatino Linotype" w:hAnsi="Palatino Linotype" w:cs="Arial"/>
                <w:color w:val="000000" w:themeColor="text1"/>
              </w:rPr>
              <w:lastRenderedPageBreak/>
              <w:t>acreditarse que se cumple con esta condición y no se pueden ampliar las excepciones o supuestos de clasificación aduciendo analogía o mayoría de razón.</w:t>
            </w:r>
          </w:p>
          <w:p w14:paraId="2E61DF04" w14:textId="77777777" w:rsidR="00166EBD" w:rsidRPr="0066528D" w:rsidRDefault="00166EBD" w:rsidP="0066528D">
            <w:pPr>
              <w:tabs>
                <w:tab w:val="left" w:pos="284"/>
              </w:tabs>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66528D">
              <w:rPr>
                <w:rFonts w:ascii="Palatino Linotype" w:hAnsi="Palatino Linotype" w:cs="Arial"/>
                <w:color w:val="000000" w:themeColor="text1"/>
              </w:rPr>
              <w:t xml:space="preserve">El </w:t>
            </w:r>
            <w:r w:rsidRPr="0066528D">
              <w:rPr>
                <w:rFonts w:ascii="Palatino Linotype" w:hAnsi="Palatino Linotype" w:cs="Arial"/>
                <w:b/>
                <w:color w:val="000000" w:themeColor="text1"/>
              </w:rPr>
              <w:t>Sujeto Obligado</w:t>
            </w:r>
            <w:r w:rsidRPr="0066528D">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528D" w:rsidRPr="0066528D" w14:paraId="35C4048F" w14:textId="77777777" w:rsidTr="00AD6C2A">
        <w:tc>
          <w:tcPr>
            <w:cnfStyle w:val="001000000000" w:firstRow="0" w:lastRow="0" w:firstColumn="1" w:lastColumn="0" w:oddVBand="0" w:evenVBand="0" w:oddHBand="0" w:evenHBand="0" w:firstRowFirstColumn="0" w:firstRowLastColumn="0" w:lastRowFirstColumn="0" w:lastRowLastColumn="0"/>
            <w:tcW w:w="2693" w:type="dxa"/>
            <w:hideMark/>
          </w:tcPr>
          <w:p w14:paraId="77913A91" w14:textId="77777777" w:rsidR="00166EBD" w:rsidRPr="0066528D" w:rsidRDefault="00166EBD" w:rsidP="0066528D">
            <w:pPr>
              <w:tabs>
                <w:tab w:val="left" w:pos="284"/>
              </w:tabs>
              <w:spacing w:line="276" w:lineRule="auto"/>
              <w:rPr>
                <w:rFonts w:ascii="Palatino Linotype" w:hAnsi="Palatino Linotype"/>
                <w:bCs w:val="0"/>
                <w:color w:val="000000" w:themeColor="text1"/>
              </w:rPr>
            </w:pPr>
            <w:r w:rsidRPr="0066528D">
              <w:rPr>
                <w:rFonts w:ascii="Palatino Linotype" w:hAnsi="Palatino Linotype" w:cstheme="majorBidi"/>
                <w:color w:val="000000" w:themeColor="text1"/>
              </w:rPr>
              <w:lastRenderedPageBreak/>
              <w:t>c) Formalidades para emitir el acuerdo de clasificación.</w:t>
            </w:r>
          </w:p>
        </w:tc>
        <w:tc>
          <w:tcPr>
            <w:tcW w:w="6946" w:type="dxa"/>
            <w:hideMark/>
          </w:tcPr>
          <w:p w14:paraId="1980C96F" w14:textId="77777777" w:rsidR="00166EBD" w:rsidRPr="0066528D" w:rsidRDefault="00166EBD" w:rsidP="0066528D">
            <w:pPr>
              <w:tabs>
                <w:tab w:val="left" w:pos="284"/>
              </w:tabs>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14:paraId="7CBC6B6E" w14:textId="77777777" w:rsidR="00166EBD" w:rsidRPr="0066528D" w:rsidRDefault="00166EBD" w:rsidP="0066528D">
            <w:pPr>
              <w:tabs>
                <w:tab w:val="left" w:pos="284"/>
              </w:tabs>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 xml:space="preserve">Es necesario que </w:t>
            </w:r>
            <w:r w:rsidRPr="0066528D">
              <w:rPr>
                <w:rFonts w:ascii="Palatino Linotype" w:hAnsi="Palatino Linotype" w:cs="Arial"/>
                <w:b/>
                <w:color w:val="000000" w:themeColor="text1"/>
                <w:u w:val="single"/>
              </w:rPr>
              <w:t>el acto reúna con los requisitos elementales</w:t>
            </w:r>
            <w:r w:rsidRPr="0066528D">
              <w:rPr>
                <w:rFonts w:ascii="Palatino Linotype" w:hAnsi="Palatino Linotype" w:cs="Arial"/>
                <w:color w:val="000000" w:themeColor="text1"/>
              </w:rPr>
              <w:t>, entre ellos, que la autoridad que va a emitir el acto de autoridad sea la legalmente facultada para ello.</w:t>
            </w:r>
          </w:p>
          <w:p w14:paraId="63725F6F" w14:textId="77777777" w:rsidR="00166EBD" w:rsidRPr="0066528D" w:rsidRDefault="00166EBD" w:rsidP="0066528D">
            <w:pPr>
              <w:tabs>
                <w:tab w:val="left" w:pos="284"/>
              </w:tabs>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66528D">
              <w:rPr>
                <w:rFonts w:ascii="Palatino Linotype" w:hAnsi="Palatino Linotype" w:cs="Arial"/>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6528D" w:rsidRPr="0066528D" w14:paraId="43544F48" w14:textId="77777777" w:rsidTr="00AD6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3BEFB69E" w14:textId="77777777" w:rsidR="00166EBD" w:rsidRPr="0066528D" w:rsidRDefault="00166EBD" w:rsidP="0066528D">
            <w:pPr>
              <w:tabs>
                <w:tab w:val="left" w:pos="284"/>
              </w:tabs>
              <w:spacing w:line="276" w:lineRule="auto"/>
              <w:rPr>
                <w:rFonts w:ascii="Palatino Linotype" w:hAnsi="Palatino Linotype"/>
                <w:b w:val="0"/>
                <w:color w:val="000000" w:themeColor="text1"/>
              </w:rPr>
            </w:pPr>
          </w:p>
          <w:p w14:paraId="763DAEFA" w14:textId="77777777" w:rsidR="00166EBD" w:rsidRPr="0066528D" w:rsidRDefault="00166EBD" w:rsidP="0066528D">
            <w:pPr>
              <w:tabs>
                <w:tab w:val="left" w:pos="284"/>
              </w:tabs>
              <w:spacing w:line="276" w:lineRule="auto"/>
              <w:jc w:val="both"/>
              <w:rPr>
                <w:rFonts w:ascii="Palatino Linotype" w:hAnsi="Palatino Linotype"/>
                <w:bCs w:val="0"/>
                <w:color w:val="000000" w:themeColor="text1"/>
              </w:rPr>
            </w:pPr>
            <w:r w:rsidRPr="0066528D">
              <w:rPr>
                <w:rFonts w:ascii="Palatino Linotype" w:hAnsi="Palatino Linotype" w:cs="Arial"/>
                <w:color w:val="000000" w:themeColor="text1"/>
              </w:rPr>
              <w:t xml:space="preserve">d) Requisitos de fondo del acuerdo de clasificación. </w:t>
            </w:r>
          </w:p>
        </w:tc>
        <w:tc>
          <w:tcPr>
            <w:tcW w:w="6946" w:type="dxa"/>
            <w:hideMark/>
          </w:tcPr>
          <w:p w14:paraId="376E9605" w14:textId="77777777" w:rsidR="00166EBD" w:rsidRPr="0066528D" w:rsidRDefault="00166EBD" w:rsidP="0066528D">
            <w:pPr>
              <w:tabs>
                <w:tab w:val="left" w:pos="284"/>
              </w:tabs>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6528D">
              <w:rPr>
                <w:rFonts w:ascii="Palatino Linotype" w:hAnsi="Palatino Linotype" w:cs="Arial"/>
                <w:b/>
                <w:color w:val="000000" w:themeColor="text1"/>
              </w:rPr>
              <w:t>Sujetos Obligados</w:t>
            </w:r>
            <w:r w:rsidRPr="0066528D">
              <w:rPr>
                <w:rFonts w:ascii="Palatino Linotype" w:hAnsi="Palatino Linotype" w:cs="Arial"/>
                <w:color w:val="000000" w:themeColor="text1"/>
              </w:rPr>
              <w:t xml:space="preserve">, por lo que deberán fundar y motivar debidamente la clasificación. </w:t>
            </w:r>
          </w:p>
          <w:p w14:paraId="287E188E" w14:textId="77777777" w:rsidR="00166EBD" w:rsidRPr="0066528D" w:rsidRDefault="00166EBD" w:rsidP="0066528D">
            <w:pPr>
              <w:tabs>
                <w:tab w:val="left" w:pos="284"/>
              </w:tabs>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lastRenderedPageBreak/>
              <w:t xml:space="preserve">De lo anterior, se desprende que para una correcta </w:t>
            </w:r>
            <w:r w:rsidRPr="0066528D">
              <w:rPr>
                <w:rFonts w:ascii="Palatino Linotype" w:hAnsi="Palatino Linotype" w:cs="Arial"/>
                <w:b/>
                <w:color w:val="000000" w:themeColor="text1"/>
              </w:rPr>
              <w:t>clasificación total o parcial</w:t>
            </w:r>
            <w:r w:rsidRPr="0066528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80D828" w14:textId="77777777" w:rsidR="00166EBD" w:rsidRPr="0066528D" w:rsidRDefault="00166EBD" w:rsidP="0066528D">
            <w:pPr>
              <w:tabs>
                <w:tab w:val="left" w:pos="284"/>
              </w:tabs>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1F11E78" w14:textId="77777777" w:rsidR="00166EBD" w:rsidRPr="0066528D" w:rsidRDefault="00166EBD" w:rsidP="0066528D">
            <w:pPr>
              <w:tabs>
                <w:tab w:val="left" w:pos="284"/>
              </w:tabs>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A2AB451" w14:textId="77777777" w:rsidR="00166EBD" w:rsidRPr="0066528D" w:rsidRDefault="00166EBD" w:rsidP="0066528D">
            <w:pPr>
              <w:tabs>
                <w:tab w:val="left" w:pos="284"/>
              </w:tabs>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 xml:space="preserve">Ahora bien, </w:t>
            </w:r>
            <w:r w:rsidRPr="0066528D">
              <w:rPr>
                <w:rFonts w:ascii="Palatino Linotype" w:hAnsi="Palatino Linotype" w:cs="Arial"/>
                <w:b/>
                <w:color w:val="000000" w:themeColor="text1"/>
                <w:u w:val="single"/>
              </w:rPr>
              <w:t>para cada caso además de fundar y motivar</w:t>
            </w:r>
            <w:r w:rsidRPr="0066528D">
              <w:rPr>
                <w:rFonts w:ascii="Palatino Linotype" w:hAnsi="Palatino Linotype" w:cs="Arial"/>
                <w:color w:val="000000" w:themeColor="text1"/>
              </w:rPr>
              <w:t xml:space="preserve">, se debe identificar con claridad que datos contenidos en las documentales que son susceptibles de suprimirse, por ejemplo; </w:t>
            </w:r>
            <w:r w:rsidRPr="0066528D">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528D" w:rsidRPr="0066528D" w14:paraId="2A414E6B" w14:textId="77777777" w:rsidTr="00AD6C2A">
        <w:tc>
          <w:tcPr>
            <w:cnfStyle w:val="001000000000" w:firstRow="0" w:lastRow="0" w:firstColumn="1" w:lastColumn="0" w:oddVBand="0" w:evenVBand="0" w:oddHBand="0" w:evenHBand="0" w:firstRowFirstColumn="0" w:firstRowLastColumn="0" w:lastRowFirstColumn="0" w:lastRowLastColumn="0"/>
            <w:tcW w:w="2693" w:type="dxa"/>
          </w:tcPr>
          <w:p w14:paraId="14725E6B" w14:textId="77777777" w:rsidR="00166EBD" w:rsidRPr="0066528D" w:rsidRDefault="00166EBD" w:rsidP="0066528D">
            <w:pPr>
              <w:tabs>
                <w:tab w:val="left" w:pos="284"/>
              </w:tabs>
              <w:spacing w:line="276" w:lineRule="auto"/>
              <w:jc w:val="both"/>
              <w:rPr>
                <w:rFonts w:ascii="Palatino Linotype" w:hAnsi="Palatino Linotype" w:cs="Arial"/>
                <w:bCs w:val="0"/>
                <w:color w:val="000000" w:themeColor="text1"/>
              </w:rPr>
            </w:pPr>
            <w:r w:rsidRPr="0066528D">
              <w:rPr>
                <w:rFonts w:ascii="Palatino Linotype" w:eastAsia="MS Gothic" w:hAnsi="Palatino Linotype"/>
                <w:color w:val="000000" w:themeColor="text1"/>
              </w:rPr>
              <w:lastRenderedPageBreak/>
              <w:t xml:space="preserve">e) Condiciones especiales de la clasificación de la información como confidencial. </w:t>
            </w:r>
          </w:p>
        </w:tc>
        <w:tc>
          <w:tcPr>
            <w:tcW w:w="6946" w:type="dxa"/>
            <w:hideMark/>
          </w:tcPr>
          <w:p w14:paraId="029CD982" w14:textId="77777777" w:rsidR="00166EBD" w:rsidRPr="0066528D" w:rsidRDefault="00166EBD" w:rsidP="0066528D">
            <w:pPr>
              <w:tabs>
                <w:tab w:val="left" w:pos="284"/>
              </w:tabs>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6511143" w14:textId="77777777" w:rsidR="00166EBD" w:rsidRPr="0066528D" w:rsidRDefault="00166EBD" w:rsidP="0066528D">
            <w:pPr>
              <w:tabs>
                <w:tab w:val="left" w:pos="284"/>
              </w:tabs>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66528D">
              <w:rPr>
                <w:rFonts w:ascii="Palatino Linotype" w:hAnsi="Palatino Linotype" w:cs="Arial"/>
                <w:color w:val="000000" w:themeColor="text1"/>
              </w:rPr>
              <w:t xml:space="preserve">En el caso de lo señalado en la fracción IV, será el Instituto quien deba aplicar la prueba de interés público, considerando también </w:t>
            </w:r>
            <w:r w:rsidRPr="0066528D">
              <w:rPr>
                <w:rFonts w:ascii="Palatino Linotype" w:hAnsi="Palatino Linotype" w:cs="Arial"/>
                <w:color w:val="000000" w:themeColor="text1"/>
              </w:rPr>
              <w:lastRenderedPageBreak/>
              <w:t xml:space="preserve">que como recientemente ha discutido la Suprema Corte de Justicia de la Nación, los servidores públicos nos encontramos sujetos a un régimen menor de protección. </w:t>
            </w:r>
          </w:p>
          <w:p w14:paraId="7F102AA7" w14:textId="77777777" w:rsidR="00166EBD" w:rsidRPr="0066528D" w:rsidRDefault="00166EBD" w:rsidP="0066528D">
            <w:pPr>
              <w:tabs>
                <w:tab w:val="left" w:pos="284"/>
              </w:tabs>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66528D">
              <w:rPr>
                <w:rFonts w:ascii="Palatino Linotype" w:hAnsi="Palatino Linotype" w:cs="Arial"/>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6A1B31" w14:textId="77777777" w:rsidR="00166EBD" w:rsidRDefault="00166EBD" w:rsidP="0066528D">
      <w:pPr>
        <w:pStyle w:val="Prrafodelista"/>
        <w:tabs>
          <w:tab w:val="left" w:pos="284"/>
        </w:tabs>
        <w:ind w:left="0"/>
        <w:rPr>
          <w:rFonts w:ascii="Palatino Linotype" w:hAnsi="Palatino Linotype" w:cs="Arial"/>
          <w:color w:val="000000" w:themeColor="text1"/>
        </w:rPr>
      </w:pPr>
    </w:p>
    <w:p w14:paraId="1B0EB538" w14:textId="77777777" w:rsidR="00AD6C2A" w:rsidRPr="0066528D" w:rsidRDefault="00AD6C2A" w:rsidP="0066528D">
      <w:pPr>
        <w:pStyle w:val="Prrafodelista"/>
        <w:tabs>
          <w:tab w:val="left" w:pos="284"/>
        </w:tabs>
        <w:ind w:left="0"/>
        <w:rPr>
          <w:rFonts w:ascii="Palatino Linotype" w:hAnsi="Palatino Linotype" w:cs="Arial"/>
          <w:color w:val="000000" w:themeColor="text1"/>
        </w:rPr>
      </w:pPr>
    </w:p>
    <w:p w14:paraId="4FA1E2BE" w14:textId="77777777" w:rsidR="00166EBD" w:rsidRPr="0066528D" w:rsidRDefault="00166EBD" w:rsidP="0066528D">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66528D">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08478DB" w14:textId="77777777" w:rsidR="00166EBD" w:rsidRPr="0066528D" w:rsidRDefault="00166EBD" w:rsidP="0066528D">
      <w:pPr>
        <w:pStyle w:val="Prrafodelista"/>
        <w:tabs>
          <w:tab w:val="left" w:pos="0"/>
        </w:tabs>
        <w:spacing w:line="360" w:lineRule="auto"/>
        <w:ind w:left="0"/>
        <w:jc w:val="both"/>
        <w:rPr>
          <w:rFonts w:ascii="Palatino Linotype" w:hAnsi="Palatino Linotype" w:cs="Arial"/>
          <w:noProof/>
          <w:color w:val="000000" w:themeColor="text1"/>
        </w:rPr>
      </w:pPr>
    </w:p>
    <w:p w14:paraId="451D1744" w14:textId="77777777" w:rsidR="00166EBD" w:rsidRPr="0066528D" w:rsidRDefault="00166EBD" w:rsidP="0066528D">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66528D">
        <w:rPr>
          <w:rFonts w:ascii="Palatino Linotype" w:hAnsi="Palatino Linotype" w:cs="Arial"/>
          <w:color w:val="000000" w:themeColor="text1"/>
        </w:rPr>
        <w:t xml:space="preserve">Por lo anteriormente expuesto y fundado, este </w:t>
      </w:r>
      <w:r w:rsidRPr="0066528D">
        <w:rPr>
          <w:rFonts w:ascii="Palatino Linotype" w:hAnsi="Palatino Linotype" w:cs="Arial"/>
          <w:b/>
          <w:bCs/>
          <w:color w:val="000000" w:themeColor="text1"/>
        </w:rPr>
        <w:t>ÓRGANO GARANTE</w:t>
      </w:r>
      <w:r w:rsidRPr="0066528D">
        <w:rPr>
          <w:rFonts w:ascii="Palatino Linotype" w:hAnsi="Palatino Linotype" w:cs="Arial"/>
          <w:color w:val="000000" w:themeColor="text1"/>
        </w:rPr>
        <w:t xml:space="preserve"> emite los siguientes:</w:t>
      </w:r>
    </w:p>
    <w:p w14:paraId="08125DE7" w14:textId="77777777" w:rsidR="00166EBD" w:rsidRPr="0066528D" w:rsidRDefault="00166EBD" w:rsidP="0066528D">
      <w:pPr>
        <w:pStyle w:val="Ttulo1"/>
        <w:jc w:val="center"/>
        <w:rPr>
          <w:rFonts w:ascii="Palatino Linotype" w:hAnsi="Palatino Linotype"/>
          <w:b/>
          <w:color w:val="000000" w:themeColor="text1"/>
          <w:sz w:val="24"/>
          <w:szCs w:val="24"/>
        </w:rPr>
      </w:pPr>
      <w:bookmarkStart w:id="8" w:name="_Toc4061692"/>
      <w:bookmarkStart w:id="9" w:name="_Toc486525261"/>
      <w:bookmarkStart w:id="10" w:name="_Toc445745148"/>
      <w:bookmarkStart w:id="11" w:name="_Toc447699324"/>
      <w:bookmarkStart w:id="12" w:name="_Toc87549684"/>
      <w:r w:rsidRPr="0066528D">
        <w:rPr>
          <w:rFonts w:ascii="Palatino Linotype" w:hAnsi="Palatino Linotype"/>
          <w:b/>
          <w:color w:val="000000" w:themeColor="text1"/>
          <w:sz w:val="24"/>
          <w:szCs w:val="24"/>
        </w:rPr>
        <w:t>R E S O L U T I V O S</w:t>
      </w:r>
      <w:bookmarkEnd w:id="8"/>
      <w:bookmarkEnd w:id="9"/>
      <w:bookmarkEnd w:id="10"/>
      <w:bookmarkEnd w:id="11"/>
      <w:bookmarkEnd w:id="12"/>
    </w:p>
    <w:p w14:paraId="43A9245C" w14:textId="77777777" w:rsidR="00166EBD" w:rsidRPr="0066528D" w:rsidRDefault="00166EBD" w:rsidP="0066528D">
      <w:pPr>
        <w:keepNext/>
        <w:keepLines/>
        <w:spacing w:line="360" w:lineRule="auto"/>
        <w:jc w:val="center"/>
        <w:outlineLvl w:val="0"/>
        <w:rPr>
          <w:rFonts w:ascii="Palatino Linotype" w:hAnsi="Palatino Linotype" w:cstheme="majorBidi"/>
          <w:b/>
          <w:bCs/>
          <w:color w:val="000000" w:themeColor="text1"/>
        </w:rPr>
      </w:pPr>
    </w:p>
    <w:p w14:paraId="4AE4B52A" w14:textId="77777777" w:rsidR="00166EBD" w:rsidRPr="0066528D" w:rsidRDefault="00166EBD" w:rsidP="0066528D">
      <w:pPr>
        <w:spacing w:line="360" w:lineRule="auto"/>
        <w:jc w:val="both"/>
        <w:rPr>
          <w:rFonts w:ascii="Palatino Linotype" w:hAnsi="Palatino Linotype"/>
          <w:color w:val="000000" w:themeColor="text1"/>
        </w:rPr>
      </w:pPr>
      <w:r w:rsidRPr="0066528D">
        <w:rPr>
          <w:rFonts w:ascii="Palatino Linotype" w:hAnsi="Palatino Linotype" w:cs="Arial"/>
          <w:b/>
          <w:color w:val="000000" w:themeColor="text1"/>
        </w:rPr>
        <w:t xml:space="preserve">PRIMERO. </w:t>
      </w:r>
      <w:r w:rsidRPr="0066528D">
        <w:rPr>
          <w:rFonts w:ascii="Palatino Linotype" w:hAnsi="Palatino Linotype" w:cs="Arial"/>
          <w:color w:val="000000" w:themeColor="text1"/>
        </w:rPr>
        <w:t>Resultan fundadas las</w:t>
      </w:r>
      <w:r w:rsidRPr="0066528D">
        <w:rPr>
          <w:rFonts w:ascii="Palatino Linotype" w:hAnsi="Palatino Linotype" w:cs="Arial"/>
          <w:b/>
          <w:color w:val="000000" w:themeColor="text1"/>
        </w:rPr>
        <w:t xml:space="preserve"> </w:t>
      </w:r>
      <w:r w:rsidRPr="0066528D">
        <w:rPr>
          <w:rFonts w:ascii="Palatino Linotype" w:hAnsi="Palatino Linotype" w:cs="Arial"/>
          <w:color w:val="000000" w:themeColor="text1"/>
          <w:lang w:val="es-ES"/>
        </w:rPr>
        <w:t xml:space="preserve">razones o motivos de inconformidad hechos valer </w:t>
      </w:r>
      <w:r w:rsidRPr="0066528D">
        <w:rPr>
          <w:rFonts w:ascii="Palatino Linotype" w:eastAsia="Calibri" w:hAnsi="Palatino Linotype" w:cs="Arial"/>
          <w:color w:val="000000" w:themeColor="text1"/>
          <w:lang w:val="es-ES"/>
        </w:rPr>
        <w:t xml:space="preserve">en el recurso de revisión </w:t>
      </w:r>
      <w:r w:rsidR="001F02BF" w:rsidRPr="0066528D">
        <w:rPr>
          <w:rFonts w:ascii="Palatino Linotype" w:eastAsia="Calibri" w:hAnsi="Palatino Linotype" w:cs="Tahoma"/>
          <w:b/>
          <w:color w:val="000000" w:themeColor="text1"/>
          <w:lang w:eastAsia="en-US"/>
        </w:rPr>
        <w:t>05148</w:t>
      </w:r>
      <w:r w:rsidRPr="0066528D">
        <w:rPr>
          <w:rFonts w:ascii="Palatino Linotype" w:eastAsia="Calibri" w:hAnsi="Palatino Linotype" w:cs="Tahoma"/>
          <w:b/>
          <w:color w:val="000000" w:themeColor="text1"/>
          <w:lang w:eastAsia="en-US"/>
        </w:rPr>
        <w:t>/INFOEM/IP/RR/2025</w:t>
      </w:r>
      <w:r w:rsidRPr="0066528D">
        <w:rPr>
          <w:rFonts w:ascii="Palatino Linotype" w:hAnsi="Palatino Linotype"/>
          <w:b/>
          <w:color w:val="000000" w:themeColor="text1"/>
        </w:rPr>
        <w:t xml:space="preserve"> </w:t>
      </w:r>
      <w:r w:rsidRPr="0066528D">
        <w:rPr>
          <w:rFonts w:ascii="Palatino Linotype" w:hAnsi="Palatino Linotype"/>
          <w:color w:val="000000" w:themeColor="text1"/>
        </w:rPr>
        <w:t>en términos de los</w:t>
      </w:r>
      <w:r w:rsidRPr="0066528D">
        <w:rPr>
          <w:rFonts w:ascii="Palatino Linotype" w:hAnsi="Palatino Linotype"/>
          <w:b/>
          <w:bCs/>
          <w:color w:val="000000" w:themeColor="text1"/>
        </w:rPr>
        <w:t xml:space="preserve"> Considerandos</w:t>
      </w:r>
      <w:r w:rsidRPr="0066528D">
        <w:rPr>
          <w:rFonts w:ascii="Palatino Linotype" w:hAnsi="Palatino Linotype"/>
          <w:color w:val="000000" w:themeColor="text1"/>
        </w:rPr>
        <w:t xml:space="preserve"> </w:t>
      </w:r>
      <w:r w:rsidRPr="0066528D">
        <w:rPr>
          <w:rFonts w:ascii="Palatino Linotype" w:hAnsi="Palatino Linotype"/>
          <w:b/>
          <w:color w:val="000000" w:themeColor="text1"/>
        </w:rPr>
        <w:t>CUARTO y QUINTO</w:t>
      </w:r>
      <w:r w:rsidRPr="0066528D">
        <w:rPr>
          <w:rFonts w:ascii="Palatino Linotype" w:hAnsi="Palatino Linotype"/>
          <w:color w:val="000000" w:themeColor="text1"/>
        </w:rPr>
        <w:t xml:space="preserve"> de la presente resolución.</w:t>
      </w:r>
    </w:p>
    <w:p w14:paraId="4306DAA2" w14:textId="77777777" w:rsidR="00166EBD" w:rsidRPr="0066528D" w:rsidRDefault="00166EBD" w:rsidP="0066528D">
      <w:pPr>
        <w:spacing w:line="360" w:lineRule="auto"/>
        <w:contextualSpacing/>
        <w:jc w:val="both"/>
        <w:rPr>
          <w:rFonts w:ascii="Palatino Linotype" w:eastAsia="Calibri" w:hAnsi="Palatino Linotype" w:cs="Arial"/>
          <w:b/>
          <w:bCs/>
          <w:color w:val="000000" w:themeColor="text1"/>
          <w:lang w:val="es-ES"/>
        </w:rPr>
      </w:pPr>
    </w:p>
    <w:p w14:paraId="78FE528A" w14:textId="1E9239BE" w:rsidR="00166EBD" w:rsidRPr="004F3C92" w:rsidRDefault="00166EBD" w:rsidP="0066528D">
      <w:pPr>
        <w:pStyle w:val="Sinespaciado"/>
        <w:spacing w:line="360" w:lineRule="auto"/>
        <w:ind w:left="0" w:right="0"/>
        <w:rPr>
          <w:rFonts w:ascii="Palatino Linotype" w:eastAsia="Calibri" w:hAnsi="Palatino Linotype" w:cs="Arial"/>
          <w:bCs/>
          <w:color w:val="000000" w:themeColor="text1"/>
          <w:sz w:val="24"/>
          <w:lang w:val="es-ES"/>
        </w:rPr>
      </w:pPr>
      <w:r w:rsidRPr="0066528D">
        <w:rPr>
          <w:rFonts w:ascii="Palatino Linotype" w:eastAsia="Calibri" w:hAnsi="Palatino Linotype" w:cs="Arial"/>
          <w:b/>
          <w:bCs/>
          <w:color w:val="000000" w:themeColor="text1"/>
          <w:sz w:val="24"/>
          <w:lang w:val="es-ES"/>
        </w:rPr>
        <w:t xml:space="preserve">SEGUNDO. </w:t>
      </w:r>
      <w:r w:rsidRPr="0066528D">
        <w:rPr>
          <w:rFonts w:ascii="Palatino Linotype" w:eastAsia="Calibri" w:hAnsi="Palatino Linotype" w:cs="Arial"/>
          <w:bCs/>
          <w:color w:val="000000" w:themeColor="text1"/>
          <w:sz w:val="24"/>
          <w:lang w:val="es-ES"/>
        </w:rPr>
        <w:t xml:space="preserve">Se </w:t>
      </w:r>
      <w:r w:rsidRPr="0066528D">
        <w:rPr>
          <w:rFonts w:ascii="Palatino Linotype" w:eastAsia="Calibri" w:hAnsi="Palatino Linotype" w:cs="Arial"/>
          <w:b/>
          <w:bCs/>
          <w:color w:val="000000" w:themeColor="text1"/>
          <w:sz w:val="24"/>
          <w:lang w:val="es-ES"/>
        </w:rPr>
        <w:t>REVOCA</w:t>
      </w:r>
      <w:r w:rsidRPr="0066528D">
        <w:rPr>
          <w:rFonts w:ascii="Palatino Linotype" w:eastAsia="Calibri" w:hAnsi="Palatino Linotype" w:cs="Arial"/>
          <w:bCs/>
          <w:color w:val="000000" w:themeColor="text1"/>
          <w:sz w:val="24"/>
          <w:lang w:val="es-ES"/>
        </w:rPr>
        <w:t xml:space="preserve"> la respuesta y se </w:t>
      </w:r>
      <w:r w:rsidRPr="0066528D">
        <w:rPr>
          <w:rFonts w:ascii="Palatino Linotype" w:eastAsia="Calibri" w:hAnsi="Palatino Linotype" w:cs="Arial"/>
          <w:b/>
          <w:bCs/>
          <w:color w:val="000000" w:themeColor="text1"/>
          <w:sz w:val="24"/>
          <w:lang w:val="es-ES"/>
        </w:rPr>
        <w:t xml:space="preserve">ORDENA </w:t>
      </w:r>
      <w:r w:rsidRPr="0066528D">
        <w:rPr>
          <w:rFonts w:ascii="Palatino Linotype" w:eastAsia="Calibri" w:hAnsi="Palatino Linotype" w:cs="Arial"/>
          <w:bCs/>
          <w:color w:val="000000" w:themeColor="text1"/>
          <w:sz w:val="24"/>
          <w:lang w:val="es-ES"/>
        </w:rPr>
        <w:t xml:space="preserve">al </w:t>
      </w:r>
      <w:r w:rsidRPr="0066528D">
        <w:rPr>
          <w:rFonts w:ascii="Palatino Linotype" w:eastAsia="Calibri" w:hAnsi="Palatino Linotype" w:cs="Arial"/>
          <w:b/>
          <w:bCs/>
          <w:color w:val="000000" w:themeColor="text1"/>
          <w:sz w:val="24"/>
          <w:lang w:val="es-ES"/>
        </w:rPr>
        <w:t>Ayuntamiento de Zinacantepec,</w:t>
      </w:r>
      <w:r w:rsidRPr="0066528D">
        <w:rPr>
          <w:rFonts w:ascii="Palatino Linotype" w:eastAsia="Calibri" w:hAnsi="Palatino Linotype" w:cs="Arial"/>
          <w:b/>
          <w:color w:val="000000" w:themeColor="text1"/>
          <w:sz w:val="24"/>
        </w:rPr>
        <w:t xml:space="preserve"> </w:t>
      </w:r>
      <w:r w:rsidRPr="0066528D">
        <w:rPr>
          <w:rFonts w:ascii="Palatino Linotype" w:eastAsia="Calibri" w:hAnsi="Palatino Linotype" w:cs="Arial"/>
          <w:bCs/>
          <w:color w:val="000000" w:themeColor="text1"/>
          <w:sz w:val="24"/>
          <w:lang w:val="es-ES"/>
        </w:rPr>
        <w:t>entregar vía Sistema de Acceso a la Información Mexiquense (SAIMEX)</w:t>
      </w:r>
      <w:r w:rsidRPr="0066528D">
        <w:rPr>
          <w:rFonts w:ascii="Palatino Linotype" w:eastAsia="MS Mincho" w:hAnsi="Palatino Linotype" w:cs="Arial"/>
          <w:b/>
          <w:color w:val="000000" w:themeColor="text1"/>
          <w:sz w:val="24"/>
        </w:rPr>
        <w:t>,</w:t>
      </w:r>
      <w:r w:rsidRPr="0066528D">
        <w:rPr>
          <w:rFonts w:ascii="Palatino Linotype" w:eastAsia="Calibri" w:hAnsi="Palatino Linotype" w:cs="Arial"/>
          <w:bCs/>
          <w:color w:val="000000" w:themeColor="text1"/>
          <w:sz w:val="24"/>
          <w:lang w:val="es-ES"/>
        </w:rPr>
        <w:t xml:space="preserve"> </w:t>
      </w:r>
      <w:r w:rsidRPr="0066528D">
        <w:rPr>
          <w:rFonts w:ascii="Palatino Linotype" w:eastAsia="Palatino Linotype" w:hAnsi="Palatino Linotype" w:cs="Palatino Linotype"/>
          <w:color w:val="000000" w:themeColor="text1"/>
          <w:sz w:val="24"/>
        </w:rPr>
        <w:t xml:space="preserve">de </w:t>
      </w:r>
      <w:r w:rsidRPr="004F3C92">
        <w:rPr>
          <w:rFonts w:ascii="Palatino Linotype" w:eastAsia="Palatino Linotype" w:hAnsi="Palatino Linotype" w:cs="Palatino Linotype"/>
          <w:color w:val="000000" w:themeColor="text1"/>
          <w:sz w:val="24"/>
        </w:rPr>
        <w:t>ser</w:t>
      </w:r>
      <w:r w:rsidR="001F02BF" w:rsidRPr="004F3C92">
        <w:rPr>
          <w:rFonts w:ascii="Palatino Linotype" w:eastAsia="Palatino Linotype" w:hAnsi="Palatino Linotype" w:cs="Palatino Linotype"/>
          <w:color w:val="000000" w:themeColor="text1"/>
          <w:sz w:val="24"/>
        </w:rPr>
        <w:t xml:space="preserve"> procedente en versión pública</w:t>
      </w:r>
      <w:r w:rsidR="006E20D8" w:rsidRPr="004F3C92">
        <w:rPr>
          <w:rFonts w:ascii="Palatino Linotype" w:eastAsia="Palatino Linotype" w:hAnsi="Palatino Linotype" w:cs="Palatino Linotype"/>
          <w:color w:val="000000" w:themeColor="text1"/>
          <w:sz w:val="24"/>
        </w:rPr>
        <w:t>, la</w:t>
      </w:r>
      <w:r w:rsidRPr="004F3C92">
        <w:rPr>
          <w:rFonts w:ascii="Palatino Linotype" w:eastAsia="Palatino Linotype" w:hAnsi="Palatino Linotype" w:cs="Palatino Linotype"/>
          <w:color w:val="000000" w:themeColor="text1"/>
          <w:sz w:val="24"/>
        </w:rPr>
        <w:t xml:space="preserve"> siguiente información:</w:t>
      </w:r>
      <w:r w:rsidRPr="004F3C92">
        <w:rPr>
          <w:rFonts w:ascii="Palatino Linotype" w:eastAsia="Palatino Linotype" w:hAnsi="Palatino Linotype" w:cs="Palatino Linotype"/>
          <w:b/>
          <w:color w:val="000000" w:themeColor="text1"/>
          <w:sz w:val="24"/>
        </w:rPr>
        <w:t xml:space="preserve"> </w:t>
      </w:r>
    </w:p>
    <w:p w14:paraId="63125310" w14:textId="77777777" w:rsidR="00CB60B8" w:rsidRPr="004F3C92" w:rsidRDefault="001F02BF" w:rsidP="0066528D">
      <w:pPr>
        <w:pStyle w:val="Prrafodelista"/>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F3C92">
        <w:rPr>
          <w:rFonts w:ascii="Palatino Linotype" w:eastAsia="Palatino Linotype" w:hAnsi="Palatino Linotype" w:cs="Palatino Linotype"/>
          <w:b/>
          <w:color w:val="000000" w:themeColor="text1"/>
        </w:rPr>
        <w:lastRenderedPageBreak/>
        <w:t>Soporte documental donde conste</w:t>
      </w:r>
      <w:r w:rsidR="0007643F" w:rsidRPr="004F3C92">
        <w:rPr>
          <w:rFonts w:ascii="Palatino Linotype" w:eastAsia="Palatino Linotype" w:hAnsi="Palatino Linotype" w:cs="Palatino Linotype"/>
          <w:b/>
          <w:color w:val="000000" w:themeColor="text1"/>
        </w:rPr>
        <w:t>n</w:t>
      </w:r>
      <w:r w:rsidRPr="004F3C92">
        <w:rPr>
          <w:rFonts w:ascii="Palatino Linotype" w:eastAsia="Palatino Linotype" w:hAnsi="Palatino Linotype" w:cs="Palatino Linotype"/>
          <w:b/>
          <w:color w:val="000000" w:themeColor="text1"/>
        </w:rPr>
        <w:t xml:space="preserve"> las denuncias interpuestas por irregularidades o malas prácticas en el Ayuntamiento de Zinacantepec, en su caso incluyendo detalles de los involucrados, cargos ocupados, estatus</w:t>
      </w:r>
      <w:r w:rsidR="005719E9" w:rsidRPr="004F3C92">
        <w:rPr>
          <w:rFonts w:ascii="Palatino Linotype" w:eastAsia="Palatino Linotype" w:hAnsi="Palatino Linotype" w:cs="Palatino Linotype"/>
          <w:b/>
          <w:color w:val="000000" w:themeColor="text1"/>
        </w:rPr>
        <w:t xml:space="preserve"> y sanciones si las hubo, del periodo comprendido del tres de abril de dos mil veintitrés al tres de abril de dos mil veinticinco, de los procedimientos que </w:t>
      </w:r>
      <w:r w:rsidR="00CB6B52" w:rsidRPr="004F3C92">
        <w:rPr>
          <w:rFonts w:ascii="Palatino Linotype" w:eastAsia="Palatino Linotype" w:hAnsi="Palatino Linotype" w:cs="Palatino Linotype"/>
          <w:b/>
          <w:color w:val="000000" w:themeColor="text1"/>
        </w:rPr>
        <w:t>estén concluidos y hayan causado estado, por faltas graves, no graves o absolutorias, en versión pública</w:t>
      </w:r>
      <w:r w:rsidR="00CB60B8" w:rsidRPr="004F3C92">
        <w:rPr>
          <w:rFonts w:ascii="Palatino Linotype" w:eastAsia="Palatino Linotype" w:hAnsi="Palatino Linotype" w:cs="Palatino Linotype"/>
          <w:b/>
          <w:color w:val="000000" w:themeColor="text1"/>
        </w:rPr>
        <w:t xml:space="preserve">; y </w:t>
      </w:r>
    </w:p>
    <w:p w14:paraId="510980A7" w14:textId="77777777" w:rsidR="00CB60B8" w:rsidRPr="004F3C92" w:rsidRDefault="00CB60B8" w:rsidP="0066528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14:paraId="74995976" w14:textId="77777777" w:rsidR="001F02BF" w:rsidRPr="004F3C92" w:rsidRDefault="001F02BF" w:rsidP="0066528D">
      <w:pPr>
        <w:pStyle w:val="Prrafodelista"/>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F3C92">
        <w:rPr>
          <w:rFonts w:ascii="Palatino Linotype" w:eastAsia="Palatino Linotype" w:hAnsi="Palatino Linotype" w:cs="Palatino Linotype"/>
          <w:b/>
          <w:color w:val="000000" w:themeColor="text1"/>
        </w:rPr>
        <w:t>Acuerdo mediante el cu</w:t>
      </w:r>
      <w:r w:rsidR="0007643F" w:rsidRPr="004F3C92">
        <w:rPr>
          <w:rFonts w:ascii="Palatino Linotype" w:eastAsia="Palatino Linotype" w:hAnsi="Palatino Linotype" w:cs="Palatino Linotype"/>
          <w:b/>
          <w:color w:val="000000" w:themeColor="text1"/>
        </w:rPr>
        <w:t>al se clasifiquen como reservada</w:t>
      </w:r>
      <w:r w:rsidRPr="004F3C92">
        <w:rPr>
          <w:rFonts w:ascii="Palatino Linotype" w:eastAsia="Palatino Linotype" w:hAnsi="Palatino Linotype" w:cs="Palatino Linotype"/>
          <w:b/>
          <w:color w:val="000000" w:themeColor="text1"/>
        </w:rPr>
        <w:t xml:space="preserve">s las </w:t>
      </w:r>
      <w:r w:rsidR="005719E9" w:rsidRPr="004F3C92">
        <w:rPr>
          <w:rFonts w:ascii="Palatino Linotype" w:eastAsia="Palatino Linotype" w:hAnsi="Palatino Linotype" w:cs="Palatino Linotype"/>
          <w:b/>
          <w:color w:val="000000" w:themeColor="text1"/>
        </w:rPr>
        <w:t>denuncias de las que derivaron</w:t>
      </w:r>
      <w:r w:rsidRPr="004F3C92">
        <w:rPr>
          <w:rFonts w:ascii="Palatino Linotype" w:eastAsia="Palatino Linotype" w:hAnsi="Palatino Linotype" w:cs="Palatino Linotype"/>
          <w:b/>
          <w:color w:val="000000" w:themeColor="text1"/>
        </w:rPr>
        <w:t xml:space="preserve"> procedimientos administrativos que no han cau</w:t>
      </w:r>
      <w:r w:rsidR="0007643F" w:rsidRPr="004F3C92">
        <w:rPr>
          <w:rFonts w:ascii="Palatino Linotype" w:eastAsia="Palatino Linotype" w:hAnsi="Palatino Linotype" w:cs="Palatino Linotype"/>
          <w:b/>
          <w:color w:val="000000" w:themeColor="text1"/>
        </w:rPr>
        <w:t>sado estado</w:t>
      </w:r>
      <w:r w:rsidRPr="004F3C92">
        <w:rPr>
          <w:rFonts w:ascii="Palatino Linotype" w:eastAsia="Palatino Linotype" w:hAnsi="Palatino Linotype" w:cs="Palatino Linotype"/>
          <w:b/>
          <w:color w:val="000000" w:themeColor="text1"/>
        </w:rPr>
        <w:t xml:space="preserve">, siempre y </w:t>
      </w:r>
      <w:r w:rsidRPr="004F3C92">
        <w:rPr>
          <w:rFonts w:ascii="Palatino Linotype" w:eastAsia="Palatino Linotype" w:hAnsi="Palatino Linotype" w:cs="Palatino Linotype"/>
          <w:b/>
          <w:i/>
          <w:color w:val="000000" w:themeColor="text1"/>
        </w:rPr>
        <w:t xml:space="preserve">cuando no se configure alguno de los supuestos contemplados en el artículo 142 de la Ley de la materia, </w:t>
      </w:r>
      <w:r w:rsidRPr="004F3C92">
        <w:rPr>
          <w:rFonts w:ascii="Palatino Linotype" w:eastAsia="Palatino Linotype" w:hAnsi="Palatino Linotype" w:cs="Palatino Linotype"/>
          <w:b/>
          <w:color w:val="000000" w:themeColor="text1"/>
        </w:rPr>
        <w:t>en caso contrario deberá hacer entrega de las mismas en versión pública, conforme a lo establecido en considerando quinto de la presente resolución.</w:t>
      </w:r>
      <w:r w:rsidRPr="004F3C92">
        <w:rPr>
          <w:rFonts w:ascii="Palatino Linotype" w:eastAsia="Palatino Linotype" w:hAnsi="Palatino Linotype" w:cs="Palatino Linotype"/>
          <w:b/>
          <w:i/>
          <w:color w:val="000000" w:themeColor="text1"/>
        </w:rPr>
        <w:t xml:space="preserve"> </w:t>
      </w:r>
    </w:p>
    <w:p w14:paraId="3A09F90E" w14:textId="77777777" w:rsidR="00166EBD" w:rsidRPr="0066528D" w:rsidRDefault="00166EBD" w:rsidP="0066528D">
      <w:pPr>
        <w:spacing w:line="360" w:lineRule="auto"/>
        <w:jc w:val="both"/>
        <w:rPr>
          <w:rFonts w:ascii="Palatino Linotype" w:eastAsia="Palatino Linotype" w:hAnsi="Palatino Linotype" w:cs="Palatino Linotype"/>
          <w:b/>
          <w:color w:val="000000" w:themeColor="text1"/>
        </w:rPr>
      </w:pPr>
    </w:p>
    <w:p w14:paraId="2BA46B39" w14:textId="77777777" w:rsidR="00166EBD" w:rsidRPr="0066528D" w:rsidRDefault="00166EBD" w:rsidP="0066528D">
      <w:pPr>
        <w:spacing w:after="160" w:line="360" w:lineRule="auto"/>
        <w:jc w:val="both"/>
        <w:rPr>
          <w:rFonts w:ascii="Palatino Linotype" w:eastAsia="Calibri" w:hAnsi="Palatino Linotype" w:cs="Arial"/>
          <w:color w:val="000000" w:themeColor="text1"/>
        </w:rPr>
      </w:pPr>
      <w:r w:rsidRPr="0066528D">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5DB23B14" w14:textId="77777777" w:rsidR="00166EBD" w:rsidRPr="0066528D" w:rsidRDefault="00166EBD" w:rsidP="0066528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66528D">
        <w:rPr>
          <w:rFonts w:ascii="Palatino Linotype" w:eastAsia="Palatino Linotype" w:hAnsi="Palatino Linotype" w:cs="Palatino Linotype"/>
          <w:color w:val="000000" w:themeColor="text1"/>
        </w:rPr>
        <w:t xml:space="preserve">Para el caso de que la información que se ordena </w:t>
      </w:r>
      <w:r w:rsidR="005719E9" w:rsidRPr="0066528D">
        <w:rPr>
          <w:rFonts w:ascii="Palatino Linotype" w:eastAsia="Palatino Linotype" w:hAnsi="Palatino Linotype" w:cs="Palatino Linotype"/>
          <w:color w:val="000000" w:themeColor="text1"/>
        </w:rPr>
        <w:t>entregar</w:t>
      </w:r>
      <w:r w:rsidRPr="0066528D">
        <w:rPr>
          <w:rFonts w:ascii="Palatino Linotype" w:eastAsia="Palatino Linotype" w:hAnsi="Palatino Linotype" w:cs="Palatino Linotype"/>
          <w:color w:val="000000" w:themeColor="text1"/>
        </w:rPr>
        <w:t xml:space="preserve">,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14:paraId="19915226" w14:textId="77777777" w:rsidR="00166EBD" w:rsidRPr="0066528D" w:rsidRDefault="00166EBD" w:rsidP="0066528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77093426" w14:textId="77777777" w:rsidR="00166EBD" w:rsidRPr="0066528D" w:rsidRDefault="00166EBD" w:rsidP="0066528D">
      <w:pPr>
        <w:tabs>
          <w:tab w:val="left" w:pos="284"/>
          <w:tab w:val="left" w:pos="8080"/>
        </w:tabs>
        <w:spacing w:line="360" w:lineRule="auto"/>
        <w:contextualSpacing/>
        <w:jc w:val="both"/>
        <w:rPr>
          <w:rFonts w:ascii="Palatino Linotype" w:hAnsi="Palatino Linotype" w:cs="Arial"/>
          <w:color w:val="000000" w:themeColor="text1"/>
          <w:shd w:val="clear" w:color="auto" w:fill="FFFFFF"/>
        </w:rPr>
      </w:pPr>
      <w:r w:rsidRPr="0066528D">
        <w:rPr>
          <w:rFonts w:ascii="Palatino Linotype" w:eastAsia="Palatino Linotype" w:hAnsi="Palatino Linotype" w:cs="Palatino Linotype"/>
          <w:b/>
          <w:color w:val="000000" w:themeColor="text1"/>
          <w:lang w:val="es-ES_tradnl"/>
        </w:rPr>
        <w:lastRenderedPageBreak/>
        <w:t xml:space="preserve">TERCERO. </w:t>
      </w:r>
      <w:r w:rsidRPr="0066528D">
        <w:rPr>
          <w:rFonts w:ascii="Palatino Linotype" w:hAnsi="Palatino Linotype" w:cs="Arial"/>
          <w:b/>
          <w:color w:val="000000" w:themeColor="text1"/>
          <w:shd w:val="clear" w:color="auto" w:fill="FFFFFF"/>
        </w:rPr>
        <w:t>NOTIFÍQUESE</w:t>
      </w:r>
      <w:r w:rsidRPr="0066528D">
        <w:rPr>
          <w:rFonts w:ascii="Palatino Linotype" w:hAnsi="Palatino Linotype" w:cs="Arial"/>
          <w:color w:val="000000" w:themeColor="text1"/>
          <w:shd w:val="clear" w:color="auto" w:fill="FFFFFF"/>
        </w:rPr>
        <w:t xml:space="preserve"> la presente resolución al Titular de la Unidad de Transparencia del Sujeto Obligado </w:t>
      </w:r>
      <w:r w:rsidRPr="0066528D">
        <w:rPr>
          <w:rFonts w:ascii="Palatino Linotype" w:hAnsi="Palatino Linotype" w:cs="Arial"/>
          <w:b/>
          <w:color w:val="000000" w:themeColor="text1"/>
          <w:shd w:val="clear" w:color="auto" w:fill="FFFFFF"/>
        </w:rPr>
        <w:t>vía SAIMEX</w:t>
      </w:r>
      <w:r w:rsidRPr="0066528D">
        <w:rPr>
          <w:rFonts w:ascii="Palatino Linotype" w:hAnsi="Palatino Linotype" w:cs="Arial"/>
          <w:color w:val="000000" w:themeColor="text1"/>
          <w:shd w:val="clear" w:color="auto" w:fill="FFFFFF"/>
        </w:rPr>
        <w:t xml:space="preserve">, para que conforme al artículo 186 último párrafo, 189 segundo párrafo y 194 de la Ley de Transparencia y Acceso a la Información Pública del Estado de México y Municipios; </w:t>
      </w:r>
      <w:r w:rsidRPr="006E20D8">
        <w:rPr>
          <w:rFonts w:ascii="Palatino Linotype" w:hAnsi="Palatino Linotype" w:cs="Arial"/>
          <w:b/>
          <w:color w:val="000000" w:themeColor="text1"/>
          <w:shd w:val="clear" w:color="auto" w:fill="FFFFFF"/>
        </w:rPr>
        <w:t>dé cumplimiento a lo ordenado dentro del plazo de diez días hábiles</w:t>
      </w:r>
      <w:r w:rsidRPr="0066528D">
        <w:rPr>
          <w:rFonts w:ascii="Palatino Linotype" w:hAnsi="Palatino Linotype" w:cs="Arial"/>
          <w:color w:val="000000" w:themeColor="text1"/>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22866C" w14:textId="77777777" w:rsidR="00166EBD" w:rsidRPr="0066528D" w:rsidRDefault="00166EBD" w:rsidP="0066528D">
      <w:pPr>
        <w:tabs>
          <w:tab w:val="left" w:pos="284"/>
          <w:tab w:val="left" w:pos="8080"/>
        </w:tabs>
        <w:spacing w:line="360" w:lineRule="auto"/>
        <w:contextualSpacing/>
        <w:jc w:val="both"/>
        <w:rPr>
          <w:rFonts w:ascii="Palatino Linotype" w:eastAsiaTheme="minorEastAsia" w:hAnsi="Palatino Linotype"/>
          <w:color w:val="000000" w:themeColor="text1"/>
          <w:shd w:val="clear" w:color="auto" w:fill="FFFFFF"/>
          <w:lang w:val="es-ES_tradnl"/>
        </w:rPr>
      </w:pPr>
    </w:p>
    <w:p w14:paraId="428BB760" w14:textId="77777777" w:rsidR="00166EBD" w:rsidRPr="0066528D" w:rsidRDefault="00166EBD" w:rsidP="0066528D">
      <w:pPr>
        <w:tabs>
          <w:tab w:val="left" w:pos="284"/>
        </w:tabs>
        <w:spacing w:line="360" w:lineRule="auto"/>
        <w:jc w:val="both"/>
        <w:rPr>
          <w:rFonts w:ascii="Palatino Linotype" w:eastAsia="MS Mincho" w:hAnsi="Palatino Linotype"/>
          <w:color w:val="000000" w:themeColor="text1"/>
          <w:lang w:val="es-ES_tradnl"/>
        </w:rPr>
      </w:pPr>
      <w:r w:rsidRPr="0066528D">
        <w:rPr>
          <w:rFonts w:ascii="Palatino Linotype" w:hAnsi="Palatino Linotype" w:cs="Arial"/>
          <w:b/>
          <w:color w:val="000000" w:themeColor="text1"/>
          <w:lang w:val="es-ES_tradnl"/>
        </w:rPr>
        <w:t xml:space="preserve">CUARTO. </w:t>
      </w:r>
      <w:r w:rsidRPr="0066528D">
        <w:rPr>
          <w:rFonts w:ascii="Palatino Linotype" w:hAnsi="Palatino Linotype"/>
          <w:b/>
          <w:bCs/>
          <w:color w:val="000000" w:themeColor="text1"/>
          <w:lang w:val="es-ES"/>
        </w:rPr>
        <w:t xml:space="preserve">Notifíquese </w:t>
      </w:r>
      <w:r w:rsidRPr="0066528D">
        <w:rPr>
          <w:rFonts w:ascii="Palatino Linotype" w:hAnsi="Palatino Linotype"/>
          <w:bCs/>
          <w:color w:val="000000" w:themeColor="text1"/>
          <w:lang w:val="es-ES"/>
        </w:rPr>
        <w:t xml:space="preserve">al </w:t>
      </w:r>
      <w:r w:rsidRPr="0066528D">
        <w:rPr>
          <w:rFonts w:ascii="Palatino Linotype" w:hAnsi="Palatino Linotype"/>
          <w:b/>
          <w:bCs/>
          <w:color w:val="000000" w:themeColor="text1"/>
          <w:lang w:val="es-ES"/>
        </w:rPr>
        <w:t>RECURRENTE</w:t>
      </w:r>
      <w:r w:rsidRPr="0066528D">
        <w:rPr>
          <w:rFonts w:ascii="Palatino Linotype" w:hAnsi="Palatino Linotype"/>
          <w:b/>
          <w:color w:val="000000" w:themeColor="text1"/>
          <w:lang w:val="es-ES"/>
        </w:rPr>
        <w:t xml:space="preserve"> </w:t>
      </w:r>
      <w:r w:rsidRPr="0066528D">
        <w:rPr>
          <w:rFonts w:ascii="Palatino Linotype" w:eastAsiaTheme="minorEastAsia" w:hAnsi="Palatino Linotype"/>
          <w:color w:val="000000" w:themeColor="text1"/>
          <w:lang w:val="es-ES_tradnl"/>
        </w:rPr>
        <w:t>la presente resolución</w:t>
      </w:r>
      <w:r w:rsidRPr="0066528D">
        <w:rPr>
          <w:rFonts w:ascii="Palatino Linotype" w:eastAsia="MS Mincho" w:hAnsi="Palatino Linotype"/>
          <w:color w:val="000000" w:themeColor="text1"/>
          <w:lang w:val="es-ES_tradnl"/>
        </w:rPr>
        <w:t xml:space="preserve"> a través del Sistema de Acceso a la Información Mexiquense (SAIMEX).</w:t>
      </w:r>
    </w:p>
    <w:p w14:paraId="0506A510" w14:textId="77777777" w:rsidR="00166EBD" w:rsidRPr="0066528D" w:rsidRDefault="00166EBD" w:rsidP="0066528D">
      <w:pPr>
        <w:tabs>
          <w:tab w:val="left" w:pos="284"/>
        </w:tabs>
        <w:spacing w:line="360" w:lineRule="auto"/>
        <w:jc w:val="both"/>
        <w:rPr>
          <w:rFonts w:ascii="Palatino Linotype" w:eastAsia="MS Mincho" w:hAnsi="Palatino Linotype"/>
          <w:color w:val="000000" w:themeColor="text1"/>
          <w:lang w:val="es-ES_tradnl"/>
        </w:rPr>
      </w:pPr>
    </w:p>
    <w:p w14:paraId="6AF6F95A" w14:textId="77777777" w:rsidR="00166EBD" w:rsidRPr="0066528D" w:rsidRDefault="00166EBD" w:rsidP="0066528D">
      <w:pPr>
        <w:spacing w:line="360" w:lineRule="auto"/>
        <w:jc w:val="both"/>
        <w:rPr>
          <w:rFonts w:ascii="Palatino Linotype" w:eastAsia="Calibri" w:hAnsi="Palatino Linotype" w:cs="Arial"/>
          <w:bCs/>
          <w:color w:val="000000" w:themeColor="text1"/>
        </w:rPr>
      </w:pPr>
      <w:r w:rsidRPr="0066528D">
        <w:rPr>
          <w:rFonts w:ascii="Palatino Linotype" w:hAnsi="Palatino Linotype" w:cs="Arial"/>
          <w:b/>
          <w:color w:val="000000" w:themeColor="text1"/>
        </w:rPr>
        <w:t xml:space="preserve">QUINTO. </w:t>
      </w:r>
      <w:r w:rsidRPr="0066528D">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C8E7C9" w14:textId="77777777" w:rsidR="00166EBD" w:rsidRDefault="00166EBD" w:rsidP="0066528D">
      <w:pPr>
        <w:spacing w:before="240" w:after="360" w:line="360" w:lineRule="auto"/>
        <w:jc w:val="both"/>
        <w:rPr>
          <w:rFonts w:ascii="Palatino Linotype" w:eastAsia="MS Mincho" w:hAnsi="Palatino Linotype"/>
          <w:color w:val="000000" w:themeColor="text1"/>
          <w:lang w:val="es-ES"/>
        </w:rPr>
      </w:pPr>
      <w:r w:rsidRPr="0066528D">
        <w:rPr>
          <w:rFonts w:ascii="Palatino Linotype" w:hAnsi="Palatino Linotype"/>
          <w:b/>
          <w:color w:val="000000" w:themeColor="text1"/>
        </w:rPr>
        <w:t>SEXTO.</w:t>
      </w:r>
      <w:r w:rsidRPr="0066528D">
        <w:rPr>
          <w:rFonts w:ascii="Palatino Linotype" w:hAnsi="Palatino Linotype"/>
          <w:color w:val="000000" w:themeColor="text1"/>
          <w:lang w:val="es-ES"/>
        </w:rPr>
        <w:t xml:space="preserve"> </w:t>
      </w:r>
      <w:r w:rsidRPr="0066528D">
        <w:rPr>
          <w:rFonts w:ascii="Palatino Linotype" w:eastAsia="MS Mincho" w:hAnsi="Palatino Linotype"/>
          <w:color w:val="000000" w:themeColor="text1"/>
          <w:lang w:val="es-ES"/>
        </w:rPr>
        <w:t xml:space="preserve">Se hace del conocimiento del </w:t>
      </w:r>
      <w:r w:rsidRPr="0066528D">
        <w:rPr>
          <w:rFonts w:ascii="Palatino Linotype" w:eastAsia="MS Mincho" w:hAnsi="Palatino Linotype"/>
          <w:b/>
          <w:color w:val="000000" w:themeColor="text1"/>
          <w:lang w:val="es-ES"/>
        </w:rPr>
        <w:t>Recurrente</w:t>
      </w:r>
      <w:r w:rsidRPr="0066528D">
        <w:rPr>
          <w:rFonts w:ascii="Palatino Linotype" w:eastAsia="MS Mincho" w:hAnsi="Palatino Linotype"/>
          <w:b/>
          <w:color w:val="000000" w:themeColor="text1"/>
          <w:lang w:val="es-ES_tradnl"/>
        </w:rPr>
        <w:t xml:space="preserve"> </w:t>
      </w:r>
      <w:r w:rsidRPr="0066528D">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6528D">
        <w:rPr>
          <w:rFonts w:ascii="Palatino Linotype" w:eastAsia="MS Mincho" w:hAnsi="Palatino Linotype"/>
          <w:bCs/>
          <w:color w:val="000000" w:themeColor="text1"/>
          <w:lang w:val="es-ES"/>
        </w:rPr>
        <w:t>vía juicio de amparo</w:t>
      </w:r>
      <w:r w:rsidRPr="0066528D">
        <w:rPr>
          <w:rFonts w:ascii="Palatino Linotype" w:eastAsia="MS Mincho" w:hAnsi="Palatino Linotype"/>
          <w:color w:val="000000" w:themeColor="text1"/>
          <w:lang w:val="es-ES"/>
        </w:rPr>
        <w:t> en los términos de las leyes aplicables.</w:t>
      </w:r>
    </w:p>
    <w:p w14:paraId="7EAFCB7F" w14:textId="77777777" w:rsidR="006E20D8" w:rsidRDefault="006E20D8" w:rsidP="0066528D">
      <w:pPr>
        <w:spacing w:before="240" w:after="360" w:line="360" w:lineRule="auto"/>
        <w:jc w:val="both"/>
        <w:rPr>
          <w:rFonts w:ascii="Palatino Linotype" w:eastAsia="MS Mincho" w:hAnsi="Palatino Linotype"/>
          <w:color w:val="000000" w:themeColor="text1"/>
          <w:lang w:val="es-ES"/>
        </w:rPr>
      </w:pPr>
    </w:p>
    <w:p w14:paraId="391EC5EB" w14:textId="77777777" w:rsidR="006E20D8" w:rsidRPr="0066528D" w:rsidRDefault="006E20D8" w:rsidP="0066528D">
      <w:pPr>
        <w:spacing w:before="240" w:after="360" w:line="360" w:lineRule="auto"/>
        <w:jc w:val="both"/>
        <w:rPr>
          <w:rFonts w:ascii="Palatino Linotype" w:hAnsi="Palatino Linotype"/>
          <w:color w:val="000000" w:themeColor="text1"/>
          <w:lang w:val="es-ES"/>
        </w:rPr>
      </w:pPr>
    </w:p>
    <w:p w14:paraId="12D7DFC2" w14:textId="2937C931" w:rsidR="006E20D8" w:rsidRPr="00444783" w:rsidRDefault="006E20D8" w:rsidP="006E20D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32B74">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SHARON CRISTINA MORALES MARTÍNEZ, LUIS GUSTAVO PARRA NORIEGA </w:t>
      </w:r>
      <w:r w:rsidR="00632B74">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76A97138"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5D6959DE"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2DA98279"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5AFF3A37"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0C693D28"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3C5BCD98"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28EB248D"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5FE5F104" w14:textId="77777777" w:rsidR="00166EBD" w:rsidRPr="0066528D" w:rsidRDefault="00166EBD" w:rsidP="0066528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135BFE59"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B395248" w14:textId="77777777" w:rsidR="00166EBD" w:rsidRPr="0066528D" w:rsidRDefault="00166EBD" w:rsidP="0066528D">
      <w:pPr>
        <w:pBdr>
          <w:top w:val="nil"/>
          <w:left w:val="nil"/>
          <w:bottom w:val="nil"/>
          <w:right w:val="nil"/>
          <w:between w:val="nil"/>
        </w:pBdr>
        <w:rPr>
          <w:rFonts w:ascii="Palatino Linotype" w:eastAsia="Palatino Linotype" w:hAnsi="Palatino Linotype" w:cs="Palatino Linotype"/>
          <w:color w:val="000000" w:themeColor="text1"/>
        </w:rPr>
      </w:pPr>
    </w:p>
    <w:p w14:paraId="7116659A" w14:textId="77777777" w:rsidR="00166EBD" w:rsidRPr="0066528D" w:rsidRDefault="00166EBD" w:rsidP="0066528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344AFCC" w14:textId="77777777" w:rsidR="00166EBD" w:rsidRPr="0066528D" w:rsidRDefault="00166EBD" w:rsidP="0066528D">
      <w:pPr>
        <w:rPr>
          <w:rFonts w:ascii="Palatino Linotype" w:hAnsi="Palatino Linotype"/>
          <w:color w:val="000000" w:themeColor="text1"/>
        </w:rPr>
      </w:pPr>
    </w:p>
    <w:p w14:paraId="7D18D97B" w14:textId="77777777" w:rsidR="00166EBD" w:rsidRPr="0066528D" w:rsidRDefault="00166EBD" w:rsidP="0066528D">
      <w:pPr>
        <w:rPr>
          <w:rFonts w:ascii="Palatino Linotype" w:hAnsi="Palatino Linotype"/>
          <w:color w:val="000000" w:themeColor="text1"/>
        </w:rPr>
      </w:pPr>
    </w:p>
    <w:p w14:paraId="3D5C429D" w14:textId="77777777" w:rsidR="00166EBD" w:rsidRPr="0066528D" w:rsidRDefault="00166EBD" w:rsidP="0066528D">
      <w:pPr>
        <w:rPr>
          <w:rFonts w:ascii="Palatino Linotype" w:hAnsi="Palatino Linotype"/>
          <w:color w:val="000000" w:themeColor="text1"/>
        </w:rPr>
      </w:pPr>
    </w:p>
    <w:p w14:paraId="1774666A" w14:textId="77777777" w:rsidR="00166EBD" w:rsidRPr="0066528D" w:rsidRDefault="00166EBD" w:rsidP="0066528D">
      <w:pPr>
        <w:rPr>
          <w:rFonts w:ascii="Palatino Linotype" w:hAnsi="Palatino Linotype"/>
          <w:color w:val="000000" w:themeColor="text1"/>
        </w:rPr>
      </w:pPr>
    </w:p>
    <w:p w14:paraId="6789C121" w14:textId="77777777" w:rsidR="00166EBD" w:rsidRPr="0066528D" w:rsidRDefault="00166EBD" w:rsidP="0066528D">
      <w:pPr>
        <w:rPr>
          <w:rFonts w:ascii="Palatino Linotype" w:hAnsi="Palatino Linotype"/>
          <w:color w:val="000000" w:themeColor="text1"/>
        </w:rPr>
      </w:pPr>
    </w:p>
    <w:p w14:paraId="2AC2F9EA" w14:textId="77777777" w:rsidR="00166EBD" w:rsidRPr="0066528D" w:rsidRDefault="00166EBD" w:rsidP="0066528D">
      <w:pPr>
        <w:rPr>
          <w:rFonts w:ascii="Palatino Linotype" w:hAnsi="Palatino Linotype"/>
          <w:color w:val="000000" w:themeColor="text1"/>
        </w:rPr>
      </w:pPr>
    </w:p>
    <w:p w14:paraId="14FA4134" w14:textId="77777777" w:rsidR="00166EBD" w:rsidRPr="0066528D" w:rsidRDefault="00166EBD" w:rsidP="0066528D">
      <w:pPr>
        <w:rPr>
          <w:rFonts w:ascii="Palatino Linotype" w:hAnsi="Palatino Linotype"/>
          <w:color w:val="000000" w:themeColor="text1"/>
        </w:rPr>
      </w:pPr>
    </w:p>
    <w:p w14:paraId="5FA42E66" w14:textId="77777777" w:rsidR="00166EBD" w:rsidRPr="0066528D" w:rsidRDefault="00166EBD" w:rsidP="0066528D">
      <w:pPr>
        <w:rPr>
          <w:rFonts w:ascii="Palatino Linotype" w:hAnsi="Palatino Linotype"/>
          <w:color w:val="000000" w:themeColor="text1"/>
        </w:rPr>
      </w:pPr>
    </w:p>
    <w:p w14:paraId="3894D5F9" w14:textId="77777777" w:rsidR="003B1191" w:rsidRPr="0066528D" w:rsidRDefault="003B1191" w:rsidP="0066528D">
      <w:pPr>
        <w:rPr>
          <w:rFonts w:ascii="Palatino Linotype" w:hAnsi="Palatino Linotype"/>
          <w:color w:val="000000" w:themeColor="text1"/>
        </w:rPr>
      </w:pPr>
    </w:p>
    <w:sectPr w:rsidR="003B1191" w:rsidRPr="0066528D" w:rsidSect="00AD6C2A">
      <w:headerReference w:type="even" r:id="rId9"/>
      <w:headerReference w:type="default" r:id="rId10"/>
      <w:footerReference w:type="default" r:id="rId11"/>
      <w:headerReference w:type="first" r:id="rId12"/>
      <w:footerReference w:type="first" r:id="rId13"/>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303F4" w14:textId="77777777" w:rsidR="00D07D43" w:rsidRDefault="00D07D43" w:rsidP="00166EBD">
      <w:r>
        <w:separator/>
      </w:r>
    </w:p>
  </w:endnote>
  <w:endnote w:type="continuationSeparator" w:id="0">
    <w:p w14:paraId="00E03316" w14:textId="77777777" w:rsidR="00D07D43" w:rsidRDefault="00D07D43" w:rsidP="0016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96F7" w14:textId="77777777" w:rsidR="00F87FF2" w:rsidRDefault="00F87FF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D6C2A">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D6C2A">
      <w:rPr>
        <w:b/>
        <w:noProof/>
        <w:color w:val="000000"/>
      </w:rPr>
      <w:t>41</w:t>
    </w:r>
    <w:r>
      <w:rPr>
        <w:b/>
        <w:color w:val="000000"/>
      </w:rPr>
      <w:fldChar w:fldCharType="end"/>
    </w:r>
  </w:p>
  <w:p w14:paraId="5B0345D7" w14:textId="77777777" w:rsidR="00F87FF2" w:rsidRDefault="00F87FF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6444" w14:textId="77777777" w:rsidR="00F87FF2" w:rsidRDefault="00F87FF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D6C2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D6C2A">
      <w:rPr>
        <w:b/>
        <w:noProof/>
        <w:color w:val="000000"/>
      </w:rPr>
      <w:t>41</w:t>
    </w:r>
    <w:r>
      <w:rPr>
        <w:b/>
        <w:color w:val="000000"/>
      </w:rPr>
      <w:fldChar w:fldCharType="end"/>
    </w:r>
  </w:p>
  <w:p w14:paraId="67A35FD0" w14:textId="77777777" w:rsidR="00F87FF2" w:rsidRDefault="00F87FF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5DEA3" w14:textId="77777777" w:rsidR="00D07D43" w:rsidRDefault="00D07D43" w:rsidP="00166EBD">
      <w:r>
        <w:separator/>
      </w:r>
    </w:p>
  </w:footnote>
  <w:footnote w:type="continuationSeparator" w:id="0">
    <w:p w14:paraId="57168972" w14:textId="77777777" w:rsidR="00D07D43" w:rsidRDefault="00D07D43" w:rsidP="00166EBD">
      <w:r>
        <w:continuationSeparator/>
      </w:r>
    </w:p>
  </w:footnote>
  <w:footnote w:id="1">
    <w:p w14:paraId="7E453FB7" w14:textId="77777777" w:rsidR="00F87FF2" w:rsidRDefault="00F87FF2" w:rsidP="00166EBD">
      <w:pPr>
        <w:pStyle w:val="Textonotapie"/>
      </w:pPr>
      <w:r>
        <w:rPr>
          <w:rStyle w:val="Refdenotaalpie"/>
        </w:rPr>
        <w:footnoteRef/>
      </w:r>
      <w:r>
        <w:t xml:space="preserve"> Artículo 150. Ley de Transparencia y Acceso a la Información Pública del Estado de México y Municipios.</w:t>
      </w:r>
    </w:p>
    <w:p w14:paraId="41AA3E86" w14:textId="77777777" w:rsidR="00F87FF2" w:rsidRDefault="00F87FF2" w:rsidP="00166EBD">
      <w:pPr>
        <w:pStyle w:val="Textonotapie"/>
      </w:pPr>
      <w:r>
        <w:t>Artículo 151. Ibídem.</w:t>
      </w:r>
    </w:p>
  </w:footnote>
  <w:footnote w:id="2">
    <w:p w14:paraId="3B2D7C03" w14:textId="77777777" w:rsidR="00F87FF2" w:rsidRDefault="00F87FF2" w:rsidP="00166EBD">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1085" w14:textId="77777777" w:rsidR="00F87FF2" w:rsidRDefault="00D07D43">
    <w:pPr>
      <w:pBdr>
        <w:top w:val="nil"/>
        <w:left w:val="nil"/>
        <w:bottom w:val="nil"/>
        <w:right w:val="nil"/>
        <w:between w:val="nil"/>
      </w:pBdr>
      <w:tabs>
        <w:tab w:val="center" w:pos="4419"/>
        <w:tab w:val="right" w:pos="8838"/>
      </w:tabs>
      <w:rPr>
        <w:color w:val="000000"/>
      </w:rPr>
    </w:pPr>
    <w:r>
      <w:rPr>
        <w:color w:val="000000"/>
      </w:rPr>
      <w:pict w14:anchorId="26DCF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F87FF2" w14:paraId="32964344" w14:textId="77777777" w:rsidTr="00AD6C2A">
      <w:trPr>
        <w:trHeight w:val="1435"/>
      </w:trPr>
      <w:tc>
        <w:tcPr>
          <w:tcW w:w="2268" w:type="dxa"/>
          <w:shd w:val="clear" w:color="auto" w:fill="auto"/>
        </w:tcPr>
        <w:p w14:paraId="7E6EC1B3" w14:textId="77777777" w:rsidR="00F87FF2" w:rsidRDefault="00F87FF2">
          <w:pPr>
            <w:tabs>
              <w:tab w:val="right" w:pos="4273"/>
            </w:tabs>
            <w:rPr>
              <w:rFonts w:ascii="Garamond" w:eastAsia="Garamond" w:hAnsi="Garamond" w:cs="Garamond"/>
              <w:sz w:val="16"/>
              <w:szCs w:val="16"/>
            </w:rPr>
          </w:pPr>
        </w:p>
      </w:tc>
      <w:tc>
        <w:tcPr>
          <w:tcW w:w="7938" w:type="dxa"/>
          <w:shd w:val="clear" w:color="auto" w:fill="auto"/>
        </w:tcPr>
        <w:tbl>
          <w:tblPr>
            <w:tblW w:w="7223" w:type="dxa"/>
            <w:tblInd w:w="1026" w:type="dxa"/>
            <w:tblLayout w:type="fixed"/>
            <w:tblLook w:val="0400" w:firstRow="0" w:lastRow="0" w:firstColumn="0" w:lastColumn="0" w:noHBand="0" w:noVBand="1"/>
          </w:tblPr>
          <w:tblGrid>
            <w:gridCol w:w="2971"/>
            <w:gridCol w:w="4252"/>
          </w:tblGrid>
          <w:tr w:rsidR="00F87FF2" w14:paraId="2C7AD99B" w14:textId="77777777" w:rsidTr="00AD6C2A">
            <w:trPr>
              <w:trHeight w:val="150"/>
            </w:trPr>
            <w:tc>
              <w:tcPr>
                <w:tcW w:w="2971" w:type="dxa"/>
                <w:shd w:val="clear" w:color="auto" w:fill="auto"/>
              </w:tcPr>
              <w:p w14:paraId="698002B2" w14:textId="77777777" w:rsidR="00F87FF2" w:rsidRPr="0066528D" w:rsidRDefault="00F87FF2" w:rsidP="0066528D">
                <w:pPr>
                  <w:tabs>
                    <w:tab w:val="right" w:pos="8838"/>
                  </w:tabs>
                  <w:jc w:val="right"/>
                  <w:rPr>
                    <w:rFonts w:ascii="Palatino Linotype" w:eastAsia="Palatino Linotype" w:hAnsi="Palatino Linotype" w:cs="Palatino Linotype"/>
                    <w:b/>
                  </w:rPr>
                </w:pPr>
                <w:r w:rsidRPr="0066528D">
                  <w:rPr>
                    <w:rFonts w:ascii="Palatino Linotype" w:eastAsia="Palatino Linotype" w:hAnsi="Palatino Linotype" w:cs="Palatino Linotype"/>
                    <w:b/>
                  </w:rPr>
                  <w:t>Recurso de Revisión:</w:t>
                </w:r>
              </w:p>
            </w:tc>
            <w:tc>
              <w:tcPr>
                <w:tcW w:w="4252" w:type="dxa"/>
                <w:shd w:val="clear" w:color="auto" w:fill="auto"/>
              </w:tcPr>
              <w:p w14:paraId="6EF447FE" w14:textId="77777777" w:rsidR="00F87FF2" w:rsidRPr="0066528D" w:rsidRDefault="00F87FF2" w:rsidP="0066528D">
                <w:pPr>
                  <w:tabs>
                    <w:tab w:val="right" w:pos="8838"/>
                  </w:tabs>
                  <w:ind w:left="-108" w:right="-108"/>
                  <w:jc w:val="both"/>
                  <w:rPr>
                    <w:rFonts w:ascii="Palatino Linotype" w:eastAsia="Palatino Linotype" w:hAnsi="Palatino Linotype" w:cs="Palatino Linotype"/>
                  </w:rPr>
                </w:pPr>
                <w:r w:rsidRPr="0066528D">
                  <w:rPr>
                    <w:rFonts w:ascii="Palatino Linotype" w:eastAsia="Palatino Linotype" w:hAnsi="Palatino Linotype" w:cs="Palatino Linotype"/>
                  </w:rPr>
                  <w:t>05148/INFOEM/IP/RR/2025</w:t>
                </w:r>
                <w:r w:rsidRPr="0066528D">
                  <w:rPr>
                    <w:rFonts w:ascii="Palatino Linotype" w:eastAsia="Palatino Linotype" w:hAnsi="Palatino Linotype" w:cs="Palatino Linotype"/>
                    <w:b/>
                  </w:rPr>
                  <w:t xml:space="preserve"> </w:t>
                </w:r>
              </w:p>
            </w:tc>
          </w:tr>
          <w:tr w:rsidR="00F87FF2" w14:paraId="57B1D3D8" w14:textId="77777777" w:rsidTr="00AD6C2A">
            <w:trPr>
              <w:trHeight w:val="295"/>
            </w:trPr>
            <w:tc>
              <w:tcPr>
                <w:tcW w:w="2971" w:type="dxa"/>
                <w:shd w:val="clear" w:color="auto" w:fill="auto"/>
              </w:tcPr>
              <w:p w14:paraId="7FFACC5F" w14:textId="77777777" w:rsidR="00F87FF2" w:rsidRPr="0066528D" w:rsidRDefault="00F87FF2" w:rsidP="0066528D">
                <w:pPr>
                  <w:tabs>
                    <w:tab w:val="right" w:pos="8838"/>
                  </w:tabs>
                  <w:jc w:val="right"/>
                  <w:rPr>
                    <w:rFonts w:ascii="Palatino Linotype" w:eastAsia="Palatino Linotype" w:hAnsi="Palatino Linotype" w:cs="Palatino Linotype"/>
                    <w:b/>
                  </w:rPr>
                </w:pPr>
                <w:r w:rsidRPr="0066528D">
                  <w:rPr>
                    <w:rFonts w:ascii="Palatino Linotype" w:eastAsia="Palatino Linotype" w:hAnsi="Palatino Linotype" w:cs="Palatino Linotype"/>
                    <w:b/>
                  </w:rPr>
                  <w:t>Sujeto Obligado:</w:t>
                </w:r>
              </w:p>
            </w:tc>
            <w:tc>
              <w:tcPr>
                <w:tcW w:w="4252" w:type="dxa"/>
                <w:shd w:val="clear" w:color="auto" w:fill="auto"/>
              </w:tcPr>
              <w:p w14:paraId="537F5A23" w14:textId="77777777" w:rsidR="00F87FF2" w:rsidRPr="0066528D" w:rsidRDefault="00F87FF2" w:rsidP="0066528D">
                <w:pPr>
                  <w:tabs>
                    <w:tab w:val="left" w:pos="2834"/>
                    <w:tab w:val="right" w:pos="8838"/>
                  </w:tabs>
                  <w:ind w:left="-108" w:right="-108"/>
                  <w:jc w:val="both"/>
                  <w:rPr>
                    <w:rFonts w:ascii="Palatino Linotype" w:eastAsia="Palatino Linotype" w:hAnsi="Palatino Linotype" w:cs="Palatino Linotype"/>
                  </w:rPr>
                </w:pPr>
                <w:r w:rsidRPr="0066528D">
                  <w:rPr>
                    <w:rFonts w:ascii="Palatino Linotype" w:eastAsia="Palatino Linotype" w:hAnsi="Palatino Linotype" w:cs="Palatino Linotype"/>
                  </w:rPr>
                  <w:t>Ayuntamiento de Zinacantepec</w:t>
                </w:r>
              </w:p>
            </w:tc>
          </w:tr>
          <w:tr w:rsidR="00F87FF2" w14:paraId="5FA22062" w14:textId="77777777" w:rsidTr="00AD6C2A">
            <w:trPr>
              <w:trHeight w:val="295"/>
            </w:trPr>
            <w:tc>
              <w:tcPr>
                <w:tcW w:w="2971" w:type="dxa"/>
                <w:shd w:val="clear" w:color="auto" w:fill="auto"/>
              </w:tcPr>
              <w:p w14:paraId="5C18EB38" w14:textId="77777777" w:rsidR="00F87FF2" w:rsidRPr="0066528D" w:rsidRDefault="00F87FF2" w:rsidP="0066528D">
                <w:pPr>
                  <w:tabs>
                    <w:tab w:val="right" w:pos="8838"/>
                  </w:tabs>
                  <w:jc w:val="right"/>
                  <w:rPr>
                    <w:rFonts w:ascii="Palatino Linotype" w:eastAsia="Palatino Linotype" w:hAnsi="Palatino Linotype" w:cs="Palatino Linotype"/>
                    <w:b/>
                  </w:rPr>
                </w:pPr>
                <w:r w:rsidRPr="0066528D">
                  <w:rPr>
                    <w:rFonts w:ascii="Palatino Linotype" w:eastAsia="Palatino Linotype" w:hAnsi="Palatino Linotype" w:cs="Palatino Linotype"/>
                    <w:b/>
                  </w:rPr>
                  <w:t>Comisionado ponente:</w:t>
                </w:r>
              </w:p>
            </w:tc>
            <w:tc>
              <w:tcPr>
                <w:tcW w:w="4252" w:type="dxa"/>
                <w:shd w:val="clear" w:color="auto" w:fill="auto"/>
              </w:tcPr>
              <w:p w14:paraId="4304B6CF" w14:textId="77777777" w:rsidR="00F87FF2" w:rsidRPr="0066528D" w:rsidRDefault="00F87FF2" w:rsidP="0066528D">
                <w:pPr>
                  <w:tabs>
                    <w:tab w:val="right" w:pos="8838"/>
                  </w:tabs>
                  <w:ind w:left="-108" w:right="-108"/>
                  <w:jc w:val="both"/>
                  <w:rPr>
                    <w:rFonts w:ascii="Palatino Linotype" w:eastAsia="Palatino Linotype" w:hAnsi="Palatino Linotype" w:cs="Palatino Linotype"/>
                  </w:rPr>
                </w:pPr>
                <w:r w:rsidRPr="0066528D">
                  <w:rPr>
                    <w:rFonts w:ascii="Palatino Linotype" w:eastAsia="Palatino Linotype" w:hAnsi="Palatino Linotype" w:cs="Palatino Linotype"/>
                  </w:rPr>
                  <w:t>María del Rosario Mejía Ayala</w:t>
                </w:r>
              </w:p>
              <w:p w14:paraId="26E5F985" w14:textId="77777777" w:rsidR="00F87FF2" w:rsidRPr="0066528D" w:rsidRDefault="00F87FF2" w:rsidP="0066528D">
                <w:pPr>
                  <w:tabs>
                    <w:tab w:val="right" w:pos="8838"/>
                  </w:tabs>
                  <w:ind w:left="-108" w:right="-108"/>
                  <w:jc w:val="both"/>
                  <w:rPr>
                    <w:rFonts w:ascii="Palatino Linotype" w:eastAsia="Palatino Linotype" w:hAnsi="Palatino Linotype" w:cs="Palatino Linotype"/>
                    <w:b/>
                  </w:rPr>
                </w:pPr>
              </w:p>
            </w:tc>
          </w:tr>
        </w:tbl>
        <w:p w14:paraId="69C12ADD" w14:textId="77777777" w:rsidR="00F87FF2" w:rsidRDefault="00F87FF2">
          <w:pPr>
            <w:tabs>
              <w:tab w:val="right" w:pos="8838"/>
            </w:tabs>
            <w:ind w:left="-28"/>
            <w:jc w:val="both"/>
            <w:rPr>
              <w:rFonts w:ascii="Arial" w:eastAsia="Arial" w:hAnsi="Arial" w:cs="Arial"/>
              <w:b/>
              <w:sz w:val="22"/>
              <w:szCs w:val="22"/>
            </w:rPr>
          </w:pPr>
        </w:p>
      </w:tc>
    </w:tr>
  </w:tbl>
  <w:p w14:paraId="499F5F85" w14:textId="77777777" w:rsidR="00F87FF2" w:rsidRDefault="00D07D43">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074CC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F87FF2" w14:paraId="44A40D6E" w14:textId="77777777">
      <w:trPr>
        <w:trHeight w:val="1435"/>
      </w:trPr>
      <w:tc>
        <w:tcPr>
          <w:tcW w:w="2265" w:type="dxa"/>
          <w:shd w:val="clear" w:color="auto" w:fill="auto"/>
        </w:tcPr>
        <w:p w14:paraId="101C3716" w14:textId="77777777" w:rsidR="00F87FF2" w:rsidRDefault="00F87FF2">
          <w:pPr>
            <w:tabs>
              <w:tab w:val="right" w:pos="4273"/>
            </w:tabs>
            <w:rPr>
              <w:rFonts w:ascii="Garamond" w:eastAsia="Garamond" w:hAnsi="Garamond" w:cs="Garamond"/>
              <w:sz w:val="22"/>
              <w:szCs w:val="22"/>
            </w:rPr>
          </w:pPr>
        </w:p>
      </w:tc>
      <w:tc>
        <w:tcPr>
          <w:tcW w:w="7755" w:type="dxa"/>
          <w:shd w:val="clear" w:color="auto" w:fill="auto"/>
        </w:tcPr>
        <w:tbl>
          <w:tblPr>
            <w:tblW w:w="7655" w:type="dxa"/>
            <w:tblInd w:w="888" w:type="dxa"/>
            <w:tblLayout w:type="fixed"/>
            <w:tblLook w:val="0400" w:firstRow="0" w:lastRow="0" w:firstColumn="0" w:lastColumn="0" w:noHBand="0" w:noVBand="1"/>
          </w:tblPr>
          <w:tblGrid>
            <w:gridCol w:w="2690"/>
            <w:gridCol w:w="4965"/>
          </w:tblGrid>
          <w:tr w:rsidR="00F87FF2" w14:paraId="17994A1B" w14:textId="77777777" w:rsidTr="00AD6C2A">
            <w:trPr>
              <w:trHeight w:val="144"/>
            </w:trPr>
            <w:tc>
              <w:tcPr>
                <w:tcW w:w="2690" w:type="dxa"/>
                <w:shd w:val="clear" w:color="auto" w:fill="auto"/>
              </w:tcPr>
              <w:p w14:paraId="54FD6E95" w14:textId="77777777" w:rsidR="00F87FF2" w:rsidRPr="0066528D" w:rsidRDefault="00F87FF2" w:rsidP="0066528D">
                <w:pPr>
                  <w:tabs>
                    <w:tab w:val="right" w:pos="8838"/>
                  </w:tabs>
                  <w:ind w:left="31" w:right="-105"/>
                  <w:jc w:val="right"/>
                  <w:rPr>
                    <w:rFonts w:ascii="Palatino Linotype" w:eastAsia="Palatino Linotype" w:hAnsi="Palatino Linotype" w:cs="Palatino Linotype"/>
                    <w:b/>
                  </w:rPr>
                </w:pPr>
                <w:r w:rsidRPr="0066528D">
                  <w:rPr>
                    <w:rFonts w:ascii="Palatino Linotype" w:eastAsia="Palatino Linotype" w:hAnsi="Palatino Linotype" w:cs="Palatino Linotype"/>
                    <w:b/>
                  </w:rPr>
                  <w:t>Recurso de Revisión:</w:t>
                </w:r>
              </w:p>
            </w:tc>
            <w:tc>
              <w:tcPr>
                <w:tcW w:w="4965" w:type="dxa"/>
                <w:shd w:val="clear" w:color="auto" w:fill="auto"/>
              </w:tcPr>
              <w:p w14:paraId="198828FE" w14:textId="77777777" w:rsidR="00F87FF2" w:rsidRPr="0066528D" w:rsidRDefault="00F87FF2" w:rsidP="0066528D">
                <w:pPr>
                  <w:tabs>
                    <w:tab w:val="right" w:pos="8838"/>
                  </w:tabs>
                  <w:ind w:left="31" w:right="-105"/>
                  <w:rPr>
                    <w:rFonts w:ascii="Palatino Linotype" w:eastAsia="Palatino Linotype" w:hAnsi="Palatino Linotype" w:cs="Palatino Linotype"/>
                  </w:rPr>
                </w:pPr>
                <w:r w:rsidRPr="0066528D">
                  <w:rPr>
                    <w:rFonts w:ascii="Palatino Linotype" w:eastAsia="Palatino Linotype" w:hAnsi="Palatino Linotype" w:cs="Palatino Linotype"/>
                  </w:rPr>
                  <w:t>05148/INFOEM/IP/RR/2025</w:t>
                </w:r>
              </w:p>
            </w:tc>
          </w:tr>
          <w:tr w:rsidR="00F87FF2" w14:paraId="360AD1F7" w14:textId="77777777" w:rsidTr="00AD6C2A">
            <w:trPr>
              <w:trHeight w:val="144"/>
            </w:trPr>
            <w:tc>
              <w:tcPr>
                <w:tcW w:w="2690" w:type="dxa"/>
                <w:shd w:val="clear" w:color="auto" w:fill="auto"/>
              </w:tcPr>
              <w:p w14:paraId="6EBC9944" w14:textId="77777777" w:rsidR="00F87FF2" w:rsidRPr="0066528D" w:rsidRDefault="00F87FF2" w:rsidP="0066528D">
                <w:pPr>
                  <w:tabs>
                    <w:tab w:val="right" w:pos="8838"/>
                  </w:tabs>
                  <w:ind w:left="31" w:right="-105"/>
                  <w:jc w:val="right"/>
                  <w:rPr>
                    <w:rFonts w:ascii="Palatino Linotype" w:eastAsia="Palatino Linotype" w:hAnsi="Palatino Linotype" w:cs="Palatino Linotype"/>
                    <w:b/>
                  </w:rPr>
                </w:pPr>
                <w:r w:rsidRPr="0066528D">
                  <w:rPr>
                    <w:rFonts w:ascii="Palatino Linotype" w:eastAsia="Palatino Linotype" w:hAnsi="Palatino Linotype" w:cs="Palatino Linotype"/>
                    <w:b/>
                  </w:rPr>
                  <w:t>Recurrente:</w:t>
                </w:r>
              </w:p>
            </w:tc>
            <w:tc>
              <w:tcPr>
                <w:tcW w:w="4965" w:type="dxa"/>
                <w:shd w:val="clear" w:color="auto" w:fill="auto"/>
              </w:tcPr>
              <w:p w14:paraId="5450AD07" w14:textId="77777777" w:rsidR="00F87FF2" w:rsidRPr="0066528D" w:rsidRDefault="00F87FF2" w:rsidP="0066528D">
                <w:pPr>
                  <w:tabs>
                    <w:tab w:val="left" w:pos="3122"/>
                    <w:tab w:val="right" w:pos="8838"/>
                  </w:tabs>
                  <w:ind w:left="31" w:right="-105"/>
                  <w:rPr>
                    <w:rFonts w:ascii="Palatino Linotype" w:eastAsia="Palatino Linotype" w:hAnsi="Palatino Linotype" w:cs="Palatino Linotype"/>
                  </w:rPr>
                </w:pPr>
              </w:p>
            </w:tc>
          </w:tr>
          <w:tr w:rsidR="00F87FF2" w14:paraId="519B3ACD" w14:textId="77777777" w:rsidTr="00AD6C2A">
            <w:trPr>
              <w:trHeight w:val="283"/>
            </w:trPr>
            <w:tc>
              <w:tcPr>
                <w:tcW w:w="2690" w:type="dxa"/>
                <w:shd w:val="clear" w:color="auto" w:fill="auto"/>
              </w:tcPr>
              <w:p w14:paraId="5825C433" w14:textId="77777777" w:rsidR="00F87FF2" w:rsidRPr="0066528D" w:rsidRDefault="00F87FF2" w:rsidP="0066528D">
                <w:pPr>
                  <w:tabs>
                    <w:tab w:val="right" w:pos="8838"/>
                  </w:tabs>
                  <w:ind w:left="31" w:right="-105"/>
                  <w:jc w:val="right"/>
                  <w:rPr>
                    <w:rFonts w:ascii="Palatino Linotype" w:eastAsia="Palatino Linotype" w:hAnsi="Palatino Linotype" w:cs="Palatino Linotype"/>
                    <w:b/>
                  </w:rPr>
                </w:pPr>
                <w:r w:rsidRPr="0066528D">
                  <w:rPr>
                    <w:rFonts w:ascii="Palatino Linotype" w:eastAsia="Palatino Linotype" w:hAnsi="Palatino Linotype" w:cs="Palatino Linotype"/>
                    <w:b/>
                  </w:rPr>
                  <w:t>Sujeto Obligado:</w:t>
                </w:r>
              </w:p>
            </w:tc>
            <w:tc>
              <w:tcPr>
                <w:tcW w:w="4965" w:type="dxa"/>
                <w:shd w:val="clear" w:color="auto" w:fill="auto"/>
              </w:tcPr>
              <w:p w14:paraId="3BE4BFB4" w14:textId="77777777" w:rsidR="00F87FF2" w:rsidRPr="0066528D" w:rsidRDefault="00F87FF2" w:rsidP="0066528D">
                <w:pPr>
                  <w:tabs>
                    <w:tab w:val="left" w:pos="2834"/>
                    <w:tab w:val="right" w:pos="8838"/>
                  </w:tabs>
                  <w:ind w:left="31" w:right="-105"/>
                  <w:rPr>
                    <w:rFonts w:ascii="Palatino Linotype" w:eastAsia="Palatino Linotype" w:hAnsi="Palatino Linotype" w:cs="Palatino Linotype"/>
                  </w:rPr>
                </w:pPr>
                <w:r w:rsidRPr="0066528D">
                  <w:rPr>
                    <w:rFonts w:ascii="Palatino Linotype" w:eastAsia="Palatino Linotype" w:hAnsi="Palatino Linotype" w:cs="Palatino Linotype"/>
                  </w:rPr>
                  <w:t>Ayuntamiento de Zinacantepec</w:t>
                </w:r>
              </w:p>
            </w:tc>
          </w:tr>
          <w:tr w:rsidR="00F87FF2" w14:paraId="3410A360" w14:textId="77777777" w:rsidTr="00AD6C2A">
            <w:trPr>
              <w:trHeight w:val="283"/>
            </w:trPr>
            <w:tc>
              <w:tcPr>
                <w:tcW w:w="2690" w:type="dxa"/>
                <w:shd w:val="clear" w:color="auto" w:fill="auto"/>
              </w:tcPr>
              <w:p w14:paraId="4B2B9F37" w14:textId="77777777" w:rsidR="00F87FF2" w:rsidRPr="0066528D" w:rsidRDefault="00F87FF2" w:rsidP="0066528D">
                <w:pPr>
                  <w:tabs>
                    <w:tab w:val="right" w:pos="8838"/>
                  </w:tabs>
                  <w:ind w:left="31" w:right="-105"/>
                  <w:jc w:val="right"/>
                  <w:rPr>
                    <w:rFonts w:ascii="Palatino Linotype" w:eastAsia="Palatino Linotype" w:hAnsi="Palatino Linotype" w:cs="Palatino Linotype"/>
                    <w:b/>
                  </w:rPr>
                </w:pPr>
                <w:r w:rsidRPr="0066528D">
                  <w:rPr>
                    <w:rFonts w:ascii="Palatino Linotype" w:eastAsia="Palatino Linotype" w:hAnsi="Palatino Linotype" w:cs="Palatino Linotype"/>
                    <w:b/>
                  </w:rPr>
                  <w:t>Comisionado ponente:</w:t>
                </w:r>
              </w:p>
            </w:tc>
            <w:tc>
              <w:tcPr>
                <w:tcW w:w="4965" w:type="dxa"/>
                <w:shd w:val="clear" w:color="auto" w:fill="auto"/>
              </w:tcPr>
              <w:p w14:paraId="6387EB87" w14:textId="77777777" w:rsidR="00F87FF2" w:rsidRPr="0066528D" w:rsidRDefault="00F87FF2" w:rsidP="0066528D">
                <w:pPr>
                  <w:tabs>
                    <w:tab w:val="right" w:pos="8838"/>
                  </w:tabs>
                  <w:ind w:left="31" w:right="-105"/>
                  <w:rPr>
                    <w:rFonts w:ascii="Palatino Linotype" w:eastAsia="Palatino Linotype" w:hAnsi="Palatino Linotype" w:cs="Palatino Linotype"/>
                  </w:rPr>
                </w:pPr>
                <w:r w:rsidRPr="0066528D">
                  <w:rPr>
                    <w:rFonts w:ascii="Palatino Linotype" w:eastAsia="Palatino Linotype" w:hAnsi="Palatino Linotype" w:cs="Palatino Linotype"/>
                  </w:rPr>
                  <w:t>María del Rosario Mejía Ayala</w:t>
                </w:r>
              </w:p>
              <w:p w14:paraId="70637F1E" w14:textId="77777777" w:rsidR="00F87FF2" w:rsidRPr="0066528D" w:rsidRDefault="00F87FF2" w:rsidP="0066528D">
                <w:pPr>
                  <w:tabs>
                    <w:tab w:val="right" w:pos="8838"/>
                  </w:tabs>
                  <w:ind w:left="31" w:right="-105"/>
                  <w:rPr>
                    <w:rFonts w:ascii="Palatino Linotype" w:eastAsia="Palatino Linotype" w:hAnsi="Palatino Linotype" w:cs="Palatino Linotype"/>
                    <w:b/>
                  </w:rPr>
                </w:pPr>
              </w:p>
            </w:tc>
          </w:tr>
        </w:tbl>
        <w:p w14:paraId="7D586EEA" w14:textId="77777777" w:rsidR="00F87FF2" w:rsidRDefault="00F87FF2">
          <w:pPr>
            <w:tabs>
              <w:tab w:val="right" w:pos="8838"/>
            </w:tabs>
            <w:ind w:left="-28"/>
            <w:jc w:val="both"/>
            <w:rPr>
              <w:rFonts w:ascii="Arial" w:eastAsia="Arial" w:hAnsi="Arial" w:cs="Arial"/>
              <w:b/>
              <w:sz w:val="22"/>
              <w:szCs w:val="22"/>
            </w:rPr>
          </w:pPr>
        </w:p>
      </w:tc>
    </w:tr>
  </w:tbl>
  <w:p w14:paraId="64A409B4" w14:textId="77777777" w:rsidR="00F87FF2" w:rsidRDefault="00D07D43">
    <w:pPr>
      <w:pBdr>
        <w:top w:val="nil"/>
        <w:left w:val="nil"/>
        <w:bottom w:val="nil"/>
        <w:right w:val="nil"/>
        <w:between w:val="nil"/>
      </w:pBdr>
      <w:tabs>
        <w:tab w:val="center" w:pos="4419"/>
        <w:tab w:val="right" w:pos="8838"/>
      </w:tabs>
      <w:rPr>
        <w:color w:val="000000"/>
        <w:sz w:val="2"/>
        <w:szCs w:val="2"/>
      </w:rPr>
    </w:pPr>
    <w:r>
      <w:rPr>
        <w:color w:val="000000"/>
        <w:sz w:val="2"/>
        <w:szCs w:val="2"/>
      </w:rPr>
      <w:pict w14:anchorId="2704C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60267"/>
    <w:multiLevelType w:val="hybridMultilevel"/>
    <w:tmpl w:val="B7A836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0F2455"/>
    <w:multiLevelType w:val="multilevel"/>
    <w:tmpl w:val="07EC45D2"/>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EF26FD"/>
    <w:multiLevelType w:val="multilevel"/>
    <w:tmpl w:val="C24421C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6E505A"/>
    <w:multiLevelType w:val="multilevel"/>
    <w:tmpl w:val="BA5E4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860007"/>
    <w:multiLevelType w:val="multilevel"/>
    <w:tmpl w:val="7C0E921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3DEB13DC"/>
    <w:multiLevelType w:val="hybridMultilevel"/>
    <w:tmpl w:val="B7A836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DB7172"/>
    <w:multiLevelType w:val="multilevel"/>
    <w:tmpl w:val="FBDA5DA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44177085"/>
    <w:multiLevelType w:val="multilevel"/>
    <w:tmpl w:val="F7EA666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F53B1E"/>
    <w:multiLevelType w:val="hybridMultilevel"/>
    <w:tmpl w:val="F24E4252"/>
    <w:lvl w:ilvl="0" w:tplc="3FB4391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9752E34"/>
    <w:multiLevelType w:val="multilevel"/>
    <w:tmpl w:val="7FC05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96050"/>
    <w:multiLevelType w:val="hybridMultilevel"/>
    <w:tmpl w:val="406A7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0839B5"/>
    <w:multiLevelType w:val="multilevel"/>
    <w:tmpl w:val="0F96321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692738E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CE1DFF"/>
    <w:multiLevelType w:val="multilevel"/>
    <w:tmpl w:val="7C0E921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CF055B"/>
    <w:multiLevelType w:val="multilevel"/>
    <w:tmpl w:val="33C8C84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7FDC6081"/>
    <w:multiLevelType w:val="hybridMultilevel"/>
    <w:tmpl w:val="F9C6B584"/>
    <w:lvl w:ilvl="0" w:tplc="5B761D0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8"/>
  </w:num>
  <w:num w:numId="4">
    <w:abstractNumId w:val="10"/>
  </w:num>
  <w:num w:numId="5">
    <w:abstractNumId w:val="11"/>
  </w:num>
  <w:num w:numId="6">
    <w:abstractNumId w:val="14"/>
  </w:num>
  <w:num w:numId="7">
    <w:abstractNumId w:val="16"/>
  </w:num>
  <w:num w:numId="8">
    <w:abstractNumId w:val="21"/>
  </w:num>
  <w:num w:numId="9">
    <w:abstractNumId w:val="0"/>
  </w:num>
  <w:num w:numId="10">
    <w:abstractNumId w:val="13"/>
  </w:num>
  <w:num w:numId="11">
    <w:abstractNumId w:val="4"/>
  </w:num>
  <w:num w:numId="12">
    <w:abstractNumId w:val="12"/>
  </w:num>
  <w:num w:numId="13">
    <w:abstractNumId w:val="9"/>
  </w:num>
  <w:num w:numId="14">
    <w:abstractNumId w:val="8"/>
  </w:num>
  <w:num w:numId="15">
    <w:abstractNumId w:val="15"/>
  </w:num>
  <w:num w:numId="16">
    <w:abstractNumId w:val="20"/>
  </w:num>
  <w:num w:numId="17">
    <w:abstractNumId w:val="6"/>
  </w:num>
  <w:num w:numId="18">
    <w:abstractNumId w:val="7"/>
  </w:num>
  <w:num w:numId="19">
    <w:abstractNumId w:val="1"/>
  </w:num>
  <w:num w:numId="20">
    <w:abstractNumId w:val="17"/>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BD"/>
    <w:rsid w:val="00001F77"/>
    <w:rsid w:val="0007643F"/>
    <w:rsid w:val="000C5EA1"/>
    <w:rsid w:val="00144833"/>
    <w:rsid w:val="00166EBD"/>
    <w:rsid w:val="001F02BF"/>
    <w:rsid w:val="0021076F"/>
    <w:rsid w:val="00220877"/>
    <w:rsid w:val="00351435"/>
    <w:rsid w:val="003B1191"/>
    <w:rsid w:val="003E0356"/>
    <w:rsid w:val="00424AE3"/>
    <w:rsid w:val="004B22C3"/>
    <w:rsid w:val="004E2B74"/>
    <w:rsid w:val="004F3C92"/>
    <w:rsid w:val="005719E9"/>
    <w:rsid w:val="00632B74"/>
    <w:rsid w:val="0066528D"/>
    <w:rsid w:val="006C2135"/>
    <w:rsid w:val="006E20D8"/>
    <w:rsid w:val="007436A1"/>
    <w:rsid w:val="007764A5"/>
    <w:rsid w:val="007D3123"/>
    <w:rsid w:val="007E0E5C"/>
    <w:rsid w:val="008D3DC3"/>
    <w:rsid w:val="009C19A7"/>
    <w:rsid w:val="00A755A7"/>
    <w:rsid w:val="00AD6C2A"/>
    <w:rsid w:val="00B60026"/>
    <w:rsid w:val="00BF43DD"/>
    <w:rsid w:val="00C61110"/>
    <w:rsid w:val="00CB60B8"/>
    <w:rsid w:val="00CB6B52"/>
    <w:rsid w:val="00D07D43"/>
    <w:rsid w:val="00D14E93"/>
    <w:rsid w:val="00D62C2C"/>
    <w:rsid w:val="00DD49E9"/>
    <w:rsid w:val="00E33E52"/>
    <w:rsid w:val="00EF2BA1"/>
    <w:rsid w:val="00F8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6BE7A"/>
  <w15:chartTrackingRefBased/>
  <w15:docId w15:val="{DE26A34C-9D61-43FC-8988-94E9ECB9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EB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66EB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166E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6EB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166EBD"/>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66EB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6EB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66EBD"/>
    <w:rPr>
      <w:rFonts w:ascii="Times New Roman" w:eastAsia="Times New Roman" w:hAnsi="Times New Roman" w:cs="Times New Roman"/>
      <w:sz w:val="24"/>
      <w:szCs w:val="24"/>
      <w:lang w:eastAsia="es-MX"/>
    </w:rPr>
  </w:style>
  <w:style w:type="table" w:styleId="Tablanormal1">
    <w:name w:val="Plain Table 1"/>
    <w:basedOn w:val="Tablanormal"/>
    <w:uiPriority w:val="41"/>
    <w:rsid w:val="00166E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166EBD"/>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166EBD"/>
    <w:rPr>
      <w:rFonts w:ascii="Arial" w:eastAsia="Batang" w:hAnsi="Arial" w:cs="Times New Roman"/>
      <w:sz w:val="20"/>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66EB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66EB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66EBD"/>
    <w:rPr>
      <w:vertAlign w:val="superscript"/>
    </w:rPr>
  </w:style>
  <w:style w:type="paragraph" w:styleId="Piedepgina">
    <w:name w:val="footer"/>
    <w:basedOn w:val="Normal"/>
    <w:link w:val="PiedepginaCar"/>
    <w:uiPriority w:val="99"/>
    <w:unhideWhenUsed/>
    <w:rsid w:val="00166EBD"/>
    <w:pPr>
      <w:tabs>
        <w:tab w:val="center" w:pos="4419"/>
        <w:tab w:val="right" w:pos="8838"/>
      </w:tabs>
    </w:pPr>
  </w:style>
  <w:style w:type="character" w:customStyle="1" w:styleId="PiedepginaCar">
    <w:name w:val="Pie de página Car"/>
    <w:basedOn w:val="Fuentedeprrafopredeter"/>
    <w:link w:val="Piedepgina"/>
    <w:uiPriority w:val="99"/>
    <w:rsid w:val="00166EB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9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5653.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413836.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41</Pages>
  <Words>10445</Words>
  <Characters>57453</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2025-12-05T16:01:00Z</cp:lastPrinted>
  <dcterms:created xsi:type="dcterms:W3CDTF">2025-12-01T23:30:00Z</dcterms:created>
  <dcterms:modified xsi:type="dcterms:W3CDTF">2026-01-15T16:51:00Z</dcterms:modified>
</cp:coreProperties>
</file>