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imes New Roman" w:cs="Times New Roman"/>
          <w:sz w:val="16"/>
          <w:szCs w:val="16"/>
          <w:lang w:val="es-ES"/>
        </w:rPr>
        <w:id w:val="1492215735"/>
        <w:docPartObj>
          <w:docPartGallery w:val="Table of Contents"/>
          <w:docPartUnique/>
        </w:docPartObj>
      </w:sdtPr>
      <w:sdtEndPr>
        <w:rPr>
          <w:bCs/>
          <w:sz w:val="22"/>
          <w:szCs w:val="20"/>
        </w:rPr>
      </w:sdtEndPr>
      <w:sdtContent>
        <w:p w14:paraId="1AE18B79" w14:textId="6B195B53" w:rsidR="00AE3DA7" w:rsidRPr="00A80134" w:rsidRDefault="00AE3DA7" w:rsidP="00DD0EE9">
          <w:pPr>
            <w:pStyle w:val="Ttulo1"/>
            <w:rPr>
              <w:lang w:val="es-ES"/>
            </w:rPr>
          </w:pPr>
          <w:r w:rsidRPr="00A80134">
            <w:rPr>
              <w:lang w:val="es-ES"/>
            </w:rPr>
            <w:t>Contenido</w:t>
          </w:r>
        </w:p>
        <w:p w14:paraId="7D03EEFC" w14:textId="71290FC3" w:rsidR="004957C9" w:rsidRDefault="00AE3DA7">
          <w:pPr>
            <w:pStyle w:val="TDC1"/>
            <w:tabs>
              <w:tab w:val="right" w:leader="dot" w:pos="9034"/>
            </w:tabs>
            <w:rPr>
              <w:rFonts w:asciiTheme="minorHAnsi" w:eastAsiaTheme="minorEastAsia" w:hAnsiTheme="minorHAnsi" w:cstheme="minorBidi"/>
              <w:noProof/>
              <w:szCs w:val="22"/>
              <w:lang w:eastAsia="es-MX"/>
            </w:rPr>
          </w:pPr>
          <w:r w:rsidRPr="00A80134">
            <w:rPr>
              <w:sz w:val="16"/>
              <w:szCs w:val="16"/>
            </w:rPr>
            <w:fldChar w:fldCharType="begin"/>
          </w:r>
          <w:r w:rsidRPr="00A80134">
            <w:rPr>
              <w:sz w:val="16"/>
              <w:szCs w:val="16"/>
            </w:rPr>
            <w:instrText xml:space="preserve"> TOC \o "1-3" \h \z \u </w:instrText>
          </w:r>
          <w:r w:rsidRPr="00A80134">
            <w:rPr>
              <w:sz w:val="16"/>
              <w:szCs w:val="16"/>
            </w:rPr>
            <w:fldChar w:fldCharType="separate"/>
          </w:r>
          <w:hyperlink w:anchor="_Toc201768553" w:history="1">
            <w:r w:rsidR="004957C9" w:rsidRPr="00034687">
              <w:rPr>
                <w:rStyle w:val="Hipervnculo"/>
                <w:noProof/>
              </w:rPr>
              <w:t>ANTECEDENTES</w:t>
            </w:r>
            <w:r w:rsidR="004957C9">
              <w:rPr>
                <w:noProof/>
                <w:webHidden/>
              </w:rPr>
              <w:tab/>
            </w:r>
            <w:r w:rsidR="004957C9">
              <w:rPr>
                <w:noProof/>
                <w:webHidden/>
              </w:rPr>
              <w:fldChar w:fldCharType="begin"/>
            </w:r>
            <w:r w:rsidR="004957C9">
              <w:rPr>
                <w:noProof/>
                <w:webHidden/>
              </w:rPr>
              <w:instrText xml:space="preserve"> PAGEREF _Toc201768553 \h </w:instrText>
            </w:r>
            <w:r w:rsidR="004957C9">
              <w:rPr>
                <w:noProof/>
                <w:webHidden/>
              </w:rPr>
            </w:r>
            <w:r w:rsidR="004957C9">
              <w:rPr>
                <w:noProof/>
                <w:webHidden/>
              </w:rPr>
              <w:fldChar w:fldCharType="separate"/>
            </w:r>
            <w:r w:rsidR="00E03D80">
              <w:rPr>
                <w:noProof/>
                <w:webHidden/>
              </w:rPr>
              <w:t>1</w:t>
            </w:r>
            <w:r w:rsidR="004957C9">
              <w:rPr>
                <w:noProof/>
                <w:webHidden/>
              </w:rPr>
              <w:fldChar w:fldCharType="end"/>
            </w:r>
          </w:hyperlink>
        </w:p>
        <w:p w14:paraId="1AF43D59" w14:textId="394A91C6" w:rsidR="004957C9" w:rsidRDefault="00CE3C3A">
          <w:pPr>
            <w:pStyle w:val="TDC2"/>
            <w:rPr>
              <w:rFonts w:asciiTheme="minorHAnsi" w:eastAsiaTheme="minorEastAsia" w:hAnsiTheme="minorHAnsi" w:cstheme="minorBidi"/>
              <w:noProof/>
              <w:szCs w:val="22"/>
              <w:lang w:eastAsia="es-MX"/>
            </w:rPr>
          </w:pPr>
          <w:hyperlink w:anchor="_Toc201768554" w:history="1">
            <w:r w:rsidR="004957C9" w:rsidRPr="00034687">
              <w:rPr>
                <w:rStyle w:val="Hipervnculo"/>
                <w:noProof/>
              </w:rPr>
              <w:t>DE LA SOLICITUD DE INFORMACIÓN</w:t>
            </w:r>
            <w:r w:rsidR="004957C9">
              <w:rPr>
                <w:noProof/>
                <w:webHidden/>
              </w:rPr>
              <w:tab/>
            </w:r>
            <w:r w:rsidR="004957C9">
              <w:rPr>
                <w:noProof/>
                <w:webHidden/>
              </w:rPr>
              <w:fldChar w:fldCharType="begin"/>
            </w:r>
            <w:r w:rsidR="004957C9">
              <w:rPr>
                <w:noProof/>
                <w:webHidden/>
              </w:rPr>
              <w:instrText xml:space="preserve"> PAGEREF _Toc201768554 \h </w:instrText>
            </w:r>
            <w:r w:rsidR="004957C9">
              <w:rPr>
                <w:noProof/>
                <w:webHidden/>
              </w:rPr>
            </w:r>
            <w:r w:rsidR="004957C9">
              <w:rPr>
                <w:noProof/>
                <w:webHidden/>
              </w:rPr>
              <w:fldChar w:fldCharType="separate"/>
            </w:r>
            <w:r w:rsidR="00E03D80">
              <w:rPr>
                <w:noProof/>
                <w:webHidden/>
              </w:rPr>
              <w:t>1</w:t>
            </w:r>
            <w:r w:rsidR="004957C9">
              <w:rPr>
                <w:noProof/>
                <w:webHidden/>
              </w:rPr>
              <w:fldChar w:fldCharType="end"/>
            </w:r>
          </w:hyperlink>
        </w:p>
        <w:p w14:paraId="26E2464A" w14:textId="023B3DF7" w:rsidR="004957C9" w:rsidRDefault="00CE3C3A">
          <w:pPr>
            <w:pStyle w:val="TDC3"/>
            <w:rPr>
              <w:rFonts w:asciiTheme="minorHAnsi" w:eastAsiaTheme="minorEastAsia" w:hAnsiTheme="minorHAnsi" w:cstheme="minorBidi"/>
              <w:noProof/>
              <w:szCs w:val="22"/>
              <w:lang w:eastAsia="es-MX"/>
            </w:rPr>
          </w:pPr>
          <w:hyperlink w:anchor="_Toc201768555" w:history="1">
            <w:r w:rsidR="004957C9" w:rsidRPr="00034687">
              <w:rPr>
                <w:rStyle w:val="Hipervnculo"/>
                <w:noProof/>
              </w:rPr>
              <w:t>a) Solicitud de información</w:t>
            </w:r>
            <w:r w:rsidR="004957C9">
              <w:rPr>
                <w:noProof/>
                <w:webHidden/>
              </w:rPr>
              <w:tab/>
            </w:r>
            <w:r w:rsidR="004957C9">
              <w:rPr>
                <w:noProof/>
                <w:webHidden/>
              </w:rPr>
              <w:fldChar w:fldCharType="begin"/>
            </w:r>
            <w:r w:rsidR="004957C9">
              <w:rPr>
                <w:noProof/>
                <w:webHidden/>
              </w:rPr>
              <w:instrText xml:space="preserve"> PAGEREF _Toc201768555 \h </w:instrText>
            </w:r>
            <w:r w:rsidR="004957C9">
              <w:rPr>
                <w:noProof/>
                <w:webHidden/>
              </w:rPr>
            </w:r>
            <w:r w:rsidR="004957C9">
              <w:rPr>
                <w:noProof/>
                <w:webHidden/>
              </w:rPr>
              <w:fldChar w:fldCharType="separate"/>
            </w:r>
            <w:r w:rsidR="00E03D80">
              <w:rPr>
                <w:noProof/>
                <w:webHidden/>
              </w:rPr>
              <w:t>1</w:t>
            </w:r>
            <w:r w:rsidR="004957C9">
              <w:rPr>
                <w:noProof/>
                <w:webHidden/>
              </w:rPr>
              <w:fldChar w:fldCharType="end"/>
            </w:r>
          </w:hyperlink>
        </w:p>
        <w:p w14:paraId="51AF5F3F" w14:textId="5A2E01B5" w:rsidR="004957C9" w:rsidRDefault="00CE3C3A">
          <w:pPr>
            <w:pStyle w:val="TDC3"/>
            <w:rPr>
              <w:rFonts w:asciiTheme="minorHAnsi" w:eastAsiaTheme="minorEastAsia" w:hAnsiTheme="minorHAnsi" w:cstheme="minorBidi"/>
              <w:noProof/>
              <w:szCs w:val="22"/>
              <w:lang w:eastAsia="es-MX"/>
            </w:rPr>
          </w:pPr>
          <w:hyperlink w:anchor="_Toc201768556" w:history="1">
            <w:r w:rsidR="004957C9" w:rsidRPr="00034687">
              <w:rPr>
                <w:rStyle w:val="Hipervnculo"/>
                <w:noProof/>
              </w:rPr>
              <w:t>b) Turno de la solicitud de información</w:t>
            </w:r>
            <w:r w:rsidR="004957C9">
              <w:rPr>
                <w:noProof/>
                <w:webHidden/>
              </w:rPr>
              <w:tab/>
            </w:r>
            <w:r w:rsidR="004957C9">
              <w:rPr>
                <w:noProof/>
                <w:webHidden/>
              </w:rPr>
              <w:fldChar w:fldCharType="begin"/>
            </w:r>
            <w:r w:rsidR="004957C9">
              <w:rPr>
                <w:noProof/>
                <w:webHidden/>
              </w:rPr>
              <w:instrText xml:space="preserve"> PAGEREF _Toc201768556 \h </w:instrText>
            </w:r>
            <w:r w:rsidR="004957C9">
              <w:rPr>
                <w:noProof/>
                <w:webHidden/>
              </w:rPr>
            </w:r>
            <w:r w:rsidR="004957C9">
              <w:rPr>
                <w:noProof/>
                <w:webHidden/>
              </w:rPr>
              <w:fldChar w:fldCharType="separate"/>
            </w:r>
            <w:r w:rsidR="00E03D80">
              <w:rPr>
                <w:noProof/>
                <w:webHidden/>
              </w:rPr>
              <w:t>2</w:t>
            </w:r>
            <w:r w:rsidR="004957C9">
              <w:rPr>
                <w:noProof/>
                <w:webHidden/>
              </w:rPr>
              <w:fldChar w:fldCharType="end"/>
            </w:r>
          </w:hyperlink>
        </w:p>
        <w:p w14:paraId="4FE5CFF9" w14:textId="6C5DECAC" w:rsidR="004957C9" w:rsidRDefault="00CE3C3A">
          <w:pPr>
            <w:pStyle w:val="TDC3"/>
            <w:rPr>
              <w:rFonts w:asciiTheme="minorHAnsi" w:eastAsiaTheme="minorEastAsia" w:hAnsiTheme="minorHAnsi" w:cstheme="minorBidi"/>
              <w:noProof/>
              <w:szCs w:val="22"/>
              <w:lang w:eastAsia="es-MX"/>
            </w:rPr>
          </w:pPr>
          <w:hyperlink w:anchor="_Toc201768557" w:history="1">
            <w:r w:rsidR="004957C9" w:rsidRPr="00034687">
              <w:rPr>
                <w:rStyle w:val="Hipervnculo"/>
                <w:noProof/>
              </w:rPr>
              <w:t xml:space="preserve">c) </w:t>
            </w:r>
            <w:r w:rsidR="004957C9" w:rsidRPr="00034687">
              <w:rPr>
                <w:rStyle w:val="Hipervnculo"/>
                <w:noProof/>
                <w:lang w:val="es-ES"/>
              </w:rPr>
              <w:t xml:space="preserve">Respuesta </w:t>
            </w:r>
            <w:r w:rsidR="004957C9" w:rsidRPr="00034687">
              <w:rPr>
                <w:rStyle w:val="Hipervnculo"/>
                <w:rFonts w:eastAsia="Calibri"/>
                <w:noProof/>
                <w:lang w:eastAsia="en-US"/>
              </w:rPr>
              <w:t>del Sujeto Obligado</w:t>
            </w:r>
            <w:r w:rsidR="004957C9">
              <w:rPr>
                <w:noProof/>
                <w:webHidden/>
              </w:rPr>
              <w:tab/>
            </w:r>
            <w:r w:rsidR="004957C9">
              <w:rPr>
                <w:noProof/>
                <w:webHidden/>
              </w:rPr>
              <w:fldChar w:fldCharType="begin"/>
            </w:r>
            <w:r w:rsidR="004957C9">
              <w:rPr>
                <w:noProof/>
                <w:webHidden/>
              </w:rPr>
              <w:instrText xml:space="preserve"> PAGEREF _Toc201768557 \h </w:instrText>
            </w:r>
            <w:r w:rsidR="004957C9">
              <w:rPr>
                <w:noProof/>
                <w:webHidden/>
              </w:rPr>
            </w:r>
            <w:r w:rsidR="004957C9">
              <w:rPr>
                <w:noProof/>
                <w:webHidden/>
              </w:rPr>
              <w:fldChar w:fldCharType="separate"/>
            </w:r>
            <w:r w:rsidR="00E03D80">
              <w:rPr>
                <w:noProof/>
                <w:webHidden/>
              </w:rPr>
              <w:t>2</w:t>
            </w:r>
            <w:r w:rsidR="004957C9">
              <w:rPr>
                <w:noProof/>
                <w:webHidden/>
              </w:rPr>
              <w:fldChar w:fldCharType="end"/>
            </w:r>
          </w:hyperlink>
        </w:p>
        <w:p w14:paraId="3E68665D" w14:textId="37BE6C97" w:rsidR="004957C9" w:rsidRDefault="00CE3C3A">
          <w:pPr>
            <w:pStyle w:val="TDC2"/>
            <w:rPr>
              <w:rFonts w:asciiTheme="minorHAnsi" w:eastAsiaTheme="minorEastAsia" w:hAnsiTheme="minorHAnsi" w:cstheme="minorBidi"/>
              <w:noProof/>
              <w:szCs w:val="22"/>
              <w:lang w:eastAsia="es-MX"/>
            </w:rPr>
          </w:pPr>
          <w:hyperlink w:anchor="_Toc201768558" w:history="1">
            <w:r w:rsidR="004957C9" w:rsidRPr="00034687">
              <w:rPr>
                <w:rStyle w:val="Hipervnculo"/>
                <w:noProof/>
              </w:rPr>
              <w:t>DEL RECURSO DE REVISIÓN</w:t>
            </w:r>
            <w:r w:rsidR="004957C9">
              <w:rPr>
                <w:noProof/>
                <w:webHidden/>
              </w:rPr>
              <w:tab/>
            </w:r>
            <w:r w:rsidR="004957C9">
              <w:rPr>
                <w:noProof/>
                <w:webHidden/>
              </w:rPr>
              <w:fldChar w:fldCharType="begin"/>
            </w:r>
            <w:r w:rsidR="004957C9">
              <w:rPr>
                <w:noProof/>
                <w:webHidden/>
              </w:rPr>
              <w:instrText xml:space="preserve"> PAGEREF _Toc201768558 \h </w:instrText>
            </w:r>
            <w:r w:rsidR="004957C9">
              <w:rPr>
                <w:noProof/>
                <w:webHidden/>
              </w:rPr>
            </w:r>
            <w:r w:rsidR="004957C9">
              <w:rPr>
                <w:noProof/>
                <w:webHidden/>
              </w:rPr>
              <w:fldChar w:fldCharType="separate"/>
            </w:r>
            <w:r w:rsidR="00E03D80">
              <w:rPr>
                <w:noProof/>
                <w:webHidden/>
              </w:rPr>
              <w:t>3</w:t>
            </w:r>
            <w:r w:rsidR="004957C9">
              <w:rPr>
                <w:noProof/>
                <w:webHidden/>
              </w:rPr>
              <w:fldChar w:fldCharType="end"/>
            </w:r>
          </w:hyperlink>
        </w:p>
        <w:p w14:paraId="462BCEA2" w14:textId="25D66556" w:rsidR="004957C9" w:rsidRDefault="00CE3C3A">
          <w:pPr>
            <w:pStyle w:val="TDC3"/>
            <w:rPr>
              <w:rFonts w:asciiTheme="minorHAnsi" w:eastAsiaTheme="minorEastAsia" w:hAnsiTheme="minorHAnsi" w:cstheme="minorBidi"/>
              <w:noProof/>
              <w:szCs w:val="22"/>
              <w:lang w:eastAsia="es-MX"/>
            </w:rPr>
          </w:pPr>
          <w:hyperlink w:anchor="_Toc201768559" w:history="1">
            <w:r w:rsidR="004957C9" w:rsidRPr="00034687">
              <w:rPr>
                <w:rStyle w:val="Hipervnculo"/>
                <w:noProof/>
              </w:rPr>
              <w:t>a) Interposición del Recurso de Revisión</w:t>
            </w:r>
            <w:r w:rsidR="004957C9">
              <w:rPr>
                <w:noProof/>
                <w:webHidden/>
              </w:rPr>
              <w:tab/>
            </w:r>
            <w:r w:rsidR="004957C9">
              <w:rPr>
                <w:noProof/>
                <w:webHidden/>
              </w:rPr>
              <w:fldChar w:fldCharType="begin"/>
            </w:r>
            <w:r w:rsidR="004957C9">
              <w:rPr>
                <w:noProof/>
                <w:webHidden/>
              </w:rPr>
              <w:instrText xml:space="preserve"> PAGEREF _Toc201768559 \h </w:instrText>
            </w:r>
            <w:r w:rsidR="004957C9">
              <w:rPr>
                <w:noProof/>
                <w:webHidden/>
              </w:rPr>
            </w:r>
            <w:r w:rsidR="004957C9">
              <w:rPr>
                <w:noProof/>
                <w:webHidden/>
              </w:rPr>
              <w:fldChar w:fldCharType="separate"/>
            </w:r>
            <w:r w:rsidR="00E03D80">
              <w:rPr>
                <w:noProof/>
                <w:webHidden/>
              </w:rPr>
              <w:t>3</w:t>
            </w:r>
            <w:r w:rsidR="004957C9">
              <w:rPr>
                <w:noProof/>
                <w:webHidden/>
              </w:rPr>
              <w:fldChar w:fldCharType="end"/>
            </w:r>
          </w:hyperlink>
        </w:p>
        <w:p w14:paraId="19A2F652" w14:textId="18DA8CCD" w:rsidR="004957C9" w:rsidRDefault="00CE3C3A">
          <w:pPr>
            <w:pStyle w:val="TDC3"/>
            <w:rPr>
              <w:rFonts w:asciiTheme="minorHAnsi" w:eastAsiaTheme="minorEastAsia" w:hAnsiTheme="minorHAnsi" w:cstheme="minorBidi"/>
              <w:noProof/>
              <w:szCs w:val="22"/>
              <w:lang w:eastAsia="es-MX"/>
            </w:rPr>
          </w:pPr>
          <w:hyperlink w:anchor="_Toc201768560" w:history="1">
            <w:r w:rsidR="004957C9" w:rsidRPr="00034687">
              <w:rPr>
                <w:rStyle w:val="Hipervnculo"/>
                <w:noProof/>
              </w:rPr>
              <w:t>b) Turno del Recurso de Revisión</w:t>
            </w:r>
            <w:r w:rsidR="004957C9">
              <w:rPr>
                <w:noProof/>
                <w:webHidden/>
              </w:rPr>
              <w:tab/>
            </w:r>
            <w:r w:rsidR="004957C9">
              <w:rPr>
                <w:noProof/>
                <w:webHidden/>
              </w:rPr>
              <w:fldChar w:fldCharType="begin"/>
            </w:r>
            <w:r w:rsidR="004957C9">
              <w:rPr>
                <w:noProof/>
                <w:webHidden/>
              </w:rPr>
              <w:instrText xml:space="preserve"> PAGEREF _Toc201768560 \h </w:instrText>
            </w:r>
            <w:r w:rsidR="004957C9">
              <w:rPr>
                <w:noProof/>
                <w:webHidden/>
              </w:rPr>
            </w:r>
            <w:r w:rsidR="004957C9">
              <w:rPr>
                <w:noProof/>
                <w:webHidden/>
              </w:rPr>
              <w:fldChar w:fldCharType="separate"/>
            </w:r>
            <w:r w:rsidR="00E03D80">
              <w:rPr>
                <w:noProof/>
                <w:webHidden/>
              </w:rPr>
              <w:t>4</w:t>
            </w:r>
            <w:r w:rsidR="004957C9">
              <w:rPr>
                <w:noProof/>
                <w:webHidden/>
              </w:rPr>
              <w:fldChar w:fldCharType="end"/>
            </w:r>
          </w:hyperlink>
        </w:p>
        <w:p w14:paraId="1BD0569F" w14:textId="4102F674" w:rsidR="004957C9" w:rsidRDefault="00CE3C3A">
          <w:pPr>
            <w:pStyle w:val="TDC3"/>
            <w:rPr>
              <w:rFonts w:asciiTheme="minorHAnsi" w:eastAsiaTheme="minorEastAsia" w:hAnsiTheme="minorHAnsi" w:cstheme="minorBidi"/>
              <w:noProof/>
              <w:szCs w:val="22"/>
              <w:lang w:eastAsia="es-MX"/>
            </w:rPr>
          </w:pPr>
          <w:hyperlink w:anchor="_Toc201768561" w:history="1">
            <w:r w:rsidR="004957C9" w:rsidRPr="00034687">
              <w:rPr>
                <w:rStyle w:val="Hipervnculo"/>
                <w:noProof/>
              </w:rPr>
              <w:t>c) Admisión del Recurso de Revisión</w:t>
            </w:r>
            <w:r w:rsidR="004957C9">
              <w:rPr>
                <w:noProof/>
                <w:webHidden/>
              </w:rPr>
              <w:tab/>
            </w:r>
            <w:r w:rsidR="004957C9">
              <w:rPr>
                <w:noProof/>
                <w:webHidden/>
              </w:rPr>
              <w:fldChar w:fldCharType="begin"/>
            </w:r>
            <w:r w:rsidR="004957C9">
              <w:rPr>
                <w:noProof/>
                <w:webHidden/>
              </w:rPr>
              <w:instrText xml:space="preserve"> PAGEREF _Toc201768561 \h </w:instrText>
            </w:r>
            <w:r w:rsidR="004957C9">
              <w:rPr>
                <w:noProof/>
                <w:webHidden/>
              </w:rPr>
            </w:r>
            <w:r w:rsidR="004957C9">
              <w:rPr>
                <w:noProof/>
                <w:webHidden/>
              </w:rPr>
              <w:fldChar w:fldCharType="separate"/>
            </w:r>
            <w:r w:rsidR="00E03D80">
              <w:rPr>
                <w:noProof/>
                <w:webHidden/>
              </w:rPr>
              <w:t>4</w:t>
            </w:r>
            <w:r w:rsidR="004957C9">
              <w:rPr>
                <w:noProof/>
                <w:webHidden/>
              </w:rPr>
              <w:fldChar w:fldCharType="end"/>
            </w:r>
          </w:hyperlink>
        </w:p>
        <w:p w14:paraId="2297D965" w14:textId="352EF762" w:rsidR="004957C9" w:rsidRDefault="00CE3C3A">
          <w:pPr>
            <w:pStyle w:val="TDC3"/>
            <w:rPr>
              <w:rFonts w:asciiTheme="minorHAnsi" w:eastAsiaTheme="minorEastAsia" w:hAnsiTheme="minorHAnsi" w:cstheme="minorBidi"/>
              <w:noProof/>
              <w:szCs w:val="22"/>
              <w:lang w:eastAsia="es-MX"/>
            </w:rPr>
          </w:pPr>
          <w:hyperlink w:anchor="_Toc201768562" w:history="1">
            <w:r w:rsidR="004957C9" w:rsidRPr="00034687">
              <w:rPr>
                <w:rStyle w:val="Hipervnculo"/>
                <w:noProof/>
              </w:rPr>
              <w:t>d) Informe Justificado del Sujeto Obligado</w:t>
            </w:r>
            <w:r w:rsidR="004957C9">
              <w:rPr>
                <w:noProof/>
                <w:webHidden/>
              </w:rPr>
              <w:tab/>
            </w:r>
            <w:r w:rsidR="004957C9">
              <w:rPr>
                <w:noProof/>
                <w:webHidden/>
              </w:rPr>
              <w:fldChar w:fldCharType="begin"/>
            </w:r>
            <w:r w:rsidR="004957C9">
              <w:rPr>
                <w:noProof/>
                <w:webHidden/>
              </w:rPr>
              <w:instrText xml:space="preserve"> PAGEREF _Toc201768562 \h </w:instrText>
            </w:r>
            <w:r w:rsidR="004957C9">
              <w:rPr>
                <w:noProof/>
                <w:webHidden/>
              </w:rPr>
            </w:r>
            <w:r w:rsidR="004957C9">
              <w:rPr>
                <w:noProof/>
                <w:webHidden/>
              </w:rPr>
              <w:fldChar w:fldCharType="separate"/>
            </w:r>
            <w:r w:rsidR="00E03D80">
              <w:rPr>
                <w:noProof/>
                <w:webHidden/>
              </w:rPr>
              <w:t>4</w:t>
            </w:r>
            <w:r w:rsidR="004957C9">
              <w:rPr>
                <w:noProof/>
                <w:webHidden/>
              </w:rPr>
              <w:fldChar w:fldCharType="end"/>
            </w:r>
          </w:hyperlink>
        </w:p>
        <w:p w14:paraId="367BC40B" w14:textId="42E306E3" w:rsidR="004957C9" w:rsidRDefault="00CE3C3A">
          <w:pPr>
            <w:pStyle w:val="TDC3"/>
            <w:rPr>
              <w:rFonts w:asciiTheme="minorHAnsi" w:eastAsiaTheme="minorEastAsia" w:hAnsiTheme="minorHAnsi" w:cstheme="minorBidi"/>
              <w:noProof/>
              <w:szCs w:val="22"/>
              <w:lang w:eastAsia="es-MX"/>
            </w:rPr>
          </w:pPr>
          <w:hyperlink w:anchor="_Toc201768563" w:history="1">
            <w:r w:rsidR="004957C9" w:rsidRPr="00034687">
              <w:rPr>
                <w:rStyle w:val="Hipervnculo"/>
                <w:rFonts w:eastAsia="Calibri"/>
                <w:bCs/>
                <w:noProof/>
                <w:lang w:eastAsia="en-US"/>
              </w:rPr>
              <w:t>e)</w:t>
            </w:r>
            <w:r w:rsidR="004957C9" w:rsidRPr="00034687">
              <w:rPr>
                <w:rStyle w:val="Hipervnculo"/>
                <w:noProof/>
              </w:rPr>
              <w:t xml:space="preserve"> </w:t>
            </w:r>
            <w:r w:rsidR="004957C9" w:rsidRPr="00034687">
              <w:rPr>
                <w:rStyle w:val="Hipervnculo"/>
                <w:noProof/>
                <w:lang w:val="es-ES"/>
              </w:rPr>
              <w:t>Manifestaciones de la Parte Recurrente</w:t>
            </w:r>
            <w:r w:rsidR="004957C9">
              <w:rPr>
                <w:noProof/>
                <w:webHidden/>
              </w:rPr>
              <w:tab/>
            </w:r>
            <w:r w:rsidR="004957C9">
              <w:rPr>
                <w:noProof/>
                <w:webHidden/>
              </w:rPr>
              <w:fldChar w:fldCharType="begin"/>
            </w:r>
            <w:r w:rsidR="004957C9">
              <w:rPr>
                <w:noProof/>
                <w:webHidden/>
              </w:rPr>
              <w:instrText xml:space="preserve"> PAGEREF _Toc201768563 \h </w:instrText>
            </w:r>
            <w:r w:rsidR="004957C9">
              <w:rPr>
                <w:noProof/>
                <w:webHidden/>
              </w:rPr>
            </w:r>
            <w:r w:rsidR="004957C9">
              <w:rPr>
                <w:noProof/>
                <w:webHidden/>
              </w:rPr>
              <w:fldChar w:fldCharType="separate"/>
            </w:r>
            <w:r w:rsidR="00E03D80">
              <w:rPr>
                <w:noProof/>
                <w:webHidden/>
              </w:rPr>
              <w:t>5</w:t>
            </w:r>
            <w:r w:rsidR="004957C9">
              <w:rPr>
                <w:noProof/>
                <w:webHidden/>
              </w:rPr>
              <w:fldChar w:fldCharType="end"/>
            </w:r>
          </w:hyperlink>
        </w:p>
        <w:p w14:paraId="451CB75B" w14:textId="06D85F82" w:rsidR="004957C9" w:rsidRDefault="00CE3C3A">
          <w:pPr>
            <w:pStyle w:val="TDC3"/>
            <w:rPr>
              <w:rFonts w:asciiTheme="minorHAnsi" w:eastAsiaTheme="minorEastAsia" w:hAnsiTheme="minorHAnsi" w:cstheme="minorBidi"/>
              <w:noProof/>
              <w:szCs w:val="22"/>
              <w:lang w:eastAsia="es-MX"/>
            </w:rPr>
          </w:pPr>
          <w:hyperlink w:anchor="_Toc201768564" w:history="1">
            <w:r w:rsidR="004957C9" w:rsidRPr="00034687">
              <w:rPr>
                <w:rStyle w:val="Hipervnculo"/>
                <w:rFonts w:eastAsia="Calibri"/>
                <w:noProof/>
              </w:rPr>
              <w:t>f) Desistimiento del Recurso Revisión.</w:t>
            </w:r>
            <w:r w:rsidR="004957C9">
              <w:rPr>
                <w:noProof/>
                <w:webHidden/>
              </w:rPr>
              <w:tab/>
            </w:r>
            <w:r w:rsidR="004957C9">
              <w:rPr>
                <w:noProof/>
                <w:webHidden/>
              </w:rPr>
              <w:fldChar w:fldCharType="begin"/>
            </w:r>
            <w:r w:rsidR="004957C9">
              <w:rPr>
                <w:noProof/>
                <w:webHidden/>
              </w:rPr>
              <w:instrText xml:space="preserve"> PAGEREF _Toc201768564 \h </w:instrText>
            </w:r>
            <w:r w:rsidR="004957C9">
              <w:rPr>
                <w:noProof/>
                <w:webHidden/>
              </w:rPr>
            </w:r>
            <w:r w:rsidR="004957C9">
              <w:rPr>
                <w:noProof/>
                <w:webHidden/>
              </w:rPr>
              <w:fldChar w:fldCharType="separate"/>
            </w:r>
            <w:r w:rsidR="00E03D80">
              <w:rPr>
                <w:noProof/>
                <w:webHidden/>
              </w:rPr>
              <w:t>5</w:t>
            </w:r>
            <w:r w:rsidR="004957C9">
              <w:rPr>
                <w:noProof/>
                <w:webHidden/>
              </w:rPr>
              <w:fldChar w:fldCharType="end"/>
            </w:r>
          </w:hyperlink>
        </w:p>
        <w:p w14:paraId="79B30455" w14:textId="3A9B449C" w:rsidR="004957C9" w:rsidRDefault="00CE3C3A">
          <w:pPr>
            <w:pStyle w:val="TDC3"/>
            <w:rPr>
              <w:rFonts w:asciiTheme="minorHAnsi" w:eastAsiaTheme="minorEastAsia" w:hAnsiTheme="minorHAnsi" w:cstheme="minorBidi"/>
              <w:noProof/>
              <w:szCs w:val="22"/>
              <w:lang w:eastAsia="es-MX"/>
            </w:rPr>
          </w:pPr>
          <w:hyperlink w:anchor="_Toc201768565" w:history="1">
            <w:r w:rsidR="004957C9" w:rsidRPr="00034687">
              <w:rPr>
                <w:rStyle w:val="Hipervnculo"/>
                <w:noProof/>
              </w:rPr>
              <w:t>g) Cierre de instrucción</w:t>
            </w:r>
            <w:r w:rsidR="004957C9">
              <w:rPr>
                <w:noProof/>
                <w:webHidden/>
              </w:rPr>
              <w:tab/>
            </w:r>
            <w:r w:rsidR="004957C9">
              <w:rPr>
                <w:noProof/>
                <w:webHidden/>
              </w:rPr>
              <w:fldChar w:fldCharType="begin"/>
            </w:r>
            <w:r w:rsidR="004957C9">
              <w:rPr>
                <w:noProof/>
                <w:webHidden/>
              </w:rPr>
              <w:instrText xml:space="preserve"> PAGEREF _Toc201768565 \h </w:instrText>
            </w:r>
            <w:r w:rsidR="004957C9">
              <w:rPr>
                <w:noProof/>
                <w:webHidden/>
              </w:rPr>
            </w:r>
            <w:r w:rsidR="004957C9">
              <w:rPr>
                <w:noProof/>
                <w:webHidden/>
              </w:rPr>
              <w:fldChar w:fldCharType="separate"/>
            </w:r>
            <w:r w:rsidR="00E03D80">
              <w:rPr>
                <w:noProof/>
                <w:webHidden/>
              </w:rPr>
              <w:t>6</w:t>
            </w:r>
            <w:r w:rsidR="004957C9">
              <w:rPr>
                <w:noProof/>
                <w:webHidden/>
              </w:rPr>
              <w:fldChar w:fldCharType="end"/>
            </w:r>
          </w:hyperlink>
        </w:p>
        <w:p w14:paraId="63BA2EC2" w14:textId="359AF073" w:rsidR="004957C9" w:rsidRDefault="00CE3C3A">
          <w:pPr>
            <w:pStyle w:val="TDC1"/>
            <w:tabs>
              <w:tab w:val="right" w:leader="dot" w:pos="9034"/>
            </w:tabs>
            <w:rPr>
              <w:rFonts w:asciiTheme="minorHAnsi" w:eastAsiaTheme="minorEastAsia" w:hAnsiTheme="minorHAnsi" w:cstheme="minorBidi"/>
              <w:noProof/>
              <w:szCs w:val="22"/>
              <w:lang w:eastAsia="es-MX"/>
            </w:rPr>
          </w:pPr>
          <w:hyperlink w:anchor="_Toc201768566" w:history="1">
            <w:r w:rsidR="004957C9" w:rsidRPr="00034687">
              <w:rPr>
                <w:rStyle w:val="Hipervnculo"/>
                <w:rFonts w:eastAsiaTheme="minorHAnsi"/>
                <w:noProof/>
                <w:lang w:eastAsia="en-US"/>
              </w:rPr>
              <w:t>CONSIDERANDOS</w:t>
            </w:r>
            <w:r w:rsidR="004957C9">
              <w:rPr>
                <w:noProof/>
                <w:webHidden/>
              </w:rPr>
              <w:tab/>
            </w:r>
            <w:r w:rsidR="004957C9">
              <w:rPr>
                <w:noProof/>
                <w:webHidden/>
              </w:rPr>
              <w:fldChar w:fldCharType="begin"/>
            </w:r>
            <w:r w:rsidR="004957C9">
              <w:rPr>
                <w:noProof/>
                <w:webHidden/>
              </w:rPr>
              <w:instrText xml:space="preserve"> PAGEREF _Toc201768566 \h </w:instrText>
            </w:r>
            <w:r w:rsidR="004957C9">
              <w:rPr>
                <w:noProof/>
                <w:webHidden/>
              </w:rPr>
            </w:r>
            <w:r w:rsidR="004957C9">
              <w:rPr>
                <w:noProof/>
                <w:webHidden/>
              </w:rPr>
              <w:fldChar w:fldCharType="separate"/>
            </w:r>
            <w:r w:rsidR="00E03D80">
              <w:rPr>
                <w:noProof/>
                <w:webHidden/>
              </w:rPr>
              <w:t>6</w:t>
            </w:r>
            <w:r w:rsidR="004957C9">
              <w:rPr>
                <w:noProof/>
                <w:webHidden/>
              </w:rPr>
              <w:fldChar w:fldCharType="end"/>
            </w:r>
          </w:hyperlink>
        </w:p>
        <w:p w14:paraId="78A0A84F" w14:textId="73602E97" w:rsidR="004957C9" w:rsidRDefault="00CE3C3A">
          <w:pPr>
            <w:pStyle w:val="TDC2"/>
            <w:rPr>
              <w:rFonts w:asciiTheme="minorHAnsi" w:eastAsiaTheme="minorEastAsia" w:hAnsiTheme="minorHAnsi" w:cstheme="minorBidi"/>
              <w:noProof/>
              <w:szCs w:val="22"/>
              <w:lang w:eastAsia="es-MX"/>
            </w:rPr>
          </w:pPr>
          <w:hyperlink w:anchor="_Toc201768567" w:history="1">
            <w:r w:rsidR="004957C9" w:rsidRPr="00034687">
              <w:rPr>
                <w:rStyle w:val="Hipervnculo"/>
                <w:rFonts w:eastAsia="Batang"/>
                <w:noProof/>
              </w:rPr>
              <w:t>PRIMERO. Procedibilidad</w:t>
            </w:r>
            <w:r w:rsidR="004957C9">
              <w:rPr>
                <w:noProof/>
                <w:webHidden/>
              </w:rPr>
              <w:tab/>
            </w:r>
            <w:r w:rsidR="004957C9">
              <w:rPr>
                <w:noProof/>
                <w:webHidden/>
              </w:rPr>
              <w:fldChar w:fldCharType="begin"/>
            </w:r>
            <w:r w:rsidR="004957C9">
              <w:rPr>
                <w:noProof/>
                <w:webHidden/>
              </w:rPr>
              <w:instrText xml:space="preserve"> PAGEREF _Toc201768567 \h </w:instrText>
            </w:r>
            <w:r w:rsidR="004957C9">
              <w:rPr>
                <w:noProof/>
                <w:webHidden/>
              </w:rPr>
            </w:r>
            <w:r w:rsidR="004957C9">
              <w:rPr>
                <w:noProof/>
                <w:webHidden/>
              </w:rPr>
              <w:fldChar w:fldCharType="separate"/>
            </w:r>
            <w:r w:rsidR="00E03D80">
              <w:rPr>
                <w:noProof/>
                <w:webHidden/>
              </w:rPr>
              <w:t>6</w:t>
            </w:r>
            <w:r w:rsidR="004957C9">
              <w:rPr>
                <w:noProof/>
                <w:webHidden/>
              </w:rPr>
              <w:fldChar w:fldCharType="end"/>
            </w:r>
          </w:hyperlink>
        </w:p>
        <w:p w14:paraId="4665C4C0" w14:textId="279517E9" w:rsidR="004957C9" w:rsidRDefault="00CE3C3A">
          <w:pPr>
            <w:pStyle w:val="TDC3"/>
            <w:rPr>
              <w:rFonts w:asciiTheme="minorHAnsi" w:eastAsiaTheme="minorEastAsia" w:hAnsiTheme="minorHAnsi" w:cstheme="minorBidi"/>
              <w:noProof/>
              <w:szCs w:val="22"/>
              <w:lang w:eastAsia="es-MX"/>
            </w:rPr>
          </w:pPr>
          <w:hyperlink w:anchor="_Toc201768568" w:history="1">
            <w:r w:rsidR="004957C9" w:rsidRPr="00034687">
              <w:rPr>
                <w:rStyle w:val="Hipervnculo"/>
                <w:noProof/>
              </w:rPr>
              <w:t>a) Competencia del Instituto</w:t>
            </w:r>
            <w:r w:rsidR="004957C9">
              <w:rPr>
                <w:noProof/>
                <w:webHidden/>
              </w:rPr>
              <w:tab/>
            </w:r>
            <w:r w:rsidR="004957C9">
              <w:rPr>
                <w:noProof/>
                <w:webHidden/>
              </w:rPr>
              <w:fldChar w:fldCharType="begin"/>
            </w:r>
            <w:r w:rsidR="004957C9">
              <w:rPr>
                <w:noProof/>
                <w:webHidden/>
              </w:rPr>
              <w:instrText xml:space="preserve"> PAGEREF _Toc201768568 \h </w:instrText>
            </w:r>
            <w:r w:rsidR="004957C9">
              <w:rPr>
                <w:noProof/>
                <w:webHidden/>
              </w:rPr>
            </w:r>
            <w:r w:rsidR="004957C9">
              <w:rPr>
                <w:noProof/>
                <w:webHidden/>
              </w:rPr>
              <w:fldChar w:fldCharType="separate"/>
            </w:r>
            <w:r w:rsidR="00E03D80">
              <w:rPr>
                <w:noProof/>
                <w:webHidden/>
              </w:rPr>
              <w:t>6</w:t>
            </w:r>
            <w:r w:rsidR="004957C9">
              <w:rPr>
                <w:noProof/>
                <w:webHidden/>
              </w:rPr>
              <w:fldChar w:fldCharType="end"/>
            </w:r>
          </w:hyperlink>
        </w:p>
        <w:p w14:paraId="4939E2E0" w14:textId="5E9C2C3F" w:rsidR="004957C9" w:rsidRDefault="00CE3C3A">
          <w:pPr>
            <w:pStyle w:val="TDC3"/>
            <w:rPr>
              <w:rFonts w:asciiTheme="minorHAnsi" w:eastAsiaTheme="minorEastAsia" w:hAnsiTheme="minorHAnsi" w:cstheme="minorBidi"/>
              <w:noProof/>
              <w:szCs w:val="22"/>
              <w:lang w:eastAsia="es-MX"/>
            </w:rPr>
          </w:pPr>
          <w:hyperlink w:anchor="_Toc201768569" w:history="1">
            <w:r w:rsidR="004957C9" w:rsidRPr="00034687">
              <w:rPr>
                <w:rStyle w:val="Hipervnculo"/>
                <w:noProof/>
              </w:rPr>
              <w:t>b) Legitimidad de la parte recurrente</w:t>
            </w:r>
            <w:r w:rsidR="004957C9">
              <w:rPr>
                <w:noProof/>
                <w:webHidden/>
              </w:rPr>
              <w:tab/>
            </w:r>
            <w:r w:rsidR="004957C9">
              <w:rPr>
                <w:noProof/>
                <w:webHidden/>
              </w:rPr>
              <w:fldChar w:fldCharType="begin"/>
            </w:r>
            <w:r w:rsidR="004957C9">
              <w:rPr>
                <w:noProof/>
                <w:webHidden/>
              </w:rPr>
              <w:instrText xml:space="preserve"> PAGEREF _Toc201768569 \h </w:instrText>
            </w:r>
            <w:r w:rsidR="004957C9">
              <w:rPr>
                <w:noProof/>
                <w:webHidden/>
              </w:rPr>
            </w:r>
            <w:r w:rsidR="004957C9">
              <w:rPr>
                <w:noProof/>
                <w:webHidden/>
              </w:rPr>
              <w:fldChar w:fldCharType="separate"/>
            </w:r>
            <w:r w:rsidR="00E03D80">
              <w:rPr>
                <w:noProof/>
                <w:webHidden/>
              </w:rPr>
              <w:t>6</w:t>
            </w:r>
            <w:r w:rsidR="004957C9">
              <w:rPr>
                <w:noProof/>
                <w:webHidden/>
              </w:rPr>
              <w:fldChar w:fldCharType="end"/>
            </w:r>
          </w:hyperlink>
        </w:p>
        <w:p w14:paraId="4CC17F25" w14:textId="2E3212E3" w:rsidR="004957C9" w:rsidRDefault="00CE3C3A">
          <w:pPr>
            <w:pStyle w:val="TDC3"/>
            <w:rPr>
              <w:rFonts w:asciiTheme="minorHAnsi" w:eastAsiaTheme="minorEastAsia" w:hAnsiTheme="minorHAnsi" w:cstheme="minorBidi"/>
              <w:noProof/>
              <w:szCs w:val="22"/>
              <w:lang w:eastAsia="es-MX"/>
            </w:rPr>
          </w:pPr>
          <w:hyperlink w:anchor="_Toc201768570" w:history="1">
            <w:r w:rsidR="004957C9" w:rsidRPr="00034687">
              <w:rPr>
                <w:rStyle w:val="Hipervnculo"/>
                <w:rFonts w:eastAsia="Calibri"/>
                <w:noProof/>
                <w:lang w:eastAsia="es-ES_tradnl"/>
              </w:rPr>
              <w:t>c) Plazo para interponer el recurso</w:t>
            </w:r>
            <w:r w:rsidR="004957C9">
              <w:rPr>
                <w:noProof/>
                <w:webHidden/>
              </w:rPr>
              <w:tab/>
            </w:r>
            <w:r w:rsidR="004957C9">
              <w:rPr>
                <w:noProof/>
                <w:webHidden/>
              </w:rPr>
              <w:fldChar w:fldCharType="begin"/>
            </w:r>
            <w:r w:rsidR="004957C9">
              <w:rPr>
                <w:noProof/>
                <w:webHidden/>
              </w:rPr>
              <w:instrText xml:space="preserve"> PAGEREF _Toc201768570 \h </w:instrText>
            </w:r>
            <w:r w:rsidR="004957C9">
              <w:rPr>
                <w:noProof/>
                <w:webHidden/>
              </w:rPr>
            </w:r>
            <w:r w:rsidR="004957C9">
              <w:rPr>
                <w:noProof/>
                <w:webHidden/>
              </w:rPr>
              <w:fldChar w:fldCharType="separate"/>
            </w:r>
            <w:r w:rsidR="00E03D80">
              <w:rPr>
                <w:noProof/>
                <w:webHidden/>
              </w:rPr>
              <w:t>7</w:t>
            </w:r>
            <w:r w:rsidR="004957C9">
              <w:rPr>
                <w:noProof/>
                <w:webHidden/>
              </w:rPr>
              <w:fldChar w:fldCharType="end"/>
            </w:r>
          </w:hyperlink>
        </w:p>
        <w:p w14:paraId="36378B21" w14:textId="15BF62C9" w:rsidR="004957C9" w:rsidRDefault="00CE3C3A">
          <w:pPr>
            <w:pStyle w:val="TDC3"/>
            <w:rPr>
              <w:rFonts w:asciiTheme="minorHAnsi" w:eastAsiaTheme="minorEastAsia" w:hAnsiTheme="minorHAnsi" w:cstheme="minorBidi"/>
              <w:noProof/>
              <w:szCs w:val="22"/>
              <w:lang w:eastAsia="es-MX"/>
            </w:rPr>
          </w:pPr>
          <w:hyperlink w:anchor="_Toc201768571" w:history="1">
            <w:r w:rsidR="004957C9" w:rsidRPr="00034687">
              <w:rPr>
                <w:rStyle w:val="Hipervnculo"/>
                <w:rFonts w:eastAsia="Calibri"/>
                <w:noProof/>
                <w:lang w:eastAsia="es-ES_tradnl"/>
              </w:rPr>
              <w:t>d) Causal de procedencia</w:t>
            </w:r>
            <w:r w:rsidR="004957C9">
              <w:rPr>
                <w:noProof/>
                <w:webHidden/>
              </w:rPr>
              <w:tab/>
            </w:r>
            <w:r w:rsidR="004957C9">
              <w:rPr>
                <w:noProof/>
                <w:webHidden/>
              </w:rPr>
              <w:fldChar w:fldCharType="begin"/>
            </w:r>
            <w:r w:rsidR="004957C9">
              <w:rPr>
                <w:noProof/>
                <w:webHidden/>
              </w:rPr>
              <w:instrText xml:space="preserve"> PAGEREF _Toc201768571 \h </w:instrText>
            </w:r>
            <w:r w:rsidR="004957C9">
              <w:rPr>
                <w:noProof/>
                <w:webHidden/>
              </w:rPr>
            </w:r>
            <w:r w:rsidR="004957C9">
              <w:rPr>
                <w:noProof/>
                <w:webHidden/>
              </w:rPr>
              <w:fldChar w:fldCharType="separate"/>
            </w:r>
            <w:r w:rsidR="00E03D80">
              <w:rPr>
                <w:noProof/>
                <w:webHidden/>
              </w:rPr>
              <w:t>7</w:t>
            </w:r>
            <w:r w:rsidR="004957C9">
              <w:rPr>
                <w:noProof/>
                <w:webHidden/>
              </w:rPr>
              <w:fldChar w:fldCharType="end"/>
            </w:r>
          </w:hyperlink>
        </w:p>
        <w:p w14:paraId="0BE13EEB" w14:textId="524FAC1C" w:rsidR="004957C9" w:rsidRDefault="00CE3C3A">
          <w:pPr>
            <w:pStyle w:val="TDC3"/>
            <w:rPr>
              <w:rFonts w:asciiTheme="minorHAnsi" w:eastAsiaTheme="minorEastAsia" w:hAnsiTheme="minorHAnsi" w:cstheme="minorBidi"/>
              <w:noProof/>
              <w:szCs w:val="22"/>
              <w:lang w:eastAsia="es-MX"/>
            </w:rPr>
          </w:pPr>
          <w:hyperlink w:anchor="_Toc201768572" w:history="1">
            <w:r w:rsidR="004957C9" w:rsidRPr="00034687">
              <w:rPr>
                <w:rStyle w:val="Hipervnculo"/>
                <w:noProof/>
              </w:rPr>
              <w:t>e) Requisitos formales para la interposición del recurso</w:t>
            </w:r>
            <w:r w:rsidR="004957C9">
              <w:rPr>
                <w:noProof/>
                <w:webHidden/>
              </w:rPr>
              <w:tab/>
            </w:r>
            <w:r w:rsidR="004957C9">
              <w:rPr>
                <w:noProof/>
                <w:webHidden/>
              </w:rPr>
              <w:fldChar w:fldCharType="begin"/>
            </w:r>
            <w:r w:rsidR="004957C9">
              <w:rPr>
                <w:noProof/>
                <w:webHidden/>
              </w:rPr>
              <w:instrText xml:space="preserve"> PAGEREF _Toc201768572 \h </w:instrText>
            </w:r>
            <w:r w:rsidR="004957C9">
              <w:rPr>
                <w:noProof/>
                <w:webHidden/>
              </w:rPr>
            </w:r>
            <w:r w:rsidR="004957C9">
              <w:rPr>
                <w:noProof/>
                <w:webHidden/>
              </w:rPr>
              <w:fldChar w:fldCharType="separate"/>
            </w:r>
            <w:r w:rsidR="00E03D80">
              <w:rPr>
                <w:noProof/>
                <w:webHidden/>
              </w:rPr>
              <w:t>7</w:t>
            </w:r>
            <w:r w:rsidR="004957C9">
              <w:rPr>
                <w:noProof/>
                <w:webHidden/>
              </w:rPr>
              <w:fldChar w:fldCharType="end"/>
            </w:r>
          </w:hyperlink>
        </w:p>
        <w:p w14:paraId="5B376D40" w14:textId="3E2C114A" w:rsidR="004957C9" w:rsidRDefault="00CE3C3A">
          <w:pPr>
            <w:pStyle w:val="TDC2"/>
            <w:rPr>
              <w:rFonts w:asciiTheme="minorHAnsi" w:eastAsiaTheme="minorEastAsia" w:hAnsiTheme="minorHAnsi" w:cstheme="minorBidi"/>
              <w:noProof/>
              <w:szCs w:val="22"/>
              <w:lang w:eastAsia="es-MX"/>
            </w:rPr>
          </w:pPr>
          <w:hyperlink w:anchor="_Toc201768573" w:history="1">
            <w:r w:rsidR="004957C9" w:rsidRPr="00034687">
              <w:rPr>
                <w:rStyle w:val="Hipervnculo"/>
                <w:noProof/>
              </w:rPr>
              <w:t>SEGUNDO. Estudio de Fondo</w:t>
            </w:r>
            <w:r w:rsidR="004957C9">
              <w:rPr>
                <w:noProof/>
                <w:webHidden/>
              </w:rPr>
              <w:tab/>
            </w:r>
            <w:r w:rsidR="004957C9">
              <w:rPr>
                <w:noProof/>
                <w:webHidden/>
              </w:rPr>
              <w:fldChar w:fldCharType="begin"/>
            </w:r>
            <w:r w:rsidR="004957C9">
              <w:rPr>
                <w:noProof/>
                <w:webHidden/>
              </w:rPr>
              <w:instrText xml:space="preserve"> PAGEREF _Toc201768573 \h </w:instrText>
            </w:r>
            <w:r w:rsidR="004957C9">
              <w:rPr>
                <w:noProof/>
                <w:webHidden/>
              </w:rPr>
            </w:r>
            <w:r w:rsidR="004957C9">
              <w:rPr>
                <w:noProof/>
                <w:webHidden/>
              </w:rPr>
              <w:fldChar w:fldCharType="separate"/>
            </w:r>
            <w:r w:rsidR="00E03D80">
              <w:rPr>
                <w:noProof/>
                <w:webHidden/>
              </w:rPr>
              <w:t>8</w:t>
            </w:r>
            <w:r w:rsidR="004957C9">
              <w:rPr>
                <w:noProof/>
                <w:webHidden/>
              </w:rPr>
              <w:fldChar w:fldCharType="end"/>
            </w:r>
          </w:hyperlink>
        </w:p>
        <w:p w14:paraId="78670CB5" w14:textId="072E4491" w:rsidR="004957C9" w:rsidRDefault="00CE3C3A">
          <w:pPr>
            <w:pStyle w:val="TDC3"/>
            <w:rPr>
              <w:rFonts w:asciiTheme="minorHAnsi" w:eastAsiaTheme="minorEastAsia" w:hAnsiTheme="minorHAnsi" w:cstheme="minorBidi"/>
              <w:noProof/>
              <w:szCs w:val="22"/>
              <w:lang w:eastAsia="es-MX"/>
            </w:rPr>
          </w:pPr>
          <w:hyperlink w:anchor="_Toc201768574" w:history="1">
            <w:r w:rsidR="004957C9" w:rsidRPr="00034687">
              <w:rPr>
                <w:rStyle w:val="Hipervnculo"/>
                <w:noProof/>
              </w:rPr>
              <w:t>a) Mandato de transparencia y responsabilidad del Sujeto Obligado</w:t>
            </w:r>
            <w:r w:rsidR="004957C9">
              <w:rPr>
                <w:noProof/>
                <w:webHidden/>
              </w:rPr>
              <w:tab/>
            </w:r>
            <w:r w:rsidR="004957C9">
              <w:rPr>
                <w:noProof/>
                <w:webHidden/>
              </w:rPr>
              <w:fldChar w:fldCharType="begin"/>
            </w:r>
            <w:r w:rsidR="004957C9">
              <w:rPr>
                <w:noProof/>
                <w:webHidden/>
              </w:rPr>
              <w:instrText xml:space="preserve"> PAGEREF _Toc201768574 \h </w:instrText>
            </w:r>
            <w:r w:rsidR="004957C9">
              <w:rPr>
                <w:noProof/>
                <w:webHidden/>
              </w:rPr>
            </w:r>
            <w:r w:rsidR="004957C9">
              <w:rPr>
                <w:noProof/>
                <w:webHidden/>
              </w:rPr>
              <w:fldChar w:fldCharType="separate"/>
            </w:r>
            <w:r w:rsidR="00E03D80">
              <w:rPr>
                <w:noProof/>
                <w:webHidden/>
              </w:rPr>
              <w:t>8</w:t>
            </w:r>
            <w:r w:rsidR="004957C9">
              <w:rPr>
                <w:noProof/>
                <w:webHidden/>
              </w:rPr>
              <w:fldChar w:fldCharType="end"/>
            </w:r>
          </w:hyperlink>
        </w:p>
        <w:p w14:paraId="245F8181" w14:textId="198CEE0F" w:rsidR="004957C9" w:rsidRDefault="00CE3C3A">
          <w:pPr>
            <w:pStyle w:val="TDC3"/>
            <w:rPr>
              <w:rFonts w:asciiTheme="minorHAnsi" w:eastAsiaTheme="minorEastAsia" w:hAnsiTheme="minorHAnsi" w:cstheme="minorBidi"/>
              <w:noProof/>
              <w:szCs w:val="22"/>
              <w:lang w:eastAsia="es-MX"/>
            </w:rPr>
          </w:pPr>
          <w:hyperlink w:anchor="_Toc201768575" w:history="1">
            <w:r w:rsidR="004957C9" w:rsidRPr="00034687">
              <w:rPr>
                <w:rStyle w:val="Hipervnculo"/>
                <w:rFonts w:eastAsia="Calibri"/>
                <w:noProof/>
                <w:lang w:eastAsia="es-ES_tradnl"/>
              </w:rPr>
              <w:t>b) Controversia a resolver</w:t>
            </w:r>
            <w:r w:rsidR="004957C9">
              <w:rPr>
                <w:noProof/>
                <w:webHidden/>
              </w:rPr>
              <w:tab/>
            </w:r>
            <w:r w:rsidR="004957C9">
              <w:rPr>
                <w:noProof/>
                <w:webHidden/>
              </w:rPr>
              <w:fldChar w:fldCharType="begin"/>
            </w:r>
            <w:r w:rsidR="004957C9">
              <w:rPr>
                <w:noProof/>
                <w:webHidden/>
              </w:rPr>
              <w:instrText xml:space="preserve"> PAGEREF _Toc201768575 \h </w:instrText>
            </w:r>
            <w:r w:rsidR="004957C9">
              <w:rPr>
                <w:noProof/>
                <w:webHidden/>
              </w:rPr>
            </w:r>
            <w:r w:rsidR="004957C9">
              <w:rPr>
                <w:noProof/>
                <w:webHidden/>
              </w:rPr>
              <w:fldChar w:fldCharType="separate"/>
            </w:r>
            <w:r w:rsidR="00E03D80">
              <w:rPr>
                <w:noProof/>
                <w:webHidden/>
              </w:rPr>
              <w:t>10</w:t>
            </w:r>
            <w:r w:rsidR="004957C9">
              <w:rPr>
                <w:noProof/>
                <w:webHidden/>
              </w:rPr>
              <w:fldChar w:fldCharType="end"/>
            </w:r>
          </w:hyperlink>
        </w:p>
        <w:p w14:paraId="7EF7EE2D" w14:textId="57A19E58" w:rsidR="004957C9" w:rsidRDefault="00CE3C3A">
          <w:pPr>
            <w:pStyle w:val="TDC3"/>
            <w:rPr>
              <w:rFonts w:asciiTheme="minorHAnsi" w:eastAsiaTheme="minorEastAsia" w:hAnsiTheme="minorHAnsi" w:cstheme="minorBidi"/>
              <w:noProof/>
              <w:szCs w:val="22"/>
              <w:lang w:eastAsia="es-MX"/>
            </w:rPr>
          </w:pPr>
          <w:hyperlink w:anchor="_Toc201768576" w:history="1">
            <w:r w:rsidR="004957C9" w:rsidRPr="00034687">
              <w:rPr>
                <w:rStyle w:val="Hipervnculo"/>
                <w:noProof/>
              </w:rPr>
              <w:t>c) Estudio de la controversia</w:t>
            </w:r>
            <w:r w:rsidR="004957C9">
              <w:rPr>
                <w:noProof/>
                <w:webHidden/>
              </w:rPr>
              <w:tab/>
            </w:r>
            <w:r w:rsidR="004957C9">
              <w:rPr>
                <w:noProof/>
                <w:webHidden/>
              </w:rPr>
              <w:fldChar w:fldCharType="begin"/>
            </w:r>
            <w:r w:rsidR="004957C9">
              <w:rPr>
                <w:noProof/>
                <w:webHidden/>
              </w:rPr>
              <w:instrText xml:space="preserve"> PAGEREF _Toc201768576 \h </w:instrText>
            </w:r>
            <w:r w:rsidR="004957C9">
              <w:rPr>
                <w:noProof/>
                <w:webHidden/>
              </w:rPr>
            </w:r>
            <w:r w:rsidR="004957C9">
              <w:rPr>
                <w:noProof/>
                <w:webHidden/>
              </w:rPr>
              <w:fldChar w:fldCharType="separate"/>
            </w:r>
            <w:r w:rsidR="00E03D80">
              <w:rPr>
                <w:noProof/>
                <w:webHidden/>
              </w:rPr>
              <w:t>12</w:t>
            </w:r>
            <w:r w:rsidR="004957C9">
              <w:rPr>
                <w:noProof/>
                <w:webHidden/>
              </w:rPr>
              <w:fldChar w:fldCharType="end"/>
            </w:r>
          </w:hyperlink>
        </w:p>
        <w:p w14:paraId="08793D05" w14:textId="51D89180" w:rsidR="004957C9" w:rsidRDefault="00CE3C3A">
          <w:pPr>
            <w:pStyle w:val="TDC3"/>
            <w:rPr>
              <w:rFonts w:asciiTheme="minorHAnsi" w:eastAsiaTheme="minorEastAsia" w:hAnsiTheme="minorHAnsi" w:cstheme="minorBidi"/>
              <w:noProof/>
              <w:szCs w:val="22"/>
              <w:lang w:eastAsia="es-MX"/>
            </w:rPr>
          </w:pPr>
          <w:hyperlink w:anchor="_Toc201768577" w:history="1">
            <w:r w:rsidR="004957C9" w:rsidRPr="00034687">
              <w:rPr>
                <w:rStyle w:val="Hipervnculo"/>
                <w:noProof/>
              </w:rPr>
              <w:t>d) Conclusión</w:t>
            </w:r>
            <w:r w:rsidR="004957C9">
              <w:rPr>
                <w:noProof/>
                <w:webHidden/>
              </w:rPr>
              <w:tab/>
            </w:r>
            <w:r w:rsidR="004957C9">
              <w:rPr>
                <w:noProof/>
                <w:webHidden/>
              </w:rPr>
              <w:fldChar w:fldCharType="begin"/>
            </w:r>
            <w:r w:rsidR="004957C9">
              <w:rPr>
                <w:noProof/>
                <w:webHidden/>
              </w:rPr>
              <w:instrText xml:space="preserve"> PAGEREF _Toc201768577 \h </w:instrText>
            </w:r>
            <w:r w:rsidR="004957C9">
              <w:rPr>
                <w:noProof/>
                <w:webHidden/>
              </w:rPr>
            </w:r>
            <w:r w:rsidR="004957C9">
              <w:rPr>
                <w:noProof/>
                <w:webHidden/>
              </w:rPr>
              <w:fldChar w:fldCharType="separate"/>
            </w:r>
            <w:r w:rsidR="00E03D80">
              <w:rPr>
                <w:noProof/>
                <w:webHidden/>
              </w:rPr>
              <w:t>14</w:t>
            </w:r>
            <w:r w:rsidR="004957C9">
              <w:rPr>
                <w:noProof/>
                <w:webHidden/>
              </w:rPr>
              <w:fldChar w:fldCharType="end"/>
            </w:r>
          </w:hyperlink>
        </w:p>
        <w:p w14:paraId="0C82FD7A" w14:textId="0DE6868E" w:rsidR="009B2945" w:rsidRPr="00A80134" w:rsidRDefault="00CE3C3A" w:rsidP="005D52DA">
          <w:pPr>
            <w:pStyle w:val="TDC1"/>
            <w:tabs>
              <w:tab w:val="right" w:leader="dot" w:pos="9034"/>
            </w:tabs>
            <w:rPr>
              <w:b/>
              <w:bCs/>
              <w:lang w:val="es-ES"/>
            </w:rPr>
          </w:pPr>
          <w:hyperlink w:anchor="_Toc201768578" w:history="1">
            <w:r w:rsidR="004957C9" w:rsidRPr="00034687">
              <w:rPr>
                <w:rStyle w:val="Hipervnculo"/>
                <w:noProof/>
              </w:rPr>
              <w:t>RESUELVE</w:t>
            </w:r>
            <w:r w:rsidR="004957C9">
              <w:rPr>
                <w:noProof/>
                <w:webHidden/>
              </w:rPr>
              <w:tab/>
            </w:r>
            <w:r w:rsidR="004957C9">
              <w:rPr>
                <w:noProof/>
                <w:webHidden/>
              </w:rPr>
              <w:fldChar w:fldCharType="begin"/>
            </w:r>
            <w:r w:rsidR="004957C9">
              <w:rPr>
                <w:noProof/>
                <w:webHidden/>
              </w:rPr>
              <w:instrText xml:space="preserve"> PAGEREF _Toc201768578 \h </w:instrText>
            </w:r>
            <w:r w:rsidR="004957C9">
              <w:rPr>
                <w:noProof/>
                <w:webHidden/>
              </w:rPr>
            </w:r>
            <w:r w:rsidR="004957C9">
              <w:rPr>
                <w:noProof/>
                <w:webHidden/>
              </w:rPr>
              <w:fldChar w:fldCharType="separate"/>
            </w:r>
            <w:r w:rsidR="00E03D80">
              <w:rPr>
                <w:noProof/>
                <w:webHidden/>
              </w:rPr>
              <w:t>14</w:t>
            </w:r>
            <w:r w:rsidR="004957C9">
              <w:rPr>
                <w:noProof/>
                <w:webHidden/>
              </w:rPr>
              <w:fldChar w:fldCharType="end"/>
            </w:r>
          </w:hyperlink>
          <w:r w:rsidR="00AE3DA7" w:rsidRPr="00A80134">
            <w:rPr>
              <w:b/>
              <w:bCs/>
              <w:sz w:val="16"/>
              <w:szCs w:val="16"/>
              <w:lang w:val="es-ES"/>
            </w:rPr>
            <w:fldChar w:fldCharType="end"/>
          </w:r>
        </w:p>
      </w:sdtContent>
    </w:sdt>
    <w:p w14:paraId="603A07E2" w14:textId="77777777" w:rsidR="00646436" w:rsidRPr="00A80134" w:rsidRDefault="00646436" w:rsidP="00404336">
      <w:pPr>
        <w:rPr>
          <w:rFonts w:cs="Tahoma"/>
          <w:szCs w:val="22"/>
        </w:rPr>
        <w:sectPr w:rsidR="00646436" w:rsidRPr="00A80134"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7E2530B" w:rsidR="00775BFC" w:rsidRPr="00A80134" w:rsidRDefault="00775BFC" w:rsidP="00BD2CF5">
      <w:pPr>
        <w:spacing w:after="240"/>
      </w:pPr>
      <w:r w:rsidRPr="00A80134">
        <w:lastRenderedPageBreak/>
        <w:t>Resolución del Pleno del Instituto de Transparencia, Acceso a la Información Pública y Protección de Datos Personales del Estado de México y Municipios, con domicilio en Metepec, Estado de México, de</w:t>
      </w:r>
      <w:r w:rsidR="00994944" w:rsidRPr="00A80134">
        <w:t xml:space="preserve">l </w:t>
      </w:r>
      <w:r w:rsidR="008807B3" w:rsidRPr="00A80134">
        <w:rPr>
          <w:b/>
        </w:rPr>
        <w:t>veinticinco</w:t>
      </w:r>
      <w:r w:rsidR="00480EAE" w:rsidRPr="00A80134">
        <w:rPr>
          <w:b/>
        </w:rPr>
        <w:t xml:space="preserve"> de junio</w:t>
      </w:r>
      <w:r w:rsidR="00B2797F" w:rsidRPr="00A80134">
        <w:rPr>
          <w:b/>
        </w:rPr>
        <w:t xml:space="preserve"> d</w:t>
      </w:r>
      <w:r w:rsidR="0083697D" w:rsidRPr="00A80134">
        <w:rPr>
          <w:b/>
        </w:rPr>
        <w:t>e dos mil veinticinco</w:t>
      </w:r>
      <w:r w:rsidR="00994944" w:rsidRPr="00A80134">
        <w:t>.</w:t>
      </w:r>
    </w:p>
    <w:p w14:paraId="40EAE038" w14:textId="6711837F" w:rsidR="00775BFC" w:rsidRPr="00A80134" w:rsidRDefault="00775BFC" w:rsidP="00BD2CF5">
      <w:pPr>
        <w:spacing w:after="240"/>
      </w:pPr>
      <w:r w:rsidRPr="00A80134">
        <w:rPr>
          <w:b/>
        </w:rPr>
        <w:t xml:space="preserve">VISTO </w:t>
      </w:r>
      <w:r w:rsidRPr="00A80134">
        <w:t xml:space="preserve">el expediente formado con motivo del Recurso de Revisión </w:t>
      </w:r>
      <w:bookmarkStart w:id="2" w:name="_GoBack"/>
      <w:r w:rsidR="008807B3" w:rsidRPr="00A80134">
        <w:rPr>
          <w:rFonts w:eastAsia="Calibri"/>
          <w:b/>
          <w:lang w:eastAsia="en-US"/>
        </w:rPr>
        <w:t>06497/INFOEM/IP/RR/2025</w:t>
      </w:r>
      <w:r w:rsidR="006827B2" w:rsidRPr="00A80134">
        <w:rPr>
          <w:rFonts w:eastAsia="Calibri"/>
          <w:b/>
          <w:lang w:eastAsia="en-US"/>
        </w:rPr>
        <w:t xml:space="preserve"> </w:t>
      </w:r>
      <w:bookmarkEnd w:id="2"/>
      <w:r w:rsidRPr="00A80134">
        <w:t>interpuesto por</w:t>
      </w:r>
      <w:r w:rsidR="00480EAE" w:rsidRPr="00A80134">
        <w:t xml:space="preserve"> </w:t>
      </w:r>
      <w:r w:rsidR="008807B3" w:rsidRPr="00A80134">
        <w:rPr>
          <w:b/>
          <w:bCs/>
        </w:rPr>
        <w:t>una persona de manera anónima</w:t>
      </w:r>
      <w:r w:rsidR="00480EAE" w:rsidRPr="00A80134">
        <w:rPr>
          <w:b/>
          <w:bCs/>
        </w:rPr>
        <w:t>,</w:t>
      </w:r>
      <w:r w:rsidR="00994944" w:rsidRPr="00A80134">
        <w:rPr>
          <w:b/>
          <w:bCs/>
        </w:rPr>
        <w:t xml:space="preserve"> </w:t>
      </w:r>
      <w:r w:rsidRPr="00A80134">
        <w:t xml:space="preserve">a quien en lo subsecuente se le denominará </w:t>
      </w:r>
      <w:r w:rsidRPr="00A80134">
        <w:rPr>
          <w:b/>
          <w:bCs/>
        </w:rPr>
        <w:t>LA PARTE RECURRENTE</w:t>
      </w:r>
      <w:r w:rsidRPr="00A80134">
        <w:t>, en contra de la respuesta emitida por</w:t>
      </w:r>
      <w:r w:rsidR="00EC46F5" w:rsidRPr="00A80134">
        <w:t xml:space="preserve"> </w:t>
      </w:r>
      <w:r w:rsidR="00C5095C" w:rsidRPr="00A80134">
        <w:t>el</w:t>
      </w:r>
      <w:r w:rsidRPr="00A80134">
        <w:t xml:space="preserve"> </w:t>
      </w:r>
      <w:r w:rsidR="008807B3" w:rsidRPr="00A80134">
        <w:rPr>
          <w:b/>
          <w:bCs/>
        </w:rPr>
        <w:t>Instituto de Seguridad Social del Estado de México y Municipios</w:t>
      </w:r>
      <w:r w:rsidR="00994944" w:rsidRPr="00A80134">
        <w:rPr>
          <w:b/>
          <w:bCs/>
        </w:rPr>
        <w:t xml:space="preserve">, </w:t>
      </w:r>
      <w:r w:rsidRPr="00A80134">
        <w:t xml:space="preserve">en adelante </w:t>
      </w:r>
      <w:r w:rsidRPr="00A80134">
        <w:rPr>
          <w:b/>
          <w:bCs/>
        </w:rPr>
        <w:t>EL SUJETO OBLIGADO</w:t>
      </w:r>
      <w:r w:rsidRPr="00A80134">
        <w:rPr>
          <w:rFonts w:eastAsia="Calibri"/>
          <w:lang w:eastAsia="en-US"/>
        </w:rPr>
        <w:t xml:space="preserve">, </w:t>
      </w:r>
      <w:r w:rsidRPr="00A80134">
        <w:t>se emite la presente Resolución con base en los Antecedentes y Considerandos que se exponen a continuación:</w:t>
      </w:r>
    </w:p>
    <w:p w14:paraId="5A444FB6" w14:textId="639D3567" w:rsidR="00664420" w:rsidRPr="00A80134" w:rsidRDefault="00664420" w:rsidP="00BD2CF5">
      <w:pPr>
        <w:pStyle w:val="Ttulo1"/>
        <w:spacing w:after="240"/>
      </w:pPr>
      <w:bookmarkStart w:id="3" w:name="_Toc201768553"/>
      <w:r w:rsidRPr="00A80134">
        <w:t>ANTECEDENTES</w:t>
      </w:r>
      <w:bookmarkEnd w:id="3"/>
    </w:p>
    <w:p w14:paraId="09B2D38F" w14:textId="6E49D146" w:rsidR="00664420" w:rsidRPr="00A80134" w:rsidRDefault="00E37A3F" w:rsidP="00404336">
      <w:pPr>
        <w:pStyle w:val="Ttulo2"/>
        <w:jc w:val="left"/>
      </w:pPr>
      <w:bookmarkStart w:id="4" w:name="_Toc201768554"/>
      <w:r w:rsidRPr="00A80134">
        <w:t>DE LA SOLICITUD DE INFORMACIÓN</w:t>
      </w:r>
      <w:bookmarkEnd w:id="4"/>
    </w:p>
    <w:p w14:paraId="2C6AD1A5" w14:textId="0405B3CD" w:rsidR="00664420" w:rsidRPr="00A80134" w:rsidRDefault="00E37A3F" w:rsidP="00404336">
      <w:pPr>
        <w:pStyle w:val="Ttulo3"/>
        <w:spacing w:line="360" w:lineRule="auto"/>
      </w:pPr>
      <w:bookmarkStart w:id="5" w:name="_Toc201768555"/>
      <w:r w:rsidRPr="00A80134">
        <w:t xml:space="preserve">a) </w:t>
      </w:r>
      <w:r w:rsidR="006B10B0" w:rsidRPr="00A80134">
        <w:t>S</w:t>
      </w:r>
      <w:r w:rsidR="00664420" w:rsidRPr="00A80134">
        <w:t xml:space="preserve">olicitud de </w:t>
      </w:r>
      <w:r w:rsidR="006B10B0" w:rsidRPr="00A80134">
        <w:t>i</w:t>
      </w:r>
      <w:r w:rsidR="00664420" w:rsidRPr="00A80134">
        <w:t>nformación</w:t>
      </w:r>
      <w:bookmarkEnd w:id="5"/>
    </w:p>
    <w:p w14:paraId="06DCD29D" w14:textId="36FC3A77" w:rsidR="009A2D78" w:rsidRPr="00404336" w:rsidRDefault="006B10B0" w:rsidP="00031476">
      <w:pPr>
        <w:pStyle w:val="Prrafodelista"/>
        <w:tabs>
          <w:tab w:val="left" w:pos="0"/>
        </w:tabs>
        <w:spacing w:after="240"/>
        <w:ind w:left="0"/>
        <w:contextualSpacing w:val="0"/>
        <w:rPr>
          <w:rFonts w:cs="Tahoma"/>
        </w:rPr>
      </w:pPr>
      <w:r w:rsidRPr="00404336">
        <w:rPr>
          <w:rFonts w:cs="Tahoma"/>
        </w:rPr>
        <w:t>El</w:t>
      </w:r>
      <w:r w:rsidR="00664420" w:rsidRPr="00404336">
        <w:rPr>
          <w:rFonts w:cs="Tahoma"/>
        </w:rPr>
        <w:t xml:space="preserve"> </w:t>
      </w:r>
      <w:r w:rsidR="00B459C8">
        <w:rPr>
          <w:rFonts w:cs="Tahoma"/>
          <w:b/>
          <w:bCs/>
        </w:rPr>
        <w:t xml:space="preserve">veintiocho </w:t>
      </w:r>
      <w:r w:rsidR="006B47A4">
        <w:rPr>
          <w:rFonts w:cs="Tahoma"/>
          <w:b/>
          <w:bCs/>
        </w:rPr>
        <w:t xml:space="preserve">de abril </w:t>
      </w:r>
      <w:r w:rsidR="00031476">
        <w:rPr>
          <w:rFonts w:cs="Tahoma"/>
          <w:b/>
          <w:bCs/>
        </w:rPr>
        <w:t>de dos mil veinticinco</w:t>
      </w:r>
      <w:r w:rsidR="00994944" w:rsidRPr="00404336">
        <w:rPr>
          <w:rFonts w:cs="Tahoma"/>
          <w:b/>
          <w:bCs/>
        </w:rPr>
        <w:t xml:space="preserve"> </w:t>
      </w:r>
      <w:r w:rsidRPr="00404336">
        <w:rPr>
          <w:b/>
          <w:bCs/>
        </w:rPr>
        <w:t>LA PARTE RECURRENTE</w:t>
      </w:r>
      <w:r w:rsidR="00664420" w:rsidRPr="00404336">
        <w:rPr>
          <w:rFonts w:cs="Tahoma"/>
        </w:rPr>
        <w:t xml:space="preserve"> presentó una solicitud de acceso a la información pública </w:t>
      </w:r>
      <w:r w:rsidR="001F3515" w:rsidRPr="00404336">
        <w:rPr>
          <w:rFonts w:cs="Tahoma"/>
        </w:rPr>
        <w:t xml:space="preserve">ante el </w:t>
      </w:r>
      <w:r w:rsidR="001F3515" w:rsidRPr="00404336">
        <w:rPr>
          <w:rFonts w:cs="Tahoma"/>
          <w:b/>
          <w:bCs/>
        </w:rPr>
        <w:t>SUJETO OBLIGADO</w:t>
      </w:r>
      <w:r w:rsidR="001F3515" w:rsidRPr="00404336">
        <w:rPr>
          <w:rFonts w:cs="Tahoma"/>
        </w:rPr>
        <w:t xml:space="preserve">, </w:t>
      </w:r>
      <w:r w:rsidR="00664420" w:rsidRPr="00404336">
        <w:rPr>
          <w:rFonts w:cs="Tahoma"/>
        </w:rPr>
        <w:t>a través del Sistema de Acceso a la Información Mexiquense</w:t>
      </w:r>
      <w:r w:rsidRPr="00404336">
        <w:rPr>
          <w:rFonts w:cs="Tahoma"/>
        </w:rPr>
        <w:t xml:space="preserve"> </w:t>
      </w:r>
      <w:r w:rsidR="009A2D78" w:rsidRPr="00404336">
        <w:rPr>
          <w:rFonts w:cs="Tahoma"/>
        </w:rPr>
        <w:t>(</w:t>
      </w:r>
      <w:r w:rsidRPr="00404336">
        <w:rPr>
          <w:rFonts w:cs="Tahoma"/>
        </w:rPr>
        <w:t>SAIMEX</w:t>
      </w:r>
      <w:r w:rsidR="00B2797F">
        <w:rPr>
          <w:rFonts w:cs="Tahoma"/>
        </w:rPr>
        <w:t>)</w:t>
      </w:r>
      <w:r w:rsidR="006B47A4">
        <w:rPr>
          <w:rFonts w:cs="Tahoma"/>
          <w:b/>
          <w:bCs/>
        </w:rPr>
        <w:t>.</w:t>
      </w:r>
      <w:r w:rsidR="00031476">
        <w:rPr>
          <w:rFonts w:eastAsia="Palatino Linotype" w:cs="Palatino Linotype"/>
          <w:color w:val="000000"/>
          <w:lang w:eastAsia="es-MX"/>
        </w:rPr>
        <w:t xml:space="preserve"> </w:t>
      </w:r>
      <w:r w:rsidR="009A2D78" w:rsidRPr="00404336">
        <w:rPr>
          <w:rFonts w:cs="Tahoma"/>
        </w:rPr>
        <w:t>Dicha solicitud quedó</w:t>
      </w:r>
      <w:r w:rsidRPr="00404336">
        <w:rPr>
          <w:rFonts w:cs="Tahoma"/>
        </w:rPr>
        <w:t xml:space="preserve"> registrada c</w:t>
      </w:r>
      <w:r w:rsidR="00664420" w:rsidRPr="00404336">
        <w:rPr>
          <w:rFonts w:cs="Tahoma"/>
        </w:rPr>
        <w:t>on el número de folio</w:t>
      </w:r>
      <w:r w:rsidR="00664420" w:rsidRPr="00404336">
        <w:rPr>
          <w:rFonts w:cs="Tahoma"/>
          <w:b/>
          <w:bCs/>
        </w:rPr>
        <w:t xml:space="preserve"> </w:t>
      </w:r>
      <w:r w:rsidR="00B459C8" w:rsidRPr="00B459C8">
        <w:rPr>
          <w:rFonts w:cs="Tahoma"/>
          <w:b/>
          <w:bCs/>
        </w:rPr>
        <w:t>00353/ISSEMYM/IP/2025</w:t>
      </w:r>
      <w:r w:rsidR="00AC3EE8">
        <w:rPr>
          <w:rFonts w:cs="Tahoma"/>
          <w:b/>
          <w:bCs/>
        </w:rPr>
        <w:t xml:space="preserve"> </w:t>
      </w:r>
      <w:r w:rsidR="002A3601" w:rsidRPr="00404336">
        <w:rPr>
          <w:rFonts w:cs="Tahoma"/>
        </w:rPr>
        <w:t xml:space="preserve">y en ella </w:t>
      </w:r>
      <w:r w:rsidR="009A2D78" w:rsidRPr="00404336">
        <w:rPr>
          <w:rFonts w:cs="Tahoma"/>
        </w:rPr>
        <w:t>se requirió la siguiente información:</w:t>
      </w:r>
    </w:p>
    <w:p w14:paraId="64B27DE3" w14:textId="468B2352" w:rsidR="00664420" w:rsidRDefault="00B539A9" w:rsidP="00BD2CF5">
      <w:pPr>
        <w:tabs>
          <w:tab w:val="left" w:pos="4667"/>
          <w:tab w:val="left" w:pos="8222"/>
        </w:tabs>
        <w:spacing w:after="240" w:line="240" w:lineRule="auto"/>
        <w:ind w:left="851" w:right="822"/>
        <w:rPr>
          <w:rFonts w:eastAsiaTheme="majorEastAsia" w:cstheme="majorBidi"/>
          <w:i/>
          <w:kern w:val="28"/>
          <w:szCs w:val="56"/>
        </w:rPr>
      </w:pPr>
      <w:r>
        <w:rPr>
          <w:rFonts w:eastAsiaTheme="majorEastAsia" w:cstheme="majorBidi"/>
          <w:i/>
          <w:kern w:val="28"/>
          <w:szCs w:val="56"/>
        </w:rPr>
        <w:t>“</w:t>
      </w:r>
      <w:r w:rsidR="008807B3" w:rsidRPr="008807B3">
        <w:rPr>
          <w:rFonts w:eastAsiaTheme="majorEastAsia" w:cstheme="majorBidi"/>
          <w:i/>
          <w:kern w:val="28"/>
          <w:szCs w:val="56"/>
        </w:rPr>
        <w:t>requiero todos saber cuanto ganan todos los servidores públicos que laboran (adscritos o no al área) en la Subdirección de obra y en la dirección de obra y control patrimonial. quiero saber el estatus de todo lo contratado por estas áreas durante el periodo 2024, así como las propuestas de las contratistas a las que se les haya entregado recursos del Instituto, así como sus contratos, bitacionas de las mismas, las estimaciones que han procedido y generadores con fotos de los mismos. designación de las personas a cargo de estas obras, los documentos con los que acreditan haber aprobado control de confianza, (director, subdirector, residentes, supervisores, auxiliares).</w:t>
      </w:r>
      <w:r>
        <w:rPr>
          <w:rFonts w:eastAsiaTheme="majorEastAsia" w:cstheme="majorBidi"/>
          <w:i/>
          <w:kern w:val="28"/>
          <w:szCs w:val="56"/>
        </w:rPr>
        <w:t>” (Sic)</w:t>
      </w:r>
    </w:p>
    <w:p w14:paraId="0BD6321D" w14:textId="56D9ABBC" w:rsidR="00664420" w:rsidRPr="00404336" w:rsidRDefault="009A2D78" w:rsidP="00D07D18">
      <w:pPr>
        <w:tabs>
          <w:tab w:val="left" w:pos="4667"/>
        </w:tabs>
        <w:spacing w:after="240"/>
        <w:ind w:left="567" w:right="567"/>
        <w:rPr>
          <w:rFonts w:cs="Tahoma"/>
          <w:bCs/>
          <w:szCs w:val="22"/>
        </w:rPr>
      </w:pPr>
      <w:r w:rsidRPr="00404336">
        <w:rPr>
          <w:rFonts w:cs="Tahoma"/>
          <w:b/>
          <w:bCs/>
          <w:szCs w:val="22"/>
        </w:rPr>
        <w:t>Modalidad de entrega</w:t>
      </w:r>
      <w:r w:rsidRPr="00404336">
        <w:rPr>
          <w:rFonts w:cs="Tahoma"/>
          <w:bCs/>
          <w:szCs w:val="22"/>
        </w:rPr>
        <w:t>: a</w:t>
      </w:r>
      <w:r w:rsidR="00664420" w:rsidRPr="00404336">
        <w:rPr>
          <w:rFonts w:cs="Tahoma"/>
          <w:bCs/>
          <w:i/>
          <w:szCs w:val="22"/>
        </w:rPr>
        <w:t xml:space="preserve"> través del </w:t>
      </w:r>
      <w:r w:rsidR="00664420" w:rsidRPr="006309D0">
        <w:rPr>
          <w:rFonts w:cs="Tahoma"/>
          <w:b/>
          <w:bCs/>
          <w:i/>
          <w:szCs w:val="22"/>
        </w:rPr>
        <w:t>SAIMEX</w:t>
      </w:r>
      <w:r w:rsidRPr="00404336">
        <w:rPr>
          <w:rFonts w:cs="Tahoma"/>
          <w:bCs/>
          <w:i/>
          <w:szCs w:val="22"/>
        </w:rPr>
        <w:t>.</w:t>
      </w:r>
    </w:p>
    <w:p w14:paraId="756E3BA9" w14:textId="77777777" w:rsidR="00AC3EE8" w:rsidRPr="00A80134" w:rsidRDefault="00AC3EE8" w:rsidP="00AC3EE8">
      <w:pPr>
        <w:pStyle w:val="Ttulo3"/>
      </w:pPr>
      <w:bookmarkStart w:id="6" w:name="_Toc165402840"/>
      <w:bookmarkStart w:id="7" w:name="_Toc201768556"/>
      <w:r w:rsidRPr="00A80134">
        <w:lastRenderedPageBreak/>
        <w:t>b) Turno de la solicitud de información</w:t>
      </w:r>
      <w:bookmarkEnd w:id="6"/>
      <w:bookmarkEnd w:id="7"/>
    </w:p>
    <w:p w14:paraId="20F3AAFF" w14:textId="56F74FFB" w:rsidR="00AC3EE8" w:rsidRDefault="00AC3EE8" w:rsidP="009A7556">
      <w:pPr>
        <w:spacing w:after="240"/>
        <w:rPr>
          <w:color w:val="000000" w:themeColor="text1"/>
        </w:rPr>
      </w:pPr>
      <w:r>
        <w:rPr>
          <w:color w:val="000000" w:themeColor="text1"/>
        </w:rPr>
        <w:t xml:space="preserve">En cumplimiento al artículo 162 de la Ley de Transparencia y Acceso a la Información Pública del Estado de México y Municipios, el </w:t>
      </w:r>
      <w:r w:rsidR="00F24C91">
        <w:rPr>
          <w:rFonts w:eastAsia="Palatino Linotype" w:cs="Palatino Linotype"/>
          <w:b/>
        </w:rPr>
        <w:t>veintinueve</w:t>
      </w:r>
      <w:r>
        <w:rPr>
          <w:rFonts w:eastAsia="Palatino Linotype" w:cs="Palatino Linotype"/>
          <w:b/>
        </w:rPr>
        <w:t xml:space="preserve"> de abril de dos mil veinticinco</w:t>
      </w:r>
      <w:r>
        <w:rPr>
          <w:color w:val="000000" w:themeColor="text1"/>
        </w:rPr>
        <w:t xml:space="preserve">, el Titular </w:t>
      </w:r>
      <w:r w:rsidRPr="009A7556">
        <w:rPr>
          <w:color w:val="000000" w:themeColor="text1"/>
        </w:rPr>
        <w:t xml:space="preserve">de la Unidad de Transparencia del </w:t>
      </w:r>
      <w:r w:rsidRPr="009A7556">
        <w:rPr>
          <w:b/>
          <w:color w:val="000000" w:themeColor="text1"/>
        </w:rPr>
        <w:t>SUJETO OBLIGADO</w:t>
      </w:r>
      <w:r w:rsidRPr="009A7556">
        <w:rPr>
          <w:color w:val="000000" w:themeColor="text1"/>
        </w:rPr>
        <w:t xml:space="preserve"> turnó la solicitud de información </w:t>
      </w:r>
      <w:r w:rsidR="00BD2CF5" w:rsidRPr="009A7556">
        <w:rPr>
          <w:color w:val="000000" w:themeColor="text1"/>
        </w:rPr>
        <w:t>a</w:t>
      </w:r>
      <w:r w:rsidRPr="009A7556">
        <w:rPr>
          <w:color w:val="000000" w:themeColor="text1"/>
        </w:rPr>
        <w:t xml:space="preserve"> los servidores públicos habilitados que estimó pertinente.</w:t>
      </w:r>
    </w:p>
    <w:p w14:paraId="50EB6A48" w14:textId="2DCFBBB0" w:rsidR="009A7556" w:rsidRPr="00A80134" w:rsidRDefault="009A7556" w:rsidP="009A7556">
      <w:pPr>
        <w:pStyle w:val="Ttulo3"/>
        <w:rPr>
          <w:rFonts w:eastAsia="Calibri"/>
          <w:lang w:eastAsia="en-US"/>
        </w:rPr>
      </w:pPr>
      <w:bookmarkStart w:id="8" w:name="_Toc165402841"/>
      <w:bookmarkStart w:id="9" w:name="_Toc201768557"/>
      <w:r w:rsidRPr="00A80134">
        <w:t xml:space="preserve">c) </w:t>
      </w:r>
      <w:bookmarkStart w:id="10" w:name="_Toc165402844"/>
      <w:bookmarkEnd w:id="8"/>
      <w:r w:rsidRPr="00A80134">
        <w:rPr>
          <w:lang w:val="es-ES"/>
        </w:rPr>
        <w:t xml:space="preserve">Respuesta </w:t>
      </w:r>
      <w:r w:rsidRPr="00A80134">
        <w:rPr>
          <w:rFonts w:eastAsia="Calibri"/>
          <w:lang w:eastAsia="en-US"/>
        </w:rPr>
        <w:t>del Sujeto Obligado</w:t>
      </w:r>
      <w:bookmarkEnd w:id="9"/>
      <w:bookmarkEnd w:id="10"/>
    </w:p>
    <w:p w14:paraId="72593906" w14:textId="1F038419" w:rsidR="009A7556" w:rsidRDefault="009A7556" w:rsidP="00F24C91">
      <w:pPr>
        <w:pStyle w:val="Sinespaciado"/>
        <w:spacing w:after="240" w:line="360" w:lineRule="auto"/>
        <w:rPr>
          <w:lang w:val="es-ES"/>
        </w:rPr>
      </w:pPr>
      <w:r>
        <w:rPr>
          <w:lang w:val="es-ES"/>
        </w:rPr>
        <w:t xml:space="preserve">El </w:t>
      </w:r>
      <w:r w:rsidR="00F24C91">
        <w:rPr>
          <w:b/>
          <w:bCs/>
          <w:lang w:val="es-ES"/>
        </w:rPr>
        <w:t xml:space="preserve">veintiuno </w:t>
      </w:r>
      <w:r>
        <w:rPr>
          <w:b/>
          <w:bCs/>
          <w:lang w:val="es-ES"/>
        </w:rPr>
        <w:t>de mayo de dos mil veinticinco</w:t>
      </w:r>
      <w:r>
        <w:rPr>
          <w:lang w:val="es-ES"/>
        </w:rPr>
        <w:t xml:space="preserve">, el Titular de la Unidad de Transparencia del </w:t>
      </w:r>
      <w:r>
        <w:rPr>
          <w:b/>
          <w:lang w:val="es-ES"/>
        </w:rPr>
        <w:t>SUJETO OBLIGADO</w:t>
      </w:r>
      <w:r>
        <w:rPr>
          <w:lang w:val="es-ES"/>
        </w:rPr>
        <w:t xml:space="preserve"> notificó la siguiente respuesta a través </w:t>
      </w:r>
      <w:r w:rsidRPr="009A7556">
        <w:rPr>
          <w:lang w:val="es-ES"/>
        </w:rPr>
        <w:t>del SAIMEX:</w:t>
      </w:r>
    </w:p>
    <w:p w14:paraId="70BCD71D" w14:textId="77777777" w:rsidR="00F24C91" w:rsidRPr="00F24C91" w:rsidRDefault="00352DD2" w:rsidP="00F24C91">
      <w:pPr>
        <w:pStyle w:val="Puesto"/>
        <w:ind w:left="851" w:right="822"/>
        <w:rPr>
          <w:sz w:val="20"/>
        </w:rPr>
      </w:pPr>
      <w:r>
        <w:t>“</w:t>
      </w:r>
      <w:r w:rsidR="00F24C91" w:rsidRPr="00F24C91">
        <w:rPr>
          <w:sz w:val="20"/>
        </w:rPr>
        <w:t>Folio de la solicitud: 00353/ISSEMYM/IP/2025</w:t>
      </w:r>
    </w:p>
    <w:p w14:paraId="1795558B" w14:textId="77777777" w:rsidR="00F24C91" w:rsidRDefault="00F24C91" w:rsidP="00F24C91">
      <w:pPr>
        <w:pStyle w:val="Puesto"/>
        <w:ind w:left="851" w:right="822"/>
        <w:rPr>
          <w:sz w:val="20"/>
        </w:rPr>
      </w:pPr>
      <w:r w:rsidRPr="00F24C91">
        <w:rPr>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8CE1DB" w14:textId="77777777" w:rsidR="00F03E35" w:rsidRPr="00F03E35" w:rsidRDefault="00F03E35" w:rsidP="00F03E35"/>
    <w:p w14:paraId="56FF7F73" w14:textId="77777777" w:rsidR="00F24C91" w:rsidRDefault="00F24C91" w:rsidP="00F24C91">
      <w:pPr>
        <w:pStyle w:val="Puesto"/>
        <w:ind w:left="851" w:right="822"/>
        <w:rPr>
          <w:sz w:val="20"/>
        </w:rPr>
      </w:pPr>
      <w:r w:rsidRPr="00F24C91">
        <w:rPr>
          <w:sz w:val="20"/>
        </w:rPr>
        <w:t>Como archivos adjuntos, encontrará el oficio que dará respuesta a su solicitud de información; así como la resolución emitida por el Comité de Transparencia del Instituto de Seguridad Social del Estado de México. Para cualquier duda o aclaración respecto a la presente respuesta, nos ponemos a sus órdenes en el teléfono (01722) 2261900 extensiones 1434072 y 1434073, el horario para trámites en el Módulo de Transparencia es de 9: 00 a 15:00 horas.</w:t>
      </w:r>
    </w:p>
    <w:p w14:paraId="50C18B17" w14:textId="77777777" w:rsidR="00F03E35" w:rsidRPr="00F03E35" w:rsidRDefault="00F03E35" w:rsidP="00F03E35"/>
    <w:p w14:paraId="22C94355" w14:textId="77777777" w:rsidR="00F24C91" w:rsidRDefault="00F24C91" w:rsidP="00F24C91">
      <w:pPr>
        <w:pStyle w:val="Puesto"/>
        <w:ind w:left="851" w:right="822"/>
        <w:rPr>
          <w:sz w:val="20"/>
        </w:rPr>
      </w:pPr>
      <w:r w:rsidRPr="00F24C91">
        <w:rPr>
          <w:sz w:val="20"/>
        </w:rPr>
        <w:t>ATENTAMENTE</w:t>
      </w:r>
    </w:p>
    <w:p w14:paraId="2C01C700" w14:textId="77777777" w:rsidR="00F03E35" w:rsidRPr="00F03E35" w:rsidRDefault="00F03E35" w:rsidP="00F03E35"/>
    <w:p w14:paraId="135E4FDC" w14:textId="1E28E494" w:rsidR="00352DD2" w:rsidRPr="0083697D" w:rsidRDefault="00F24C91" w:rsidP="00F24C91">
      <w:pPr>
        <w:pStyle w:val="Puesto"/>
        <w:spacing w:after="240"/>
        <w:ind w:left="851" w:right="822"/>
        <w:rPr>
          <w:sz w:val="20"/>
        </w:rPr>
      </w:pPr>
      <w:r w:rsidRPr="00F24C91">
        <w:rPr>
          <w:sz w:val="20"/>
        </w:rPr>
        <w:t>LIC. EN PLANEACION TERRITORIAL ABRAHAM ISRAEL BADIA VARGAS</w:t>
      </w:r>
      <w:r w:rsidR="00352DD2" w:rsidRPr="0083697D">
        <w:rPr>
          <w:sz w:val="20"/>
        </w:rPr>
        <w:t>” (Sic)</w:t>
      </w:r>
    </w:p>
    <w:p w14:paraId="45D90C26" w14:textId="77777777" w:rsidR="00F24C91" w:rsidRDefault="00352DD2" w:rsidP="00F24C91">
      <w:pPr>
        <w:autoSpaceDE w:val="0"/>
        <w:autoSpaceDN w:val="0"/>
        <w:adjustRightInd w:val="0"/>
        <w:spacing w:before="240" w:after="240"/>
        <w:ind w:right="-28"/>
        <w:rPr>
          <w:rFonts w:cs="Tahoma"/>
          <w:bCs/>
          <w:szCs w:val="22"/>
          <w:lang w:val="es-ES"/>
        </w:rPr>
      </w:pPr>
      <w:r>
        <w:rPr>
          <w:rFonts w:cs="Tahoma"/>
          <w:bCs/>
          <w:szCs w:val="22"/>
          <w:lang w:val="es-ES"/>
        </w:rPr>
        <w:t xml:space="preserve">Asimismo, </w:t>
      </w:r>
      <w:r>
        <w:rPr>
          <w:rFonts w:cs="Tahoma"/>
          <w:b/>
          <w:szCs w:val="22"/>
          <w:lang w:val="es-ES"/>
        </w:rPr>
        <w:t xml:space="preserve">EL SUJETO OBLIGADO </w:t>
      </w:r>
      <w:r>
        <w:rPr>
          <w:rFonts w:cs="Tahoma"/>
          <w:bCs/>
          <w:szCs w:val="22"/>
          <w:lang w:val="es-ES"/>
        </w:rPr>
        <w:t>adjuntó a su respuesta l</w:t>
      </w:r>
      <w:r w:rsidR="00F24C91">
        <w:rPr>
          <w:rFonts w:cs="Tahoma"/>
          <w:bCs/>
          <w:szCs w:val="22"/>
          <w:lang w:val="es-ES"/>
        </w:rPr>
        <w:t xml:space="preserve">os </w:t>
      </w:r>
      <w:r w:rsidR="00B2797F">
        <w:rPr>
          <w:rFonts w:cs="Tahoma"/>
          <w:bCs/>
          <w:szCs w:val="22"/>
          <w:lang w:val="es-ES"/>
        </w:rPr>
        <w:t>siguiente</w:t>
      </w:r>
      <w:r w:rsidR="00F24C91">
        <w:rPr>
          <w:rFonts w:cs="Tahoma"/>
          <w:bCs/>
          <w:szCs w:val="22"/>
          <w:lang w:val="es-ES"/>
        </w:rPr>
        <w:t>s</w:t>
      </w:r>
      <w:r w:rsidR="00575388">
        <w:rPr>
          <w:rFonts w:cs="Tahoma"/>
          <w:bCs/>
          <w:szCs w:val="22"/>
          <w:lang w:val="es-ES"/>
        </w:rPr>
        <w:t xml:space="preserve"> </w:t>
      </w:r>
      <w:r>
        <w:rPr>
          <w:rFonts w:cs="Tahoma"/>
          <w:bCs/>
          <w:szCs w:val="22"/>
          <w:lang w:val="es-ES"/>
        </w:rPr>
        <w:t>archivo</w:t>
      </w:r>
      <w:r w:rsidR="00F24C91">
        <w:rPr>
          <w:rFonts w:cs="Tahoma"/>
          <w:bCs/>
          <w:szCs w:val="22"/>
          <w:lang w:val="es-ES"/>
        </w:rPr>
        <w:t>s</w:t>
      </w:r>
      <w:r>
        <w:rPr>
          <w:rFonts w:cs="Tahoma"/>
          <w:bCs/>
          <w:szCs w:val="22"/>
          <w:lang w:val="es-ES"/>
        </w:rPr>
        <w:t xml:space="preserve"> electrónico</w:t>
      </w:r>
      <w:r w:rsidR="00F24C91">
        <w:rPr>
          <w:rFonts w:cs="Tahoma"/>
          <w:bCs/>
          <w:szCs w:val="22"/>
          <w:lang w:val="es-ES"/>
        </w:rPr>
        <w:t>s:</w:t>
      </w:r>
    </w:p>
    <w:p w14:paraId="619B9CF7" w14:textId="1724CFB9" w:rsidR="007C372D" w:rsidRPr="00102B02" w:rsidRDefault="00B2797F" w:rsidP="00102B02">
      <w:pPr>
        <w:pStyle w:val="Prrafodelista"/>
        <w:numPr>
          <w:ilvl w:val="0"/>
          <w:numId w:val="22"/>
        </w:numPr>
        <w:autoSpaceDE w:val="0"/>
        <w:autoSpaceDN w:val="0"/>
        <w:adjustRightInd w:val="0"/>
        <w:spacing w:before="240" w:after="240"/>
        <w:ind w:right="-28"/>
        <w:rPr>
          <w:rFonts w:cs="Tahoma"/>
          <w:bCs/>
          <w:i/>
          <w:szCs w:val="22"/>
        </w:rPr>
      </w:pPr>
      <w:r w:rsidRPr="00F24C91">
        <w:rPr>
          <w:rFonts w:cs="Tahoma"/>
          <w:bCs/>
          <w:szCs w:val="22"/>
          <w:lang w:val="es-ES"/>
        </w:rPr>
        <w:t>“</w:t>
      </w:r>
      <w:r w:rsidR="00F24C91" w:rsidRPr="00F24C91">
        <w:rPr>
          <w:rFonts w:cs="Tahoma"/>
          <w:b/>
          <w:i/>
          <w:iCs/>
          <w:szCs w:val="22"/>
          <w:lang w:val="es-ES"/>
        </w:rPr>
        <w:t>RESPUESTA 353.IP.2025.pdf</w:t>
      </w:r>
      <w:r w:rsidR="00352DD2" w:rsidRPr="00F24C91">
        <w:rPr>
          <w:rFonts w:cs="Tahoma"/>
          <w:b/>
          <w:i/>
          <w:iCs/>
          <w:szCs w:val="22"/>
          <w:lang w:val="es-ES"/>
        </w:rPr>
        <w:t>”,</w:t>
      </w:r>
      <w:r w:rsidR="003267AD" w:rsidRPr="00F24C91">
        <w:rPr>
          <w:rFonts w:cs="Tahoma"/>
          <w:b/>
          <w:i/>
          <w:iCs/>
          <w:szCs w:val="22"/>
          <w:lang w:val="es-ES"/>
        </w:rPr>
        <w:t xml:space="preserve"> </w:t>
      </w:r>
      <w:r w:rsidR="003267AD" w:rsidRPr="00F24C91">
        <w:rPr>
          <w:rFonts w:cs="Tahoma"/>
          <w:bCs/>
          <w:szCs w:val="22"/>
          <w:lang w:val="es-ES"/>
        </w:rPr>
        <w:t xml:space="preserve">mismo que consiste en el oficio </w:t>
      </w:r>
      <w:r w:rsidR="00102B02">
        <w:rPr>
          <w:rFonts w:cs="Tahoma"/>
          <w:bCs/>
          <w:szCs w:val="22"/>
          <w:lang w:val="es-ES"/>
        </w:rPr>
        <w:t>de</w:t>
      </w:r>
      <w:r w:rsidR="007C372D" w:rsidRPr="00F24C91">
        <w:rPr>
          <w:rFonts w:cs="Tahoma"/>
          <w:bCs/>
          <w:szCs w:val="22"/>
          <w:lang w:val="es-ES"/>
        </w:rPr>
        <w:t xml:space="preserve"> </w:t>
      </w:r>
      <w:r w:rsidR="003267AD" w:rsidRPr="00F24C91">
        <w:rPr>
          <w:rFonts w:cs="Tahoma"/>
          <w:bCs/>
          <w:szCs w:val="22"/>
          <w:lang w:val="es-ES"/>
        </w:rPr>
        <w:t>número</w:t>
      </w:r>
      <w:r w:rsidR="00102B02">
        <w:rPr>
          <w:rFonts w:cs="Tahoma"/>
          <w:bCs/>
          <w:szCs w:val="22"/>
          <w:lang w:val="es-ES"/>
        </w:rPr>
        <w:t xml:space="preserve"> 07C0401210001S-UT-1193/2025</w:t>
      </w:r>
      <w:r w:rsidR="003267AD" w:rsidRPr="00F24C91">
        <w:rPr>
          <w:rFonts w:cs="Tahoma"/>
          <w:bCs/>
          <w:szCs w:val="22"/>
          <w:lang w:val="es-ES"/>
        </w:rPr>
        <w:t xml:space="preserve">, del </w:t>
      </w:r>
      <w:r w:rsidR="00102B02">
        <w:rPr>
          <w:rFonts w:cs="Tahoma"/>
          <w:bCs/>
          <w:szCs w:val="22"/>
          <w:lang w:val="es-ES"/>
        </w:rPr>
        <w:t>veintiuno</w:t>
      </w:r>
      <w:r w:rsidR="007C372D" w:rsidRPr="00F24C91">
        <w:rPr>
          <w:rFonts w:cs="Tahoma"/>
          <w:bCs/>
          <w:szCs w:val="22"/>
          <w:lang w:val="es-ES"/>
        </w:rPr>
        <w:t xml:space="preserve"> de mayo</w:t>
      </w:r>
      <w:r w:rsidR="00FC6539" w:rsidRPr="00F24C91">
        <w:rPr>
          <w:rFonts w:cs="Tahoma"/>
          <w:bCs/>
          <w:szCs w:val="22"/>
          <w:lang w:val="es-ES"/>
        </w:rPr>
        <w:t xml:space="preserve"> de dos mil veinticinco</w:t>
      </w:r>
      <w:r w:rsidR="00B13C5D" w:rsidRPr="00F24C91">
        <w:rPr>
          <w:rFonts w:cs="Tahoma"/>
          <w:bCs/>
          <w:szCs w:val="22"/>
          <w:lang w:val="es-ES"/>
        </w:rPr>
        <w:t xml:space="preserve">, </w:t>
      </w:r>
      <w:r w:rsidR="002A74AA" w:rsidRPr="00F24C91">
        <w:rPr>
          <w:rFonts w:cs="Tahoma"/>
          <w:bCs/>
          <w:szCs w:val="22"/>
          <w:lang w:val="es-ES"/>
        </w:rPr>
        <w:t>dirigido a</w:t>
      </w:r>
      <w:r w:rsidR="007C372D" w:rsidRPr="00F24C91">
        <w:rPr>
          <w:rFonts w:cs="Tahoma"/>
          <w:bCs/>
          <w:szCs w:val="22"/>
          <w:lang w:val="es-ES"/>
        </w:rPr>
        <w:t xml:space="preserve">l Solicitante, mediante el cual el </w:t>
      </w:r>
      <w:r w:rsidRPr="00F24C91">
        <w:rPr>
          <w:rFonts w:cs="Tahoma"/>
          <w:bCs/>
          <w:szCs w:val="22"/>
          <w:lang w:val="es-ES"/>
        </w:rPr>
        <w:t xml:space="preserve">Titular </w:t>
      </w:r>
      <w:r w:rsidR="002A74AA" w:rsidRPr="00F24C91">
        <w:rPr>
          <w:rFonts w:cs="Tahoma"/>
          <w:bCs/>
          <w:szCs w:val="22"/>
          <w:lang w:val="es-ES"/>
        </w:rPr>
        <w:t xml:space="preserve">de la Unidad de </w:t>
      </w:r>
      <w:r w:rsidRPr="00F24C91">
        <w:rPr>
          <w:rFonts w:cs="Tahoma"/>
          <w:bCs/>
          <w:szCs w:val="22"/>
          <w:lang w:val="es-ES"/>
        </w:rPr>
        <w:t>Transparencia</w:t>
      </w:r>
      <w:r w:rsidR="002A74AA" w:rsidRPr="00F24C91">
        <w:rPr>
          <w:rFonts w:cs="Tahoma"/>
          <w:bCs/>
          <w:szCs w:val="22"/>
          <w:lang w:val="es-ES"/>
        </w:rPr>
        <w:t xml:space="preserve">, </w:t>
      </w:r>
      <w:r w:rsidR="00102B02">
        <w:rPr>
          <w:rFonts w:cs="Tahoma"/>
          <w:bCs/>
          <w:szCs w:val="22"/>
          <w:lang w:val="es-ES"/>
        </w:rPr>
        <w:t xml:space="preserve">hace del </w:t>
      </w:r>
      <w:r w:rsidR="00102B02">
        <w:rPr>
          <w:rFonts w:cs="Tahoma"/>
          <w:bCs/>
          <w:szCs w:val="22"/>
          <w:lang w:val="es-ES"/>
        </w:rPr>
        <w:lastRenderedPageBreak/>
        <w:t xml:space="preserve">conocimiento la respuesta emitida por el </w:t>
      </w:r>
      <w:r w:rsidR="00102B02" w:rsidRPr="00102B02">
        <w:rPr>
          <w:rFonts w:cs="Tahoma"/>
          <w:bCs/>
          <w:szCs w:val="22"/>
          <w:lang w:val="es-ES"/>
        </w:rPr>
        <w:t>Servidor Público Habilitado de la Coordinación de Administración y Finanzas</w:t>
      </w:r>
      <w:r w:rsidR="00102B02">
        <w:rPr>
          <w:rFonts w:cs="Tahoma"/>
          <w:bCs/>
          <w:szCs w:val="22"/>
          <w:lang w:val="es-ES"/>
        </w:rPr>
        <w:t>.</w:t>
      </w:r>
    </w:p>
    <w:p w14:paraId="7A419E2E" w14:textId="77777777" w:rsidR="00102B02" w:rsidRDefault="00102B02" w:rsidP="00102B02">
      <w:pPr>
        <w:pStyle w:val="Prrafodelista"/>
        <w:autoSpaceDE w:val="0"/>
        <w:autoSpaceDN w:val="0"/>
        <w:adjustRightInd w:val="0"/>
        <w:spacing w:before="240" w:after="240"/>
        <w:ind w:right="-28"/>
        <w:rPr>
          <w:rFonts w:cs="Tahoma"/>
          <w:bCs/>
          <w:i/>
          <w:szCs w:val="22"/>
        </w:rPr>
      </w:pPr>
    </w:p>
    <w:p w14:paraId="6719F170" w14:textId="57F912E8" w:rsidR="00F24C91" w:rsidRPr="00F24C91" w:rsidRDefault="00F24C91" w:rsidP="00F24C91">
      <w:pPr>
        <w:pStyle w:val="Prrafodelista"/>
        <w:numPr>
          <w:ilvl w:val="0"/>
          <w:numId w:val="22"/>
        </w:numPr>
        <w:autoSpaceDE w:val="0"/>
        <w:autoSpaceDN w:val="0"/>
        <w:adjustRightInd w:val="0"/>
        <w:spacing w:before="240" w:after="240"/>
        <w:ind w:right="-28"/>
        <w:rPr>
          <w:rFonts w:cs="Tahoma"/>
          <w:b/>
          <w:bCs/>
          <w:i/>
          <w:szCs w:val="22"/>
        </w:rPr>
      </w:pPr>
      <w:r w:rsidRPr="00F24C91">
        <w:rPr>
          <w:rFonts w:cs="Tahoma"/>
          <w:b/>
          <w:bCs/>
          <w:i/>
          <w:szCs w:val="22"/>
        </w:rPr>
        <w:t>“RESOLUCION 353 IP 2025.pdf</w:t>
      </w:r>
      <w:r>
        <w:rPr>
          <w:rFonts w:cs="Tahoma"/>
          <w:b/>
          <w:bCs/>
          <w:i/>
          <w:szCs w:val="22"/>
        </w:rPr>
        <w:t xml:space="preserve">”, </w:t>
      </w:r>
      <w:r w:rsidR="00102B02">
        <w:rPr>
          <w:rFonts w:cs="Tahoma"/>
          <w:bCs/>
          <w:szCs w:val="22"/>
        </w:rPr>
        <w:t xml:space="preserve">archivo que consiste en la resolución de número CT/ISSEMYM-A06-17E/2025, mediante el cual se aprobó la </w:t>
      </w:r>
      <w:r w:rsidR="00C2213B">
        <w:rPr>
          <w:rFonts w:cs="Tahoma"/>
          <w:bCs/>
          <w:szCs w:val="22"/>
        </w:rPr>
        <w:t>confirmación de la declaratoria de inexistencia de la información peticionada.</w:t>
      </w:r>
    </w:p>
    <w:p w14:paraId="5A5DAB9E" w14:textId="77777777" w:rsidR="00E37A3F" w:rsidRPr="00A80134" w:rsidRDefault="00E37A3F" w:rsidP="00404336">
      <w:pPr>
        <w:pStyle w:val="Ttulo2"/>
        <w:jc w:val="left"/>
      </w:pPr>
      <w:bookmarkStart w:id="11" w:name="_Toc201768558"/>
      <w:r w:rsidRPr="00A80134">
        <w:t>DEL RECURSO DE REVISIÓN</w:t>
      </w:r>
      <w:bookmarkEnd w:id="11"/>
    </w:p>
    <w:p w14:paraId="2B216813" w14:textId="61ADBB2B" w:rsidR="00664420" w:rsidRPr="00A80134" w:rsidRDefault="006E25BC" w:rsidP="00404336">
      <w:pPr>
        <w:pStyle w:val="Ttulo3"/>
        <w:spacing w:line="360" w:lineRule="auto"/>
      </w:pPr>
      <w:bookmarkStart w:id="12" w:name="_Toc201768559"/>
      <w:r w:rsidRPr="00A80134">
        <w:rPr>
          <w:szCs w:val="32"/>
        </w:rPr>
        <w:t>a)</w:t>
      </w:r>
      <w:r w:rsidRPr="00A80134">
        <w:t xml:space="preserve"> </w:t>
      </w:r>
      <w:r w:rsidR="00664420" w:rsidRPr="00A80134">
        <w:t>Interposición del Recurso de Revisión</w:t>
      </w:r>
      <w:bookmarkEnd w:id="12"/>
    </w:p>
    <w:p w14:paraId="6279C622" w14:textId="5990D7B4" w:rsidR="00664420" w:rsidRPr="00404336" w:rsidRDefault="00664420" w:rsidP="00404336">
      <w:pPr>
        <w:autoSpaceDE w:val="0"/>
        <w:autoSpaceDN w:val="0"/>
        <w:adjustRightInd w:val="0"/>
        <w:ind w:right="-28"/>
        <w:rPr>
          <w:rFonts w:cs="Tahoma"/>
          <w:szCs w:val="22"/>
        </w:rPr>
      </w:pPr>
      <w:r w:rsidRPr="00404336">
        <w:rPr>
          <w:rFonts w:cs="Tahoma"/>
          <w:szCs w:val="22"/>
        </w:rPr>
        <w:t xml:space="preserve">El </w:t>
      </w:r>
      <w:r w:rsidR="00C2213B">
        <w:rPr>
          <w:rFonts w:cs="Tahoma"/>
          <w:b/>
          <w:bCs/>
          <w:szCs w:val="22"/>
        </w:rPr>
        <w:t>tres de junio</w:t>
      </w:r>
      <w:r w:rsidR="006309D0">
        <w:rPr>
          <w:rFonts w:cs="Tahoma"/>
          <w:b/>
          <w:bCs/>
          <w:szCs w:val="22"/>
        </w:rPr>
        <w:t xml:space="preserve"> de dos </w:t>
      </w:r>
      <w:r w:rsidRPr="00404336">
        <w:rPr>
          <w:rFonts w:cs="Tahoma"/>
          <w:b/>
          <w:bCs/>
          <w:szCs w:val="22"/>
        </w:rPr>
        <w:t xml:space="preserve">mil </w:t>
      </w:r>
      <w:r w:rsidR="00C460FB" w:rsidRPr="00404336">
        <w:rPr>
          <w:rFonts w:cs="Tahoma"/>
          <w:b/>
          <w:bCs/>
          <w:szCs w:val="22"/>
        </w:rPr>
        <w:t>veintic</w:t>
      </w:r>
      <w:r w:rsidR="006309D0">
        <w:rPr>
          <w:rFonts w:cs="Tahoma"/>
          <w:b/>
          <w:bCs/>
          <w:szCs w:val="22"/>
        </w:rPr>
        <w:t>inco</w:t>
      </w:r>
      <w:r w:rsidR="00962628">
        <w:rPr>
          <w:rFonts w:cs="Tahoma"/>
          <w:b/>
          <w:bCs/>
          <w:szCs w:val="22"/>
        </w:rPr>
        <w:t>,</w:t>
      </w:r>
      <w:r w:rsidR="00C460FB" w:rsidRPr="00404336">
        <w:rPr>
          <w:rFonts w:cs="Tahoma"/>
          <w:b/>
          <w:bCs/>
          <w:szCs w:val="22"/>
        </w:rPr>
        <w:t xml:space="preserve"> </w:t>
      </w:r>
      <w:r w:rsidR="00F75D23" w:rsidRPr="00404336">
        <w:rPr>
          <w:rFonts w:cs="Tahoma"/>
          <w:b/>
          <w:bCs/>
          <w:szCs w:val="22"/>
        </w:rPr>
        <w:t>LA PARTE RECURRENTE</w:t>
      </w:r>
      <w:r w:rsidR="00F75D23" w:rsidRPr="00404336">
        <w:rPr>
          <w:rFonts w:cs="Tahoma"/>
          <w:szCs w:val="22"/>
        </w:rPr>
        <w:t xml:space="preserve"> </w:t>
      </w:r>
      <w:r w:rsidR="00416E5A" w:rsidRPr="00416E5A">
        <w:rPr>
          <w:rFonts w:cs="Tahoma"/>
          <w:szCs w:val="22"/>
        </w:rPr>
        <w:t>inconforme</w:t>
      </w:r>
      <w:r w:rsidR="00416E5A">
        <w:rPr>
          <w:rFonts w:cs="Tahoma"/>
          <w:szCs w:val="22"/>
        </w:rPr>
        <w:t xml:space="preserve"> con la respuesta </w:t>
      </w:r>
      <w:r w:rsidR="00416E5A" w:rsidRPr="00416E5A">
        <w:rPr>
          <w:rFonts w:cs="Tahoma"/>
          <w:szCs w:val="22"/>
        </w:rPr>
        <w:t xml:space="preserve">del </w:t>
      </w:r>
      <w:r w:rsidR="00416E5A" w:rsidRPr="00416E5A">
        <w:rPr>
          <w:rFonts w:cs="Tahoma"/>
          <w:b/>
          <w:szCs w:val="22"/>
        </w:rPr>
        <w:t>SUJETO OBLIGADO</w:t>
      </w:r>
      <w:r w:rsidR="00416E5A" w:rsidRPr="00416E5A">
        <w:rPr>
          <w:rFonts w:cs="Tahoma"/>
          <w:szCs w:val="22"/>
        </w:rPr>
        <w:t xml:space="preserve">, interpuso el recurso de revisión el cual fue registrado en el SAIMEX con el número de expediente </w:t>
      </w:r>
      <w:r w:rsidR="008807B3" w:rsidRPr="008807B3">
        <w:rPr>
          <w:rFonts w:cs="Tahoma"/>
          <w:b/>
          <w:szCs w:val="22"/>
        </w:rPr>
        <w:t>06497/INFOEM/IP/RR/2025</w:t>
      </w:r>
      <w:r w:rsidR="00416E5A" w:rsidRPr="00416E5A">
        <w:rPr>
          <w:rFonts w:cs="Tahoma"/>
          <w:szCs w:val="22"/>
        </w:rPr>
        <w:t>, y en el que manifiesta lo siguiente como:</w:t>
      </w:r>
    </w:p>
    <w:p w14:paraId="448FA967" w14:textId="77777777" w:rsidR="0073208C" w:rsidRPr="00404336" w:rsidRDefault="0073208C" w:rsidP="00404336">
      <w:pPr>
        <w:tabs>
          <w:tab w:val="left" w:pos="4667"/>
        </w:tabs>
        <w:ind w:right="539"/>
        <w:rPr>
          <w:rFonts w:cs="Tahoma"/>
          <w:szCs w:val="22"/>
        </w:rPr>
      </w:pPr>
    </w:p>
    <w:p w14:paraId="12153283" w14:textId="3E95DBC2" w:rsidR="00664420" w:rsidRPr="00404336" w:rsidRDefault="00664420" w:rsidP="00404336">
      <w:pPr>
        <w:tabs>
          <w:tab w:val="left" w:pos="4667"/>
        </w:tabs>
        <w:ind w:left="567" w:right="539"/>
        <w:rPr>
          <w:rFonts w:cs="Tahoma"/>
          <w:b/>
          <w:iCs/>
        </w:rPr>
      </w:pPr>
      <w:r w:rsidRPr="00404336">
        <w:rPr>
          <w:rFonts w:cs="Tahoma"/>
          <w:b/>
          <w:iCs/>
        </w:rPr>
        <w:t>ACTO IMPUGNADO</w:t>
      </w:r>
    </w:p>
    <w:p w14:paraId="523F8BF4" w14:textId="6EE66DD1" w:rsidR="00664420" w:rsidRPr="00404336" w:rsidRDefault="00E4033C" w:rsidP="007030A4">
      <w:pPr>
        <w:tabs>
          <w:tab w:val="left" w:pos="4667"/>
        </w:tabs>
        <w:spacing w:line="240" w:lineRule="auto"/>
        <w:ind w:left="851" w:right="822"/>
        <w:rPr>
          <w:rFonts w:cs="Tahoma"/>
          <w:bCs/>
          <w:i/>
        </w:rPr>
      </w:pPr>
      <w:r>
        <w:rPr>
          <w:rFonts w:cs="Tahoma"/>
          <w:bCs/>
          <w:i/>
        </w:rPr>
        <w:t>“</w:t>
      </w:r>
      <w:r w:rsidR="00C2213B" w:rsidRPr="00C2213B">
        <w:rPr>
          <w:rFonts w:cs="Tahoma"/>
          <w:bCs/>
          <w:i/>
        </w:rPr>
        <w:t>QUIÉN PERMITIÓ EL CAMBIO DE MODALIDAD DE ENTREGA DE LA INFORMACIÓN?. LA LEY ARCHIVÍSTICA Y LA LEY DE GOBIERNO DIGITAL YA CONTEMPLA QUE SE DEBE TENER LA DOCUMENTACIÓN DIGITALIZADA, NO PUEDEN DECIR QUE NO LO TIENEN. NO PUEDEN ARGUMENTAR QUE NO CUENTAN CON PERSONAL SUFICIENTE, HAY PRESUPUESTO EN LA LEY DE EGRESOS PARA CONTRATAR PERSONAL SUFICIENTE, HÁGANLO VALER, ADICIONAL A ESO, YO PIDO LA INFORMACIÓN DIGITAL, NO TIENEN QUE PROCEDER A NINGUNN ANÁLISOS, NI PROCESAMIENTO DE LA INFORMACIÓN, NO LES PIDO INFORMACIÓN AD HOC. SOLO ESCANEADA. NO LA NIEGUEN, EN CASO DE NO CONTAR CON LA INFORMACIÓN, MEJOR MANIFIÉSTENLOPO DE ESA MANERA.</w:t>
      </w:r>
      <w:r>
        <w:rPr>
          <w:rFonts w:cs="Tahoma"/>
          <w:bCs/>
          <w:i/>
        </w:rPr>
        <w:t>” (Sic)</w:t>
      </w:r>
    </w:p>
    <w:p w14:paraId="6AE8EA9A" w14:textId="77777777" w:rsidR="00664420" w:rsidRPr="00404336" w:rsidRDefault="00664420" w:rsidP="00404336">
      <w:pPr>
        <w:tabs>
          <w:tab w:val="left" w:pos="4667"/>
        </w:tabs>
        <w:ind w:left="567" w:right="539"/>
        <w:rPr>
          <w:rFonts w:cs="Tahoma"/>
          <w:bCs/>
          <w:i/>
        </w:rPr>
      </w:pPr>
    </w:p>
    <w:p w14:paraId="047D036B" w14:textId="161C8403" w:rsidR="00664420" w:rsidRPr="00404336" w:rsidRDefault="00664420" w:rsidP="00404336">
      <w:pPr>
        <w:tabs>
          <w:tab w:val="left" w:pos="4667"/>
        </w:tabs>
        <w:ind w:left="567" w:right="539"/>
        <w:rPr>
          <w:rFonts w:cs="Tahoma"/>
          <w:b/>
          <w:iCs/>
        </w:rPr>
      </w:pPr>
      <w:r w:rsidRPr="00404336">
        <w:rPr>
          <w:rFonts w:cs="Tahoma"/>
          <w:b/>
          <w:iCs/>
        </w:rPr>
        <w:t>RAZONES O MOTIVOS DE LA INCONFORMIDAD</w:t>
      </w:r>
    </w:p>
    <w:p w14:paraId="1DAE2563" w14:textId="65409BC0" w:rsidR="00953430" w:rsidRPr="00CA11CF" w:rsidRDefault="009D5A76" w:rsidP="00CA11CF">
      <w:pPr>
        <w:tabs>
          <w:tab w:val="left" w:pos="4667"/>
        </w:tabs>
        <w:spacing w:line="240" w:lineRule="auto"/>
        <w:ind w:left="851" w:right="822"/>
        <w:rPr>
          <w:rFonts w:cs="Tahoma"/>
          <w:bCs/>
          <w:i/>
        </w:rPr>
      </w:pPr>
      <w:r w:rsidRPr="00CA11CF">
        <w:rPr>
          <w:rFonts w:cs="Tahoma"/>
          <w:bCs/>
          <w:i/>
        </w:rPr>
        <w:t>“</w:t>
      </w:r>
      <w:r w:rsidR="00C2213B" w:rsidRPr="00C2213B">
        <w:rPr>
          <w:rFonts w:cs="Tahoma"/>
          <w:bCs/>
          <w:i/>
        </w:rPr>
        <w:t xml:space="preserve">QUIÉN PERMITIÓ EL CAMBIO DE MODALIDAD DE ENTREGA DE LA INFORMACIÓN?. LA LEY ARCHIVÍSTICA Y LA LEY DE GOBIERNO </w:t>
      </w:r>
      <w:r w:rsidR="00C2213B" w:rsidRPr="00C2213B">
        <w:rPr>
          <w:rFonts w:cs="Tahoma"/>
          <w:bCs/>
          <w:i/>
        </w:rPr>
        <w:lastRenderedPageBreak/>
        <w:t>DIGITAL YA CONTEMPLA QUE SE DEBE TENER LA DOCUMENTACIÓN DIGITALIZADA, NO PUEDEN DECIR QUE NO LO TIENEN. NO PUEDEN ARGUMENTAR QUE NO CUENTAN CON PERSONAL SUFICIENTE, HAY PRESUPUESTO EN LA LEY DE EGRESOS PARA CONTRATAR PERSONAL SUFICIENTE, HÁGANLO VALER, ADICIONAL A ESO, YO PIDO LA INFORMACIÓN DIGITAL, NO TIENEN QUE PROCEDER A NINGUNN ANÁLISOS, NI PROCESAMIENTO DE LA INFORMACIÓN, NO LES PIDO INFORMACIÓN AD HOC. SOLO ESCANEADA. NO LA NIEGUEN, EN CASO DE NO CONTAR CON LA INFORMACIÓN, MEJOR MANIFIÉSTENLOPO DE ESA MANERA.</w:t>
      </w:r>
      <w:r w:rsidRPr="00CA11CF">
        <w:rPr>
          <w:rFonts w:cs="Tahoma"/>
          <w:bCs/>
          <w:i/>
        </w:rPr>
        <w:t>”</w:t>
      </w:r>
      <w:r w:rsidR="00CA11CF" w:rsidRPr="00CA11CF">
        <w:rPr>
          <w:rFonts w:cs="Tahoma"/>
          <w:bCs/>
          <w:i/>
        </w:rPr>
        <w:t xml:space="preserve"> </w:t>
      </w:r>
      <w:r w:rsidRPr="00CA11CF">
        <w:rPr>
          <w:rFonts w:cs="Tahoma"/>
          <w:bCs/>
          <w:i/>
        </w:rPr>
        <w:t>(Sic)</w:t>
      </w:r>
    </w:p>
    <w:p w14:paraId="48FE75EA" w14:textId="4AFD4853" w:rsidR="00664420" w:rsidRDefault="00664420" w:rsidP="00404336">
      <w:pPr>
        <w:tabs>
          <w:tab w:val="left" w:pos="4667"/>
        </w:tabs>
        <w:ind w:right="567"/>
        <w:rPr>
          <w:rFonts w:cs="Tahoma"/>
          <w:b/>
          <w:bCs/>
        </w:rPr>
      </w:pPr>
    </w:p>
    <w:p w14:paraId="6804DEF1" w14:textId="3C4F6CB5" w:rsidR="00664420" w:rsidRPr="00A80134" w:rsidRDefault="006E25BC" w:rsidP="00404336">
      <w:pPr>
        <w:pStyle w:val="Ttulo3"/>
        <w:spacing w:line="360" w:lineRule="auto"/>
      </w:pPr>
      <w:bookmarkStart w:id="13" w:name="_Toc201768560"/>
      <w:r w:rsidRPr="00A80134">
        <w:t>b</w:t>
      </w:r>
      <w:r w:rsidR="00664420" w:rsidRPr="00A80134">
        <w:t>) Turno del Recurso de Revisión</w:t>
      </w:r>
      <w:bookmarkEnd w:id="13"/>
    </w:p>
    <w:p w14:paraId="1173671B" w14:textId="656AFAD4" w:rsidR="00C72DAA" w:rsidRPr="00404336" w:rsidRDefault="00C72DAA" w:rsidP="00404336">
      <w:r w:rsidRPr="00404336">
        <w:t>Con fundamento en el artículo 185, fracción I de la Ley de Transparencia y Acceso a la Información Pública del Estado de México y Municipios, el</w:t>
      </w:r>
      <w:r w:rsidRPr="00404336">
        <w:rPr>
          <w:b/>
          <w:bCs/>
        </w:rPr>
        <w:t xml:space="preserve"> </w:t>
      </w:r>
      <w:r w:rsidR="00C2213B">
        <w:rPr>
          <w:rFonts w:cs="Tahoma"/>
          <w:b/>
          <w:bCs/>
          <w:szCs w:val="22"/>
        </w:rPr>
        <w:t>tres de junio</w:t>
      </w:r>
      <w:r w:rsidR="00A75F13">
        <w:rPr>
          <w:rFonts w:cs="Tahoma"/>
          <w:b/>
          <w:bCs/>
          <w:szCs w:val="22"/>
        </w:rPr>
        <w:t xml:space="preserve"> </w:t>
      </w:r>
      <w:r w:rsidR="00416E5A">
        <w:rPr>
          <w:rFonts w:cs="Tahoma"/>
          <w:b/>
          <w:bCs/>
          <w:szCs w:val="22"/>
        </w:rPr>
        <w:t xml:space="preserve">de dos </w:t>
      </w:r>
      <w:r w:rsidR="00416E5A" w:rsidRPr="00404336">
        <w:rPr>
          <w:rFonts w:cs="Tahoma"/>
          <w:b/>
          <w:bCs/>
          <w:szCs w:val="22"/>
        </w:rPr>
        <w:t>mil veintic</w:t>
      </w:r>
      <w:r w:rsidR="00416E5A">
        <w:rPr>
          <w:rFonts w:cs="Tahoma"/>
          <w:b/>
          <w:bCs/>
          <w:szCs w:val="22"/>
        </w:rPr>
        <w:t>inco</w:t>
      </w:r>
      <w:r w:rsidR="00416E5A" w:rsidRPr="00404336">
        <w:t xml:space="preserve"> </w:t>
      </w:r>
      <w:r w:rsidRPr="00404336">
        <w:t>se turnó el recurso de revisión a través del</w:t>
      </w:r>
      <w:r w:rsidRPr="00404336">
        <w:rPr>
          <w:rFonts w:eastAsia="Arial Unicode MS"/>
        </w:rPr>
        <w:t xml:space="preserve"> </w:t>
      </w:r>
      <w:r w:rsidRPr="00404336">
        <w:rPr>
          <w:rFonts w:eastAsia="Arial Unicode MS"/>
          <w:bCs/>
        </w:rPr>
        <w:t>SAIMEX</w:t>
      </w:r>
      <w:r w:rsidRPr="00404336">
        <w:t xml:space="preserve"> a la </w:t>
      </w:r>
      <w:r w:rsidRPr="00404336">
        <w:rPr>
          <w:b/>
        </w:rPr>
        <w:t>Comisionada Sharon Cristina Morales Martínez</w:t>
      </w:r>
      <w:r w:rsidRPr="00404336">
        <w:rPr>
          <w:bCs/>
        </w:rPr>
        <w:t xml:space="preserve">, </w:t>
      </w:r>
      <w:r w:rsidRPr="00404336">
        <w:t xml:space="preserve">a efecto de decretar su admisión o desechamiento. </w:t>
      </w:r>
    </w:p>
    <w:p w14:paraId="18F305CB" w14:textId="77777777" w:rsidR="00664420" w:rsidRPr="00404336" w:rsidRDefault="00664420" w:rsidP="00404336">
      <w:pPr>
        <w:rPr>
          <w:rFonts w:eastAsia="Batang" w:cs="Tahoma"/>
          <w:bCs/>
          <w:szCs w:val="22"/>
        </w:rPr>
      </w:pPr>
    </w:p>
    <w:p w14:paraId="3E31EC2D" w14:textId="295256A1" w:rsidR="00664420" w:rsidRPr="00A80134" w:rsidRDefault="006E25BC" w:rsidP="00404336">
      <w:pPr>
        <w:pStyle w:val="Ttulo3"/>
        <w:spacing w:line="360" w:lineRule="auto"/>
      </w:pPr>
      <w:bookmarkStart w:id="14" w:name="_Toc201768561"/>
      <w:r w:rsidRPr="00A80134">
        <w:t>c</w:t>
      </w:r>
      <w:r w:rsidR="00664420" w:rsidRPr="00A80134">
        <w:t>) Admisión del Recurso de Revisión</w:t>
      </w:r>
      <w:bookmarkEnd w:id="14"/>
    </w:p>
    <w:p w14:paraId="240447D5" w14:textId="13C5B675" w:rsidR="000E09C4" w:rsidRDefault="000E09C4" w:rsidP="00404336">
      <w:pPr>
        <w:rPr>
          <w:rFonts w:cs="Arial"/>
        </w:rPr>
      </w:pPr>
      <w:r w:rsidRPr="00404336">
        <w:rPr>
          <w:rFonts w:cs="Arial"/>
        </w:rPr>
        <w:t xml:space="preserve">El </w:t>
      </w:r>
      <w:r w:rsidR="007C372D">
        <w:rPr>
          <w:rFonts w:eastAsia="Palatino Linotype" w:cs="Palatino Linotype"/>
          <w:b/>
        </w:rPr>
        <w:t>c</w:t>
      </w:r>
      <w:r w:rsidR="00C2213B">
        <w:rPr>
          <w:rFonts w:eastAsia="Palatino Linotype" w:cs="Palatino Linotype"/>
          <w:b/>
        </w:rPr>
        <w:t>inco</w:t>
      </w:r>
      <w:r w:rsidR="007C372D">
        <w:rPr>
          <w:rFonts w:eastAsia="Palatino Linotype" w:cs="Palatino Linotype"/>
          <w:b/>
        </w:rPr>
        <w:t xml:space="preserve"> de junio</w:t>
      </w:r>
      <w:r w:rsidR="003470A4">
        <w:rPr>
          <w:rFonts w:eastAsia="Palatino Linotype" w:cs="Palatino Linotype"/>
          <w:b/>
        </w:rPr>
        <w:t xml:space="preserve"> de dos mil veinticinco,</w:t>
      </w:r>
      <w:r w:rsidR="00C460FB" w:rsidRPr="00404336">
        <w:rPr>
          <w:rFonts w:eastAsia="Palatino Linotype" w:cs="Palatino Linotype"/>
          <w:b/>
        </w:rPr>
        <w:t xml:space="preserve"> </w:t>
      </w:r>
      <w:r w:rsidRPr="00404336">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04336">
        <w:rPr>
          <w:rFonts w:cs="Arial"/>
        </w:rPr>
        <w:t>, fracción II</w:t>
      </w:r>
      <w:r w:rsidRPr="00404336">
        <w:rPr>
          <w:rFonts w:cs="Arial"/>
        </w:rPr>
        <w:t xml:space="preserve"> de la Ley de Transparencia y Acceso a la Información Pública del Estado de México y Municipios.</w:t>
      </w:r>
    </w:p>
    <w:p w14:paraId="34330BE1" w14:textId="77777777" w:rsidR="002819DA" w:rsidRPr="00404336" w:rsidRDefault="002819DA" w:rsidP="00404336">
      <w:pPr>
        <w:rPr>
          <w:rFonts w:cs="Arial"/>
        </w:rPr>
      </w:pPr>
    </w:p>
    <w:p w14:paraId="3B820F58" w14:textId="184E03BC" w:rsidR="00865CF4" w:rsidRPr="00A80134" w:rsidRDefault="00C460FB" w:rsidP="00404336">
      <w:pPr>
        <w:pStyle w:val="Ttulo3"/>
        <w:spacing w:line="360" w:lineRule="auto"/>
      </w:pPr>
      <w:bookmarkStart w:id="15" w:name="_Toc201768562"/>
      <w:r w:rsidRPr="00A80134">
        <w:t>d</w:t>
      </w:r>
      <w:r w:rsidR="00664420" w:rsidRPr="00A80134">
        <w:t xml:space="preserve">) </w:t>
      </w:r>
      <w:r w:rsidR="00865CF4" w:rsidRPr="00A80134">
        <w:t>Informe Justificado del Sujeto Obligado</w:t>
      </w:r>
      <w:bookmarkEnd w:id="15"/>
    </w:p>
    <w:p w14:paraId="7D62F940" w14:textId="77777777" w:rsidR="00A75F13" w:rsidRPr="00A75F13" w:rsidRDefault="00A75F13" w:rsidP="00A75F13">
      <w:pPr>
        <w:rPr>
          <w:rFonts w:eastAsia="Arial Unicode MS" w:cs="Arial"/>
          <w:color w:val="000000" w:themeColor="text1"/>
        </w:rPr>
      </w:pPr>
      <w:r w:rsidRPr="00A75F13">
        <w:rPr>
          <w:rFonts w:cs="Tahoma"/>
          <w:b/>
          <w:szCs w:val="24"/>
        </w:rPr>
        <w:t xml:space="preserve">EL SUJETO OBLIGADO </w:t>
      </w:r>
      <w:r w:rsidRPr="00A75F13">
        <w:rPr>
          <w:rFonts w:eastAsia="Arial Unicode MS" w:cs="Arial"/>
          <w:color w:val="000000" w:themeColor="text1"/>
        </w:rPr>
        <w:t>no rindió su informe justificado dentro del término legalmente concedido para tal efecto.</w:t>
      </w:r>
    </w:p>
    <w:p w14:paraId="66BA6FC7" w14:textId="1DDD3308" w:rsidR="00865CF4" w:rsidRPr="00404336" w:rsidRDefault="00865CF4" w:rsidP="00404336">
      <w:pPr>
        <w:rPr>
          <w:rFonts w:cs="Tahoma"/>
          <w:bCs/>
          <w:szCs w:val="24"/>
        </w:rPr>
      </w:pPr>
    </w:p>
    <w:p w14:paraId="755B7730" w14:textId="0ECAE7DE" w:rsidR="00664420" w:rsidRPr="00A80134" w:rsidRDefault="00C460FB" w:rsidP="00404336">
      <w:pPr>
        <w:pStyle w:val="Ttulo3"/>
        <w:spacing w:line="360" w:lineRule="auto"/>
        <w:rPr>
          <w:lang w:val="es-ES"/>
        </w:rPr>
      </w:pPr>
      <w:bookmarkStart w:id="16" w:name="_Toc201768563"/>
      <w:r w:rsidRPr="00A80134">
        <w:rPr>
          <w:rFonts w:eastAsia="Calibri"/>
          <w:bCs/>
          <w:lang w:eastAsia="en-US"/>
        </w:rPr>
        <w:lastRenderedPageBreak/>
        <w:t>e</w:t>
      </w:r>
      <w:r w:rsidR="00664420" w:rsidRPr="00A80134">
        <w:rPr>
          <w:rFonts w:eastAsia="Calibri"/>
          <w:bCs/>
          <w:lang w:eastAsia="en-US"/>
        </w:rPr>
        <w:t>)</w:t>
      </w:r>
      <w:r w:rsidR="00664420" w:rsidRPr="00A80134">
        <w:t xml:space="preserve"> </w:t>
      </w:r>
      <w:r w:rsidR="00865CF4" w:rsidRPr="00A80134">
        <w:rPr>
          <w:lang w:val="es-ES"/>
        </w:rPr>
        <w:t>Manifestaciones de la Parte Recurrente</w:t>
      </w:r>
      <w:bookmarkEnd w:id="16"/>
    </w:p>
    <w:p w14:paraId="281432A7" w14:textId="14A0430D" w:rsidR="004E0438" w:rsidRDefault="002819DA" w:rsidP="004E0438">
      <w:pPr>
        <w:rPr>
          <w:rFonts w:eastAsia="Arial Unicode MS" w:cs="Arial"/>
          <w:color w:val="000000" w:themeColor="text1"/>
        </w:rPr>
      </w:pPr>
      <w:r w:rsidRPr="002819DA">
        <w:rPr>
          <w:rFonts w:cs="Tahoma"/>
          <w:b/>
          <w:szCs w:val="24"/>
        </w:rPr>
        <w:t xml:space="preserve">LA PARTE RECURRENTE </w:t>
      </w:r>
      <w:r w:rsidRPr="002819DA">
        <w:rPr>
          <w:rFonts w:eastAsia="Arial Unicode MS" w:cs="Arial"/>
          <w:color w:val="000000" w:themeColor="text1"/>
        </w:rPr>
        <w:t>no realizó manifestación alguna dentro del término legalmente concedido para tal efecto, ni presentó pruebas o alegatos.</w:t>
      </w:r>
    </w:p>
    <w:p w14:paraId="5B3C1614" w14:textId="77777777" w:rsidR="00F03E35" w:rsidRPr="004E0438" w:rsidRDefault="00F03E35" w:rsidP="004E0438">
      <w:pPr>
        <w:rPr>
          <w:rFonts w:cs="Tahoma"/>
          <w:bCs/>
          <w:szCs w:val="24"/>
        </w:rPr>
      </w:pPr>
    </w:p>
    <w:p w14:paraId="6B09022E" w14:textId="56E3B483" w:rsidR="00664420" w:rsidRPr="00A80134" w:rsidRDefault="00C460FB" w:rsidP="00404336">
      <w:pPr>
        <w:pStyle w:val="Ttulo3"/>
        <w:spacing w:line="360" w:lineRule="auto"/>
        <w:rPr>
          <w:rFonts w:eastAsia="Calibri"/>
        </w:rPr>
      </w:pPr>
      <w:bookmarkStart w:id="17" w:name="_Toc201768564"/>
      <w:r w:rsidRPr="00A80134">
        <w:rPr>
          <w:rFonts w:eastAsia="Calibri"/>
        </w:rPr>
        <w:t>f</w:t>
      </w:r>
      <w:r w:rsidR="00664420" w:rsidRPr="00A80134">
        <w:rPr>
          <w:rFonts w:eastAsia="Calibri"/>
        </w:rPr>
        <w:t xml:space="preserve">) </w:t>
      </w:r>
      <w:r w:rsidR="005E4808" w:rsidRPr="00A80134">
        <w:rPr>
          <w:rFonts w:eastAsia="Calibri"/>
        </w:rPr>
        <w:t>Desistimiento del Recurso Revisión.</w:t>
      </w:r>
      <w:bookmarkEnd w:id="17"/>
    </w:p>
    <w:p w14:paraId="5733358A" w14:textId="32DD5D07" w:rsidR="005E4808" w:rsidRDefault="005E4808" w:rsidP="001A6B07">
      <w:pPr>
        <w:spacing w:after="240"/>
        <w:rPr>
          <w:rFonts w:eastAsia="Palatino Linotype" w:cs="Palatino Linotype"/>
        </w:rPr>
      </w:pPr>
      <w:r>
        <w:rPr>
          <w:rFonts w:eastAsia="Palatino Linotype" w:cs="Palatino Linotype"/>
        </w:rPr>
        <w:t>De las constancias que obran en el expediente electrónico del</w:t>
      </w:r>
      <w:r>
        <w:rPr>
          <w:rFonts w:eastAsia="Palatino Linotype" w:cs="Palatino Linotype"/>
          <w:b/>
        </w:rPr>
        <w:t xml:space="preserve"> SAIMEX, </w:t>
      </w:r>
      <w:r>
        <w:rPr>
          <w:rFonts w:eastAsia="Palatino Linotype" w:cs="Palatino Linotype"/>
        </w:rPr>
        <w:t xml:space="preserve">se observa que el </w:t>
      </w:r>
      <w:r w:rsidR="00C2213B">
        <w:rPr>
          <w:rFonts w:eastAsia="Palatino Linotype" w:cs="Palatino Linotype"/>
          <w:b/>
        </w:rPr>
        <w:t>catorce</w:t>
      </w:r>
      <w:r w:rsidR="007C372D">
        <w:rPr>
          <w:rFonts w:eastAsia="Palatino Linotype" w:cs="Palatino Linotype"/>
          <w:b/>
        </w:rPr>
        <w:t xml:space="preserve"> de junio</w:t>
      </w:r>
      <w:r w:rsidR="003470A4">
        <w:rPr>
          <w:rFonts w:eastAsia="Palatino Linotype" w:cs="Palatino Linotype"/>
          <w:b/>
        </w:rPr>
        <w:t xml:space="preserve"> de dos mil veinticinco</w:t>
      </w:r>
      <w:r>
        <w:rPr>
          <w:rFonts w:eastAsia="Palatino Linotype" w:cs="Palatino Linotype"/>
          <w:b/>
        </w:rPr>
        <w:t xml:space="preserve">, </w:t>
      </w:r>
      <w:r>
        <w:rPr>
          <w:rFonts w:eastAsia="Palatino Linotype" w:cs="Palatino Linotype"/>
        </w:rPr>
        <w:t>el Recurso de Revisión</w:t>
      </w:r>
      <w:r>
        <w:rPr>
          <w:rFonts w:eastAsia="Palatino Linotype" w:cs="Palatino Linotype"/>
          <w:b/>
        </w:rPr>
        <w:t xml:space="preserve"> </w:t>
      </w:r>
      <w:r>
        <w:rPr>
          <w:rFonts w:eastAsia="Palatino Linotype" w:cs="Palatino Linotype"/>
        </w:rPr>
        <w:t>que nos ocupa fue desistido por</w:t>
      </w:r>
      <w:r>
        <w:rPr>
          <w:rFonts w:eastAsia="Palatino Linotype" w:cs="Palatino Linotype"/>
          <w:b/>
        </w:rPr>
        <w:t xml:space="preserve"> </w:t>
      </w:r>
      <w:bookmarkStart w:id="18" w:name="_Hlk171924735"/>
      <w:r w:rsidRPr="005E4808">
        <w:rPr>
          <w:b/>
        </w:rPr>
        <w:t>LA PARTE RECURRENTE</w:t>
      </w:r>
      <w:bookmarkEnd w:id="18"/>
      <w:r>
        <w:rPr>
          <w:rFonts w:eastAsia="Palatino Linotype" w:cs="Palatino Linotype"/>
          <w:b/>
        </w:rPr>
        <w:t xml:space="preserve">, </w:t>
      </w:r>
      <w:r>
        <w:rPr>
          <w:rFonts w:eastAsia="Palatino Linotype" w:cs="Palatino Linotype"/>
          <w:bCs/>
        </w:rPr>
        <w:t xml:space="preserve">tal y </w:t>
      </w:r>
      <w:r>
        <w:rPr>
          <w:rFonts w:eastAsia="Palatino Linotype" w:cs="Palatino Linotype"/>
        </w:rPr>
        <w:t>como se puede apreciar en la siguiente</w:t>
      </w:r>
      <w:r>
        <w:rPr>
          <w:rFonts w:eastAsia="Palatino Linotype" w:cs="Palatino Linotype"/>
          <w:b/>
        </w:rPr>
        <w:t xml:space="preserve"> </w:t>
      </w:r>
      <w:r>
        <w:rPr>
          <w:rFonts w:eastAsia="Palatino Linotype" w:cs="Palatino Linotype"/>
        </w:rPr>
        <w:t>imagen:</w:t>
      </w:r>
    </w:p>
    <w:p w14:paraId="49F10993" w14:textId="35E7E372" w:rsidR="004E0438" w:rsidRDefault="001A6B07" w:rsidP="003470A4">
      <w:pPr>
        <w:jc w:val="center"/>
        <w:rPr>
          <w:noProof/>
          <w:lang w:eastAsia="es-MX"/>
          <w14:ligatures w14:val="standardContextual"/>
        </w:rPr>
      </w:pPr>
      <w:r w:rsidRPr="00E93DBE">
        <w:rPr>
          <w:noProof/>
          <w:lang w:eastAsia="es-MX"/>
        </w:rPr>
        <mc:AlternateContent>
          <mc:Choice Requires="wps">
            <w:drawing>
              <wp:anchor distT="0" distB="0" distL="114300" distR="114300" simplePos="0" relativeHeight="251659264" behindDoc="0" locked="0" layoutInCell="1" allowOverlap="1" wp14:anchorId="45237592" wp14:editId="002528C7">
                <wp:simplePos x="0" y="0"/>
                <wp:positionH relativeFrom="margin">
                  <wp:align>right</wp:align>
                </wp:positionH>
                <wp:positionV relativeFrom="paragraph">
                  <wp:posOffset>2375992</wp:posOffset>
                </wp:positionV>
                <wp:extent cx="5727801" cy="256032"/>
                <wp:effectExtent l="0" t="0" r="25400" b="10795"/>
                <wp:wrapNone/>
                <wp:docPr id="4" name="Rectángulo redondeado 17"/>
                <wp:cNvGraphicFramePr/>
                <a:graphic xmlns:a="http://schemas.openxmlformats.org/drawingml/2006/main">
                  <a:graphicData uri="http://schemas.microsoft.com/office/word/2010/wordprocessingShape">
                    <wps:wsp>
                      <wps:cNvSpPr/>
                      <wps:spPr>
                        <a:xfrm>
                          <a:off x="0" y="0"/>
                          <a:ext cx="5727801"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908B40" id="Rectángulo redondeado 17" o:spid="_x0000_s1026" style="position:absolute;margin-left:399.8pt;margin-top:187.1pt;width:451pt;height:2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" filled="f" strokecolor="red" strokeweight="1.5pt">
                <v:stroke joinstyle="miter"/>
                <w10:wrap anchorx="margin"/>
              </v:roundrect>
            </w:pict>
          </mc:Fallback>
        </mc:AlternateContent>
      </w:r>
      <w:r w:rsidR="00C2213B" w:rsidRPr="00C2213B">
        <w:rPr>
          <w:noProof/>
          <w:lang w:eastAsia="es-MX"/>
          <w14:ligatures w14:val="standardContextual"/>
        </w:rPr>
        <w:drawing>
          <wp:inline distT="0" distB="0" distL="0" distR="0" wp14:anchorId="4606AEA3" wp14:editId="2B048287">
            <wp:extent cx="5742940" cy="2801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801620"/>
                    </a:xfrm>
                    <a:prstGeom prst="rect">
                      <a:avLst/>
                    </a:prstGeom>
                  </pic:spPr>
                </pic:pic>
              </a:graphicData>
            </a:graphic>
          </wp:inline>
        </w:drawing>
      </w:r>
    </w:p>
    <w:p w14:paraId="2FA5B17B" w14:textId="77777777" w:rsidR="00A75F13" w:rsidRPr="004E0438" w:rsidRDefault="00A75F13" w:rsidP="003470A4">
      <w:pPr>
        <w:jc w:val="center"/>
        <w:rPr>
          <w:rFonts w:eastAsia="Palatino Linotype" w:cs="Palatino Linotype"/>
          <w:b/>
          <w:sz w:val="16"/>
          <w:szCs w:val="14"/>
          <w:lang w:eastAsia="es-MX"/>
        </w:rPr>
      </w:pPr>
    </w:p>
    <w:p w14:paraId="2DBD7A6D" w14:textId="3CA54275" w:rsidR="005E4808" w:rsidRPr="00E93DBE" w:rsidRDefault="005E4808" w:rsidP="001A6B07">
      <w:pPr>
        <w:spacing w:after="240"/>
        <w:rPr>
          <w:rFonts w:eastAsia="Palatino Linotype" w:cs="Palatino Linotype"/>
        </w:rPr>
      </w:pPr>
      <w:r w:rsidRPr="00E93DBE">
        <w:rPr>
          <w:rFonts w:eastAsia="Palatino Linotype" w:cs="Palatino Linotype"/>
        </w:rPr>
        <w:t xml:space="preserve">Manifestando </w:t>
      </w:r>
      <w:r w:rsidRPr="005E4808">
        <w:rPr>
          <w:b/>
        </w:rPr>
        <w:t>LA PARTE RECURRENTE</w:t>
      </w:r>
      <w:r w:rsidRPr="00E93DBE">
        <w:rPr>
          <w:rFonts w:eastAsia="Palatino Linotype" w:cs="Palatino Linotype"/>
        </w:rPr>
        <w:t xml:space="preserve"> lo siguiente: </w:t>
      </w:r>
    </w:p>
    <w:p w14:paraId="1A3FC11F" w14:textId="77777777" w:rsidR="00C2213B" w:rsidRDefault="005E4808" w:rsidP="00C2213B">
      <w:pPr>
        <w:tabs>
          <w:tab w:val="left" w:pos="7936"/>
        </w:tabs>
        <w:spacing w:line="240" w:lineRule="auto"/>
        <w:ind w:left="851" w:right="902"/>
        <w:rPr>
          <w:rFonts w:cs="Arial"/>
          <w:i/>
          <w:szCs w:val="22"/>
        </w:rPr>
      </w:pPr>
      <w:r w:rsidRPr="00E93DBE">
        <w:rPr>
          <w:rFonts w:cs="Arial"/>
          <w:i/>
          <w:szCs w:val="22"/>
        </w:rPr>
        <w:t>“</w:t>
      </w:r>
      <w:r w:rsidR="00C2213B" w:rsidRPr="00C2213B">
        <w:rPr>
          <w:rFonts w:cs="Arial"/>
          <w:i/>
          <w:szCs w:val="22"/>
        </w:rPr>
        <w:t>Folio de la solicitud: 00353/ISSEMYM/IP/2025</w:t>
      </w:r>
    </w:p>
    <w:p w14:paraId="2B27D742" w14:textId="77777777" w:rsidR="00F03E35" w:rsidRPr="00C2213B" w:rsidRDefault="00F03E35" w:rsidP="00C2213B">
      <w:pPr>
        <w:tabs>
          <w:tab w:val="left" w:pos="7936"/>
        </w:tabs>
        <w:spacing w:line="240" w:lineRule="auto"/>
        <w:ind w:left="851" w:right="902"/>
        <w:rPr>
          <w:rFonts w:cs="Arial"/>
          <w:i/>
          <w:szCs w:val="22"/>
        </w:rPr>
      </w:pPr>
    </w:p>
    <w:p w14:paraId="1AE08074" w14:textId="77777777" w:rsidR="00C2213B" w:rsidRDefault="00C2213B" w:rsidP="00C2213B">
      <w:pPr>
        <w:tabs>
          <w:tab w:val="left" w:pos="7936"/>
        </w:tabs>
        <w:spacing w:line="240" w:lineRule="auto"/>
        <w:ind w:left="851" w:right="902"/>
        <w:rPr>
          <w:rFonts w:cs="Arial"/>
          <w:i/>
          <w:szCs w:val="22"/>
        </w:rPr>
      </w:pPr>
      <w:r w:rsidRPr="00C2213B">
        <w:rPr>
          <w:rFonts w:cs="Arial"/>
          <w:i/>
          <w:szCs w:val="22"/>
        </w:rPr>
        <w:t>Iré a que me muestren la información en físico, no quisiera que demorara más.</w:t>
      </w:r>
    </w:p>
    <w:p w14:paraId="63DB2788" w14:textId="77777777" w:rsidR="00F03E35" w:rsidRPr="00C2213B" w:rsidRDefault="00F03E35" w:rsidP="00C2213B">
      <w:pPr>
        <w:tabs>
          <w:tab w:val="left" w:pos="7936"/>
        </w:tabs>
        <w:spacing w:line="240" w:lineRule="auto"/>
        <w:ind w:left="851" w:right="902"/>
        <w:rPr>
          <w:rFonts w:cs="Arial"/>
          <w:i/>
          <w:szCs w:val="22"/>
        </w:rPr>
      </w:pPr>
    </w:p>
    <w:p w14:paraId="58194834" w14:textId="31ACB2D7" w:rsidR="005E4808" w:rsidRDefault="00C2213B" w:rsidP="00C2213B">
      <w:pPr>
        <w:tabs>
          <w:tab w:val="left" w:pos="7936"/>
        </w:tabs>
        <w:spacing w:line="240" w:lineRule="auto"/>
        <w:ind w:left="851" w:right="902"/>
        <w:rPr>
          <w:rFonts w:cs="Arial"/>
          <w:i/>
          <w:szCs w:val="22"/>
        </w:rPr>
      </w:pPr>
      <w:r w:rsidRPr="00C2213B">
        <w:rPr>
          <w:rFonts w:cs="Arial"/>
          <w:i/>
          <w:szCs w:val="22"/>
        </w:rPr>
        <w:t>ATENTAMENTE</w:t>
      </w:r>
      <w:r w:rsidR="005E4808" w:rsidRPr="00E93DBE">
        <w:rPr>
          <w:rFonts w:cs="Arial"/>
          <w:i/>
          <w:szCs w:val="22"/>
        </w:rPr>
        <w:t>” (Sic)</w:t>
      </w:r>
    </w:p>
    <w:p w14:paraId="1C7C5E9A" w14:textId="77777777" w:rsidR="00A75F13" w:rsidRPr="00E93DBE" w:rsidRDefault="00A75F13" w:rsidP="00A75F13">
      <w:pPr>
        <w:tabs>
          <w:tab w:val="left" w:pos="7936"/>
        </w:tabs>
        <w:spacing w:line="240" w:lineRule="auto"/>
        <w:ind w:left="851" w:right="902"/>
        <w:rPr>
          <w:rFonts w:cs="Arial"/>
          <w:i/>
          <w:szCs w:val="22"/>
        </w:rPr>
      </w:pPr>
    </w:p>
    <w:p w14:paraId="0E651988" w14:textId="3F8F4E41" w:rsidR="00664420" w:rsidRPr="00A80134" w:rsidRDefault="00A225DA" w:rsidP="00404336">
      <w:pPr>
        <w:pStyle w:val="Ttulo3"/>
        <w:spacing w:line="360" w:lineRule="auto"/>
      </w:pPr>
      <w:bookmarkStart w:id="19" w:name="_Toc201768565"/>
      <w:r w:rsidRPr="00A80134">
        <w:lastRenderedPageBreak/>
        <w:t>g</w:t>
      </w:r>
      <w:r w:rsidR="00664420" w:rsidRPr="00A80134">
        <w:t>) Cierre de instrucción</w:t>
      </w:r>
      <w:bookmarkEnd w:id="19"/>
    </w:p>
    <w:p w14:paraId="79AF95DC" w14:textId="582DDEE4" w:rsidR="00664420" w:rsidRDefault="00BF091A" w:rsidP="00DC5D13">
      <w:pPr>
        <w:spacing w:after="240"/>
        <w:rPr>
          <w:rFonts w:cs="Tahoma"/>
          <w:szCs w:val="22"/>
        </w:rPr>
      </w:pPr>
      <w:r w:rsidRPr="00404336">
        <w:rPr>
          <w:rFonts w:cs="Tahoma"/>
          <w:szCs w:val="22"/>
        </w:rPr>
        <w:t>Al no existir diligencias pendientes por desahogar</w:t>
      </w:r>
      <w:r w:rsidRPr="00404336">
        <w:rPr>
          <w:rFonts w:cs="Arial"/>
        </w:rPr>
        <w:t xml:space="preserve">, el </w:t>
      </w:r>
      <w:r w:rsidR="00505559" w:rsidRPr="00505559">
        <w:rPr>
          <w:rFonts w:cs="Arial"/>
          <w:b/>
        </w:rPr>
        <w:t>dieciocho</w:t>
      </w:r>
      <w:r w:rsidR="00DC5D13" w:rsidRPr="00505559">
        <w:rPr>
          <w:rFonts w:cs="Arial"/>
          <w:b/>
        </w:rPr>
        <w:t xml:space="preserve"> de </w:t>
      </w:r>
      <w:r w:rsidR="007A4299" w:rsidRPr="00505559">
        <w:rPr>
          <w:rFonts w:cs="Arial"/>
          <w:b/>
        </w:rPr>
        <w:t>junio</w:t>
      </w:r>
      <w:r w:rsidR="00A225DA" w:rsidRPr="00505559">
        <w:rPr>
          <w:rFonts w:cs="Arial"/>
          <w:b/>
        </w:rPr>
        <w:t xml:space="preserve"> </w:t>
      </w:r>
      <w:r w:rsidRPr="00505559">
        <w:rPr>
          <w:rFonts w:cs="Arial"/>
          <w:b/>
        </w:rPr>
        <w:t xml:space="preserve">de dos mil </w:t>
      </w:r>
      <w:r w:rsidR="005D52DA" w:rsidRPr="00505559">
        <w:rPr>
          <w:rFonts w:cs="Arial"/>
          <w:b/>
        </w:rPr>
        <w:t>veinticinco</w:t>
      </w:r>
      <w:r w:rsidR="005D52DA">
        <w:rPr>
          <w:rFonts w:cs="Arial"/>
          <w:b/>
        </w:rPr>
        <w:t>,</w:t>
      </w:r>
      <w:r w:rsidR="00A225DA" w:rsidRPr="00404336">
        <w:rPr>
          <w:rFonts w:cs="Arial"/>
          <w:b/>
        </w:rPr>
        <w:t xml:space="preserve"> </w:t>
      </w:r>
      <w:r w:rsidRPr="00404336">
        <w:rPr>
          <w:rFonts w:cs="Arial"/>
        </w:rPr>
        <w:t xml:space="preserve">la </w:t>
      </w:r>
      <w:r w:rsidRPr="00404336">
        <w:rPr>
          <w:rFonts w:cs="Arial"/>
          <w:b/>
          <w:bCs/>
        </w:rPr>
        <w:t xml:space="preserve">Comisionada </w:t>
      </w:r>
      <w:r w:rsidRPr="00404336">
        <w:rPr>
          <w:b/>
        </w:rPr>
        <w:t xml:space="preserve">Sharon Cristina Morales Martínez </w:t>
      </w:r>
      <w:r w:rsidRPr="00404336">
        <w:rPr>
          <w:rFonts w:cs="Arial"/>
        </w:rPr>
        <w:t>acordó el cierre de instrucción</w:t>
      </w:r>
      <w:r w:rsidR="0011350D" w:rsidRPr="00404336">
        <w:rPr>
          <w:rFonts w:cs="Arial"/>
        </w:rPr>
        <w:t xml:space="preserve"> y</w:t>
      </w:r>
      <w:r w:rsidRPr="00404336">
        <w:rPr>
          <w:rFonts w:cs="Arial"/>
        </w:rPr>
        <w:t xml:space="preserve"> </w:t>
      </w:r>
      <w:r w:rsidR="0011350D" w:rsidRPr="00404336">
        <w:rPr>
          <w:rFonts w:cs="Arial"/>
        </w:rPr>
        <w:t xml:space="preserve">la </w:t>
      </w:r>
      <w:r w:rsidRPr="00404336">
        <w:rPr>
          <w:rFonts w:cs="Arial"/>
        </w:rPr>
        <w:t>remisión del expediente a efecto de ser resuelto, de conformidad con lo establecido en el artículo 185 fracciones VI y VIII de la Ley de Transparencia y Acceso a la Información Pública del Estado de México y Municipios</w:t>
      </w:r>
      <w:r w:rsidRPr="00404336">
        <w:t>.</w:t>
      </w:r>
      <w:r w:rsidR="0011350D" w:rsidRPr="00404336">
        <w:t xml:space="preserve"> Dicho acuerdo </w:t>
      </w:r>
      <w:r w:rsidR="00664420" w:rsidRPr="00404336">
        <w:rPr>
          <w:rFonts w:cs="Tahoma"/>
          <w:szCs w:val="22"/>
        </w:rPr>
        <w:t xml:space="preserve">fue notificado a las partes el mismo día a través del </w:t>
      </w:r>
    </w:p>
    <w:p w14:paraId="7A9629DE" w14:textId="1EA1594D" w:rsidR="00664420" w:rsidRPr="00A80134" w:rsidRDefault="00664420" w:rsidP="001A6B07">
      <w:pPr>
        <w:pStyle w:val="Ttulo1"/>
        <w:spacing w:after="240"/>
        <w:rPr>
          <w:rFonts w:eastAsiaTheme="minorHAnsi"/>
          <w:lang w:eastAsia="en-US"/>
        </w:rPr>
      </w:pPr>
      <w:bookmarkStart w:id="20" w:name="_Toc201768566"/>
      <w:r w:rsidRPr="00A80134">
        <w:rPr>
          <w:rFonts w:eastAsiaTheme="minorHAnsi"/>
          <w:lang w:eastAsia="en-US"/>
        </w:rPr>
        <w:t>CONSIDERANDOS</w:t>
      </w:r>
      <w:bookmarkEnd w:id="20"/>
    </w:p>
    <w:p w14:paraId="0B67CB92" w14:textId="2E307D3B" w:rsidR="00664420" w:rsidRPr="00A80134" w:rsidRDefault="00664420" w:rsidP="00404336">
      <w:pPr>
        <w:pStyle w:val="Ttulo2"/>
        <w:rPr>
          <w:rFonts w:eastAsia="Batang"/>
        </w:rPr>
      </w:pPr>
      <w:bookmarkStart w:id="21" w:name="_Toc201768567"/>
      <w:r w:rsidRPr="00A80134">
        <w:rPr>
          <w:rFonts w:eastAsia="Batang"/>
        </w:rPr>
        <w:t xml:space="preserve">PRIMERO. </w:t>
      </w:r>
      <w:r w:rsidR="00BA55A8" w:rsidRPr="00A80134">
        <w:rPr>
          <w:rFonts w:eastAsia="Batang"/>
        </w:rPr>
        <w:t>Procedibilidad</w:t>
      </w:r>
      <w:bookmarkEnd w:id="21"/>
    </w:p>
    <w:p w14:paraId="39C52BC1" w14:textId="56FCC20D" w:rsidR="00BA55A8" w:rsidRPr="00A80134" w:rsidRDefault="00BA55A8" w:rsidP="00404336">
      <w:pPr>
        <w:pStyle w:val="Ttulo3"/>
        <w:spacing w:line="360" w:lineRule="auto"/>
      </w:pPr>
      <w:bookmarkStart w:id="22" w:name="_Toc201768568"/>
      <w:r w:rsidRPr="00A80134">
        <w:t>a) Competencia</w:t>
      </w:r>
      <w:r w:rsidR="00150C49" w:rsidRPr="00A80134">
        <w:t xml:space="preserve"> del Instituto</w:t>
      </w:r>
      <w:bookmarkEnd w:id="22"/>
    </w:p>
    <w:p w14:paraId="56E64942" w14:textId="5CD970F0" w:rsidR="0011350D" w:rsidRPr="00A80134" w:rsidRDefault="0011350D" w:rsidP="001A6B07">
      <w:pPr>
        <w:spacing w:after="240"/>
        <w:rPr>
          <w:rFonts w:cs="Arial"/>
        </w:rPr>
      </w:pPr>
      <w:r w:rsidRPr="00A80134">
        <w:t xml:space="preserve">Este Instituto de Transparencia, Acceso a la Información Pública y Protección de Datos Personales del Estado de México y Municipios es competente para conocer y resolver </w:t>
      </w:r>
      <w:r w:rsidR="005F65B7" w:rsidRPr="00A80134">
        <w:t xml:space="preserve">el </w:t>
      </w:r>
      <w:r w:rsidRPr="00A80134">
        <w:t xml:space="preserve">presente Recurso de Revisión, conforme a lo dispuesto en los artículos 6, Apartado A de la Constitución Política de los Estados Unidos Mexicanos; 5, </w:t>
      </w:r>
      <w:r w:rsidR="00E12CFA" w:rsidRPr="00A80134">
        <w:rPr>
          <w:szCs w:val="22"/>
        </w:rPr>
        <w:t xml:space="preserve">párrafos </w:t>
      </w:r>
      <w:r w:rsidR="00E12CFA" w:rsidRPr="00A80134">
        <w:rPr>
          <w:rFonts w:cs="Tahoma"/>
          <w:bCs/>
          <w:szCs w:val="22"/>
        </w:rPr>
        <w:t>trigésimo séptimo, trigésimo octavo y trigésimo noveno fracciones IV y V</w:t>
      </w:r>
      <w:r w:rsidRPr="00A80134">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80134">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A80134" w:rsidRDefault="00BA55A8" w:rsidP="00404336">
      <w:pPr>
        <w:pStyle w:val="Ttulo3"/>
        <w:spacing w:line="360" w:lineRule="auto"/>
      </w:pPr>
      <w:bookmarkStart w:id="23" w:name="_Toc201768569"/>
      <w:r w:rsidRPr="00A80134">
        <w:t>b)</w:t>
      </w:r>
      <w:r w:rsidR="00664420" w:rsidRPr="00A80134">
        <w:t xml:space="preserve"> </w:t>
      </w:r>
      <w:r w:rsidR="00D91CB4" w:rsidRPr="00A80134">
        <w:t>Legitimidad</w:t>
      </w:r>
      <w:r w:rsidRPr="00A80134">
        <w:t xml:space="preserve"> de la parte recurrente</w:t>
      </w:r>
      <w:bookmarkEnd w:id="23"/>
    </w:p>
    <w:p w14:paraId="26FEA382" w14:textId="0B06695C" w:rsidR="00D91CB4" w:rsidRPr="00A80134" w:rsidRDefault="00D91CB4" w:rsidP="001A6B07">
      <w:pPr>
        <w:spacing w:after="240"/>
        <w:rPr>
          <w:rFonts w:cs="Arial"/>
          <w:bCs/>
        </w:rPr>
      </w:pPr>
      <w:r w:rsidRPr="00A80134">
        <w:rPr>
          <w:rFonts w:cs="Arial"/>
          <w:bCs/>
        </w:rPr>
        <w:t>El recurso de revisión fue interpuesto por parte legítima, ya que se presentó por la misma persona que formuló la solicitud de acceso a la Información Pública,</w:t>
      </w:r>
      <w:r w:rsidRPr="00A80134">
        <w:rPr>
          <w:rFonts w:cs="Arial"/>
          <w:b/>
          <w:bCs/>
        </w:rPr>
        <w:t xml:space="preserve"> </w:t>
      </w:r>
      <w:r w:rsidRPr="00A80134">
        <w:rPr>
          <w:rFonts w:cs="Arial"/>
        </w:rPr>
        <w:t>debido a que los datos de acceso</w:t>
      </w:r>
      <w:r w:rsidRPr="00A80134">
        <w:rPr>
          <w:rFonts w:cs="Arial"/>
          <w:b/>
          <w:bCs/>
        </w:rPr>
        <w:t xml:space="preserve"> SAIMEX</w:t>
      </w:r>
      <w:r w:rsidRPr="00A80134">
        <w:rPr>
          <w:rFonts w:eastAsia="Calibri" w:cs="Arial"/>
          <w:lang w:eastAsia="en-US"/>
        </w:rPr>
        <w:t xml:space="preserve"> son personales e irrepetibles.</w:t>
      </w:r>
    </w:p>
    <w:p w14:paraId="496490FC" w14:textId="1A5F3FDB" w:rsidR="00D91CB4" w:rsidRPr="00A80134" w:rsidRDefault="00BA55A8" w:rsidP="00404336">
      <w:pPr>
        <w:pStyle w:val="Ttulo3"/>
        <w:spacing w:line="360" w:lineRule="auto"/>
        <w:rPr>
          <w:rFonts w:eastAsia="Calibri"/>
          <w:lang w:eastAsia="es-ES_tradnl"/>
        </w:rPr>
      </w:pPr>
      <w:bookmarkStart w:id="24" w:name="_Toc201768570"/>
      <w:r w:rsidRPr="00A80134">
        <w:rPr>
          <w:rFonts w:eastAsia="Calibri"/>
          <w:lang w:eastAsia="es-ES_tradnl"/>
        </w:rPr>
        <w:lastRenderedPageBreak/>
        <w:t>c)</w:t>
      </w:r>
      <w:r w:rsidR="00664420" w:rsidRPr="00A80134">
        <w:rPr>
          <w:rFonts w:eastAsia="Calibri"/>
          <w:lang w:eastAsia="es-ES_tradnl"/>
        </w:rPr>
        <w:t xml:space="preserve"> </w:t>
      </w:r>
      <w:r w:rsidR="00D91CB4" w:rsidRPr="00A80134">
        <w:rPr>
          <w:rFonts w:eastAsia="Calibri"/>
          <w:lang w:eastAsia="es-ES_tradnl"/>
        </w:rPr>
        <w:t>Plazo para interponer el recurso</w:t>
      </w:r>
      <w:bookmarkEnd w:id="24"/>
    </w:p>
    <w:p w14:paraId="4F7D7A0C" w14:textId="0B3E4A48" w:rsidR="00EC25E9" w:rsidRPr="00A80134" w:rsidRDefault="00EC25E9" w:rsidP="00EC25E9">
      <w:pPr>
        <w:rPr>
          <w:rFonts w:eastAsiaTheme="minorEastAsia" w:cs="Arial"/>
          <w:color w:val="000000" w:themeColor="text1"/>
          <w:lang w:val="es-ES_tradnl"/>
        </w:rPr>
      </w:pPr>
      <w:r w:rsidRPr="00A80134">
        <w:rPr>
          <w:rFonts w:cs="Arial"/>
          <w:b/>
          <w:color w:val="000000" w:themeColor="text1"/>
        </w:rPr>
        <w:t>EL SUJETO OBLIGADO</w:t>
      </w:r>
      <w:r w:rsidRPr="00A80134">
        <w:rPr>
          <w:rFonts w:cs="Arial"/>
          <w:color w:val="000000" w:themeColor="text1"/>
        </w:rPr>
        <w:t xml:space="preserve"> </w:t>
      </w:r>
      <w:r w:rsidR="006309D0" w:rsidRPr="00A80134">
        <w:rPr>
          <w:rFonts w:cs="Arial"/>
          <w:color w:val="000000" w:themeColor="text1"/>
        </w:rPr>
        <w:t>entregó</w:t>
      </w:r>
      <w:r w:rsidRPr="00A80134">
        <w:rPr>
          <w:rFonts w:cs="Arial"/>
          <w:color w:val="000000" w:themeColor="text1"/>
        </w:rPr>
        <w:t xml:space="preserve"> la respuesta a la solicitud de acceso a la Información Pública el </w:t>
      </w:r>
      <w:r w:rsidR="00A502A3" w:rsidRPr="00A80134">
        <w:rPr>
          <w:rFonts w:eastAsia="Palatino Linotype" w:cs="Palatino Linotype"/>
          <w:b/>
        </w:rPr>
        <w:t>veintiuno</w:t>
      </w:r>
      <w:r w:rsidR="00DC5D13" w:rsidRPr="00A80134">
        <w:rPr>
          <w:rFonts w:eastAsia="Palatino Linotype" w:cs="Palatino Linotype"/>
          <w:b/>
        </w:rPr>
        <w:t xml:space="preserve"> de mayo</w:t>
      </w:r>
      <w:r w:rsidR="00D9240B" w:rsidRPr="00A80134">
        <w:rPr>
          <w:rFonts w:eastAsia="Palatino Linotype" w:cs="Palatino Linotype"/>
          <w:b/>
        </w:rPr>
        <w:t xml:space="preserve"> </w:t>
      </w:r>
      <w:r w:rsidR="006309D0" w:rsidRPr="00A80134">
        <w:rPr>
          <w:rFonts w:eastAsia="Palatino Linotype" w:cs="Palatino Linotype"/>
          <w:b/>
        </w:rPr>
        <w:t xml:space="preserve">de dos mil </w:t>
      </w:r>
      <w:r w:rsidR="00D9240B" w:rsidRPr="00A80134">
        <w:rPr>
          <w:rFonts w:eastAsia="Palatino Linotype" w:cs="Palatino Linotype"/>
          <w:b/>
        </w:rPr>
        <w:t>veinticinco</w:t>
      </w:r>
      <w:r w:rsidRPr="00A80134">
        <w:rPr>
          <w:rFonts w:cs="Arial"/>
          <w:color w:val="000000" w:themeColor="text1"/>
        </w:rPr>
        <w:t xml:space="preserve"> y el recurso </w:t>
      </w:r>
      <w:r w:rsidRPr="00A80134">
        <w:rPr>
          <w:rFonts w:eastAsia="Palatino Linotype" w:cs="Palatino Linotype"/>
          <w:color w:val="000000" w:themeColor="text1"/>
        </w:rPr>
        <w:t xml:space="preserve">que nos ocupa se </w:t>
      </w:r>
      <w:r w:rsidR="00D9240B" w:rsidRPr="00A80134">
        <w:rPr>
          <w:rFonts w:eastAsia="Palatino Linotype" w:cs="Palatino Linotype"/>
          <w:color w:val="000000" w:themeColor="text1"/>
        </w:rPr>
        <w:t>i</w:t>
      </w:r>
      <w:r w:rsidRPr="00A80134">
        <w:rPr>
          <w:rFonts w:eastAsia="Palatino Linotype" w:cs="Palatino Linotype"/>
          <w:color w:val="000000" w:themeColor="text1"/>
        </w:rPr>
        <w:t>n</w:t>
      </w:r>
      <w:r w:rsidR="00D9240B" w:rsidRPr="00A80134">
        <w:rPr>
          <w:rFonts w:eastAsia="Palatino Linotype" w:cs="Palatino Linotype"/>
          <w:color w:val="000000" w:themeColor="text1"/>
        </w:rPr>
        <w:t>t</w:t>
      </w:r>
      <w:r w:rsidRPr="00A80134">
        <w:rPr>
          <w:rFonts w:eastAsia="Palatino Linotype" w:cs="Palatino Linotype"/>
          <w:color w:val="000000" w:themeColor="text1"/>
        </w:rPr>
        <w:t xml:space="preserve">erpuso el </w:t>
      </w:r>
      <w:r w:rsidR="00A502A3" w:rsidRPr="00A80134">
        <w:rPr>
          <w:rFonts w:eastAsia="Palatino Linotype" w:cs="Palatino Linotype"/>
          <w:b/>
          <w:color w:val="000000" w:themeColor="text1"/>
        </w:rPr>
        <w:t>tres de junio</w:t>
      </w:r>
      <w:r w:rsidR="00D9240B" w:rsidRPr="00A80134">
        <w:rPr>
          <w:rFonts w:eastAsia="Palatino Linotype" w:cs="Palatino Linotype"/>
          <w:b/>
          <w:color w:val="000000" w:themeColor="text1"/>
        </w:rPr>
        <w:t xml:space="preserve"> de dos mil veinticinco</w:t>
      </w:r>
      <w:r w:rsidRPr="00A80134">
        <w:rPr>
          <w:rFonts w:eastAsia="Palatino Linotype" w:cs="Palatino Linotype"/>
          <w:bCs/>
          <w:color w:val="000000" w:themeColor="text1"/>
        </w:rPr>
        <w:t>;</w:t>
      </w:r>
      <w:r w:rsidRPr="00A80134">
        <w:rPr>
          <w:rFonts w:eastAsia="Palatino Linotype" w:cs="Palatino Linotype"/>
          <w:color w:val="000000" w:themeColor="text1"/>
        </w:rPr>
        <w:t xml:space="preserve"> por lo tanto, éste se encuentra dentro del margen temporal previsto en el artículo 178 de la </w:t>
      </w:r>
      <w:r w:rsidRPr="00A80134">
        <w:rPr>
          <w:rFonts w:cs="Arial"/>
          <w:color w:val="000000" w:themeColor="text1"/>
        </w:rPr>
        <w:t>Ley de Transparencia y Acceso a la Información Pública del Estado de México y Municipios</w:t>
      </w:r>
      <w:r w:rsidRPr="00A80134">
        <w:rPr>
          <w:rFonts w:eastAsiaTheme="minorEastAsia" w:cs="Arial"/>
          <w:color w:val="000000" w:themeColor="text1"/>
          <w:lang w:val="es-ES_tradnl"/>
        </w:rPr>
        <w:t>.</w:t>
      </w:r>
    </w:p>
    <w:p w14:paraId="44A5AB3C" w14:textId="77777777" w:rsidR="001935F6" w:rsidRPr="00A80134" w:rsidRDefault="001935F6" w:rsidP="00EC25E9">
      <w:pPr>
        <w:rPr>
          <w:rFonts w:eastAsiaTheme="minorEastAsia" w:cs="Arial"/>
          <w:color w:val="000000" w:themeColor="text1"/>
          <w:lang w:val="es-ES_tradnl"/>
        </w:rPr>
      </w:pPr>
    </w:p>
    <w:p w14:paraId="66BAC9EF" w14:textId="27A7F077" w:rsidR="00EC25E9" w:rsidRPr="00A80134" w:rsidRDefault="00EC25E9" w:rsidP="00EC25E9">
      <w:pPr>
        <w:pStyle w:val="Ttulo3"/>
        <w:rPr>
          <w:rFonts w:eastAsia="Calibri"/>
          <w:lang w:eastAsia="es-ES_tradnl"/>
        </w:rPr>
      </w:pPr>
      <w:bookmarkStart w:id="25" w:name="_Toc165402859"/>
      <w:bookmarkStart w:id="26" w:name="_Toc201768571"/>
      <w:r w:rsidRPr="00A80134">
        <w:rPr>
          <w:rFonts w:eastAsia="Calibri"/>
          <w:lang w:eastAsia="es-ES_tradnl"/>
        </w:rPr>
        <w:t xml:space="preserve">d) </w:t>
      </w:r>
      <w:bookmarkEnd w:id="25"/>
      <w:r w:rsidR="004950BA" w:rsidRPr="00A80134">
        <w:rPr>
          <w:rFonts w:eastAsia="Calibri"/>
          <w:lang w:eastAsia="es-ES_tradnl"/>
        </w:rPr>
        <w:t>Causal de procedencia</w:t>
      </w:r>
      <w:bookmarkEnd w:id="26"/>
      <w:r w:rsidR="004950BA" w:rsidRPr="00A80134">
        <w:rPr>
          <w:rFonts w:eastAsia="Calibri"/>
          <w:lang w:eastAsia="es-ES_tradnl"/>
        </w:rPr>
        <w:t xml:space="preserve"> </w:t>
      </w:r>
    </w:p>
    <w:p w14:paraId="26E1CACA" w14:textId="351648A9" w:rsidR="00EC25E9" w:rsidRPr="00A80134" w:rsidRDefault="00EC25E9" w:rsidP="00EC25E9">
      <w:r w:rsidRPr="00A80134">
        <w:rPr>
          <w:rFonts w:cs="Arial"/>
        </w:rPr>
        <w:t xml:space="preserve">Resulta procedente la interposición del recurso de revisión, ya que </w:t>
      </w:r>
      <w:r w:rsidRPr="00A80134">
        <w:rPr>
          <w:rFonts w:eastAsia="Calibri" w:cs="Tahoma"/>
          <w:color w:val="000000"/>
          <w:szCs w:val="22"/>
          <w:lang w:eastAsia="es-MX"/>
        </w:rPr>
        <w:t xml:space="preserve">se actualiza la causal de procedencia señalada en el artículo 179, fracción </w:t>
      </w:r>
      <w:r w:rsidR="00A502A3" w:rsidRPr="00A80134">
        <w:rPr>
          <w:rFonts w:eastAsia="Calibri" w:cs="Tahoma"/>
          <w:color w:val="000000"/>
          <w:szCs w:val="22"/>
          <w:lang w:eastAsia="es-MX"/>
        </w:rPr>
        <w:t>VII</w:t>
      </w:r>
      <w:r w:rsidR="005D52DA" w:rsidRPr="00A80134">
        <w:rPr>
          <w:rFonts w:eastAsia="Calibri" w:cs="Tahoma"/>
          <w:color w:val="000000"/>
          <w:szCs w:val="22"/>
          <w:lang w:eastAsia="es-MX"/>
        </w:rPr>
        <w:t>I</w:t>
      </w:r>
      <w:r w:rsidRPr="00A80134">
        <w:rPr>
          <w:rFonts w:cs="Arial"/>
        </w:rPr>
        <w:t xml:space="preserve"> de la </w:t>
      </w:r>
      <w:r w:rsidRPr="00A80134">
        <w:t>Ley de Transparencia y Acceso a la Información Pública del Estado de México y Municipios.</w:t>
      </w:r>
    </w:p>
    <w:p w14:paraId="3F2D6F9D" w14:textId="77777777" w:rsidR="00EC25E9" w:rsidRPr="00A80134" w:rsidRDefault="00EC25E9" w:rsidP="00EC25E9"/>
    <w:p w14:paraId="4D1FB7C5" w14:textId="77777777" w:rsidR="00EC25E9" w:rsidRPr="00A80134" w:rsidRDefault="00EC25E9" w:rsidP="00EC25E9">
      <w:pPr>
        <w:pStyle w:val="Ttulo3"/>
      </w:pPr>
      <w:bookmarkStart w:id="27" w:name="_Toc165402860"/>
      <w:bookmarkStart w:id="28" w:name="_Toc201768572"/>
      <w:r w:rsidRPr="00A80134">
        <w:t>e) Requisitos formales para la interposición del recurso</w:t>
      </w:r>
      <w:bookmarkEnd w:id="27"/>
      <w:bookmarkEnd w:id="28"/>
    </w:p>
    <w:p w14:paraId="54D9E352" w14:textId="77777777" w:rsidR="00EC25E9" w:rsidRPr="00A80134" w:rsidRDefault="00EC25E9" w:rsidP="00BE48AB">
      <w:pPr>
        <w:rPr>
          <w:rFonts w:cs="Arial"/>
          <w:color w:val="000000"/>
          <w:lang w:val="es-ES"/>
        </w:rPr>
      </w:pPr>
      <w:r w:rsidRPr="00A80134">
        <w:rPr>
          <w:lang w:val="es-ES"/>
        </w:rPr>
        <w:t xml:space="preserve">Es importante mencionar que, de la revisión del expediente electrónico del </w:t>
      </w:r>
      <w:r w:rsidRPr="00A80134">
        <w:rPr>
          <w:bCs/>
          <w:lang w:val="es-ES"/>
        </w:rPr>
        <w:t>SAIMEX,</w:t>
      </w:r>
      <w:r w:rsidRPr="00A80134">
        <w:rPr>
          <w:lang w:val="es-ES"/>
        </w:rPr>
        <w:t xml:space="preserve"> se observa que </w:t>
      </w:r>
      <w:r w:rsidRPr="00A80134">
        <w:rPr>
          <w:b/>
          <w:bCs/>
          <w:lang w:val="es-ES"/>
        </w:rPr>
        <w:t>LA PARTE RECURRENTE</w:t>
      </w:r>
      <w:r w:rsidRPr="00A80134">
        <w:rPr>
          <w:lang w:val="es-ES"/>
        </w:rPr>
        <w:t xml:space="preserve"> no proporcionó su nombre para ser identificado, lo que en estricto sentido provoca que </w:t>
      </w:r>
      <w:r w:rsidRPr="00A80134">
        <w:rPr>
          <w:rFonts w:cs="Arial"/>
          <w:lang w:val="es-ES"/>
        </w:rPr>
        <w:t>no</w:t>
      </w:r>
      <w:r w:rsidRPr="00A80134">
        <w:rPr>
          <w:lang w:val="es-ES"/>
        </w:rPr>
        <w:t xml:space="preserve"> se colmen los requisitos establecidos en el artículo 180 de la Ley de Transparencia; sin embargo, el artículo 15 de </w:t>
      </w:r>
      <w:r w:rsidRPr="00A80134">
        <w:rPr>
          <w:rFonts w:cs="Arial"/>
          <w:lang w:val="es-ES" w:eastAsia="es-MX"/>
        </w:rPr>
        <w:t xml:space="preserve">Ley de Transparencia y Acceso a la </w:t>
      </w:r>
      <w:r w:rsidRPr="00A80134">
        <w:rPr>
          <w:rFonts w:cs="Arial"/>
          <w:lang w:val="es-ES"/>
        </w:rPr>
        <w:t>Información</w:t>
      </w:r>
      <w:r w:rsidRPr="00A80134">
        <w:rPr>
          <w:rFonts w:cs="Arial"/>
          <w:lang w:val="es-ES" w:eastAsia="es-MX"/>
        </w:rPr>
        <w:t xml:space="preserve"> Pública del Estado de México y Municipios </w:t>
      </w:r>
      <w:r w:rsidRPr="00A80134">
        <w:rPr>
          <w:rFonts w:cs="Arial"/>
          <w:iCs/>
          <w:lang w:val="es-ES"/>
        </w:rPr>
        <w:t xml:space="preserve">prevé que </w:t>
      </w:r>
      <w:r w:rsidRPr="00A80134">
        <w:rPr>
          <w:lang w:val="es-ES"/>
        </w:rPr>
        <w:t xml:space="preserve">toda persona tendrá acceso a la información </w:t>
      </w:r>
      <w:r w:rsidRPr="00A80134">
        <w:rPr>
          <w:rFonts w:cs="Arial"/>
          <w:color w:val="000000"/>
          <w:lang w:val="es-ES"/>
        </w:rPr>
        <w:t xml:space="preserve">sin necesidad de acreditar interés alguno o justificar su utilización, de lo que se infiere que </w:t>
      </w:r>
      <w:r w:rsidRPr="00A80134">
        <w:rPr>
          <w:rFonts w:cs="Arial"/>
          <w:b/>
          <w:color w:val="000000"/>
          <w:u w:val="single"/>
          <w:lang w:val="es-ES"/>
        </w:rPr>
        <w:t xml:space="preserve">el nombre no es un requisito </w:t>
      </w:r>
      <w:r w:rsidRPr="00A80134">
        <w:rPr>
          <w:rFonts w:cs="Arial"/>
          <w:b/>
          <w:iCs/>
          <w:color w:val="000000"/>
          <w:u w:val="single"/>
          <w:lang w:val="es-ES"/>
        </w:rPr>
        <w:t>indispensable</w:t>
      </w:r>
      <w:r w:rsidRPr="00A80134">
        <w:rPr>
          <w:rFonts w:cs="Arial"/>
          <w:color w:val="000000"/>
          <w:lang w:val="es-ES"/>
        </w:rPr>
        <w:t xml:space="preserve"> para que las y los ciudadanos ejerzan el derecho de acceso a la información pública. </w:t>
      </w:r>
    </w:p>
    <w:p w14:paraId="6EE815B0" w14:textId="77777777" w:rsidR="00A75F13" w:rsidRPr="00A80134" w:rsidRDefault="00A75F13" w:rsidP="00BE48AB">
      <w:pPr>
        <w:rPr>
          <w:rFonts w:cs="Arial"/>
          <w:color w:val="000000"/>
          <w:lang w:val="es-ES"/>
        </w:rPr>
      </w:pPr>
    </w:p>
    <w:p w14:paraId="09730986" w14:textId="3E045CFD" w:rsidR="00EC25E9" w:rsidRPr="00A80134" w:rsidRDefault="00EC25E9" w:rsidP="00BE48AB">
      <w:pPr>
        <w:rPr>
          <w:lang w:val="es-ES"/>
        </w:rPr>
      </w:pPr>
      <w:r w:rsidRPr="00A8013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A80134">
        <w:rPr>
          <w:lang w:val="es-ES"/>
        </w:rPr>
        <w:lastRenderedPageBreak/>
        <w:t xml:space="preserve">establece que cuando el recurso de revisión se interponga de manera electrónica no será indispensable que contenga algunos requisitos, entre ellos, el nombre de </w:t>
      </w:r>
      <w:r w:rsidRPr="00A80134">
        <w:rPr>
          <w:b/>
          <w:bCs/>
          <w:lang w:val="es-ES"/>
        </w:rPr>
        <w:t>LA PARTE RECURRENTE</w:t>
      </w:r>
      <w:r w:rsidRPr="00A80134">
        <w:rPr>
          <w:b/>
          <w:lang w:val="es-ES"/>
        </w:rPr>
        <w:t>;</w:t>
      </w:r>
      <w:r w:rsidRPr="00A80134">
        <w:rPr>
          <w:lang w:val="es-ES"/>
        </w:rPr>
        <w:t xml:space="preserve"> por lo que, en el presente caso, al haber sido presentado el recurso de revisión vía </w:t>
      </w:r>
      <w:r w:rsidRPr="00A80134">
        <w:rPr>
          <w:bCs/>
          <w:lang w:val="es-ES"/>
        </w:rPr>
        <w:t>SAIMEX</w:t>
      </w:r>
      <w:r w:rsidRPr="00A80134">
        <w:rPr>
          <w:lang w:val="es-ES"/>
        </w:rPr>
        <w:t>, dicho requisito resulta innecesario.</w:t>
      </w:r>
    </w:p>
    <w:p w14:paraId="6988777B" w14:textId="77777777" w:rsidR="00F03E35" w:rsidRPr="00A80134" w:rsidRDefault="00F03E35" w:rsidP="00BE48AB">
      <w:pPr>
        <w:rPr>
          <w:lang w:val="es-ES"/>
        </w:rPr>
      </w:pPr>
    </w:p>
    <w:p w14:paraId="457548E9" w14:textId="3F7AF03B" w:rsidR="00C71CEF" w:rsidRPr="00A80134" w:rsidRDefault="00C71CEF" w:rsidP="00404336">
      <w:pPr>
        <w:pStyle w:val="Ttulo2"/>
      </w:pPr>
      <w:bookmarkStart w:id="29" w:name="_Toc201768573"/>
      <w:r w:rsidRPr="00A80134">
        <w:t>SEGUNDO. Estudio de Fondo</w:t>
      </w:r>
      <w:bookmarkEnd w:id="29"/>
    </w:p>
    <w:p w14:paraId="2A308F59" w14:textId="0FF373F0" w:rsidR="00C049E2" w:rsidRPr="00A80134" w:rsidRDefault="00C71CEF" w:rsidP="00404336">
      <w:pPr>
        <w:pStyle w:val="Ttulo3"/>
        <w:spacing w:line="360" w:lineRule="auto"/>
      </w:pPr>
      <w:bookmarkStart w:id="30" w:name="_Toc201768574"/>
      <w:r w:rsidRPr="00A80134">
        <w:t>a</w:t>
      </w:r>
      <w:r w:rsidR="00C049E2" w:rsidRPr="00A80134">
        <w:t>) Mandato de transparencia y responsabilidad del Sujeto Obligado</w:t>
      </w:r>
      <w:bookmarkEnd w:id="30"/>
    </w:p>
    <w:p w14:paraId="6901A889" w14:textId="59EEDAE1" w:rsidR="00C049E2" w:rsidRPr="00A80134" w:rsidRDefault="00C049E2" w:rsidP="00404336">
      <w:pPr>
        <w:rPr>
          <w:rFonts w:eastAsia="Palatino Linotype"/>
        </w:rPr>
      </w:pPr>
      <w:r w:rsidRPr="00A80134">
        <w:rPr>
          <w:rFonts w:eastAsia="Palatino Linotype"/>
        </w:rPr>
        <w:t xml:space="preserve">El </w:t>
      </w:r>
      <w:r w:rsidR="00717E59" w:rsidRPr="00A80134">
        <w:rPr>
          <w:rFonts w:eastAsia="Palatino Linotype"/>
        </w:rPr>
        <w:t>d</w:t>
      </w:r>
      <w:r w:rsidRPr="00A80134">
        <w:rPr>
          <w:rFonts w:eastAsia="Palatino Linotype"/>
        </w:rPr>
        <w:t xml:space="preserve">erecho de </w:t>
      </w:r>
      <w:r w:rsidR="00717E59" w:rsidRPr="00A80134">
        <w:rPr>
          <w:rFonts w:eastAsia="Palatino Linotype"/>
        </w:rPr>
        <w:t>a</w:t>
      </w:r>
      <w:r w:rsidRPr="00A80134">
        <w:rPr>
          <w:rFonts w:eastAsia="Palatino Linotype"/>
        </w:rPr>
        <w:t xml:space="preserve">cceso a la </w:t>
      </w:r>
      <w:r w:rsidR="00717E59" w:rsidRPr="00A80134">
        <w:rPr>
          <w:rFonts w:eastAsia="Palatino Linotype"/>
        </w:rPr>
        <w:t>i</w:t>
      </w:r>
      <w:r w:rsidRPr="00A80134">
        <w:rPr>
          <w:rFonts w:eastAsia="Palatino Linotype"/>
        </w:rPr>
        <w:t xml:space="preserve">nformación </w:t>
      </w:r>
      <w:r w:rsidR="00717E59" w:rsidRPr="00A80134">
        <w:rPr>
          <w:rFonts w:eastAsia="Palatino Linotype"/>
        </w:rPr>
        <w:t>p</w:t>
      </w:r>
      <w:r w:rsidRPr="00A8013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80134">
        <w:rPr>
          <w:rFonts w:eastAsia="Palatino Linotype"/>
        </w:rPr>
        <w:t>:</w:t>
      </w:r>
    </w:p>
    <w:p w14:paraId="435A675F" w14:textId="77777777" w:rsidR="00BE48AB" w:rsidRPr="00A80134" w:rsidRDefault="00BE48AB" w:rsidP="00404336">
      <w:pPr>
        <w:rPr>
          <w:rFonts w:eastAsia="Palatino Linotype"/>
        </w:rPr>
      </w:pPr>
    </w:p>
    <w:p w14:paraId="05320813" w14:textId="77777777" w:rsidR="00C049E2" w:rsidRPr="00A80134" w:rsidRDefault="00C049E2" w:rsidP="006A5AE1">
      <w:pPr>
        <w:spacing w:line="240" w:lineRule="auto"/>
        <w:ind w:left="851" w:right="822"/>
        <w:rPr>
          <w:rFonts w:eastAsia="Palatino Linotype"/>
          <w:b/>
          <w:i/>
        </w:rPr>
      </w:pPr>
      <w:r w:rsidRPr="00A80134">
        <w:rPr>
          <w:rFonts w:eastAsia="Palatino Linotype"/>
          <w:b/>
          <w:i/>
        </w:rPr>
        <w:t>Constitución Política de los Estados Unidos Mexicanos</w:t>
      </w:r>
    </w:p>
    <w:p w14:paraId="6B6C67B6" w14:textId="77777777" w:rsidR="00C049E2" w:rsidRPr="00A80134" w:rsidRDefault="00C049E2" w:rsidP="006A5AE1">
      <w:pPr>
        <w:spacing w:line="240" w:lineRule="auto"/>
        <w:ind w:left="851" w:right="822"/>
        <w:rPr>
          <w:rFonts w:eastAsia="Palatino Linotype"/>
          <w:b/>
          <w:i/>
        </w:rPr>
      </w:pPr>
      <w:r w:rsidRPr="00A80134">
        <w:rPr>
          <w:rFonts w:eastAsia="Palatino Linotype"/>
          <w:b/>
          <w:i/>
        </w:rPr>
        <w:t>“Artículo 6.</w:t>
      </w:r>
    </w:p>
    <w:p w14:paraId="38D3B4C4" w14:textId="77777777" w:rsidR="00C049E2" w:rsidRPr="00A80134" w:rsidRDefault="00C049E2" w:rsidP="006A5AE1">
      <w:pPr>
        <w:spacing w:line="240" w:lineRule="auto"/>
        <w:ind w:left="851" w:right="822"/>
        <w:rPr>
          <w:rFonts w:eastAsia="Palatino Linotype"/>
          <w:i/>
        </w:rPr>
      </w:pPr>
      <w:r w:rsidRPr="00A80134">
        <w:rPr>
          <w:rFonts w:eastAsia="Palatino Linotype"/>
          <w:i/>
        </w:rPr>
        <w:t>(…)</w:t>
      </w:r>
    </w:p>
    <w:p w14:paraId="2CCAA297" w14:textId="6602827B" w:rsidR="00C049E2" w:rsidRPr="00A80134" w:rsidRDefault="00C049E2" w:rsidP="006A5AE1">
      <w:pPr>
        <w:tabs>
          <w:tab w:val="left" w:pos="8222"/>
        </w:tabs>
        <w:spacing w:line="240" w:lineRule="auto"/>
        <w:ind w:left="851" w:right="822"/>
        <w:rPr>
          <w:rFonts w:eastAsia="Palatino Linotype"/>
          <w:i/>
        </w:rPr>
      </w:pPr>
      <w:r w:rsidRPr="00A80134">
        <w:rPr>
          <w:rFonts w:eastAsia="Palatino Linotype"/>
          <w:i/>
        </w:rPr>
        <w:t>Para efectos de lo dispuesto en el presente artículo se observará lo siguiente:</w:t>
      </w:r>
    </w:p>
    <w:p w14:paraId="74CC3718" w14:textId="77777777" w:rsidR="00C049E2" w:rsidRPr="00A80134" w:rsidRDefault="00C049E2" w:rsidP="004E0438">
      <w:pPr>
        <w:tabs>
          <w:tab w:val="left" w:pos="8222"/>
        </w:tabs>
        <w:spacing w:line="240" w:lineRule="auto"/>
        <w:ind w:left="851" w:right="822"/>
        <w:rPr>
          <w:rFonts w:eastAsia="Palatino Linotype"/>
          <w:b/>
          <w:i/>
        </w:rPr>
      </w:pPr>
      <w:r w:rsidRPr="00A80134">
        <w:rPr>
          <w:rFonts w:eastAsia="Palatino Linotype"/>
          <w:b/>
          <w:i/>
        </w:rPr>
        <w:t>A</w:t>
      </w:r>
      <w:r w:rsidRPr="00A80134">
        <w:rPr>
          <w:rFonts w:eastAsia="Palatino Linotype"/>
          <w:i/>
        </w:rPr>
        <w:t xml:space="preserve">. </w:t>
      </w:r>
      <w:r w:rsidRPr="00A80134">
        <w:rPr>
          <w:rFonts w:eastAsia="Palatino Linotype"/>
          <w:b/>
          <w:i/>
        </w:rPr>
        <w:t>Para el ejercicio del derecho de acceso a la información</w:t>
      </w:r>
      <w:r w:rsidRPr="00A80134">
        <w:rPr>
          <w:rFonts w:eastAsia="Palatino Linotype"/>
          <w:i/>
        </w:rPr>
        <w:t xml:space="preserve">, la Federación y </w:t>
      </w:r>
      <w:r w:rsidRPr="00A80134">
        <w:rPr>
          <w:rFonts w:eastAsia="Palatino Linotype"/>
          <w:b/>
          <w:i/>
        </w:rPr>
        <w:t>las entidades federativas, en el ámbito de sus respectivas competencias, se regirán por los siguientes principios y bases:</w:t>
      </w:r>
    </w:p>
    <w:p w14:paraId="596A956B" w14:textId="58048D68" w:rsidR="00C049E2" w:rsidRPr="00A80134" w:rsidRDefault="00C049E2" w:rsidP="004E0438">
      <w:pPr>
        <w:tabs>
          <w:tab w:val="left" w:pos="8222"/>
        </w:tabs>
        <w:spacing w:line="240" w:lineRule="auto"/>
        <w:ind w:left="851" w:right="822"/>
        <w:rPr>
          <w:rFonts w:eastAsia="Palatino Linotype"/>
          <w:i/>
        </w:rPr>
      </w:pPr>
      <w:r w:rsidRPr="00A80134">
        <w:rPr>
          <w:rFonts w:eastAsia="Palatino Linotype"/>
          <w:b/>
          <w:i/>
        </w:rPr>
        <w:t>I. Toda la información en posesión de cualquier</w:t>
      </w:r>
      <w:r w:rsidRPr="00A80134">
        <w:rPr>
          <w:rFonts w:eastAsia="Palatino Linotype"/>
          <w:i/>
        </w:rPr>
        <w:t xml:space="preserve"> </w:t>
      </w:r>
      <w:r w:rsidRPr="00A80134">
        <w:rPr>
          <w:rFonts w:eastAsia="Palatino Linotype"/>
          <w:b/>
          <w:i/>
        </w:rPr>
        <w:t>autoridad</w:t>
      </w:r>
      <w:r w:rsidRPr="00A8013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80134">
        <w:rPr>
          <w:rFonts w:eastAsia="Palatino Linotype"/>
          <w:b/>
          <w:i/>
        </w:rPr>
        <w:t>municipal</w:t>
      </w:r>
      <w:r w:rsidRPr="00A80134">
        <w:rPr>
          <w:rFonts w:eastAsia="Palatino Linotype"/>
          <w:i/>
        </w:rPr>
        <w:t xml:space="preserve">, </w:t>
      </w:r>
      <w:r w:rsidRPr="00A80134">
        <w:rPr>
          <w:rFonts w:eastAsia="Palatino Linotype"/>
          <w:b/>
          <w:i/>
        </w:rPr>
        <w:t>es pública</w:t>
      </w:r>
      <w:r w:rsidRPr="00A80134">
        <w:rPr>
          <w:rFonts w:eastAsia="Palatino Linotype"/>
          <w:i/>
        </w:rPr>
        <w:t xml:space="preserve"> y sólo podrá ser reservada temporalmente por razones de interés público y seguridad nacional, en los términos que fijen las leyes. </w:t>
      </w:r>
      <w:r w:rsidRPr="00A8013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80134">
        <w:rPr>
          <w:rFonts w:eastAsia="Palatino Linotype"/>
          <w:i/>
        </w:rPr>
        <w:t>, la ley determinará los supuestos específicos bajo los cuales procederá la declaración de inexistencia de la información.”</w:t>
      </w:r>
    </w:p>
    <w:p w14:paraId="68F313E4" w14:textId="77777777" w:rsidR="00C049E2" w:rsidRPr="00A80134" w:rsidRDefault="00C049E2" w:rsidP="004E0438">
      <w:pPr>
        <w:tabs>
          <w:tab w:val="left" w:pos="8222"/>
        </w:tabs>
        <w:spacing w:line="240" w:lineRule="auto"/>
        <w:ind w:left="851" w:right="822"/>
        <w:rPr>
          <w:rFonts w:eastAsia="Palatino Linotype"/>
          <w:b/>
          <w:i/>
        </w:rPr>
      </w:pPr>
    </w:p>
    <w:p w14:paraId="504F12DB" w14:textId="77777777" w:rsidR="00C049E2" w:rsidRPr="00A80134" w:rsidRDefault="00C049E2" w:rsidP="004E0438">
      <w:pPr>
        <w:tabs>
          <w:tab w:val="left" w:pos="8222"/>
        </w:tabs>
        <w:spacing w:line="240" w:lineRule="auto"/>
        <w:ind w:left="851" w:right="822"/>
        <w:rPr>
          <w:rFonts w:eastAsia="Palatino Linotype"/>
          <w:b/>
          <w:i/>
        </w:rPr>
      </w:pPr>
      <w:r w:rsidRPr="00A80134">
        <w:rPr>
          <w:rFonts w:eastAsia="Palatino Linotype"/>
          <w:b/>
          <w:i/>
        </w:rPr>
        <w:t>Constitución Política del Estado Libre y Soberano de México</w:t>
      </w:r>
    </w:p>
    <w:p w14:paraId="04932D29" w14:textId="77777777" w:rsidR="00C049E2" w:rsidRPr="00A80134" w:rsidRDefault="00C049E2" w:rsidP="004E0438">
      <w:pPr>
        <w:tabs>
          <w:tab w:val="left" w:pos="8222"/>
        </w:tabs>
        <w:spacing w:line="240" w:lineRule="auto"/>
        <w:ind w:left="851" w:right="822"/>
        <w:rPr>
          <w:rFonts w:eastAsia="Palatino Linotype"/>
          <w:i/>
        </w:rPr>
      </w:pPr>
      <w:r w:rsidRPr="00A80134">
        <w:rPr>
          <w:rFonts w:eastAsia="Palatino Linotype"/>
          <w:b/>
          <w:i/>
        </w:rPr>
        <w:t>“Artículo 5</w:t>
      </w:r>
      <w:r w:rsidRPr="00A80134">
        <w:rPr>
          <w:rFonts w:eastAsia="Palatino Linotype"/>
          <w:i/>
        </w:rPr>
        <w:t xml:space="preserve">.- </w:t>
      </w:r>
    </w:p>
    <w:p w14:paraId="1D3829F4" w14:textId="77777777" w:rsidR="00C049E2" w:rsidRPr="00A80134" w:rsidRDefault="00C049E2" w:rsidP="004E0438">
      <w:pPr>
        <w:tabs>
          <w:tab w:val="left" w:pos="8222"/>
        </w:tabs>
        <w:spacing w:line="240" w:lineRule="auto"/>
        <w:ind w:left="851" w:right="822"/>
        <w:rPr>
          <w:rFonts w:eastAsia="Palatino Linotype"/>
          <w:i/>
        </w:rPr>
      </w:pPr>
      <w:r w:rsidRPr="00A80134">
        <w:rPr>
          <w:rFonts w:eastAsia="Palatino Linotype"/>
          <w:i/>
        </w:rPr>
        <w:t>(…)</w:t>
      </w:r>
    </w:p>
    <w:p w14:paraId="0EAE47FD" w14:textId="77777777" w:rsidR="00C049E2" w:rsidRPr="00A80134" w:rsidRDefault="00C049E2" w:rsidP="004E0438">
      <w:pPr>
        <w:tabs>
          <w:tab w:val="left" w:pos="8222"/>
        </w:tabs>
        <w:spacing w:line="240" w:lineRule="auto"/>
        <w:ind w:left="851" w:right="822"/>
        <w:rPr>
          <w:rFonts w:eastAsia="Palatino Linotype"/>
          <w:i/>
        </w:rPr>
      </w:pPr>
      <w:r w:rsidRPr="00A80134">
        <w:rPr>
          <w:rFonts w:eastAsia="Palatino Linotype"/>
          <w:b/>
          <w:i/>
        </w:rPr>
        <w:lastRenderedPageBreak/>
        <w:t>El derecho a la información será garantizado por el Estado. La ley establecerá las previsiones que permitan asegurar la protección, el respeto y la difusión de este derecho</w:t>
      </w:r>
      <w:r w:rsidRPr="00A80134">
        <w:rPr>
          <w:rFonts w:eastAsia="Palatino Linotype"/>
          <w:i/>
        </w:rPr>
        <w:t>.</w:t>
      </w:r>
    </w:p>
    <w:p w14:paraId="4F0C804A" w14:textId="77777777" w:rsidR="00C049E2" w:rsidRPr="00A80134" w:rsidRDefault="00C049E2" w:rsidP="004E0438">
      <w:pPr>
        <w:tabs>
          <w:tab w:val="left" w:pos="8222"/>
        </w:tabs>
        <w:spacing w:line="240" w:lineRule="auto"/>
        <w:ind w:left="851" w:right="822"/>
        <w:rPr>
          <w:rFonts w:eastAsia="Palatino Linotype"/>
          <w:i/>
        </w:rPr>
      </w:pPr>
      <w:r w:rsidRPr="00A8013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80134" w:rsidRDefault="00C049E2" w:rsidP="004E0438">
      <w:pPr>
        <w:tabs>
          <w:tab w:val="left" w:pos="8222"/>
        </w:tabs>
        <w:spacing w:line="240" w:lineRule="auto"/>
        <w:ind w:left="851" w:right="822"/>
        <w:rPr>
          <w:rFonts w:eastAsia="Palatino Linotype"/>
          <w:i/>
        </w:rPr>
      </w:pPr>
      <w:r w:rsidRPr="00A80134">
        <w:rPr>
          <w:rFonts w:eastAsia="Palatino Linotype"/>
          <w:b/>
          <w:i/>
        </w:rPr>
        <w:t>Este derecho se regirá por los principios y bases siguientes</w:t>
      </w:r>
      <w:r w:rsidRPr="00A80134">
        <w:rPr>
          <w:rFonts w:eastAsia="Palatino Linotype"/>
          <w:i/>
        </w:rPr>
        <w:t>:</w:t>
      </w:r>
    </w:p>
    <w:p w14:paraId="4A3E8CBA" w14:textId="77777777" w:rsidR="00C049E2" w:rsidRPr="00A80134" w:rsidRDefault="00C049E2" w:rsidP="004E0438">
      <w:pPr>
        <w:tabs>
          <w:tab w:val="left" w:pos="8222"/>
        </w:tabs>
        <w:spacing w:line="240" w:lineRule="auto"/>
        <w:ind w:left="851" w:right="822"/>
        <w:rPr>
          <w:rFonts w:eastAsia="Palatino Linotype"/>
          <w:i/>
        </w:rPr>
      </w:pPr>
      <w:r w:rsidRPr="00A80134">
        <w:rPr>
          <w:rFonts w:eastAsia="Palatino Linotype"/>
          <w:b/>
          <w:i/>
        </w:rPr>
        <w:t>I. Toda la información en posesión de cualquier autoridad, entidad, órgano y organismos de los</w:t>
      </w:r>
      <w:r w:rsidRPr="00A80134">
        <w:rPr>
          <w:rFonts w:eastAsia="Palatino Linotype"/>
          <w:i/>
        </w:rPr>
        <w:t xml:space="preserve"> Poderes Ejecutivo, Legislativo y Judicial, órganos autónomos, partidos políticos, fideicomisos y fondos públicos estatales y </w:t>
      </w:r>
      <w:r w:rsidRPr="00A80134">
        <w:rPr>
          <w:rFonts w:eastAsia="Palatino Linotype"/>
          <w:b/>
          <w:i/>
        </w:rPr>
        <w:t>municipales</w:t>
      </w:r>
      <w:r w:rsidRPr="00A8013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80134">
        <w:rPr>
          <w:rFonts w:eastAsia="Palatino Linotype"/>
          <w:b/>
          <w:i/>
        </w:rPr>
        <w:t>es pública</w:t>
      </w:r>
      <w:r w:rsidRPr="00A8013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80134">
        <w:rPr>
          <w:rFonts w:eastAsia="Palatino Linotype"/>
          <w:b/>
          <w:i/>
        </w:rPr>
        <w:t>En la interpretación de este derecho deberá prevalecer el principio de máxima publicidad</w:t>
      </w:r>
      <w:r w:rsidRPr="00A80134">
        <w:rPr>
          <w:rFonts w:eastAsia="Palatino Linotype"/>
          <w:i/>
        </w:rPr>
        <w:t xml:space="preserve">. </w:t>
      </w:r>
      <w:r w:rsidRPr="00A80134">
        <w:rPr>
          <w:rFonts w:eastAsia="Palatino Linotype"/>
          <w:b/>
          <w:i/>
        </w:rPr>
        <w:t>Los sujetos obligados deberán documentar todo acto que derive del ejercicio de sus facultades, competencias o funciones</w:t>
      </w:r>
      <w:r w:rsidRPr="00A80134">
        <w:rPr>
          <w:rFonts w:eastAsia="Palatino Linotype"/>
          <w:i/>
        </w:rPr>
        <w:t>, la ley determinará los supuestos específicos bajo los cuales procederá la declaración de inexistencia de la información.”</w:t>
      </w:r>
    </w:p>
    <w:p w14:paraId="58A72189" w14:textId="77777777" w:rsidR="006A5AE1" w:rsidRPr="00A80134" w:rsidRDefault="006A5AE1" w:rsidP="00404336">
      <w:pPr>
        <w:rPr>
          <w:rFonts w:eastAsia="Palatino Linotype"/>
        </w:rPr>
      </w:pPr>
    </w:p>
    <w:p w14:paraId="6FC1BB3B" w14:textId="41B1AF84" w:rsidR="00C049E2" w:rsidRPr="00A80134" w:rsidRDefault="00717E59" w:rsidP="00404336">
      <w:pPr>
        <w:rPr>
          <w:rFonts w:eastAsia="Palatino Linotype"/>
          <w:i/>
        </w:rPr>
      </w:pPr>
      <w:r w:rsidRPr="00A80134">
        <w:rPr>
          <w:rFonts w:eastAsia="Palatino Linotype"/>
        </w:rPr>
        <w:t xml:space="preserve">Asimismo, </w:t>
      </w:r>
      <w:r w:rsidR="00C049E2" w:rsidRPr="00A80134">
        <w:rPr>
          <w:rFonts w:eastAsia="Palatino Linotype"/>
        </w:rPr>
        <w:t>el artículo 150 de la Ley de Transparencia y Acceso a la Información Pública del Estado de México y Municipios</w:t>
      </w:r>
      <w:r w:rsidR="00057B2D" w:rsidRPr="00A80134">
        <w:rPr>
          <w:rFonts w:eastAsia="Palatino Linotype"/>
        </w:rPr>
        <w:t xml:space="preserve"> </w:t>
      </w:r>
      <w:r w:rsidR="00E9335C" w:rsidRPr="00A80134">
        <w:rPr>
          <w:rFonts w:eastAsia="Palatino Linotype"/>
        </w:rPr>
        <w:t xml:space="preserve">indica </w:t>
      </w:r>
      <w:r w:rsidR="00057B2D" w:rsidRPr="00A80134">
        <w:rPr>
          <w:rFonts w:eastAsia="Palatino Linotype"/>
        </w:rPr>
        <w:t>que</w:t>
      </w:r>
      <w:r w:rsidR="00C049E2" w:rsidRPr="00A80134">
        <w:rPr>
          <w:rFonts w:eastAsia="Palatino Linotype"/>
        </w:rPr>
        <w:t xml:space="preserve"> la solicitud es la garantía primaria del Derecho de Acceso a la Información, además, establece que se regirá </w:t>
      </w:r>
      <w:r w:rsidR="00C049E2" w:rsidRPr="00A80134">
        <w:rPr>
          <w:rFonts w:eastAsia="Palatino Linotype"/>
          <w:i/>
        </w:rPr>
        <w:t>por los principios de simplicidad, rapidez</w:t>
      </w:r>
      <w:r w:rsidR="005F65B7" w:rsidRPr="00A80134">
        <w:rPr>
          <w:rFonts w:eastAsia="Palatino Linotype"/>
          <w:i/>
        </w:rPr>
        <w:t>,</w:t>
      </w:r>
      <w:r w:rsidR="00C049E2" w:rsidRPr="00A80134">
        <w:rPr>
          <w:rFonts w:eastAsia="Palatino Linotype"/>
          <w:i/>
        </w:rPr>
        <w:t xml:space="preserve"> gratuidad del procedimiento, auxilio y orientación a los particulare</w:t>
      </w:r>
      <w:r w:rsidR="001A58B3" w:rsidRPr="00A80134">
        <w:rPr>
          <w:rFonts w:eastAsia="Palatino Linotype"/>
          <w:i/>
        </w:rPr>
        <w:t>s.</w:t>
      </w:r>
    </w:p>
    <w:p w14:paraId="033466A6" w14:textId="77777777" w:rsidR="001A58B3" w:rsidRPr="00A80134" w:rsidRDefault="001A58B3" w:rsidP="00404336">
      <w:pPr>
        <w:rPr>
          <w:rFonts w:eastAsia="Palatino Linotype"/>
          <w:i/>
        </w:rPr>
      </w:pPr>
    </w:p>
    <w:p w14:paraId="04ADA10B" w14:textId="574A944A" w:rsidR="001A58B3" w:rsidRPr="00A80134" w:rsidRDefault="00233F17" w:rsidP="00404336">
      <w:pPr>
        <w:rPr>
          <w:rFonts w:eastAsia="Palatino Linotype" w:cs="Palatino Linotype"/>
          <w:i/>
          <w:szCs w:val="22"/>
        </w:rPr>
      </w:pPr>
      <w:r w:rsidRPr="00A80134">
        <w:rPr>
          <w:rFonts w:eastAsia="Palatino Linotype" w:cs="Palatino Linotype"/>
        </w:rPr>
        <w:t xml:space="preserve">Por su parte, el artículo 4 de </w:t>
      </w:r>
      <w:r w:rsidR="001A58B3" w:rsidRPr="00A8013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80134">
        <w:rPr>
          <w:rFonts w:eastAsia="Palatino Linotype" w:cs="Palatino Linotype"/>
        </w:rPr>
        <w:t>.</w:t>
      </w:r>
    </w:p>
    <w:p w14:paraId="7552AA79" w14:textId="5C52E4A4" w:rsidR="001A58B3" w:rsidRPr="00A80134" w:rsidRDefault="001A58B3" w:rsidP="00A33DF3">
      <w:pPr>
        <w:spacing w:after="240"/>
        <w:rPr>
          <w:rFonts w:eastAsia="Palatino Linotype" w:cs="Palatino Linotype"/>
        </w:rPr>
      </w:pPr>
      <w:r w:rsidRPr="00A80134">
        <w:rPr>
          <w:rFonts w:eastAsia="Palatino Linotype" w:cs="Palatino Linotype"/>
        </w:rPr>
        <w:t xml:space="preserve">Esto es, que los Sujetos Obligados </w:t>
      </w:r>
      <w:r w:rsidR="00FA5957" w:rsidRPr="00A80134">
        <w:rPr>
          <w:rFonts w:eastAsia="Palatino Linotype" w:cs="Palatino Linotype"/>
        </w:rPr>
        <w:t>deben</w:t>
      </w:r>
      <w:r w:rsidRPr="00A80134">
        <w:rPr>
          <w:rFonts w:eastAsia="Palatino Linotype" w:cs="Palatino Linotype"/>
        </w:rPr>
        <w:t xml:space="preserve"> atender las solicitudes de acceso a la información pública que se les </w:t>
      </w:r>
      <w:r w:rsidR="00FA5957" w:rsidRPr="00A80134">
        <w:rPr>
          <w:rFonts w:eastAsia="Palatino Linotype" w:cs="Palatino Linotype"/>
        </w:rPr>
        <w:t>sean realizadas,</w:t>
      </w:r>
      <w:r w:rsidRPr="00A80134">
        <w:rPr>
          <w:rFonts w:eastAsia="Palatino Linotype" w:cs="Palatino Linotype"/>
        </w:rPr>
        <w:t xml:space="preserve"> y proporcionar la información pública que obre en su poder</w:t>
      </w:r>
      <w:r w:rsidR="00FA5957" w:rsidRPr="00A80134">
        <w:rPr>
          <w:rFonts w:eastAsia="Palatino Linotype" w:cs="Palatino Linotype"/>
        </w:rPr>
        <w:t>,</w:t>
      </w:r>
      <w:r w:rsidRPr="00A80134">
        <w:rPr>
          <w:rFonts w:eastAsia="Palatino Linotype" w:cs="Palatino Linotype"/>
        </w:rPr>
        <w:t xml:space="preserve"> </w:t>
      </w:r>
      <w:r w:rsidRPr="00A80134">
        <w:rPr>
          <w:rFonts w:eastAsia="Palatino Linotype" w:cs="Palatino Linotype"/>
        </w:rPr>
        <w:lastRenderedPageBreak/>
        <w:t xml:space="preserve">conforme </w:t>
      </w:r>
      <w:r w:rsidR="00FA5957" w:rsidRPr="00A80134">
        <w:rPr>
          <w:rFonts w:eastAsia="Palatino Linotype" w:cs="Palatino Linotype"/>
        </w:rPr>
        <w:t>a</w:t>
      </w:r>
      <w:r w:rsidRPr="00A80134">
        <w:rPr>
          <w:rFonts w:eastAsia="Palatino Linotype" w:cs="Palatino Linotype"/>
        </w:rPr>
        <w:t xml:space="preserve">l estado </w:t>
      </w:r>
      <w:r w:rsidR="00FA5957" w:rsidRPr="00A80134">
        <w:rPr>
          <w:rFonts w:eastAsia="Palatino Linotype" w:cs="Palatino Linotype"/>
        </w:rPr>
        <w:t xml:space="preserve">en </w:t>
      </w:r>
      <w:r w:rsidRPr="00A80134">
        <w:rPr>
          <w:rFonts w:eastAsia="Palatino Linotype" w:cs="Palatino Linotype"/>
        </w:rPr>
        <w:t>que se encuentr</w:t>
      </w:r>
      <w:r w:rsidR="00FA5957" w:rsidRPr="00A80134">
        <w:rPr>
          <w:rFonts w:eastAsia="Palatino Linotype" w:cs="Palatino Linotype"/>
        </w:rPr>
        <w:t>e, sin que sea necesario</w:t>
      </w:r>
      <w:r w:rsidRPr="00A80134">
        <w:rPr>
          <w:rFonts w:eastAsia="Palatino Linotype" w:cs="Palatino Linotype"/>
        </w:rPr>
        <w:t xml:space="preserve"> </w:t>
      </w:r>
      <w:r w:rsidR="00FA5957" w:rsidRPr="00A80134">
        <w:rPr>
          <w:rFonts w:eastAsia="Palatino Linotype" w:cs="Palatino Linotype"/>
        </w:rPr>
        <w:t>procesar</w:t>
      </w:r>
      <w:r w:rsidRPr="00A80134">
        <w:rPr>
          <w:rFonts w:eastAsia="Palatino Linotype" w:cs="Palatino Linotype"/>
        </w:rPr>
        <w:t xml:space="preserve"> la misma, ni presentarla conforme al interés del solicitante; </w:t>
      </w:r>
      <w:r w:rsidR="00FA5957" w:rsidRPr="00A80134">
        <w:rPr>
          <w:rFonts w:eastAsia="Palatino Linotype" w:cs="Palatino Linotype"/>
        </w:rPr>
        <w:t>tal y como</w:t>
      </w:r>
      <w:r w:rsidRPr="00A80134">
        <w:rPr>
          <w:rFonts w:eastAsia="Palatino Linotype" w:cs="Palatino Linotype"/>
        </w:rPr>
        <w:t xml:space="preserve"> lo establece el artículo 12 de la Ley de Transparencia y Acceso a la Información Pública del Estado de México y Municipios</w:t>
      </w:r>
      <w:r w:rsidR="00970EB3" w:rsidRPr="00A80134">
        <w:rPr>
          <w:rFonts w:eastAsia="Palatino Linotype" w:cs="Palatino Linotype"/>
        </w:rPr>
        <w:t>.</w:t>
      </w:r>
    </w:p>
    <w:p w14:paraId="7F62D4DF" w14:textId="58E8EF66" w:rsidR="001A58B3" w:rsidRPr="00A80134" w:rsidRDefault="001A58B3" w:rsidP="00404336">
      <w:pPr>
        <w:rPr>
          <w:rFonts w:eastAsia="Palatino Linotype" w:cs="Palatino Linotype"/>
        </w:rPr>
      </w:pPr>
      <w:r w:rsidRPr="00A80134">
        <w:rPr>
          <w:rFonts w:eastAsia="Palatino Linotype" w:cs="Palatino Linotype"/>
        </w:rPr>
        <w:t>Es decir, que todo sujeto obligado que genere, recopile, administre, procese, archive, posea o conserven, son responsables de la misma</w:t>
      </w:r>
      <w:r w:rsidR="00970EB3" w:rsidRPr="00A80134">
        <w:rPr>
          <w:rFonts w:eastAsia="Palatino Linotype" w:cs="Palatino Linotype"/>
        </w:rPr>
        <w:t>,</w:t>
      </w:r>
      <w:r w:rsidRPr="00A8013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80134">
        <w:rPr>
          <w:rFonts w:eastAsia="Palatino Linotype" w:cs="Palatino Linotype"/>
        </w:rPr>
        <w:t>o</w:t>
      </w:r>
      <w:r w:rsidRPr="00A8013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B350ADF" w14:textId="77777777" w:rsidR="00DC5D13" w:rsidRPr="00A80134" w:rsidRDefault="00DC5D13" w:rsidP="00404336">
      <w:pPr>
        <w:rPr>
          <w:rFonts w:eastAsia="Palatino Linotype" w:cs="Palatino Linotype"/>
        </w:rPr>
      </w:pPr>
    </w:p>
    <w:p w14:paraId="04E42DFE" w14:textId="573F1198" w:rsidR="001A58B3" w:rsidRPr="00A80134" w:rsidRDefault="001A58B3" w:rsidP="00404336">
      <w:pPr>
        <w:rPr>
          <w:rFonts w:eastAsia="Palatino Linotype" w:cs="Palatino Linotype"/>
        </w:rPr>
      </w:pPr>
      <w:r w:rsidRPr="00A8013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80134">
        <w:rPr>
          <w:rFonts w:eastAsia="Palatino Linotype" w:cs="Palatino Linotype"/>
        </w:rPr>
        <w:t>, s</w:t>
      </w:r>
      <w:r w:rsidRPr="00A80134">
        <w:rPr>
          <w:rFonts w:eastAsia="Palatino Linotype" w:cs="Palatino Linotype"/>
        </w:rPr>
        <w:t xml:space="preserve">iempre y cuando no se trate de información reservada o </w:t>
      </w:r>
      <w:r w:rsidR="00331F35" w:rsidRPr="00A80134">
        <w:rPr>
          <w:rFonts w:eastAsia="Palatino Linotype" w:cs="Palatino Linotype"/>
        </w:rPr>
        <w:t>confidencial.</w:t>
      </w:r>
    </w:p>
    <w:p w14:paraId="40C5219F" w14:textId="77777777" w:rsidR="001A58B3" w:rsidRPr="00A80134" w:rsidRDefault="001A58B3" w:rsidP="00404336">
      <w:pPr>
        <w:rPr>
          <w:rFonts w:eastAsia="Palatino Linotype" w:cs="Palatino Linotype"/>
        </w:rPr>
      </w:pPr>
    </w:p>
    <w:p w14:paraId="2E629608" w14:textId="01727E15" w:rsidR="00C049E2" w:rsidRPr="00A80134" w:rsidRDefault="006067C7" w:rsidP="00404336">
      <w:pPr>
        <w:rPr>
          <w:rFonts w:eastAsia="Palatino Linotype"/>
        </w:rPr>
      </w:pPr>
      <w:bookmarkStart w:id="31" w:name="_heading=h.2s8eyo1" w:colFirst="0" w:colLast="0"/>
      <w:bookmarkEnd w:id="31"/>
      <w:r w:rsidRPr="00A80134">
        <w:rPr>
          <w:rFonts w:eastAsia="Palatino Linotype"/>
        </w:rPr>
        <w:t>Con base en lo anterior</w:t>
      </w:r>
      <w:r w:rsidR="00B22A80" w:rsidRPr="00A80134">
        <w:rPr>
          <w:rFonts w:eastAsia="Palatino Linotype"/>
        </w:rPr>
        <w:t>, se considera que</w:t>
      </w:r>
      <w:r w:rsidR="00C049E2" w:rsidRPr="00A80134">
        <w:rPr>
          <w:rFonts w:eastAsia="Palatino Linotype"/>
        </w:rPr>
        <w:t xml:space="preserve"> </w:t>
      </w:r>
      <w:r w:rsidR="00B22A80" w:rsidRPr="00A80134">
        <w:rPr>
          <w:rFonts w:eastAsia="Palatino Linotype"/>
          <w:b/>
          <w:bCs/>
        </w:rPr>
        <w:t>EL</w:t>
      </w:r>
      <w:r w:rsidR="00C049E2" w:rsidRPr="00A80134">
        <w:rPr>
          <w:rFonts w:eastAsia="Palatino Linotype"/>
        </w:rPr>
        <w:t xml:space="preserve"> </w:t>
      </w:r>
      <w:r w:rsidR="00C049E2" w:rsidRPr="00A80134">
        <w:rPr>
          <w:rFonts w:eastAsia="Palatino Linotype"/>
          <w:b/>
        </w:rPr>
        <w:t>SUJETO OBLIGADO</w:t>
      </w:r>
      <w:r w:rsidR="00C049E2" w:rsidRPr="00A80134">
        <w:rPr>
          <w:rFonts w:eastAsia="Palatino Linotype"/>
        </w:rPr>
        <w:t xml:space="preserve"> </w:t>
      </w:r>
      <w:r w:rsidR="00B22A80" w:rsidRPr="00A80134">
        <w:rPr>
          <w:rFonts w:eastAsia="Palatino Linotype"/>
        </w:rPr>
        <w:t xml:space="preserve">se </w:t>
      </w:r>
      <w:r w:rsidR="00717E59" w:rsidRPr="00A80134">
        <w:rPr>
          <w:rFonts w:eastAsia="Palatino Linotype"/>
        </w:rPr>
        <w:t>encontraba</w:t>
      </w:r>
      <w:r w:rsidR="00B22A80" w:rsidRPr="00A80134">
        <w:rPr>
          <w:rFonts w:eastAsia="Palatino Linotype"/>
        </w:rPr>
        <w:t xml:space="preserve"> compelido a</w:t>
      </w:r>
      <w:r w:rsidR="00C049E2" w:rsidRPr="00A80134">
        <w:rPr>
          <w:rFonts w:eastAsia="Palatino Linotype"/>
        </w:rPr>
        <w:t xml:space="preserve"> atender la solicitud de acceso a la información </w:t>
      </w:r>
      <w:r w:rsidR="00B22A80" w:rsidRPr="00A80134">
        <w:rPr>
          <w:rFonts w:eastAsia="Palatino Linotype"/>
        </w:rPr>
        <w:t xml:space="preserve">realizada por </w:t>
      </w:r>
      <w:r w:rsidR="00B22A80" w:rsidRPr="00A80134">
        <w:rPr>
          <w:rFonts w:eastAsia="Palatino Linotype"/>
          <w:b/>
          <w:bCs/>
        </w:rPr>
        <w:t>LA PARTE RECURRENTE</w:t>
      </w:r>
      <w:r w:rsidR="00331F35" w:rsidRPr="00A80134">
        <w:rPr>
          <w:rFonts w:eastAsia="Palatino Linotype"/>
        </w:rPr>
        <w:t>.</w:t>
      </w:r>
    </w:p>
    <w:p w14:paraId="3AFB9FAE" w14:textId="77777777" w:rsidR="00AA26B0" w:rsidRPr="00A80134" w:rsidRDefault="00AA26B0" w:rsidP="00404336">
      <w:pPr>
        <w:rPr>
          <w:rFonts w:eastAsia="Palatino Linotype"/>
        </w:rPr>
      </w:pPr>
    </w:p>
    <w:p w14:paraId="51A0E8B4" w14:textId="676DCA47" w:rsidR="00664420" w:rsidRPr="00A80134" w:rsidRDefault="00C71CEF" w:rsidP="00404336">
      <w:pPr>
        <w:pStyle w:val="Ttulo3"/>
        <w:spacing w:line="360" w:lineRule="auto"/>
        <w:rPr>
          <w:rFonts w:eastAsia="Calibri"/>
          <w:lang w:eastAsia="es-ES_tradnl"/>
        </w:rPr>
      </w:pPr>
      <w:bookmarkStart w:id="32" w:name="_Toc201768575"/>
      <w:r w:rsidRPr="00A80134">
        <w:rPr>
          <w:rFonts w:eastAsia="Calibri"/>
          <w:lang w:eastAsia="es-ES_tradnl"/>
        </w:rPr>
        <w:t>b)</w:t>
      </w:r>
      <w:r w:rsidR="00A53315" w:rsidRPr="00A80134">
        <w:rPr>
          <w:rFonts w:eastAsia="Calibri"/>
          <w:lang w:eastAsia="es-ES_tradnl"/>
        </w:rPr>
        <w:t xml:space="preserve"> </w:t>
      </w:r>
      <w:r w:rsidR="00A21A20" w:rsidRPr="00A80134">
        <w:rPr>
          <w:rFonts w:eastAsia="Calibri"/>
          <w:lang w:eastAsia="es-ES_tradnl"/>
        </w:rPr>
        <w:t>Controversia a resolver</w:t>
      </w:r>
      <w:bookmarkEnd w:id="32"/>
    </w:p>
    <w:p w14:paraId="446B514A" w14:textId="0961FB60" w:rsidR="006A5AE1" w:rsidRPr="00A80134" w:rsidRDefault="00664420" w:rsidP="001935F6">
      <w:pPr>
        <w:rPr>
          <w:rFonts w:cs="Tahoma"/>
          <w:bCs/>
          <w:iCs/>
          <w:szCs w:val="22"/>
        </w:rPr>
      </w:pPr>
      <w:r w:rsidRPr="00A8013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80134">
        <w:rPr>
          <w:rFonts w:eastAsia="Calibri"/>
          <w:b/>
          <w:bCs/>
          <w:lang w:eastAsia="es-ES_tradnl"/>
        </w:rPr>
        <w:t>LA PARTE RECURRENTE</w:t>
      </w:r>
      <w:r w:rsidRPr="00A80134">
        <w:rPr>
          <w:rFonts w:eastAsia="Calibri"/>
          <w:lang w:eastAsia="es-ES_tradnl"/>
        </w:rPr>
        <w:t xml:space="preserve"> </w:t>
      </w:r>
      <w:r w:rsidR="003E1D10" w:rsidRPr="00A80134">
        <w:rPr>
          <w:rFonts w:eastAsia="Calibri"/>
          <w:lang w:eastAsia="es-ES_tradnl"/>
        </w:rPr>
        <w:t>requirió</w:t>
      </w:r>
      <w:r w:rsidR="001633CB" w:rsidRPr="00A80134">
        <w:t xml:space="preserve"> </w:t>
      </w:r>
      <w:r w:rsidR="001633CB" w:rsidRPr="00A80134">
        <w:rPr>
          <w:rFonts w:eastAsia="Calibri"/>
          <w:lang w:eastAsia="es-ES_tradnl"/>
        </w:rPr>
        <w:t xml:space="preserve">del </w:t>
      </w:r>
      <w:r w:rsidR="00F03E35" w:rsidRPr="00A80134">
        <w:rPr>
          <w:rFonts w:eastAsia="Calibri"/>
          <w:b/>
          <w:lang w:eastAsia="es-ES_tradnl"/>
        </w:rPr>
        <w:t xml:space="preserve">SUJETO OBLIGADO </w:t>
      </w:r>
      <w:r w:rsidR="00DC5D13" w:rsidRPr="00A80134">
        <w:rPr>
          <w:rFonts w:eastAsia="Calibri"/>
          <w:lang w:eastAsia="es-ES_tradnl"/>
        </w:rPr>
        <w:t>lo</w:t>
      </w:r>
      <w:r w:rsidR="00A502A3" w:rsidRPr="00A80134">
        <w:rPr>
          <w:rFonts w:eastAsia="Calibri"/>
          <w:lang w:eastAsia="es-ES_tradnl"/>
        </w:rPr>
        <w:t xml:space="preserve"> siguiente: </w:t>
      </w:r>
      <w:r w:rsidR="00A502A3" w:rsidRPr="00A80134">
        <w:rPr>
          <w:rFonts w:eastAsia="Calibri"/>
          <w:i/>
          <w:lang w:eastAsia="es-ES_tradnl"/>
        </w:rPr>
        <w:t xml:space="preserve">“requiero todos </w:t>
      </w:r>
      <w:r w:rsidR="00A502A3" w:rsidRPr="00A80134">
        <w:rPr>
          <w:rFonts w:eastAsia="Calibri"/>
          <w:i/>
          <w:lang w:eastAsia="es-ES_tradnl"/>
        </w:rPr>
        <w:lastRenderedPageBreak/>
        <w:t>saber cuanto ganan todos los servidores públicos que laboran (adscritos o no al área) en la Subdirección de obra y en la dirección de obra y control patrimonial. quiero saber el estatus de todo lo contratado por estas áreas durante el periodo 2024, así como las propuestas de las contratistas a las que se les haya entregado recursos del Instituto, así como sus contratos, bitacionas de las mismas, las estimaciones que han procedido y generadores con fotos de los mismos. designación de las personas a cargo de estas obras, los documentos con los que acreditan haber aprobado control de confianza, (director, subdirector, residentes, supervisores, auxiliares).”</w:t>
      </w:r>
      <w:r w:rsidR="00A502A3" w:rsidRPr="00A80134">
        <w:rPr>
          <w:rFonts w:eastAsia="Calibri"/>
          <w:lang w:eastAsia="es-ES_tradnl"/>
        </w:rPr>
        <w:t xml:space="preserve"> (Sic)</w:t>
      </w:r>
      <w:r w:rsidR="00BB2B35" w:rsidRPr="00A80134">
        <w:rPr>
          <w:rFonts w:cs="Tahoma"/>
          <w:bCs/>
          <w:iCs/>
          <w:szCs w:val="22"/>
        </w:rPr>
        <w:t>.</w:t>
      </w:r>
    </w:p>
    <w:p w14:paraId="3CBCD8C5" w14:textId="77777777" w:rsidR="001935F6" w:rsidRPr="00A80134" w:rsidRDefault="001935F6" w:rsidP="001935F6">
      <w:pPr>
        <w:rPr>
          <w:rFonts w:cs="Tahoma"/>
          <w:bCs/>
          <w:iCs/>
          <w:szCs w:val="22"/>
        </w:rPr>
      </w:pPr>
    </w:p>
    <w:p w14:paraId="6D189ACB" w14:textId="37F716EB" w:rsidR="00DC5D13" w:rsidRPr="00A80134" w:rsidRDefault="00BB2B35" w:rsidP="00A502A3">
      <w:pPr>
        <w:autoSpaceDE w:val="0"/>
        <w:autoSpaceDN w:val="0"/>
        <w:adjustRightInd w:val="0"/>
        <w:spacing w:after="240"/>
        <w:ind w:right="-28"/>
        <w:rPr>
          <w:rFonts w:cs="Tahoma"/>
          <w:bCs/>
          <w:i/>
          <w:szCs w:val="22"/>
        </w:rPr>
      </w:pPr>
      <w:r w:rsidRPr="00A80134">
        <w:rPr>
          <w:rFonts w:eastAsiaTheme="minorHAnsi" w:cs="Tahoma"/>
          <w:bCs/>
          <w:iCs/>
          <w:szCs w:val="22"/>
          <w:lang w:eastAsia="en-US"/>
        </w:rPr>
        <w:t xml:space="preserve">Por su parte </w:t>
      </w:r>
      <w:r w:rsidR="006A5AE1" w:rsidRPr="00A80134">
        <w:rPr>
          <w:rFonts w:eastAsiaTheme="minorHAnsi" w:cs="Tahoma"/>
          <w:bCs/>
          <w:iCs/>
          <w:szCs w:val="22"/>
          <w:lang w:eastAsia="en-US"/>
        </w:rPr>
        <w:t>el</w:t>
      </w:r>
      <w:r w:rsidR="005D5A50" w:rsidRPr="00A80134">
        <w:rPr>
          <w:rFonts w:eastAsiaTheme="minorHAnsi" w:cs="Tahoma"/>
          <w:b/>
          <w:iCs/>
          <w:szCs w:val="22"/>
          <w:lang w:eastAsia="en-US"/>
        </w:rPr>
        <w:t xml:space="preserve"> SUJETO OBLIGADO</w:t>
      </w:r>
      <w:r w:rsidR="006A5AE1" w:rsidRPr="00A80134">
        <w:rPr>
          <w:rFonts w:eastAsiaTheme="minorHAnsi" w:cs="Tahoma"/>
          <w:b/>
          <w:iCs/>
          <w:szCs w:val="22"/>
          <w:lang w:eastAsia="en-US"/>
        </w:rPr>
        <w:t>,</w:t>
      </w:r>
      <w:r w:rsidRPr="00A80134">
        <w:rPr>
          <w:rFonts w:eastAsiaTheme="minorHAnsi" w:cs="Tahoma"/>
          <w:b/>
          <w:iCs/>
          <w:szCs w:val="22"/>
          <w:lang w:eastAsia="en-US"/>
        </w:rPr>
        <w:t xml:space="preserve"> </w:t>
      </w:r>
      <w:r w:rsidRPr="00A80134">
        <w:rPr>
          <w:rFonts w:eastAsiaTheme="minorHAnsi" w:cs="Tahoma"/>
          <w:iCs/>
          <w:szCs w:val="22"/>
          <w:lang w:eastAsia="en-US"/>
        </w:rPr>
        <w:t>remitió</w:t>
      </w:r>
      <w:r w:rsidR="00A502A3" w:rsidRPr="00A80134">
        <w:rPr>
          <w:rFonts w:eastAsiaTheme="minorHAnsi" w:cs="Tahoma"/>
          <w:iCs/>
          <w:szCs w:val="22"/>
          <w:lang w:eastAsia="en-US"/>
        </w:rPr>
        <w:t xml:space="preserve"> mediante los documentos adjuntos el oficio de número 07C0401210001S-UT-1193/2025, dirigido al Solicitante, mediante el cual el Titular de la Unidad de Transparencia, hace del conocimiento la respuesta emitida por el Servidor Público Habilitado de la Coordinación de Administración y Finanzas, así mismo la </w:t>
      </w:r>
      <w:r w:rsidR="00202128" w:rsidRPr="00A80134">
        <w:rPr>
          <w:rFonts w:eastAsiaTheme="minorHAnsi" w:cs="Tahoma"/>
          <w:iCs/>
          <w:szCs w:val="22"/>
          <w:lang w:eastAsia="en-US"/>
        </w:rPr>
        <w:t>remite la</w:t>
      </w:r>
      <w:r w:rsidR="00A502A3" w:rsidRPr="00A80134">
        <w:rPr>
          <w:rFonts w:eastAsiaTheme="minorHAnsi" w:cs="Tahoma"/>
          <w:iCs/>
          <w:szCs w:val="22"/>
          <w:lang w:eastAsia="en-US"/>
        </w:rPr>
        <w:t xml:space="preserve"> resolución de número CT/ISSEMYM-A06-17E/2025, mediante el cual se aprobó la confirmación de la declaratoria de inexistencia de la información peticionada.</w:t>
      </w:r>
    </w:p>
    <w:p w14:paraId="671653AE" w14:textId="646630BF" w:rsidR="00BB2B35" w:rsidRPr="00A80134" w:rsidRDefault="005921F1" w:rsidP="006A5AE1">
      <w:pPr>
        <w:tabs>
          <w:tab w:val="left" w:pos="4962"/>
        </w:tabs>
        <w:contextualSpacing/>
        <w:rPr>
          <w:rFonts w:eastAsia="Calibri"/>
          <w:bCs/>
          <w:lang w:eastAsia="es-ES_tradnl"/>
        </w:rPr>
      </w:pPr>
      <w:r w:rsidRPr="00A80134">
        <w:rPr>
          <w:rFonts w:eastAsiaTheme="minorHAnsi" w:cs="Tahoma"/>
          <w:iCs/>
          <w:szCs w:val="22"/>
          <w:lang w:eastAsia="en-US"/>
        </w:rPr>
        <w:t xml:space="preserve">Ante la respuesta emitida </w:t>
      </w:r>
      <w:r w:rsidR="006A5AE1" w:rsidRPr="00A80134">
        <w:rPr>
          <w:rFonts w:eastAsia="Calibri"/>
          <w:b/>
          <w:bCs/>
          <w:lang w:eastAsia="es-ES_tradnl"/>
        </w:rPr>
        <w:t>LA PARTE RECURRENTE</w:t>
      </w:r>
      <w:r w:rsidR="00BB2B35" w:rsidRPr="00A80134">
        <w:rPr>
          <w:rFonts w:eastAsia="Calibri"/>
          <w:b/>
          <w:bCs/>
          <w:lang w:eastAsia="es-ES_tradnl"/>
        </w:rPr>
        <w:t xml:space="preserve">, </w:t>
      </w:r>
      <w:r w:rsidR="00BB2B35" w:rsidRPr="00A80134">
        <w:rPr>
          <w:rFonts w:eastAsia="Calibri"/>
          <w:bCs/>
          <w:lang w:eastAsia="es-ES_tradnl"/>
        </w:rPr>
        <w:t xml:space="preserve">se inconformo esencialmente </w:t>
      </w:r>
      <w:r w:rsidR="00202128" w:rsidRPr="00A80134">
        <w:rPr>
          <w:rFonts w:eastAsia="Calibri"/>
          <w:bCs/>
          <w:lang w:eastAsia="es-ES_tradnl"/>
        </w:rPr>
        <w:t xml:space="preserve">el cambio de Modalidad de a información </w:t>
      </w:r>
      <w:r w:rsidRPr="00A80134">
        <w:rPr>
          <w:rFonts w:eastAsia="Calibri"/>
          <w:bCs/>
          <w:lang w:eastAsia="es-ES_tradnl"/>
        </w:rPr>
        <w:t>peticionada</w:t>
      </w:r>
      <w:r w:rsidR="00BB2B35" w:rsidRPr="00A80134">
        <w:rPr>
          <w:rFonts w:eastAsia="Calibri"/>
          <w:bCs/>
          <w:lang w:eastAsia="es-ES_tradnl"/>
        </w:rPr>
        <w:t>.</w:t>
      </w:r>
    </w:p>
    <w:p w14:paraId="2EA5E8BE" w14:textId="77777777" w:rsidR="00BB2B35" w:rsidRPr="00A80134" w:rsidRDefault="00BB2B35" w:rsidP="006A5AE1">
      <w:pPr>
        <w:tabs>
          <w:tab w:val="left" w:pos="4962"/>
        </w:tabs>
        <w:contextualSpacing/>
        <w:rPr>
          <w:rFonts w:eastAsia="Calibri"/>
          <w:bCs/>
          <w:lang w:eastAsia="es-ES_tradnl"/>
        </w:rPr>
      </w:pPr>
    </w:p>
    <w:p w14:paraId="4CC5E60A" w14:textId="154D6B7D" w:rsidR="00BB2B35" w:rsidRPr="00A80134" w:rsidRDefault="00BB2B35" w:rsidP="006A5AE1">
      <w:pPr>
        <w:tabs>
          <w:tab w:val="left" w:pos="4962"/>
        </w:tabs>
        <w:contextualSpacing/>
        <w:rPr>
          <w:rFonts w:eastAsia="Calibri"/>
          <w:bCs/>
          <w:lang w:eastAsia="es-ES_tradnl"/>
        </w:rPr>
      </w:pPr>
      <w:r w:rsidRPr="00A80134">
        <w:rPr>
          <w:rFonts w:eastAsia="Calibri"/>
          <w:bCs/>
          <w:lang w:eastAsia="es-ES_tradnl"/>
        </w:rPr>
        <w:t>Ahora bien, de</w:t>
      </w:r>
      <w:r w:rsidRPr="00A80134">
        <w:rPr>
          <w:rFonts w:eastAsia="Arial Unicode MS" w:cs="Arial"/>
        </w:rPr>
        <w:t xml:space="preserve"> acuerdo con las constancias digitales que obran en </w:t>
      </w:r>
      <w:r w:rsidRPr="00A80134">
        <w:rPr>
          <w:rFonts w:eastAsia="Arial Unicode MS" w:cs="Arial"/>
          <w:b/>
        </w:rPr>
        <w:t>EL</w:t>
      </w:r>
      <w:r w:rsidRPr="00A80134">
        <w:rPr>
          <w:rFonts w:eastAsia="Arial Unicode MS" w:cs="Arial"/>
        </w:rPr>
        <w:t xml:space="preserve"> </w:t>
      </w:r>
      <w:r w:rsidRPr="00A80134">
        <w:rPr>
          <w:rFonts w:eastAsia="Arial Unicode MS" w:cs="Arial"/>
          <w:b/>
        </w:rPr>
        <w:t>SAIMEX</w:t>
      </w:r>
      <w:r w:rsidRPr="00A80134">
        <w:rPr>
          <w:rFonts w:eastAsia="Arial Unicode MS" w:cs="Arial"/>
        </w:rPr>
        <w:t xml:space="preserve"> se desprende que conforme a lo dispuesto en el artículo 185 de la Ley de Transparencia local, dentro del término legalmente concedido a </w:t>
      </w:r>
      <w:r w:rsidRPr="00A80134">
        <w:rPr>
          <w:rFonts w:eastAsia="Calibri"/>
          <w:b/>
          <w:bCs/>
          <w:lang w:eastAsia="es-ES_tradnl"/>
        </w:rPr>
        <w:t>LA PARTE RECURRENTE</w:t>
      </w:r>
      <w:r w:rsidRPr="00A80134">
        <w:rPr>
          <w:rFonts w:eastAsia="Arial Unicode MS" w:cs="Arial"/>
        </w:rPr>
        <w:t xml:space="preserve">, ésta no realizó manifestación alguna, ni presentó pruebas o alegatos, así como tampoco </w:t>
      </w:r>
      <w:r w:rsidRPr="00A80134">
        <w:rPr>
          <w:rFonts w:eastAsia="Arial Unicode MS" w:cs="Arial"/>
          <w:b/>
          <w:lang w:eastAsia="es-MX"/>
        </w:rPr>
        <w:t>EL SUJETO OBLIGADO</w:t>
      </w:r>
      <w:r w:rsidRPr="00A80134">
        <w:rPr>
          <w:rFonts w:eastAsia="Arial Unicode MS" w:cs="Arial"/>
        </w:rPr>
        <w:t xml:space="preserve"> rindió su Informe Justificado</w:t>
      </w:r>
      <w:r w:rsidRPr="00A80134">
        <w:rPr>
          <w:rFonts w:eastAsia="Calibri"/>
          <w:bCs/>
          <w:lang w:eastAsia="es-ES_tradnl"/>
        </w:rPr>
        <w:t xml:space="preserve"> correspondiente.</w:t>
      </w:r>
    </w:p>
    <w:p w14:paraId="56215082" w14:textId="77777777" w:rsidR="00202128" w:rsidRPr="00A80134" w:rsidRDefault="00202128" w:rsidP="006A5AE1">
      <w:pPr>
        <w:tabs>
          <w:tab w:val="left" w:pos="4962"/>
        </w:tabs>
        <w:contextualSpacing/>
        <w:rPr>
          <w:rFonts w:eastAsia="Calibri"/>
          <w:bCs/>
          <w:lang w:eastAsia="es-ES_tradnl"/>
        </w:rPr>
      </w:pPr>
    </w:p>
    <w:p w14:paraId="1C578CB2" w14:textId="4D990B2B" w:rsidR="00BB2B35" w:rsidRPr="00A80134" w:rsidRDefault="00BB2B35" w:rsidP="006A5AE1">
      <w:pPr>
        <w:tabs>
          <w:tab w:val="left" w:pos="4962"/>
        </w:tabs>
        <w:contextualSpacing/>
        <w:rPr>
          <w:rFonts w:eastAsia="Calibri"/>
          <w:bCs/>
          <w:lang w:eastAsia="es-ES_tradnl"/>
        </w:rPr>
      </w:pPr>
      <w:r w:rsidRPr="00A80134">
        <w:t>Determinado lo anterior, es importante señalar que</w:t>
      </w:r>
      <w:r w:rsidR="005921F1" w:rsidRPr="00A80134">
        <w:t xml:space="preserve"> una vez admitido el recurso de revisión que nos ocupa,</w:t>
      </w:r>
      <w:r w:rsidRPr="00A80134">
        <w:t xml:space="preserve"> </w:t>
      </w:r>
      <w:r w:rsidRPr="00A80134">
        <w:rPr>
          <w:rFonts w:eastAsiaTheme="minorHAnsi" w:cs="Tahoma"/>
          <w:b/>
          <w:iCs/>
          <w:szCs w:val="22"/>
          <w:lang w:eastAsia="en-US"/>
        </w:rPr>
        <w:t>LA PARTE RECURRENTE</w:t>
      </w:r>
      <w:r w:rsidRPr="00A80134">
        <w:rPr>
          <w:rFonts w:eastAsiaTheme="minorHAnsi" w:cs="Tahoma"/>
          <w:bCs/>
          <w:iCs/>
          <w:szCs w:val="22"/>
          <w:lang w:eastAsia="en-US"/>
        </w:rPr>
        <w:t xml:space="preserve"> </w:t>
      </w:r>
      <w:r w:rsidRPr="00A80134">
        <w:rPr>
          <w:lang w:val="es-ES_tradnl"/>
        </w:rPr>
        <w:t xml:space="preserve">presentó el desistimiento expreso respecto al </w:t>
      </w:r>
      <w:r w:rsidRPr="00A80134">
        <w:rPr>
          <w:lang w:val="es-ES_tradnl"/>
        </w:rPr>
        <w:lastRenderedPageBreak/>
        <w:t>medio de impugnación que pretendía, como se aprecia en el análisis de los antecedentes de la presente resolución.</w:t>
      </w:r>
    </w:p>
    <w:p w14:paraId="2DDE85F5" w14:textId="77777777" w:rsidR="00BB2B35" w:rsidRPr="00A80134" w:rsidRDefault="00BB2B35" w:rsidP="006A5AE1">
      <w:pPr>
        <w:tabs>
          <w:tab w:val="left" w:pos="4962"/>
        </w:tabs>
        <w:contextualSpacing/>
        <w:rPr>
          <w:rFonts w:eastAsia="Calibri"/>
          <w:bCs/>
          <w:lang w:eastAsia="es-ES_tradnl"/>
        </w:rPr>
      </w:pPr>
    </w:p>
    <w:p w14:paraId="414FD2D5" w14:textId="4408E416" w:rsidR="00664420" w:rsidRPr="00A80134" w:rsidRDefault="00A21A20" w:rsidP="00404336">
      <w:pPr>
        <w:pStyle w:val="Ttulo3"/>
        <w:spacing w:line="360" w:lineRule="auto"/>
      </w:pPr>
      <w:bookmarkStart w:id="33" w:name="_Toc201768576"/>
      <w:r w:rsidRPr="00A80134">
        <w:t>c)</w:t>
      </w:r>
      <w:r w:rsidR="00664420" w:rsidRPr="00A80134">
        <w:t xml:space="preserve"> </w:t>
      </w:r>
      <w:r w:rsidRPr="00A80134">
        <w:t>Estudio de la controversia</w:t>
      </w:r>
      <w:bookmarkEnd w:id="33"/>
    </w:p>
    <w:p w14:paraId="358E9A09" w14:textId="0AFD30D5" w:rsidR="00A66442" w:rsidRPr="00A80134" w:rsidRDefault="001633CB" w:rsidP="00DC5D13">
      <w:pPr>
        <w:spacing w:after="100" w:afterAutospacing="1"/>
        <w:rPr>
          <w:rFonts w:eastAsia="Calibri" w:cs="Arial"/>
          <w:color w:val="000000" w:themeColor="text1"/>
        </w:rPr>
      </w:pPr>
      <w:r w:rsidRPr="00A80134">
        <w:rPr>
          <w:lang w:val="es-ES_tradnl"/>
        </w:rPr>
        <w:t>Así ante</w:t>
      </w:r>
      <w:r w:rsidR="00BB2B35" w:rsidRPr="00A80134">
        <w:rPr>
          <w:lang w:val="es-ES_tradnl"/>
        </w:rPr>
        <w:t xml:space="preserve"> </w:t>
      </w:r>
      <w:r w:rsidR="000E05F7" w:rsidRPr="00A80134">
        <w:rPr>
          <w:lang w:val="es-ES_tradnl"/>
        </w:rPr>
        <w:t xml:space="preserve">la manifestación del desistimiento expreso </w:t>
      </w:r>
      <w:r w:rsidR="00A66442" w:rsidRPr="00A80134">
        <w:rPr>
          <w:rFonts w:eastAsia="Calibri" w:cs="Arial"/>
          <w:color w:val="000000" w:themeColor="text1"/>
        </w:rPr>
        <w:t xml:space="preserve">es pertinente indicar que para que </w:t>
      </w:r>
      <w:r w:rsidR="00A66442" w:rsidRPr="00A80134">
        <w:rPr>
          <w:b/>
        </w:rPr>
        <w:t xml:space="preserve">LA PARTE RECURRENTE </w:t>
      </w:r>
      <w:r w:rsidR="00A66442" w:rsidRPr="00A80134">
        <w:rPr>
          <w:rFonts w:eastAsia="Calibri" w:cs="Arial"/>
          <w:color w:val="000000" w:themeColor="text1"/>
        </w:rPr>
        <w:t xml:space="preserve">pueda configurar de manera directa </w:t>
      </w:r>
      <w:r w:rsidR="000E05F7" w:rsidRPr="00A80134">
        <w:rPr>
          <w:rFonts w:eastAsia="Calibri" w:cs="Arial"/>
          <w:color w:val="000000" w:themeColor="text1"/>
        </w:rPr>
        <w:t>dicha</w:t>
      </w:r>
      <w:r w:rsidR="00A66442" w:rsidRPr="00A80134">
        <w:rPr>
          <w:rFonts w:eastAsia="Calibri" w:cs="Arial"/>
          <w:color w:val="000000" w:themeColor="text1"/>
        </w:rPr>
        <w:t xml:space="preserve"> figura, es necesario que ingrese al </w:t>
      </w:r>
      <w:r w:rsidR="00A66442" w:rsidRPr="00A80134">
        <w:rPr>
          <w:rFonts w:eastAsia="Calibri" w:cs="Arial"/>
          <w:b/>
          <w:color w:val="000000" w:themeColor="text1"/>
        </w:rPr>
        <w:t>SAIMEX</w:t>
      </w:r>
      <w:r w:rsidR="00A66442" w:rsidRPr="00A80134">
        <w:rPr>
          <w:rFonts w:eastAsia="Calibri" w:cs="Arial"/>
          <w:color w:val="000000" w:themeColor="text1"/>
        </w:rPr>
        <w:t xml:space="preserve"> mediante uso de su clave de usuario y contraseña, razón por la cual, no existe duda de que se trata de un desistimiento expreso.</w:t>
      </w:r>
    </w:p>
    <w:p w14:paraId="3AB82B41" w14:textId="77777777" w:rsidR="00A66442" w:rsidRPr="00A80134" w:rsidRDefault="00A66442" w:rsidP="00A66442">
      <w:pPr>
        <w:spacing w:before="100" w:beforeAutospacing="1" w:after="100" w:afterAutospacing="1"/>
        <w:rPr>
          <w:rFonts w:eastAsia="Calibri" w:cs="Arial"/>
          <w:color w:val="000000" w:themeColor="text1"/>
        </w:rPr>
      </w:pPr>
      <w:r w:rsidRPr="00A80134">
        <w:rPr>
          <w:rFonts w:eastAsia="Calibri" w:cs="Arial"/>
          <w:color w:val="000000" w:themeColor="text1"/>
        </w:rPr>
        <w:t xml:space="preserve">En ese orden de ideas, también es conveniente referir que la palabra desistir significa </w:t>
      </w:r>
      <w:r w:rsidRPr="00A80134">
        <w:rPr>
          <w:rFonts w:eastAsia="Calibri" w:cs="Arial"/>
          <w:i/>
          <w:color w:val="000000" w:themeColor="text1"/>
        </w:rPr>
        <w:t>“abdicar o abandonar un derecho o una acción procesal”</w:t>
      </w:r>
      <w:r w:rsidRPr="00A80134">
        <w:rPr>
          <w:rFonts w:eastAsia="Calibri" w:cs="Arial"/>
          <w:color w:val="000000" w:themeColor="text1"/>
        </w:rPr>
        <w:t>, tal y como lo señala el Diccionario de la Lengua Española</w:t>
      </w:r>
      <w:r w:rsidRPr="00A80134">
        <w:rPr>
          <w:vertAlign w:val="superscript"/>
        </w:rPr>
        <w:footnoteReference w:id="1"/>
      </w:r>
    </w:p>
    <w:p w14:paraId="46602A3D" w14:textId="77777777" w:rsidR="00A66442" w:rsidRPr="00A80134" w:rsidRDefault="00A66442" w:rsidP="00A66442">
      <w:pPr>
        <w:spacing w:before="100" w:beforeAutospacing="1" w:after="100" w:afterAutospacing="1"/>
        <w:rPr>
          <w:rFonts w:eastAsia="Calibri" w:cs="Arial"/>
          <w:color w:val="000000" w:themeColor="text1"/>
        </w:rPr>
      </w:pPr>
      <w:r w:rsidRPr="00A80134">
        <w:rPr>
          <w:rFonts w:eastAsia="Calibri"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724146E4" w14:textId="77777777" w:rsidR="00A66442" w:rsidRPr="00A80134" w:rsidRDefault="00A66442" w:rsidP="00FF1014">
      <w:pPr>
        <w:pStyle w:val="Puesto"/>
        <w:rPr>
          <w:rFonts w:eastAsia="Palatino Linotype"/>
        </w:rPr>
      </w:pPr>
      <w:r w:rsidRPr="00A80134">
        <w:rPr>
          <w:rFonts w:eastAsia="Palatino Linotype"/>
        </w:rPr>
        <w:t>“</w:t>
      </w:r>
      <w:r w:rsidRPr="00A80134">
        <w:rPr>
          <w:rFonts w:eastAsia="Palatino Linotype"/>
          <w:b/>
          <w:bCs/>
        </w:rPr>
        <w:t>DESISTIMIENTOS DE LA ACCION Y DE LA DEMANDA. DIFERENCIAS</w:t>
      </w:r>
      <w:r w:rsidRPr="00A80134">
        <w:rPr>
          <w:rFonts w:eastAsia="Palatino Linotype"/>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4D4985C6" w14:textId="77777777" w:rsidR="00A66442" w:rsidRPr="00A80134" w:rsidRDefault="00A66442" w:rsidP="00A66442">
      <w:pPr>
        <w:spacing w:before="100" w:beforeAutospacing="1" w:after="100" w:afterAutospacing="1"/>
        <w:rPr>
          <w:rFonts w:eastAsia="Calibri" w:cs="Arial"/>
          <w:color w:val="000000" w:themeColor="text1"/>
        </w:rPr>
      </w:pPr>
      <w:r w:rsidRPr="00A80134">
        <w:rPr>
          <w:rFonts w:eastAsia="Calibri" w:cs="Arial"/>
          <w:color w:val="000000" w:themeColor="text1"/>
        </w:rPr>
        <w:lastRenderedPageBreak/>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1C6FF336" w14:textId="77777777" w:rsidR="00202128" w:rsidRPr="00A80134" w:rsidRDefault="00202128" w:rsidP="001633CB">
      <w:pPr>
        <w:pStyle w:val="Puesto"/>
        <w:ind w:left="851" w:right="822"/>
        <w:rPr>
          <w:rFonts w:eastAsia="Palatino Linotype"/>
        </w:rPr>
      </w:pPr>
    </w:p>
    <w:p w14:paraId="189DDAF8" w14:textId="74E8A788" w:rsidR="00A66442" w:rsidRPr="00A80134" w:rsidRDefault="00A66442" w:rsidP="00FF1014">
      <w:pPr>
        <w:pStyle w:val="Puesto"/>
        <w:rPr>
          <w:b/>
        </w:rPr>
      </w:pPr>
      <w:r w:rsidRPr="00A80134">
        <w:rPr>
          <w:rFonts w:eastAsia="Palatino Linotype"/>
        </w:rPr>
        <w:t>“</w:t>
      </w:r>
      <w:r w:rsidRPr="00A80134">
        <w:rPr>
          <w:b/>
        </w:rPr>
        <w:t>Artículo 192. El recurso será sobreseído, en todo o en parte, cuando una vez admitido, se actualicen alguno de los siguientes supuestos:</w:t>
      </w:r>
    </w:p>
    <w:p w14:paraId="7AE60DFE" w14:textId="77777777" w:rsidR="00A66442" w:rsidRPr="00A80134" w:rsidRDefault="00A66442" w:rsidP="00FF1014">
      <w:pPr>
        <w:pStyle w:val="Puesto"/>
        <w:rPr>
          <w:b/>
        </w:rPr>
      </w:pPr>
      <w:r w:rsidRPr="00A80134">
        <w:rPr>
          <w:b/>
        </w:rPr>
        <w:t>I. El recurrente se desista expresamente del recurso;”</w:t>
      </w:r>
    </w:p>
    <w:p w14:paraId="66B3C86D" w14:textId="77777777" w:rsidR="00A66442" w:rsidRPr="00A80134" w:rsidRDefault="00A66442" w:rsidP="00A66442">
      <w:pPr>
        <w:spacing w:before="100" w:beforeAutospacing="1" w:after="100" w:afterAutospacing="1"/>
        <w:rPr>
          <w:rFonts w:eastAsia="Calibri" w:cs="Arial"/>
          <w:color w:val="000000" w:themeColor="text1"/>
        </w:rPr>
      </w:pPr>
      <w:r w:rsidRPr="00A80134">
        <w:rPr>
          <w:rFonts w:eastAsia="Calibri" w:cs="Arial"/>
          <w:color w:val="000000" w:themeColor="text1"/>
        </w:rPr>
        <w:t xml:space="preserve">En consecuencia, se determina </w:t>
      </w:r>
      <w:r w:rsidRPr="00A80134">
        <w:rPr>
          <w:rFonts w:eastAsia="Calibri" w:cs="Arial"/>
          <w:b/>
          <w:bCs/>
          <w:color w:val="000000" w:themeColor="text1"/>
        </w:rPr>
        <w:t>SOBRESEER</w:t>
      </w:r>
      <w:r w:rsidRPr="00A80134">
        <w:rPr>
          <w:rFonts w:eastAsia="Calibri" w:cs="Arial"/>
          <w:color w:val="000000" w:themeColor="text1"/>
        </w:rPr>
        <w:t xml:space="preserve"> el presente Recurso de Revisión, en términos del artículo 186, fracción I, de la Ley de Transparencia y Acceso a la Información Pública del Estado de México y Municipios:</w:t>
      </w:r>
    </w:p>
    <w:p w14:paraId="1A1CE0E1" w14:textId="77777777" w:rsidR="00A66442" w:rsidRPr="00A80134" w:rsidRDefault="00A66442" w:rsidP="00FF1014">
      <w:pPr>
        <w:pStyle w:val="Puesto"/>
      </w:pPr>
      <w:r w:rsidRPr="00A80134">
        <w:t>“</w:t>
      </w:r>
      <w:r w:rsidRPr="00A80134">
        <w:rPr>
          <w:b/>
        </w:rPr>
        <w:t>Artículo 186. Las resoluciones del Instituto podrán:</w:t>
      </w:r>
    </w:p>
    <w:p w14:paraId="60EBE510" w14:textId="77777777" w:rsidR="00A66442" w:rsidRPr="00A80134" w:rsidRDefault="00A66442" w:rsidP="00FF1014">
      <w:pPr>
        <w:pStyle w:val="Puesto"/>
      </w:pPr>
      <w:r w:rsidRPr="00A80134">
        <w:t xml:space="preserve">I. Desechar o </w:t>
      </w:r>
      <w:r w:rsidRPr="00A80134">
        <w:rPr>
          <w:b/>
        </w:rPr>
        <w:t>sobreseer el recurso</w:t>
      </w:r>
      <w:r w:rsidRPr="00A80134">
        <w:t>;”</w:t>
      </w:r>
    </w:p>
    <w:p w14:paraId="54BF8209" w14:textId="2D5DBD3A" w:rsidR="00A66442" w:rsidRPr="00A80134" w:rsidRDefault="00A66442" w:rsidP="00A66442">
      <w:pPr>
        <w:spacing w:before="100" w:beforeAutospacing="1" w:after="100" w:afterAutospacing="1"/>
        <w:rPr>
          <w:rFonts w:cs="Arial"/>
        </w:rPr>
      </w:pPr>
      <w:r w:rsidRPr="00A80134">
        <w:rPr>
          <w:rFonts w:cs="Arial"/>
        </w:rPr>
        <w:t xml:space="preserve">Derivado de lo anterior, es de referir que este Órgano Garante no se pronuncia sobre las razones o motivos de inconformidad expuestos por </w:t>
      </w:r>
      <w:r w:rsidR="000E05F7" w:rsidRPr="00A80134">
        <w:rPr>
          <w:b/>
        </w:rPr>
        <w:t>LA PARTE RECURRENTE</w:t>
      </w:r>
      <w:r w:rsidRPr="00A80134">
        <w:rPr>
          <w:rFonts w:cs="Arial"/>
        </w:rPr>
        <w:t xml:space="preserve">, toda vez que se infiere que al desistirse voluntariamente el pasado </w:t>
      </w:r>
      <w:r w:rsidR="000E05F7" w:rsidRPr="00A80134">
        <w:rPr>
          <w:rFonts w:cs="Arial"/>
          <w:b/>
        </w:rPr>
        <w:t>dieciocho de octubre</w:t>
      </w:r>
      <w:r w:rsidRPr="00A80134">
        <w:rPr>
          <w:rFonts w:cs="Arial"/>
          <w:b/>
        </w:rPr>
        <w:t xml:space="preserve"> de dos mil veinticuatro</w:t>
      </w:r>
      <w:r w:rsidRPr="00A80134">
        <w:rPr>
          <w:rFonts w:cs="Arial"/>
        </w:rPr>
        <w:t>, es aplicable la Tesis Aislada (Constitucional) de la Décima Época visible en el Semanario Judicial de la Federación, emitida por la Segunda Sala, CDXXV/2014 (10a.), con número de registro 2008086 cuyo rubro y texto establece lo siguiente:</w:t>
      </w:r>
    </w:p>
    <w:p w14:paraId="51EC6A56" w14:textId="77777777" w:rsidR="00A66442" w:rsidRPr="00A80134" w:rsidRDefault="00A66442" w:rsidP="00FF1014">
      <w:pPr>
        <w:pStyle w:val="Puesto"/>
        <w:rPr>
          <w:b/>
        </w:rPr>
      </w:pPr>
      <w:r w:rsidRPr="00A80134">
        <w:rPr>
          <w:rFonts w:eastAsia="Palatino Linotype"/>
        </w:rPr>
        <w:t>“</w:t>
      </w:r>
      <w:r w:rsidRPr="00A80134">
        <w:rPr>
          <w:rFonts w:eastAsia="Palatino Linotype"/>
          <w:b/>
        </w:rPr>
        <w:t xml:space="preserve">AUTONOMÍA DE LA </w:t>
      </w:r>
      <w:r w:rsidRPr="00A80134">
        <w:rPr>
          <w:b/>
        </w:rPr>
        <w:t>VOLUNTAD. ES UN PRINCIPIO DE RANGO CONSTITUCIONAL.</w:t>
      </w:r>
    </w:p>
    <w:p w14:paraId="2AB61ACB" w14:textId="44B07966" w:rsidR="00A66442" w:rsidRDefault="00A66442" w:rsidP="00FF1014">
      <w:pPr>
        <w:pStyle w:val="Puesto"/>
        <w:rPr>
          <w:rFonts w:cs="Arial"/>
        </w:rPr>
      </w:pPr>
      <w:r w:rsidRPr="00A80134">
        <w:t xml:space="preserve">A consideración de esta Primera Sala de la Suprema Corte de Justicia de la Nación, el </w:t>
      </w:r>
      <w:r w:rsidRPr="00A80134">
        <w:rPr>
          <w:b/>
        </w:rPr>
        <w:t>principio de autonomía de la voluntad</w:t>
      </w:r>
      <w:r w:rsidRPr="00A80134">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w:t>
      </w:r>
      <w:r w:rsidRPr="00A80134">
        <w:rPr>
          <w:rFonts w:eastAsia="Palatino Linotype"/>
        </w:rPr>
        <w:t xml:space="preserve"> de autonomía de la voluntad tiene reflejo en el derecho de propiedad y en la libertad de contratación, la cual también es un elemento central del libre desarrollo de la </w:t>
      </w:r>
      <w:r w:rsidRPr="00A80134">
        <w:rPr>
          <w:rFonts w:eastAsia="Palatino Linotype"/>
        </w:rPr>
        <w:lastRenderedPageBreak/>
        <w:t>personalidad, y en cuya virtud las partes de una relación jurídica son libres para gestionar su propio interés y regular sus relaciones, sin injerencias externas.</w:t>
      </w:r>
      <w:r w:rsidRPr="00A80134">
        <w:rPr>
          <w:rFonts w:cs="Arial"/>
        </w:rPr>
        <w:t xml:space="preserve"> </w:t>
      </w:r>
    </w:p>
    <w:p w14:paraId="3222AFF8" w14:textId="77777777" w:rsidR="004957C9" w:rsidRPr="004957C9" w:rsidRDefault="004957C9" w:rsidP="004957C9"/>
    <w:p w14:paraId="08265D41" w14:textId="1DC398BF" w:rsidR="00876DBC" w:rsidRPr="00A80134" w:rsidRDefault="004950BA" w:rsidP="00404336">
      <w:pPr>
        <w:pStyle w:val="Ttulo3"/>
        <w:spacing w:line="360" w:lineRule="auto"/>
      </w:pPr>
      <w:bookmarkStart w:id="34" w:name="_Toc201768577"/>
      <w:r w:rsidRPr="00A80134">
        <w:t>d</w:t>
      </w:r>
      <w:r w:rsidR="00A21A20" w:rsidRPr="00A80134">
        <w:t>) Conclusión</w:t>
      </w:r>
      <w:bookmarkEnd w:id="34"/>
    </w:p>
    <w:p w14:paraId="46D16A09" w14:textId="25E2C8E5" w:rsidR="00A66442" w:rsidRPr="00A80134" w:rsidRDefault="00A66442" w:rsidP="007648D4">
      <w:pPr>
        <w:widowControl w:val="0"/>
        <w:tabs>
          <w:tab w:val="left" w:pos="1701"/>
          <w:tab w:val="left" w:pos="1843"/>
        </w:tabs>
        <w:autoSpaceDE w:val="0"/>
        <w:autoSpaceDN w:val="0"/>
        <w:adjustRightInd w:val="0"/>
        <w:spacing w:after="240"/>
        <w:rPr>
          <w:rFonts w:cs="Arial"/>
        </w:rPr>
      </w:pPr>
      <w:r w:rsidRPr="00A80134">
        <w:rPr>
          <w:rFonts w:cs="Arial"/>
        </w:rPr>
        <w:t xml:space="preserve">De lo anteriormente citado, se concluye que la manifestación de la voluntad de </w:t>
      </w:r>
      <w:r w:rsidRPr="00A80134">
        <w:rPr>
          <w:b/>
        </w:rPr>
        <w:t>LA PARTE</w:t>
      </w:r>
      <w:r w:rsidRPr="00A80134">
        <w:rPr>
          <w:rFonts w:cs="Arial"/>
        </w:rPr>
        <w:t xml:space="preserve"> </w:t>
      </w:r>
      <w:r w:rsidRPr="00A80134">
        <w:rPr>
          <w:rFonts w:cs="Arial"/>
          <w:b/>
        </w:rPr>
        <w:t>RECURRENTE</w:t>
      </w:r>
      <w:r w:rsidRPr="00A80134">
        <w:rPr>
          <w:rFonts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6B187DC8" w14:textId="7A9FDA88" w:rsidR="002568F8" w:rsidRPr="00A80134" w:rsidRDefault="002568F8" w:rsidP="00404336">
      <w:pPr>
        <w:ind w:right="-93"/>
        <w:rPr>
          <w:rFonts w:cs="Tahoma"/>
          <w:bCs/>
          <w:szCs w:val="22"/>
        </w:rPr>
      </w:pPr>
      <w:r w:rsidRPr="00A80134">
        <w:rPr>
          <w:rFonts w:cs="Tahoma"/>
          <w:bCs/>
          <w:szCs w:val="22"/>
        </w:rPr>
        <w:t xml:space="preserve">Así, con fundamento en lo establecido en los artículos 5, </w:t>
      </w:r>
      <w:r w:rsidR="00E12CFA" w:rsidRPr="00A80134">
        <w:rPr>
          <w:szCs w:val="22"/>
        </w:rPr>
        <w:t xml:space="preserve">párrafos </w:t>
      </w:r>
      <w:r w:rsidR="00E12CFA" w:rsidRPr="00A80134">
        <w:rPr>
          <w:rFonts w:cs="Tahoma"/>
          <w:bCs/>
          <w:szCs w:val="22"/>
        </w:rPr>
        <w:t>trigésimo séptimo, trigésimo octavo y trigésimo noveno fracciones IV y V</w:t>
      </w:r>
      <w:r w:rsidRPr="00A8013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F2714A" w14:textId="77777777" w:rsidR="001633CB" w:rsidRPr="00A80134" w:rsidRDefault="001633CB" w:rsidP="00404336">
      <w:pPr>
        <w:ind w:right="-93"/>
        <w:rPr>
          <w:rFonts w:cs="Tahoma"/>
          <w:bCs/>
          <w:szCs w:val="22"/>
        </w:rPr>
      </w:pPr>
    </w:p>
    <w:p w14:paraId="5C396097" w14:textId="2AC71BBE" w:rsidR="00664420" w:rsidRPr="00A80134" w:rsidRDefault="00664420" w:rsidP="00404336">
      <w:pPr>
        <w:pStyle w:val="Ttulo1"/>
      </w:pPr>
      <w:bookmarkStart w:id="35" w:name="_Toc201768578"/>
      <w:r w:rsidRPr="00A80134">
        <w:t>RESUELVE</w:t>
      </w:r>
      <w:bookmarkEnd w:id="35"/>
    </w:p>
    <w:p w14:paraId="203B7093" w14:textId="77777777" w:rsidR="00664420" w:rsidRPr="00A80134" w:rsidRDefault="00664420" w:rsidP="00404336">
      <w:pPr>
        <w:ind w:right="113"/>
        <w:rPr>
          <w:rFonts w:cs="Arial"/>
          <w:b/>
          <w:szCs w:val="22"/>
        </w:rPr>
      </w:pPr>
    </w:p>
    <w:p w14:paraId="32FF5ED4" w14:textId="2B6FF3DA" w:rsidR="00424FF4" w:rsidRPr="00A80134" w:rsidRDefault="00424FF4" w:rsidP="00404336">
      <w:pPr>
        <w:widowControl w:val="0"/>
      </w:pPr>
      <w:r w:rsidRPr="00A80134">
        <w:rPr>
          <w:b/>
          <w:bCs/>
        </w:rPr>
        <w:t>PRIMERO</w:t>
      </w:r>
      <w:r w:rsidRPr="00A80134">
        <w:t xml:space="preserve">. Se </w:t>
      </w:r>
      <w:r w:rsidRPr="00A80134">
        <w:rPr>
          <w:b/>
          <w:bCs/>
        </w:rPr>
        <w:t>SOBRESEE</w:t>
      </w:r>
      <w:r w:rsidRPr="00A80134">
        <w:t xml:space="preserve"> el Recurso de Revisión número </w:t>
      </w:r>
      <w:r w:rsidR="008807B3" w:rsidRPr="00A80134">
        <w:rPr>
          <w:b/>
          <w:bCs/>
        </w:rPr>
        <w:t>06497/INFOEM/IP/RR/2025</w:t>
      </w:r>
      <w:r w:rsidRPr="00A80134">
        <w:t xml:space="preserve">, </w:t>
      </w:r>
      <w:r w:rsidR="00A66442" w:rsidRPr="00A80134">
        <w:t xml:space="preserve">en términos de lo establecido en el artículo 192 fracción I de la Ley de Transparencia y Acceso a la Información Pública del Estado de México y Municipios, </w:t>
      </w:r>
      <w:r w:rsidR="00A66442" w:rsidRPr="00A80134">
        <w:rPr>
          <w:b/>
        </w:rPr>
        <w:t xml:space="preserve">por haberse desistido expresamente </w:t>
      </w:r>
      <w:r w:rsidR="00A66442" w:rsidRPr="00A80134">
        <w:rPr>
          <w:b/>
          <w:bCs/>
        </w:rPr>
        <w:t>LA PARTE RECURRENTE</w:t>
      </w:r>
      <w:r w:rsidR="00A66442" w:rsidRPr="00A80134">
        <w:t xml:space="preserve">, en términos del Considerando </w:t>
      </w:r>
      <w:r w:rsidR="00A66442" w:rsidRPr="00A80134">
        <w:rPr>
          <w:b/>
          <w:bCs/>
        </w:rPr>
        <w:t>SEGUNDO</w:t>
      </w:r>
      <w:r w:rsidR="00A66442" w:rsidRPr="00A80134">
        <w:t xml:space="preserve"> de la presente resolución.</w:t>
      </w:r>
    </w:p>
    <w:p w14:paraId="473F5509" w14:textId="77777777" w:rsidR="001935F6" w:rsidRPr="00A80134" w:rsidRDefault="001935F6" w:rsidP="00404336">
      <w:pPr>
        <w:widowControl w:val="0"/>
      </w:pPr>
    </w:p>
    <w:p w14:paraId="4E565BE3" w14:textId="41834481" w:rsidR="00424FF4" w:rsidRPr="00A80134" w:rsidRDefault="00424FF4" w:rsidP="00404336">
      <w:pPr>
        <w:widowControl w:val="0"/>
      </w:pPr>
      <w:r w:rsidRPr="00A80134">
        <w:rPr>
          <w:b/>
          <w:bCs/>
        </w:rPr>
        <w:t>SEGUNDO</w:t>
      </w:r>
      <w:r w:rsidRPr="00A80134">
        <w:t xml:space="preserve">. Notifíquese vía Sistema de Acceso a la Información Mexiquense </w:t>
      </w:r>
      <w:r w:rsidR="00404336" w:rsidRPr="00A80134">
        <w:rPr>
          <w:b/>
        </w:rPr>
        <w:t>(</w:t>
      </w:r>
      <w:r w:rsidRPr="00A80134">
        <w:rPr>
          <w:b/>
          <w:bCs/>
        </w:rPr>
        <w:t>SAIMEX</w:t>
      </w:r>
      <w:r w:rsidR="00404336" w:rsidRPr="00A80134">
        <w:rPr>
          <w:b/>
          <w:bCs/>
        </w:rPr>
        <w:t>)</w:t>
      </w:r>
      <w:r w:rsidRPr="00A80134">
        <w:t xml:space="preserve"> a la Titular de la Unidad de Transparencia del </w:t>
      </w:r>
      <w:r w:rsidRPr="00A80134">
        <w:rPr>
          <w:b/>
          <w:bCs/>
        </w:rPr>
        <w:t>SUJETO</w:t>
      </w:r>
      <w:r w:rsidRPr="00A80134">
        <w:t xml:space="preserve"> </w:t>
      </w:r>
      <w:r w:rsidRPr="00A80134">
        <w:rPr>
          <w:b/>
          <w:bCs/>
        </w:rPr>
        <w:t>OBLIGADO</w:t>
      </w:r>
      <w:r w:rsidRPr="00A80134">
        <w:t xml:space="preserve"> para su conocimiento. </w:t>
      </w:r>
    </w:p>
    <w:p w14:paraId="5C2C6D02" w14:textId="5AB7140D" w:rsidR="00404336" w:rsidRPr="00A80134" w:rsidRDefault="00404336" w:rsidP="00404336">
      <w:r w:rsidRPr="00A80134">
        <w:rPr>
          <w:b/>
          <w:bCs/>
        </w:rPr>
        <w:lastRenderedPageBreak/>
        <w:t>TERCERO.</w:t>
      </w:r>
      <w:r w:rsidRPr="00A80134">
        <w:t xml:space="preserve"> </w:t>
      </w:r>
      <w:r w:rsidRPr="00A80134">
        <w:rPr>
          <w:b/>
          <w:szCs w:val="17"/>
          <w:lang w:eastAsia="es-ES_tradnl"/>
        </w:rPr>
        <w:t>Notifíquese</w:t>
      </w:r>
      <w:r w:rsidRPr="00A80134">
        <w:rPr>
          <w:szCs w:val="17"/>
          <w:lang w:eastAsia="es-ES_tradnl"/>
        </w:rPr>
        <w:t xml:space="preserve"> a </w:t>
      </w:r>
      <w:r w:rsidR="00A66442" w:rsidRPr="00A80134">
        <w:rPr>
          <w:b/>
          <w:bCs/>
        </w:rPr>
        <w:t>LA PARTE RECURRENTE</w:t>
      </w:r>
      <w:r w:rsidRPr="00A80134">
        <w:rPr>
          <w:szCs w:val="17"/>
          <w:lang w:eastAsia="es-ES_tradnl"/>
        </w:rPr>
        <w:t xml:space="preserve"> la presente resolución vía </w:t>
      </w:r>
      <w:r w:rsidRPr="00A80134">
        <w:rPr>
          <w:rFonts w:cs="Arial"/>
        </w:rPr>
        <w:t xml:space="preserve">Sistema de Acceso a la Información Mexiquense </w:t>
      </w:r>
      <w:r w:rsidRPr="00A80134">
        <w:rPr>
          <w:rFonts w:cs="Arial"/>
          <w:b/>
        </w:rPr>
        <w:t>(</w:t>
      </w:r>
      <w:r w:rsidRPr="00A80134">
        <w:rPr>
          <w:rFonts w:cs="Arial"/>
          <w:b/>
          <w:bCs/>
        </w:rPr>
        <w:t>SAIMEX)</w:t>
      </w:r>
      <w:r w:rsidRPr="00A80134">
        <w:t>.</w:t>
      </w:r>
    </w:p>
    <w:p w14:paraId="74F2641B" w14:textId="77777777" w:rsidR="00FF1014" w:rsidRPr="00A80134" w:rsidRDefault="00FF1014" w:rsidP="00404336"/>
    <w:p w14:paraId="60E22F9B" w14:textId="74D79E0B" w:rsidR="00404336" w:rsidRPr="00A80134" w:rsidRDefault="00404336" w:rsidP="00404336">
      <w:r w:rsidRPr="00A80134">
        <w:rPr>
          <w:b/>
          <w:bCs/>
        </w:rPr>
        <w:t>CUARTO</w:t>
      </w:r>
      <w:r w:rsidRPr="00A80134">
        <w:t xml:space="preserve">. </w:t>
      </w:r>
      <w:r w:rsidRPr="00A80134">
        <w:rPr>
          <w:b/>
          <w:lang w:eastAsia="es-ES_tradnl"/>
        </w:rPr>
        <w:t>Hágase</w:t>
      </w:r>
      <w:r w:rsidRPr="00A80134">
        <w:rPr>
          <w:lang w:eastAsia="es-ES_tradnl"/>
        </w:rPr>
        <w:t xml:space="preserve"> </w:t>
      </w:r>
      <w:r w:rsidRPr="00A80134">
        <w:rPr>
          <w:b/>
          <w:lang w:eastAsia="es-ES_tradnl"/>
        </w:rPr>
        <w:t xml:space="preserve">del </w:t>
      </w:r>
      <w:r w:rsidRPr="00A80134">
        <w:rPr>
          <w:b/>
        </w:rPr>
        <w:t>conocimiento</w:t>
      </w:r>
      <w:r w:rsidRPr="00A80134">
        <w:rPr>
          <w:b/>
          <w:lang w:eastAsia="es-ES_tradnl"/>
        </w:rPr>
        <w:t xml:space="preserve"> </w:t>
      </w:r>
      <w:r w:rsidRPr="00A80134">
        <w:rPr>
          <w:lang w:eastAsia="es-ES_tradnl"/>
        </w:rPr>
        <w:t xml:space="preserve">de </w:t>
      </w:r>
      <w:r w:rsidR="00A66442" w:rsidRPr="00A80134">
        <w:rPr>
          <w:b/>
          <w:lang w:eastAsia="es-ES_tradnl"/>
        </w:rPr>
        <w:t>LA PARTE RECURRENTE</w:t>
      </w:r>
      <w:r w:rsidRPr="00A80134">
        <w:rPr>
          <w:lang w:eastAsia="es-ES_tradnl"/>
        </w:rPr>
        <w:t xml:space="preserve">, que de </w:t>
      </w:r>
      <w:r w:rsidRPr="00A80134">
        <w:t>conformidad</w:t>
      </w:r>
      <w:r w:rsidRPr="00A80134">
        <w:rPr>
          <w:lang w:eastAsia="es-ES_tradnl"/>
        </w:rPr>
        <w:t xml:space="preserve"> </w:t>
      </w:r>
      <w:r w:rsidRPr="00A80134">
        <w:rPr>
          <w:rFonts w:cs="Arial"/>
        </w:rPr>
        <w:t>con</w:t>
      </w:r>
      <w:r w:rsidRPr="00A80134">
        <w:rPr>
          <w:lang w:eastAsia="es-ES_tradnl"/>
        </w:rPr>
        <w:t xml:space="preserve"> lo </w:t>
      </w:r>
      <w:r w:rsidRPr="00A80134">
        <w:rPr>
          <w:rFonts w:cs="Arial"/>
        </w:rPr>
        <w:t>establecido</w:t>
      </w:r>
      <w:r w:rsidRPr="00A80134">
        <w:rPr>
          <w:lang w:eastAsia="es-ES_tradnl"/>
        </w:rPr>
        <w:t xml:space="preserve"> en el artículo 196 de la Ley de Transparencia y Acceso a la Información Pública del Estado de México y Municipios, podrá impugnarla vía Juicio de Amparo en los términos de las leyes aplicables</w:t>
      </w:r>
      <w:r w:rsidRPr="00A80134">
        <w:t>.</w:t>
      </w:r>
    </w:p>
    <w:p w14:paraId="0410B440" w14:textId="2761E981" w:rsidR="00404336" w:rsidRPr="00A80134" w:rsidRDefault="00404336">
      <w:pPr>
        <w:spacing w:after="160" w:line="259" w:lineRule="auto"/>
        <w:jc w:val="left"/>
        <w:rPr>
          <w:b/>
          <w:bCs/>
        </w:rPr>
      </w:pPr>
    </w:p>
    <w:p w14:paraId="719A5C63" w14:textId="4C8C0182" w:rsidR="00664420" w:rsidRPr="00A80134" w:rsidRDefault="004957C9" w:rsidP="00404336">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A80134">
        <w:rPr>
          <w:rFonts w:eastAsia="Palatino Linotype" w:cs="Palatino Linotype"/>
          <w:szCs w:val="22"/>
        </w:rPr>
        <w:t>.</w:t>
      </w:r>
    </w:p>
    <w:p w14:paraId="7072FC1E" w14:textId="585D3D53" w:rsidR="007476F0" w:rsidRPr="00A80134" w:rsidRDefault="007476F0" w:rsidP="00404336">
      <w:pPr>
        <w:ind w:right="-93"/>
        <w:rPr>
          <w:rFonts w:eastAsia="Calibri" w:cs="Tahoma"/>
          <w:bCs/>
          <w:szCs w:val="22"/>
          <w:lang w:val="es-419" w:eastAsia="en-US"/>
        </w:rPr>
      </w:pPr>
      <w:r w:rsidRPr="00A80134">
        <w:rPr>
          <w:rFonts w:eastAsia="Calibri" w:cs="Tahoma"/>
          <w:bCs/>
          <w:szCs w:val="22"/>
          <w:lang w:val="es-ES_tradnl" w:eastAsia="en-US"/>
        </w:rPr>
        <w:t>SCMM/AGZ/DEMF/</w:t>
      </w:r>
      <w:r w:rsidR="00B539A9" w:rsidRPr="00A80134">
        <w:rPr>
          <w:rFonts w:eastAsia="Calibri" w:cs="Tahoma"/>
          <w:bCs/>
          <w:szCs w:val="22"/>
          <w:lang w:val="es-419" w:eastAsia="en-US"/>
        </w:rPr>
        <w:t>CMP</w:t>
      </w:r>
    </w:p>
    <w:p w14:paraId="49D72DA3" w14:textId="77777777" w:rsidR="00664420" w:rsidRPr="00A80134" w:rsidRDefault="00664420" w:rsidP="00404336">
      <w:pPr>
        <w:ind w:right="-93"/>
        <w:rPr>
          <w:rFonts w:eastAsia="Calibri" w:cs="Tahoma"/>
          <w:bCs/>
          <w:szCs w:val="22"/>
          <w:lang w:eastAsia="en-US"/>
        </w:rPr>
      </w:pPr>
    </w:p>
    <w:p w14:paraId="5EFEA0CD" w14:textId="77777777" w:rsidR="00664420" w:rsidRPr="00A80134" w:rsidRDefault="00664420" w:rsidP="00404336">
      <w:pPr>
        <w:ind w:right="-93"/>
        <w:rPr>
          <w:rFonts w:eastAsia="Calibri" w:cs="Tahoma"/>
          <w:szCs w:val="22"/>
          <w:lang w:val="es-ES"/>
        </w:rPr>
      </w:pPr>
    </w:p>
    <w:p w14:paraId="696BC976" w14:textId="77777777" w:rsidR="00664420" w:rsidRPr="00A80134" w:rsidRDefault="00664420" w:rsidP="00404336">
      <w:pPr>
        <w:ind w:right="-93"/>
        <w:rPr>
          <w:rFonts w:eastAsia="Calibri" w:cs="Tahoma"/>
          <w:bCs/>
          <w:szCs w:val="22"/>
          <w:lang w:val="es-ES" w:eastAsia="en-US"/>
        </w:rPr>
      </w:pPr>
    </w:p>
    <w:p w14:paraId="671CB0C5" w14:textId="77777777" w:rsidR="00664420" w:rsidRPr="00A80134" w:rsidRDefault="00664420" w:rsidP="00404336">
      <w:pPr>
        <w:ind w:right="-93"/>
        <w:rPr>
          <w:rFonts w:eastAsia="Calibri" w:cs="Tahoma"/>
          <w:bCs/>
          <w:szCs w:val="22"/>
          <w:lang w:val="es-ES_tradnl" w:eastAsia="en-US"/>
        </w:rPr>
      </w:pPr>
    </w:p>
    <w:p w14:paraId="52B66DE7" w14:textId="77777777" w:rsidR="00664420" w:rsidRPr="00A80134" w:rsidRDefault="00664420" w:rsidP="00404336">
      <w:pPr>
        <w:ind w:right="-93"/>
        <w:rPr>
          <w:rFonts w:eastAsia="Calibri" w:cs="Tahoma"/>
          <w:bCs/>
          <w:szCs w:val="22"/>
          <w:lang w:val="es-ES_tradnl" w:eastAsia="en-US"/>
        </w:rPr>
      </w:pPr>
    </w:p>
    <w:p w14:paraId="3BA305D1" w14:textId="77777777" w:rsidR="00664420" w:rsidRPr="00A80134" w:rsidRDefault="00664420" w:rsidP="00404336">
      <w:pPr>
        <w:ind w:right="-93"/>
        <w:rPr>
          <w:rFonts w:eastAsia="Calibri" w:cs="Tahoma"/>
          <w:bCs/>
          <w:szCs w:val="22"/>
          <w:lang w:val="es-ES_tradnl" w:eastAsia="en-US"/>
        </w:rPr>
      </w:pPr>
    </w:p>
    <w:p w14:paraId="78230707" w14:textId="77777777" w:rsidR="00664420" w:rsidRPr="00A80134" w:rsidRDefault="00664420" w:rsidP="00404336">
      <w:pPr>
        <w:ind w:right="-93"/>
        <w:rPr>
          <w:rFonts w:eastAsia="Calibri" w:cs="Tahoma"/>
          <w:bCs/>
          <w:szCs w:val="22"/>
          <w:lang w:val="es-ES_tradnl" w:eastAsia="en-US"/>
        </w:rPr>
      </w:pPr>
    </w:p>
    <w:p w14:paraId="72D18B28" w14:textId="77777777" w:rsidR="00664420" w:rsidRPr="00A80134" w:rsidRDefault="00664420" w:rsidP="00404336">
      <w:pPr>
        <w:ind w:right="-93"/>
        <w:rPr>
          <w:rFonts w:eastAsia="Calibri" w:cs="Tahoma"/>
          <w:bCs/>
          <w:szCs w:val="22"/>
          <w:lang w:val="es-ES_tradnl" w:eastAsia="en-US"/>
        </w:rPr>
      </w:pPr>
    </w:p>
    <w:p w14:paraId="6BD461DC" w14:textId="77777777" w:rsidR="00664420" w:rsidRPr="00A80134" w:rsidRDefault="00664420" w:rsidP="00404336">
      <w:pPr>
        <w:tabs>
          <w:tab w:val="center" w:pos="4568"/>
        </w:tabs>
        <w:ind w:right="-93"/>
        <w:rPr>
          <w:rFonts w:eastAsia="Calibri" w:cs="Tahoma"/>
          <w:bCs/>
          <w:szCs w:val="22"/>
          <w:lang w:eastAsia="en-US"/>
        </w:rPr>
      </w:pPr>
    </w:p>
    <w:p w14:paraId="4DBB1727" w14:textId="77777777" w:rsidR="00664420" w:rsidRPr="00A80134" w:rsidRDefault="00664420" w:rsidP="00404336">
      <w:pPr>
        <w:tabs>
          <w:tab w:val="center" w:pos="4568"/>
        </w:tabs>
        <w:ind w:right="-93"/>
        <w:rPr>
          <w:rFonts w:eastAsia="Calibri" w:cs="Tahoma"/>
          <w:bCs/>
          <w:szCs w:val="22"/>
          <w:lang w:eastAsia="en-US"/>
        </w:rPr>
      </w:pPr>
    </w:p>
    <w:p w14:paraId="1D74121B" w14:textId="77777777" w:rsidR="00664420" w:rsidRPr="00A80134" w:rsidRDefault="00664420" w:rsidP="00404336">
      <w:pPr>
        <w:tabs>
          <w:tab w:val="center" w:pos="4568"/>
        </w:tabs>
        <w:ind w:right="-93"/>
        <w:rPr>
          <w:rFonts w:eastAsia="Calibri" w:cs="Tahoma"/>
          <w:bCs/>
          <w:szCs w:val="22"/>
          <w:lang w:eastAsia="en-US"/>
        </w:rPr>
      </w:pPr>
    </w:p>
    <w:p w14:paraId="08E74E9C" w14:textId="77777777" w:rsidR="00664420" w:rsidRPr="00A80134" w:rsidRDefault="00664420" w:rsidP="00404336">
      <w:pPr>
        <w:tabs>
          <w:tab w:val="center" w:pos="4568"/>
        </w:tabs>
        <w:ind w:right="-93"/>
        <w:rPr>
          <w:rFonts w:eastAsia="Calibri" w:cs="Tahoma"/>
          <w:bCs/>
          <w:szCs w:val="22"/>
          <w:lang w:eastAsia="en-US"/>
        </w:rPr>
      </w:pPr>
    </w:p>
    <w:p w14:paraId="2CBF5E03" w14:textId="77777777" w:rsidR="00664420" w:rsidRPr="00A80134" w:rsidRDefault="00664420" w:rsidP="00404336">
      <w:pPr>
        <w:tabs>
          <w:tab w:val="center" w:pos="4568"/>
        </w:tabs>
        <w:ind w:right="-93"/>
        <w:rPr>
          <w:rFonts w:eastAsia="Calibri" w:cs="Tahoma"/>
          <w:bCs/>
          <w:szCs w:val="22"/>
          <w:lang w:eastAsia="en-US"/>
        </w:rPr>
      </w:pPr>
    </w:p>
    <w:p w14:paraId="44865A6D" w14:textId="77777777" w:rsidR="00664420" w:rsidRPr="00A80134" w:rsidRDefault="00664420" w:rsidP="00404336">
      <w:pPr>
        <w:tabs>
          <w:tab w:val="center" w:pos="4568"/>
        </w:tabs>
        <w:ind w:right="-93"/>
        <w:rPr>
          <w:rFonts w:eastAsia="Calibri" w:cs="Tahoma"/>
          <w:bCs/>
          <w:szCs w:val="22"/>
          <w:lang w:eastAsia="en-US"/>
        </w:rPr>
      </w:pPr>
    </w:p>
    <w:p w14:paraId="7147F06B" w14:textId="77777777" w:rsidR="00664420" w:rsidRPr="00A80134" w:rsidRDefault="00664420" w:rsidP="00404336">
      <w:pPr>
        <w:tabs>
          <w:tab w:val="center" w:pos="4568"/>
        </w:tabs>
        <w:ind w:right="-93"/>
        <w:rPr>
          <w:rFonts w:eastAsia="Calibri" w:cs="Tahoma"/>
          <w:bCs/>
          <w:szCs w:val="22"/>
          <w:lang w:eastAsia="en-US"/>
        </w:rPr>
      </w:pPr>
    </w:p>
    <w:p w14:paraId="6FDF3D7E" w14:textId="77777777" w:rsidR="00664420" w:rsidRPr="00A80134" w:rsidRDefault="00664420" w:rsidP="00404336">
      <w:pPr>
        <w:tabs>
          <w:tab w:val="center" w:pos="4568"/>
        </w:tabs>
        <w:ind w:right="-93"/>
        <w:rPr>
          <w:rFonts w:eastAsia="Calibri" w:cs="Tahoma"/>
          <w:bCs/>
          <w:szCs w:val="22"/>
          <w:lang w:eastAsia="en-US"/>
        </w:rPr>
      </w:pPr>
    </w:p>
    <w:p w14:paraId="6246F818" w14:textId="77777777" w:rsidR="00664420" w:rsidRPr="00A80134" w:rsidRDefault="00664420" w:rsidP="00404336">
      <w:pPr>
        <w:tabs>
          <w:tab w:val="center" w:pos="4568"/>
        </w:tabs>
        <w:ind w:right="-93"/>
        <w:rPr>
          <w:rFonts w:eastAsia="Calibri" w:cs="Tahoma"/>
          <w:bCs/>
          <w:szCs w:val="22"/>
          <w:lang w:eastAsia="en-US"/>
        </w:rPr>
      </w:pPr>
    </w:p>
    <w:p w14:paraId="57A88B28" w14:textId="77777777" w:rsidR="00664420" w:rsidRPr="00A80134" w:rsidRDefault="00664420" w:rsidP="00404336">
      <w:pPr>
        <w:tabs>
          <w:tab w:val="center" w:pos="4568"/>
        </w:tabs>
        <w:ind w:right="-93"/>
        <w:rPr>
          <w:rFonts w:eastAsia="Calibri" w:cs="Tahoma"/>
          <w:bCs/>
          <w:szCs w:val="22"/>
          <w:lang w:eastAsia="en-US"/>
        </w:rPr>
      </w:pPr>
    </w:p>
    <w:p w14:paraId="77EF6095" w14:textId="77777777" w:rsidR="00664420" w:rsidRPr="00A80134" w:rsidRDefault="00664420" w:rsidP="00404336">
      <w:pPr>
        <w:tabs>
          <w:tab w:val="center" w:pos="4568"/>
        </w:tabs>
        <w:ind w:right="-93"/>
        <w:rPr>
          <w:rFonts w:eastAsia="Calibri" w:cs="Tahoma"/>
          <w:bCs/>
          <w:szCs w:val="22"/>
          <w:lang w:eastAsia="en-US"/>
        </w:rPr>
      </w:pPr>
    </w:p>
    <w:p w14:paraId="35593947" w14:textId="77777777" w:rsidR="00664420" w:rsidRPr="00A80134" w:rsidRDefault="00664420" w:rsidP="00404336">
      <w:pPr>
        <w:tabs>
          <w:tab w:val="center" w:pos="4568"/>
        </w:tabs>
        <w:ind w:right="-93"/>
        <w:rPr>
          <w:rFonts w:eastAsia="Calibri" w:cs="Tahoma"/>
          <w:bCs/>
          <w:szCs w:val="22"/>
          <w:lang w:eastAsia="en-US"/>
        </w:rPr>
      </w:pPr>
    </w:p>
    <w:p w14:paraId="3AF72A17" w14:textId="77777777" w:rsidR="00664420" w:rsidRPr="00A80134" w:rsidRDefault="00664420" w:rsidP="00404336">
      <w:pPr>
        <w:tabs>
          <w:tab w:val="center" w:pos="4568"/>
        </w:tabs>
        <w:ind w:right="-93"/>
        <w:rPr>
          <w:rFonts w:eastAsia="Calibri" w:cs="Tahoma"/>
          <w:bCs/>
          <w:szCs w:val="22"/>
          <w:lang w:eastAsia="en-US"/>
        </w:rPr>
      </w:pPr>
    </w:p>
    <w:p w14:paraId="37169144" w14:textId="77777777" w:rsidR="00664420" w:rsidRPr="00A80134" w:rsidRDefault="00664420" w:rsidP="00404336">
      <w:pPr>
        <w:tabs>
          <w:tab w:val="center" w:pos="4568"/>
        </w:tabs>
        <w:ind w:right="-93"/>
        <w:rPr>
          <w:rFonts w:eastAsia="Calibri" w:cs="Tahoma"/>
          <w:bCs/>
          <w:szCs w:val="22"/>
          <w:lang w:eastAsia="en-US"/>
        </w:rPr>
      </w:pPr>
    </w:p>
    <w:p w14:paraId="77CFC088" w14:textId="77777777" w:rsidR="00664420" w:rsidRPr="00A80134" w:rsidRDefault="00664420" w:rsidP="00404336">
      <w:pPr>
        <w:tabs>
          <w:tab w:val="center" w:pos="4568"/>
        </w:tabs>
        <w:ind w:right="-93"/>
        <w:rPr>
          <w:rFonts w:eastAsia="Calibri" w:cs="Tahoma"/>
          <w:bCs/>
          <w:szCs w:val="22"/>
          <w:lang w:eastAsia="en-US"/>
        </w:rPr>
      </w:pPr>
    </w:p>
    <w:p w14:paraId="781A11A5" w14:textId="77777777" w:rsidR="00664420" w:rsidRPr="00A80134" w:rsidRDefault="00664420" w:rsidP="00404336">
      <w:pPr>
        <w:tabs>
          <w:tab w:val="center" w:pos="4568"/>
        </w:tabs>
        <w:ind w:right="-93"/>
        <w:rPr>
          <w:rFonts w:eastAsia="Calibri" w:cs="Tahoma"/>
          <w:bCs/>
          <w:szCs w:val="22"/>
          <w:lang w:eastAsia="en-US"/>
        </w:rPr>
      </w:pPr>
    </w:p>
    <w:p w14:paraId="5B4ADFF3" w14:textId="77777777" w:rsidR="00A131AC" w:rsidRPr="00A80134" w:rsidRDefault="00A131AC" w:rsidP="00404336"/>
    <w:sectPr w:rsidR="00A131AC" w:rsidRPr="00A80134"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77001" w14:textId="77777777" w:rsidR="00CE3C3A" w:rsidRDefault="00CE3C3A" w:rsidP="00664420">
      <w:pPr>
        <w:spacing w:line="240" w:lineRule="auto"/>
      </w:pPr>
      <w:r>
        <w:separator/>
      </w:r>
    </w:p>
  </w:endnote>
  <w:endnote w:type="continuationSeparator" w:id="0">
    <w:p w14:paraId="3B037499" w14:textId="77777777" w:rsidR="00CE3C3A" w:rsidRDefault="00CE3C3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502A3" w:rsidRDefault="00A502A3">
    <w:pPr>
      <w:tabs>
        <w:tab w:val="center" w:pos="4550"/>
        <w:tab w:val="left" w:pos="5818"/>
      </w:tabs>
      <w:ind w:right="260"/>
      <w:jc w:val="right"/>
      <w:rPr>
        <w:color w:val="071320" w:themeColor="text2" w:themeShade="80"/>
        <w:sz w:val="24"/>
        <w:szCs w:val="24"/>
      </w:rPr>
    </w:pPr>
  </w:p>
  <w:p w14:paraId="1BCA7F23" w14:textId="77777777" w:rsidR="00A502A3" w:rsidRDefault="00A502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46DF6FC" w:rsidR="00A502A3" w:rsidRDefault="00A502A3">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D0EE9" w:rsidRPr="00DD0EE9">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D0EE9" w:rsidRPr="00DD0EE9">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A502A3" w:rsidRDefault="00A502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0A4F0" w14:textId="77777777" w:rsidR="00CE3C3A" w:rsidRDefault="00CE3C3A" w:rsidP="00664420">
      <w:pPr>
        <w:spacing w:line="240" w:lineRule="auto"/>
      </w:pPr>
      <w:r>
        <w:separator/>
      </w:r>
    </w:p>
  </w:footnote>
  <w:footnote w:type="continuationSeparator" w:id="0">
    <w:p w14:paraId="3565A2EE" w14:textId="77777777" w:rsidR="00CE3C3A" w:rsidRDefault="00CE3C3A" w:rsidP="00664420">
      <w:pPr>
        <w:spacing w:line="240" w:lineRule="auto"/>
      </w:pPr>
      <w:r>
        <w:continuationSeparator/>
      </w:r>
    </w:p>
  </w:footnote>
  <w:footnote w:id="1">
    <w:p w14:paraId="6915A5A4" w14:textId="77777777" w:rsidR="00A502A3" w:rsidRDefault="00A502A3" w:rsidP="00A66442">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502A3" w:rsidRPr="00330DA7" w14:paraId="070A4B18" w14:textId="77777777" w:rsidTr="003F35FD">
      <w:trPr>
        <w:trHeight w:val="144"/>
        <w:jc w:val="right"/>
      </w:trPr>
      <w:tc>
        <w:tcPr>
          <w:tcW w:w="2727" w:type="dxa"/>
        </w:tcPr>
        <w:p w14:paraId="62B7493A" w14:textId="77777777" w:rsidR="00A502A3" w:rsidRPr="00330DA7" w:rsidRDefault="00A502A3" w:rsidP="00F03E3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312583C" w:rsidR="00A502A3" w:rsidRPr="00A90C72" w:rsidRDefault="00A502A3" w:rsidP="00F03E35">
          <w:pPr>
            <w:tabs>
              <w:tab w:val="right" w:pos="8838"/>
            </w:tabs>
            <w:spacing w:line="276" w:lineRule="auto"/>
            <w:ind w:left="-74" w:right="-105"/>
            <w:rPr>
              <w:rFonts w:eastAsia="Calibri" w:cs="Tahoma"/>
              <w:szCs w:val="22"/>
              <w:lang w:eastAsia="en-US"/>
            </w:rPr>
          </w:pPr>
          <w:r w:rsidRPr="008807B3">
            <w:rPr>
              <w:rFonts w:eastAsia="Calibri" w:cs="Tahoma"/>
              <w:szCs w:val="22"/>
              <w:lang w:eastAsia="en-US"/>
            </w:rPr>
            <w:t>06497/INFOEM/IP/RR/2025</w:t>
          </w:r>
        </w:p>
      </w:tc>
    </w:tr>
    <w:tr w:rsidR="00A502A3" w:rsidRPr="00330DA7" w14:paraId="4521E058" w14:textId="77777777" w:rsidTr="003F35FD">
      <w:trPr>
        <w:trHeight w:val="283"/>
        <w:jc w:val="right"/>
      </w:trPr>
      <w:tc>
        <w:tcPr>
          <w:tcW w:w="2727" w:type="dxa"/>
        </w:tcPr>
        <w:p w14:paraId="0B68C086" w14:textId="77777777" w:rsidR="00A502A3" w:rsidRPr="00330DA7" w:rsidRDefault="00A502A3" w:rsidP="00F03E3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3B5A943" w:rsidR="00A502A3" w:rsidRPr="00952DD0" w:rsidRDefault="00A502A3" w:rsidP="00F03E35">
          <w:pPr>
            <w:tabs>
              <w:tab w:val="left" w:pos="2834"/>
              <w:tab w:val="right" w:pos="8838"/>
            </w:tabs>
            <w:spacing w:line="276" w:lineRule="auto"/>
            <w:ind w:left="-108" w:right="-105"/>
            <w:rPr>
              <w:rFonts w:eastAsia="Calibri" w:cs="Tahoma"/>
              <w:szCs w:val="22"/>
              <w:lang w:eastAsia="en-US"/>
            </w:rPr>
          </w:pPr>
          <w:r w:rsidRPr="008807B3">
            <w:rPr>
              <w:rFonts w:eastAsia="Calibri" w:cs="Tahoma"/>
              <w:szCs w:val="22"/>
              <w:lang w:eastAsia="en-US"/>
            </w:rPr>
            <w:t>Instituto de Seguridad Social del Estado de México y Municipios</w:t>
          </w:r>
        </w:p>
      </w:tc>
    </w:tr>
    <w:tr w:rsidR="00A502A3" w:rsidRPr="00330DA7" w14:paraId="6331D9B6" w14:textId="77777777" w:rsidTr="003F35FD">
      <w:trPr>
        <w:trHeight w:val="283"/>
        <w:jc w:val="right"/>
      </w:trPr>
      <w:tc>
        <w:tcPr>
          <w:tcW w:w="2727" w:type="dxa"/>
        </w:tcPr>
        <w:p w14:paraId="3FA86BAE" w14:textId="2801636C" w:rsidR="00A502A3" w:rsidRPr="00330DA7" w:rsidRDefault="00A502A3" w:rsidP="00F03E3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502A3" w:rsidRPr="00EA66FC" w:rsidRDefault="00A502A3" w:rsidP="00F03E35">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BB6C74E" w:rsidR="00A502A3" w:rsidRPr="00443C6B" w:rsidRDefault="00A502A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0E74814">
          <wp:simplePos x="0" y="0"/>
          <wp:positionH relativeFrom="margin">
            <wp:posOffset>-1049646</wp:posOffset>
          </wp:positionH>
          <wp:positionV relativeFrom="margin">
            <wp:posOffset>-1657085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502A3" w:rsidRPr="00330DA7" w14:paraId="29CFF901" w14:textId="77777777" w:rsidTr="000C10AD">
      <w:trPr>
        <w:trHeight w:val="1435"/>
      </w:trPr>
      <w:tc>
        <w:tcPr>
          <w:tcW w:w="283" w:type="dxa"/>
          <w:shd w:val="clear" w:color="auto" w:fill="auto"/>
        </w:tcPr>
        <w:p w14:paraId="046B9F8F" w14:textId="77777777" w:rsidR="00A502A3" w:rsidRPr="00330DA7" w:rsidRDefault="00A502A3" w:rsidP="00F03E35">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502A3" w:rsidRPr="00330DA7" w14:paraId="04F272D2" w14:textId="77777777" w:rsidTr="000C10AD">
            <w:trPr>
              <w:trHeight w:val="144"/>
            </w:trPr>
            <w:tc>
              <w:tcPr>
                <w:tcW w:w="2727" w:type="dxa"/>
              </w:tcPr>
              <w:p w14:paraId="2FD4DBF6" w14:textId="77777777" w:rsidR="00A502A3" w:rsidRPr="00330DA7" w:rsidRDefault="00A502A3" w:rsidP="00F03E35">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DCD0B98" w:rsidR="00A502A3" w:rsidRPr="00A90C72" w:rsidRDefault="00A502A3" w:rsidP="00F03E35">
                <w:pPr>
                  <w:tabs>
                    <w:tab w:val="right" w:pos="8838"/>
                  </w:tabs>
                  <w:spacing w:line="276" w:lineRule="auto"/>
                  <w:ind w:left="-74" w:right="-105"/>
                  <w:rPr>
                    <w:rFonts w:eastAsia="Calibri" w:cs="Tahoma"/>
                    <w:szCs w:val="22"/>
                    <w:lang w:eastAsia="en-US"/>
                  </w:rPr>
                </w:pPr>
                <w:r w:rsidRPr="008807B3">
                  <w:rPr>
                    <w:rFonts w:eastAsia="Calibri" w:cs="Tahoma"/>
                    <w:szCs w:val="22"/>
                    <w:lang w:eastAsia="en-US"/>
                  </w:rPr>
                  <w:t>06497/INFOEM/IP/RR/2025</w:t>
                </w:r>
              </w:p>
            </w:tc>
            <w:tc>
              <w:tcPr>
                <w:tcW w:w="3402" w:type="dxa"/>
              </w:tcPr>
              <w:p w14:paraId="71DEA1CF" w14:textId="77777777" w:rsidR="00A502A3" w:rsidRDefault="00A502A3" w:rsidP="00F03E35">
                <w:pPr>
                  <w:tabs>
                    <w:tab w:val="right" w:pos="8838"/>
                  </w:tabs>
                  <w:spacing w:line="276" w:lineRule="auto"/>
                  <w:ind w:left="-74" w:right="-105"/>
                  <w:rPr>
                    <w:rFonts w:eastAsia="Calibri" w:cs="Tahoma"/>
                    <w:szCs w:val="22"/>
                    <w:lang w:eastAsia="en-US"/>
                  </w:rPr>
                </w:pPr>
              </w:p>
            </w:tc>
          </w:tr>
          <w:tr w:rsidR="00A502A3" w:rsidRPr="00330DA7" w14:paraId="05C58951" w14:textId="77777777" w:rsidTr="000C10AD">
            <w:trPr>
              <w:trHeight w:val="144"/>
            </w:trPr>
            <w:tc>
              <w:tcPr>
                <w:tcW w:w="2727" w:type="dxa"/>
              </w:tcPr>
              <w:p w14:paraId="642B9610" w14:textId="77777777" w:rsidR="00A502A3" w:rsidRPr="00330DA7" w:rsidRDefault="00A502A3" w:rsidP="00F03E35">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B229976" w:rsidR="00A502A3" w:rsidRPr="005F19B1" w:rsidRDefault="00A502A3" w:rsidP="00F03E35">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A502A3" w:rsidRPr="005F19B1" w:rsidRDefault="00A502A3" w:rsidP="00F03E35">
                <w:pPr>
                  <w:tabs>
                    <w:tab w:val="left" w:pos="3122"/>
                    <w:tab w:val="right" w:pos="8838"/>
                  </w:tabs>
                  <w:spacing w:line="276" w:lineRule="auto"/>
                  <w:ind w:left="-105" w:right="-105"/>
                  <w:rPr>
                    <w:rFonts w:eastAsia="Calibri" w:cs="Tahoma"/>
                    <w:szCs w:val="22"/>
                    <w:lang w:eastAsia="en-US"/>
                  </w:rPr>
                </w:pPr>
              </w:p>
            </w:tc>
          </w:tr>
          <w:bookmarkEnd w:id="1"/>
          <w:tr w:rsidR="00A502A3" w:rsidRPr="00330DA7" w14:paraId="00E6CDC1" w14:textId="77777777" w:rsidTr="000C10AD">
            <w:trPr>
              <w:trHeight w:val="283"/>
            </w:trPr>
            <w:tc>
              <w:tcPr>
                <w:tcW w:w="2727" w:type="dxa"/>
              </w:tcPr>
              <w:p w14:paraId="0631AD24" w14:textId="77777777" w:rsidR="00A502A3" w:rsidRPr="00330DA7" w:rsidRDefault="00A502A3" w:rsidP="00F03E3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077C212" w:rsidR="00A502A3" w:rsidRPr="00952DD0" w:rsidRDefault="00A502A3" w:rsidP="00F03E35">
                <w:pPr>
                  <w:tabs>
                    <w:tab w:val="left" w:pos="2834"/>
                    <w:tab w:val="right" w:pos="8838"/>
                  </w:tabs>
                  <w:spacing w:line="276" w:lineRule="auto"/>
                  <w:ind w:left="-108" w:right="-105"/>
                  <w:rPr>
                    <w:rFonts w:eastAsia="Calibri" w:cs="Tahoma"/>
                    <w:szCs w:val="22"/>
                    <w:lang w:eastAsia="en-US"/>
                  </w:rPr>
                </w:pPr>
                <w:r w:rsidRPr="008807B3">
                  <w:rPr>
                    <w:rFonts w:eastAsia="Calibri" w:cs="Tahoma"/>
                    <w:szCs w:val="22"/>
                    <w:lang w:eastAsia="en-US"/>
                  </w:rPr>
                  <w:t>Instituto de Seguridad Social del Estado de México y Municipios</w:t>
                </w:r>
              </w:p>
            </w:tc>
            <w:tc>
              <w:tcPr>
                <w:tcW w:w="3402" w:type="dxa"/>
              </w:tcPr>
              <w:p w14:paraId="3A7DA319" w14:textId="77777777" w:rsidR="00A502A3" w:rsidRPr="00A90C72" w:rsidRDefault="00A502A3" w:rsidP="00F03E35">
                <w:pPr>
                  <w:tabs>
                    <w:tab w:val="left" w:pos="2834"/>
                    <w:tab w:val="right" w:pos="8838"/>
                  </w:tabs>
                  <w:spacing w:line="276" w:lineRule="auto"/>
                  <w:ind w:left="-108" w:right="-105"/>
                  <w:rPr>
                    <w:rFonts w:eastAsia="Calibri" w:cs="Tahoma"/>
                    <w:szCs w:val="22"/>
                    <w:lang w:eastAsia="en-US"/>
                  </w:rPr>
                </w:pPr>
              </w:p>
            </w:tc>
          </w:tr>
          <w:tr w:rsidR="00A502A3" w:rsidRPr="00330DA7" w14:paraId="0F6CD8D2" w14:textId="77777777" w:rsidTr="000C10AD">
            <w:trPr>
              <w:trHeight w:val="283"/>
            </w:trPr>
            <w:tc>
              <w:tcPr>
                <w:tcW w:w="2727" w:type="dxa"/>
              </w:tcPr>
              <w:p w14:paraId="31700628" w14:textId="48D77B32" w:rsidR="00A502A3" w:rsidRPr="00330DA7" w:rsidRDefault="00A502A3" w:rsidP="00F03E35">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502A3" w:rsidRPr="00EA66FC" w:rsidRDefault="00A502A3" w:rsidP="00F03E35">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502A3" w:rsidRPr="00330DA7" w:rsidRDefault="00A502A3" w:rsidP="00F03E35">
                <w:pPr>
                  <w:tabs>
                    <w:tab w:val="right" w:pos="8838"/>
                  </w:tabs>
                  <w:spacing w:line="276" w:lineRule="auto"/>
                  <w:ind w:left="-108" w:right="-105"/>
                  <w:rPr>
                    <w:rFonts w:eastAsia="Calibri" w:cs="Tahoma"/>
                    <w:szCs w:val="22"/>
                    <w:lang w:eastAsia="en-US"/>
                  </w:rPr>
                </w:pPr>
              </w:p>
            </w:tc>
          </w:tr>
        </w:tbl>
        <w:p w14:paraId="5DC6AC61" w14:textId="77777777" w:rsidR="00A502A3" w:rsidRPr="00330DA7" w:rsidRDefault="00A502A3" w:rsidP="00F03E35">
          <w:pPr>
            <w:tabs>
              <w:tab w:val="right" w:pos="8838"/>
            </w:tabs>
            <w:spacing w:line="276" w:lineRule="auto"/>
            <w:ind w:left="-28"/>
            <w:rPr>
              <w:rFonts w:ascii="Arial" w:eastAsia="Calibri" w:hAnsi="Arial" w:cs="Arial"/>
              <w:b/>
              <w:szCs w:val="22"/>
              <w:lang w:eastAsia="en-US"/>
            </w:rPr>
          </w:pPr>
        </w:p>
      </w:tc>
    </w:tr>
  </w:tbl>
  <w:p w14:paraId="2A906731" w14:textId="77777777" w:rsidR="00A502A3" w:rsidRPr="00765661" w:rsidRDefault="00CE3C3A" w:rsidP="000C10A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9.9pt;margin-top:-136.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506E"/>
    <w:multiLevelType w:val="hybridMultilevel"/>
    <w:tmpl w:val="A968AE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652A2"/>
    <w:multiLevelType w:val="hybridMultilevel"/>
    <w:tmpl w:val="D2E06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E2DAA"/>
    <w:multiLevelType w:val="hybridMultilevel"/>
    <w:tmpl w:val="05587C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95816F4"/>
    <w:multiLevelType w:val="hybridMultilevel"/>
    <w:tmpl w:val="987AF8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210EE2"/>
    <w:multiLevelType w:val="hybridMultilevel"/>
    <w:tmpl w:val="6944D826"/>
    <w:lvl w:ilvl="0" w:tplc="18024A7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63C537E"/>
    <w:multiLevelType w:val="hybridMultilevel"/>
    <w:tmpl w:val="958208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7"/>
  </w:num>
  <w:num w:numId="5">
    <w:abstractNumId w:val="3"/>
  </w:num>
  <w:num w:numId="6">
    <w:abstractNumId w:val="19"/>
  </w:num>
  <w:num w:numId="7">
    <w:abstractNumId w:val="13"/>
  </w:num>
  <w:num w:numId="8">
    <w:abstractNumId w:val="5"/>
  </w:num>
  <w:num w:numId="9">
    <w:abstractNumId w:val="1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1"/>
  </w:num>
  <w:num w:numId="14">
    <w:abstractNumId w:val="4"/>
  </w:num>
  <w:num w:numId="15">
    <w:abstractNumId w:val="14"/>
  </w:num>
  <w:num w:numId="16">
    <w:abstractNumId w:val="2"/>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476"/>
    <w:rsid w:val="000318BC"/>
    <w:rsid w:val="00034189"/>
    <w:rsid w:val="000437DB"/>
    <w:rsid w:val="00057B2D"/>
    <w:rsid w:val="00072D1A"/>
    <w:rsid w:val="000748E2"/>
    <w:rsid w:val="000C10AD"/>
    <w:rsid w:val="000C57E2"/>
    <w:rsid w:val="000D0D67"/>
    <w:rsid w:val="000D459D"/>
    <w:rsid w:val="000E052E"/>
    <w:rsid w:val="000E05F7"/>
    <w:rsid w:val="000E09C4"/>
    <w:rsid w:val="00102B02"/>
    <w:rsid w:val="0011350D"/>
    <w:rsid w:val="00131852"/>
    <w:rsid w:val="00141876"/>
    <w:rsid w:val="00150C49"/>
    <w:rsid w:val="00161923"/>
    <w:rsid w:val="001633CB"/>
    <w:rsid w:val="001920BB"/>
    <w:rsid w:val="001935F6"/>
    <w:rsid w:val="001A58B3"/>
    <w:rsid w:val="001A633B"/>
    <w:rsid w:val="001A6B07"/>
    <w:rsid w:val="001C7688"/>
    <w:rsid w:val="001E4960"/>
    <w:rsid w:val="001F3515"/>
    <w:rsid w:val="001F6F69"/>
    <w:rsid w:val="00202128"/>
    <w:rsid w:val="00210EB8"/>
    <w:rsid w:val="0023177F"/>
    <w:rsid w:val="00233005"/>
    <w:rsid w:val="002338D4"/>
    <w:rsid w:val="00233F17"/>
    <w:rsid w:val="002411F0"/>
    <w:rsid w:val="002567D4"/>
    <w:rsid w:val="002568F8"/>
    <w:rsid w:val="002819DA"/>
    <w:rsid w:val="002A3601"/>
    <w:rsid w:val="002A74AA"/>
    <w:rsid w:val="002B7C6F"/>
    <w:rsid w:val="002C2588"/>
    <w:rsid w:val="003003D9"/>
    <w:rsid w:val="00302476"/>
    <w:rsid w:val="00302E41"/>
    <w:rsid w:val="00313B9C"/>
    <w:rsid w:val="003267AD"/>
    <w:rsid w:val="00331F35"/>
    <w:rsid w:val="003351C7"/>
    <w:rsid w:val="0034218F"/>
    <w:rsid w:val="003470A4"/>
    <w:rsid w:val="00351EFB"/>
    <w:rsid w:val="00352DD2"/>
    <w:rsid w:val="00362A11"/>
    <w:rsid w:val="00370B70"/>
    <w:rsid w:val="00380417"/>
    <w:rsid w:val="003A40C1"/>
    <w:rsid w:val="003B184E"/>
    <w:rsid w:val="003D1065"/>
    <w:rsid w:val="003E1D10"/>
    <w:rsid w:val="003F35FD"/>
    <w:rsid w:val="00404336"/>
    <w:rsid w:val="0040558E"/>
    <w:rsid w:val="00410F22"/>
    <w:rsid w:val="0041385B"/>
    <w:rsid w:val="00416E5A"/>
    <w:rsid w:val="00424FF4"/>
    <w:rsid w:val="00441BFA"/>
    <w:rsid w:val="00454FBD"/>
    <w:rsid w:val="00480EAE"/>
    <w:rsid w:val="004950BA"/>
    <w:rsid w:val="004957C9"/>
    <w:rsid w:val="004C67FD"/>
    <w:rsid w:val="004D7CD8"/>
    <w:rsid w:val="004E0438"/>
    <w:rsid w:val="004E21B4"/>
    <w:rsid w:val="004E5068"/>
    <w:rsid w:val="004F68B4"/>
    <w:rsid w:val="004F7A00"/>
    <w:rsid w:val="004F7D21"/>
    <w:rsid w:val="00505559"/>
    <w:rsid w:val="005365FA"/>
    <w:rsid w:val="005723CB"/>
    <w:rsid w:val="00575388"/>
    <w:rsid w:val="00575400"/>
    <w:rsid w:val="005921F1"/>
    <w:rsid w:val="005941FB"/>
    <w:rsid w:val="0059544D"/>
    <w:rsid w:val="005A0A5F"/>
    <w:rsid w:val="005A5C89"/>
    <w:rsid w:val="005A769C"/>
    <w:rsid w:val="005B18AF"/>
    <w:rsid w:val="005D52DA"/>
    <w:rsid w:val="005D5A50"/>
    <w:rsid w:val="005E148A"/>
    <w:rsid w:val="005E4808"/>
    <w:rsid w:val="005F3C9A"/>
    <w:rsid w:val="005F5301"/>
    <w:rsid w:val="005F65B7"/>
    <w:rsid w:val="006018CB"/>
    <w:rsid w:val="006067C7"/>
    <w:rsid w:val="00615506"/>
    <w:rsid w:val="006159AD"/>
    <w:rsid w:val="006309D0"/>
    <w:rsid w:val="00646436"/>
    <w:rsid w:val="00653944"/>
    <w:rsid w:val="00664420"/>
    <w:rsid w:val="00670479"/>
    <w:rsid w:val="006827B2"/>
    <w:rsid w:val="00685AD3"/>
    <w:rsid w:val="006946E4"/>
    <w:rsid w:val="006A5AE1"/>
    <w:rsid w:val="006B10B0"/>
    <w:rsid w:val="006B35E8"/>
    <w:rsid w:val="006B47A4"/>
    <w:rsid w:val="006E0F00"/>
    <w:rsid w:val="006E25BC"/>
    <w:rsid w:val="006E6BBC"/>
    <w:rsid w:val="006F7768"/>
    <w:rsid w:val="00700E37"/>
    <w:rsid w:val="007030A4"/>
    <w:rsid w:val="00717E59"/>
    <w:rsid w:val="0073208C"/>
    <w:rsid w:val="007451FE"/>
    <w:rsid w:val="007473FD"/>
    <w:rsid w:val="007476F0"/>
    <w:rsid w:val="00761BE2"/>
    <w:rsid w:val="007648D4"/>
    <w:rsid w:val="00775BFC"/>
    <w:rsid w:val="007A4299"/>
    <w:rsid w:val="007B6074"/>
    <w:rsid w:val="007C2F8A"/>
    <w:rsid w:val="007C372D"/>
    <w:rsid w:val="007C5C93"/>
    <w:rsid w:val="007D1C55"/>
    <w:rsid w:val="007D317F"/>
    <w:rsid w:val="007D644B"/>
    <w:rsid w:val="007F5D06"/>
    <w:rsid w:val="00814C80"/>
    <w:rsid w:val="0083697D"/>
    <w:rsid w:val="0084341B"/>
    <w:rsid w:val="00865CF4"/>
    <w:rsid w:val="00876496"/>
    <w:rsid w:val="00876DBC"/>
    <w:rsid w:val="008807B3"/>
    <w:rsid w:val="008A6003"/>
    <w:rsid w:val="008A6F88"/>
    <w:rsid w:val="008B09E4"/>
    <w:rsid w:val="008B1E16"/>
    <w:rsid w:val="008C48EE"/>
    <w:rsid w:val="008E4D5D"/>
    <w:rsid w:val="008F7889"/>
    <w:rsid w:val="00900C44"/>
    <w:rsid w:val="00910FD2"/>
    <w:rsid w:val="00931437"/>
    <w:rsid w:val="009420A9"/>
    <w:rsid w:val="00953430"/>
    <w:rsid w:val="009578F9"/>
    <w:rsid w:val="00962628"/>
    <w:rsid w:val="00970EB3"/>
    <w:rsid w:val="00973F79"/>
    <w:rsid w:val="00994944"/>
    <w:rsid w:val="009950D7"/>
    <w:rsid w:val="009A2D78"/>
    <w:rsid w:val="009A7556"/>
    <w:rsid w:val="009A7C10"/>
    <w:rsid w:val="009B2403"/>
    <w:rsid w:val="009B2945"/>
    <w:rsid w:val="009D0146"/>
    <w:rsid w:val="009D5A76"/>
    <w:rsid w:val="009F797C"/>
    <w:rsid w:val="00A01929"/>
    <w:rsid w:val="00A131AC"/>
    <w:rsid w:val="00A13DF8"/>
    <w:rsid w:val="00A16D85"/>
    <w:rsid w:val="00A17059"/>
    <w:rsid w:val="00A203C6"/>
    <w:rsid w:val="00A21A20"/>
    <w:rsid w:val="00A225DA"/>
    <w:rsid w:val="00A30AA1"/>
    <w:rsid w:val="00A33DF3"/>
    <w:rsid w:val="00A46118"/>
    <w:rsid w:val="00A502A3"/>
    <w:rsid w:val="00A53315"/>
    <w:rsid w:val="00A54AFF"/>
    <w:rsid w:val="00A65695"/>
    <w:rsid w:val="00A66442"/>
    <w:rsid w:val="00A713F6"/>
    <w:rsid w:val="00A75F13"/>
    <w:rsid w:val="00A80134"/>
    <w:rsid w:val="00A8199C"/>
    <w:rsid w:val="00A9208D"/>
    <w:rsid w:val="00AA26B0"/>
    <w:rsid w:val="00AA6EA9"/>
    <w:rsid w:val="00AB367D"/>
    <w:rsid w:val="00AC2DB8"/>
    <w:rsid w:val="00AC3CA0"/>
    <w:rsid w:val="00AC3EE8"/>
    <w:rsid w:val="00AE3DA7"/>
    <w:rsid w:val="00AF03C4"/>
    <w:rsid w:val="00B13C5D"/>
    <w:rsid w:val="00B22A80"/>
    <w:rsid w:val="00B25000"/>
    <w:rsid w:val="00B2797F"/>
    <w:rsid w:val="00B459C8"/>
    <w:rsid w:val="00B539A9"/>
    <w:rsid w:val="00B62B67"/>
    <w:rsid w:val="00B71DBD"/>
    <w:rsid w:val="00BA0356"/>
    <w:rsid w:val="00BA55A8"/>
    <w:rsid w:val="00BB2ABF"/>
    <w:rsid w:val="00BB2B35"/>
    <w:rsid w:val="00BB64F4"/>
    <w:rsid w:val="00BD2CF5"/>
    <w:rsid w:val="00BD3F4F"/>
    <w:rsid w:val="00BE48AB"/>
    <w:rsid w:val="00BF0221"/>
    <w:rsid w:val="00BF091A"/>
    <w:rsid w:val="00C049E2"/>
    <w:rsid w:val="00C2213B"/>
    <w:rsid w:val="00C2269A"/>
    <w:rsid w:val="00C22CDF"/>
    <w:rsid w:val="00C36795"/>
    <w:rsid w:val="00C460FB"/>
    <w:rsid w:val="00C461EC"/>
    <w:rsid w:val="00C507D4"/>
    <w:rsid w:val="00C5095C"/>
    <w:rsid w:val="00C64E11"/>
    <w:rsid w:val="00C71CEF"/>
    <w:rsid w:val="00C72DAA"/>
    <w:rsid w:val="00C767B4"/>
    <w:rsid w:val="00C8625F"/>
    <w:rsid w:val="00CA02DD"/>
    <w:rsid w:val="00CA11CF"/>
    <w:rsid w:val="00CB36BE"/>
    <w:rsid w:val="00CD0B92"/>
    <w:rsid w:val="00CD1AFD"/>
    <w:rsid w:val="00CE29D3"/>
    <w:rsid w:val="00CE3C3A"/>
    <w:rsid w:val="00CE69DC"/>
    <w:rsid w:val="00CF2D8B"/>
    <w:rsid w:val="00CF7586"/>
    <w:rsid w:val="00D036D3"/>
    <w:rsid w:val="00D07D18"/>
    <w:rsid w:val="00D248E9"/>
    <w:rsid w:val="00D2790D"/>
    <w:rsid w:val="00D51ECD"/>
    <w:rsid w:val="00D6170E"/>
    <w:rsid w:val="00D91CB4"/>
    <w:rsid w:val="00D9240B"/>
    <w:rsid w:val="00DA2020"/>
    <w:rsid w:val="00DA614F"/>
    <w:rsid w:val="00DC5D13"/>
    <w:rsid w:val="00DD0EE9"/>
    <w:rsid w:val="00DD25D2"/>
    <w:rsid w:val="00DD5F50"/>
    <w:rsid w:val="00DD6EF3"/>
    <w:rsid w:val="00DE1133"/>
    <w:rsid w:val="00DF03AD"/>
    <w:rsid w:val="00E03D80"/>
    <w:rsid w:val="00E06F53"/>
    <w:rsid w:val="00E12CFA"/>
    <w:rsid w:val="00E16BF5"/>
    <w:rsid w:val="00E259FB"/>
    <w:rsid w:val="00E32F5E"/>
    <w:rsid w:val="00E36F7D"/>
    <w:rsid w:val="00E37A3F"/>
    <w:rsid w:val="00E4033C"/>
    <w:rsid w:val="00E46A1B"/>
    <w:rsid w:val="00E54E41"/>
    <w:rsid w:val="00E6082C"/>
    <w:rsid w:val="00E62E6A"/>
    <w:rsid w:val="00E83EF5"/>
    <w:rsid w:val="00E9335C"/>
    <w:rsid w:val="00E937AE"/>
    <w:rsid w:val="00EA0D03"/>
    <w:rsid w:val="00EC25E9"/>
    <w:rsid w:val="00EC46F5"/>
    <w:rsid w:val="00ED1C1E"/>
    <w:rsid w:val="00EE3CD1"/>
    <w:rsid w:val="00EF3C14"/>
    <w:rsid w:val="00EF510F"/>
    <w:rsid w:val="00F03E35"/>
    <w:rsid w:val="00F07EE6"/>
    <w:rsid w:val="00F1385D"/>
    <w:rsid w:val="00F154FA"/>
    <w:rsid w:val="00F24C91"/>
    <w:rsid w:val="00F33CC8"/>
    <w:rsid w:val="00F6606F"/>
    <w:rsid w:val="00F75D23"/>
    <w:rsid w:val="00F96248"/>
    <w:rsid w:val="00FA5957"/>
    <w:rsid w:val="00FC3CE0"/>
    <w:rsid w:val="00FC6539"/>
    <w:rsid w:val="00FD06A8"/>
    <w:rsid w:val="00FE078E"/>
    <w:rsid w:val="00FF10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D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752">
      <w:bodyDiv w:val="1"/>
      <w:marLeft w:val="0"/>
      <w:marRight w:val="0"/>
      <w:marTop w:val="0"/>
      <w:marBottom w:val="0"/>
      <w:divBdr>
        <w:top w:val="none" w:sz="0" w:space="0" w:color="auto"/>
        <w:left w:val="none" w:sz="0" w:space="0" w:color="auto"/>
        <w:bottom w:val="none" w:sz="0" w:space="0" w:color="auto"/>
        <w:right w:val="none" w:sz="0" w:space="0" w:color="auto"/>
      </w:divBdr>
    </w:div>
    <w:div w:id="299072909">
      <w:bodyDiv w:val="1"/>
      <w:marLeft w:val="0"/>
      <w:marRight w:val="0"/>
      <w:marTop w:val="0"/>
      <w:marBottom w:val="0"/>
      <w:divBdr>
        <w:top w:val="none" w:sz="0" w:space="0" w:color="auto"/>
        <w:left w:val="none" w:sz="0" w:space="0" w:color="auto"/>
        <w:bottom w:val="none" w:sz="0" w:space="0" w:color="auto"/>
        <w:right w:val="none" w:sz="0" w:space="0" w:color="auto"/>
      </w:divBdr>
    </w:div>
    <w:div w:id="379987150">
      <w:bodyDiv w:val="1"/>
      <w:marLeft w:val="0"/>
      <w:marRight w:val="0"/>
      <w:marTop w:val="0"/>
      <w:marBottom w:val="0"/>
      <w:divBdr>
        <w:top w:val="none" w:sz="0" w:space="0" w:color="auto"/>
        <w:left w:val="none" w:sz="0" w:space="0" w:color="auto"/>
        <w:bottom w:val="none" w:sz="0" w:space="0" w:color="auto"/>
        <w:right w:val="none" w:sz="0" w:space="0" w:color="auto"/>
      </w:divBdr>
    </w:div>
    <w:div w:id="434441427">
      <w:bodyDiv w:val="1"/>
      <w:marLeft w:val="0"/>
      <w:marRight w:val="0"/>
      <w:marTop w:val="0"/>
      <w:marBottom w:val="0"/>
      <w:divBdr>
        <w:top w:val="none" w:sz="0" w:space="0" w:color="auto"/>
        <w:left w:val="none" w:sz="0" w:space="0" w:color="auto"/>
        <w:bottom w:val="none" w:sz="0" w:space="0" w:color="auto"/>
        <w:right w:val="none" w:sz="0" w:space="0" w:color="auto"/>
      </w:divBdr>
    </w:div>
    <w:div w:id="796993112">
      <w:bodyDiv w:val="1"/>
      <w:marLeft w:val="0"/>
      <w:marRight w:val="0"/>
      <w:marTop w:val="0"/>
      <w:marBottom w:val="0"/>
      <w:divBdr>
        <w:top w:val="none" w:sz="0" w:space="0" w:color="auto"/>
        <w:left w:val="none" w:sz="0" w:space="0" w:color="auto"/>
        <w:bottom w:val="none" w:sz="0" w:space="0" w:color="auto"/>
        <w:right w:val="none" w:sz="0" w:space="0" w:color="auto"/>
      </w:divBdr>
    </w:div>
    <w:div w:id="963538914">
      <w:bodyDiv w:val="1"/>
      <w:marLeft w:val="0"/>
      <w:marRight w:val="0"/>
      <w:marTop w:val="0"/>
      <w:marBottom w:val="0"/>
      <w:divBdr>
        <w:top w:val="none" w:sz="0" w:space="0" w:color="auto"/>
        <w:left w:val="none" w:sz="0" w:space="0" w:color="auto"/>
        <w:bottom w:val="none" w:sz="0" w:space="0" w:color="auto"/>
        <w:right w:val="none" w:sz="0" w:space="0" w:color="auto"/>
      </w:divBdr>
    </w:div>
    <w:div w:id="998389165">
      <w:bodyDiv w:val="1"/>
      <w:marLeft w:val="0"/>
      <w:marRight w:val="0"/>
      <w:marTop w:val="0"/>
      <w:marBottom w:val="0"/>
      <w:divBdr>
        <w:top w:val="none" w:sz="0" w:space="0" w:color="auto"/>
        <w:left w:val="none" w:sz="0" w:space="0" w:color="auto"/>
        <w:bottom w:val="none" w:sz="0" w:space="0" w:color="auto"/>
        <w:right w:val="none" w:sz="0" w:space="0" w:color="auto"/>
      </w:divBdr>
    </w:div>
    <w:div w:id="1351419322">
      <w:bodyDiv w:val="1"/>
      <w:marLeft w:val="0"/>
      <w:marRight w:val="0"/>
      <w:marTop w:val="0"/>
      <w:marBottom w:val="0"/>
      <w:divBdr>
        <w:top w:val="none" w:sz="0" w:space="0" w:color="auto"/>
        <w:left w:val="none" w:sz="0" w:space="0" w:color="auto"/>
        <w:bottom w:val="none" w:sz="0" w:space="0" w:color="auto"/>
        <w:right w:val="none" w:sz="0" w:space="0" w:color="auto"/>
      </w:divBdr>
    </w:div>
    <w:div w:id="1546217786">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77422343">
      <w:bodyDiv w:val="1"/>
      <w:marLeft w:val="0"/>
      <w:marRight w:val="0"/>
      <w:marTop w:val="0"/>
      <w:marBottom w:val="0"/>
      <w:divBdr>
        <w:top w:val="none" w:sz="0" w:space="0" w:color="auto"/>
        <w:left w:val="none" w:sz="0" w:space="0" w:color="auto"/>
        <w:bottom w:val="none" w:sz="0" w:space="0" w:color="auto"/>
        <w:right w:val="none" w:sz="0" w:space="0" w:color="auto"/>
      </w:divBdr>
    </w:div>
    <w:div w:id="16999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ACA3A-C11E-44F9-B180-C3669F73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4223</Words>
  <Characters>23231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2025-06-26T20:42:00Z</cp:lastPrinted>
  <dcterms:created xsi:type="dcterms:W3CDTF">2025-06-17T22:27:00Z</dcterms:created>
  <dcterms:modified xsi:type="dcterms:W3CDTF">2025-08-18T20:41:00Z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