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76A" w:rsidRPr="00DB2D24" w:rsidRDefault="00E54209">
      <w:pPr>
        <w:tabs>
          <w:tab w:val="left" w:pos="3465"/>
        </w:tabs>
        <w:spacing w:line="360" w:lineRule="auto"/>
        <w:jc w:val="both"/>
        <w:rPr>
          <w:rFonts w:ascii="Palatino Linotype" w:eastAsia="Palatino Linotype" w:hAnsi="Palatino Linotype" w:cs="Palatino Linotype"/>
          <w:b/>
        </w:rPr>
      </w:pPr>
      <w:bookmarkStart w:id="0" w:name="_GoBack"/>
      <w:bookmarkEnd w:id="0"/>
      <w:r w:rsidRPr="009D6FF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DB2D24">
        <w:rPr>
          <w:rFonts w:ascii="Palatino Linotype" w:eastAsia="Palatino Linotype" w:hAnsi="Palatino Linotype" w:cs="Palatino Linotype"/>
          <w:b/>
        </w:rPr>
        <w:t xml:space="preserve">de fecha </w:t>
      </w:r>
      <w:r w:rsidR="00C75A14" w:rsidRPr="00DB2D24">
        <w:rPr>
          <w:rFonts w:ascii="Palatino Linotype" w:eastAsia="Palatino Linotype" w:hAnsi="Palatino Linotype" w:cs="Palatino Linotype"/>
          <w:b/>
        </w:rPr>
        <w:t>dieciséis</w:t>
      </w:r>
      <w:r w:rsidR="00DB2D24" w:rsidRPr="00DB2D24">
        <w:rPr>
          <w:rFonts w:ascii="Palatino Linotype" w:eastAsia="Palatino Linotype" w:hAnsi="Palatino Linotype" w:cs="Palatino Linotype"/>
          <w:b/>
        </w:rPr>
        <w:t xml:space="preserve"> (16)</w:t>
      </w:r>
      <w:r w:rsidRPr="00DB2D24">
        <w:rPr>
          <w:rFonts w:ascii="Palatino Linotype" w:eastAsia="Palatino Linotype" w:hAnsi="Palatino Linotype" w:cs="Palatino Linotype"/>
          <w:b/>
        </w:rPr>
        <w:t xml:space="preserve">  de julio de dos mil veinticinco.</w:t>
      </w:r>
    </w:p>
    <w:p w:rsidR="0050276A" w:rsidRPr="009D6FFD" w:rsidRDefault="0050276A">
      <w:pPr>
        <w:tabs>
          <w:tab w:val="left" w:pos="3465"/>
        </w:tabs>
        <w:spacing w:line="360" w:lineRule="auto"/>
        <w:jc w:val="both"/>
        <w:rPr>
          <w:rFonts w:ascii="Palatino Linotype" w:eastAsia="Palatino Linotype" w:hAnsi="Palatino Linotype" w:cs="Palatino Linotype"/>
        </w:rPr>
      </w:pPr>
    </w:p>
    <w:p w:rsidR="0050276A" w:rsidRPr="009D6FFD" w:rsidRDefault="00E54209">
      <w:pPr>
        <w:spacing w:line="360" w:lineRule="auto"/>
        <w:jc w:val="both"/>
        <w:rPr>
          <w:rFonts w:ascii="Palatino Linotype" w:eastAsia="Palatino Linotype" w:hAnsi="Palatino Linotype" w:cs="Palatino Linotype"/>
        </w:rPr>
      </w:pPr>
      <w:r w:rsidRPr="009D6FFD">
        <w:rPr>
          <w:rFonts w:ascii="Palatino Linotype" w:eastAsia="Palatino Linotype" w:hAnsi="Palatino Linotype" w:cs="Palatino Linotype"/>
          <w:b/>
        </w:rPr>
        <w:t>VISTO</w:t>
      </w:r>
      <w:r w:rsidRPr="009D6FFD">
        <w:rPr>
          <w:rFonts w:ascii="Palatino Linotype" w:eastAsia="Palatino Linotype" w:hAnsi="Palatino Linotype" w:cs="Palatino Linotype"/>
        </w:rPr>
        <w:t xml:space="preserve"> el expediente electrónico formado con motivo del Recurso de Revisión </w:t>
      </w:r>
      <w:r w:rsidRPr="009D6FFD">
        <w:rPr>
          <w:rFonts w:ascii="Palatino Linotype" w:eastAsia="Palatino Linotype" w:hAnsi="Palatino Linotype" w:cs="Palatino Linotype"/>
          <w:b/>
        </w:rPr>
        <w:t xml:space="preserve">05668/INFOEM/IP/RR/2025, </w:t>
      </w:r>
      <w:r w:rsidRPr="009D6FFD">
        <w:rPr>
          <w:rFonts w:ascii="Palatino Linotype" w:eastAsia="Palatino Linotype" w:hAnsi="Palatino Linotype" w:cs="Palatino Linotype"/>
        </w:rPr>
        <w:t>promovido por</w:t>
      </w:r>
      <w:r w:rsidRPr="009D6FFD">
        <w:rPr>
          <w:rFonts w:ascii="Palatino Linotype" w:eastAsia="Palatino Linotype" w:hAnsi="Palatino Linotype" w:cs="Palatino Linotype"/>
          <w:b/>
        </w:rPr>
        <w:t xml:space="preserve"> </w:t>
      </w:r>
      <w:r w:rsidRPr="009D6FFD">
        <w:rPr>
          <w:rFonts w:ascii="Palatino Linotype" w:eastAsia="Palatino Linotype" w:hAnsi="Palatino Linotype" w:cs="Palatino Linotype"/>
        </w:rPr>
        <w:t>una persona que no proporcionó datos de identificación</w:t>
      </w:r>
      <w:r w:rsidRPr="009D6FFD">
        <w:rPr>
          <w:rFonts w:ascii="Palatino Linotype" w:eastAsia="Palatino Linotype" w:hAnsi="Palatino Linotype" w:cs="Palatino Linotype"/>
          <w:b/>
        </w:rPr>
        <w:t>,</w:t>
      </w:r>
      <w:r w:rsidRPr="009D6FFD">
        <w:rPr>
          <w:rFonts w:ascii="Palatino Linotype" w:eastAsia="Palatino Linotype" w:hAnsi="Palatino Linotype" w:cs="Palatino Linotype"/>
        </w:rPr>
        <w:t xml:space="preserve"> a quien en lo sucesivo se le reconocerá como </w:t>
      </w:r>
      <w:r w:rsidRPr="009D6FFD">
        <w:rPr>
          <w:rFonts w:ascii="Palatino Linotype" w:eastAsia="Palatino Linotype" w:hAnsi="Palatino Linotype" w:cs="Palatino Linotype"/>
          <w:b/>
        </w:rPr>
        <w:t>EL RECURRENTE</w:t>
      </w:r>
      <w:r w:rsidRPr="009D6FFD">
        <w:rPr>
          <w:rFonts w:ascii="Palatino Linotype" w:eastAsia="Palatino Linotype" w:hAnsi="Palatino Linotype" w:cs="Palatino Linotype"/>
        </w:rPr>
        <w:t xml:space="preserve">, en contra de la respuesta del </w:t>
      </w:r>
      <w:r w:rsidRPr="009D6FFD">
        <w:rPr>
          <w:rFonts w:ascii="Palatino Linotype" w:eastAsia="Palatino Linotype" w:hAnsi="Palatino Linotype" w:cs="Palatino Linotype"/>
          <w:b/>
        </w:rPr>
        <w:t xml:space="preserve">Instituto Municipal de Cultura Física y Deporte de Cocotitlán, </w:t>
      </w:r>
      <w:r w:rsidRPr="009D6FFD">
        <w:rPr>
          <w:rFonts w:ascii="Palatino Linotype" w:eastAsia="Palatino Linotype" w:hAnsi="Palatino Linotype" w:cs="Palatino Linotype"/>
        </w:rPr>
        <w:t>en adelante el</w:t>
      </w:r>
      <w:r w:rsidRPr="009D6FFD">
        <w:rPr>
          <w:rFonts w:ascii="Palatino Linotype" w:eastAsia="Palatino Linotype" w:hAnsi="Palatino Linotype" w:cs="Palatino Linotype"/>
          <w:b/>
        </w:rPr>
        <w:t xml:space="preserve"> SUJETO OBLIGADO</w:t>
      </w:r>
      <w:r w:rsidRPr="009D6FFD">
        <w:rPr>
          <w:rFonts w:ascii="Palatino Linotype" w:eastAsia="Palatino Linotype" w:hAnsi="Palatino Linotype" w:cs="Palatino Linotype"/>
        </w:rPr>
        <w:t>, se procede a dictar la presente Resolución, con base en los siguientes:</w:t>
      </w:r>
    </w:p>
    <w:p w:rsidR="0050276A" w:rsidRPr="009D6FFD" w:rsidRDefault="0050276A">
      <w:pPr>
        <w:spacing w:line="360" w:lineRule="auto"/>
        <w:jc w:val="both"/>
        <w:rPr>
          <w:rFonts w:ascii="Palatino Linotype" w:eastAsia="Palatino Linotype" w:hAnsi="Palatino Linotype" w:cs="Palatino Linotype"/>
          <w:b/>
        </w:rPr>
      </w:pPr>
    </w:p>
    <w:p w:rsidR="0050276A" w:rsidRPr="009D6FFD" w:rsidRDefault="00E54209">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9D6FFD">
        <w:rPr>
          <w:rFonts w:ascii="Palatino Linotype" w:eastAsia="Palatino Linotype" w:hAnsi="Palatino Linotype" w:cs="Palatino Linotype"/>
          <w:b/>
          <w:color w:val="000000"/>
          <w:sz w:val="24"/>
          <w:szCs w:val="24"/>
        </w:rPr>
        <w:t>A N T E C E D E N T E S</w:t>
      </w:r>
    </w:p>
    <w:p w:rsidR="0050276A" w:rsidRPr="009D6FFD" w:rsidRDefault="0050276A">
      <w:pPr>
        <w:spacing w:line="360" w:lineRule="auto"/>
        <w:rPr>
          <w:rFonts w:ascii="Palatino Linotype" w:eastAsia="Palatino Linotype" w:hAnsi="Palatino Linotype" w:cs="Palatino Linotype"/>
        </w:rPr>
      </w:pPr>
    </w:p>
    <w:p w:rsidR="0050276A" w:rsidRPr="009D6FFD" w:rsidRDefault="00E54209">
      <w:pPr>
        <w:numPr>
          <w:ilvl w:val="0"/>
          <w:numId w:val="2"/>
        </w:numPr>
        <w:pBdr>
          <w:top w:val="nil"/>
          <w:left w:val="nil"/>
          <w:bottom w:val="nil"/>
          <w:right w:val="nil"/>
          <w:between w:val="nil"/>
        </w:pBdr>
        <w:spacing w:line="360" w:lineRule="auto"/>
        <w:ind w:left="141"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El día</w:t>
      </w:r>
      <w:r w:rsidRPr="009D6FFD">
        <w:rPr>
          <w:rFonts w:ascii="Palatino Linotype" w:eastAsia="Palatino Linotype" w:hAnsi="Palatino Linotype" w:cs="Palatino Linotype"/>
          <w:b/>
          <w:color w:val="000000"/>
        </w:rPr>
        <w:t xml:space="preserve"> veintitrés de abril de dos mil veinticinco, </w:t>
      </w:r>
      <w:r w:rsidRPr="009D6FFD">
        <w:rPr>
          <w:rFonts w:ascii="Palatino Linotype" w:eastAsia="Palatino Linotype" w:hAnsi="Palatino Linotype" w:cs="Palatino Linotype"/>
          <w:color w:val="000000"/>
        </w:rPr>
        <w:t xml:space="preserve">se presentó ante el </w:t>
      </w:r>
      <w:r w:rsidRPr="009D6FFD">
        <w:rPr>
          <w:rFonts w:ascii="Palatino Linotype" w:eastAsia="Palatino Linotype" w:hAnsi="Palatino Linotype" w:cs="Palatino Linotype"/>
          <w:b/>
          <w:color w:val="000000"/>
        </w:rPr>
        <w:t>SUJETO OBLIGADO</w:t>
      </w:r>
      <w:r w:rsidRPr="009D6FFD">
        <w:rPr>
          <w:rFonts w:ascii="Palatino Linotype" w:eastAsia="Palatino Linotype" w:hAnsi="Palatino Linotype" w:cs="Palatino Linotype"/>
          <w:color w:val="000000"/>
        </w:rPr>
        <w:t xml:space="preserve"> vía Sistema de Acceso a la Información Mexiquense (SAIMEX), la solicitud de información pública registrada con el número</w:t>
      </w:r>
      <w:r w:rsidRPr="009D6FFD">
        <w:rPr>
          <w:rFonts w:ascii="Palatino Linotype" w:eastAsia="Palatino Linotype" w:hAnsi="Palatino Linotype" w:cs="Palatino Linotype"/>
          <w:b/>
          <w:color w:val="000000"/>
        </w:rPr>
        <w:t xml:space="preserve">  00038/IMCUFIDECOCOTI/IP/2025; </w:t>
      </w:r>
      <w:r w:rsidRPr="009D6FFD">
        <w:rPr>
          <w:rFonts w:ascii="Palatino Linotype" w:eastAsia="Palatino Linotype" w:hAnsi="Palatino Linotype" w:cs="Palatino Linotype"/>
        </w:rPr>
        <w:t xml:space="preserve">en la que </w:t>
      </w:r>
      <w:r w:rsidRPr="009D6FFD">
        <w:rPr>
          <w:rFonts w:ascii="Palatino Linotype" w:eastAsia="Palatino Linotype" w:hAnsi="Palatino Linotype" w:cs="Palatino Linotype"/>
          <w:color w:val="000000"/>
        </w:rPr>
        <w:t>se solicitó la siguiente información:</w:t>
      </w:r>
    </w:p>
    <w:p w:rsidR="0050276A" w:rsidRPr="009D6FFD" w:rsidRDefault="0050276A">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50276A" w:rsidRPr="009D6FFD" w:rsidRDefault="00E54209">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i/>
          <w:color w:val="000000"/>
        </w:rPr>
        <w:t>“solicito manual de procedimientos, manual de organización y reglamento interno del imcufide 2025-2027 de la nueva administración.”</w:t>
      </w:r>
    </w:p>
    <w:p w:rsidR="0050276A" w:rsidRPr="009D6FFD" w:rsidRDefault="0050276A">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rPr>
      </w:pPr>
    </w:p>
    <w:p w:rsidR="0050276A" w:rsidRPr="009D6FFD" w:rsidRDefault="00E54209">
      <w:pPr>
        <w:numPr>
          <w:ilvl w:val="0"/>
          <w:numId w:val="3"/>
        </w:numPr>
        <w:pBdr>
          <w:top w:val="nil"/>
          <w:left w:val="nil"/>
          <w:bottom w:val="nil"/>
          <w:right w:val="nil"/>
          <w:between w:val="nil"/>
        </w:pBdr>
        <w:spacing w:line="360" w:lineRule="auto"/>
        <w:ind w:left="851" w:right="34"/>
        <w:jc w:val="both"/>
        <w:rPr>
          <w:rFonts w:ascii="Palatino Linotype" w:eastAsia="Palatino Linotype" w:hAnsi="Palatino Linotype" w:cs="Palatino Linotype"/>
          <w:b/>
          <w:color w:val="000000"/>
        </w:rPr>
      </w:pPr>
      <w:r w:rsidRPr="009D6FFD">
        <w:rPr>
          <w:rFonts w:ascii="Palatino Linotype" w:eastAsia="Palatino Linotype" w:hAnsi="Palatino Linotype" w:cs="Palatino Linotype"/>
          <w:color w:val="000000"/>
        </w:rPr>
        <w:t xml:space="preserve">Se eligió como modalidad de entrega: </w:t>
      </w:r>
      <w:r w:rsidRPr="009D6FFD">
        <w:rPr>
          <w:rFonts w:ascii="Palatino Linotype" w:eastAsia="Palatino Linotype" w:hAnsi="Palatino Linotype" w:cs="Palatino Linotype"/>
          <w:b/>
          <w:color w:val="000000"/>
        </w:rPr>
        <w:t>SAIMEX</w:t>
      </w:r>
    </w:p>
    <w:p w:rsidR="0050276A" w:rsidRPr="009D6FFD" w:rsidRDefault="0050276A">
      <w:pPr>
        <w:pBdr>
          <w:top w:val="nil"/>
          <w:left w:val="nil"/>
          <w:bottom w:val="nil"/>
          <w:right w:val="nil"/>
          <w:between w:val="nil"/>
        </w:pBdr>
        <w:tabs>
          <w:tab w:val="left" w:pos="0"/>
        </w:tabs>
        <w:spacing w:line="360" w:lineRule="auto"/>
        <w:ind w:left="360" w:right="51"/>
        <w:jc w:val="both"/>
        <w:rPr>
          <w:rFonts w:ascii="Palatino Linotype" w:eastAsia="Palatino Linotype" w:hAnsi="Palatino Linotype" w:cs="Palatino Linotype"/>
          <w:color w:val="000000"/>
        </w:rPr>
      </w:pPr>
    </w:p>
    <w:p w:rsidR="0050276A" w:rsidRPr="009D6FFD" w:rsidRDefault="00E54209">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i/>
          <w:color w:val="000000"/>
        </w:rPr>
      </w:pPr>
      <w:r w:rsidRPr="009D6FFD">
        <w:rPr>
          <w:rFonts w:ascii="Palatino Linotype" w:eastAsia="Palatino Linotype" w:hAnsi="Palatino Linotype" w:cs="Palatino Linotype"/>
          <w:color w:val="000000"/>
        </w:rPr>
        <w:lastRenderedPageBreak/>
        <w:t xml:space="preserve">En fecha dieciocho de mayo dos mil veinticinco el </w:t>
      </w:r>
      <w:r w:rsidRPr="009D6FFD">
        <w:rPr>
          <w:rFonts w:ascii="Palatino Linotype" w:eastAsia="Palatino Linotype" w:hAnsi="Palatino Linotype" w:cs="Palatino Linotype"/>
          <w:b/>
          <w:color w:val="000000"/>
        </w:rPr>
        <w:t>SUJETO OBLIGADO,</w:t>
      </w:r>
      <w:r w:rsidRPr="009D6FFD">
        <w:rPr>
          <w:rFonts w:ascii="Palatino Linotype" w:eastAsia="Palatino Linotype" w:hAnsi="Palatino Linotype" w:cs="Palatino Linotype"/>
          <w:color w:val="000000"/>
        </w:rPr>
        <w:t xml:space="preserve"> dio respuesta a la solicitud, adjuntando los siguientes dos archivos </w:t>
      </w:r>
      <w:r w:rsidRPr="009D6FFD">
        <w:rPr>
          <w:rFonts w:ascii="Palatino Linotype" w:eastAsia="Palatino Linotype" w:hAnsi="Palatino Linotype" w:cs="Palatino Linotype"/>
          <w:b/>
          <w:i/>
          <w:color w:val="000000"/>
        </w:rPr>
        <w:t>REGLAMENTO DEL INSTITUTO MUNICIPAL DE CULTURA FISICA Y DEPORTE DE COCOTITLAN.pdf</w:t>
      </w:r>
      <w:r w:rsidRPr="009D6FFD">
        <w:rPr>
          <w:rFonts w:ascii="Palatino Linotype" w:eastAsia="Palatino Linotype" w:hAnsi="Palatino Linotype" w:cs="Palatino Linotype"/>
          <w:color w:val="000000"/>
        </w:rPr>
        <w:t xml:space="preserve"> y, </w:t>
      </w:r>
      <w:r w:rsidRPr="009D6FFD">
        <w:rPr>
          <w:rFonts w:ascii="Palatino Linotype" w:eastAsia="Palatino Linotype" w:hAnsi="Palatino Linotype" w:cs="Palatino Linotype"/>
          <w:b/>
          <w:i/>
          <w:color w:val="000000"/>
        </w:rPr>
        <w:t>UT00023.pdf</w:t>
      </w:r>
    </w:p>
    <w:p w:rsidR="0050276A" w:rsidRPr="009D6FFD" w:rsidRDefault="0050276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50276A" w:rsidRPr="009D6FFD" w:rsidRDefault="00E54209">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 xml:space="preserve">El </w:t>
      </w:r>
      <w:r w:rsidRPr="009D6FFD">
        <w:rPr>
          <w:rFonts w:ascii="Palatino Linotype" w:eastAsia="Palatino Linotype" w:hAnsi="Palatino Linotype" w:cs="Palatino Linotype"/>
          <w:b/>
          <w:color w:val="000000"/>
        </w:rPr>
        <w:t>veinte de mayo del año en curso</w:t>
      </w:r>
      <w:r w:rsidRPr="009D6FFD">
        <w:rPr>
          <w:rFonts w:ascii="Palatino Linotype" w:eastAsia="Palatino Linotype" w:hAnsi="Palatino Linotype" w:cs="Palatino Linotype"/>
          <w:color w:val="000000"/>
        </w:rPr>
        <w:t>, el solicitante interpuso el recurso de revisión en contra de la respuesta, manifestando las siguientes razones o motivos de inconformidad:</w:t>
      </w:r>
    </w:p>
    <w:p w:rsidR="0050276A" w:rsidRPr="009D6FFD" w:rsidRDefault="0050276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50276A" w:rsidRPr="009D6FFD" w:rsidRDefault="00E54209">
      <w:pPr>
        <w:numPr>
          <w:ilvl w:val="0"/>
          <w:numId w:val="3"/>
        </w:numPr>
        <w:pBdr>
          <w:top w:val="nil"/>
          <w:left w:val="nil"/>
          <w:bottom w:val="nil"/>
          <w:right w:val="nil"/>
          <w:between w:val="nil"/>
        </w:pBdr>
        <w:spacing w:line="360" w:lineRule="auto"/>
        <w:ind w:left="709" w:right="426"/>
        <w:jc w:val="both"/>
        <w:rPr>
          <w:rFonts w:ascii="Palatino Linotype" w:eastAsia="Palatino Linotype" w:hAnsi="Palatino Linotype" w:cs="Palatino Linotype"/>
          <w:i/>
          <w:color w:val="000000"/>
        </w:rPr>
      </w:pPr>
      <w:bookmarkStart w:id="2" w:name="_heading=h.30j0zll" w:colFirst="0" w:colLast="0"/>
      <w:bookmarkEnd w:id="2"/>
      <w:r w:rsidRPr="009D6FFD">
        <w:rPr>
          <w:rFonts w:ascii="Palatino Linotype" w:eastAsia="Palatino Linotype" w:hAnsi="Palatino Linotype" w:cs="Palatino Linotype"/>
          <w:b/>
          <w:color w:val="000000"/>
        </w:rPr>
        <w:t xml:space="preserve">Acto impugnado: </w:t>
      </w:r>
      <w:r w:rsidRPr="009D6FFD">
        <w:rPr>
          <w:rFonts w:ascii="Palatino Linotype" w:eastAsia="Palatino Linotype" w:hAnsi="Palatino Linotype" w:cs="Palatino Linotype"/>
          <w:i/>
          <w:color w:val="000000"/>
        </w:rPr>
        <w:t>“no se encuentra la información que se le solicitó.”</w:t>
      </w:r>
    </w:p>
    <w:p w:rsidR="0050276A" w:rsidRPr="009D6FFD" w:rsidRDefault="0050276A">
      <w:pPr>
        <w:pBdr>
          <w:top w:val="nil"/>
          <w:left w:val="nil"/>
          <w:bottom w:val="nil"/>
          <w:right w:val="nil"/>
          <w:between w:val="nil"/>
        </w:pBdr>
        <w:spacing w:line="360" w:lineRule="auto"/>
        <w:ind w:left="709" w:right="426"/>
        <w:jc w:val="both"/>
        <w:rPr>
          <w:rFonts w:ascii="Palatino Linotype" w:eastAsia="Palatino Linotype" w:hAnsi="Palatino Linotype" w:cs="Palatino Linotype"/>
          <w:i/>
          <w:color w:val="000000"/>
        </w:rPr>
      </w:pPr>
    </w:p>
    <w:p w:rsidR="0050276A" w:rsidRPr="009D6FFD" w:rsidRDefault="00E54209">
      <w:pPr>
        <w:numPr>
          <w:ilvl w:val="0"/>
          <w:numId w:val="3"/>
        </w:numPr>
        <w:pBdr>
          <w:top w:val="nil"/>
          <w:left w:val="nil"/>
          <w:bottom w:val="nil"/>
          <w:right w:val="nil"/>
          <w:between w:val="nil"/>
        </w:pBdr>
        <w:spacing w:line="360" w:lineRule="auto"/>
        <w:ind w:left="709" w:right="426"/>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b/>
          <w:color w:val="000000"/>
        </w:rPr>
        <w:t>Razones o Motivos de Inconformidad:</w:t>
      </w:r>
      <w:r w:rsidRPr="009D6FFD">
        <w:rPr>
          <w:rFonts w:ascii="Palatino Linotype" w:eastAsia="Palatino Linotype" w:hAnsi="Palatino Linotype" w:cs="Palatino Linotype"/>
          <w:i/>
          <w:color w:val="000000"/>
        </w:rPr>
        <w:t xml:space="preserve"> “el director del instituto de cultura física y deporte de Cocotitlán argumenta que los manuales, reglamentos etc, siguen vigentes, a lo que nos queda dudas puesto qué ya está publicado su bando municipal desde el mes de febrero y a más de 5 meses aun argumentan que se encuentran en proceso de realización, cuando se logra apreciar que el reglamento que se adjunta está totalmente incompleto , si su normatividad ya cambio ,porque se me hace entrega de documentos y que consulte información de la administración pasada.</w:t>
      </w:r>
    </w:p>
    <w:p w:rsidR="0050276A" w:rsidRPr="009D6FFD" w:rsidRDefault="0050276A">
      <w:pPr>
        <w:spacing w:line="360" w:lineRule="auto"/>
        <w:jc w:val="both"/>
        <w:rPr>
          <w:rFonts w:ascii="Palatino Linotype" w:eastAsia="Palatino Linotype" w:hAnsi="Palatino Linotype" w:cs="Palatino Linotype"/>
          <w:b/>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La Comisionada Ponente con fundamento en lo dispuesto por el artículo 185 fracción II de la ley de la materia, a través del acuerdo de admisión de fecha veintitrés de mayo</w:t>
      </w:r>
      <w:r w:rsidRPr="009D6FFD">
        <w:rPr>
          <w:rFonts w:ascii="Palatino Linotype" w:eastAsia="Palatino Linotype" w:hAnsi="Palatino Linotype" w:cs="Palatino Linotype"/>
          <w:b/>
          <w:color w:val="000000"/>
        </w:rPr>
        <w:t xml:space="preserve"> </w:t>
      </w:r>
      <w:r w:rsidRPr="009D6FFD">
        <w:rPr>
          <w:rFonts w:ascii="Palatino Linotype" w:eastAsia="Palatino Linotype" w:hAnsi="Palatino Linotype" w:cs="Palatino Linotype"/>
          <w:color w:val="000000"/>
        </w:rPr>
        <w:t xml:space="preserve">de dos mil veinticinco, puso a disposición de las partes el expediente electrónico vía </w:t>
      </w:r>
      <w:r w:rsidRPr="009D6FFD">
        <w:rPr>
          <w:rFonts w:ascii="Palatino Linotype" w:eastAsia="Palatino Linotype" w:hAnsi="Palatino Linotype" w:cs="Palatino Linotype"/>
          <w:b/>
          <w:color w:val="000000"/>
        </w:rPr>
        <w:t xml:space="preserve">SAIMEX </w:t>
      </w:r>
      <w:r w:rsidRPr="009D6FFD">
        <w:rPr>
          <w:rFonts w:ascii="Palatino Linotype" w:eastAsia="Palatino Linotype" w:hAnsi="Palatino Linotype" w:cs="Palatino Linotype"/>
          <w:color w:val="000000"/>
        </w:rPr>
        <w:t xml:space="preserve">a efecto de que en un plazo máximo de siete días </w:t>
      </w:r>
      <w:r w:rsidRPr="009D6FFD">
        <w:rPr>
          <w:rFonts w:ascii="Palatino Linotype" w:eastAsia="Palatino Linotype" w:hAnsi="Palatino Linotype" w:cs="Palatino Linotype"/>
        </w:rPr>
        <w:t>manifestara</w:t>
      </w:r>
      <w:r w:rsidRPr="009D6FFD">
        <w:rPr>
          <w:rFonts w:ascii="Palatino Linotype" w:eastAsia="Palatino Linotype" w:hAnsi="Palatino Linotype" w:cs="Palatino Linotype"/>
          <w:color w:val="000000"/>
        </w:rPr>
        <w:t xml:space="preserve"> lo que a su derecho conviniera, </w:t>
      </w:r>
      <w:r w:rsidRPr="009D6FFD">
        <w:rPr>
          <w:rFonts w:ascii="Palatino Linotype" w:eastAsia="Palatino Linotype" w:hAnsi="Palatino Linotype" w:cs="Palatino Linotype"/>
        </w:rPr>
        <w:t>ofreciera</w:t>
      </w:r>
      <w:r w:rsidRPr="009D6FFD">
        <w:rPr>
          <w:rFonts w:ascii="Palatino Linotype" w:eastAsia="Palatino Linotype" w:hAnsi="Palatino Linotype" w:cs="Palatino Linotype"/>
          <w:color w:val="000000"/>
        </w:rPr>
        <w:t xml:space="preserve"> pruebas y alegatos según corresponda a los casos concretos, y el </w:t>
      </w:r>
      <w:r w:rsidRPr="009D6FFD">
        <w:rPr>
          <w:rFonts w:ascii="Palatino Linotype" w:eastAsia="Palatino Linotype" w:hAnsi="Palatino Linotype" w:cs="Palatino Linotype"/>
          <w:b/>
          <w:color w:val="000000"/>
        </w:rPr>
        <w:t>SUJETO OBLIGADO</w:t>
      </w:r>
      <w:r w:rsidRPr="009D6FFD">
        <w:rPr>
          <w:rFonts w:ascii="Palatino Linotype" w:eastAsia="Palatino Linotype" w:hAnsi="Palatino Linotype" w:cs="Palatino Linotype"/>
          <w:color w:val="000000"/>
        </w:rPr>
        <w:t xml:space="preserve"> presentará el Informe Justificado procedente.</w:t>
      </w: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lastRenderedPageBreak/>
        <w:t xml:space="preserve">No obstante el </w:t>
      </w:r>
      <w:r w:rsidRPr="009D6FFD">
        <w:rPr>
          <w:rFonts w:ascii="Palatino Linotype" w:eastAsia="Palatino Linotype" w:hAnsi="Palatino Linotype" w:cs="Palatino Linotype"/>
          <w:b/>
          <w:color w:val="000000"/>
        </w:rPr>
        <w:t>SUJETO OBLIGADO</w:t>
      </w:r>
      <w:r w:rsidRPr="009D6FFD">
        <w:rPr>
          <w:rFonts w:ascii="Palatino Linotype" w:eastAsia="Palatino Linotype" w:hAnsi="Palatino Linotype" w:cs="Palatino Linotype"/>
          <w:color w:val="000000"/>
        </w:rPr>
        <w:t xml:space="preserve"> fue omiso en rendir el informe justificado correspondiente. Por su parte el solicitante fue omiso en realizar manifestaciones que a su derecho conviniera y asistiera.</w:t>
      </w:r>
    </w:p>
    <w:p w:rsidR="0050276A" w:rsidRPr="009D6FFD" w:rsidRDefault="0050276A">
      <w:pPr>
        <w:pBdr>
          <w:top w:val="nil"/>
          <w:left w:val="nil"/>
          <w:bottom w:val="nil"/>
          <w:right w:val="nil"/>
          <w:between w:val="nil"/>
        </w:pBdr>
        <w:ind w:left="720"/>
        <w:rPr>
          <w:rFonts w:ascii="Palatino Linotype" w:eastAsia="Palatino Linotype" w:hAnsi="Palatino Linotype" w:cs="Palatino Linotype"/>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1fob9te" w:colFirst="0" w:colLast="0"/>
      <w:bookmarkEnd w:id="3"/>
      <w:r w:rsidRPr="009D6FFD">
        <w:rPr>
          <w:rFonts w:ascii="Palatino Linotype" w:eastAsia="Palatino Linotype" w:hAnsi="Palatino Linotype" w:cs="Palatino Linotype"/>
          <w:color w:val="000000"/>
        </w:rPr>
        <w:t xml:space="preserve">Seguidamente, mediante acuerdo de fecha </w:t>
      </w:r>
      <w:r w:rsidRPr="009D6FFD">
        <w:rPr>
          <w:rFonts w:ascii="Palatino Linotype" w:eastAsia="Palatino Linotype" w:hAnsi="Palatino Linotype" w:cs="Palatino Linotype"/>
          <w:b/>
          <w:color w:val="000000"/>
        </w:rPr>
        <w:t>tres de julio de dos mil veinticinco</w:t>
      </w:r>
      <w:r w:rsidRPr="009D6FFD">
        <w:rPr>
          <w:rFonts w:ascii="Palatino Linotype" w:eastAsia="Palatino Linotype" w:hAnsi="Palatino Linotype" w:cs="Palatino Linotype"/>
          <w:color w:val="000000"/>
        </w:rPr>
        <w:t xml:space="preserve"> se amplió el termino para resolver, consecutivamente mediante acuerdo de misma fecha, se decretó el cierre de instrucción, por lo que no habiendo más que hacer constar, y----------------</w:t>
      </w:r>
    </w:p>
    <w:p w:rsidR="0050276A" w:rsidRPr="009D6FFD" w:rsidRDefault="0050276A">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50276A" w:rsidRPr="009D6FFD" w:rsidRDefault="00E54209">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9D6FFD">
        <w:rPr>
          <w:rFonts w:ascii="Palatino Linotype" w:eastAsia="Palatino Linotype" w:hAnsi="Palatino Linotype" w:cs="Palatino Linotype"/>
          <w:b/>
          <w:color w:val="000000"/>
        </w:rPr>
        <w:t>C O N S I D E R A N D O</w:t>
      </w:r>
    </w:p>
    <w:p w:rsidR="0050276A" w:rsidRPr="009D6FFD" w:rsidRDefault="0050276A">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50276A" w:rsidRPr="009D6FFD" w:rsidRDefault="00E54209">
      <w:pPr>
        <w:pStyle w:val="Ttulo2"/>
        <w:spacing w:before="0"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9D6FFD">
        <w:rPr>
          <w:rFonts w:ascii="Palatino Linotype" w:eastAsia="Palatino Linotype" w:hAnsi="Palatino Linotype" w:cs="Palatino Linotype"/>
          <w:b/>
          <w:color w:val="000000"/>
          <w:sz w:val="24"/>
          <w:szCs w:val="24"/>
        </w:rPr>
        <w:t>PRIMERO. De la competencia</w:t>
      </w: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0276A" w:rsidRPr="009D6FFD" w:rsidRDefault="0050276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50276A" w:rsidRPr="009D6FFD" w:rsidRDefault="00E54209">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9D6FFD">
        <w:rPr>
          <w:rFonts w:ascii="Palatino Linotype" w:eastAsia="Palatino Linotype" w:hAnsi="Palatino Linotype" w:cs="Palatino Linotype"/>
          <w:b/>
          <w:color w:val="000000"/>
          <w:sz w:val="24"/>
          <w:szCs w:val="24"/>
        </w:rPr>
        <w:t>SEGUNDO. De la oportunidad y procedencia.</w:t>
      </w: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Este Órgano Garante considera que el medio de impugnación reúne los requisitos de procedencia </w:t>
      </w:r>
      <w:r w:rsidRPr="009D6FFD">
        <w:rPr>
          <w:rFonts w:ascii="Palatino Linotype" w:eastAsia="Palatino Linotype" w:hAnsi="Palatino Linotype" w:cs="Palatino Linotype"/>
          <w:color w:val="000000"/>
        </w:rPr>
        <w:t xml:space="preserve">toda vez que: el recurso fue presentado dentro del plazo establecido en el </w:t>
      </w:r>
      <w:r w:rsidRPr="009D6FFD">
        <w:rPr>
          <w:rFonts w:ascii="Palatino Linotype" w:eastAsia="Palatino Linotype" w:hAnsi="Palatino Linotype" w:cs="Palatino Linotype"/>
          <w:color w:val="000000"/>
        </w:rPr>
        <w:lastRenderedPageBreak/>
        <w:t xml:space="preserve">artículo 178 de la Ley de Transparencia y Acceso a la Información Pública del Estado de México y Municipios; asimismo no se tiene conocimiento de que se encuentre en trámite algún medio de defensa presentado por </w:t>
      </w:r>
      <w:r w:rsidRPr="009D6FFD">
        <w:rPr>
          <w:rFonts w:ascii="Palatino Linotype" w:eastAsia="Palatino Linotype" w:hAnsi="Palatino Linotype" w:cs="Palatino Linotype"/>
          <w:b/>
          <w:color w:val="000000"/>
        </w:rPr>
        <w:t>LA RECURRENTE</w:t>
      </w:r>
      <w:r w:rsidRPr="009D6FFD">
        <w:rPr>
          <w:rFonts w:ascii="Palatino Linotype" w:eastAsia="Palatino Linotype" w:hAnsi="Palatino Linotype" w:cs="Palatino Linotype"/>
          <w:color w:val="000000"/>
        </w:rPr>
        <w:t xml:space="preserve"> ante otra instancia.</w:t>
      </w:r>
    </w:p>
    <w:p w:rsidR="0050276A" w:rsidRPr="009D6FFD" w:rsidRDefault="0050276A">
      <w:pPr>
        <w:spacing w:line="360" w:lineRule="auto"/>
        <w:jc w:val="both"/>
        <w:rPr>
          <w:rFonts w:ascii="Palatino Linotype" w:eastAsia="Palatino Linotype" w:hAnsi="Palatino Linotype" w:cs="Palatino Linotype"/>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0276A" w:rsidRPr="009D6FFD" w:rsidRDefault="00E54209">
      <w:pPr>
        <w:spacing w:line="360" w:lineRule="auto"/>
        <w:ind w:left="567" w:right="567"/>
        <w:jc w:val="both"/>
        <w:rPr>
          <w:rFonts w:ascii="Palatino Linotype" w:eastAsia="Palatino Linotype" w:hAnsi="Palatino Linotype" w:cs="Palatino Linotype"/>
          <w:i/>
        </w:rPr>
      </w:pPr>
      <w:r w:rsidRPr="009D6FFD">
        <w:rPr>
          <w:rFonts w:ascii="Palatino Linotype" w:eastAsia="Palatino Linotype" w:hAnsi="Palatino Linotype" w:cs="Palatino Linotype"/>
          <w:i/>
        </w:rPr>
        <w:t>"</w:t>
      </w:r>
      <w:r w:rsidRPr="009D6FFD">
        <w:rPr>
          <w:rFonts w:ascii="Palatino Linotype" w:eastAsia="Palatino Linotype" w:hAnsi="Palatino Linotype" w:cs="Palatino Linotype"/>
          <w:b/>
          <w:i/>
        </w:rPr>
        <w:t>Las solicitudes anónimas</w:t>
      </w:r>
      <w:r w:rsidRPr="009D6FFD">
        <w:rPr>
          <w:rFonts w:ascii="Palatino Linotype" w:eastAsia="Palatino Linotype" w:hAnsi="Palatino Linotype" w:cs="Palatino Linotype"/>
          <w:i/>
        </w:rPr>
        <w:t xml:space="preserve">, con nombre incompleto o seudónimo </w:t>
      </w:r>
      <w:r w:rsidRPr="009D6FFD">
        <w:rPr>
          <w:rFonts w:ascii="Palatino Linotype" w:eastAsia="Palatino Linotype" w:hAnsi="Palatino Linotype" w:cs="Palatino Linotype"/>
          <w:b/>
          <w:i/>
        </w:rPr>
        <w:t>serán procedentes para su trámite por parte del sujeto obligado ante quien se presente</w:t>
      </w:r>
      <w:r w:rsidRPr="009D6FFD">
        <w:rPr>
          <w:rFonts w:ascii="Palatino Linotype" w:eastAsia="Palatino Linotype" w:hAnsi="Palatino Linotype" w:cs="Palatino Linotype"/>
          <w:i/>
        </w:rPr>
        <w:t>. No podrá requerirse información adicional con motivo del nombre proporcionado por el solicitante."</w:t>
      </w:r>
    </w:p>
    <w:p w:rsidR="0050276A" w:rsidRPr="009D6FFD" w:rsidRDefault="0050276A">
      <w:pPr>
        <w:spacing w:line="360" w:lineRule="auto"/>
        <w:rPr>
          <w:rFonts w:ascii="Palatino Linotype" w:eastAsia="Palatino Linotype" w:hAnsi="Palatino Linotype" w:cs="Palatino Linotype"/>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w:t>
      </w:r>
    </w:p>
    <w:p w:rsidR="0050276A" w:rsidRPr="009D6FFD" w:rsidRDefault="0050276A">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50276A" w:rsidRPr="009D6FFD" w:rsidRDefault="00E54209">
      <w:pPr>
        <w:pStyle w:val="Ttulo1"/>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9D6FFD">
        <w:rPr>
          <w:rFonts w:ascii="Palatino Linotype" w:eastAsia="Palatino Linotype" w:hAnsi="Palatino Linotype" w:cs="Palatino Linotype"/>
          <w:b/>
          <w:color w:val="000000"/>
          <w:sz w:val="24"/>
          <w:szCs w:val="24"/>
        </w:rPr>
        <w:t xml:space="preserve">TERCERO. Del planteamiento de la </w:t>
      </w:r>
      <w:r w:rsidRPr="009D6FFD">
        <w:rPr>
          <w:rFonts w:ascii="Palatino Linotype" w:eastAsia="Palatino Linotype" w:hAnsi="Palatino Linotype" w:cs="Palatino Linotype"/>
          <w:b/>
          <w:i/>
          <w:color w:val="000000"/>
          <w:sz w:val="24"/>
          <w:szCs w:val="24"/>
        </w:rPr>
        <w:t>Litis</w:t>
      </w:r>
      <w:r w:rsidRPr="009D6FFD">
        <w:rPr>
          <w:rFonts w:ascii="Palatino Linotype" w:eastAsia="Palatino Linotype" w:hAnsi="Palatino Linotype" w:cs="Palatino Linotype"/>
          <w:b/>
          <w:color w:val="000000"/>
          <w:sz w:val="24"/>
          <w:szCs w:val="24"/>
        </w:rPr>
        <w:t>.</w:t>
      </w: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Se solicitó tener acceso, a la información que a continuación se desagrega:</w:t>
      </w:r>
    </w:p>
    <w:p w:rsidR="0050276A" w:rsidRPr="009D6FFD" w:rsidRDefault="00E54209">
      <w:pPr>
        <w:numPr>
          <w:ilvl w:val="0"/>
          <w:numId w:val="4"/>
        </w:numPr>
        <w:pBdr>
          <w:top w:val="nil"/>
          <w:left w:val="nil"/>
          <w:bottom w:val="nil"/>
          <w:right w:val="nil"/>
          <w:between w:val="nil"/>
        </w:pBdr>
        <w:spacing w:line="360" w:lineRule="auto"/>
        <w:ind w:left="709" w:right="567"/>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Manual de procedimientos, manual de organización y Reglamento Interno del IMCUFIDE de la actual administración 2025-2027.</w:t>
      </w:r>
    </w:p>
    <w:p w:rsidR="0050276A" w:rsidRPr="009D6FFD" w:rsidRDefault="0050276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rPr>
        <w:lastRenderedPageBreak/>
        <w:t xml:space="preserve">En respuesta, el </w:t>
      </w:r>
      <w:r w:rsidRPr="009D6FFD">
        <w:rPr>
          <w:rFonts w:ascii="Palatino Linotype" w:eastAsia="Palatino Linotype" w:hAnsi="Palatino Linotype" w:cs="Palatino Linotype"/>
          <w:b/>
        </w:rPr>
        <w:t xml:space="preserve">SUJETO OBLIGADO </w:t>
      </w:r>
      <w:r w:rsidRPr="009D6FFD">
        <w:rPr>
          <w:rFonts w:ascii="Palatino Linotype" w:eastAsia="Palatino Linotype" w:hAnsi="Palatino Linotype" w:cs="Palatino Linotype"/>
        </w:rPr>
        <w:t>remitió la información ya descrita en el párrafo 2. Inconforme con la misma, se interpuso recurso de revisión en contra de la entrega de la información incompleta, al no anexarse toda la normatividad solicitada; asimismo porque el reglamento entregado a decir del solicitante se encuentra incompleto.</w:t>
      </w:r>
    </w:p>
    <w:p w:rsidR="0050276A" w:rsidRPr="009D6FFD" w:rsidRDefault="0050276A">
      <w:pPr>
        <w:tabs>
          <w:tab w:val="left" w:pos="933"/>
        </w:tabs>
        <w:spacing w:line="360" w:lineRule="auto"/>
        <w:jc w:val="both"/>
        <w:rPr>
          <w:rFonts w:ascii="Palatino Linotype" w:eastAsia="Palatino Linotype" w:hAnsi="Palatino Linotype" w:cs="Palatino Linotype"/>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En dichas condiciones la </w:t>
      </w:r>
      <w:r w:rsidRPr="009D6FFD">
        <w:rPr>
          <w:rFonts w:ascii="Palatino Linotype" w:eastAsia="Palatino Linotype" w:hAnsi="Palatino Linotype" w:cs="Palatino Linotype"/>
          <w:i/>
        </w:rPr>
        <w:t>Litis</w:t>
      </w:r>
      <w:r w:rsidRPr="009D6FFD">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9D6FFD">
        <w:rPr>
          <w:rFonts w:ascii="Palatino Linotype" w:eastAsia="Palatino Linotype" w:hAnsi="Palatino Linotype" w:cs="Palatino Linotype"/>
          <w:b/>
        </w:rPr>
        <w:t xml:space="preserve">fracción V </w:t>
      </w:r>
      <w:r w:rsidRPr="009D6FFD">
        <w:rPr>
          <w:rFonts w:ascii="Palatino Linotype" w:eastAsia="Palatino Linotype" w:hAnsi="Palatino Linotype" w:cs="Palatino Linotype"/>
        </w:rPr>
        <w:t xml:space="preserve">de la </w:t>
      </w:r>
      <w:r w:rsidRPr="009D6FFD">
        <w:rPr>
          <w:rFonts w:ascii="Palatino Linotype" w:eastAsia="Palatino Linotype" w:hAnsi="Palatino Linotype" w:cs="Palatino Linotype"/>
          <w:b/>
        </w:rPr>
        <w:t>Ley de Transparencia y Acceso a la Información Pública del Estado de México y Municipios</w:t>
      </w:r>
      <w:r w:rsidRPr="009D6FFD">
        <w:rPr>
          <w:rFonts w:ascii="Palatino Linotype" w:eastAsia="Palatino Linotype" w:hAnsi="Palatino Linotype" w:cs="Palatino Linotype"/>
          <w:color w:val="000000"/>
        </w:rPr>
        <w:t>;</w:t>
      </w:r>
      <w:r w:rsidRPr="009D6FFD">
        <w:rPr>
          <w:rFonts w:ascii="Palatino Linotype" w:eastAsia="Palatino Linotype" w:hAnsi="Palatino Linotype" w:cs="Palatino Linotype"/>
        </w:rPr>
        <w:t xml:space="preserve"> fracción que determina la hipótesis jurídica relativa a la entrega de información incompleta; contexto del cual se dolió </w:t>
      </w:r>
      <w:r w:rsidRPr="009D6FFD">
        <w:rPr>
          <w:rFonts w:ascii="Palatino Linotype" w:eastAsia="Palatino Linotype" w:hAnsi="Palatino Linotype" w:cs="Palatino Linotype"/>
          <w:b/>
        </w:rPr>
        <w:t xml:space="preserve">EL RECURRENTE </w:t>
      </w:r>
      <w:r w:rsidRPr="009D6FFD">
        <w:rPr>
          <w:rFonts w:ascii="Palatino Linotype" w:eastAsia="Palatino Linotype" w:hAnsi="Palatino Linotype" w:cs="Palatino Linotype"/>
        </w:rPr>
        <w:t>al momento de interponer su inconformidad.</w:t>
      </w:r>
    </w:p>
    <w:p w:rsidR="0050276A" w:rsidRPr="009D6FFD" w:rsidRDefault="0050276A">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color w:val="000000"/>
        </w:rPr>
        <w:t xml:space="preserve">De modo tal que el presente Recurso de Revisión se </w:t>
      </w:r>
      <w:r w:rsidRPr="009D6FFD">
        <w:rPr>
          <w:rFonts w:ascii="Palatino Linotype" w:eastAsia="Palatino Linotype" w:hAnsi="Palatino Linotype" w:cs="Palatino Linotype"/>
        </w:rPr>
        <w:t>abocará</w:t>
      </w:r>
      <w:r w:rsidRPr="009D6FFD">
        <w:rPr>
          <w:rFonts w:ascii="Palatino Linotype" w:eastAsia="Palatino Linotype" w:hAnsi="Palatino Linotype" w:cs="Palatino Linotype"/>
          <w:color w:val="000000"/>
        </w:rPr>
        <w:t xml:space="preserve"> en determinar si el </w:t>
      </w:r>
      <w:r w:rsidRPr="009D6FFD">
        <w:rPr>
          <w:rFonts w:ascii="Palatino Linotype" w:eastAsia="Palatino Linotype" w:hAnsi="Palatino Linotype" w:cs="Palatino Linotype"/>
          <w:b/>
          <w:color w:val="000000"/>
        </w:rPr>
        <w:t>SUJETO</w:t>
      </w:r>
      <w:r w:rsidRPr="009D6FFD">
        <w:rPr>
          <w:rFonts w:ascii="Palatino Linotype" w:eastAsia="Palatino Linotype" w:hAnsi="Palatino Linotype" w:cs="Palatino Linotype"/>
          <w:color w:val="000000"/>
        </w:rPr>
        <w:t xml:space="preserve"> </w:t>
      </w:r>
      <w:r w:rsidRPr="009D6FFD">
        <w:rPr>
          <w:rFonts w:ascii="Palatino Linotype" w:eastAsia="Palatino Linotype" w:hAnsi="Palatino Linotype" w:cs="Palatino Linotype"/>
          <w:b/>
          <w:color w:val="000000"/>
        </w:rPr>
        <w:t>OBLIGADO</w:t>
      </w:r>
      <w:r w:rsidRPr="009D6FFD">
        <w:rPr>
          <w:rFonts w:ascii="Palatino Linotype" w:eastAsia="Palatino Linotype" w:hAnsi="Palatino Linotype" w:cs="Palatino Linotype"/>
          <w:color w:val="000000"/>
        </w:rPr>
        <w:t xml:space="preserve"> con su respuesta ciertamente actualiza la causal de procedencia</w:t>
      </w:r>
      <w:r w:rsidRPr="009D6FFD">
        <w:rPr>
          <w:rFonts w:ascii="Palatino Linotype" w:eastAsia="Palatino Linotype" w:hAnsi="Palatino Linotype" w:cs="Palatino Linotype"/>
          <w:b/>
          <w:color w:val="000000"/>
        </w:rPr>
        <w:t xml:space="preserve"> </w:t>
      </w:r>
      <w:r w:rsidRPr="009D6FFD">
        <w:rPr>
          <w:rFonts w:ascii="Palatino Linotype" w:eastAsia="Palatino Linotype" w:hAnsi="Palatino Linotype" w:cs="Palatino Linotype"/>
          <w:color w:val="000000"/>
        </w:rPr>
        <w:t xml:space="preserve">antes señalada. </w:t>
      </w:r>
    </w:p>
    <w:p w:rsidR="0050276A" w:rsidRPr="009D6FFD" w:rsidRDefault="0050276A">
      <w:pPr>
        <w:spacing w:line="360" w:lineRule="auto"/>
        <w:jc w:val="both"/>
        <w:rPr>
          <w:rFonts w:ascii="Palatino Linotype" w:eastAsia="Palatino Linotype" w:hAnsi="Palatino Linotype" w:cs="Palatino Linotype"/>
          <w:color w:val="000000"/>
        </w:rPr>
      </w:pPr>
    </w:p>
    <w:p w:rsidR="0050276A" w:rsidRPr="009D6FFD" w:rsidRDefault="00E54209">
      <w:pPr>
        <w:pStyle w:val="Ttulo2"/>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9D6FFD">
        <w:rPr>
          <w:rFonts w:ascii="Palatino Linotype" w:eastAsia="Palatino Linotype" w:hAnsi="Palatino Linotype" w:cs="Palatino Linotype"/>
          <w:b/>
          <w:color w:val="000000"/>
          <w:sz w:val="24"/>
          <w:szCs w:val="24"/>
        </w:rPr>
        <w:t>CUARTO. Del estudio y resolución del asunto.</w:t>
      </w: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w:t>
      </w:r>
      <w:r w:rsidRPr="009D6FFD">
        <w:rPr>
          <w:rFonts w:ascii="Palatino Linotype" w:eastAsia="Palatino Linotype" w:hAnsi="Palatino Linotype" w:cs="Palatino Linotype"/>
          <w:color w:val="000000"/>
        </w:rPr>
        <w:t>determina</w:t>
      </w:r>
      <w:r w:rsidRPr="009D6FFD">
        <w:rPr>
          <w:rFonts w:ascii="Palatino Linotype" w:eastAsia="Palatino Linotype" w:hAnsi="Palatino Linotype" w:cs="Palatino Linotype"/>
        </w:rPr>
        <w:t xml:space="preserve">,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9D6FFD">
        <w:rPr>
          <w:rFonts w:ascii="Palatino Linotype" w:eastAsia="Palatino Linotype" w:hAnsi="Palatino Linotype" w:cs="Palatino Linotype"/>
        </w:rPr>
        <w:lastRenderedPageBreak/>
        <w:t>funciones desde su origen la eventual publicidad y reutilización de la información que generen.</w:t>
      </w:r>
    </w:p>
    <w:p w:rsidR="0050276A" w:rsidRPr="009D6FFD" w:rsidRDefault="0050276A">
      <w:pPr>
        <w:spacing w:line="360" w:lineRule="auto"/>
        <w:ind w:right="-929"/>
        <w:jc w:val="both"/>
        <w:rPr>
          <w:rFonts w:ascii="Palatino Linotype" w:eastAsia="Palatino Linotype" w:hAnsi="Palatino Linotype" w:cs="Palatino Linotype"/>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0276A" w:rsidRPr="009D6FFD" w:rsidRDefault="0050276A">
      <w:pPr>
        <w:pBdr>
          <w:top w:val="nil"/>
          <w:left w:val="nil"/>
          <w:bottom w:val="nil"/>
          <w:right w:val="nil"/>
          <w:between w:val="nil"/>
        </w:pBdr>
        <w:spacing w:line="360" w:lineRule="auto"/>
        <w:ind w:left="720" w:right="-929"/>
        <w:rPr>
          <w:rFonts w:ascii="Palatino Linotype" w:eastAsia="Palatino Linotype" w:hAnsi="Palatino Linotype" w:cs="Palatino Linotype"/>
          <w:color w:val="000000"/>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0276A" w:rsidRPr="009D6FFD" w:rsidRDefault="0050276A">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Una vez sentado lo anterior, resulta dable traer a contexto el documento remitido en respuesta y que corresponde al Reglamento del Instituto Municipal de Cultura Física y Deporte de Cocotitlán, el cual, luego de una revisión no se advirtió incompleto como señaló el ahora </w:t>
      </w:r>
      <w:r w:rsidRPr="009D6FFD">
        <w:rPr>
          <w:rFonts w:ascii="Palatino Linotype" w:eastAsia="Palatino Linotype" w:hAnsi="Palatino Linotype" w:cs="Palatino Linotype"/>
          <w:b/>
        </w:rPr>
        <w:t>RECURRENTE</w:t>
      </w:r>
      <w:r w:rsidRPr="009D6FFD">
        <w:rPr>
          <w:rFonts w:ascii="Palatino Linotype" w:eastAsia="Palatino Linotype" w:hAnsi="Palatino Linotype" w:cs="Palatino Linotype"/>
        </w:rPr>
        <w:t xml:space="preserve"> en su escrito recursal.</w:t>
      </w: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lastRenderedPageBreak/>
        <w:t xml:space="preserve">Ahora bien respecto de su vigencia es dable señalar que no existe un marco normativo que constriña al </w:t>
      </w:r>
      <w:r w:rsidRPr="009D6FFD">
        <w:rPr>
          <w:rFonts w:ascii="Palatino Linotype" w:eastAsia="Palatino Linotype" w:hAnsi="Palatino Linotype" w:cs="Palatino Linotype"/>
          <w:b/>
        </w:rPr>
        <w:t>SUJETO OBLIGADO</w:t>
      </w:r>
      <w:r w:rsidRPr="009D6FFD">
        <w:rPr>
          <w:rFonts w:ascii="Palatino Linotype" w:eastAsia="Palatino Linotype" w:hAnsi="Palatino Linotype" w:cs="Palatino Linotype"/>
        </w:rPr>
        <w:t xml:space="preserve"> a que luego del cambio de una administración pública municipal, emita una nueva normatividad de su organización interna; es decir que pueden continuar vigente la normatividad que se encontraba al momento del cambio de administración hasta en tanto no se abrogue o deroguen todas aquellas disposiciones del Reglamento; toda vez que las normas jurídicas (leyes, reglamentos, decretos) no pierden validez por el simple paso del tiempo, sino que requieren ser expresamente derogadas o sustituidas por una nueva disposición. Luego entonces, ciertamente es posible que el Reglamento entregado sea el vigente y aplicable aun y cuando sea de una administración anterior a la actual, por lo que en relatadas circunstancias se tiene por colmado el rubro en comento.</w:t>
      </w:r>
    </w:p>
    <w:p w:rsidR="0050276A" w:rsidRPr="009D6FFD" w:rsidRDefault="0050276A">
      <w:pPr>
        <w:pBdr>
          <w:top w:val="nil"/>
          <w:left w:val="nil"/>
          <w:bottom w:val="nil"/>
          <w:right w:val="nil"/>
          <w:between w:val="nil"/>
        </w:pBdr>
        <w:ind w:left="720"/>
        <w:rPr>
          <w:rFonts w:ascii="Palatino Linotype" w:eastAsia="Palatino Linotype" w:hAnsi="Palatino Linotype" w:cs="Palatino Linotype"/>
          <w:color w:val="000000"/>
        </w:rPr>
      </w:pPr>
    </w:p>
    <w:p w:rsidR="0050276A" w:rsidRPr="009D6FFD" w:rsidRDefault="0050276A">
      <w:pPr>
        <w:pBdr>
          <w:top w:val="nil"/>
          <w:left w:val="nil"/>
          <w:bottom w:val="nil"/>
          <w:right w:val="nil"/>
          <w:between w:val="nil"/>
        </w:pBdr>
        <w:ind w:left="720"/>
        <w:rPr>
          <w:rFonts w:ascii="Palatino Linotype" w:eastAsia="Palatino Linotype" w:hAnsi="Palatino Linotype" w:cs="Palatino Linotype"/>
          <w:color w:val="000000"/>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Respecto del Manual de Procedimientos y Manual de Organización, se aduce que se encuentran en elaboración derivado de que no existe precedente de dicha normatividad de la administración anterior. Al respecto, si bien es cierto es posible que se encuentren en elaboración, se retoman los argumentos anteriores, que es posible que exista una normatividad anterior que es la que se encuentre vigente con independencia de que se esté elaborando una nueva. Al respecto el </w:t>
      </w:r>
      <w:r w:rsidRPr="009D6FFD">
        <w:rPr>
          <w:rFonts w:ascii="Palatino Linotype" w:eastAsia="Palatino Linotype" w:hAnsi="Palatino Linotype" w:cs="Palatino Linotype"/>
          <w:b/>
        </w:rPr>
        <w:t>SUJETO OBLIGADO</w:t>
      </w:r>
      <w:r w:rsidRPr="009D6FFD">
        <w:rPr>
          <w:rFonts w:ascii="Palatino Linotype" w:eastAsia="Palatino Linotype" w:hAnsi="Palatino Linotype" w:cs="Palatino Linotype"/>
        </w:rPr>
        <w:t xml:space="preserve"> señala que no hay precedente de la anterior administración; contestación que resulta ambigua porque precisa solo respecto de la anterior administración, sin precisar la existencia de normatividad de cualquier otra administración pasada, no solo la predecesora; o bien si nunca se ha elaborado normatividad al respecto.</w:t>
      </w:r>
    </w:p>
    <w:p w:rsidR="0050276A" w:rsidRPr="009D6FFD" w:rsidRDefault="0050276A">
      <w:pPr>
        <w:spacing w:line="360" w:lineRule="auto"/>
        <w:jc w:val="both"/>
        <w:rPr>
          <w:rFonts w:ascii="Palatino Linotype" w:eastAsia="Palatino Linotype" w:hAnsi="Palatino Linotype" w:cs="Palatino Linotype"/>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lastRenderedPageBreak/>
        <w:t>Lo anterior resulta importa, pues como se dijo con anterioridad, de existir manuales de cualquier otra administración pasada, además de la anterior a la actual, se consideran vigentes hasta en tanto no se deroguen o modifiquen siguiendo un procedimiento formal y su correspondiente publicación, reiterando que un reglamento sigue vigente por defecto hasta que una autoridad competente lo reemplace o derogue formalmente, en observancia al principio general del derecho "</w:t>
      </w:r>
      <w:r w:rsidRPr="009D6FFD">
        <w:rPr>
          <w:rFonts w:ascii="Palatino Linotype" w:eastAsia="Palatino Linotype" w:hAnsi="Palatino Linotype" w:cs="Palatino Linotype"/>
          <w:i/>
        </w:rPr>
        <w:t>Lex posterior derogat priori</w:t>
      </w:r>
      <w:r w:rsidRPr="009D6FFD">
        <w:rPr>
          <w:rFonts w:ascii="Palatino Linotype" w:eastAsia="Palatino Linotype" w:hAnsi="Palatino Linotype" w:cs="Palatino Linotype"/>
        </w:rPr>
        <w:t>" (Una norma posterior deroga a la anterior).</w:t>
      </w:r>
    </w:p>
    <w:p w:rsidR="0050276A" w:rsidRPr="009D6FFD" w:rsidRDefault="0050276A">
      <w:pPr>
        <w:spacing w:line="360" w:lineRule="auto"/>
        <w:jc w:val="both"/>
        <w:rPr>
          <w:rFonts w:ascii="Palatino Linotype" w:eastAsia="Palatino Linotype" w:hAnsi="Palatino Linotype" w:cs="Palatino Linotype"/>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Luego entonces es dable ordenar una nueva búsqueda exhaustiva y razonable de los manuales de procedimiento y de organización que se encuentren vigentes a la fecha de la solicitud; manuales que corresponden aquellos en los que concentra de manera ordenada, secuencial y detallada, las funciones y atribuciones que se efectúan y, que establecen y uniforma los métodos y técnicas de trabajo que deben de seguirse para la realización de las actividades, buscando evitar acciones discrecionales; controla el cumplimiento de las rutinas de trabajo; busca aumentar la eficiencia de sus funciones, al precisar las actividades, determinando para tal efecto su estructura orgánica y las funciones y responsabilidades de los integrantes de las áreas administrativas que lo integran, para garantizar que se realicen con el debido cumplimiento a los reglamentos y en su caso manuales del </w:t>
      </w:r>
      <w:r w:rsidRPr="009D6FFD">
        <w:rPr>
          <w:rFonts w:ascii="Palatino Linotype" w:eastAsia="Palatino Linotype" w:hAnsi="Palatino Linotype" w:cs="Palatino Linotype"/>
          <w:color w:val="000000"/>
        </w:rPr>
        <w:t>Instituto Municipal de Cultura Física y Deporte de Cocotitlán. Atribución que se deposita en su Junta Directiva de conformidad con la Ley que crea el Organismo Público Descentralizado Denominado  Instituto Municipal de Cultura Física y Deporte de Cocotitlan, a saber:</w:t>
      </w:r>
    </w:p>
    <w:p w:rsidR="0050276A" w:rsidRPr="009D6FFD" w:rsidRDefault="00E54209">
      <w:pPr>
        <w:spacing w:line="360" w:lineRule="auto"/>
        <w:ind w:left="426" w:right="426"/>
        <w:jc w:val="both"/>
        <w:rPr>
          <w:rFonts w:ascii="Palatino Linotype" w:eastAsia="Palatino Linotype" w:hAnsi="Palatino Linotype" w:cs="Palatino Linotype"/>
          <w:i/>
        </w:rPr>
      </w:pPr>
      <w:r w:rsidRPr="009D6FFD">
        <w:rPr>
          <w:rFonts w:ascii="Palatino Linotype" w:eastAsia="Palatino Linotype" w:hAnsi="Palatino Linotype" w:cs="Palatino Linotype"/>
          <w:i/>
        </w:rPr>
        <w:t xml:space="preserve">“Artículo 21.- Son atribuciones de la junta directiva: </w:t>
      </w:r>
    </w:p>
    <w:p w:rsidR="0050276A" w:rsidRPr="009D6FFD" w:rsidRDefault="00E54209">
      <w:pPr>
        <w:spacing w:line="360" w:lineRule="auto"/>
        <w:ind w:left="426" w:right="426"/>
        <w:jc w:val="both"/>
        <w:rPr>
          <w:rFonts w:ascii="Palatino Linotype" w:eastAsia="Palatino Linotype" w:hAnsi="Palatino Linotype" w:cs="Palatino Linotype"/>
          <w:i/>
        </w:rPr>
      </w:pPr>
      <w:r w:rsidRPr="009D6FFD">
        <w:rPr>
          <w:rFonts w:ascii="Palatino Linotype" w:eastAsia="Palatino Linotype" w:hAnsi="Palatino Linotype" w:cs="Palatino Linotype"/>
          <w:i/>
        </w:rPr>
        <w:t xml:space="preserve">I. Aprobar el reglamento interno del Instituto Municipal de Cultura Física y Deporte de Cocotitlán; </w:t>
      </w:r>
    </w:p>
    <w:p w:rsidR="0050276A" w:rsidRPr="009D6FFD" w:rsidRDefault="00E54209">
      <w:pPr>
        <w:spacing w:line="360" w:lineRule="auto"/>
        <w:ind w:left="426" w:right="426"/>
        <w:jc w:val="both"/>
        <w:rPr>
          <w:rFonts w:ascii="Palatino Linotype" w:eastAsia="Palatino Linotype" w:hAnsi="Palatino Linotype" w:cs="Palatino Linotype"/>
          <w:i/>
        </w:rPr>
      </w:pPr>
      <w:r w:rsidRPr="009D6FFD">
        <w:rPr>
          <w:rFonts w:ascii="Palatino Linotype" w:eastAsia="Palatino Linotype" w:hAnsi="Palatino Linotype" w:cs="Palatino Linotype"/>
          <w:i/>
        </w:rPr>
        <w:lastRenderedPageBreak/>
        <w:t xml:space="preserve">II. Establecer los lineamientos generales del Instituto Municipal de Cultura Física y Deporte de Cocotitlán; </w:t>
      </w:r>
    </w:p>
    <w:p w:rsidR="0050276A" w:rsidRPr="009D6FFD" w:rsidRDefault="00E54209">
      <w:pPr>
        <w:spacing w:line="360" w:lineRule="auto"/>
        <w:ind w:left="426" w:right="426"/>
        <w:jc w:val="both"/>
        <w:rPr>
          <w:rFonts w:ascii="Palatino Linotype" w:eastAsia="Palatino Linotype" w:hAnsi="Palatino Linotype" w:cs="Palatino Linotype"/>
          <w:i/>
        </w:rPr>
      </w:pPr>
      <w:r w:rsidRPr="009D6FFD">
        <w:rPr>
          <w:rFonts w:ascii="Palatino Linotype" w:eastAsia="Palatino Linotype" w:hAnsi="Palatino Linotype" w:cs="Palatino Linotype"/>
          <w:i/>
        </w:rPr>
        <w:t>III. Aprobar, en su caso, los proyectos, planes y programas que proponga el director para la consecución de sus objetivos;</w:t>
      </w:r>
    </w:p>
    <w:p w:rsidR="0050276A" w:rsidRPr="009D6FFD" w:rsidRDefault="00E54209">
      <w:pPr>
        <w:spacing w:line="360" w:lineRule="auto"/>
        <w:ind w:left="426" w:right="426"/>
        <w:jc w:val="both"/>
        <w:rPr>
          <w:rFonts w:ascii="Palatino Linotype" w:eastAsia="Palatino Linotype" w:hAnsi="Palatino Linotype" w:cs="Palatino Linotype"/>
          <w:i/>
        </w:rPr>
      </w:pPr>
      <w:r w:rsidRPr="009D6FFD">
        <w:rPr>
          <w:rFonts w:ascii="Palatino Linotype" w:eastAsia="Palatino Linotype" w:hAnsi="Palatino Linotype" w:cs="Palatino Linotype"/>
          <w:i/>
        </w:rPr>
        <w:t>…</w:t>
      </w:r>
    </w:p>
    <w:p w:rsidR="0050276A" w:rsidRPr="009D6FFD" w:rsidRDefault="00E54209">
      <w:pPr>
        <w:spacing w:line="360" w:lineRule="auto"/>
        <w:ind w:left="426" w:right="426"/>
        <w:jc w:val="both"/>
        <w:rPr>
          <w:rFonts w:ascii="Palatino Linotype" w:eastAsia="Palatino Linotype" w:hAnsi="Palatino Linotype" w:cs="Palatino Linotype"/>
          <w:i/>
        </w:rPr>
      </w:pPr>
      <w:r w:rsidRPr="009D6FFD">
        <w:rPr>
          <w:rFonts w:ascii="Palatino Linotype" w:eastAsia="Palatino Linotype" w:hAnsi="Palatino Linotype" w:cs="Palatino Linotype"/>
          <w:i/>
        </w:rPr>
        <w:t>X. Las demás que se deriven de la presente ley y de los ordenamientos jurídicos correlativos.”</w:t>
      </w:r>
    </w:p>
    <w:p w:rsidR="0050276A" w:rsidRPr="009D6FFD" w:rsidRDefault="0050276A">
      <w:pPr>
        <w:pBdr>
          <w:top w:val="nil"/>
          <w:left w:val="nil"/>
          <w:bottom w:val="nil"/>
          <w:right w:val="nil"/>
          <w:between w:val="nil"/>
        </w:pBdr>
        <w:ind w:left="720"/>
        <w:rPr>
          <w:rFonts w:ascii="Palatino Linotype" w:eastAsia="Palatino Linotype" w:hAnsi="Palatino Linotype" w:cs="Palatino Linotype"/>
          <w:color w:val="000000"/>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Derivado de lo anterior, </w:t>
      </w:r>
      <w:r w:rsidRPr="009D6FFD">
        <w:rPr>
          <w:rFonts w:ascii="Palatino Linotype" w:eastAsia="Palatino Linotype" w:hAnsi="Palatino Linotype" w:cs="Palatino Linotype"/>
          <w:b/>
        </w:rPr>
        <w:t xml:space="preserve">EL SUJETO OBLIGADO </w:t>
      </w:r>
      <w:r w:rsidRPr="009D6FFD">
        <w:rPr>
          <w:rFonts w:ascii="Palatino Linotype" w:eastAsia="Palatino Linotype" w:hAnsi="Palatino Linotype" w:cs="Palatino Linotype"/>
        </w:rPr>
        <w:t>debe seguir a cabalidad el procedimiento de acceso a la información previsto en el artículo 162 de la Ley de Transparencia y Acceso a la Información Pública del Estado de México y Municipios, esto es turnar a todas las Áreas competentes que pudieran contar con la información o deban tenerla de acuerdo a sus facultades, competencias y funciones, con el objeto de que realicen una búsqueda exhaustiva y razonable de la información solicitada.</w:t>
      </w:r>
    </w:p>
    <w:p w:rsidR="0050276A" w:rsidRPr="009D6FFD" w:rsidRDefault="0050276A">
      <w:pPr>
        <w:spacing w:line="360" w:lineRule="auto"/>
        <w:jc w:val="both"/>
        <w:rPr>
          <w:rFonts w:ascii="Palatino Linotype" w:eastAsia="Palatino Linotype" w:hAnsi="Palatino Linotype" w:cs="Palatino Linotype"/>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A efecto de determinar la legalidad de dicha respuesta, es necesario tomar en cuenta las siguientes disposiciones de la Ley de la materia.</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w:t>
      </w:r>
      <w:r w:rsidRPr="009D6FFD">
        <w:rPr>
          <w:rFonts w:ascii="Palatino Linotype" w:eastAsia="Palatino Linotype" w:hAnsi="Palatino Linotype" w:cs="Palatino Linotype"/>
          <w:b/>
          <w:i/>
        </w:rPr>
        <w:t>Artículo 50.</w:t>
      </w:r>
      <w:r w:rsidRPr="009D6FFD">
        <w:rPr>
          <w:rFonts w:ascii="Palatino Linotype" w:eastAsia="Palatino Linotype" w:hAnsi="Palatino Linotype" w:cs="Palatino Linotype"/>
          <w:i/>
        </w:rPr>
        <w:t xml:space="preserve"> Los sujetos obligados contarán con un área responsable para la atención de las solicitudes de información, a la que se le denominará Unidad de Transparencia.</w:t>
      </w:r>
    </w:p>
    <w:p w:rsidR="0050276A" w:rsidRPr="009D6FFD" w:rsidRDefault="0050276A">
      <w:pPr>
        <w:spacing w:line="360" w:lineRule="auto"/>
        <w:ind w:left="567" w:right="618"/>
        <w:jc w:val="both"/>
        <w:rPr>
          <w:rFonts w:ascii="Palatino Linotype" w:eastAsia="Palatino Linotype" w:hAnsi="Palatino Linotype" w:cs="Palatino Linotype"/>
          <w:i/>
        </w:rPr>
      </w:pP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b/>
          <w:i/>
        </w:rPr>
        <w:t>Artículo 51</w:t>
      </w:r>
      <w:r w:rsidRPr="009D6FFD">
        <w:rPr>
          <w:rFonts w:ascii="Palatino Linotype" w:eastAsia="Palatino Linotype" w:hAnsi="Palatino Linotype" w:cs="Palatino Linotype"/>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w:t>
      </w:r>
      <w:r w:rsidRPr="009D6FFD">
        <w:rPr>
          <w:rFonts w:ascii="Palatino Linotype" w:eastAsia="Palatino Linotype" w:hAnsi="Palatino Linotype" w:cs="Palatino Linotype"/>
          <w:i/>
        </w:rPr>
        <w:lastRenderedPageBreak/>
        <w:t>sea confidencial o reservada. Dicha Unidad contará con las facultades internas necesarias para gestionar la atención a las solicitudes de información en los términos de la Ley General y la presente Ley.</w:t>
      </w:r>
    </w:p>
    <w:p w:rsidR="0050276A" w:rsidRPr="009D6FFD" w:rsidRDefault="0050276A">
      <w:pPr>
        <w:spacing w:line="360" w:lineRule="auto"/>
        <w:ind w:left="567" w:right="618"/>
        <w:jc w:val="both"/>
        <w:rPr>
          <w:rFonts w:ascii="Palatino Linotype" w:eastAsia="Palatino Linotype" w:hAnsi="Palatino Linotype" w:cs="Palatino Linotype"/>
          <w:i/>
        </w:rPr>
      </w:pP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b/>
          <w:i/>
        </w:rPr>
        <w:t>Artículo 53</w:t>
      </w:r>
      <w:r w:rsidRPr="009D6FFD">
        <w:rPr>
          <w:rFonts w:ascii="Palatino Linotype" w:eastAsia="Palatino Linotype" w:hAnsi="Palatino Linotype" w:cs="Palatino Linotype"/>
          <w:i/>
        </w:rPr>
        <w:t>. Las Unidades de Transparencia tendrán las siguientes funciones:</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50276A" w:rsidRPr="009D6FFD" w:rsidRDefault="00E54209">
      <w:pPr>
        <w:spacing w:line="360" w:lineRule="auto"/>
        <w:ind w:left="851" w:right="901"/>
        <w:jc w:val="both"/>
        <w:rPr>
          <w:rFonts w:ascii="Palatino Linotype" w:eastAsia="Palatino Linotype" w:hAnsi="Palatino Linotype" w:cs="Palatino Linotype"/>
          <w:b/>
          <w:i/>
        </w:rPr>
      </w:pPr>
      <w:r w:rsidRPr="009D6FFD">
        <w:rPr>
          <w:rFonts w:ascii="Palatino Linotype" w:eastAsia="Palatino Linotype" w:hAnsi="Palatino Linotype" w:cs="Palatino Linotype"/>
          <w:b/>
          <w:i/>
        </w:rPr>
        <w:t xml:space="preserve">II. Recibir, </w:t>
      </w:r>
      <w:r w:rsidRPr="009D6FFD">
        <w:rPr>
          <w:rFonts w:ascii="Palatino Linotype" w:eastAsia="Palatino Linotype" w:hAnsi="Palatino Linotype" w:cs="Palatino Linotype"/>
          <w:b/>
          <w:i/>
          <w:u w:val="single"/>
        </w:rPr>
        <w:t>tramitar</w:t>
      </w:r>
      <w:r w:rsidRPr="009D6FFD">
        <w:rPr>
          <w:rFonts w:ascii="Palatino Linotype" w:eastAsia="Palatino Linotype" w:hAnsi="Palatino Linotype" w:cs="Palatino Linotype"/>
          <w:b/>
          <w:i/>
        </w:rPr>
        <w:t xml:space="preserve"> y dar respuesta a las solicitudes de acceso a la información;</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III. Auxiliar a los particulares en la elaboración de solicitudes de acceso a la información y, en su caso, orientarlos sobre los sujetos obligados competentes conforme a la normatividad aplicable;</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IV. Realizar, con efectividad, los trámites internos necesarios para la atención de las solicitudes de acceso a la información;</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V. Entregar, en su caso, a los particulares la información solicitada;</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VI. Efectuar las notificaciones a los solicitantes;</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VII. Proponer al Comité de Transparencia, los procedimientos internos que aseguren la mayor eficiencia en la gestión de las solicitudes de acceso a la información, conforme a la normatividad aplicable;</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VIII. Proponer a quien preside el Comité de Transparencia, personal habilitado que sea necesario para recibir y dar trámite a las solicitudes de acceso a la información;</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X. Presentar ante el Comité, el proyecto de clasificación de información;</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XI. Promover e implementar políticas de transparencia proactiva procurando su accesibilidad;</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XII. Fomentar la transparencia y accesibilidad al interior del sujeto obligado;</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XIII. Hacer del conocimiento de la instancia competente la probable responsabilidad por el incumplimiento de las obligaciones previstas en la presente Ley; y</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XIV. Las demás que resulten necesarias para facilitar el acceso a la información y aquellas que se desprenden de la presente Ley y demás disposiciones jurídicas aplicables.</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b/>
          <w:i/>
        </w:rPr>
        <w:lastRenderedPageBreak/>
        <w:t>Artículo 59</w:t>
      </w:r>
      <w:r w:rsidRPr="009D6FFD">
        <w:rPr>
          <w:rFonts w:ascii="Palatino Linotype" w:eastAsia="Palatino Linotype" w:hAnsi="Palatino Linotype" w:cs="Palatino Linotype"/>
          <w:i/>
        </w:rPr>
        <w:t>. Los servidores públicos habilitados tendrán las funciones siguientes:</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I. Localizar la información que le solicite la Unidad de Transparencia;</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II. Proporcionar la información que obre en los archivos y que le sea solicitada por la Unidad de Transparencia;</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III. Apoyar a la Unidad de Transparencia en lo que esta le solicite para el cumplimiento de sus funciones;</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IV. Proporcionar a la Unidad de Transparencia, las modificaciones a la información pública de oficio que obre en su poder;</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VI. Verificar, una vez analizado el contenido de la información, que no se encuentre en los supuestos de información clasificada; y</w:t>
      </w: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i/>
        </w:rPr>
        <w:t>VII. Dar cuenta a la Unidad de Transparencia del vencimiento de los plazos de reserva.</w:t>
      </w:r>
    </w:p>
    <w:p w:rsidR="0050276A" w:rsidRPr="009D6FFD" w:rsidRDefault="0050276A">
      <w:pPr>
        <w:spacing w:line="360" w:lineRule="auto"/>
        <w:ind w:left="567" w:right="618"/>
        <w:jc w:val="both"/>
        <w:rPr>
          <w:rFonts w:ascii="Palatino Linotype" w:eastAsia="Palatino Linotype" w:hAnsi="Palatino Linotype" w:cs="Palatino Linotype"/>
          <w:i/>
        </w:rPr>
      </w:pPr>
    </w:p>
    <w:p w:rsidR="0050276A" w:rsidRPr="009D6FFD" w:rsidRDefault="00E54209">
      <w:pPr>
        <w:spacing w:line="360" w:lineRule="auto"/>
        <w:ind w:left="851" w:right="901"/>
        <w:jc w:val="both"/>
        <w:rPr>
          <w:rFonts w:ascii="Palatino Linotype" w:eastAsia="Palatino Linotype" w:hAnsi="Palatino Linotype" w:cs="Palatino Linotype"/>
          <w:i/>
        </w:rPr>
      </w:pPr>
      <w:r w:rsidRPr="009D6FFD">
        <w:rPr>
          <w:rFonts w:ascii="Palatino Linotype" w:eastAsia="Palatino Linotype" w:hAnsi="Palatino Linotype" w:cs="Palatino Linotype"/>
          <w:b/>
          <w:i/>
        </w:rPr>
        <w:t>Artículo 162</w:t>
      </w:r>
      <w:r w:rsidRPr="009D6FFD">
        <w:rPr>
          <w:rFonts w:ascii="Palatino Linotype" w:eastAsia="Palatino Linotype" w:hAnsi="Palatino Linotype" w:cs="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0276A" w:rsidRPr="009D6FFD" w:rsidRDefault="0050276A">
      <w:pPr>
        <w:spacing w:line="360" w:lineRule="auto"/>
        <w:jc w:val="both"/>
        <w:rPr>
          <w:rFonts w:ascii="Palatino Linotype" w:eastAsia="Palatino Linotype" w:hAnsi="Palatino Linotype" w:cs="Palatino Linotype"/>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w:t>
      </w:r>
      <w:r w:rsidRPr="009D6FFD">
        <w:rPr>
          <w:rFonts w:ascii="Palatino Linotype" w:eastAsia="Palatino Linotype" w:hAnsi="Palatino Linotype" w:cs="Palatino Linotype"/>
        </w:rPr>
        <w:lastRenderedPageBreak/>
        <w:t xml:space="preserve">funge como enlace entre el </w:t>
      </w:r>
      <w:r w:rsidRPr="009D6FFD">
        <w:rPr>
          <w:rFonts w:ascii="Palatino Linotype" w:eastAsia="Palatino Linotype" w:hAnsi="Palatino Linotype" w:cs="Palatino Linotype"/>
          <w:b/>
        </w:rPr>
        <w:t>SUJETO OBLIGADO</w:t>
      </w:r>
      <w:r w:rsidRPr="009D6FFD">
        <w:rPr>
          <w:rFonts w:ascii="Palatino Linotype" w:eastAsia="Palatino Linotype" w:hAnsi="Palatino Linotype" w:cs="Palatino Linotype"/>
        </w:rPr>
        <w:t xml:space="preserve"> y los solicitantes, y tiene bajo su responsabilidad el tramitar internamente la solicitud de información. Ahora bien, no pasa desapercibido que existe la probabilidad que luego de la nueva búsqueda exhaustiva y razonable, no se localice soporte documental al respecto, por lo que de ser el caso, bastara que el </w:t>
      </w:r>
      <w:r w:rsidRPr="009D6FFD">
        <w:rPr>
          <w:rFonts w:ascii="Palatino Linotype" w:eastAsia="Palatino Linotype" w:hAnsi="Palatino Linotype" w:cs="Palatino Linotype"/>
          <w:b/>
        </w:rPr>
        <w:t>SUJETO OBLIGADO</w:t>
      </w:r>
      <w:r w:rsidRPr="009D6FFD">
        <w:rPr>
          <w:rFonts w:ascii="Palatino Linotype" w:eastAsia="Palatino Linotype" w:hAnsi="Palatino Linotype" w:cs="Palatino Linotype"/>
        </w:rPr>
        <w:t xml:space="preserve"> lo haga del conocimiento del </w:t>
      </w:r>
      <w:r w:rsidRPr="009D6FFD">
        <w:rPr>
          <w:rFonts w:ascii="Palatino Linotype" w:eastAsia="Palatino Linotype" w:hAnsi="Palatino Linotype" w:cs="Palatino Linotype"/>
          <w:b/>
        </w:rPr>
        <w:t xml:space="preserve">RECURRENTE </w:t>
      </w:r>
      <w:r w:rsidRPr="009D6FFD">
        <w:rPr>
          <w:rFonts w:ascii="Palatino Linotype" w:eastAsia="Palatino Linotype" w:hAnsi="Palatino Linotype" w:cs="Palatino Linotype"/>
        </w:rPr>
        <w:t>al momento de dar cumplimiento a la presente Resolución en términos del artículo 19 párrafo segundo de la Ley de Transparencia y Acceso a la Información Pública del Estado de México y Municipios</w:t>
      </w:r>
    </w:p>
    <w:p w:rsidR="0050276A" w:rsidRPr="009D6FFD" w:rsidRDefault="0050276A">
      <w:pPr>
        <w:spacing w:line="360" w:lineRule="auto"/>
        <w:jc w:val="both"/>
        <w:rPr>
          <w:rFonts w:ascii="Palatino Linotype" w:eastAsia="Palatino Linotype" w:hAnsi="Palatino Linotype" w:cs="Palatino Linotype"/>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b/>
          <w:color w:val="000000"/>
        </w:rPr>
      </w:pPr>
      <w:r w:rsidRPr="009D6FFD">
        <w:rPr>
          <w:rFonts w:ascii="Palatino Linotype" w:eastAsia="Palatino Linotype" w:hAnsi="Palatino Linotype" w:cs="Palatino Linotype"/>
          <w:color w:val="000000"/>
        </w:rPr>
        <w:t>Finalmente no sobra mencionar que respecto del motivo de inconformidad “…</w:t>
      </w:r>
      <w:r w:rsidRPr="009D6FFD">
        <w:rPr>
          <w:rFonts w:ascii="Palatino Linotype" w:eastAsia="Palatino Linotype" w:hAnsi="Palatino Linotype" w:cs="Palatino Linotype"/>
          <w:i/>
          <w:color w:val="000000"/>
        </w:rPr>
        <w:t xml:space="preserve">a lo que nos queda dudas…”, </w:t>
      </w:r>
      <w:r w:rsidRPr="009D6FFD">
        <w:rPr>
          <w:rFonts w:ascii="Palatino Linotype" w:eastAsia="Palatino Linotype" w:hAnsi="Palatino Linotype" w:cs="Palatino Linotype"/>
          <w:color w:val="000000"/>
        </w:rPr>
        <w:t xml:space="preserve">es de señalar que de los pronunciamientos que el </w:t>
      </w:r>
      <w:r w:rsidRPr="009D6FFD">
        <w:rPr>
          <w:rFonts w:ascii="Palatino Linotype" w:eastAsia="Palatino Linotype" w:hAnsi="Palatino Linotype" w:cs="Palatino Linotype"/>
          <w:b/>
        </w:rPr>
        <w:t>SUJETO</w:t>
      </w:r>
      <w:r w:rsidRPr="009D6FFD">
        <w:rPr>
          <w:rFonts w:ascii="Palatino Linotype" w:eastAsia="Palatino Linotype" w:hAnsi="Palatino Linotype" w:cs="Palatino Linotype"/>
          <w:b/>
          <w:color w:val="000000"/>
        </w:rPr>
        <w:t xml:space="preserve"> OBLIGADO </w:t>
      </w:r>
      <w:r w:rsidRPr="009D6FFD">
        <w:rPr>
          <w:rFonts w:ascii="Palatino Linotype" w:eastAsia="Palatino Linotype" w:hAnsi="Palatino Linotype" w:cs="Palatino Linotype"/>
          <w:color w:val="000000"/>
        </w:rPr>
        <w:t xml:space="preserve">vertió en su respuesta, </w:t>
      </w:r>
      <w:r w:rsidRPr="009D6FFD">
        <w:rPr>
          <w:rFonts w:ascii="Palatino Linotype" w:eastAsia="Palatino Linotype" w:hAnsi="Palatino Linotype" w:cs="Palatino Linotype"/>
        </w:rPr>
        <w:t xml:space="preserve">este Órgano Garante no está facultado para pronunciarse sobre la veracidad de la información que los Sujetos Obligados ponen a disposición de los solicitantes; situación que se aleja de las atribuciones de este Instituto </w:t>
      </w:r>
      <w:r w:rsidRPr="009D6FFD">
        <w:rPr>
          <w:rFonts w:ascii="Palatino Linotype" w:eastAsia="Palatino Linotype" w:hAnsi="Palatino Linotype" w:cs="Palatino Linotype"/>
          <w:i/>
          <w:color w:val="000000"/>
        </w:rPr>
        <w:t>máxime</w:t>
      </w:r>
      <w:r w:rsidRPr="009D6FFD">
        <w:rPr>
          <w:rFonts w:ascii="Palatino Linotype" w:eastAsia="Palatino Linotype" w:hAnsi="Palatino Linotype" w:cs="Palatino Linotype"/>
          <w:color w:val="000000"/>
        </w:rPr>
        <w:t xml:space="preserve"> que </w:t>
      </w:r>
      <w:r w:rsidRPr="009D6FFD">
        <w:rPr>
          <w:rFonts w:ascii="Palatino Linotype" w:eastAsia="Palatino Linotype" w:hAnsi="Palatino Linotype" w:cs="Palatino Linotype"/>
          <w:b/>
          <w:color w:val="000000"/>
          <w:u w:val="single"/>
        </w:rPr>
        <w:t>al momento que ponen a disposición ésta, la misma tiene el carácter oficial y se presume veraz, tan es así que la misma queda registrada en el Sistema de Acceso a la Información Mexiquense (SAIMEX).</w:t>
      </w:r>
    </w:p>
    <w:p w:rsidR="0050276A" w:rsidRPr="009D6FFD" w:rsidRDefault="0050276A">
      <w:pPr>
        <w:pBdr>
          <w:top w:val="nil"/>
          <w:left w:val="nil"/>
          <w:bottom w:val="nil"/>
          <w:right w:val="nil"/>
          <w:between w:val="nil"/>
        </w:pBdr>
        <w:spacing w:line="360" w:lineRule="auto"/>
        <w:ind w:left="851" w:right="850"/>
        <w:jc w:val="both"/>
        <w:rPr>
          <w:rFonts w:ascii="Palatino Linotype" w:eastAsia="Palatino Linotype" w:hAnsi="Palatino Linotype" w:cs="Palatino Linotype"/>
          <w:i/>
          <w:color w:val="000000"/>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Así mismo, la </w:t>
      </w:r>
      <w:r w:rsidRPr="009D6FFD">
        <w:rPr>
          <w:rFonts w:ascii="Palatino Linotype" w:eastAsia="Palatino Linotype" w:hAnsi="Palatino Linotype" w:cs="Palatino Linotype"/>
          <w:b/>
        </w:rPr>
        <w:t xml:space="preserve">Ley de Transparencia y Acceso a la Información Pública del Estado </w:t>
      </w:r>
      <w:r w:rsidRPr="009D6FFD">
        <w:rPr>
          <w:rFonts w:ascii="Palatino Linotype" w:eastAsia="Palatino Linotype" w:hAnsi="Palatino Linotype" w:cs="Palatino Linotype"/>
          <w:color w:val="000000"/>
        </w:rPr>
        <w:t>de</w:t>
      </w:r>
      <w:r w:rsidRPr="009D6FFD">
        <w:rPr>
          <w:rFonts w:ascii="Palatino Linotype" w:eastAsia="Palatino Linotype" w:hAnsi="Palatino Linotype" w:cs="Palatino Linotype"/>
          <w:b/>
        </w:rPr>
        <w:t xml:space="preserve"> México y Municipios</w:t>
      </w:r>
      <w:r w:rsidRPr="009D6FFD">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0276A" w:rsidRPr="009D6FFD" w:rsidRDefault="00E54209">
      <w:pPr>
        <w:pBdr>
          <w:top w:val="nil"/>
          <w:left w:val="nil"/>
          <w:bottom w:val="nil"/>
          <w:right w:val="nil"/>
          <w:between w:val="nil"/>
        </w:pBdr>
        <w:spacing w:line="360" w:lineRule="auto"/>
        <w:ind w:left="644" w:right="902"/>
        <w:jc w:val="both"/>
        <w:rPr>
          <w:rFonts w:ascii="Palatino Linotype" w:eastAsia="Palatino Linotype" w:hAnsi="Palatino Linotype" w:cs="Palatino Linotype"/>
          <w:b/>
          <w:i/>
          <w:color w:val="000000"/>
        </w:rPr>
      </w:pPr>
      <w:r w:rsidRPr="009D6FFD">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w:t>
      </w:r>
      <w:r w:rsidRPr="009D6FFD">
        <w:rPr>
          <w:rFonts w:ascii="Palatino Linotype" w:eastAsia="Palatino Linotype" w:hAnsi="Palatino Linotype" w:cs="Palatino Linotype"/>
          <w:i/>
          <w:color w:val="000000"/>
        </w:rPr>
        <w:lastRenderedPageBreak/>
        <w:t xml:space="preserve">permanente a cualquier persona, privilegiando el principio de máxima publicidad de la información. </w:t>
      </w:r>
      <w:r w:rsidRPr="009D6FFD">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p>
    <w:p w:rsidR="0050276A" w:rsidRPr="009D6FFD" w:rsidRDefault="0050276A">
      <w:pPr>
        <w:spacing w:line="360" w:lineRule="auto"/>
        <w:ind w:right="902"/>
        <w:jc w:val="both"/>
        <w:rPr>
          <w:rFonts w:ascii="Palatino Linotype" w:eastAsia="Palatino Linotype" w:hAnsi="Palatino Linotype" w:cs="Palatino Linotype"/>
          <w:b/>
          <w:i/>
        </w:rPr>
      </w:pPr>
    </w:p>
    <w:p w:rsidR="0050276A" w:rsidRPr="009D6FFD" w:rsidRDefault="00E54209">
      <w:pPr>
        <w:numPr>
          <w:ilvl w:val="0"/>
          <w:numId w:val="2"/>
        </w:numP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rPr>
        <w:t xml:space="preserve">Numerales que compelen al </w:t>
      </w:r>
      <w:r w:rsidRPr="009D6FFD">
        <w:rPr>
          <w:rFonts w:ascii="Palatino Linotype" w:eastAsia="Palatino Linotype" w:hAnsi="Palatino Linotype" w:cs="Palatino Linotype"/>
          <w:b/>
        </w:rPr>
        <w:t>SUJETO OBLIGADO</w:t>
      </w:r>
      <w:r w:rsidRPr="009D6FFD">
        <w:rPr>
          <w:rFonts w:ascii="Palatino Linotype" w:eastAsia="Palatino Linotype" w:hAnsi="Palatino Linotype" w:cs="Palatino Linotype"/>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p>
    <w:p w:rsidR="0050276A" w:rsidRPr="009D6FFD" w:rsidRDefault="0050276A">
      <w:pPr>
        <w:rPr>
          <w:rFonts w:ascii="Palatino Linotype" w:eastAsia="Palatino Linotype" w:hAnsi="Palatino Linotype" w:cs="Palatino Linotype"/>
        </w:rPr>
      </w:pPr>
    </w:p>
    <w:p w:rsidR="0050276A" w:rsidRPr="009D6FFD" w:rsidRDefault="0050276A">
      <w:pPr>
        <w:pBdr>
          <w:top w:val="nil"/>
          <w:left w:val="nil"/>
          <w:bottom w:val="nil"/>
          <w:right w:val="nil"/>
          <w:between w:val="nil"/>
        </w:pBdr>
        <w:ind w:left="720"/>
        <w:rPr>
          <w:rFonts w:ascii="Palatino Linotype" w:eastAsia="Palatino Linotype" w:hAnsi="Palatino Linotype" w:cs="Palatino Linotype"/>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rPr>
        <w:t xml:space="preserve">Con la determinación anterior se considera que quedara por colmado el </w:t>
      </w:r>
      <w:r w:rsidRPr="009D6FFD">
        <w:rPr>
          <w:rFonts w:ascii="Palatino Linotype" w:eastAsia="Palatino Linotype" w:hAnsi="Palatino Linotype" w:cs="Palatino Linotype"/>
          <w:color w:val="000000"/>
        </w:rPr>
        <w:t xml:space="preserve">derecho de acceso a la información del hoy </w:t>
      </w:r>
      <w:r w:rsidRPr="009D6FFD">
        <w:rPr>
          <w:rFonts w:ascii="Palatino Linotype" w:eastAsia="Palatino Linotype" w:hAnsi="Palatino Linotype" w:cs="Palatino Linotype"/>
          <w:b/>
          <w:color w:val="000000"/>
        </w:rPr>
        <w:t>RECURRENTE</w:t>
      </w:r>
      <w:r w:rsidRPr="009D6FFD">
        <w:rPr>
          <w:rFonts w:ascii="Palatino Linotype" w:eastAsia="Palatino Linotype" w:hAnsi="Palatino Linotype" w:cs="Palatino Linotype"/>
          <w:color w:val="000000"/>
        </w:rPr>
        <w:t xml:space="preserve">, el cual corresponde a la  </w:t>
      </w:r>
      <w:r w:rsidRPr="009D6FFD">
        <w:rPr>
          <w:rFonts w:ascii="Palatino Linotype" w:eastAsia="Palatino Linotype" w:hAnsi="Palatino Linotype" w:cs="Palatino Linotype"/>
          <w:i/>
          <w:color w:val="000000"/>
        </w:rPr>
        <w:t>igualdad de oportunidades para recibir, buscar e impartir información</w:t>
      </w:r>
      <w:r w:rsidRPr="009D6FFD">
        <w:rPr>
          <w:rFonts w:ascii="Palatino Linotype" w:eastAsia="Palatino Linotype" w:hAnsi="Palatino Linotype" w:cs="Palatino Linotype"/>
          <w:i/>
          <w:color w:val="000000"/>
          <w:vertAlign w:val="superscript"/>
        </w:rPr>
        <w:footnoteReference w:id="1"/>
      </w:r>
      <w:r w:rsidRPr="009D6FFD">
        <w:rPr>
          <w:rFonts w:ascii="Palatino Linotype" w:eastAsia="Palatino Linotype" w:hAnsi="Palatino Linotype" w:cs="Palatino Linotype"/>
          <w:i/>
          <w:color w:val="000000"/>
        </w:rPr>
        <w:t xml:space="preserve"> en posesión de cualquier autoridad, entidad, órgano y organismo de los </w:t>
      </w:r>
      <w:r w:rsidRPr="009D6FFD">
        <w:rPr>
          <w:rFonts w:ascii="Palatino Linotype" w:eastAsia="Palatino Linotype" w:hAnsi="Palatino Linotype" w:cs="Palatino Linotype"/>
        </w:rPr>
        <w:t>poderes</w:t>
      </w:r>
      <w:r w:rsidRPr="009D6FFD">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D6FFD">
        <w:rPr>
          <w:rFonts w:ascii="Palatino Linotype" w:eastAsia="Palatino Linotype" w:hAnsi="Palatino Linotype" w:cs="Palatino Linotype"/>
          <w:color w:val="000000"/>
          <w:vertAlign w:val="superscript"/>
        </w:rPr>
        <w:footnoteReference w:id="2"/>
      </w:r>
      <w:r w:rsidRPr="009D6FFD">
        <w:rPr>
          <w:rFonts w:ascii="Palatino Linotype" w:eastAsia="Palatino Linotype" w:hAnsi="Palatino Linotype" w:cs="Palatino Linotype"/>
          <w:i/>
          <w:color w:val="000000"/>
        </w:rPr>
        <w:t xml:space="preserve"> </w:t>
      </w:r>
      <w:r w:rsidRPr="009D6FFD">
        <w:rPr>
          <w:rFonts w:ascii="Palatino Linotype" w:eastAsia="Palatino Linotype" w:hAnsi="Palatino Linotype" w:cs="Palatino Linotype"/>
          <w:color w:val="000000"/>
        </w:rPr>
        <w:t xml:space="preserve">que se constituye como una herramienta fundamental para </w:t>
      </w:r>
      <w:r w:rsidRPr="009D6FFD">
        <w:rPr>
          <w:rFonts w:ascii="Palatino Linotype" w:eastAsia="Palatino Linotype" w:hAnsi="Palatino Linotype" w:cs="Palatino Linotype"/>
          <w:i/>
          <w:color w:val="000000"/>
        </w:rPr>
        <w:t xml:space="preserve">ejercer control democrático de las gestiones estatales, de forma tal que puedan cuestionar, indagar y considerar si se está dando un </w:t>
      </w:r>
      <w:r w:rsidRPr="009D6FFD">
        <w:rPr>
          <w:rFonts w:ascii="Palatino Linotype" w:eastAsia="Palatino Linotype" w:hAnsi="Palatino Linotype" w:cs="Palatino Linotype"/>
          <w:i/>
          <w:color w:val="000000"/>
        </w:rPr>
        <w:lastRenderedPageBreak/>
        <w:t>adecuado cumplimiento de las funciones públicas,</w:t>
      </w:r>
      <w:r w:rsidRPr="009D6FFD">
        <w:rPr>
          <w:rFonts w:ascii="Palatino Linotype" w:eastAsia="Palatino Linotype" w:hAnsi="Palatino Linotype" w:cs="Palatino Linotype"/>
          <w:i/>
          <w:color w:val="000000"/>
          <w:vertAlign w:val="superscript"/>
        </w:rPr>
        <w:footnoteReference w:id="3"/>
      </w:r>
      <w:r w:rsidRPr="009D6FFD">
        <w:rPr>
          <w:rFonts w:ascii="Palatino Linotype" w:eastAsia="Palatino Linotype" w:hAnsi="Palatino Linotype" w:cs="Palatino Linotype"/>
          <w:color w:val="000000"/>
        </w:rPr>
        <w:t>fomentando</w:t>
      </w:r>
      <w:r w:rsidRPr="009D6FFD">
        <w:rPr>
          <w:rFonts w:ascii="Palatino Linotype" w:eastAsia="Palatino Linotype" w:hAnsi="Palatino Linotype" w:cs="Palatino Linotype"/>
          <w:i/>
          <w:color w:val="000000"/>
        </w:rPr>
        <w:t xml:space="preserve"> la transparencia de las actividades estatales y</w:t>
      </w:r>
      <w:r w:rsidRPr="009D6FFD">
        <w:rPr>
          <w:rFonts w:ascii="Palatino Linotype" w:eastAsia="Palatino Linotype" w:hAnsi="Palatino Linotype" w:cs="Palatino Linotype"/>
          <w:color w:val="000000"/>
        </w:rPr>
        <w:t xml:space="preserve"> promoviendo</w:t>
      </w:r>
      <w:r w:rsidRPr="009D6FFD">
        <w:rPr>
          <w:rFonts w:ascii="Palatino Linotype" w:eastAsia="Palatino Linotype" w:hAnsi="Palatino Linotype" w:cs="Palatino Linotype"/>
          <w:i/>
          <w:color w:val="000000"/>
        </w:rPr>
        <w:t xml:space="preserve"> la responsabilidad de los funcionarios sobre su gestión pública</w:t>
      </w:r>
      <w:r w:rsidRPr="009D6FFD">
        <w:rPr>
          <w:rFonts w:ascii="Palatino Linotype" w:eastAsia="Palatino Linotype" w:hAnsi="Palatino Linotype" w:cs="Palatino Linotype"/>
          <w:i/>
          <w:color w:val="000000"/>
          <w:vertAlign w:val="superscript"/>
        </w:rPr>
        <w:footnoteReference w:id="4"/>
      </w:r>
      <w:r w:rsidRPr="009D6FFD">
        <w:rPr>
          <w:rFonts w:ascii="Palatino Linotype" w:eastAsia="Palatino Linotype" w:hAnsi="Palatino Linotype" w:cs="Palatino Linotype"/>
          <w:i/>
          <w:color w:val="000000"/>
        </w:rPr>
        <w:t xml:space="preserve"> </w:t>
      </w:r>
      <w:r w:rsidRPr="009D6FFD">
        <w:rPr>
          <w:rFonts w:ascii="Palatino Linotype" w:eastAsia="Palatino Linotype" w:hAnsi="Palatino Linotype" w:cs="Palatino Linotype"/>
          <w:color w:val="000000"/>
        </w:rPr>
        <w:t>que permite</w:t>
      </w:r>
      <w:r w:rsidRPr="009D6FFD">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9D6FFD">
        <w:rPr>
          <w:rFonts w:ascii="Palatino Linotype" w:eastAsia="Palatino Linotype" w:hAnsi="Palatino Linotype" w:cs="Palatino Linotype"/>
          <w:i/>
          <w:color w:val="000000"/>
          <w:vertAlign w:val="superscript"/>
        </w:rPr>
        <w:footnoteReference w:id="5"/>
      </w:r>
      <w:r w:rsidRPr="009D6FFD">
        <w:rPr>
          <w:rFonts w:ascii="Palatino Linotype" w:eastAsia="Palatino Linotype" w:hAnsi="Palatino Linotype" w:cs="Palatino Linotype"/>
          <w:color w:val="000000"/>
        </w:rPr>
        <w:t xml:space="preserve"> ” </w:t>
      </w:r>
    </w:p>
    <w:p w:rsidR="0050276A" w:rsidRPr="009D6FFD" w:rsidRDefault="0050276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9D6FFD">
        <w:rPr>
          <w:rFonts w:ascii="Palatino Linotype" w:eastAsia="Palatino Linotype" w:hAnsi="Palatino Linotype" w:cs="Palatino Linotype"/>
        </w:rPr>
        <w:t>en</w:t>
      </w:r>
      <w:r w:rsidRPr="009D6FFD">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0276A" w:rsidRPr="009D6FFD" w:rsidRDefault="00E54209">
      <w:pPr>
        <w:spacing w:line="360" w:lineRule="auto"/>
        <w:ind w:left="426" w:right="709"/>
        <w:jc w:val="both"/>
        <w:rPr>
          <w:rFonts w:ascii="Palatino Linotype" w:eastAsia="Palatino Linotype" w:hAnsi="Palatino Linotype" w:cs="Palatino Linotype"/>
          <w:b/>
          <w:i/>
          <w:color w:val="000000"/>
        </w:rPr>
      </w:pPr>
      <w:r w:rsidRPr="009D6FFD">
        <w:rPr>
          <w:rFonts w:ascii="Palatino Linotype" w:eastAsia="Palatino Linotype" w:hAnsi="Palatino Linotype" w:cs="Palatino Linotype"/>
          <w:b/>
          <w:i/>
          <w:color w:val="000000"/>
        </w:rPr>
        <w:t>“CRITERIO 0002-11</w:t>
      </w:r>
    </w:p>
    <w:p w:rsidR="0050276A" w:rsidRPr="009D6FFD" w:rsidRDefault="00E54209">
      <w:pPr>
        <w:spacing w:line="360" w:lineRule="auto"/>
        <w:ind w:left="426" w:right="709"/>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9D6FFD">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0276A" w:rsidRPr="009D6FFD" w:rsidRDefault="00E54209">
      <w:pPr>
        <w:spacing w:line="360" w:lineRule="auto"/>
        <w:ind w:left="426" w:right="709"/>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i/>
          <w:color w:val="000000"/>
        </w:rPr>
        <w:lastRenderedPageBreak/>
        <w:t>En consecuencia el acceso a la información se refiere a que se cumplan cualquiera de los siguientes tres supuestos:</w:t>
      </w:r>
    </w:p>
    <w:p w:rsidR="0050276A" w:rsidRPr="009D6FFD" w:rsidRDefault="00E54209">
      <w:pPr>
        <w:spacing w:line="360" w:lineRule="auto"/>
        <w:ind w:left="426" w:right="709"/>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50276A" w:rsidRPr="009D6FFD" w:rsidRDefault="00E54209">
      <w:pPr>
        <w:spacing w:line="360" w:lineRule="auto"/>
        <w:ind w:left="426" w:right="709"/>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50276A" w:rsidRPr="009D6FFD" w:rsidRDefault="00E54209">
      <w:pPr>
        <w:spacing w:line="360" w:lineRule="auto"/>
        <w:ind w:left="426" w:right="709"/>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50276A" w:rsidRPr="009D6FFD" w:rsidRDefault="0050276A">
      <w:pPr>
        <w:spacing w:line="360" w:lineRule="auto"/>
        <w:ind w:left="567" w:right="-929"/>
        <w:jc w:val="both"/>
        <w:rPr>
          <w:rFonts w:ascii="Palatino Linotype" w:eastAsia="Palatino Linotype" w:hAnsi="Palatino Linotype" w:cs="Palatino Linotype"/>
          <w:i/>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50276A" w:rsidRPr="009D6FFD" w:rsidRDefault="00E54209">
      <w:pPr>
        <w:spacing w:line="360" w:lineRule="auto"/>
        <w:ind w:left="426" w:right="567"/>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b/>
          <w:i/>
          <w:color w:val="000000"/>
        </w:rPr>
        <w:t xml:space="preserve">XI. Documento: </w:t>
      </w:r>
      <w:r w:rsidRPr="009D6FFD">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9D6FFD">
        <w:rPr>
          <w:rFonts w:ascii="Palatino Linotype" w:eastAsia="Palatino Linotype" w:hAnsi="Palatino Linotype" w:cs="Palatino Linotype"/>
          <w:b/>
          <w:i/>
          <w:color w:val="000000"/>
        </w:rPr>
        <w:t>cualquier otro registro</w:t>
      </w:r>
      <w:r w:rsidRPr="009D6FFD">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0276A" w:rsidRPr="009D6FFD" w:rsidRDefault="0050276A">
      <w:pPr>
        <w:spacing w:line="360" w:lineRule="auto"/>
        <w:ind w:left="567" w:right="-929"/>
        <w:jc w:val="both"/>
        <w:rPr>
          <w:rFonts w:ascii="Palatino Linotype" w:eastAsia="Palatino Linotype" w:hAnsi="Palatino Linotype" w:cs="Palatino Linotype"/>
          <w:i/>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 xml:space="preserve">Es así que, todos los actos de autoridad que realicen los Sujetos Obligados </w:t>
      </w:r>
      <w:r w:rsidRPr="009D6FFD">
        <w:rPr>
          <w:rFonts w:ascii="Palatino Linotype" w:eastAsia="Palatino Linotype" w:hAnsi="Palatino Linotype" w:cs="Palatino Linotype"/>
          <w:b/>
          <w:color w:val="000000"/>
        </w:rPr>
        <w:t xml:space="preserve">deben estar </w:t>
      </w:r>
      <w:r w:rsidRPr="009D6FFD">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50276A" w:rsidRPr="009D6FFD" w:rsidRDefault="0050276A">
      <w:pPr>
        <w:pBdr>
          <w:top w:val="nil"/>
          <w:left w:val="nil"/>
          <w:bottom w:val="nil"/>
          <w:right w:val="nil"/>
          <w:between w:val="nil"/>
        </w:pBdr>
        <w:tabs>
          <w:tab w:val="left" w:pos="284"/>
        </w:tabs>
        <w:spacing w:line="360" w:lineRule="auto"/>
        <w:ind w:right="-929"/>
        <w:jc w:val="both"/>
        <w:rPr>
          <w:rFonts w:ascii="Palatino Linotype" w:eastAsia="Palatino Linotype" w:hAnsi="Palatino Linotype" w:cs="Palatino Linotype"/>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lastRenderedPageBreak/>
        <w:t>Además, debemos tomar en cuenta los artículos 4 y 12 (antes transcrito), de la Ley de Transparencia y Acceso a la Información Pública del Estado de México y Municipios, los cuales establecen lo siguiente:</w:t>
      </w:r>
    </w:p>
    <w:p w:rsidR="0050276A" w:rsidRPr="009D6FFD" w:rsidRDefault="00E54209">
      <w:pPr>
        <w:spacing w:line="360" w:lineRule="auto"/>
        <w:ind w:left="426" w:right="709"/>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b/>
          <w:i/>
          <w:color w:val="000000"/>
        </w:rPr>
        <w:t xml:space="preserve">“Artículo 4. </w:t>
      </w:r>
      <w:r w:rsidRPr="009D6FFD">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50276A" w:rsidRPr="009D6FFD" w:rsidRDefault="00E54209">
      <w:pPr>
        <w:spacing w:line="360" w:lineRule="auto"/>
        <w:ind w:left="426" w:right="709"/>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b/>
          <w:i/>
          <w:color w:val="000000"/>
        </w:rPr>
        <w:t>Toda la información</w:t>
      </w:r>
      <w:r w:rsidRPr="009D6FFD">
        <w:rPr>
          <w:rFonts w:ascii="Palatino Linotype" w:eastAsia="Palatino Linotype" w:hAnsi="Palatino Linotype" w:cs="Palatino Linotype"/>
          <w:i/>
          <w:color w:val="000000"/>
        </w:rPr>
        <w:t xml:space="preserve"> generada, obtenida, adquirida, transformada, administrada o </w:t>
      </w:r>
      <w:r w:rsidRPr="009D6FFD">
        <w:rPr>
          <w:rFonts w:ascii="Palatino Linotype" w:eastAsia="Palatino Linotype" w:hAnsi="Palatino Linotype" w:cs="Palatino Linotype"/>
          <w:b/>
          <w:i/>
          <w:color w:val="000000"/>
        </w:rPr>
        <w:t>en posesión de los sujetos obligados es pública</w:t>
      </w:r>
      <w:r w:rsidRPr="009D6FFD">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0276A" w:rsidRPr="009D6FFD" w:rsidRDefault="00E54209">
      <w:pPr>
        <w:spacing w:line="360" w:lineRule="auto"/>
        <w:ind w:left="426" w:right="709"/>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50276A" w:rsidRPr="009D6FFD" w:rsidRDefault="0050276A">
      <w:pPr>
        <w:spacing w:line="360" w:lineRule="auto"/>
        <w:ind w:left="567" w:right="-929"/>
        <w:jc w:val="both"/>
        <w:rPr>
          <w:rFonts w:ascii="Palatino Linotype" w:eastAsia="Palatino Linotype" w:hAnsi="Palatino Linotype" w:cs="Palatino Linotype"/>
          <w:i/>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D6FFD">
        <w:rPr>
          <w:rFonts w:ascii="Palatino Linotype" w:eastAsia="Palatino Linotype" w:hAnsi="Palatino Linotype" w:cs="Palatino Linotype"/>
          <w:color w:val="000000"/>
          <w:vertAlign w:val="superscript"/>
        </w:rPr>
        <w:footnoteReference w:id="6"/>
      </w:r>
      <w:r w:rsidRPr="009D6FFD">
        <w:rPr>
          <w:rFonts w:ascii="Palatino Linotype" w:eastAsia="Palatino Linotype" w:hAnsi="Palatino Linotype" w:cs="Palatino Linotype"/>
          <w:color w:val="000000"/>
        </w:rPr>
        <w:t xml:space="preserve"> y máxima publicidad, </w:t>
      </w:r>
      <w:r w:rsidRPr="009D6FFD">
        <w:rPr>
          <w:rFonts w:ascii="Palatino Linotype" w:eastAsia="Palatino Linotype" w:hAnsi="Palatino Linotype" w:cs="Palatino Linotype"/>
          <w:color w:val="000000"/>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0276A" w:rsidRPr="009D6FFD" w:rsidRDefault="0050276A">
      <w:pPr>
        <w:spacing w:line="360" w:lineRule="auto"/>
        <w:ind w:right="-929"/>
        <w:jc w:val="both"/>
        <w:rPr>
          <w:rFonts w:ascii="Palatino Linotype" w:eastAsia="Palatino Linotype" w:hAnsi="Palatino Linotype" w:cs="Palatino Linotype"/>
          <w:color w:val="000000"/>
        </w:rPr>
      </w:pPr>
    </w:p>
    <w:p w:rsidR="0050276A" w:rsidRPr="009D6FFD"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0276A" w:rsidRPr="009D6FFD" w:rsidRDefault="00E54209">
      <w:pPr>
        <w:pBdr>
          <w:top w:val="nil"/>
          <w:left w:val="nil"/>
          <w:bottom w:val="nil"/>
          <w:right w:val="nil"/>
          <w:between w:val="nil"/>
        </w:pBdr>
        <w:tabs>
          <w:tab w:val="left" w:pos="851"/>
        </w:tabs>
        <w:spacing w:line="360" w:lineRule="auto"/>
        <w:ind w:left="425" w:right="426"/>
        <w:jc w:val="both"/>
        <w:rPr>
          <w:rFonts w:ascii="Palatino Linotype" w:eastAsia="Palatino Linotype" w:hAnsi="Palatino Linotype" w:cs="Palatino Linotype"/>
          <w:i/>
          <w:color w:val="000000"/>
        </w:rPr>
      </w:pPr>
      <w:r w:rsidRPr="009D6FFD">
        <w:rPr>
          <w:rFonts w:ascii="Palatino Linotype" w:eastAsia="Palatino Linotype" w:hAnsi="Palatino Linotype" w:cs="Palatino Linotype"/>
          <w:b/>
          <w:i/>
          <w:color w:val="000000"/>
        </w:rPr>
        <w:t>ACCESO A LA INFORMACIÓN. IMPLICACIÓN DEL PRINCIPIO DE MÁXIMA PUBLICIDAD EN EL DERECHO FUNDAMENTAL RELATIVO.</w:t>
      </w:r>
      <w:r w:rsidRPr="009D6FFD">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w:t>
      </w:r>
      <w:r w:rsidRPr="009D6FFD">
        <w:rPr>
          <w:rFonts w:ascii="Palatino Linotype" w:eastAsia="Palatino Linotype" w:hAnsi="Palatino Linotype" w:cs="Palatino Linotype"/>
          <w:i/>
          <w:color w:val="000000"/>
        </w:rPr>
        <w:lastRenderedPageBreak/>
        <w:t>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0276A" w:rsidRPr="009D6FFD" w:rsidRDefault="0050276A">
      <w:pPr>
        <w:pBdr>
          <w:top w:val="nil"/>
          <w:left w:val="nil"/>
          <w:bottom w:val="nil"/>
          <w:right w:val="nil"/>
          <w:between w:val="nil"/>
        </w:pBdr>
        <w:tabs>
          <w:tab w:val="left" w:pos="851"/>
        </w:tabs>
        <w:spacing w:line="360" w:lineRule="auto"/>
        <w:ind w:left="425" w:right="426"/>
        <w:jc w:val="both"/>
        <w:rPr>
          <w:rFonts w:ascii="Palatino Linotype" w:eastAsia="Palatino Linotype" w:hAnsi="Palatino Linotype" w:cs="Palatino Linotype"/>
          <w:i/>
          <w:color w:val="000000"/>
        </w:rPr>
      </w:pPr>
    </w:p>
    <w:p w:rsidR="0050276A" w:rsidRPr="00DB2D24" w:rsidRDefault="00E5420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9D6FFD">
        <w:rPr>
          <w:rFonts w:ascii="Palatino Linotype" w:eastAsia="Palatino Linotype" w:hAnsi="Palatino Linotype" w:cs="Palatino Linotype"/>
          <w:color w:val="222222"/>
        </w:rPr>
        <w:t xml:space="preserve">Por lo </w:t>
      </w:r>
      <w:r w:rsidRPr="009D6FFD">
        <w:rPr>
          <w:rFonts w:ascii="Palatino Linotype" w:eastAsia="Palatino Linotype" w:hAnsi="Palatino Linotype" w:cs="Palatino Linotype"/>
          <w:color w:val="000000"/>
        </w:rPr>
        <w:t>anteriormente</w:t>
      </w:r>
      <w:r w:rsidRPr="009D6FFD">
        <w:rPr>
          <w:rFonts w:ascii="Palatino Linotype" w:eastAsia="Palatino Linotype" w:hAnsi="Palatino Linotype" w:cs="Palatino Linotype"/>
          <w:color w:val="222222"/>
        </w:rPr>
        <w:t xml:space="preserve"> expuesto y fundado, este </w:t>
      </w:r>
      <w:r w:rsidRPr="009D6FFD">
        <w:rPr>
          <w:rFonts w:ascii="Palatino Linotype" w:eastAsia="Palatino Linotype" w:hAnsi="Palatino Linotype" w:cs="Palatino Linotype"/>
          <w:b/>
          <w:color w:val="222222"/>
        </w:rPr>
        <w:t>ÓRGANO GARANTE</w:t>
      </w:r>
      <w:r w:rsidRPr="009D6FFD">
        <w:rPr>
          <w:rFonts w:ascii="Palatino Linotype" w:eastAsia="Palatino Linotype" w:hAnsi="Palatino Linotype" w:cs="Palatino Linotype"/>
          <w:color w:val="222222"/>
        </w:rPr>
        <w:t xml:space="preserve"> emite los siguientes:</w:t>
      </w:r>
    </w:p>
    <w:p w:rsidR="00DB2D24" w:rsidRPr="009D6FFD" w:rsidRDefault="00DB2D24" w:rsidP="00DB2D24">
      <w:pPr>
        <w:pBdr>
          <w:top w:val="nil"/>
          <w:left w:val="nil"/>
          <w:bottom w:val="nil"/>
          <w:right w:val="nil"/>
          <w:between w:val="nil"/>
        </w:pBdr>
        <w:spacing w:line="360" w:lineRule="auto"/>
        <w:jc w:val="both"/>
        <w:rPr>
          <w:rFonts w:ascii="Palatino Linotype" w:eastAsia="Palatino Linotype" w:hAnsi="Palatino Linotype" w:cs="Palatino Linotype"/>
        </w:rPr>
      </w:pPr>
    </w:p>
    <w:p w:rsidR="0050276A" w:rsidRPr="009D6FFD" w:rsidRDefault="00E54209">
      <w:pPr>
        <w:keepNext/>
        <w:keepLines/>
        <w:spacing w:line="360" w:lineRule="auto"/>
        <w:ind w:right="-929"/>
        <w:jc w:val="center"/>
        <w:rPr>
          <w:rFonts w:ascii="Palatino Linotype" w:eastAsia="Palatino Linotype" w:hAnsi="Palatino Linotype" w:cs="Palatino Linotype"/>
          <w:b/>
          <w:color w:val="000000"/>
        </w:rPr>
      </w:pPr>
      <w:r w:rsidRPr="009D6FFD">
        <w:rPr>
          <w:rFonts w:ascii="Palatino Linotype" w:eastAsia="Palatino Linotype" w:hAnsi="Palatino Linotype" w:cs="Palatino Linotype"/>
          <w:b/>
          <w:color w:val="000000"/>
        </w:rPr>
        <w:t>R E S O L U T I V O S</w:t>
      </w:r>
    </w:p>
    <w:p w:rsidR="0050276A" w:rsidRPr="009D6FFD" w:rsidRDefault="00E54209">
      <w:pPr>
        <w:spacing w:line="360" w:lineRule="auto"/>
        <w:ind w:right="-929"/>
        <w:jc w:val="both"/>
        <w:rPr>
          <w:rFonts w:ascii="Palatino Linotype" w:eastAsia="Palatino Linotype" w:hAnsi="Palatino Linotype" w:cs="Palatino Linotype"/>
          <w:b/>
        </w:rPr>
      </w:pPr>
      <w:r w:rsidRPr="009D6FFD">
        <w:rPr>
          <w:rFonts w:ascii="Palatino Linotype" w:eastAsia="Palatino Linotype" w:hAnsi="Palatino Linotype" w:cs="Palatino Linotype"/>
          <w:b/>
        </w:rPr>
        <w:tab/>
      </w:r>
    </w:p>
    <w:p w:rsidR="0050276A" w:rsidRPr="009D6FFD" w:rsidRDefault="00E54209">
      <w:pPr>
        <w:spacing w:line="360" w:lineRule="auto"/>
        <w:jc w:val="both"/>
        <w:rPr>
          <w:rFonts w:ascii="Palatino Linotype" w:eastAsia="Palatino Linotype" w:hAnsi="Palatino Linotype" w:cs="Palatino Linotype"/>
          <w:color w:val="000000"/>
        </w:rPr>
      </w:pPr>
      <w:bookmarkStart w:id="8" w:name="_heading=h.i9nlglsmmiri" w:colFirst="0" w:colLast="0"/>
      <w:bookmarkEnd w:id="8"/>
      <w:r w:rsidRPr="009D6FFD">
        <w:rPr>
          <w:rFonts w:ascii="Palatino Linotype" w:eastAsia="Palatino Linotype" w:hAnsi="Palatino Linotype" w:cs="Palatino Linotype"/>
          <w:b/>
          <w:color w:val="000000"/>
        </w:rPr>
        <w:t>PRIMERO</w:t>
      </w:r>
      <w:r w:rsidRPr="009D6FFD">
        <w:rPr>
          <w:rFonts w:ascii="Palatino Linotype" w:eastAsia="Palatino Linotype" w:hAnsi="Palatino Linotype" w:cs="Palatino Linotype"/>
          <w:color w:val="000000"/>
        </w:rPr>
        <w:t>. Resultan parcialmente fundadas las</w:t>
      </w:r>
      <w:r w:rsidRPr="009D6FFD">
        <w:rPr>
          <w:rFonts w:ascii="Palatino Linotype" w:eastAsia="Palatino Linotype" w:hAnsi="Palatino Linotype" w:cs="Palatino Linotype"/>
          <w:b/>
          <w:color w:val="000000"/>
        </w:rPr>
        <w:t xml:space="preserve"> </w:t>
      </w:r>
      <w:r w:rsidRPr="009D6FFD">
        <w:rPr>
          <w:rFonts w:ascii="Palatino Linotype" w:eastAsia="Palatino Linotype" w:hAnsi="Palatino Linotype" w:cs="Palatino Linotype"/>
          <w:color w:val="000000"/>
        </w:rPr>
        <w:t>razones o motivos de inconformidad hechos valer en el Recursos de Revisión</w:t>
      </w:r>
      <w:r w:rsidRPr="009D6FFD">
        <w:rPr>
          <w:rFonts w:ascii="Palatino Linotype" w:eastAsia="Palatino Linotype" w:hAnsi="Palatino Linotype" w:cs="Palatino Linotype"/>
          <w:b/>
          <w:color w:val="000000"/>
        </w:rPr>
        <w:t> 05668/INFOEM/IP/RR/2025</w:t>
      </w:r>
      <w:r w:rsidRPr="009D6FFD">
        <w:rPr>
          <w:rFonts w:ascii="Palatino Linotype" w:eastAsia="Palatino Linotype" w:hAnsi="Palatino Linotype" w:cs="Palatino Linotype"/>
          <w:color w:val="000000"/>
        </w:rPr>
        <w:t>,</w:t>
      </w:r>
      <w:r w:rsidRPr="009D6FFD">
        <w:rPr>
          <w:rFonts w:ascii="Palatino Linotype" w:eastAsia="Palatino Linotype" w:hAnsi="Palatino Linotype" w:cs="Palatino Linotype"/>
          <w:b/>
          <w:color w:val="000000"/>
        </w:rPr>
        <w:t xml:space="preserve"> </w:t>
      </w:r>
      <w:r w:rsidRPr="009D6FFD">
        <w:rPr>
          <w:rFonts w:ascii="Palatino Linotype" w:eastAsia="Palatino Linotype" w:hAnsi="Palatino Linotype" w:cs="Palatino Linotype"/>
          <w:color w:val="000000"/>
        </w:rPr>
        <w:t xml:space="preserve">en términos del  </w:t>
      </w:r>
      <w:r w:rsidRPr="009D6FFD">
        <w:rPr>
          <w:rFonts w:ascii="Palatino Linotype" w:eastAsia="Palatino Linotype" w:hAnsi="Palatino Linotype" w:cs="Palatino Linotype"/>
          <w:b/>
          <w:color w:val="000000"/>
        </w:rPr>
        <w:t>Considerando</w:t>
      </w:r>
      <w:r w:rsidRPr="009D6FFD">
        <w:rPr>
          <w:rFonts w:ascii="Palatino Linotype" w:eastAsia="Palatino Linotype" w:hAnsi="Palatino Linotype" w:cs="Palatino Linotype"/>
          <w:color w:val="000000"/>
        </w:rPr>
        <w:t xml:space="preserve"> </w:t>
      </w:r>
      <w:r w:rsidRPr="009D6FFD">
        <w:rPr>
          <w:rFonts w:ascii="Palatino Linotype" w:eastAsia="Palatino Linotype" w:hAnsi="Palatino Linotype" w:cs="Palatino Linotype"/>
          <w:b/>
          <w:color w:val="000000"/>
        </w:rPr>
        <w:t xml:space="preserve">Cuarto </w:t>
      </w:r>
      <w:r w:rsidRPr="009D6FFD">
        <w:rPr>
          <w:rFonts w:ascii="Palatino Linotype" w:eastAsia="Palatino Linotype" w:hAnsi="Palatino Linotype" w:cs="Palatino Linotype"/>
          <w:color w:val="000000"/>
        </w:rPr>
        <w:t>de la presente Resolución.</w:t>
      </w:r>
    </w:p>
    <w:p w:rsidR="0050276A" w:rsidRPr="009D6FFD" w:rsidRDefault="0050276A">
      <w:pPr>
        <w:spacing w:line="360" w:lineRule="auto"/>
        <w:jc w:val="both"/>
        <w:rPr>
          <w:rFonts w:ascii="Palatino Linotype" w:eastAsia="Palatino Linotype" w:hAnsi="Palatino Linotype" w:cs="Palatino Linotype"/>
          <w:color w:val="000000"/>
        </w:rPr>
      </w:pPr>
    </w:p>
    <w:p w:rsidR="0050276A" w:rsidRPr="009D6FFD" w:rsidRDefault="00E54209">
      <w:pPr>
        <w:spacing w:line="360" w:lineRule="auto"/>
        <w:jc w:val="both"/>
        <w:rPr>
          <w:rFonts w:ascii="Palatino Linotype" w:eastAsia="Palatino Linotype" w:hAnsi="Palatino Linotype" w:cs="Palatino Linotype"/>
          <w:b/>
          <w:color w:val="000000"/>
        </w:rPr>
      </w:pPr>
      <w:r w:rsidRPr="009D6FFD">
        <w:rPr>
          <w:rFonts w:ascii="Palatino Linotype" w:eastAsia="Palatino Linotype" w:hAnsi="Palatino Linotype" w:cs="Palatino Linotype"/>
          <w:b/>
          <w:color w:val="000000"/>
        </w:rPr>
        <w:t>SEGUNDO.</w:t>
      </w:r>
      <w:r w:rsidRPr="009D6FFD">
        <w:rPr>
          <w:rFonts w:ascii="Palatino Linotype" w:eastAsia="Palatino Linotype" w:hAnsi="Palatino Linotype" w:cs="Palatino Linotype"/>
          <w:color w:val="000000"/>
        </w:rPr>
        <w:t xml:space="preserve"> Se</w:t>
      </w:r>
      <w:r w:rsidRPr="009D6FFD">
        <w:rPr>
          <w:rFonts w:ascii="Palatino Linotype" w:eastAsia="Palatino Linotype" w:hAnsi="Palatino Linotype" w:cs="Palatino Linotype"/>
          <w:b/>
          <w:color w:val="000000"/>
        </w:rPr>
        <w:t xml:space="preserve"> MODIFICA </w:t>
      </w:r>
      <w:r w:rsidRPr="009D6FFD">
        <w:rPr>
          <w:rFonts w:ascii="Palatino Linotype" w:eastAsia="Palatino Linotype" w:hAnsi="Palatino Linotype" w:cs="Palatino Linotype"/>
          <w:color w:val="000000"/>
        </w:rPr>
        <w:t xml:space="preserve">la respuesta emitida por el </w:t>
      </w:r>
      <w:r w:rsidRPr="009D6FFD">
        <w:rPr>
          <w:rFonts w:ascii="Palatino Linotype" w:eastAsia="Palatino Linotype" w:hAnsi="Palatino Linotype" w:cs="Palatino Linotype"/>
          <w:b/>
          <w:color w:val="000000"/>
        </w:rPr>
        <w:t>Instituto Municipal de Cultura Física y Deporte de Cocotitlán</w:t>
      </w:r>
      <w:r w:rsidRPr="009D6FFD">
        <w:rPr>
          <w:rFonts w:ascii="Palatino Linotype" w:eastAsia="Palatino Linotype" w:hAnsi="Palatino Linotype" w:cs="Palatino Linotype"/>
          <w:color w:val="000000"/>
        </w:rPr>
        <w:t xml:space="preserve"> a la Solicitud de Información </w:t>
      </w:r>
      <w:r w:rsidRPr="009D6FFD">
        <w:rPr>
          <w:rFonts w:ascii="Palatino Linotype" w:eastAsia="Palatino Linotype" w:hAnsi="Palatino Linotype" w:cs="Palatino Linotype"/>
          <w:b/>
          <w:color w:val="000000"/>
        </w:rPr>
        <w:t>00038/IMCUFIDECOCOTI/IP/2025</w:t>
      </w:r>
      <w:r w:rsidRPr="009D6FFD">
        <w:rPr>
          <w:rFonts w:ascii="Palatino Linotype" w:eastAsia="Palatino Linotype" w:hAnsi="Palatino Linotype" w:cs="Palatino Linotype"/>
          <w:color w:val="000000"/>
        </w:rPr>
        <w:t xml:space="preserve"> a efecto de</w:t>
      </w:r>
      <w:r w:rsidRPr="009D6FFD">
        <w:rPr>
          <w:rFonts w:ascii="Palatino Linotype" w:eastAsia="Palatino Linotype" w:hAnsi="Palatino Linotype" w:cs="Palatino Linotype"/>
          <w:b/>
          <w:color w:val="000000"/>
        </w:rPr>
        <w:t xml:space="preserve"> ORDENAR </w:t>
      </w:r>
      <w:r w:rsidRPr="009D6FFD">
        <w:rPr>
          <w:rFonts w:ascii="Palatino Linotype" w:eastAsia="Palatino Linotype" w:hAnsi="Palatino Linotype" w:cs="Palatino Linotype"/>
          <w:color w:val="000000"/>
        </w:rPr>
        <w:t xml:space="preserve">entregar vía </w:t>
      </w:r>
      <w:r w:rsidRPr="009D6FFD">
        <w:rPr>
          <w:rFonts w:ascii="Palatino Linotype" w:eastAsia="Palatino Linotype" w:hAnsi="Palatino Linotype" w:cs="Palatino Linotype"/>
          <w:b/>
          <w:color w:val="000000"/>
        </w:rPr>
        <w:t>SAIMEX</w:t>
      </w:r>
      <w:r w:rsidRPr="009D6FFD">
        <w:rPr>
          <w:rFonts w:ascii="Palatino Linotype" w:eastAsia="Palatino Linotype" w:hAnsi="Palatino Linotype" w:cs="Palatino Linotype"/>
          <w:color w:val="000000"/>
        </w:rPr>
        <w:t xml:space="preserve">, previa búsqueda exhaustiva y razonable, los siguientes manuales vigentes al </w:t>
      </w:r>
      <w:r w:rsidRPr="009D6FFD">
        <w:rPr>
          <w:rFonts w:ascii="Palatino Linotype" w:eastAsia="Palatino Linotype" w:hAnsi="Palatino Linotype" w:cs="Palatino Linotype"/>
          <w:b/>
          <w:color w:val="000000"/>
        </w:rPr>
        <w:t>23 de abril de 2025</w:t>
      </w:r>
      <w:r w:rsidRPr="009D6FFD">
        <w:rPr>
          <w:rFonts w:ascii="Palatino Linotype" w:eastAsia="Palatino Linotype" w:hAnsi="Palatino Linotype" w:cs="Palatino Linotype"/>
          <w:color w:val="000000"/>
        </w:rPr>
        <w:t>:</w:t>
      </w:r>
    </w:p>
    <w:p w:rsidR="0050276A" w:rsidRPr="009D6FFD" w:rsidRDefault="0050276A">
      <w:pPr>
        <w:pBdr>
          <w:top w:val="nil"/>
          <w:left w:val="nil"/>
          <w:bottom w:val="nil"/>
          <w:right w:val="nil"/>
          <w:between w:val="nil"/>
        </w:pBdr>
        <w:spacing w:line="360" w:lineRule="auto"/>
        <w:ind w:left="1145" w:right="760"/>
        <w:jc w:val="both"/>
        <w:rPr>
          <w:rFonts w:ascii="Palatino Linotype" w:eastAsia="Palatino Linotype" w:hAnsi="Palatino Linotype" w:cs="Palatino Linotype"/>
          <w:b/>
          <w:color w:val="000000"/>
        </w:rPr>
      </w:pPr>
    </w:p>
    <w:p w:rsidR="0050276A" w:rsidRPr="009D6FFD" w:rsidRDefault="00E54209">
      <w:pPr>
        <w:numPr>
          <w:ilvl w:val="0"/>
          <w:numId w:val="1"/>
        </w:numPr>
        <w:pBdr>
          <w:top w:val="nil"/>
          <w:left w:val="nil"/>
          <w:bottom w:val="nil"/>
          <w:right w:val="nil"/>
          <w:between w:val="nil"/>
        </w:pBdr>
        <w:spacing w:line="360" w:lineRule="auto"/>
        <w:ind w:left="567" w:right="760"/>
        <w:jc w:val="both"/>
        <w:rPr>
          <w:rFonts w:ascii="Palatino Linotype" w:eastAsia="Palatino Linotype" w:hAnsi="Palatino Linotype" w:cs="Palatino Linotype"/>
          <w:b/>
          <w:color w:val="000000"/>
        </w:rPr>
      </w:pPr>
      <w:r w:rsidRPr="009D6FFD">
        <w:rPr>
          <w:rFonts w:ascii="Palatino Linotype" w:eastAsia="Palatino Linotype" w:hAnsi="Palatino Linotype" w:cs="Palatino Linotype"/>
          <w:b/>
          <w:color w:val="000000"/>
        </w:rPr>
        <w:t>Manual de Organización del Instituto Municipal de Cultura Física y Deporte de Cocotitlán; y</w:t>
      </w:r>
    </w:p>
    <w:p w:rsidR="0050276A" w:rsidRPr="009D6FFD" w:rsidRDefault="0050276A">
      <w:pPr>
        <w:pBdr>
          <w:top w:val="nil"/>
          <w:left w:val="nil"/>
          <w:bottom w:val="nil"/>
          <w:right w:val="nil"/>
          <w:between w:val="nil"/>
        </w:pBdr>
        <w:spacing w:line="360" w:lineRule="auto"/>
        <w:ind w:left="567" w:right="760"/>
        <w:jc w:val="both"/>
        <w:rPr>
          <w:rFonts w:ascii="Palatino Linotype" w:eastAsia="Palatino Linotype" w:hAnsi="Palatino Linotype" w:cs="Palatino Linotype"/>
          <w:b/>
          <w:color w:val="000000"/>
        </w:rPr>
      </w:pPr>
    </w:p>
    <w:p w:rsidR="0050276A" w:rsidRPr="009D6FFD" w:rsidRDefault="00E54209">
      <w:pPr>
        <w:numPr>
          <w:ilvl w:val="0"/>
          <w:numId w:val="1"/>
        </w:numPr>
        <w:pBdr>
          <w:top w:val="nil"/>
          <w:left w:val="nil"/>
          <w:bottom w:val="nil"/>
          <w:right w:val="nil"/>
          <w:between w:val="nil"/>
        </w:pBdr>
        <w:spacing w:line="360" w:lineRule="auto"/>
        <w:ind w:left="567" w:right="760"/>
        <w:jc w:val="both"/>
        <w:rPr>
          <w:rFonts w:ascii="Palatino Linotype" w:eastAsia="Palatino Linotype" w:hAnsi="Palatino Linotype" w:cs="Palatino Linotype"/>
          <w:b/>
          <w:color w:val="000000"/>
        </w:rPr>
      </w:pPr>
      <w:r w:rsidRPr="009D6FFD">
        <w:rPr>
          <w:rFonts w:ascii="Palatino Linotype" w:eastAsia="Palatino Linotype" w:hAnsi="Palatino Linotype" w:cs="Palatino Linotype"/>
          <w:b/>
          <w:color w:val="000000"/>
        </w:rPr>
        <w:t>Manual de Procedimientos del Instituto Municipal de Cultura Física y Deporte de Cocotitlán.</w:t>
      </w:r>
    </w:p>
    <w:p w:rsidR="0050276A" w:rsidRPr="009D6FFD" w:rsidRDefault="0050276A">
      <w:pPr>
        <w:pBdr>
          <w:top w:val="nil"/>
          <w:left w:val="nil"/>
          <w:bottom w:val="nil"/>
          <w:right w:val="nil"/>
          <w:between w:val="nil"/>
        </w:pBdr>
        <w:spacing w:line="360" w:lineRule="auto"/>
        <w:ind w:left="567" w:right="760"/>
        <w:jc w:val="both"/>
        <w:rPr>
          <w:rFonts w:ascii="Palatino Linotype" w:eastAsia="Palatino Linotype" w:hAnsi="Palatino Linotype" w:cs="Palatino Linotype"/>
          <w:b/>
          <w:color w:val="000000"/>
        </w:rPr>
      </w:pPr>
    </w:p>
    <w:p w:rsidR="0050276A" w:rsidRPr="009D6FFD" w:rsidRDefault="00E54209">
      <w:pPr>
        <w:tabs>
          <w:tab w:val="left" w:pos="8080"/>
        </w:tabs>
        <w:spacing w:line="360" w:lineRule="auto"/>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color w:val="000000"/>
        </w:rPr>
        <w:t xml:space="preserve">Para el caso de que el </w:t>
      </w:r>
      <w:r w:rsidRPr="009D6FFD">
        <w:rPr>
          <w:rFonts w:ascii="Palatino Linotype" w:eastAsia="Palatino Linotype" w:hAnsi="Palatino Linotype" w:cs="Palatino Linotype"/>
          <w:b/>
          <w:color w:val="000000"/>
        </w:rPr>
        <w:t>SUJETO OBLIGADO</w:t>
      </w:r>
      <w:r w:rsidRPr="009D6FFD">
        <w:rPr>
          <w:rFonts w:ascii="Palatino Linotype" w:eastAsia="Palatino Linotype" w:hAnsi="Palatino Linotype" w:cs="Palatino Linotype"/>
          <w:color w:val="000000"/>
        </w:rPr>
        <w:t xml:space="preserve"> no cuente con la información que se ordena en alguno de los incisos, bastará con que así lo haga del conocimiento de la parte </w:t>
      </w:r>
      <w:r w:rsidRPr="009D6FFD">
        <w:rPr>
          <w:rFonts w:ascii="Palatino Linotype" w:eastAsia="Palatino Linotype" w:hAnsi="Palatino Linotype" w:cs="Palatino Linotype"/>
          <w:b/>
          <w:color w:val="000000"/>
        </w:rPr>
        <w:t>Recurrente</w:t>
      </w:r>
      <w:r w:rsidRPr="009D6FFD">
        <w:rPr>
          <w:rFonts w:ascii="Palatino Linotype" w:eastAsia="Palatino Linotype" w:hAnsi="Palatino Linotype" w:cs="Palatino Linotype"/>
          <w:color w:val="000000"/>
        </w:rPr>
        <w:t>, de manera clara y precisa, en términos del artículo 19, párrafo segundo de la Ley de Transparencia y Acceso a la Información pública del Estado de México y Municipios para tener por colmado el requerimiento de información.</w:t>
      </w:r>
    </w:p>
    <w:p w:rsidR="0050276A" w:rsidRPr="009D6FFD" w:rsidRDefault="0050276A">
      <w:pPr>
        <w:spacing w:line="360" w:lineRule="auto"/>
        <w:ind w:right="760"/>
        <w:jc w:val="both"/>
        <w:rPr>
          <w:rFonts w:ascii="Palatino Linotype" w:eastAsia="Palatino Linotype" w:hAnsi="Palatino Linotype" w:cs="Palatino Linotype"/>
          <w:b/>
          <w:color w:val="000000"/>
        </w:rPr>
      </w:pPr>
    </w:p>
    <w:p w:rsidR="0050276A" w:rsidRPr="009D6FFD" w:rsidRDefault="00E54209">
      <w:pPr>
        <w:spacing w:line="360" w:lineRule="auto"/>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b/>
          <w:color w:val="000000"/>
        </w:rPr>
        <w:t xml:space="preserve">TERCERO. Notifíquese </w:t>
      </w:r>
      <w:r w:rsidRPr="009D6FFD">
        <w:rPr>
          <w:rFonts w:ascii="Palatino Linotype" w:eastAsia="Palatino Linotype" w:hAnsi="Palatino Linotype" w:cs="Palatino Linotype"/>
          <w:color w:val="000000"/>
        </w:rPr>
        <w:t xml:space="preserve">la presente Resolución al Titular de la Unidad de Transparencia del Sujeto Obligado vía </w:t>
      </w:r>
      <w:r w:rsidRPr="009D6FFD">
        <w:rPr>
          <w:rFonts w:ascii="Palatino Linotype" w:eastAsia="Palatino Linotype" w:hAnsi="Palatino Linotype" w:cs="Palatino Linotype"/>
          <w:b/>
          <w:color w:val="000000"/>
        </w:rPr>
        <w:t>SAIMEX</w:t>
      </w:r>
      <w:r w:rsidRPr="009D6FFD">
        <w:rPr>
          <w:rFonts w:ascii="Palatino Linotype" w:eastAsia="Palatino Linotype" w:hAnsi="Palatino Linotype" w:cs="Palatino Linotype"/>
          <w:color w:val="000000"/>
        </w:rPr>
        <w:t xml:space="preserve">, para que conforme al artículo 186 último párrafo, 189 segundo párrafo y 194 de la Ley de Transparencia y Acceso a la Información Pública del Estado de México y Municipios; </w:t>
      </w:r>
      <w:r w:rsidRPr="00DB2D24">
        <w:rPr>
          <w:rFonts w:ascii="Palatino Linotype" w:eastAsia="Palatino Linotype" w:hAnsi="Palatino Linotype" w:cs="Palatino Linotype"/>
          <w:b/>
          <w:color w:val="000000"/>
        </w:rPr>
        <w:t xml:space="preserve">dé cumplimiento a lo ordenado dentro del plazo de diez días hábiles, </w:t>
      </w:r>
      <w:r w:rsidRPr="009D6FFD">
        <w:rPr>
          <w:rFonts w:ascii="Palatino Linotype" w:eastAsia="Palatino Linotype" w:hAnsi="Palatino Linotype" w:cs="Palatino Linotype"/>
          <w:color w:val="000000"/>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0276A" w:rsidRPr="009D6FFD" w:rsidRDefault="0050276A">
      <w:pPr>
        <w:spacing w:line="360" w:lineRule="auto"/>
        <w:jc w:val="both"/>
        <w:rPr>
          <w:rFonts w:ascii="Palatino Linotype" w:eastAsia="Palatino Linotype" w:hAnsi="Palatino Linotype" w:cs="Palatino Linotype"/>
          <w:color w:val="000000"/>
        </w:rPr>
      </w:pPr>
    </w:p>
    <w:p w:rsidR="0050276A" w:rsidRPr="009D6FFD" w:rsidRDefault="00E54209">
      <w:pPr>
        <w:spacing w:line="360" w:lineRule="auto"/>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b/>
          <w:color w:val="000000"/>
        </w:rPr>
        <w:t xml:space="preserve">CUARTO. </w:t>
      </w:r>
      <w:r w:rsidRPr="009D6FFD">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el </w:t>
      </w:r>
      <w:r w:rsidRPr="009D6FFD">
        <w:rPr>
          <w:rFonts w:ascii="Palatino Linotype" w:eastAsia="Palatino Linotype" w:hAnsi="Palatino Linotype" w:cs="Palatino Linotype"/>
          <w:b/>
          <w:color w:val="000000"/>
        </w:rPr>
        <w:t>SUJETO OBLIGADO</w:t>
      </w:r>
      <w:r w:rsidRPr="009D6FFD">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rsidR="0050276A" w:rsidRPr="009D6FFD" w:rsidRDefault="00E54209">
      <w:pPr>
        <w:tabs>
          <w:tab w:val="left" w:pos="8080"/>
        </w:tabs>
        <w:spacing w:line="360" w:lineRule="auto"/>
        <w:ind w:right="49"/>
        <w:jc w:val="both"/>
        <w:rPr>
          <w:rFonts w:ascii="Palatino Linotype" w:eastAsia="Palatino Linotype" w:hAnsi="Palatino Linotype" w:cs="Palatino Linotype"/>
          <w:color w:val="000000"/>
        </w:rPr>
      </w:pPr>
      <w:bookmarkStart w:id="9" w:name="_heading=h.epnkn0omgv3r" w:colFirst="0" w:colLast="0"/>
      <w:bookmarkEnd w:id="9"/>
      <w:r w:rsidRPr="009D6FFD">
        <w:rPr>
          <w:rFonts w:ascii="Palatino Linotype" w:eastAsia="Palatino Linotype" w:hAnsi="Palatino Linotype" w:cs="Palatino Linotype"/>
          <w:b/>
          <w:color w:val="000000"/>
        </w:rPr>
        <w:lastRenderedPageBreak/>
        <w:t xml:space="preserve">QUINTO. </w:t>
      </w:r>
      <w:r w:rsidRPr="009D6FFD">
        <w:rPr>
          <w:rFonts w:ascii="Palatino Linotype" w:eastAsia="Palatino Linotype" w:hAnsi="Palatino Linotype" w:cs="Palatino Linotype"/>
          <w:color w:val="000000"/>
        </w:rPr>
        <w:t xml:space="preserve">Notifíquese a </w:t>
      </w:r>
      <w:r w:rsidRPr="009D6FFD">
        <w:rPr>
          <w:rFonts w:ascii="Palatino Linotype" w:eastAsia="Palatino Linotype" w:hAnsi="Palatino Linotype" w:cs="Palatino Linotype"/>
          <w:b/>
          <w:color w:val="000000"/>
        </w:rPr>
        <w:t>EL RECURRENTE</w:t>
      </w:r>
      <w:r w:rsidRPr="009D6FFD">
        <w:rPr>
          <w:rFonts w:ascii="Palatino Linotype" w:eastAsia="Palatino Linotype" w:hAnsi="Palatino Linotype" w:cs="Palatino Linotype"/>
          <w:color w:val="000000"/>
        </w:rPr>
        <w:t xml:space="preserve"> la presente Resolución, vía </w:t>
      </w:r>
      <w:r w:rsidRPr="009D6FFD">
        <w:rPr>
          <w:rFonts w:ascii="Palatino Linotype" w:eastAsia="Palatino Linotype" w:hAnsi="Palatino Linotype" w:cs="Palatino Linotype"/>
          <w:b/>
          <w:color w:val="000000"/>
        </w:rPr>
        <w:t>SAIMEX</w:t>
      </w:r>
      <w:r w:rsidRPr="009D6FFD">
        <w:rPr>
          <w:rFonts w:ascii="Palatino Linotype" w:eastAsia="Palatino Linotype" w:hAnsi="Palatino Linotype" w:cs="Palatino Linotype"/>
          <w:color w:val="000000"/>
        </w:rPr>
        <w:t>.</w:t>
      </w:r>
    </w:p>
    <w:p w:rsidR="0050276A" w:rsidRPr="009D6FFD" w:rsidRDefault="0050276A">
      <w:pPr>
        <w:tabs>
          <w:tab w:val="left" w:pos="8080"/>
        </w:tabs>
        <w:spacing w:line="360" w:lineRule="auto"/>
        <w:ind w:right="49"/>
        <w:jc w:val="both"/>
        <w:rPr>
          <w:rFonts w:ascii="Palatino Linotype" w:eastAsia="Palatino Linotype" w:hAnsi="Palatino Linotype" w:cs="Palatino Linotype"/>
          <w:color w:val="000000"/>
        </w:rPr>
      </w:pPr>
    </w:p>
    <w:p w:rsidR="0050276A" w:rsidRPr="009D6FFD" w:rsidRDefault="00E54209">
      <w:pPr>
        <w:shd w:val="clear" w:color="auto" w:fill="FFFFFF"/>
        <w:spacing w:line="360" w:lineRule="auto"/>
        <w:jc w:val="both"/>
        <w:rPr>
          <w:rFonts w:ascii="Palatino Linotype" w:eastAsia="Palatino Linotype" w:hAnsi="Palatino Linotype" w:cs="Palatino Linotype"/>
          <w:color w:val="000000"/>
        </w:rPr>
      </w:pPr>
      <w:r w:rsidRPr="009D6FFD">
        <w:rPr>
          <w:rFonts w:ascii="Palatino Linotype" w:eastAsia="Palatino Linotype" w:hAnsi="Palatino Linotype" w:cs="Palatino Linotype"/>
          <w:b/>
          <w:color w:val="000000"/>
        </w:rPr>
        <w:t xml:space="preserve">SEXTO. </w:t>
      </w:r>
      <w:r w:rsidRPr="009D6FFD">
        <w:rPr>
          <w:rFonts w:ascii="Palatino Linotype" w:eastAsia="Palatino Linotype" w:hAnsi="Palatino Linotype" w:cs="Palatino Linotype"/>
          <w:color w:val="000000"/>
        </w:rPr>
        <w:t xml:space="preserve">Se hace del conocimiento de </w:t>
      </w:r>
      <w:r w:rsidRPr="009D6FFD">
        <w:rPr>
          <w:rFonts w:ascii="Palatino Linotype" w:eastAsia="Palatino Linotype" w:hAnsi="Palatino Linotype" w:cs="Palatino Linotype"/>
          <w:b/>
          <w:color w:val="000000"/>
        </w:rPr>
        <w:t xml:space="preserve">EL RECURRENTE </w:t>
      </w:r>
      <w:r w:rsidRPr="009D6FFD">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0276A" w:rsidRPr="009D6FFD" w:rsidRDefault="0050276A">
      <w:pPr>
        <w:shd w:val="clear" w:color="auto" w:fill="FFFFFF"/>
        <w:spacing w:line="360" w:lineRule="auto"/>
        <w:jc w:val="both"/>
        <w:rPr>
          <w:rFonts w:ascii="Palatino Linotype" w:eastAsia="Palatino Linotype" w:hAnsi="Palatino Linotype" w:cs="Palatino Linotype"/>
          <w:color w:val="000000"/>
        </w:rPr>
      </w:pPr>
    </w:p>
    <w:p w:rsidR="00C75A14" w:rsidRDefault="009D6FFD" w:rsidP="00C75A14">
      <w:pPr>
        <w:spacing w:before="240" w:after="240" w:line="360" w:lineRule="auto"/>
        <w:ind w:firstLine="1"/>
        <w:jc w:val="both"/>
        <w:rPr>
          <w:rFonts w:ascii="Palatino Linotype" w:hAnsi="Palatino Linotype"/>
        </w:rPr>
      </w:pPr>
      <w:bookmarkStart w:id="10" w:name="_Hlk99014733"/>
      <w:r w:rsidRPr="009D6FFD">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9D6FFD">
        <w:rPr>
          <w:rFonts w:ascii="Palatino Linotype" w:eastAsia="Times New Roman" w:hAnsi="Palatino Linotype" w:cs="Palatino Linotype"/>
          <w:color w:val="000000" w:themeColor="text1"/>
        </w:rPr>
        <w:t>ALEXIS TAPIA RAMÍREZ</w:t>
      </w:r>
      <w:r w:rsidR="00C75A14" w:rsidRPr="009D6FFD">
        <w:rPr>
          <w:rFonts w:ascii="Palatino Linotype" w:eastAsia="Times New Roman" w:hAnsi="Palatino Linotype" w:cs="Palatino Linotype"/>
          <w:color w:val="000000" w:themeColor="text1"/>
        </w:rPr>
        <w:t>.</w:t>
      </w:r>
    </w:p>
    <w:p w:rsidR="00C75A14" w:rsidRDefault="00C75A14" w:rsidP="00C75A14">
      <w:pPr>
        <w:spacing w:before="240" w:after="240" w:line="360" w:lineRule="auto"/>
        <w:ind w:firstLine="1"/>
        <w:jc w:val="both"/>
        <w:rPr>
          <w:rFonts w:ascii="Palatino Linotype" w:hAnsi="Palatino Linotype"/>
        </w:rPr>
      </w:pPr>
    </w:p>
    <w:bookmarkEnd w:id="10"/>
    <w:p w:rsidR="0050276A" w:rsidRDefault="0050276A">
      <w:pPr>
        <w:spacing w:line="360" w:lineRule="auto"/>
        <w:jc w:val="both"/>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p w:rsidR="0050276A" w:rsidRDefault="00E54209">
      <w:pPr>
        <w:tabs>
          <w:tab w:val="left" w:pos="3374"/>
        </w:tabs>
        <w:spacing w:line="360" w:lineRule="auto"/>
        <w:rPr>
          <w:rFonts w:ascii="Palatino Linotype" w:eastAsia="Palatino Linotype" w:hAnsi="Palatino Linotype" w:cs="Palatino Linotype"/>
        </w:rPr>
      </w:pPr>
      <w:r>
        <w:rPr>
          <w:rFonts w:ascii="Palatino Linotype" w:eastAsia="Palatino Linotype" w:hAnsi="Palatino Linotype" w:cs="Palatino Linotype"/>
        </w:rPr>
        <w:tab/>
      </w: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tabs>
          <w:tab w:val="left" w:pos="3374"/>
        </w:tabs>
        <w:spacing w:line="360" w:lineRule="auto"/>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p w:rsidR="0050276A" w:rsidRDefault="0050276A">
      <w:pPr>
        <w:spacing w:line="360" w:lineRule="auto"/>
        <w:rPr>
          <w:rFonts w:ascii="Palatino Linotype" w:eastAsia="Palatino Linotype" w:hAnsi="Palatino Linotype" w:cs="Palatino Linotype"/>
        </w:rPr>
      </w:pPr>
    </w:p>
    <w:sectPr w:rsidR="0050276A" w:rsidSect="00DB2D24">
      <w:headerReference w:type="even" r:id="rId8"/>
      <w:headerReference w:type="default" r:id="rId9"/>
      <w:footerReference w:type="default" r:id="rId10"/>
      <w:headerReference w:type="first" r:id="rId11"/>
      <w:footerReference w:type="first" r:id="rId12"/>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280" w:rsidRDefault="00963280">
      <w:r>
        <w:separator/>
      </w:r>
    </w:p>
  </w:endnote>
  <w:endnote w:type="continuationSeparator" w:id="0">
    <w:p w:rsidR="00963280" w:rsidRDefault="0096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6A" w:rsidRDefault="00E5420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2D2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2D24">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50276A" w:rsidRDefault="0050276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6A" w:rsidRDefault="00E5420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2D2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2D24">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50276A" w:rsidRDefault="0050276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280" w:rsidRDefault="00963280">
      <w:r>
        <w:separator/>
      </w:r>
    </w:p>
  </w:footnote>
  <w:footnote w:type="continuationSeparator" w:id="0">
    <w:p w:rsidR="00963280" w:rsidRDefault="00963280">
      <w:r>
        <w:continuationSeparator/>
      </w:r>
    </w:p>
  </w:footnote>
  <w:footnote w:id="1">
    <w:p w:rsidR="0050276A" w:rsidRDefault="00E542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50276A" w:rsidRDefault="00E542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50276A" w:rsidRDefault="00E5420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50276A" w:rsidRDefault="00E5420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50276A" w:rsidRDefault="00E54209">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50276A" w:rsidRDefault="00E5420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50276A" w:rsidRDefault="00E5420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50276A" w:rsidRDefault="00E54209">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6A" w:rsidRDefault="0096328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087" w:type="dxa"/>
      <w:tblInd w:w="2694" w:type="dxa"/>
      <w:tblLayout w:type="fixed"/>
      <w:tblLook w:val="0400" w:firstRow="0" w:lastRow="0" w:firstColumn="0" w:lastColumn="0" w:noHBand="0" w:noVBand="1"/>
    </w:tblPr>
    <w:tblGrid>
      <w:gridCol w:w="2976"/>
      <w:gridCol w:w="4111"/>
    </w:tblGrid>
    <w:tr w:rsidR="0050276A" w:rsidTr="00DB2D24">
      <w:trPr>
        <w:trHeight w:val="227"/>
      </w:trPr>
      <w:tc>
        <w:tcPr>
          <w:tcW w:w="2976" w:type="dxa"/>
          <w:vAlign w:val="center"/>
        </w:tcPr>
        <w:p w:rsidR="0050276A" w:rsidRPr="00DB2D24" w:rsidRDefault="00E54209">
          <w:pPr>
            <w:ind w:right="34"/>
            <w:jc w:val="right"/>
            <w:rPr>
              <w:rFonts w:ascii="Palatino Linotype" w:eastAsia="Palatino Linotype" w:hAnsi="Palatino Linotype" w:cs="Palatino Linotype"/>
              <w:b/>
              <w:szCs w:val="22"/>
            </w:rPr>
          </w:pPr>
          <w:r w:rsidRPr="00DB2D24">
            <w:rPr>
              <w:rFonts w:ascii="Palatino Linotype" w:eastAsia="Palatino Linotype" w:hAnsi="Palatino Linotype" w:cs="Palatino Linotype"/>
              <w:b/>
              <w:szCs w:val="22"/>
            </w:rPr>
            <w:t>Recurso de Revisión:</w:t>
          </w:r>
        </w:p>
      </w:tc>
      <w:tc>
        <w:tcPr>
          <w:tcW w:w="4111" w:type="dxa"/>
          <w:vAlign w:val="center"/>
        </w:tcPr>
        <w:p w:rsidR="0050276A" w:rsidRPr="00DB2D24" w:rsidRDefault="00E54209" w:rsidP="00DB2D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B2D24">
            <w:rPr>
              <w:rFonts w:ascii="Palatino Linotype" w:eastAsia="Palatino Linotype" w:hAnsi="Palatino Linotype" w:cs="Palatino Linotype"/>
              <w:color w:val="000000"/>
              <w:szCs w:val="22"/>
            </w:rPr>
            <w:t>05668/INFOEM/IP/RR/2025</w:t>
          </w:r>
        </w:p>
      </w:tc>
    </w:tr>
    <w:tr w:rsidR="0050276A" w:rsidTr="00DB2D24">
      <w:trPr>
        <w:trHeight w:val="242"/>
      </w:trPr>
      <w:tc>
        <w:tcPr>
          <w:tcW w:w="2976" w:type="dxa"/>
          <w:vAlign w:val="center"/>
        </w:tcPr>
        <w:p w:rsidR="0050276A" w:rsidRPr="00DB2D24" w:rsidRDefault="00E54209">
          <w:pPr>
            <w:ind w:right="34"/>
            <w:jc w:val="right"/>
            <w:rPr>
              <w:rFonts w:ascii="Palatino Linotype" w:eastAsia="Palatino Linotype" w:hAnsi="Palatino Linotype" w:cs="Palatino Linotype"/>
              <w:b/>
              <w:szCs w:val="22"/>
            </w:rPr>
          </w:pPr>
          <w:r w:rsidRPr="00DB2D24">
            <w:rPr>
              <w:rFonts w:ascii="Palatino Linotype" w:eastAsia="Palatino Linotype" w:hAnsi="Palatino Linotype" w:cs="Palatino Linotype"/>
              <w:b/>
              <w:szCs w:val="22"/>
            </w:rPr>
            <w:t>Sujeto Obligado:</w:t>
          </w:r>
        </w:p>
      </w:tc>
      <w:tc>
        <w:tcPr>
          <w:tcW w:w="4111" w:type="dxa"/>
          <w:vAlign w:val="center"/>
        </w:tcPr>
        <w:p w:rsidR="0050276A" w:rsidRPr="00DB2D24" w:rsidRDefault="00E54209" w:rsidP="00DB2D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B2D24">
            <w:rPr>
              <w:rFonts w:ascii="Palatino Linotype" w:eastAsia="Palatino Linotype" w:hAnsi="Palatino Linotype" w:cs="Palatino Linotype"/>
              <w:color w:val="000000"/>
              <w:szCs w:val="22"/>
            </w:rPr>
            <w:t>Instituto Municipal de Cultura Física y Deporte de Cocotitlán</w:t>
          </w:r>
        </w:p>
      </w:tc>
    </w:tr>
    <w:tr w:rsidR="0050276A" w:rsidTr="00DB2D24">
      <w:trPr>
        <w:trHeight w:val="342"/>
      </w:trPr>
      <w:tc>
        <w:tcPr>
          <w:tcW w:w="2976" w:type="dxa"/>
          <w:vAlign w:val="center"/>
        </w:tcPr>
        <w:p w:rsidR="0050276A" w:rsidRPr="00DB2D24" w:rsidRDefault="00E54209">
          <w:pPr>
            <w:ind w:right="34"/>
            <w:jc w:val="right"/>
            <w:rPr>
              <w:rFonts w:ascii="Palatino Linotype" w:eastAsia="Palatino Linotype" w:hAnsi="Palatino Linotype" w:cs="Palatino Linotype"/>
              <w:b/>
              <w:szCs w:val="22"/>
            </w:rPr>
          </w:pPr>
          <w:r w:rsidRPr="00DB2D24">
            <w:rPr>
              <w:rFonts w:ascii="Palatino Linotype" w:eastAsia="Palatino Linotype" w:hAnsi="Palatino Linotype" w:cs="Palatino Linotype"/>
              <w:b/>
              <w:szCs w:val="22"/>
            </w:rPr>
            <w:t>Comisionada Ponente:</w:t>
          </w:r>
        </w:p>
      </w:tc>
      <w:tc>
        <w:tcPr>
          <w:tcW w:w="4111" w:type="dxa"/>
          <w:vAlign w:val="center"/>
        </w:tcPr>
        <w:p w:rsidR="0050276A" w:rsidRPr="00DB2D24" w:rsidRDefault="00E54209" w:rsidP="00DB2D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DB2D24">
            <w:rPr>
              <w:rFonts w:ascii="Palatino Linotype" w:eastAsia="Palatino Linotype" w:hAnsi="Palatino Linotype" w:cs="Palatino Linotype"/>
              <w:color w:val="000000"/>
              <w:szCs w:val="22"/>
            </w:rPr>
            <w:t>María del Rosario Mejía Ayala</w:t>
          </w:r>
        </w:p>
      </w:tc>
    </w:tr>
  </w:tbl>
  <w:p w:rsidR="0050276A" w:rsidRDefault="0096328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230" w:type="dxa"/>
      <w:tblInd w:w="2835" w:type="dxa"/>
      <w:tblLayout w:type="fixed"/>
      <w:tblLook w:val="0400" w:firstRow="0" w:lastRow="0" w:firstColumn="0" w:lastColumn="0" w:noHBand="0" w:noVBand="1"/>
    </w:tblPr>
    <w:tblGrid>
      <w:gridCol w:w="2977"/>
      <w:gridCol w:w="4253"/>
    </w:tblGrid>
    <w:tr w:rsidR="0050276A" w:rsidTr="00DB2D24">
      <w:trPr>
        <w:trHeight w:val="227"/>
      </w:trPr>
      <w:tc>
        <w:tcPr>
          <w:tcW w:w="2977" w:type="dxa"/>
          <w:vAlign w:val="center"/>
        </w:tcPr>
        <w:p w:rsidR="0050276A" w:rsidRPr="00DB2D24" w:rsidRDefault="00E54209">
          <w:pPr>
            <w:jc w:val="right"/>
            <w:rPr>
              <w:rFonts w:ascii="Palatino Linotype" w:eastAsia="Palatino Linotype" w:hAnsi="Palatino Linotype" w:cs="Palatino Linotype"/>
              <w:b/>
              <w:szCs w:val="22"/>
            </w:rPr>
          </w:pPr>
          <w:r w:rsidRPr="00DB2D24">
            <w:rPr>
              <w:rFonts w:ascii="Palatino Linotype" w:eastAsia="Palatino Linotype" w:hAnsi="Palatino Linotype" w:cs="Palatino Linotype"/>
              <w:b/>
              <w:szCs w:val="22"/>
            </w:rPr>
            <w:t>Recurso de Revisión:</w:t>
          </w:r>
        </w:p>
      </w:tc>
      <w:tc>
        <w:tcPr>
          <w:tcW w:w="4253" w:type="dxa"/>
          <w:vAlign w:val="center"/>
        </w:tcPr>
        <w:p w:rsidR="0050276A" w:rsidRPr="00DB2D24" w:rsidRDefault="00E54209" w:rsidP="00DB2D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B2D24">
            <w:rPr>
              <w:rFonts w:ascii="Palatino Linotype" w:eastAsia="Palatino Linotype" w:hAnsi="Palatino Linotype" w:cs="Palatino Linotype"/>
              <w:color w:val="000000"/>
              <w:szCs w:val="22"/>
            </w:rPr>
            <w:t>05668/INFOEM/IP/RR/2025</w:t>
          </w:r>
        </w:p>
      </w:tc>
    </w:tr>
    <w:tr w:rsidR="0050276A" w:rsidTr="00DB2D24">
      <w:trPr>
        <w:trHeight w:val="242"/>
      </w:trPr>
      <w:tc>
        <w:tcPr>
          <w:tcW w:w="2977" w:type="dxa"/>
          <w:vAlign w:val="center"/>
        </w:tcPr>
        <w:p w:rsidR="0050276A" w:rsidRPr="00DB2D24" w:rsidRDefault="00E54209">
          <w:pPr>
            <w:jc w:val="right"/>
            <w:rPr>
              <w:rFonts w:ascii="Palatino Linotype" w:eastAsia="Palatino Linotype" w:hAnsi="Palatino Linotype" w:cs="Palatino Linotype"/>
              <w:b/>
              <w:szCs w:val="22"/>
            </w:rPr>
          </w:pPr>
          <w:r w:rsidRPr="00DB2D24">
            <w:rPr>
              <w:rFonts w:ascii="Palatino Linotype" w:eastAsia="Palatino Linotype" w:hAnsi="Palatino Linotype" w:cs="Palatino Linotype"/>
              <w:b/>
              <w:szCs w:val="22"/>
            </w:rPr>
            <w:t>Recurrente:</w:t>
          </w:r>
        </w:p>
      </w:tc>
      <w:tc>
        <w:tcPr>
          <w:tcW w:w="4253" w:type="dxa"/>
        </w:tcPr>
        <w:p w:rsidR="0050276A" w:rsidRPr="00DB2D24" w:rsidRDefault="0050276A" w:rsidP="00DB2D2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szCs w:val="22"/>
              <w:highlight w:val="green"/>
            </w:rPr>
          </w:pPr>
        </w:p>
      </w:tc>
    </w:tr>
    <w:tr w:rsidR="0050276A" w:rsidTr="00DB2D24">
      <w:trPr>
        <w:trHeight w:val="342"/>
      </w:trPr>
      <w:tc>
        <w:tcPr>
          <w:tcW w:w="2977" w:type="dxa"/>
          <w:vAlign w:val="center"/>
        </w:tcPr>
        <w:p w:rsidR="0050276A" w:rsidRPr="00DB2D24" w:rsidRDefault="00E54209">
          <w:pPr>
            <w:jc w:val="right"/>
            <w:rPr>
              <w:rFonts w:ascii="Palatino Linotype" w:eastAsia="Palatino Linotype" w:hAnsi="Palatino Linotype" w:cs="Palatino Linotype"/>
              <w:b/>
              <w:szCs w:val="22"/>
            </w:rPr>
          </w:pPr>
          <w:r w:rsidRPr="00DB2D24">
            <w:rPr>
              <w:rFonts w:ascii="Palatino Linotype" w:eastAsia="Palatino Linotype" w:hAnsi="Palatino Linotype" w:cs="Palatino Linotype"/>
              <w:b/>
              <w:szCs w:val="22"/>
            </w:rPr>
            <w:t>Sujeto Obligado:</w:t>
          </w:r>
        </w:p>
      </w:tc>
      <w:tc>
        <w:tcPr>
          <w:tcW w:w="4253" w:type="dxa"/>
          <w:vAlign w:val="center"/>
        </w:tcPr>
        <w:p w:rsidR="0050276A" w:rsidRPr="00DB2D24" w:rsidRDefault="00E54209" w:rsidP="00DB2D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B2D24">
            <w:rPr>
              <w:rFonts w:ascii="Palatino Linotype" w:eastAsia="Palatino Linotype" w:hAnsi="Palatino Linotype" w:cs="Palatino Linotype"/>
              <w:color w:val="000000"/>
              <w:szCs w:val="22"/>
            </w:rPr>
            <w:t>Instituto Municipal de Cultura Física y Deporte de Cocotitlán</w:t>
          </w:r>
        </w:p>
      </w:tc>
    </w:tr>
    <w:tr w:rsidR="0050276A" w:rsidTr="00DB2D24">
      <w:trPr>
        <w:trHeight w:val="342"/>
      </w:trPr>
      <w:tc>
        <w:tcPr>
          <w:tcW w:w="2977" w:type="dxa"/>
          <w:vAlign w:val="center"/>
        </w:tcPr>
        <w:p w:rsidR="0050276A" w:rsidRPr="00DB2D24" w:rsidRDefault="00E54209">
          <w:pPr>
            <w:jc w:val="right"/>
            <w:rPr>
              <w:rFonts w:ascii="Palatino Linotype" w:eastAsia="Palatino Linotype" w:hAnsi="Palatino Linotype" w:cs="Palatino Linotype"/>
              <w:b/>
              <w:szCs w:val="22"/>
            </w:rPr>
          </w:pPr>
          <w:r w:rsidRPr="00DB2D24">
            <w:rPr>
              <w:rFonts w:ascii="Palatino Linotype" w:eastAsia="Palatino Linotype" w:hAnsi="Palatino Linotype" w:cs="Palatino Linotype"/>
              <w:b/>
              <w:szCs w:val="22"/>
            </w:rPr>
            <w:t>Comisionada Ponente:</w:t>
          </w:r>
        </w:p>
      </w:tc>
      <w:tc>
        <w:tcPr>
          <w:tcW w:w="4253" w:type="dxa"/>
          <w:vAlign w:val="center"/>
        </w:tcPr>
        <w:p w:rsidR="0050276A" w:rsidRPr="00DB2D24" w:rsidRDefault="00E54209" w:rsidP="00DB2D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DB2D24">
            <w:rPr>
              <w:rFonts w:ascii="Palatino Linotype" w:eastAsia="Palatino Linotype" w:hAnsi="Palatino Linotype" w:cs="Palatino Linotype"/>
              <w:color w:val="000000"/>
              <w:szCs w:val="22"/>
            </w:rPr>
            <w:t>María del Rosario Mejía Ayala</w:t>
          </w:r>
        </w:p>
      </w:tc>
    </w:tr>
  </w:tbl>
  <w:p w:rsidR="0050276A" w:rsidRDefault="0096328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F1070"/>
    <w:multiLevelType w:val="multilevel"/>
    <w:tmpl w:val="77F8CB5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440A06B2"/>
    <w:multiLevelType w:val="multilevel"/>
    <w:tmpl w:val="22905A2C"/>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2" w15:restartNumberingAfterBreak="0">
    <w:nsid w:val="54550A38"/>
    <w:multiLevelType w:val="multilevel"/>
    <w:tmpl w:val="4FB64E1C"/>
    <w:lvl w:ilvl="0">
      <w:start w:val="1"/>
      <w:numFmt w:val="lowerLetter"/>
      <w:lvlText w:val="%1)"/>
      <w:lvlJc w:val="left"/>
      <w:pPr>
        <w:ind w:left="1865" w:hanging="360"/>
      </w:pPr>
    </w:lvl>
    <w:lvl w:ilvl="1">
      <w:start w:val="1"/>
      <w:numFmt w:val="lowerLetter"/>
      <w:lvlText w:val="%2."/>
      <w:lvlJc w:val="left"/>
      <w:pPr>
        <w:ind w:left="2585" w:hanging="360"/>
      </w:pPr>
    </w:lvl>
    <w:lvl w:ilvl="2">
      <w:start w:val="1"/>
      <w:numFmt w:val="lowerRoman"/>
      <w:lvlText w:val="%3."/>
      <w:lvlJc w:val="right"/>
      <w:pPr>
        <w:ind w:left="3305" w:hanging="180"/>
      </w:pPr>
    </w:lvl>
    <w:lvl w:ilvl="3">
      <w:start w:val="1"/>
      <w:numFmt w:val="decimal"/>
      <w:lvlText w:val="%4."/>
      <w:lvlJc w:val="left"/>
      <w:pPr>
        <w:ind w:left="4025" w:hanging="360"/>
      </w:pPr>
    </w:lvl>
    <w:lvl w:ilvl="4">
      <w:start w:val="1"/>
      <w:numFmt w:val="lowerLetter"/>
      <w:lvlText w:val="%5."/>
      <w:lvlJc w:val="left"/>
      <w:pPr>
        <w:ind w:left="4745" w:hanging="360"/>
      </w:pPr>
    </w:lvl>
    <w:lvl w:ilvl="5">
      <w:start w:val="1"/>
      <w:numFmt w:val="lowerRoman"/>
      <w:lvlText w:val="%6."/>
      <w:lvlJc w:val="right"/>
      <w:pPr>
        <w:ind w:left="5465" w:hanging="180"/>
      </w:pPr>
    </w:lvl>
    <w:lvl w:ilvl="6">
      <w:start w:val="1"/>
      <w:numFmt w:val="decimal"/>
      <w:lvlText w:val="%7."/>
      <w:lvlJc w:val="left"/>
      <w:pPr>
        <w:ind w:left="6185" w:hanging="360"/>
      </w:pPr>
    </w:lvl>
    <w:lvl w:ilvl="7">
      <w:start w:val="1"/>
      <w:numFmt w:val="lowerLetter"/>
      <w:lvlText w:val="%8."/>
      <w:lvlJc w:val="left"/>
      <w:pPr>
        <w:ind w:left="6905" w:hanging="360"/>
      </w:pPr>
    </w:lvl>
    <w:lvl w:ilvl="8">
      <w:start w:val="1"/>
      <w:numFmt w:val="lowerRoman"/>
      <w:lvlText w:val="%9."/>
      <w:lvlJc w:val="right"/>
      <w:pPr>
        <w:ind w:left="7625" w:hanging="180"/>
      </w:pPr>
    </w:lvl>
  </w:abstractNum>
  <w:abstractNum w:abstractNumId="3" w15:restartNumberingAfterBreak="0">
    <w:nsid w:val="6D6460BF"/>
    <w:multiLevelType w:val="multilevel"/>
    <w:tmpl w:val="970E642A"/>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6A"/>
    <w:rsid w:val="0050276A"/>
    <w:rsid w:val="00963280"/>
    <w:rsid w:val="009D6FFD"/>
    <w:rsid w:val="00C75A14"/>
    <w:rsid w:val="00DB2D24"/>
    <w:rsid w:val="00E54209"/>
    <w:rsid w:val="00EE3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7E863C0-440D-4B13-803B-CE9494C7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table" w:customStyle="1" w:styleId="a">
    <w:basedOn w:val="TableNormal0"/>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157515"/>
    <w:rPr>
      <w:rFonts w:ascii="Times New Roman" w:eastAsia="Times New Roman" w:hAnsi="Times New Roman" w:cs="Times New Roman"/>
      <w:lang w:val="es-MX" w:eastAsia="es-ES"/>
    </w:rPr>
  </w:style>
  <w:style w:type="character" w:customStyle="1" w:styleId="SinespaciadoCar">
    <w:name w:val="Sin espaciado Car"/>
    <w:aliases w:val="Francesa Car,INAI Car"/>
    <w:link w:val="Sinespaciado"/>
    <w:uiPriority w:val="1"/>
    <w:locked/>
    <w:rsid w:val="00157515"/>
    <w:rPr>
      <w:rFonts w:ascii="Times New Roman" w:eastAsia="Times New Roman" w:hAnsi="Times New Roman" w:cs="Times New Roman"/>
      <w:lang w:val="es-MX" w:eastAsia="es-ES"/>
    </w:rPr>
  </w:style>
  <w:style w:type="paragraph" w:customStyle="1" w:styleId="Citas">
    <w:name w:val="Citas"/>
    <w:basedOn w:val="Normal"/>
    <w:qFormat/>
    <w:rsid w:val="0015751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Default">
    <w:name w:val="Default"/>
    <w:qFormat/>
    <w:rsid w:val="00515C62"/>
    <w:pPr>
      <w:autoSpaceDE w:val="0"/>
      <w:autoSpaceDN w:val="0"/>
      <w:adjustRightInd w:val="0"/>
    </w:pPr>
    <w:rPr>
      <w:rFonts w:ascii="Arial" w:eastAsiaTheme="minorHAnsi" w:hAnsi="Arial" w:cs="Arial"/>
      <w:color w:val="000000"/>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wh9jjDh3SPTlejPukfyy0djbg==">CgMxLjAyCGguZ2pkZ3hzMgloLjMwajB6bGwyCWguMWZvYjl0ZTIJaC4zem55c2g3MgloLjJldDkycDAyCGgudHlqY3d0MgloLjNkeTZ2a20yDmguaTlubGdsc21taXJpMg5oLmVwbmtuMG9tZ3YzcjgAciExV1hfcjVva09xRzZZTHhna0IyWHdPd0lGUFZUb1JnUTg=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5018</Words>
  <Characters>27599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cp:revision>
  <cp:lastPrinted>2025-07-17T17:54:00Z</cp:lastPrinted>
  <dcterms:created xsi:type="dcterms:W3CDTF">2025-07-03T19:25:00Z</dcterms:created>
  <dcterms:modified xsi:type="dcterms:W3CDTF">2025-08-06T23:13:00Z</dcterms:modified>
</cp:coreProperties>
</file>