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37EE4" w14:textId="77777777" w:rsidR="00BD1720" w:rsidRPr="00D65F60" w:rsidRDefault="00D749C0">
      <w:pPr>
        <w:spacing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doce de marzo de dos mil veinticinco</w:t>
      </w:r>
      <w:r w:rsidRPr="00D65F60">
        <w:rPr>
          <w:rFonts w:ascii="Palatino Linotype" w:eastAsia="Palatino Linotype" w:hAnsi="Palatino Linotype" w:cs="Palatino Linotype"/>
          <w:b/>
        </w:rPr>
        <w:t>.</w:t>
      </w:r>
      <w:r w:rsidRPr="00D65F60">
        <w:rPr>
          <w:rFonts w:ascii="Palatino Linotype" w:eastAsia="Palatino Linotype" w:hAnsi="Palatino Linotype" w:cs="Palatino Linotype"/>
        </w:rPr>
        <w:t xml:space="preserve"> </w:t>
      </w:r>
    </w:p>
    <w:p w14:paraId="4D97C74B" w14:textId="77777777" w:rsidR="00BD1720" w:rsidRPr="00D65F60" w:rsidRDefault="00BD1720">
      <w:pPr>
        <w:spacing w:line="360" w:lineRule="auto"/>
        <w:jc w:val="both"/>
        <w:rPr>
          <w:rFonts w:ascii="Palatino Linotype" w:eastAsia="Palatino Linotype" w:hAnsi="Palatino Linotype" w:cs="Palatino Linotype"/>
        </w:rPr>
      </w:pPr>
    </w:p>
    <w:p w14:paraId="52C5799D" w14:textId="77777777" w:rsidR="00BD1720" w:rsidRPr="00D65F60" w:rsidRDefault="00D749C0">
      <w:pPr>
        <w:spacing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b/>
        </w:rPr>
        <w:t>VISTO</w:t>
      </w:r>
      <w:r w:rsidRPr="00D65F60">
        <w:rPr>
          <w:rFonts w:ascii="Palatino Linotype" w:eastAsia="Palatino Linotype" w:hAnsi="Palatino Linotype" w:cs="Palatino Linotype"/>
        </w:rPr>
        <w:t xml:space="preserve"> el expediente formado con motivo del recurso de revisión </w:t>
      </w:r>
      <w:r w:rsidRPr="00D65F60">
        <w:rPr>
          <w:rFonts w:ascii="Palatino Linotype" w:eastAsia="Palatino Linotype" w:hAnsi="Palatino Linotype" w:cs="Palatino Linotype"/>
          <w:b/>
        </w:rPr>
        <w:t>00699/INFOEM/IP/RR/2025</w:t>
      </w:r>
      <w:r w:rsidRPr="00D65F60">
        <w:rPr>
          <w:rFonts w:ascii="Palatino Linotype" w:eastAsia="Palatino Linotype" w:hAnsi="Palatino Linotype" w:cs="Palatino Linotype"/>
        </w:rPr>
        <w:t xml:space="preserve">, interpuesto por </w:t>
      </w:r>
      <w:r w:rsidRPr="00D65F60">
        <w:rPr>
          <w:rFonts w:ascii="Palatino Linotype" w:eastAsia="Palatino Linotype" w:hAnsi="Palatino Linotype" w:cs="Palatino Linotype"/>
          <w:b/>
        </w:rPr>
        <w:t>una persona que no proporcionó nombre o seudónimo</w:t>
      </w:r>
      <w:r w:rsidRPr="00D65F60">
        <w:rPr>
          <w:rFonts w:ascii="Palatino Linotype" w:eastAsia="Palatino Linotype" w:hAnsi="Palatino Linotype" w:cs="Palatino Linotype"/>
        </w:rPr>
        <w:t>, en lo sucesivo</w:t>
      </w:r>
      <w:r w:rsidRPr="00D65F60">
        <w:rPr>
          <w:rFonts w:ascii="Palatino Linotype" w:eastAsia="Palatino Linotype" w:hAnsi="Palatino Linotype" w:cs="Palatino Linotype"/>
          <w:b/>
        </w:rPr>
        <w:t xml:space="preserve"> </w:t>
      </w:r>
      <w:r w:rsidRPr="00D65F60">
        <w:rPr>
          <w:rFonts w:ascii="Palatino Linotype" w:eastAsia="Palatino Linotype" w:hAnsi="Palatino Linotype" w:cs="Palatino Linotype"/>
        </w:rPr>
        <w:t xml:space="preserve">la parte </w:t>
      </w:r>
      <w:r w:rsidRPr="00D65F60">
        <w:rPr>
          <w:rFonts w:ascii="Palatino Linotype" w:eastAsia="Palatino Linotype" w:hAnsi="Palatino Linotype" w:cs="Palatino Linotype"/>
          <w:b/>
        </w:rPr>
        <w:t>Recurrente</w:t>
      </w:r>
      <w:r w:rsidRPr="00D65F60">
        <w:rPr>
          <w:rFonts w:ascii="Palatino Linotype" w:eastAsia="Palatino Linotype" w:hAnsi="Palatino Linotype" w:cs="Palatino Linotype"/>
        </w:rPr>
        <w:t xml:space="preserve">, en contra de la falta de respuesta a la solicitud de información con número de folio </w:t>
      </w:r>
      <w:r w:rsidRPr="00D65F60">
        <w:rPr>
          <w:rFonts w:ascii="Palatino Linotype" w:eastAsia="Palatino Linotype" w:hAnsi="Palatino Linotype" w:cs="Palatino Linotype"/>
          <w:b/>
        </w:rPr>
        <w:t xml:space="preserve">00017/JIQUIPIL/IP/2025, </w:t>
      </w:r>
      <w:r w:rsidRPr="00D65F60">
        <w:rPr>
          <w:rFonts w:ascii="Palatino Linotype" w:eastAsia="Palatino Linotype" w:hAnsi="Palatino Linotype" w:cs="Palatino Linotype"/>
        </w:rPr>
        <w:t xml:space="preserve">por parte del </w:t>
      </w:r>
      <w:r w:rsidRPr="00D65F60">
        <w:rPr>
          <w:rFonts w:ascii="Palatino Linotype" w:eastAsia="Palatino Linotype" w:hAnsi="Palatino Linotype" w:cs="Palatino Linotype"/>
          <w:b/>
        </w:rPr>
        <w:t>Ayuntamiento de Jiquipilco</w:t>
      </w:r>
      <w:r w:rsidRPr="00D65F60">
        <w:rPr>
          <w:rFonts w:ascii="Palatino Linotype" w:eastAsia="Palatino Linotype" w:hAnsi="Palatino Linotype" w:cs="Palatino Linotype"/>
        </w:rPr>
        <w:t>,</w:t>
      </w:r>
      <w:r w:rsidRPr="00D65F60">
        <w:rPr>
          <w:rFonts w:ascii="Palatino Linotype" w:eastAsia="Palatino Linotype" w:hAnsi="Palatino Linotype" w:cs="Palatino Linotype"/>
          <w:b/>
        </w:rPr>
        <w:t xml:space="preserve"> </w:t>
      </w:r>
      <w:r w:rsidRPr="00D65F60">
        <w:rPr>
          <w:rFonts w:ascii="Palatino Linotype" w:eastAsia="Palatino Linotype" w:hAnsi="Palatino Linotype" w:cs="Palatino Linotype"/>
        </w:rPr>
        <w:t xml:space="preserve">en lo sucesivo el </w:t>
      </w:r>
      <w:r w:rsidRPr="00D65F60">
        <w:rPr>
          <w:rFonts w:ascii="Palatino Linotype" w:eastAsia="Palatino Linotype" w:hAnsi="Palatino Linotype" w:cs="Palatino Linotype"/>
          <w:b/>
        </w:rPr>
        <w:t>Sujeto Obligado</w:t>
      </w:r>
      <w:r w:rsidRPr="00D65F60">
        <w:rPr>
          <w:rFonts w:ascii="Palatino Linotype" w:eastAsia="Palatino Linotype" w:hAnsi="Palatino Linotype" w:cs="Palatino Linotype"/>
        </w:rPr>
        <w:t>,</w:t>
      </w:r>
      <w:r w:rsidRPr="00D65F60">
        <w:rPr>
          <w:rFonts w:ascii="Palatino Linotype" w:eastAsia="Palatino Linotype" w:hAnsi="Palatino Linotype" w:cs="Palatino Linotype"/>
          <w:b/>
        </w:rPr>
        <w:t xml:space="preserve"> </w:t>
      </w:r>
      <w:r w:rsidRPr="00D65F60">
        <w:rPr>
          <w:rFonts w:ascii="Palatino Linotype" w:eastAsia="Palatino Linotype" w:hAnsi="Palatino Linotype" w:cs="Palatino Linotype"/>
        </w:rPr>
        <w:t xml:space="preserve">se procede a dictar la presente resolución con base en los siguientes: </w:t>
      </w:r>
    </w:p>
    <w:p w14:paraId="7CD74F0D" w14:textId="77777777" w:rsidR="00BD1720" w:rsidRPr="00D65F60" w:rsidRDefault="00D749C0">
      <w:pPr>
        <w:spacing w:before="240" w:after="240" w:line="360" w:lineRule="auto"/>
        <w:jc w:val="center"/>
        <w:rPr>
          <w:rFonts w:ascii="Palatino Linotype" w:eastAsia="Palatino Linotype" w:hAnsi="Palatino Linotype" w:cs="Palatino Linotype"/>
          <w:b/>
        </w:rPr>
      </w:pPr>
      <w:r w:rsidRPr="00D65F60">
        <w:rPr>
          <w:rFonts w:ascii="Palatino Linotype" w:eastAsia="Palatino Linotype" w:hAnsi="Palatino Linotype" w:cs="Palatino Linotype"/>
          <w:b/>
        </w:rPr>
        <w:t>I. A N T E C E D E N T E S</w:t>
      </w:r>
    </w:p>
    <w:p w14:paraId="6B00AFD0"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b/>
        </w:rPr>
        <w:t>1. Solicitud de acceso a la información.</w:t>
      </w:r>
      <w:r w:rsidRPr="00D65F60">
        <w:rPr>
          <w:rFonts w:ascii="Palatino Linotype" w:eastAsia="Palatino Linotype" w:hAnsi="Palatino Linotype" w:cs="Palatino Linotype"/>
        </w:rPr>
        <w:t xml:space="preserve"> El </w:t>
      </w:r>
      <w:r w:rsidRPr="00D65F60">
        <w:rPr>
          <w:rFonts w:ascii="Palatino Linotype" w:eastAsia="Palatino Linotype" w:hAnsi="Palatino Linotype" w:cs="Palatino Linotype"/>
          <w:b/>
        </w:rPr>
        <w:t>doce de enero de dos mil veinticinco,</w:t>
      </w:r>
      <w:r w:rsidRPr="00D65F60">
        <w:rPr>
          <w:rFonts w:ascii="Palatino Linotype" w:eastAsia="Palatino Linotype" w:hAnsi="Palatino Linotype" w:cs="Palatino Linotype"/>
        </w:rPr>
        <w:t xml:space="preserve"> la persona solicitante presentó la solicitud de acceso a la información pública ante el </w:t>
      </w:r>
      <w:r w:rsidRPr="00D65F60">
        <w:rPr>
          <w:rFonts w:ascii="Palatino Linotype" w:eastAsia="Palatino Linotype" w:hAnsi="Palatino Linotype" w:cs="Palatino Linotype"/>
          <w:b/>
        </w:rPr>
        <w:t>Sujeto Obligado</w:t>
      </w:r>
      <w:r w:rsidRPr="00D65F60">
        <w:rPr>
          <w:rFonts w:ascii="Palatino Linotype" w:eastAsia="Palatino Linotype" w:hAnsi="Palatino Linotype" w:cs="Palatino Linotype"/>
        </w:rPr>
        <w:t xml:space="preserve">, través del Sistema de Acceso a la Información Mexiquense, en lo subsecuente el </w:t>
      </w:r>
      <w:r w:rsidRPr="00D65F60">
        <w:rPr>
          <w:rFonts w:ascii="Palatino Linotype" w:eastAsia="Palatino Linotype" w:hAnsi="Palatino Linotype" w:cs="Palatino Linotype"/>
          <w:b/>
        </w:rPr>
        <w:t>SAIMEX,</w:t>
      </w:r>
      <w:r w:rsidRPr="00D65F60">
        <w:rPr>
          <w:rFonts w:ascii="Palatino Linotype" w:eastAsia="Palatino Linotype" w:hAnsi="Palatino Linotype" w:cs="Palatino Linotype"/>
        </w:rPr>
        <w:t xml:space="preserve"> sin embargo, al corresponder a un día inhábil se tuvo por presentada el día </w:t>
      </w:r>
      <w:r w:rsidRPr="00D65F60">
        <w:rPr>
          <w:rFonts w:ascii="Palatino Linotype" w:eastAsia="Palatino Linotype" w:hAnsi="Palatino Linotype" w:cs="Palatino Linotype"/>
          <w:b/>
        </w:rPr>
        <w:t>trece de enero de dos mil veinticinco;</w:t>
      </w:r>
      <w:r w:rsidRPr="00D65F60">
        <w:rPr>
          <w:rFonts w:ascii="Palatino Linotype" w:eastAsia="Palatino Linotype" w:hAnsi="Palatino Linotype" w:cs="Palatino Linotype"/>
        </w:rPr>
        <w:t xml:space="preserve"> mediante la cual requirió lo siguiente: </w:t>
      </w:r>
    </w:p>
    <w:p w14:paraId="1465B5C7" w14:textId="77777777" w:rsidR="00BD1720" w:rsidRPr="00D65F60" w:rsidRDefault="00D749C0">
      <w:pPr>
        <w:spacing w:before="240" w:after="240"/>
        <w:ind w:left="851" w:right="902"/>
        <w:jc w:val="both"/>
        <w:rPr>
          <w:rFonts w:ascii="Palatino Linotype" w:eastAsia="Palatino Linotype" w:hAnsi="Palatino Linotype" w:cs="Palatino Linotype"/>
          <w:b/>
          <w:i/>
          <w:sz w:val="22"/>
          <w:szCs w:val="22"/>
        </w:rPr>
      </w:pPr>
      <w:bookmarkStart w:id="0" w:name="_heading=h.gjdgxs" w:colFirst="0" w:colLast="0"/>
      <w:bookmarkEnd w:id="0"/>
      <w:r w:rsidRPr="00D65F60">
        <w:rPr>
          <w:rFonts w:ascii="Palatino Linotype" w:eastAsia="Palatino Linotype" w:hAnsi="Palatino Linotype" w:cs="Palatino Linotype"/>
          <w:i/>
          <w:sz w:val="22"/>
          <w:szCs w:val="22"/>
        </w:rPr>
        <w:t xml:space="preserve">“Solicito </w:t>
      </w:r>
      <w:r w:rsidRPr="00D65F60">
        <w:rPr>
          <w:rFonts w:ascii="Palatino Linotype" w:eastAsia="Palatino Linotype" w:hAnsi="Palatino Linotype" w:cs="Palatino Linotype"/>
          <w:b/>
          <w:i/>
          <w:sz w:val="22"/>
          <w:szCs w:val="22"/>
        </w:rPr>
        <w:t>listado de directores y coordinadores obligados a certificarse en alguna noma de competencia laboral</w:t>
      </w:r>
      <w:r w:rsidRPr="00D65F60">
        <w:rPr>
          <w:rFonts w:ascii="Palatino Linotype" w:eastAsia="Palatino Linotype" w:hAnsi="Palatino Linotype" w:cs="Palatino Linotype"/>
          <w:i/>
          <w:sz w:val="22"/>
          <w:szCs w:val="22"/>
        </w:rPr>
        <w:t xml:space="preserve"> y el </w:t>
      </w:r>
      <w:r w:rsidRPr="00D65F60">
        <w:rPr>
          <w:rFonts w:ascii="Palatino Linotype" w:eastAsia="Palatino Linotype" w:hAnsi="Palatino Linotype" w:cs="Palatino Linotype"/>
          <w:b/>
          <w:i/>
          <w:sz w:val="22"/>
          <w:szCs w:val="22"/>
        </w:rPr>
        <w:t xml:space="preserve">estatus que guarda </w:t>
      </w:r>
      <w:proofErr w:type="spellStart"/>
      <w:r w:rsidRPr="00D65F60">
        <w:rPr>
          <w:rFonts w:ascii="Palatino Linotype" w:eastAsia="Palatino Linotype" w:hAnsi="Palatino Linotype" w:cs="Palatino Linotype"/>
          <w:b/>
          <w:i/>
          <w:sz w:val="22"/>
          <w:szCs w:val="22"/>
        </w:rPr>
        <w:t>ada</w:t>
      </w:r>
      <w:proofErr w:type="spellEnd"/>
      <w:r w:rsidRPr="00D65F60">
        <w:rPr>
          <w:rFonts w:ascii="Palatino Linotype" w:eastAsia="Palatino Linotype" w:hAnsi="Palatino Linotype" w:cs="Palatino Linotype"/>
          <w:b/>
          <w:i/>
          <w:sz w:val="22"/>
          <w:szCs w:val="22"/>
        </w:rPr>
        <w:t xml:space="preserve"> uno de los servidores públicos nombrados</w:t>
      </w:r>
      <w:r w:rsidRPr="00D65F60">
        <w:rPr>
          <w:rFonts w:ascii="Palatino Linotype" w:eastAsia="Palatino Linotype" w:hAnsi="Palatino Linotype" w:cs="Palatino Linotype"/>
          <w:i/>
          <w:sz w:val="22"/>
          <w:szCs w:val="22"/>
        </w:rPr>
        <w:t>” (sic)</w:t>
      </w:r>
    </w:p>
    <w:p w14:paraId="1CFB4679" w14:textId="77777777" w:rsidR="00BD1720" w:rsidRPr="00D65F60" w:rsidRDefault="00D749C0">
      <w:pPr>
        <w:spacing w:before="240" w:after="240" w:line="360" w:lineRule="auto"/>
        <w:ind w:right="49"/>
        <w:jc w:val="both"/>
        <w:rPr>
          <w:rFonts w:ascii="Palatino Linotype" w:eastAsia="Palatino Linotype" w:hAnsi="Palatino Linotype" w:cs="Palatino Linotype"/>
        </w:rPr>
      </w:pPr>
      <w:r w:rsidRPr="00D65F60">
        <w:rPr>
          <w:rFonts w:ascii="Palatino Linotype" w:eastAsia="Palatino Linotype" w:hAnsi="Palatino Linotype" w:cs="Palatino Linotype"/>
        </w:rPr>
        <w:t xml:space="preserve">La parte </w:t>
      </w:r>
      <w:r w:rsidRPr="00D65F60">
        <w:rPr>
          <w:rFonts w:ascii="Palatino Linotype" w:eastAsia="Palatino Linotype" w:hAnsi="Palatino Linotype" w:cs="Palatino Linotype"/>
          <w:b/>
        </w:rPr>
        <w:t>Recurrente</w:t>
      </w:r>
      <w:r w:rsidRPr="00D65F60">
        <w:rPr>
          <w:rFonts w:ascii="Palatino Linotype" w:eastAsia="Palatino Linotype" w:hAnsi="Palatino Linotype" w:cs="Palatino Linotype"/>
        </w:rPr>
        <w:t xml:space="preserve"> no adjuntó archivos.</w:t>
      </w:r>
    </w:p>
    <w:p w14:paraId="6ECB45C1"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b/>
        </w:rPr>
        <w:lastRenderedPageBreak/>
        <w:t>Modalidad de Entrega:</w:t>
      </w:r>
      <w:r w:rsidRPr="00D65F60">
        <w:rPr>
          <w:rFonts w:ascii="Palatino Linotype" w:eastAsia="Palatino Linotype" w:hAnsi="Palatino Linotype" w:cs="Palatino Linotype"/>
        </w:rPr>
        <w:t xml:space="preserve"> A través de SAIMEX.</w:t>
      </w:r>
    </w:p>
    <w:p w14:paraId="073FE6FE" w14:textId="77777777" w:rsidR="00BD1720" w:rsidRPr="00D65F60" w:rsidRDefault="00D749C0">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b/>
        </w:rPr>
      </w:pPr>
      <w:r w:rsidRPr="00D65F60">
        <w:rPr>
          <w:rFonts w:ascii="Palatino Linotype" w:eastAsia="Palatino Linotype" w:hAnsi="Palatino Linotype" w:cs="Palatino Linotype"/>
          <w:b/>
        </w:rPr>
        <w:t xml:space="preserve">2. Respuesta. </w:t>
      </w:r>
      <w:r w:rsidRPr="00D65F60">
        <w:rPr>
          <w:rFonts w:ascii="Palatino Linotype" w:eastAsia="Palatino Linotype" w:hAnsi="Palatino Linotype" w:cs="Palatino Linotype"/>
        </w:rPr>
        <w:t xml:space="preserve">De las constancias que obran en SAIMEX, se observa que el </w:t>
      </w:r>
      <w:r w:rsidRPr="00D65F60">
        <w:rPr>
          <w:rFonts w:ascii="Palatino Linotype" w:eastAsia="Palatino Linotype" w:hAnsi="Palatino Linotype" w:cs="Palatino Linotype"/>
          <w:b/>
        </w:rPr>
        <w:t>Sujeto Obligado</w:t>
      </w:r>
      <w:r w:rsidRPr="00D65F60">
        <w:rPr>
          <w:rFonts w:ascii="Palatino Linotype" w:eastAsia="Palatino Linotype" w:hAnsi="Palatino Linotype" w:cs="Palatino Linotype"/>
        </w:rPr>
        <w:t xml:space="preserve"> no emitió respuesta a la solicitud de información formulada por la persona solicitante.</w:t>
      </w:r>
    </w:p>
    <w:p w14:paraId="398D44B6"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b/>
        </w:rPr>
        <w:t>3. Interposición del recurso de revisión</w:t>
      </w:r>
      <w:r w:rsidRPr="00D65F60">
        <w:rPr>
          <w:rFonts w:ascii="Palatino Linotype" w:eastAsia="Palatino Linotype" w:hAnsi="Palatino Linotype" w:cs="Palatino Linotype"/>
        </w:rPr>
        <w:t xml:space="preserve">. Inconforme la persona solicitante con la falta de respuesta del </w:t>
      </w:r>
      <w:r w:rsidRPr="00D65F60">
        <w:rPr>
          <w:rFonts w:ascii="Palatino Linotype" w:eastAsia="Palatino Linotype" w:hAnsi="Palatino Linotype" w:cs="Palatino Linotype"/>
          <w:b/>
        </w:rPr>
        <w:t>Sujeto Obligado</w:t>
      </w:r>
      <w:r w:rsidRPr="00D65F60">
        <w:rPr>
          <w:rFonts w:ascii="Palatino Linotype" w:eastAsia="Palatino Linotype" w:hAnsi="Palatino Linotype" w:cs="Palatino Linotype"/>
        </w:rPr>
        <w:t xml:space="preserve">, el </w:t>
      </w:r>
      <w:r w:rsidRPr="00D65F60">
        <w:rPr>
          <w:rFonts w:ascii="Palatino Linotype" w:eastAsia="Palatino Linotype" w:hAnsi="Palatino Linotype" w:cs="Palatino Linotype"/>
          <w:b/>
        </w:rPr>
        <w:t xml:space="preserve">cinco de febrero de dos mil veinticinco, </w:t>
      </w:r>
      <w:r w:rsidRPr="00D65F60">
        <w:rPr>
          <w:rFonts w:ascii="Palatino Linotype" w:eastAsia="Palatino Linotype" w:hAnsi="Palatino Linotype" w:cs="Palatino Linotype"/>
        </w:rPr>
        <w:t>interpuso recurso de revisión a través de SAIMEX, expresando lo siguiente:</w:t>
      </w:r>
    </w:p>
    <w:p w14:paraId="7B91DAEC" w14:textId="77777777" w:rsidR="00BD1720" w:rsidRPr="00D65F60" w:rsidRDefault="00D749C0">
      <w:pPr>
        <w:spacing w:before="240" w:after="240" w:line="360" w:lineRule="auto"/>
        <w:jc w:val="both"/>
        <w:rPr>
          <w:rFonts w:ascii="Palatino Linotype" w:eastAsia="Palatino Linotype" w:hAnsi="Palatino Linotype" w:cs="Palatino Linotype"/>
          <w:b/>
        </w:rPr>
      </w:pPr>
      <w:r w:rsidRPr="00D65F60">
        <w:rPr>
          <w:rFonts w:ascii="Palatino Linotype" w:eastAsia="Palatino Linotype" w:hAnsi="Palatino Linotype" w:cs="Palatino Linotype"/>
          <w:b/>
        </w:rPr>
        <w:t xml:space="preserve">Acto impugnado: </w:t>
      </w:r>
    </w:p>
    <w:p w14:paraId="258883A6" w14:textId="77777777" w:rsidR="00BD1720" w:rsidRPr="00D65F60" w:rsidRDefault="00D749C0">
      <w:pPr>
        <w:tabs>
          <w:tab w:val="left" w:pos="2745"/>
        </w:tabs>
        <w:spacing w:before="240" w:after="240"/>
        <w:ind w:left="851" w:right="900"/>
        <w:jc w:val="both"/>
        <w:rPr>
          <w:rFonts w:ascii="Palatino Linotype" w:eastAsia="Palatino Linotype" w:hAnsi="Palatino Linotype" w:cs="Palatino Linotype"/>
          <w:i/>
          <w:sz w:val="22"/>
          <w:szCs w:val="22"/>
        </w:rPr>
      </w:pPr>
      <w:r w:rsidRPr="00D65F60">
        <w:rPr>
          <w:rFonts w:ascii="Palatino Linotype" w:eastAsia="Palatino Linotype" w:hAnsi="Palatino Linotype" w:cs="Palatino Linotype"/>
          <w:i/>
          <w:sz w:val="22"/>
          <w:szCs w:val="22"/>
        </w:rPr>
        <w:t>“No entrego la información” (sic)</w:t>
      </w:r>
    </w:p>
    <w:p w14:paraId="012F5126" w14:textId="77777777" w:rsidR="00BD1720" w:rsidRPr="00D65F60" w:rsidRDefault="00D749C0">
      <w:pPr>
        <w:spacing w:line="360" w:lineRule="auto"/>
        <w:jc w:val="both"/>
        <w:rPr>
          <w:rFonts w:ascii="Palatino Linotype" w:eastAsia="Palatino Linotype" w:hAnsi="Palatino Linotype" w:cs="Palatino Linotype"/>
        </w:rPr>
      </w:pPr>
      <w:bookmarkStart w:id="1" w:name="_heading=h.tyjcwt" w:colFirst="0" w:colLast="0"/>
      <w:bookmarkEnd w:id="1"/>
      <w:r w:rsidRPr="00D65F60">
        <w:rPr>
          <w:rFonts w:ascii="Palatino Linotype" w:eastAsia="Palatino Linotype" w:hAnsi="Palatino Linotype" w:cs="Palatino Linotype"/>
          <w:b/>
        </w:rPr>
        <w:t>Y Razones o motivos de inconformidad</w:t>
      </w:r>
      <w:r w:rsidRPr="00D65F60">
        <w:rPr>
          <w:rFonts w:ascii="Palatino Linotype" w:eastAsia="Palatino Linotype" w:hAnsi="Palatino Linotype" w:cs="Palatino Linotype"/>
        </w:rPr>
        <w:t>:</w:t>
      </w:r>
    </w:p>
    <w:p w14:paraId="0F48CA1E" w14:textId="77777777" w:rsidR="00BD1720" w:rsidRPr="00D65F60" w:rsidRDefault="00D749C0">
      <w:pPr>
        <w:ind w:left="851" w:right="902"/>
        <w:jc w:val="both"/>
        <w:rPr>
          <w:rFonts w:ascii="Palatino Linotype" w:eastAsia="Palatino Linotype" w:hAnsi="Palatino Linotype" w:cs="Palatino Linotype"/>
          <w:i/>
          <w:sz w:val="22"/>
          <w:szCs w:val="22"/>
        </w:rPr>
      </w:pPr>
      <w:bookmarkStart w:id="2" w:name="_heading=h.30j0zll" w:colFirst="0" w:colLast="0"/>
      <w:bookmarkEnd w:id="2"/>
      <w:r w:rsidRPr="00D65F60">
        <w:rPr>
          <w:rFonts w:ascii="Palatino Linotype" w:eastAsia="Palatino Linotype" w:hAnsi="Palatino Linotype" w:cs="Palatino Linotype"/>
          <w:i/>
          <w:sz w:val="22"/>
          <w:szCs w:val="22"/>
        </w:rPr>
        <w:t xml:space="preserve"> “No entrego la información" (sic)</w:t>
      </w:r>
    </w:p>
    <w:p w14:paraId="767E93EC" w14:textId="77777777" w:rsidR="00BD1720" w:rsidRPr="00D65F60" w:rsidRDefault="00D749C0">
      <w:pPr>
        <w:spacing w:before="240" w:after="240" w:line="360" w:lineRule="auto"/>
        <w:ind w:right="51"/>
        <w:jc w:val="both"/>
        <w:rPr>
          <w:rFonts w:ascii="Palatino Linotype" w:eastAsia="Palatino Linotype" w:hAnsi="Palatino Linotype" w:cs="Palatino Linotype"/>
        </w:rPr>
      </w:pPr>
      <w:r w:rsidRPr="00D65F60">
        <w:rPr>
          <w:rFonts w:ascii="Palatino Linotype" w:eastAsia="Palatino Linotype" w:hAnsi="Palatino Linotype" w:cs="Palatino Linotype"/>
          <w:b/>
        </w:rPr>
        <w:t xml:space="preserve">Anexos: </w:t>
      </w:r>
      <w:r w:rsidRPr="00D65F60">
        <w:rPr>
          <w:rFonts w:ascii="Palatino Linotype" w:eastAsia="Palatino Linotype" w:hAnsi="Palatino Linotype" w:cs="Palatino Linotype"/>
        </w:rPr>
        <w:t xml:space="preserve">La parte </w:t>
      </w:r>
      <w:r w:rsidRPr="00D65F60">
        <w:rPr>
          <w:rFonts w:ascii="Palatino Linotype" w:eastAsia="Palatino Linotype" w:hAnsi="Palatino Linotype" w:cs="Palatino Linotype"/>
          <w:b/>
        </w:rPr>
        <w:t>Recurrente</w:t>
      </w:r>
      <w:r w:rsidRPr="00D65F60">
        <w:rPr>
          <w:rFonts w:ascii="Palatino Linotype" w:eastAsia="Palatino Linotype" w:hAnsi="Palatino Linotype" w:cs="Palatino Linotype"/>
        </w:rPr>
        <w:t xml:space="preserve"> no adjuntó archivos. </w:t>
      </w:r>
    </w:p>
    <w:p w14:paraId="70FDC4D2" w14:textId="77777777" w:rsidR="00BD1720" w:rsidRPr="00D65F60" w:rsidRDefault="00D749C0">
      <w:pPr>
        <w:spacing w:before="240" w:after="240" w:line="360" w:lineRule="auto"/>
        <w:ind w:right="51"/>
        <w:jc w:val="both"/>
        <w:rPr>
          <w:rFonts w:ascii="Palatino Linotype" w:eastAsia="Palatino Linotype" w:hAnsi="Palatino Linotype" w:cs="Palatino Linotype"/>
        </w:rPr>
      </w:pPr>
      <w:r w:rsidRPr="00D65F60">
        <w:rPr>
          <w:rFonts w:ascii="Palatino Linotype" w:eastAsia="Palatino Linotype" w:hAnsi="Palatino Linotype" w:cs="Palatino Linotype"/>
          <w:b/>
        </w:rPr>
        <w:t xml:space="preserve">4. Turno. </w:t>
      </w:r>
      <w:r w:rsidRPr="00D65F60">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D65F60">
        <w:rPr>
          <w:rFonts w:ascii="Palatino Linotype" w:eastAsia="Palatino Linotype" w:hAnsi="Palatino Linotype" w:cs="Palatino Linotype"/>
          <w:b/>
        </w:rPr>
        <w:t xml:space="preserve">Guadalupe Ramírez Peña, </w:t>
      </w:r>
      <w:r w:rsidRPr="00D65F60">
        <w:rPr>
          <w:rFonts w:ascii="Palatino Linotype" w:eastAsia="Palatino Linotype" w:hAnsi="Palatino Linotype" w:cs="Palatino Linotype"/>
        </w:rPr>
        <w:t>a efecto de que analizara sobre su admisión o su desechamiento.</w:t>
      </w:r>
    </w:p>
    <w:p w14:paraId="5274AD17"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b/>
        </w:rPr>
        <w:t>5. Admisión del Recurso de revisión.</w:t>
      </w:r>
      <w:r w:rsidRPr="00D65F60">
        <w:rPr>
          <w:rFonts w:ascii="Palatino Linotype" w:eastAsia="Palatino Linotype" w:hAnsi="Palatino Linotype" w:cs="Palatino Linotype"/>
        </w:rPr>
        <w:t xml:space="preserve"> El</w:t>
      </w:r>
      <w:r w:rsidRPr="00D65F60">
        <w:rPr>
          <w:rFonts w:ascii="Palatino Linotype" w:eastAsia="Palatino Linotype" w:hAnsi="Palatino Linotype" w:cs="Palatino Linotype"/>
          <w:b/>
        </w:rPr>
        <w:t xml:space="preserve"> diez de febrero de dos mil veinticinco, </w:t>
      </w:r>
      <w:r w:rsidRPr="00D65F60">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w:t>
      </w:r>
      <w:r w:rsidRPr="00D65F60">
        <w:rPr>
          <w:rFonts w:ascii="Palatino Linotype" w:eastAsia="Palatino Linotype" w:hAnsi="Palatino Linotype" w:cs="Palatino Linotype"/>
        </w:rPr>
        <w:lastRenderedPageBreak/>
        <w:t xml:space="preserve">de revisión que ahora se resuelve, dando un plazo máximo de siete días hábiles para que las partes manifestaran lo que a su derecho resultara conveniente, ofrecieran pruebas, formularan alegatos y el </w:t>
      </w:r>
      <w:r w:rsidRPr="00D65F60">
        <w:rPr>
          <w:rFonts w:ascii="Palatino Linotype" w:eastAsia="Palatino Linotype" w:hAnsi="Palatino Linotype" w:cs="Palatino Linotype"/>
          <w:b/>
        </w:rPr>
        <w:t xml:space="preserve">Sujeto Obligado </w:t>
      </w:r>
      <w:r w:rsidRPr="00D65F60">
        <w:rPr>
          <w:rFonts w:ascii="Palatino Linotype" w:eastAsia="Palatino Linotype" w:hAnsi="Palatino Linotype" w:cs="Palatino Linotype"/>
        </w:rPr>
        <w:t>presentara su informe justificado.</w:t>
      </w:r>
    </w:p>
    <w:p w14:paraId="61212E7C" w14:textId="77777777" w:rsidR="00BD1720" w:rsidRPr="00D65F60" w:rsidRDefault="00D749C0">
      <w:pPr>
        <w:spacing w:before="240" w:after="240" w:line="360" w:lineRule="auto"/>
        <w:jc w:val="both"/>
        <w:rPr>
          <w:rFonts w:ascii="Palatino Linotype" w:eastAsia="Palatino Linotype" w:hAnsi="Palatino Linotype" w:cs="Palatino Linotype"/>
        </w:rPr>
      </w:pPr>
      <w:bookmarkStart w:id="3" w:name="_heading=h.2s8eyo1" w:colFirst="0" w:colLast="0"/>
      <w:bookmarkEnd w:id="3"/>
      <w:r w:rsidRPr="00D65F60">
        <w:rPr>
          <w:rFonts w:ascii="Palatino Linotype" w:eastAsia="Palatino Linotype" w:hAnsi="Palatino Linotype" w:cs="Palatino Linotype"/>
          <w:b/>
        </w:rPr>
        <w:t>6. Manifestaciones</w:t>
      </w:r>
      <w:r w:rsidRPr="00D65F60">
        <w:rPr>
          <w:rFonts w:ascii="Palatino Linotype" w:eastAsia="Palatino Linotype" w:hAnsi="Palatino Linotype" w:cs="Palatino Linotype"/>
        </w:rPr>
        <w:t xml:space="preserve">. El </w:t>
      </w:r>
      <w:r w:rsidRPr="00D65F60">
        <w:rPr>
          <w:rFonts w:ascii="Palatino Linotype" w:eastAsia="Palatino Linotype" w:hAnsi="Palatino Linotype" w:cs="Palatino Linotype"/>
          <w:b/>
        </w:rPr>
        <w:t>trece de febrero dos mil veinticinco</w:t>
      </w:r>
      <w:r w:rsidRPr="00D65F60">
        <w:rPr>
          <w:rFonts w:ascii="Palatino Linotype" w:eastAsia="Palatino Linotype" w:hAnsi="Palatino Linotype" w:cs="Palatino Linotype"/>
        </w:rPr>
        <w:t xml:space="preserve">, el </w:t>
      </w:r>
      <w:r w:rsidRPr="00D65F60">
        <w:rPr>
          <w:rFonts w:ascii="Palatino Linotype" w:eastAsia="Palatino Linotype" w:hAnsi="Palatino Linotype" w:cs="Palatino Linotype"/>
          <w:b/>
        </w:rPr>
        <w:t>Sujeto Obligado</w:t>
      </w:r>
      <w:r w:rsidRPr="00D65F60">
        <w:rPr>
          <w:rFonts w:ascii="Palatino Linotype" w:eastAsia="Palatino Linotype" w:hAnsi="Palatino Linotype" w:cs="Palatino Linotype"/>
        </w:rPr>
        <w:t xml:space="preserve"> remitió, a través de SAIMEX, lo siguiente:</w:t>
      </w:r>
    </w:p>
    <w:p w14:paraId="510130CC" w14:textId="77777777" w:rsidR="00BD1720" w:rsidRPr="00D65F60" w:rsidRDefault="00D749C0">
      <w:pPr>
        <w:spacing w:before="240" w:after="240" w:line="360" w:lineRule="auto"/>
        <w:ind w:left="284"/>
        <w:jc w:val="both"/>
        <w:rPr>
          <w:rFonts w:ascii="Palatino Linotype" w:eastAsia="Palatino Linotype" w:hAnsi="Palatino Linotype" w:cs="Palatino Linotype"/>
        </w:rPr>
      </w:pPr>
      <w:r w:rsidRPr="00D65F60">
        <w:rPr>
          <w:rFonts w:ascii="Palatino Linotype" w:eastAsia="Palatino Linotype" w:hAnsi="Palatino Linotype" w:cs="Palatino Linotype"/>
        </w:rPr>
        <w:t>- Oficio número OIC/052/2025, del trece de febrero de dos mil veinticinco, mediante el cual el Titular del Órgano Interno de Control remitió la lista de los coordinadores y directores obligados a certificarse y el estatus que guarda dicha certificación.</w:t>
      </w:r>
    </w:p>
    <w:p w14:paraId="35B9F593"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 xml:space="preserve">Una vez analizada la información se hizo del conocimiento de la parte </w:t>
      </w:r>
      <w:r w:rsidRPr="00D65F60">
        <w:rPr>
          <w:rFonts w:ascii="Palatino Linotype" w:eastAsia="Palatino Linotype" w:hAnsi="Palatino Linotype" w:cs="Palatino Linotype"/>
          <w:b/>
        </w:rPr>
        <w:t>Recurrente,</w:t>
      </w:r>
      <w:r w:rsidRPr="00D65F60">
        <w:rPr>
          <w:rFonts w:ascii="Palatino Linotype" w:eastAsia="Palatino Linotype" w:hAnsi="Palatino Linotype" w:cs="Palatino Linotype"/>
        </w:rPr>
        <w:t xml:space="preserve"> sin que hiciera manifestación alguna. </w:t>
      </w:r>
    </w:p>
    <w:p w14:paraId="3A0EDEB8" w14:textId="77777777" w:rsidR="00BD1720" w:rsidRPr="00D65F60" w:rsidRDefault="00D749C0">
      <w:pPr>
        <w:widowControl w:val="0"/>
        <w:spacing w:before="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b/>
        </w:rPr>
        <w:t xml:space="preserve">7. Cierre de instrucción. </w:t>
      </w:r>
      <w:r w:rsidRPr="00D65F60">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D65F60">
        <w:rPr>
          <w:rFonts w:ascii="Palatino Linotype" w:eastAsia="Palatino Linotype" w:hAnsi="Palatino Linotype" w:cs="Palatino Linotype"/>
          <w:b/>
        </w:rPr>
        <w:t>veintiuno de febrero de dos mil veinticinco</w:t>
      </w:r>
      <w:r w:rsidRPr="00D65F60">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67831C46"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2BE084B2" w14:textId="77777777" w:rsidR="00BD1720" w:rsidRPr="00D65F60" w:rsidRDefault="00BD1720">
      <w:pPr>
        <w:spacing w:before="240" w:after="240" w:line="360" w:lineRule="auto"/>
        <w:jc w:val="both"/>
        <w:rPr>
          <w:rFonts w:ascii="Palatino Linotype" w:eastAsia="Palatino Linotype" w:hAnsi="Palatino Linotype" w:cs="Palatino Linotype"/>
        </w:rPr>
      </w:pPr>
    </w:p>
    <w:p w14:paraId="5F4F5D48" w14:textId="77777777" w:rsidR="00BD1720" w:rsidRPr="00D65F60" w:rsidRDefault="00D749C0">
      <w:pPr>
        <w:widowControl w:val="0"/>
        <w:spacing w:before="240" w:after="240" w:line="360" w:lineRule="auto"/>
        <w:jc w:val="center"/>
        <w:rPr>
          <w:rFonts w:ascii="Palatino Linotype" w:eastAsia="Palatino Linotype" w:hAnsi="Palatino Linotype" w:cs="Palatino Linotype"/>
          <w:b/>
        </w:rPr>
      </w:pPr>
      <w:r w:rsidRPr="00D65F60">
        <w:rPr>
          <w:rFonts w:ascii="Palatino Linotype" w:eastAsia="Palatino Linotype" w:hAnsi="Palatino Linotype" w:cs="Palatino Linotype"/>
          <w:b/>
        </w:rPr>
        <w:lastRenderedPageBreak/>
        <w:t>II. C O N S I D E R A N D O S</w:t>
      </w:r>
    </w:p>
    <w:p w14:paraId="02BA6AFA"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b/>
        </w:rPr>
        <w:t>Primero. Competencia.</w:t>
      </w:r>
      <w:r w:rsidRPr="00D65F6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4A6A7CD" w14:textId="77777777" w:rsidR="00BD1720" w:rsidRPr="00D65F60" w:rsidRDefault="00D749C0">
      <w:pPr>
        <w:spacing w:before="240" w:after="240" w:line="360" w:lineRule="auto"/>
        <w:jc w:val="both"/>
        <w:rPr>
          <w:rFonts w:ascii="Palatino Linotype" w:eastAsia="Palatino Linotype" w:hAnsi="Palatino Linotype" w:cs="Palatino Linotype"/>
        </w:rPr>
      </w:pPr>
      <w:bookmarkStart w:id="4" w:name="_heading=h.q9a5pqst6so" w:colFirst="0" w:colLast="0"/>
      <w:bookmarkEnd w:id="4"/>
      <w:r w:rsidRPr="00D65F60">
        <w:rPr>
          <w:rFonts w:ascii="Palatino Linotype" w:eastAsia="Palatino Linotype" w:hAnsi="Palatino Linotype" w:cs="Palatino Linotype"/>
          <w:b/>
        </w:rPr>
        <w:t xml:space="preserve">Segundo. Oportunidad y Procedibilidad. </w:t>
      </w:r>
      <w:r w:rsidRPr="00D65F60">
        <w:rPr>
          <w:rFonts w:ascii="Palatino Linotype" w:eastAsia="Palatino Linotype" w:hAnsi="Palatino Linotype" w:cs="Palatino Linotype"/>
        </w:rPr>
        <w:t>Es de precisar que la</w:t>
      </w:r>
      <w:r w:rsidRPr="00D65F60">
        <w:rPr>
          <w:rFonts w:ascii="Palatino Linotype" w:eastAsia="Palatino Linotype" w:hAnsi="Palatino Linotype" w:cs="Palatino Linotype"/>
          <w:b/>
        </w:rPr>
        <w:t xml:space="preserve"> </w:t>
      </w:r>
      <w:r w:rsidRPr="00D65F60">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166, del tenor literal siguiente: </w:t>
      </w:r>
    </w:p>
    <w:p w14:paraId="4880390B" w14:textId="77777777" w:rsidR="00BD1720" w:rsidRPr="00D65F60" w:rsidRDefault="00D749C0">
      <w:pPr>
        <w:ind w:left="851" w:right="851"/>
        <w:jc w:val="both"/>
        <w:rPr>
          <w:rFonts w:ascii="Palatino Linotype" w:eastAsia="Palatino Linotype" w:hAnsi="Palatino Linotype" w:cs="Palatino Linotype"/>
          <w:i/>
        </w:rPr>
      </w:pPr>
      <w:r w:rsidRPr="00D65F60">
        <w:rPr>
          <w:rFonts w:ascii="Palatino Linotype" w:eastAsia="Palatino Linotype" w:hAnsi="Palatino Linotype" w:cs="Palatino Linotype"/>
          <w:i/>
          <w:sz w:val="22"/>
          <w:szCs w:val="22"/>
        </w:rPr>
        <w:t>“</w:t>
      </w:r>
      <w:r w:rsidRPr="00D65F60">
        <w:rPr>
          <w:rFonts w:ascii="Palatino Linotype" w:eastAsia="Palatino Linotype" w:hAnsi="Palatino Linotype" w:cs="Palatino Linotype"/>
          <w:b/>
          <w:i/>
          <w:sz w:val="22"/>
          <w:szCs w:val="22"/>
        </w:rPr>
        <w:t xml:space="preserve">Artículo 163. </w:t>
      </w:r>
      <w:r w:rsidRPr="00D65F60">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7A19361B" w14:textId="77777777" w:rsidR="00BD1720" w:rsidRPr="00D65F60" w:rsidRDefault="00D749C0">
      <w:pPr>
        <w:ind w:left="851" w:right="851"/>
        <w:jc w:val="both"/>
        <w:rPr>
          <w:rFonts w:ascii="Palatino Linotype" w:eastAsia="Palatino Linotype" w:hAnsi="Palatino Linotype" w:cs="Palatino Linotype"/>
          <w:i/>
        </w:rPr>
      </w:pPr>
      <w:r w:rsidRPr="00D65F60">
        <w:rPr>
          <w:rFonts w:ascii="Palatino Linotype" w:eastAsia="Palatino Linotype" w:hAnsi="Palatino Linotype" w:cs="Palatino Linotype"/>
          <w:i/>
          <w:sz w:val="22"/>
          <w:szCs w:val="22"/>
        </w:rPr>
        <w:t>…</w:t>
      </w:r>
    </w:p>
    <w:p w14:paraId="343DA537" w14:textId="77777777" w:rsidR="00BD1720" w:rsidRPr="00D65F60" w:rsidRDefault="00D749C0">
      <w:pPr>
        <w:ind w:left="851" w:right="851"/>
        <w:jc w:val="both"/>
        <w:rPr>
          <w:rFonts w:ascii="Palatino Linotype" w:eastAsia="Palatino Linotype" w:hAnsi="Palatino Linotype" w:cs="Palatino Linotype"/>
          <w:i/>
        </w:rPr>
      </w:pPr>
      <w:r w:rsidRPr="00D65F60">
        <w:rPr>
          <w:rFonts w:ascii="Palatino Linotype" w:eastAsia="Palatino Linotype" w:hAnsi="Palatino Linotype" w:cs="Palatino Linotype"/>
          <w:b/>
          <w:i/>
          <w:sz w:val="22"/>
          <w:szCs w:val="22"/>
        </w:rPr>
        <w:t>Artículo 166.</w:t>
      </w:r>
      <w:r w:rsidRPr="00D65F60">
        <w:rPr>
          <w:rFonts w:ascii="Palatino Linotype" w:eastAsia="Palatino Linotype" w:hAnsi="Palatino Linotype" w:cs="Palatino Linotype"/>
          <w:i/>
          <w:sz w:val="22"/>
          <w:szCs w:val="22"/>
        </w:rPr>
        <w:t xml:space="preserve"> […]</w:t>
      </w:r>
    </w:p>
    <w:p w14:paraId="3BF80F1D" w14:textId="77777777" w:rsidR="00BD1720" w:rsidRPr="00D65F60" w:rsidRDefault="00D749C0">
      <w:pPr>
        <w:ind w:left="851" w:right="851"/>
        <w:jc w:val="both"/>
        <w:rPr>
          <w:rFonts w:ascii="Palatino Linotype" w:eastAsia="Palatino Linotype" w:hAnsi="Palatino Linotype" w:cs="Palatino Linotype"/>
          <w:i/>
        </w:rPr>
      </w:pPr>
      <w:r w:rsidRPr="00D65F60">
        <w:rPr>
          <w:rFonts w:ascii="Palatino Linotype" w:eastAsia="Palatino Linotype" w:hAnsi="Palatino Linotype" w:cs="Palatino Linotype"/>
          <w:i/>
          <w:sz w:val="22"/>
          <w:szCs w:val="22"/>
        </w:rPr>
        <w:t xml:space="preserve">Cuando el sujeto obligado no entregue la respuesta a la solicitud dentro del plazo previsto en la Ley, la solicitud se entenderá negada y el solicitante podrá interponer el recurso de revisión previsto en este ordenamiento.” </w:t>
      </w:r>
    </w:p>
    <w:p w14:paraId="3668A719"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lastRenderedPageBreak/>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 la persona solicitante le asiste el derecho para presentar el recurso de revisión.</w:t>
      </w:r>
    </w:p>
    <w:p w14:paraId="67DF4292"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7B09C8BB" w14:textId="77777777" w:rsidR="00BD1720" w:rsidRPr="00D65F60" w:rsidRDefault="00D749C0">
      <w:pPr>
        <w:spacing w:before="240" w:after="240" w:line="360" w:lineRule="auto"/>
        <w:jc w:val="both"/>
        <w:rPr>
          <w:rFonts w:ascii="Palatino Linotype" w:eastAsia="Palatino Linotype" w:hAnsi="Palatino Linotype" w:cs="Palatino Linotype"/>
          <w:i/>
        </w:rPr>
      </w:pPr>
      <w:r w:rsidRPr="00D65F60">
        <w:rPr>
          <w:rFonts w:ascii="Palatino Linotype" w:eastAsia="Palatino Linotype" w:hAnsi="Palatino Linotype" w:cs="Palatino Linotype"/>
        </w:rPr>
        <w:t>Por su parte, el artículo 178 del citado ordenamiento, establece:</w:t>
      </w:r>
    </w:p>
    <w:p w14:paraId="4166AB24" w14:textId="77777777" w:rsidR="00BD1720" w:rsidRPr="00D65F60" w:rsidRDefault="00D749C0">
      <w:pPr>
        <w:spacing w:before="120" w:after="120"/>
        <w:ind w:left="851" w:right="851"/>
        <w:jc w:val="both"/>
        <w:rPr>
          <w:rFonts w:ascii="Palatino Linotype" w:eastAsia="Palatino Linotype" w:hAnsi="Palatino Linotype" w:cs="Palatino Linotype"/>
          <w:i/>
          <w:sz w:val="22"/>
          <w:szCs w:val="22"/>
        </w:rPr>
      </w:pPr>
      <w:r w:rsidRPr="00D65F60">
        <w:rPr>
          <w:rFonts w:ascii="Palatino Linotype" w:eastAsia="Palatino Linotype" w:hAnsi="Palatino Linotype" w:cs="Palatino Linotype"/>
          <w:i/>
          <w:sz w:val="22"/>
          <w:szCs w:val="22"/>
        </w:rPr>
        <w:t>“</w:t>
      </w:r>
      <w:r w:rsidRPr="00D65F60">
        <w:rPr>
          <w:rFonts w:ascii="Palatino Linotype" w:eastAsia="Palatino Linotype" w:hAnsi="Palatino Linotype" w:cs="Palatino Linotype"/>
          <w:b/>
          <w:i/>
          <w:sz w:val="22"/>
          <w:szCs w:val="22"/>
        </w:rPr>
        <w:t xml:space="preserve">Artículo 178. </w:t>
      </w:r>
      <w:r w:rsidRPr="00D65F60">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AC04BA3" w14:textId="77777777" w:rsidR="00BD1720" w:rsidRPr="00D65F60" w:rsidRDefault="00D749C0">
      <w:pPr>
        <w:spacing w:before="120" w:after="120"/>
        <w:ind w:left="851" w:right="851"/>
        <w:jc w:val="both"/>
        <w:rPr>
          <w:rFonts w:ascii="Palatino Linotype" w:eastAsia="Palatino Linotype" w:hAnsi="Palatino Linotype" w:cs="Palatino Linotype"/>
          <w:i/>
          <w:sz w:val="20"/>
          <w:szCs w:val="20"/>
        </w:rPr>
      </w:pPr>
      <w:r w:rsidRPr="00D65F60">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E227199"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 xml:space="preserve">De lo anterior, se advierte que el recurso de revisión se ha de interponer dentro del plazo de quince días hábiles, a partir de la fecha en que el </w:t>
      </w:r>
      <w:r w:rsidRPr="00D65F60">
        <w:rPr>
          <w:rFonts w:ascii="Palatino Linotype" w:eastAsia="Palatino Linotype" w:hAnsi="Palatino Linotype" w:cs="Palatino Linotype"/>
          <w:b/>
        </w:rPr>
        <w:t xml:space="preserve">Sujeto Obligado </w:t>
      </w:r>
      <w:r w:rsidRPr="00D65F60">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w:t>
      </w:r>
      <w:r w:rsidRPr="00D65F60">
        <w:rPr>
          <w:rFonts w:ascii="Palatino Linotype" w:eastAsia="Palatino Linotype" w:hAnsi="Palatino Linotype" w:cs="Palatino Linotype"/>
        </w:rPr>
        <w:lastRenderedPageBreak/>
        <w:t>la cual pueda computarse dicho plazo, por lo que se concluye que la interposición del recurso de revisión puede ser en cualquier momento.</w:t>
      </w:r>
    </w:p>
    <w:p w14:paraId="6A6CDC10"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 xml:space="preserve">La negativa ficta constituye una presunción legal, en el entendido de que donde no hubo respuesta por parte del </w:t>
      </w:r>
      <w:r w:rsidRPr="00D65F60">
        <w:rPr>
          <w:rFonts w:ascii="Palatino Linotype" w:eastAsia="Palatino Linotype" w:hAnsi="Palatino Linotype" w:cs="Palatino Linotype"/>
          <w:b/>
        </w:rPr>
        <w:t xml:space="preserve">Sujeto Obligado </w:t>
      </w:r>
      <w:r w:rsidRPr="00D65F60">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6D4337B6"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Sujeto Obligado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46BD4285" w14:textId="77777777" w:rsidR="00BD1720" w:rsidRPr="00D65F60" w:rsidRDefault="00D749C0">
      <w:pPr>
        <w:spacing w:before="240" w:after="240" w:line="360" w:lineRule="auto"/>
        <w:jc w:val="both"/>
        <w:rPr>
          <w:rFonts w:ascii="Palatino Linotype" w:eastAsia="Palatino Linotype" w:hAnsi="Palatino Linotype" w:cs="Palatino Linotype"/>
          <w:i/>
        </w:rPr>
      </w:pPr>
      <w:r w:rsidRPr="00D65F60">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D65F60">
        <w:rPr>
          <w:rFonts w:ascii="Palatino Linotype" w:eastAsia="Palatino Linotype" w:hAnsi="Palatino Linotype" w:cs="Palatino Linotype"/>
          <w:b/>
        </w:rPr>
        <w:t>Sujeto Obligado</w:t>
      </w:r>
      <w:r w:rsidRPr="00D65F60">
        <w:rPr>
          <w:rFonts w:ascii="Palatino Linotype" w:eastAsia="Palatino Linotype" w:hAnsi="Palatino Linotype" w:cs="Palatino Linotype"/>
        </w:rPr>
        <w:t xml:space="preserve">, este tiene la posibilidad de impugnar dicha omisión </w:t>
      </w:r>
      <w:r w:rsidRPr="00D65F60">
        <w:rPr>
          <w:rFonts w:ascii="Palatino Linotype" w:eastAsia="Palatino Linotype" w:hAnsi="Palatino Linotype" w:cs="Palatino Linotype"/>
        </w:rPr>
        <w:lastRenderedPageBreak/>
        <w:t>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65ADB677" w14:textId="77777777" w:rsidR="00BD1720" w:rsidRPr="00D65F60" w:rsidRDefault="00D749C0">
      <w:pPr>
        <w:ind w:left="851" w:right="851"/>
        <w:jc w:val="both"/>
        <w:rPr>
          <w:rFonts w:ascii="Palatino Linotype" w:eastAsia="Palatino Linotype" w:hAnsi="Palatino Linotype" w:cs="Palatino Linotype"/>
          <w:i/>
        </w:rPr>
      </w:pPr>
      <w:r w:rsidRPr="00D65F60">
        <w:rPr>
          <w:rFonts w:ascii="Palatino Linotype" w:eastAsia="Palatino Linotype" w:hAnsi="Palatino Linotype" w:cs="Palatino Linotype"/>
          <w:b/>
          <w:i/>
          <w:sz w:val="22"/>
          <w:szCs w:val="22"/>
        </w:rPr>
        <w:t>“CRITERIO 0001-15. NEGATIVA FICTA. PLAZO PARA INTERPONER EL RECURSO DE REVISIÓN TRATÁNDOSE DE</w:t>
      </w:r>
      <w:r w:rsidRPr="00D65F60">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r w:rsidRPr="00D65F60">
        <w:rPr>
          <w:rFonts w:ascii="Palatino Linotype" w:eastAsia="Palatino Linotype" w:hAnsi="Palatino Linotype" w:cs="Palatino Linotype"/>
          <w:i/>
        </w:rPr>
        <w:t xml:space="preserve"> </w:t>
      </w:r>
    </w:p>
    <w:p w14:paraId="543DDE61" w14:textId="77777777" w:rsidR="00BD1720" w:rsidRPr="00D65F60" w:rsidRDefault="00D749C0">
      <w:pPr>
        <w:spacing w:before="240" w:after="240" w:line="360" w:lineRule="auto"/>
        <w:jc w:val="both"/>
        <w:rPr>
          <w:rFonts w:ascii="Palatino Linotype" w:eastAsia="Palatino Linotype" w:hAnsi="Palatino Linotype" w:cs="Palatino Linotype"/>
        </w:rPr>
      </w:pPr>
      <w:bookmarkStart w:id="5" w:name="_heading=h.2et92p0" w:colFirst="0" w:colLast="0"/>
      <w:bookmarkEnd w:id="5"/>
      <w:r w:rsidRPr="00D65F60">
        <w:rPr>
          <w:rFonts w:ascii="Palatino Linotype" w:eastAsia="Palatino Linotype" w:hAnsi="Palatino Linotype" w:cs="Palatino Linotype"/>
        </w:rPr>
        <w:t>Además, por cuanto hace a la procedibilidad del recurso de revisión, es de suma importancia señalar que la parte</w:t>
      </w:r>
      <w:r w:rsidRPr="00D65F60">
        <w:rPr>
          <w:rFonts w:ascii="Palatino Linotype" w:eastAsia="Palatino Linotype" w:hAnsi="Palatino Linotype" w:cs="Palatino Linotype"/>
          <w:b/>
        </w:rPr>
        <w:t xml:space="preserve"> Recurrente</w:t>
      </w:r>
      <w:r w:rsidRPr="00D65F60">
        <w:rPr>
          <w:rFonts w:ascii="Palatino Linotype" w:eastAsia="Palatino Linotype" w:hAnsi="Palatino Linotype" w:cs="Palatino Linotype"/>
        </w:rPr>
        <w:t xml:space="preserve">, no señaló un </w:t>
      </w:r>
      <w:r w:rsidRPr="00D65F60">
        <w:rPr>
          <w:rFonts w:ascii="Palatino Linotype" w:eastAsia="Palatino Linotype" w:hAnsi="Palatino Linotype" w:cs="Palatino Linotype"/>
          <w:b/>
        </w:rPr>
        <w:t>nombre</w:t>
      </w:r>
      <w:r w:rsidRPr="00D65F60">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488FF56" w14:textId="77777777" w:rsidR="00BD1720" w:rsidRPr="00D65F60" w:rsidRDefault="00D749C0">
      <w:pPr>
        <w:spacing w:before="120" w:after="120"/>
        <w:ind w:left="851" w:right="758"/>
        <w:jc w:val="both"/>
        <w:rPr>
          <w:rFonts w:ascii="Palatino Linotype" w:eastAsia="Palatino Linotype" w:hAnsi="Palatino Linotype" w:cs="Palatino Linotype"/>
          <w:i/>
          <w:sz w:val="22"/>
          <w:szCs w:val="22"/>
        </w:rPr>
      </w:pPr>
      <w:r w:rsidRPr="00D65F60">
        <w:rPr>
          <w:rFonts w:ascii="Palatino Linotype" w:eastAsia="Palatino Linotype" w:hAnsi="Palatino Linotype" w:cs="Palatino Linotype"/>
          <w:i/>
          <w:sz w:val="22"/>
          <w:szCs w:val="22"/>
        </w:rPr>
        <w:lastRenderedPageBreak/>
        <w:t>"</w:t>
      </w:r>
      <w:r w:rsidRPr="00D65F60">
        <w:rPr>
          <w:rFonts w:ascii="Palatino Linotype" w:eastAsia="Palatino Linotype" w:hAnsi="Palatino Linotype" w:cs="Palatino Linotype"/>
          <w:b/>
          <w:i/>
          <w:sz w:val="22"/>
          <w:szCs w:val="22"/>
        </w:rPr>
        <w:t>Las solicitudes anónimas</w:t>
      </w:r>
      <w:r w:rsidRPr="00D65F60">
        <w:rPr>
          <w:rFonts w:ascii="Palatino Linotype" w:eastAsia="Palatino Linotype" w:hAnsi="Palatino Linotype" w:cs="Palatino Linotype"/>
          <w:i/>
          <w:sz w:val="22"/>
          <w:szCs w:val="22"/>
        </w:rPr>
        <w:t xml:space="preserve">, con nombre incompleto o </w:t>
      </w:r>
      <w:r w:rsidRPr="00D65F60">
        <w:rPr>
          <w:rFonts w:ascii="Palatino Linotype" w:eastAsia="Palatino Linotype" w:hAnsi="Palatino Linotype" w:cs="Palatino Linotype"/>
          <w:b/>
          <w:i/>
          <w:sz w:val="22"/>
          <w:szCs w:val="22"/>
        </w:rPr>
        <w:t>seudónimo</w:t>
      </w:r>
      <w:r w:rsidRPr="00D65F60">
        <w:rPr>
          <w:rFonts w:ascii="Palatino Linotype" w:eastAsia="Palatino Linotype" w:hAnsi="Palatino Linotype" w:cs="Palatino Linotype"/>
          <w:i/>
          <w:sz w:val="22"/>
          <w:szCs w:val="22"/>
        </w:rPr>
        <w:t xml:space="preserve"> serán procedentes para su trámite por parte del sujeto obligado ante quien se presente. No podrá requerirse información adicional con motivo del nombre proporcionado por el solicitante."</w:t>
      </w:r>
    </w:p>
    <w:p w14:paraId="76B866BF" w14:textId="77777777" w:rsidR="00BD1720" w:rsidRPr="00D65F60" w:rsidRDefault="00D749C0">
      <w:pPr>
        <w:spacing w:before="240" w:after="240" w:line="360" w:lineRule="auto"/>
        <w:jc w:val="both"/>
        <w:rPr>
          <w:rFonts w:ascii="Palatino Linotype" w:eastAsia="Palatino Linotype" w:hAnsi="Palatino Linotype" w:cs="Palatino Linotype"/>
          <w:b/>
        </w:rPr>
      </w:pPr>
      <w:r w:rsidRPr="00D65F60">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D65F60">
        <w:rPr>
          <w:rFonts w:ascii="Palatino Linotype" w:eastAsia="Palatino Linotype" w:hAnsi="Palatino Linotype" w:cs="Palatino Linotype"/>
          <w:b/>
        </w:rPr>
        <w:t xml:space="preserve"> SAIMEX</w:t>
      </w:r>
    </w:p>
    <w:p w14:paraId="1B4AABCB"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el artículo 179, fracción VII de la ley de la materia, que a la letra dice:</w:t>
      </w:r>
    </w:p>
    <w:p w14:paraId="1AAD4EB5" w14:textId="77777777" w:rsidR="00BD1720" w:rsidRPr="00D65F60" w:rsidRDefault="00D749C0">
      <w:pPr>
        <w:ind w:left="851" w:right="851"/>
        <w:jc w:val="both"/>
        <w:rPr>
          <w:rFonts w:ascii="Palatino Linotype" w:eastAsia="Palatino Linotype" w:hAnsi="Palatino Linotype" w:cs="Palatino Linotype"/>
          <w:i/>
        </w:rPr>
      </w:pPr>
      <w:r w:rsidRPr="00D65F60">
        <w:rPr>
          <w:rFonts w:ascii="Palatino Linotype" w:eastAsia="Palatino Linotype" w:hAnsi="Palatino Linotype" w:cs="Palatino Linotype"/>
          <w:i/>
          <w:sz w:val="22"/>
          <w:szCs w:val="22"/>
        </w:rPr>
        <w:t>“</w:t>
      </w:r>
      <w:r w:rsidRPr="00D65F60">
        <w:rPr>
          <w:rFonts w:ascii="Palatino Linotype" w:eastAsia="Palatino Linotype" w:hAnsi="Palatino Linotype" w:cs="Palatino Linotype"/>
          <w:b/>
          <w:i/>
          <w:sz w:val="22"/>
          <w:szCs w:val="22"/>
        </w:rPr>
        <w:t xml:space="preserve">Artículo 179. </w:t>
      </w:r>
      <w:r w:rsidRPr="00D65F60">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5B145EE" w14:textId="77777777" w:rsidR="00BD1720" w:rsidRPr="00D65F60" w:rsidRDefault="00D749C0">
      <w:pPr>
        <w:ind w:left="1134" w:right="851"/>
        <w:jc w:val="both"/>
        <w:rPr>
          <w:rFonts w:ascii="Palatino Linotype" w:eastAsia="Palatino Linotype" w:hAnsi="Palatino Linotype" w:cs="Palatino Linotype"/>
          <w:i/>
        </w:rPr>
      </w:pPr>
      <w:r w:rsidRPr="00D65F60">
        <w:rPr>
          <w:rFonts w:ascii="Palatino Linotype" w:eastAsia="Palatino Linotype" w:hAnsi="Palatino Linotype" w:cs="Palatino Linotype"/>
          <w:i/>
        </w:rPr>
        <w:t>…</w:t>
      </w:r>
    </w:p>
    <w:p w14:paraId="7CD47C92" w14:textId="77777777" w:rsidR="00BD1720" w:rsidRPr="00D65F60" w:rsidRDefault="00D749C0">
      <w:pPr>
        <w:ind w:left="1134" w:right="851"/>
        <w:jc w:val="both"/>
        <w:rPr>
          <w:rFonts w:ascii="Palatino Linotype" w:eastAsia="Palatino Linotype" w:hAnsi="Palatino Linotype" w:cs="Palatino Linotype"/>
          <w:i/>
          <w:sz w:val="22"/>
          <w:szCs w:val="22"/>
        </w:rPr>
      </w:pPr>
      <w:r w:rsidRPr="00D65F60">
        <w:rPr>
          <w:rFonts w:ascii="Palatino Linotype" w:eastAsia="Palatino Linotype" w:hAnsi="Palatino Linotype" w:cs="Palatino Linotype"/>
          <w:b/>
          <w:i/>
          <w:sz w:val="22"/>
          <w:szCs w:val="22"/>
        </w:rPr>
        <w:t xml:space="preserve">VII. </w:t>
      </w:r>
      <w:r w:rsidRPr="00D65F60">
        <w:rPr>
          <w:rFonts w:ascii="Palatino Linotype" w:eastAsia="Palatino Linotype" w:hAnsi="Palatino Linotype" w:cs="Palatino Linotype"/>
          <w:i/>
          <w:sz w:val="22"/>
          <w:szCs w:val="22"/>
        </w:rPr>
        <w:t>La falta de respuesta a una solicitud de acceso a la información;”</w:t>
      </w:r>
    </w:p>
    <w:p w14:paraId="7EBBE752"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 xml:space="preserve">El precepto legal citado, establece como supuesto de procedencia del recurso de revisión, en aquellos casos en que la parte </w:t>
      </w:r>
      <w:r w:rsidRPr="00D65F60">
        <w:rPr>
          <w:rFonts w:ascii="Palatino Linotype" w:eastAsia="Palatino Linotype" w:hAnsi="Palatino Linotype" w:cs="Palatino Linotype"/>
          <w:b/>
        </w:rPr>
        <w:t xml:space="preserve">Recurrente </w:t>
      </w:r>
      <w:r w:rsidRPr="00D65F60">
        <w:rPr>
          <w:rFonts w:ascii="Palatino Linotype" w:eastAsia="Palatino Linotype" w:hAnsi="Palatino Linotype" w:cs="Palatino Linotype"/>
        </w:rPr>
        <w:t xml:space="preserve">estime negado el acceso a la información por la falta de respuesta por el </w:t>
      </w:r>
      <w:r w:rsidRPr="00D65F60">
        <w:rPr>
          <w:rFonts w:ascii="Palatino Linotype" w:eastAsia="Palatino Linotype" w:hAnsi="Palatino Linotype" w:cs="Palatino Linotype"/>
          <w:b/>
        </w:rPr>
        <w:t>Sujeto Obligado</w:t>
      </w:r>
      <w:r w:rsidRPr="00D65F60">
        <w:rPr>
          <w:rFonts w:ascii="Palatino Linotype" w:eastAsia="Palatino Linotype" w:hAnsi="Palatino Linotype" w:cs="Palatino Linotype"/>
        </w:rPr>
        <w:t xml:space="preserve">, en este asunto se actualiza la hipótesis jurídica citada, en atención a que la parte </w:t>
      </w:r>
      <w:r w:rsidRPr="00D65F60">
        <w:rPr>
          <w:rFonts w:ascii="Palatino Linotype" w:eastAsia="Palatino Linotype" w:hAnsi="Palatino Linotype" w:cs="Palatino Linotype"/>
          <w:b/>
        </w:rPr>
        <w:t>Recurrente</w:t>
      </w:r>
      <w:r w:rsidRPr="00D65F60">
        <w:rPr>
          <w:rFonts w:ascii="Palatino Linotype" w:eastAsia="Palatino Linotype" w:hAnsi="Palatino Linotype" w:cs="Palatino Linotype"/>
        </w:rPr>
        <w:t xml:space="preserve"> combate falta de trámite por el </w:t>
      </w:r>
      <w:r w:rsidRPr="00D65F60">
        <w:rPr>
          <w:rFonts w:ascii="Palatino Linotype" w:eastAsia="Palatino Linotype" w:hAnsi="Palatino Linotype" w:cs="Palatino Linotype"/>
          <w:b/>
        </w:rPr>
        <w:t>Sujeto Obligado</w:t>
      </w:r>
      <w:r w:rsidRPr="00D65F60">
        <w:rPr>
          <w:rFonts w:ascii="Palatino Linotype" w:eastAsia="Palatino Linotype" w:hAnsi="Palatino Linotype" w:cs="Palatino Linotype"/>
        </w:rPr>
        <w:t xml:space="preserve"> y expresa motivos de inconformidad en contra de dicha circunstancia.</w:t>
      </w:r>
    </w:p>
    <w:p w14:paraId="09A61F6A" w14:textId="77777777" w:rsidR="00BD1720" w:rsidRPr="00D65F60" w:rsidRDefault="00D749C0">
      <w:pPr>
        <w:spacing w:before="240" w:after="240" w:line="360" w:lineRule="auto"/>
        <w:jc w:val="both"/>
      </w:pPr>
      <w:r w:rsidRPr="00D65F60">
        <w:rPr>
          <w:rFonts w:ascii="Palatino Linotype" w:eastAsia="Palatino Linotype" w:hAnsi="Palatino Linotype" w:cs="Palatino Linotype"/>
          <w:b/>
        </w:rPr>
        <w:lastRenderedPageBreak/>
        <w:t>Tercero. Análisis de las causales de sobreseimiento de los recursos de revisión.</w:t>
      </w:r>
      <w:r w:rsidRPr="00D65F60">
        <w:rPr>
          <w:rFonts w:ascii="Palatino Linotype" w:eastAsia="Palatino Linotype" w:hAnsi="Palatino Linotype" w:cs="Palatino Linotype"/>
        </w:rPr>
        <w:t xml:space="preserve"> 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50FEB44" w14:textId="77777777" w:rsidR="00BD1720" w:rsidRPr="00D65F60" w:rsidRDefault="00D749C0">
      <w:pPr>
        <w:spacing w:before="240" w:after="240" w:line="360" w:lineRule="auto"/>
        <w:jc w:val="both"/>
      </w:pPr>
      <w:r w:rsidRPr="00D65F60">
        <w:rPr>
          <w:rFonts w:ascii="Palatino Linotype" w:eastAsia="Palatino Linotype" w:hAnsi="Palatino Linotype" w:cs="Palatino Linotype"/>
        </w:rPr>
        <w:t>Es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este no se coarta por regular causas de improcedencia y sobreseimiento con tales fines.</w:t>
      </w:r>
    </w:p>
    <w:p w14:paraId="0EC16DAB" w14:textId="77777777" w:rsidR="00BD1720" w:rsidRPr="00D65F60" w:rsidRDefault="00D749C0">
      <w:pPr>
        <w:spacing w:before="240" w:after="240" w:line="360" w:lineRule="auto"/>
        <w:ind w:right="51"/>
        <w:jc w:val="both"/>
        <w:rPr>
          <w:rFonts w:ascii="Palatino Linotype" w:eastAsia="Palatino Linotype" w:hAnsi="Palatino Linotype" w:cs="Palatino Linotype"/>
        </w:rPr>
      </w:pPr>
      <w:r w:rsidRPr="00D65F60">
        <w:rPr>
          <w:rFonts w:ascii="Palatino Linotype" w:eastAsia="Palatino Linotype" w:hAnsi="Palatino Linotype" w:cs="Palatino Linotype"/>
        </w:rPr>
        <w:t>De manera preliminar en el caso concreto conviene analizar si se actualiza alguna de las causales de sobreseimiento del recurso de revisión.</w:t>
      </w:r>
    </w:p>
    <w:p w14:paraId="2D98E40E" w14:textId="77777777" w:rsidR="00BD1720" w:rsidRPr="00D65F60" w:rsidRDefault="00D749C0">
      <w:pPr>
        <w:spacing w:before="240" w:after="240" w:line="360" w:lineRule="auto"/>
        <w:ind w:right="51"/>
        <w:jc w:val="both"/>
        <w:rPr>
          <w:rFonts w:ascii="Palatino Linotype" w:eastAsia="Palatino Linotype" w:hAnsi="Palatino Linotype" w:cs="Palatino Linotype"/>
        </w:rPr>
      </w:pPr>
      <w:r w:rsidRPr="00D65F60">
        <w:rPr>
          <w:rFonts w:ascii="Palatino Linotype" w:eastAsia="Palatino Linotype" w:hAnsi="Palatino Linotype" w:cs="Palatino Linotype"/>
        </w:rPr>
        <w:lastRenderedPageBreak/>
        <w:t xml:space="preserve">En tal contexto, del análisis de la solicitud de información motivo del recurso de revisión que ahora se resuelve, se advierte que la parte </w:t>
      </w:r>
      <w:r w:rsidRPr="00D65F60">
        <w:rPr>
          <w:rFonts w:ascii="Palatino Linotype" w:eastAsia="Palatino Linotype" w:hAnsi="Palatino Linotype" w:cs="Palatino Linotype"/>
          <w:b/>
        </w:rPr>
        <w:t>Recurrente</w:t>
      </w:r>
      <w:r w:rsidRPr="00D65F60">
        <w:rPr>
          <w:rFonts w:ascii="Palatino Linotype" w:eastAsia="Palatino Linotype" w:hAnsi="Palatino Linotype" w:cs="Palatino Linotype"/>
        </w:rPr>
        <w:t xml:space="preserve"> requirió al </w:t>
      </w:r>
      <w:r w:rsidRPr="00D65F60">
        <w:rPr>
          <w:rFonts w:ascii="Palatino Linotype" w:eastAsia="Palatino Linotype" w:hAnsi="Palatino Linotype" w:cs="Palatino Linotype"/>
          <w:b/>
        </w:rPr>
        <w:t>Sujeto Obligado</w:t>
      </w:r>
      <w:r w:rsidRPr="00D65F60">
        <w:rPr>
          <w:rFonts w:ascii="Palatino Linotype" w:eastAsia="Palatino Linotype" w:hAnsi="Palatino Linotype" w:cs="Palatino Linotype"/>
        </w:rPr>
        <w:t xml:space="preserve"> le proporcione información que consiste en lo siguiente:</w:t>
      </w:r>
    </w:p>
    <w:p w14:paraId="5D71C9FF" w14:textId="77777777" w:rsidR="00BD1720" w:rsidRPr="00D65F60" w:rsidRDefault="00D749C0">
      <w:pPr>
        <w:numPr>
          <w:ilvl w:val="0"/>
          <w:numId w:val="1"/>
        </w:numPr>
        <w:pBdr>
          <w:top w:val="nil"/>
          <w:left w:val="nil"/>
          <w:bottom w:val="nil"/>
          <w:right w:val="nil"/>
          <w:between w:val="nil"/>
        </w:pBdr>
        <w:spacing w:before="280" w:line="360" w:lineRule="auto"/>
        <w:ind w:left="284" w:firstLine="0"/>
        <w:jc w:val="both"/>
        <w:rPr>
          <w:rFonts w:ascii="Palatino Linotype" w:eastAsia="Palatino Linotype" w:hAnsi="Palatino Linotype" w:cs="Palatino Linotype"/>
        </w:rPr>
      </w:pPr>
      <w:r w:rsidRPr="00D65F60">
        <w:rPr>
          <w:rFonts w:ascii="Palatino Linotype" w:eastAsia="Palatino Linotype" w:hAnsi="Palatino Linotype" w:cs="Palatino Linotype"/>
        </w:rPr>
        <w:t>Listado de Directores y Coordinadores obligados a certificarse en alguna norma de competencia laboral.</w:t>
      </w:r>
    </w:p>
    <w:p w14:paraId="715F1E77" w14:textId="77777777" w:rsidR="00BD1720" w:rsidRPr="00D65F60" w:rsidRDefault="00D749C0">
      <w:pPr>
        <w:numPr>
          <w:ilvl w:val="0"/>
          <w:numId w:val="1"/>
        </w:numPr>
        <w:pBdr>
          <w:top w:val="nil"/>
          <w:left w:val="nil"/>
          <w:bottom w:val="nil"/>
          <w:right w:val="nil"/>
          <w:between w:val="nil"/>
        </w:pBdr>
        <w:spacing w:after="280" w:line="360" w:lineRule="auto"/>
        <w:ind w:left="284" w:firstLine="0"/>
        <w:jc w:val="both"/>
        <w:rPr>
          <w:rFonts w:ascii="Palatino Linotype" w:eastAsia="Palatino Linotype" w:hAnsi="Palatino Linotype" w:cs="Palatino Linotype"/>
        </w:rPr>
      </w:pPr>
      <w:r w:rsidRPr="00D65F60">
        <w:rPr>
          <w:rFonts w:ascii="Palatino Linotype" w:eastAsia="Palatino Linotype" w:hAnsi="Palatino Linotype" w:cs="Palatino Linotype"/>
        </w:rPr>
        <w:t>Estatus que guarda dicha certificación respecto de cada uno de los servidores públicos nombrados.</w:t>
      </w:r>
    </w:p>
    <w:p w14:paraId="6920AB79" w14:textId="77777777" w:rsidR="00BD1720" w:rsidRPr="00D65F60" w:rsidRDefault="00D749C0">
      <w:pPr>
        <w:spacing w:before="280" w:after="280" w:line="360" w:lineRule="auto"/>
        <w:jc w:val="both"/>
        <w:rPr>
          <w:rFonts w:ascii="Palatino Linotype" w:eastAsia="Palatino Linotype" w:hAnsi="Palatino Linotype" w:cs="Palatino Linotype"/>
          <w:b/>
          <w:u w:val="single"/>
        </w:rPr>
      </w:pPr>
      <w:r w:rsidRPr="00D65F60">
        <w:rPr>
          <w:rFonts w:ascii="Palatino Linotype" w:eastAsia="Palatino Linotype" w:hAnsi="Palatino Linotype" w:cs="Palatino Linotype"/>
        </w:rPr>
        <w:t xml:space="preserve">Como se mencionó en los antecedentes de la presente resolución, el </w:t>
      </w:r>
      <w:r w:rsidRPr="00D65F60">
        <w:rPr>
          <w:rFonts w:ascii="Palatino Linotype" w:eastAsia="Palatino Linotype" w:hAnsi="Palatino Linotype" w:cs="Palatino Linotype"/>
          <w:b/>
        </w:rPr>
        <w:t xml:space="preserve">Sujeto Obligado </w:t>
      </w:r>
      <w:r w:rsidRPr="00D65F60">
        <w:rPr>
          <w:rFonts w:ascii="Palatino Linotype" w:eastAsia="Palatino Linotype" w:hAnsi="Palatino Linotype" w:cs="Palatino Linotype"/>
        </w:rPr>
        <w:t>no emitió respuesta a la solicitud, situación que motivó la interposición del recurso de revisión que nos ocupa, donde la persona solicitante alegó que no se entregó la información.</w:t>
      </w:r>
    </w:p>
    <w:p w14:paraId="255F1EB2"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 xml:space="preserve">Ahora bien, con la finalidad de subsanar la omisión en que incurriera, en la etapa de manifestaciones, el </w:t>
      </w:r>
      <w:r w:rsidRPr="00D65F60">
        <w:rPr>
          <w:rFonts w:ascii="Palatino Linotype" w:eastAsia="Palatino Linotype" w:hAnsi="Palatino Linotype" w:cs="Palatino Linotype"/>
          <w:b/>
        </w:rPr>
        <w:t xml:space="preserve">Sujeto Obligado </w:t>
      </w:r>
      <w:r w:rsidRPr="00D65F60">
        <w:rPr>
          <w:rFonts w:ascii="Palatino Linotype" w:eastAsia="Palatino Linotype" w:hAnsi="Palatino Linotype" w:cs="Palatino Linotype"/>
        </w:rPr>
        <w:t>por conducto del Titular del Órgano Interno de Control remitió la lista de los coordinadores y directores obligados a certificarse y el estatus que guarda dicha certificación, como se ilustra a continuación para mejor referencia:</w:t>
      </w:r>
    </w:p>
    <w:p w14:paraId="4D294F0E" w14:textId="77777777" w:rsidR="00BD1720" w:rsidRPr="00D65F60" w:rsidRDefault="00D749C0">
      <w:pPr>
        <w:spacing w:before="240" w:after="240" w:line="360" w:lineRule="auto"/>
        <w:jc w:val="center"/>
        <w:rPr>
          <w:rFonts w:ascii="Palatino Linotype" w:eastAsia="Palatino Linotype" w:hAnsi="Palatino Linotype" w:cs="Palatino Linotype"/>
        </w:rPr>
      </w:pPr>
      <w:r w:rsidRPr="00D65F60">
        <w:rPr>
          <w:noProof/>
        </w:rPr>
        <w:drawing>
          <wp:inline distT="0" distB="0" distL="0" distR="0" wp14:anchorId="7593B3C1" wp14:editId="3E63F99C">
            <wp:extent cx="4788000" cy="1776340"/>
            <wp:effectExtent l="0" t="0" r="0" b="0"/>
            <wp:docPr id="19136843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1" b="38612"/>
                    <a:stretch>
                      <a:fillRect/>
                    </a:stretch>
                  </pic:blipFill>
                  <pic:spPr>
                    <a:xfrm>
                      <a:off x="0" y="0"/>
                      <a:ext cx="4788000" cy="1776340"/>
                    </a:xfrm>
                    <a:prstGeom prst="rect">
                      <a:avLst/>
                    </a:prstGeom>
                    <a:ln/>
                  </pic:spPr>
                </pic:pic>
              </a:graphicData>
            </a:graphic>
          </wp:inline>
        </w:drawing>
      </w:r>
    </w:p>
    <w:p w14:paraId="44CAB55C" w14:textId="77777777" w:rsidR="00BD1720" w:rsidRPr="00D65F60" w:rsidRDefault="00D749C0">
      <w:pPr>
        <w:spacing w:before="240" w:after="240" w:line="360" w:lineRule="auto"/>
        <w:jc w:val="center"/>
        <w:rPr>
          <w:rFonts w:ascii="Palatino Linotype" w:eastAsia="Palatino Linotype" w:hAnsi="Palatino Linotype" w:cs="Palatino Linotype"/>
        </w:rPr>
      </w:pPr>
      <w:r w:rsidRPr="00D65F60">
        <w:rPr>
          <w:noProof/>
        </w:rPr>
        <w:lastRenderedPageBreak/>
        <w:drawing>
          <wp:inline distT="0" distB="0" distL="0" distR="0" wp14:anchorId="1C6BB150" wp14:editId="6A7E0328">
            <wp:extent cx="4788000" cy="1084671"/>
            <wp:effectExtent l="0" t="0" r="0" b="0"/>
            <wp:docPr id="19136843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60303" b="2210"/>
                    <a:stretch>
                      <a:fillRect/>
                    </a:stretch>
                  </pic:blipFill>
                  <pic:spPr>
                    <a:xfrm>
                      <a:off x="0" y="0"/>
                      <a:ext cx="4788000" cy="1084671"/>
                    </a:xfrm>
                    <a:prstGeom prst="rect">
                      <a:avLst/>
                    </a:prstGeom>
                    <a:ln/>
                  </pic:spPr>
                </pic:pic>
              </a:graphicData>
            </a:graphic>
          </wp:inline>
        </w:drawing>
      </w:r>
    </w:p>
    <w:p w14:paraId="2F9C6C21" w14:textId="77777777" w:rsidR="00BD1720" w:rsidRPr="00D65F60" w:rsidRDefault="00D749C0">
      <w:pPr>
        <w:widowControl w:val="0"/>
        <w:spacing w:before="240" w:after="240" w:line="360" w:lineRule="auto"/>
        <w:ind w:right="49"/>
        <w:jc w:val="both"/>
        <w:rPr>
          <w:rFonts w:ascii="Palatino Linotype" w:eastAsia="Palatino Linotype" w:hAnsi="Palatino Linotype" w:cs="Palatino Linotype"/>
        </w:rPr>
      </w:pPr>
      <w:r w:rsidRPr="00D65F60">
        <w:rPr>
          <w:rFonts w:ascii="Palatino Linotype" w:eastAsia="Palatino Linotype" w:hAnsi="Palatino Linotype" w:cs="Palatino Linotype"/>
        </w:rPr>
        <w:t xml:space="preserve">Como se señaló en los antecedentes de la presente resolución, la información referida se hizo del conocimiento de la parte </w:t>
      </w:r>
      <w:r w:rsidRPr="00D65F60">
        <w:rPr>
          <w:rFonts w:ascii="Palatino Linotype" w:eastAsia="Palatino Linotype" w:hAnsi="Palatino Linotype" w:cs="Palatino Linotype"/>
          <w:b/>
        </w:rPr>
        <w:t xml:space="preserve">Recurrente, </w:t>
      </w:r>
      <w:r w:rsidRPr="00D65F60">
        <w:rPr>
          <w:rFonts w:ascii="Palatino Linotype" w:eastAsia="Palatino Linotype" w:hAnsi="Palatino Linotype" w:cs="Palatino Linotype"/>
        </w:rPr>
        <w:t>sin embargo, esta fue omisa en manifestar lo que a su derecho estimara conveniente, por lo que se tiene por precluido su derecho para tal efecto y se procede a emitir la resolución que conforme a derecho corresponda.</w:t>
      </w:r>
    </w:p>
    <w:p w14:paraId="1EED026F" w14:textId="77777777" w:rsidR="00BD1720" w:rsidRPr="00D65F60" w:rsidRDefault="00D749C0">
      <w:pPr>
        <w:spacing w:before="280" w:after="28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Una vez establecidas las posturas de las partes,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05832B01"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14156E34" w14:textId="77777777" w:rsidR="00BD1720" w:rsidRPr="00D65F60" w:rsidRDefault="00D749C0">
      <w:pPr>
        <w:spacing w:before="240" w:after="240" w:line="360" w:lineRule="auto"/>
        <w:ind w:right="51"/>
        <w:jc w:val="both"/>
        <w:rPr>
          <w:rFonts w:ascii="Palatino Linotype" w:eastAsia="Palatino Linotype" w:hAnsi="Palatino Linotype" w:cs="Palatino Linotype"/>
        </w:rPr>
      </w:pPr>
      <w:r w:rsidRPr="00D65F60">
        <w:rPr>
          <w:rFonts w:ascii="Palatino Linotype" w:eastAsia="Palatino Linotype" w:hAnsi="Palatino Linotype" w:cs="Palatino Linotype"/>
        </w:rPr>
        <w:lastRenderedPageBreak/>
        <w:t>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Transparencia y Acceso a la Información Pública del Estado de México y Municipios.</w:t>
      </w:r>
    </w:p>
    <w:p w14:paraId="15317425"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25416C36" w14:textId="77777777" w:rsidR="00BD1720" w:rsidRPr="00D65F60" w:rsidRDefault="00D749C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 xml:space="preserve">En esta línea de pensamiento, derivado del análisis de las constancias que obran en el expediente electrónico en el que se actúa, se advirtió que la Unidad de </w:t>
      </w:r>
      <w:r w:rsidRPr="00D65F60">
        <w:rPr>
          <w:rFonts w:ascii="Palatino Linotype" w:eastAsia="Palatino Linotype" w:hAnsi="Palatino Linotype" w:cs="Palatino Linotype"/>
        </w:rPr>
        <w:lastRenderedPageBreak/>
        <w:t xml:space="preserve">Transparencia del </w:t>
      </w:r>
      <w:r w:rsidRPr="00D65F60">
        <w:rPr>
          <w:rFonts w:ascii="Palatino Linotype" w:eastAsia="Palatino Linotype" w:hAnsi="Palatino Linotype" w:cs="Palatino Linotype"/>
          <w:b/>
        </w:rPr>
        <w:t>Sujeto Obligado</w:t>
      </w:r>
      <w:r w:rsidRPr="00D65F60">
        <w:rPr>
          <w:rFonts w:ascii="Palatino Linotype" w:eastAsia="Palatino Linotype" w:hAnsi="Palatino Linotype" w:cs="Palatino Linotype"/>
        </w:rPr>
        <w:t>, turnó la solicitud al Órgano Interno de Control, el cual, de conformidad con el artículo 110 de la Ley Orgánica Municipal del Estado de México y Municipios, es el órgano interno de control encargado de promover, evaluar y fortalecer el buen funcionamiento del control interno, competente para aplicar las leyes en materia de responsabilidades de los servidores públicos, asimismo, se le confieren entre otras atribuciones las siguientes en términos del artículo 112 del referido ordenamiento legal:</w:t>
      </w:r>
    </w:p>
    <w:p w14:paraId="59E11301" w14:textId="77777777" w:rsidR="00BD1720" w:rsidRPr="00D65F60" w:rsidRDefault="00D749C0">
      <w:pPr>
        <w:pBdr>
          <w:top w:val="nil"/>
          <w:left w:val="nil"/>
          <w:bottom w:val="nil"/>
          <w:right w:val="nil"/>
          <w:between w:val="nil"/>
        </w:pBdr>
        <w:spacing w:before="240" w:after="240" w:line="276" w:lineRule="auto"/>
        <w:ind w:left="284"/>
        <w:jc w:val="both"/>
        <w:rPr>
          <w:rFonts w:ascii="Palatino Linotype" w:eastAsia="Palatino Linotype" w:hAnsi="Palatino Linotype" w:cs="Palatino Linotype"/>
        </w:rPr>
      </w:pPr>
      <w:r w:rsidRPr="00D65F60">
        <w:rPr>
          <w:rFonts w:ascii="Palatino Linotype" w:eastAsia="Palatino Linotype" w:hAnsi="Palatino Linotype" w:cs="Palatino Linotype"/>
        </w:rPr>
        <w:t>- Planear, programar, organizar y coordinar el sistema de control y evaluación municipal;</w:t>
      </w:r>
    </w:p>
    <w:p w14:paraId="2AA300D4" w14:textId="77777777" w:rsidR="00BD1720" w:rsidRPr="00D65F60" w:rsidRDefault="00D749C0">
      <w:pPr>
        <w:pBdr>
          <w:top w:val="nil"/>
          <w:left w:val="nil"/>
          <w:bottom w:val="nil"/>
          <w:right w:val="nil"/>
          <w:between w:val="nil"/>
        </w:pBdr>
        <w:spacing w:before="240" w:after="240" w:line="276" w:lineRule="auto"/>
        <w:ind w:left="284"/>
        <w:jc w:val="both"/>
        <w:rPr>
          <w:rFonts w:ascii="Palatino Linotype" w:eastAsia="Palatino Linotype" w:hAnsi="Palatino Linotype" w:cs="Palatino Linotype"/>
        </w:rPr>
      </w:pPr>
      <w:r w:rsidRPr="00D65F60">
        <w:rPr>
          <w:rFonts w:ascii="Palatino Linotype" w:eastAsia="Palatino Linotype" w:hAnsi="Palatino Linotype" w:cs="Palatino Linotype"/>
        </w:rPr>
        <w:t>- Aplicar las normas y criterios en materia de control y evaluación;</w:t>
      </w:r>
    </w:p>
    <w:p w14:paraId="4A639B55" w14:textId="77777777" w:rsidR="00BD1720" w:rsidRPr="00D65F60" w:rsidRDefault="00D749C0">
      <w:pPr>
        <w:pBdr>
          <w:top w:val="nil"/>
          <w:left w:val="nil"/>
          <w:bottom w:val="nil"/>
          <w:right w:val="nil"/>
          <w:between w:val="nil"/>
        </w:pBdr>
        <w:spacing w:before="240" w:after="240" w:line="276" w:lineRule="auto"/>
        <w:ind w:left="284"/>
        <w:jc w:val="both"/>
        <w:rPr>
          <w:rFonts w:ascii="Palatino Linotype" w:eastAsia="Palatino Linotype" w:hAnsi="Palatino Linotype" w:cs="Palatino Linotype"/>
        </w:rPr>
      </w:pPr>
      <w:r w:rsidRPr="00D65F60">
        <w:rPr>
          <w:rFonts w:ascii="Palatino Linotype" w:eastAsia="Palatino Linotype" w:hAnsi="Palatino Linotype" w:cs="Palatino Linotype"/>
        </w:rPr>
        <w:t>- Establecer las bases generales para la realización de auditorías e inspecciones;</w:t>
      </w:r>
    </w:p>
    <w:p w14:paraId="6A4AEF4E" w14:textId="77777777" w:rsidR="00BD1720" w:rsidRPr="00D65F60" w:rsidRDefault="00D749C0">
      <w:pPr>
        <w:pBdr>
          <w:top w:val="nil"/>
          <w:left w:val="nil"/>
          <w:bottom w:val="nil"/>
          <w:right w:val="nil"/>
          <w:between w:val="nil"/>
        </w:pBdr>
        <w:spacing w:before="240" w:after="240" w:line="276" w:lineRule="auto"/>
        <w:ind w:left="284"/>
        <w:jc w:val="both"/>
        <w:rPr>
          <w:rFonts w:ascii="Palatino Linotype" w:eastAsia="Palatino Linotype" w:hAnsi="Palatino Linotype" w:cs="Palatino Linotype"/>
        </w:rPr>
      </w:pPr>
      <w:r w:rsidRPr="00D65F60">
        <w:rPr>
          <w:rFonts w:ascii="Palatino Linotype" w:eastAsia="Palatino Linotype" w:hAnsi="Palatino Linotype" w:cs="Palatino Linotype"/>
        </w:rPr>
        <w:t>- Establecer y operar un sistema de atención de quejas, denuncias y sugerencias;</w:t>
      </w:r>
    </w:p>
    <w:p w14:paraId="57CB84F6" w14:textId="77777777" w:rsidR="00BD1720" w:rsidRPr="00D65F60" w:rsidRDefault="00D749C0">
      <w:pPr>
        <w:pBdr>
          <w:top w:val="nil"/>
          <w:left w:val="nil"/>
          <w:bottom w:val="nil"/>
          <w:right w:val="nil"/>
          <w:between w:val="nil"/>
        </w:pBdr>
        <w:spacing w:before="240" w:after="240" w:line="276" w:lineRule="auto"/>
        <w:ind w:left="284"/>
        <w:jc w:val="both"/>
        <w:rPr>
          <w:rFonts w:ascii="Palatino Linotype" w:eastAsia="Palatino Linotype" w:hAnsi="Palatino Linotype" w:cs="Palatino Linotype"/>
        </w:rPr>
      </w:pPr>
      <w:r w:rsidRPr="00D65F60">
        <w:rPr>
          <w:rFonts w:ascii="Palatino Linotype" w:eastAsia="Palatino Linotype" w:hAnsi="Palatino Linotype" w:cs="Palatino Linotype"/>
        </w:rPr>
        <w:t>- Realizar auditorías y evaluaciones e informar del resultado de las mismas al ayuntamiento;</w:t>
      </w:r>
    </w:p>
    <w:p w14:paraId="35B8B459" w14:textId="77777777" w:rsidR="00BD1720" w:rsidRPr="00D65F60" w:rsidRDefault="00D749C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De lo anterior se desprende que el Órgano Interno de Control, en el ejercicio de sus funciones de control y evaluación municipal, está facultado para conocer de la información que es del interés de la persona solicitante, toda vez que cuenta con la obligación de verificar el cumplimiento de los requisitos que la normativa impone a los servidores públicos para desempeñar determinado cargo, como lo es la certificación de competencia laboral.</w:t>
      </w:r>
    </w:p>
    <w:p w14:paraId="09EB9227" w14:textId="77777777" w:rsidR="00BD1720" w:rsidRPr="00D65F60" w:rsidRDefault="00D749C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 xml:space="preserve">Como sustento a lo anterior, es oportuno traer a colación los Lineamientos para la integración, presentación y envío de los Informes Trimestrales Municipales, </w:t>
      </w:r>
      <w:r w:rsidRPr="00D65F60">
        <w:rPr>
          <w:rFonts w:ascii="Palatino Linotype" w:eastAsia="Palatino Linotype" w:hAnsi="Palatino Linotype" w:cs="Palatino Linotype"/>
        </w:rPr>
        <w:lastRenderedPageBreak/>
        <w:t>emitidos por el Órgano Superior de Fiscalización del Estado de México, en cumplimiento a lo dispuesto en los artículos 8, fracción XI de la Ley de Fiscalización Superior del Estado de México, y 7, fracción III del Reglamento Interior del Órgano Superior de Fiscalización del Estado de México, del tenor literal siguiente:</w:t>
      </w:r>
    </w:p>
    <w:p w14:paraId="2D529126" w14:textId="77777777" w:rsidR="00BD1720" w:rsidRPr="00D65F60" w:rsidRDefault="00D749C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D65F60">
        <w:rPr>
          <w:rFonts w:ascii="Palatino Linotype" w:eastAsia="Palatino Linotype" w:hAnsi="Palatino Linotype" w:cs="Palatino Linotype"/>
          <w:i/>
          <w:sz w:val="22"/>
          <w:szCs w:val="22"/>
        </w:rPr>
        <w:t>“</w:t>
      </w:r>
      <w:r w:rsidRPr="00D65F60">
        <w:rPr>
          <w:rFonts w:ascii="Palatino Linotype" w:eastAsia="Palatino Linotype" w:hAnsi="Palatino Linotype" w:cs="Palatino Linotype"/>
          <w:b/>
          <w:i/>
          <w:sz w:val="22"/>
          <w:szCs w:val="22"/>
        </w:rPr>
        <w:t>Artículo 8.-</w:t>
      </w:r>
      <w:r w:rsidRPr="00D65F60">
        <w:rPr>
          <w:rFonts w:ascii="Palatino Linotype" w:eastAsia="Palatino Linotype" w:hAnsi="Palatino Linotype" w:cs="Palatino Linotype"/>
          <w:i/>
          <w:sz w:val="22"/>
          <w:szCs w:val="22"/>
        </w:rPr>
        <w:t xml:space="preserve"> El Órgano Superior tendrá las siguientes atribuciones:</w:t>
      </w:r>
    </w:p>
    <w:p w14:paraId="5397345F" w14:textId="77777777" w:rsidR="00BD1720" w:rsidRPr="00D65F60" w:rsidRDefault="00D749C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D65F60">
        <w:rPr>
          <w:rFonts w:ascii="Palatino Linotype" w:eastAsia="Palatino Linotype" w:hAnsi="Palatino Linotype" w:cs="Palatino Linotype"/>
          <w:i/>
          <w:sz w:val="22"/>
          <w:szCs w:val="22"/>
        </w:rPr>
        <w:t>...</w:t>
      </w:r>
    </w:p>
    <w:p w14:paraId="6AC10AFC" w14:textId="77777777" w:rsidR="00BD1720" w:rsidRPr="00D65F60" w:rsidRDefault="00D749C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D65F60">
        <w:rPr>
          <w:rFonts w:ascii="Palatino Linotype" w:eastAsia="Palatino Linotype" w:hAnsi="Palatino Linotype" w:cs="Palatino Linotype"/>
          <w:b/>
          <w:i/>
          <w:sz w:val="22"/>
          <w:szCs w:val="22"/>
        </w:rPr>
        <w:t>XI</w:t>
      </w:r>
      <w:r w:rsidRPr="00D65F60">
        <w:rPr>
          <w:rFonts w:ascii="Palatino Linotype" w:eastAsia="Palatino Linotype" w:hAnsi="Palatino Linotype" w:cs="Palatino Linotype"/>
          <w:i/>
          <w:sz w:val="22"/>
          <w:szCs w:val="22"/>
        </w:rPr>
        <w:t xml:space="preserve">. </w:t>
      </w:r>
      <w:r w:rsidRPr="00D65F60">
        <w:rPr>
          <w:rFonts w:ascii="Palatino Linotype" w:eastAsia="Palatino Linotype" w:hAnsi="Palatino Linotype" w:cs="Palatino Linotype"/>
          <w:b/>
          <w:i/>
          <w:sz w:val="22"/>
          <w:szCs w:val="22"/>
        </w:rPr>
        <w:t>Establecer los lineamientos, criterios, procedimientos, métodos y sistemas,</w:t>
      </w:r>
      <w:r w:rsidRPr="00D65F60">
        <w:rPr>
          <w:rFonts w:ascii="Palatino Linotype" w:eastAsia="Palatino Linotype" w:hAnsi="Palatino Linotype" w:cs="Palatino Linotype"/>
          <w:i/>
          <w:sz w:val="22"/>
          <w:szCs w:val="22"/>
        </w:rPr>
        <w:t xml:space="preserve"> así como todas aquellas disposiciones de carácter general </w:t>
      </w:r>
      <w:r w:rsidRPr="00D65F60">
        <w:rPr>
          <w:rFonts w:ascii="Palatino Linotype" w:eastAsia="Palatino Linotype" w:hAnsi="Palatino Linotype" w:cs="Palatino Linotype"/>
          <w:b/>
          <w:i/>
          <w:sz w:val="22"/>
          <w:szCs w:val="22"/>
          <w:u w:val="single"/>
        </w:rPr>
        <w:t xml:space="preserve">para las acciones de control y evaluación, </w:t>
      </w:r>
      <w:r w:rsidRPr="00D65F60">
        <w:rPr>
          <w:rFonts w:ascii="Palatino Linotype" w:eastAsia="Palatino Linotype" w:hAnsi="Palatino Linotype" w:cs="Palatino Linotype"/>
          <w:i/>
          <w:sz w:val="22"/>
          <w:szCs w:val="22"/>
        </w:rPr>
        <w:t>necesarios para la fiscalización de las cuentas públicas y los informes trimestrales;</w:t>
      </w:r>
    </w:p>
    <w:p w14:paraId="0ACF43A9" w14:textId="77777777" w:rsidR="00BD1720" w:rsidRPr="00D65F60" w:rsidRDefault="00D749C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D65F60">
        <w:rPr>
          <w:rFonts w:ascii="Palatino Linotype" w:eastAsia="Palatino Linotype" w:hAnsi="Palatino Linotype" w:cs="Palatino Linotype"/>
          <w:i/>
          <w:sz w:val="22"/>
          <w:szCs w:val="22"/>
        </w:rPr>
        <w:t>“</w:t>
      </w:r>
      <w:r w:rsidRPr="00D65F60">
        <w:rPr>
          <w:rFonts w:ascii="Palatino Linotype" w:eastAsia="Palatino Linotype" w:hAnsi="Palatino Linotype" w:cs="Palatino Linotype"/>
          <w:b/>
          <w:i/>
          <w:sz w:val="22"/>
          <w:szCs w:val="22"/>
        </w:rPr>
        <w:t>Artículo 7</w:t>
      </w:r>
      <w:r w:rsidRPr="00D65F60">
        <w:rPr>
          <w:rFonts w:ascii="Palatino Linotype" w:eastAsia="Palatino Linotype" w:hAnsi="Palatino Linotype" w:cs="Palatino Linotype"/>
          <w:i/>
          <w:sz w:val="22"/>
          <w:szCs w:val="22"/>
        </w:rPr>
        <w:t>. El Auditor Superior tendrá, además de las señaladas por el artículo 13 de la Ley de Fiscalización, las atribuciones siguientes:</w:t>
      </w:r>
    </w:p>
    <w:p w14:paraId="4C636344" w14:textId="77777777" w:rsidR="00BD1720" w:rsidRPr="00D65F60" w:rsidRDefault="00D749C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D65F60">
        <w:rPr>
          <w:rFonts w:ascii="Palatino Linotype" w:eastAsia="Palatino Linotype" w:hAnsi="Palatino Linotype" w:cs="Palatino Linotype"/>
          <w:i/>
          <w:sz w:val="22"/>
          <w:szCs w:val="22"/>
        </w:rPr>
        <w:t>...</w:t>
      </w:r>
    </w:p>
    <w:p w14:paraId="1BE3FC60" w14:textId="77777777" w:rsidR="00BD1720" w:rsidRPr="00D65F60" w:rsidRDefault="00D749C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D65F60">
        <w:rPr>
          <w:rFonts w:ascii="Palatino Linotype" w:eastAsia="Palatino Linotype" w:hAnsi="Palatino Linotype" w:cs="Palatino Linotype"/>
          <w:b/>
          <w:i/>
          <w:sz w:val="22"/>
          <w:szCs w:val="22"/>
        </w:rPr>
        <w:t>III.</w:t>
      </w:r>
      <w:r w:rsidRPr="00D65F60">
        <w:rPr>
          <w:rFonts w:ascii="Palatino Linotype" w:eastAsia="Palatino Linotype" w:hAnsi="Palatino Linotype" w:cs="Palatino Linotype"/>
          <w:i/>
          <w:sz w:val="22"/>
          <w:szCs w:val="22"/>
        </w:rPr>
        <w:t xml:space="preserve"> </w:t>
      </w:r>
      <w:r w:rsidRPr="00D65F60">
        <w:rPr>
          <w:rFonts w:ascii="Palatino Linotype" w:eastAsia="Palatino Linotype" w:hAnsi="Palatino Linotype" w:cs="Palatino Linotype"/>
          <w:b/>
          <w:i/>
          <w:sz w:val="22"/>
          <w:szCs w:val="22"/>
        </w:rPr>
        <w:t>Autorizar los lineamientos técnicos y criterios para los actos de fiscalización y su seguimiento, procedimientos, investigaciones, encuestas, métodos, sistemas</w:t>
      </w:r>
      <w:r w:rsidRPr="00D65F60">
        <w:rPr>
          <w:rFonts w:ascii="Palatino Linotype" w:eastAsia="Palatino Linotype" w:hAnsi="Palatino Linotype" w:cs="Palatino Linotype"/>
          <w:i/>
          <w:sz w:val="22"/>
          <w:szCs w:val="22"/>
        </w:rPr>
        <w:t xml:space="preserve"> y todas aquellas disposiciones de carácter general </w:t>
      </w:r>
      <w:r w:rsidRPr="00D65F60">
        <w:rPr>
          <w:rFonts w:ascii="Palatino Linotype" w:eastAsia="Palatino Linotype" w:hAnsi="Palatino Linotype" w:cs="Palatino Linotype"/>
          <w:b/>
          <w:i/>
          <w:sz w:val="22"/>
          <w:szCs w:val="22"/>
          <w:u w:val="single"/>
        </w:rPr>
        <w:t>para la acción de control y evaluación</w:t>
      </w:r>
      <w:r w:rsidRPr="00D65F60">
        <w:rPr>
          <w:rFonts w:ascii="Palatino Linotype" w:eastAsia="Palatino Linotype" w:hAnsi="Palatino Linotype" w:cs="Palatino Linotype"/>
          <w:i/>
          <w:sz w:val="22"/>
          <w:szCs w:val="22"/>
        </w:rPr>
        <w:t xml:space="preserve"> necesarios para la fiscalización superior;”</w:t>
      </w:r>
    </w:p>
    <w:p w14:paraId="1455AC18" w14:textId="77777777" w:rsidR="00BD1720" w:rsidRPr="00D65F60" w:rsidRDefault="00D749C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En este tenor, los Lineamientos para la integración, presentación y envío de los Informes Trimestrales Municipales establecen que las entidades fiscalizables municipales deben presentar como parte de sus obligaciones fiscales, el reporte de la Certificación de Competencia Laboral de los Servidores Públicos, información que está contemplada en el Módulo 4 Información Administrativa, submódulo Nómina,  como se ilustra a continuación para mejor referencia:</w:t>
      </w:r>
    </w:p>
    <w:p w14:paraId="35B7D78E" w14:textId="77777777" w:rsidR="00BD1720" w:rsidRPr="00D65F60" w:rsidRDefault="00D749C0">
      <w:pPr>
        <w:pBdr>
          <w:top w:val="nil"/>
          <w:left w:val="nil"/>
          <w:bottom w:val="nil"/>
          <w:right w:val="nil"/>
          <w:between w:val="nil"/>
        </w:pBdr>
        <w:spacing w:before="240" w:after="240" w:line="360" w:lineRule="auto"/>
        <w:jc w:val="center"/>
        <w:rPr>
          <w:rFonts w:ascii="Palatino Linotype" w:eastAsia="Palatino Linotype" w:hAnsi="Palatino Linotype" w:cs="Palatino Linotype"/>
        </w:rPr>
      </w:pPr>
      <w:r w:rsidRPr="00D65F60">
        <w:rPr>
          <w:rFonts w:ascii="Palatino Linotype" w:eastAsia="Palatino Linotype" w:hAnsi="Palatino Linotype" w:cs="Palatino Linotype"/>
          <w:noProof/>
        </w:rPr>
        <w:lastRenderedPageBreak/>
        <w:drawing>
          <wp:inline distT="0" distB="0" distL="0" distR="0" wp14:anchorId="7F4BFF1A" wp14:editId="21868607">
            <wp:extent cx="4860000" cy="3247699"/>
            <wp:effectExtent l="0" t="0" r="0" b="0"/>
            <wp:docPr id="19136843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860000" cy="3247699"/>
                    </a:xfrm>
                    <a:prstGeom prst="rect">
                      <a:avLst/>
                    </a:prstGeom>
                    <a:ln/>
                  </pic:spPr>
                </pic:pic>
              </a:graphicData>
            </a:graphic>
          </wp:inline>
        </w:drawing>
      </w:r>
      <w:r w:rsidRPr="00D65F60">
        <w:rPr>
          <w:noProof/>
        </w:rPr>
        <mc:AlternateContent>
          <mc:Choice Requires="wpg">
            <w:drawing>
              <wp:anchor distT="0" distB="0" distL="114300" distR="114300" simplePos="0" relativeHeight="251658240" behindDoc="0" locked="0" layoutInCell="1" hidden="0" allowOverlap="1" wp14:anchorId="40D07E81" wp14:editId="1991EB0A">
                <wp:simplePos x="0" y="0"/>
                <wp:positionH relativeFrom="column">
                  <wp:posOffset>1028700</wp:posOffset>
                </wp:positionH>
                <wp:positionV relativeFrom="paragraph">
                  <wp:posOffset>2755900</wp:posOffset>
                </wp:positionV>
                <wp:extent cx="4174236" cy="333756"/>
                <wp:effectExtent l="0" t="0" r="0" b="0"/>
                <wp:wrapNone/>
                <wp:docPr id="1913684351" name="Rectángulo 1913684351"/>
                <wp:cNvGraphicFramePr/>
                <a:graphic xmlns:a="http://schemas.openxmlformats.org/drawingml/2006/main">
                  <a:graphicData uri="http://schemas.microsoft.com/office/word/2010/wordprocessingShape">
                    <wps:wsp>
                      <wps:cNvSpPr/>
                      <wps:spPr>
                        <a:xfrm>
                          <a:off x="3316032" y="3670272"/>
                          <a:ext cx="4059936" cy="219456"/>
                        </a:xfrm>
                        <a:prstGeom prst="rect">
                          <a:avLst/>
                        </a:prstGeom>
                        <a:noFill/>
                        <a:ln w="38100" cap="flat" cmpd="sng">
                          <a:solidFill>
                            <a:srgbClr val="C00000"/>
                          </a:solidFill>
                          <a:prstDash val="solid"/>
                          <a:round/>
                          <a:headEnd type="none" w="sm" len="sm"/>
                          <a:tailEnd type="none" w="sm" len="sm"/>
                        </a:ln>
                      </wps:spPr>
                      <wps:txbx>
                        <w:txbxContent>
                          <w:p w14:paraId="2A81E4FA" w14:textId="77777777" w:rsidR="00BD1720" w:rsidRDefault="00BD1720">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1028700</wp:posOffset>
                </wp:positionH>
                <wp:positionV relativeFrom="paragraph">
                  <wp:posOffset>2755900</wp:posOffset>
                </wp:positionV>
                <wp:extent cx="4174236" cy="333756"/>
                <wp:effectExtent b="0" l="0" r="0" t="0"/>
                <wp:wrapNone/>
                <wp:docPr id="191368435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4174236" cy="333756"/>
                        </a:xfrm>
                        <a:prstGeom prst="rect"/>
                        <a:ln/>
                      </pic:spPr>
                    </pic:pic>
                  </a:graphicData>
                </a:graphic>
              </wp:anchor>
            </w:drawing>
          </mc:Fallback>
        </mc:AlternateContent>
      </w:r>
    </w:p>
    <w:p w14:paraId="68D53D52" w14:textId="77777777" w:rsidR="00BD1720" w:rsidRPr="00D65F60" w:rsidRDefault="00D749C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De conformidad con el instructivo del Módulo 4, el reporte de Certificación de Competencia Laboral de Servidores Públicos se presenta a través del siguiente formato:</w:t>
      </w:r>
    </w:p>
    <w:p w14:paraId="579E71B7" w14:textId="77777777" w:rsidR="00BD1720" w:rsidRPr="00D65F60" w:rsidRDefault="00D749C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noProof/>
        </w:rPr>
        <w:drawing>
          <wp:inline distT="0" distB="0" distL="0" distR="0" wp14:anchorId="0DF29FC0" wp14:editId="2FE7364F">
            <wp:extent cx="5612130" cy="2306471"/>
            <wp:effectExtent l="0" t="0" r="0" b="0"/>
            <wp:docPr id="19136843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b="51265"/>
                    <a:stretch>
                      <a:fillRect/>
                    </a:stretch>
                  </pic:blipFill>
                  <pic:spPr>
                    <a:xfrm>
                      <a:off x="0" y="0"/>
                      <a:ext cx="5612130" cy="2306471"/>
                    </a:xfrm>
                    <a:prstGeom prst="rect">
                      <a:avLst/>
                    </a:prstGeom>
                    <a:ln/>
                  </pic:spPr>
                </pic:pic>
              </a:graphicData>
            </a:graphic>
          </wp:inline>
        </w:drawing>
      </w:r>
    </w:p>
    <w:p w14:paraId="747D6E24" w14:textId="77777777" w:rsidR="00BD1720" w:rsidRPr="00D65F60" w:rsidRDefault="00D749C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noProof/>
        </w:rPr>
        <w:lastRenderedPageBreak/>
        <w:drawing>
          <wp:inline distT="0" distB="0" distL="0" distR="0" wp14:anchorId="541B38F5" wp14:editId="3364FB0D">
            <wp:extent cx="5612130" cy="2276058"/>
            <wp:effectExtent l="0" t="0" r="0" b="0"/>
            <wp:docPr id="19136843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l="10" t="49600" r="-9" b="2306"/>
                    <a:stretch>
                      <a:fillRect/>
                    </a:stretch>
                  </pic:blipFill>
                  <pic:spPr>
                    <a:xfrm>
                      <a:off x="0" y="0"/>
                      <a:ext cx="5612130" cy="2276058"/>
                    </a:xfrm>
                    <a:prstGeom prst="rect">
                      <a:avLst/>
                    </a:prstGeom>
                    <a:ln/>
                  </pic:spPr>
                </pic:pic>
              </a:graphicData>
            </a:graphic>
          </wp:inline>
        </w:drawing>
      </w:r>
      <w:r w:rsidRPr="00D65F60">
        <w:rPr>
          <w:noProof/>
        </w:rPr>
        <mc:AlternateContent>
          <mc:Choice Requires="wpg">
            <w:drawing>
              <wp:anchor distT="0" distB="0" distL="114300" distR="114300" simplePos="0" relativeHeight="251659264" behindDoc="0" locked="0" layoutInCell="1" hidden="0" allowOverlap="1" wp14:anchorId="43FFF8B7" wp14:editId="4DF559E6">
                <wp:simplePos x="0" y="0"/>
                <wp:positionH relativeFrom="column">
                  <wp:posOffset>3213100</wp:posOffset>
                </wp:positionH>
                <wp:positionV relativeFrom="paragraph">
                  <wp:posOffset>1689100</wp:posOffset>
                </wp:positionV>
                <wp:extent cx="1328624" cy="604419"/>
                <wp:effectExtent l="0" t="0" r="0" b="0"/>
                <wp:wrapNone/>
                <wp:docPr id="1913684350" name="Rectángulo 1913684350"/>
                <wp:cNvGraphicFramePr/>
                <a:graphic xmlns:a="http://schemas.openxmlformats.org/drawingml/2006/main">
                  <a:graphicData uri="http://schemas.microsoft.com/office/word/2010/wordprocessingShape">
                    <wps:wsp>
                      <wps:cNvSpPr/>
                      <wps:spPr>
                        <a:xfrm>
                          <a:off x="4700738" y="3496841"/>
                          <a:ext cx="1290524" cy="566319"/>
                        </a:xfrm>
                        <a:prstGeom prst="rect">
                          <a:avLst/>
                        </a:prstGeom>
                        <a:noFill/>
                        <a:ln w="38100" cap="flat" cmpd="sng">
                          <a:solidFill>
                            <a:srgbClr val="C00000"/>
                          </a:solidFill>
                          <a:prstDash val="solid"/>
                          <a:round/>
                          <a:headEnd type="none" w="sm" len="sm"/>
                          <a:tailEnd type="none" w="sm" len="sm"/>
                        </a:ln>
                      </wps:spPr>
                      <wps:txbx>
                        <w:txbxContent>
                          <w:p w14:paraId="52C5F9C9" w14:textId="77777777" w:rsidR="00BD1720" w:rsidRDefault="00BD1720">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3213100</wp:posOffset>
                </wp:positionH>
                <wp:positionV relativeFrom="paragraph">
                  <wp:posOffset>1689100</wp:posOffset>
                </wp:positionV>
                <wp:extent cx="1328624" cy="604419"/>
                <wp:effectExtent b="0" l="0" r="0" t="0"/>
                <wp:wrapNone/>
                <wp:docPr id="191368435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328624" cy="604419"/>
                        </a:xfrm>
                        <a:prstGeom prst="rect"/>
                        <a:ln/>
                      </pic:spPr>
                    </pic:pic>
                  </a:graphicData>
                </a:graphic>
              </wp:anchor>
            </w:drawing>
          </mc:Fallback>
        </mc:AlternateContent>
      </w:r>
    </w:p>
    <w:p w14:paraId="0AF7542A" w14:textId="77777777" w:rsidR="00BD1720" w:rsidRPr="00D65F60" w:rsidRDefault="00D749C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 xml:space="preserve">Como puede observarse, el formato de referencia </w:t>
      </w:r>
      <w:r w:rsidRPr="00D65F60">
        <w:rPr>
          <w:rFonts w:ascii="Palatino Linotype" w:eastAsia="Palatino Linotype" w:hAnsi="Palatino Linotype" w:cs="Palatino Linotype"/>
          <w:b/>
        </w:rPr>
        <w:t xml:space="preserve">debe ser firmado </w:t>
      </w:r>
      <w:r w:rsidRPr="00D65F60">
        <w:rPr>
          <w:rFonts w:ascii="Palatino Linotype" w:eastAsia="Palatino Linotype" w:hAnsi="Palatino Linotype" w:cs="Palatino Linotype"/>
        </w:rPr>
        <w:t xml:space="preserve">por el o la Presidente Municipal y </w:t>
      </w:r>
      <w:r w:rsidRPr="00D65F60">
        <w:rPr>
          <w:rFonts w:ascii="Palatino Linotype" w:eastAsia="Palatino Linotype" w:hAnsi="Palatino Linotype" w:cs="Palatino Linotype"/>
          <w:b/>
          <w:u w:val="single"/>
        </w:rPr>
        <w:t>por la persona Titular del Órgano Interno de Control</w:t>
      </w:r>
      <w:r w:rsidRPr="00D65F60">
        <w:rPr>
          <w:rFonts w:ascii="Palatino Linotype" w:eastAsia="Palatino Linotype" w:hAnsi="Palatino Linotype" w:cs="Palatino Linotype"/>
        </w:rPr>
        <w:t>, debe presentarse en formato PDF, además de anexar los certificados que avalen el contenido del formato, y para su llenado se deben considerar las siguientes especificaciones:</w:t>
      </w:r>
    </w:p>
    <w:p w14:paraId="4D64971D" w14:textId="77777777" w:rsidR="00BD1720" w:rsidRPr="00D65F60" w:rsidRDefault="00D749C0">
      <w:pPr>
        <w:pBdr>
          <w:top w:val="nil"/>
          <w:left w:val="nil"/>
          <w:bottom w:val="nil"/>
          <w:right w:val="nil"/>
          <w:between w:val="nil"/>
        </w:pBdr>
        <w:spacing w:before="240" w:after="240" w:line="360" w:lineRule="auto"/>
        <w:jc w:val="center"/>
        <w:rPr>
          <w:rFonts w:ascii="Palatino Linotype" w:eastAsia="Palatino Linotype" w:hAnsi="Palatino Linotype" w:cs="Palatino Linotype"/>
        </w:rPr>
      </w:pPr>
      <w:r w:rsidRPr="00D65F60">
        <w:rPr>
          <w:rFonts w:ascii="Palatino Linotype" w:eastAsia="Palatino Linotype" w:hAnsi="Palatino Linotype" w:cs="Palatino Linotype"/>
          <w:noProof/>
        </w:rPr>
        <w:drawing>
          <wp:inline distT="0" distB="0" distL="0" distR="0" wp14:anchorId="5886A917" wp14:editId="4111BDB5">
            <wp:extent cx="4860000" cy="1617251"/>
            <wp:effectExtent l="0" t="0" r="0" b="0"/>
            <wp:docPr id="191368436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860000" cy="1617251"/>
                    </a:xfrm>
                    <a:prstGeom prst="rect">
                      <a:avLst/>
                    </a:prstGeom>
                    <a:ln/>
                  </pic:spPr>
                </pic:pic>
              </a:graphicData>
            </a:graphic>
          </wp:inline>
        </w:drawing>
      </w:r>
      <w:r w:rsidRPr="00D65F60">
        <w:rPr>
          <w:rFonts w:ascii="Palatino Linotype" w:eastAsia="Palatino Linotype" w:hAnsi="Palatino Linotype" w:cs="Palatino Linotype"/>
          <w:noProof/>
        </w:rPr>
        <w:drawing>
          <wp:inline distT="0" distB="0" distL="0" distR="0" wp14:anchorId="60A7A73D" wp14:editId="1AC7AAE0">
            <wp:extent cx="4860000" cy="1364847"/>
            <wp:effectExtent l="0" t="0" r="0" b="0"/>
            <wp:docPr id="191368435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4860000" cy="1364847"/>
                    </a:xfrm>
                    <a:prstGeom prst="rect">
                      <a:avLst/>
                    </a:prstGeom>
                    <a:ln/>
                  </pic:spPr>
                </pic:pic>
              </a:graphicData>
            </a:graphic>
          </wp:inline>
        </w:drawing>
      </w:r>
    </w:p>
    <w:p w14:paraId="270614CB" w14:textId="77777777" w:rsidR="00BD1720" w:rsidRPr="00D65F60" w:rsidRDefault="00D749C0">
      <w:pPr>
        <w:pBdr>
          <w:top w:val="nil"/>
          <w:left w:val="nil"/>
          <w:bottom w:val="nil"/>
          <w:right w:val="nil"/>
          <w:between w:val="nil"/>
        </w:pBdr>
        <w:spacing w:before="240" w:after="240" w:line="360" w:lineRule="auto"/>
        <w:jc w:val="both"/>
        <w:rPr>
          <w:rFonts w:ascii="Palatino Linotype" w:eastAsia="Palatino Linotype" w:hAnsi="Palatino Linotype" w:cs="Palatino Linotype"/>
          <w:b/>
          <w:u w:val="single"/>
        </w:rPr>
      </w:pPr>
      <w:r w:rsidRPr="00D65F60">
        <w:rPr>
          <w:rFonts w:ascii="Palatino Linotype" w:eastAsia="Palatino Linotype" w:hAnsi="Palatino Linotype" w:cs="Palatino Linotype"/>
        </w:rPr>
        <w:lastRenderedPageBreak/>
        <w:t xml:space="preserve">Cabe señalar, además, que </w:t>
      </w:r>
      <w:r w:rsidRPr="00D65F60">
        <w:rPr>
          <w:rFonts w:ascii="Palatino Linotype" w:eastAsia="Palatino Linotype" w:hAnsi="Palatino Linotype" w:cs="Palatino Linotype"/>
          <w:b/>
          <w:u w:val="single"/>
        </w:rPr>
        <w:t>la información reportada en dicho formato debe guardar relación con lo establecido la Ley Orgánica Municipal del Estado de México, y demás normatividad aplicable.</w:t>
      </w:r>
    </w:p>
    <w:p w14:paraId="2F5880BF" w14:textId="77777777" w:rsidR="00BD1720" w:rsidRPr="00D65F60" w:rsidRDefault="00D749C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 xml:space="preserve">En este orden de ideas, como se mencionó anteriormente, </w:t>
      </w:r>
      <w:r w:rsidRPr="00D65F60">
        <w:rPr>
          <w:rFonts w:ascii="Palatino Linotype" w:eastAsia="Palatino Linotype" w:hAnsi="Palatino Linotype" w:cs="Palatino Linotype"/>
          <w:b/>
        </w:rPr>
        <w:t xml:space="preserve">el servidor público habilitado competente proporcionó un documento </w:t>
      </w:r>
      <w:r w:rsidRPr="00D65F60">
        <w:rPr>
          <w:rFonts w:ascii="Palatino Linotype" w:eastAsia="Palatino Linotype" w:hAnsi="Palatino Linotype" w:cs="Palatino Linotype"/>
        </w:rPr>
        <w:t xml:space="preserve">con la finalidad de atender la solicitud, </w:t>
      </w:r>
      <w:r w:rsidRPr="00D65F60">
        <w:rPr>
          <w:rFonts w:ascii="Palatino Linotype" w:eastAsia="Palatino Linotype" w:hAnsi="Palatino Linotype" w:cs="Palatino Linotype"/>
          <w:b/>
          <w:u w:val="single"/>
        </w:rPr>
        <w:t>donde se advierten los cargos de los Directores y Coordinadores obligados a certificarse, así como el estatus que guarda la respectiva certificación.</w:t>
      </w:r>
      <w:r w:rsidRPr="00D65F60">
        <w:rPr>
          <w:rFonts w:ascii="Palatino Linotype" w:eastAsia="Palatino Linotype" w:hAnsi="Palatino Linotype" w:cs="Palatino Linotype"/>
        </w:rPr>
        <w:t xml:space="preserve">  </w:t>
      </w:r>
    </w:p>
    <w:p w14:paraId="714FE06C"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 xml:space="preserve">Al respecto, cabe señalar que el derecho de acceso a la información pública se satisface en aquellos casos en que se entregue el soporte documental en que conste la información pública, sin la necesidad de elaborar documentos </w:t>
      </w:r>
      <w:r w:rsidRPr="00D65F60">
        <w:rPr>
          <w:rFonts w:ascii="Palatino Linotype" w:eastAsia="Palatino Linotype" w:hAnsi="Palatino Linotype" w:cs="Palatino Linotype"/>
          <w:i/>
        </w:rPr>
        <w:t>ad hoc</w:t>
      </w:r>
      <w:r w:rsidRPr="00D65F60">
        <w:rPr>
          <w:rFonts w:ascii="Palatino Linotype" w:eastAsia="Palatino Linotype" w:hAnsi="Palatino Linotype" w:cs="Palatino Linotype"/>
        </w:rPr>
        <w:t xml:space="preserve">; lo cual, toma sustento en el artículo 160 de la Ley de Transparencia y Acceso a la Información Pública del Estado de México y Municipios, el cual refiere que los Sujetos Obligados deberán entregar la información que obre en sus archivos; sin embargo, se aprecia que el </w:t>
      </w:r>
      <w:r w:rsidRPr="00D65F60">
        <w:rPr>
          <w:rFonts w:ascii="Palatino Linotype" w:eastAsia="Palatino Linotype" w:hAnsi="Palatino Linotype" w:cs="Palatino Linotype"/>
          <w:b/>
        </w:rPr>
        <w:t>Sujeto Obligado</w:t>
      </w:r>
      <w:r w:rsidRPr="00D65F60">
        <w:rPr>
          <w:rFonts w:ascii="Palatino Linotype" w:eastAsia="Palatino Linotype" w:hAnsi="Palatino Linotype" w:cs="Palatino Linotype"/>
        </w:rPr>
        <w:t xml:space="preserve">, elaboró un documento ad hoc para dar cabal cumplimiento al derecho de acceso a la información de la persona solicitante, aún y </w:t>
      </w:r>
      <w:r w:rsidRPr="00D65F60">
        <w:rPr>
          <w:rFonts w:ascii="Palatino Linotype" w:eastAsia="Palatino Linotype" w:hAnsi="Palatino Linotype" w:cs="Palatino Linotype"/>
          <w:b/>
        </w:rPr>
        <w:t>cuando no es una obligación de las autoridades</w:t>
      </w:r>
      <w:r w:rsidRPr="00D65F60">
        <w:rPr>
          <w:rFonts w:ascii="Palatino Linotype" w:eastAsia="Palatino Linotype" w:hAnsi="Palatino Linotype" w:cs="Palatino Linotype"/>
        </w:rPr>
        <w:t xml:space="preserve"> tal y como lo señala el Criterio de Interpretación con clave de control SO/003/2017, emitido por el Pleno del Instituto Nacional de Transparencia, Acceso a la Información y Protección de Datos Personales,  INAI, que dispone lo siguiente:</w:t>
      </w:r>
      <w:r w:rsidRPr="00D65F60">
        <w:rPr>
          <w:rFonts w:ascii="Palatino Linotype" w:eastAsia="Palatino Linotype" w:hAnsi="Palatino Linotype" w:cs="Palatino Linotype"/>
          <w:b/>
        </w:rPr>
        <w:t> </w:t>
      </w:r>
    </w:p>
    <w:p w14:paraId="2061828D" w14:textId="77777777" w:rsidR="00BD1720" w:rsidRPr="00D65F60" w:rsidRDefault="00D749C0">
      <w:pPr>
        <w:pBdr>
          <w:top w:val="nil"/>
          <w:left w:val="nil"/>
          <w:bottom w:val="nil"/>
          <w:right w:val="nil"/>
          <w:between w:val="nil"/>
        </w:pBdr>
        <w:spacing w:before="120" w:after="120"/>
        <w:ind w:left="851" w:right="851"/>
        <w:jc w:val="both"/>
      </w:pPr>
      <w:r w:rsidRPr="00D65F60">
        <w:rPr>
          <w:rFonts w:ascii="Palatino Linotype" w:eastAsia="Palatino Linotype" w:hAnsi="Palatino Linotype" w:cs="Palatino Linotype"/>
          <w:i/>
        </w:rPr>
        <w:t>“</w:t>
      </w:r>
      <w:r w:rsidRPr="00D65F60">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D65F60">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w:t>
      </w:r>
      <w:r w:rsidRPr="00D65F60">
        <w:rPr>
          <w:rFonts w:ascii="Palatino Linotype" w:eastAsia="Palatino Linotype" w:hAnsi="Palatino Linotype" w:cs="Palatino Linotype"/>
          <w:i/>
          <w:sz w:val="22"/>
          <w:szCs w:val="22"/>
        </w:rPr>
        <w:lastRenderedPageBreak/>
        <w:t>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7DA23AD" w14:textId="77777777" w:rsidR="00BD1720" w:rsidRPr="00D65F60" w:rsidRDefault="00D749C0">
      <w:pPr>
        <w:pBdr>
          <w:top w:val="nil"/>
          <w:left w:val="nil"/>
          <w:bottom w:val="nil"/>
          <w:right w:val="nil"/>
          <w:between w:val="nil"/>
        </w:pBdr>
        <w:spacing w:before="240" w:after="240" w:line="360" w:lineRule="auto"/>
        <w:ind w:right="-93"/>
        <w:jc w:val="both"/>
        <w:rPr>
          <w:rFonts w:ascii="Palatino Linotype" w:eastAsia="Palatino Linotype" w:hAnsi="Palatino Linotype" w:cs="Palatino Linotype"/>
        </w:rPr>
      </w:pPr>
      <w:r w:rsidRPr="00D65F60">
        <w:rPr>
          <w:rFonts w:ascii="Palatino Linotype" w:eastAsia="Palatino Linotype" w:hAnsi="Palatino Linotype" w:cs="Palatino Linotype"/>
        </w:rPr>
        <w:t xml:space="preserve">Entonces, dado a que el criterio en mención establece que las autoridades </w:t>
      </w:r>
      <w:r w:rsidRPr="00D65F60">
        <w:rPr>
          <w:rFonts w:ascii="Palatino Linotype" w:eastAsia="Palatino Linotype" w:hAnsi="Palatino Linotype" w:cs="Palatino Linotype"/>
          <w:b/>
        </w:rPr>
        <w:t xml:space="preserve">no están obligadas a generar documentos “ad hoc” </w:t>
      </w:r>
      <w:r w:rsidRPr="00D65F60">
        <w:rPr>
          <w:rFonts w:ascii="Palatino Linotype" w:eastAsia="Palatino Linotype" w:hAnsi="Palatino Linotype" w:cs="Palatino Linotype"/>
        </w:rPr>
        <w:t>en contrario sensu, dicho criterio se puede interpretar resultando que las autoridades no están impedidas a generar documentos “ad hoc”, esto, siempre que con dicho documento elaborado se dé cabal cumplimiento a los requerimientos planteados.</w:t>
      </w:r>
    </w:p>
    <w:p w14:paraId="6697967C"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 xml:space="preserve">Bajo los argumentos expuestos, se estima que la información remitida por el </w:t>
      </w:r>
      <w:r w:rsidRPr="00D65F60">
        <w:rPr>
          <w:rFonts w:ascii="Palatino Linotype" w:eastAsia="Palatino Linotype" w:hAnsi="Palatino Linotype" w:cs="Palatino Linotype"/>
          <w:b/>
        </w:rPr>
        <w:t xml:space="preserve">Sujeto Obligado </w:t>
      </w:r>
      <w:r w:rsidRPr="00D65F60">
        <w:rPr>
          <w:rFonts w:ascii="Palatino Linotype" w:eastAsia="Palatino Linotype" w:hAnsi="Palatino Linotype" w:cs="Palatino Linotype"/>
        </w:rPr>
        <w:t>en la etapa de manifestaciones</w:t>
      </w:r>
      <w:r w:rsidRPr="00D65F60">
        <w:rPr>
          <w:rFonts w:ascii="Palatino Linotype" w:eastAsia="Palatino Linotype" w:hAnsi="Palatino Linotype" w:cs="Palatino Linotype"/>
          <w:b/>
        </w:rPr>
        <w:t xml:space="preserve"> </w:t>
      </w:r>
      <w:r w:rsidRPr="00D65F60">
        <w:rPr>
          <w:rFonts w:ascii="Palatino Linotype" w:eastAsia="Palatino Linotype" w:hAnsi="Palatino Linotype" w:cs="Palatino Linotype"/>
        </w:rPr>
        <w:t xml:space="preserve">es suficiente para tener por atendido el derecho de acceso a la información de la parte </w:t>
      </w:r>
      <w:r w:rsidRPr="00D65F60">
        <w:rPr>
          <w:rFonts w:ascii="Palatino Linotype" w:eastAsia="Palatino Linotype" w:hAnsi="Palatino Linotype" w:cs="Palatino Linotype"/>
          <w:b/>
        </w:rPr>
        <w:t>Recurrente</w:t>
      </w:r>
      <w:r w:rsidRPr="00D65F60">
        <w:rPr>
          <w:rFonts w:ascii="Palatino Linotype" w:eastAsia="Palatino Linotype" w:hAnsi="Palatino Linotype" w:cs="Palatino Linotype"/>
        </w:rPr>
        <w:t xml:space="preserve">. </w:t>
      </w:r>
    </w:p>
    <w:p w14:paraId="60750FCD"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Por ende, se considera que en el presente asunto se actualiza la hipótesis prevista en el artículo 192, fracción III de la Ley de Transparencia y Acceso a la Información Pública del Estado de México y Municipios vigente, a saber:</w:t>
      </w:r>
    </w:p>
    <w:p w14:paraId="05EC15E0" w14:textId="77777777" w:rsidR="00BD1720" w:rsidRPr="00D65F60" w:rsidRDefault="00D749C0">
      <w:pPr>
        <w:spacing w:before="120" w:after="120"/>
        <w:ind w:left="851" w:right="902"/>
        <w:jc w:val="both"/>
        <w:rPr>
          <w:rFonts w:ascii="Palatino Linotype" w:eastAsia="Palatino Linotype" w:hAnsi="Palatino Linotype" w:cs="Palatino Linotype"/>
          <w:i/>
          <w:sz w:val="22"/>
          <w:szCs w:val="22"/>
        </w:rPr>
      </w:pPr>
      <w:r w:rsidRPr="00D65F60">
        <w:rPr>
          <w:rFonts w:ascii="Palatino Linotype" w:eastAsia="Palatino Linotype" w:hAnsi="Palatino Linotype" w:cs="Palatino Linotype"/>
          <w:i/>
        </w:rPr>
        <w:t>“</w:t>
      </w:r>
      <w:r w:rsidRPr="00D65F60">
        <w:rPr>
          <w:rFonts w:ascii="Palatino Linotype" w:eastAsia="Palatino Linotype" w:hAnsi="Palatino Linotype" w:cs="Palatino Linotype"/>
          <w:b/>
          <w:i/>
          <w:sz w:val="22"/>
          <w:szCs w:val="22"/>
        </w:rPr>
        <w:t>Artículo 192.</w:t>
      </w:r>
      <w:r w:rsidRPr="00D65F60">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 </w:t>
      </w:r>
    </w:p>
    <w:p w14:paraId="4D0FE327" w14:textId="77777777" w:rsidR="00BD1720" w:rsidRPr="00D65F60" w:rsidRDefault="00D749C0">
      <w:pPr>
        <w:spacing w:before="120" w:after="120"/>
        <w:ind w:left="1134" w:right="902"/>
        <w:jc w:val="both"/>
        <w:rPr>
          <w:rFonts w:ascii="Palatino Linotype" w:eastAsia="Palatino Linotype" w:hAnsi="Palatino Linotype" w:cs="Palatino Linotype"/>
          <w:i/>
          <w:sz w:val="22"/>
          <w:szCs w:val="22"/>
        </w:rPr>
      </w:pPr>
      <w:r w:rsidRPr="00D65F60">
        <w:rPr>
          <w:rFonts w:ascii="Palatino Linotype" w:eastAsia="Palatino Linotype" w:hAnsi="Palatino Linotype" w:cs="Palatino Linotype"/>
          <w:i/>
          <w:sz w:val="22"/>
          <w:szCs w:val="22"/>
        </w:rPr>
        <w:t>…</w:t>
      </w:r>
    </w:p>
    <w:p w14:paraId="758A3285" w14:textId="77777777" w:rsidR="00BD1720" w:rsidRPr="00D65F60" w:rsidRDefault="00D749C0">
      <w:pPr>
        <w:spacing w:before="120" w:after="120"/>
        <w:ind w:left="1134" w:right="902"/>
        <w:jc w:val="both"/>
        <w:rPr>
          <w:rFonts w:ascii="Palatino Linotype" w:eastAsia="Palatino Linotype" w:hAnsi="Palatino Linotype" w:cs="Palatino Linotype"/>
          <w:i/>
          <w:sz w:val="22"/>
          <w:szCs w:val="22"/>
        </w:rPr>
      </w:pPr>
      <w:r w:rsidRPr="00D65F60">
        <w:rPr>
          <w:rFonts w:ascii="Palatino Linotype" w:eastAsia="Palatino Linotype" w:hAnsi="Palatino Linotype" w:cs="Palatino Linotype"/>
          <w:b/>
          <w:i/>
          <w:sz w:val="22"/>
          <w:szCs w:val="22"/>
        </w:rPr>
        <w:t>III</w:t>
      </w:r>
      <w:r w:rsidRPr="00D65F60">
        <w:rPr>
          <w:rFonts w:ascii="Palatino Linotype" w:eastAsia="Palatino Linotype" w:hAnsi="Palatino Linotype" w:cs="Palatino Linotype"/>
          <w:i/>
          <w:sz w:val="22"/>
          <w:szCs w:val="22"/>
        </w:rPr>
        <w:t>. El sujeto obligado responsable del acto, lo modifique o revoque de tal manera que el recurso de revisión quede sin materia...”</w:t>
      </w:r>
    </w:p>
    <w:p w14:paraId="51C112F9"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De lo establecido en el precepto legal citado se advierte que el sobreseimiento del recurso de revisión procede en los siguientes casos</w:t>
      </w:r>
    </w:p>
    <w:p w14:paraId="7701C1A1" w14:textId="77777777" w:rsidR="00BD1720" w:rsidRPr="00D65F60" w:rsidRDefault="00D749C0">
      <w:pPr>
        <w:spacing w:before="240" w:after="240" w:line="360" w:lineRule="auto"/>
        <w:ind w:left="567"/>
        <w:jc w:val="both"/>
        <w:rPr>
          <w:rFonts w:ascii="Palatino Linotype" w:eastAsia="Palatino Linotype" w:hAnsi="Palatino Linotype" w:cs="Palatino Linotype"/>
        </w:rPr>
      </w:pPr>
      <w:r w:rsidRPr="00D65F60">
        <w:rPr>
          <w:rFonts w:ascii="Palatino Linotype" w:eastAsia="Palatino Linotype" w:hAnsi="Palatino Linotype" w:cs="Palatino Linotype"/>
        </w:rPr>
        <w:lastRenderedPageBreak/>
        <w:t xml:space="preserve">a) Cuando el sujeto obligado modifique el acto impugnado. </w:t>
      </w:r>
    </w:p>
    <w:p w14:paraId="196E4244" w14:textId="77777777" w:rsidR="00BD1720" w:rsidRPr="00D65F60" w:rsidRDefault="00D749C0">
      <w:pPr>
        <w:spacing w:before="240" w:after="240" w:line="360" w:lineRule="auto"/>
        <w:ind w:left="567"/>
        <w:jc w:val="both"/>
        <w:rPr>
          <w:rFonts w:ascii="Palatino Linotype" w:eastAsia="Palatino Linotype" w:hAnsi="Palatino Linotype" w:cs="Palatino Linotype"/>
        </w:rPr>
      </w:pPr>
      <w:r w:rsidRPr="00D65F60">
        <w:rPr>
          <w:rFonts w:ascii="Palatino Linotype" w:eastAsia="Palatino Linotype" w:hAnsi="Palatino Linotype" w:cs="Palatino Linotype"/>
        </w:rPr>
        <w:t xml:space="preserve">b) Cuando el sujeto obligado revoque el acto impugnado; </w:t>
      </w:r>
    </w:p>
    <w:p w14:paraId="35F0D916"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Quedando en ambos casos el acto combatido sin materia o sin efectos.</w:t>
      </w:r>
    </w:p>
    <w:p w14:paraId="73C4E52D"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 xml:space="preserve">En otras palabras, un acto impugnado es modificado en aquellos casos en los que el Sujeto Obligado después de haber otorgado una respuesta, </w:t>
      </w:r>
      <w:r w:rsidRPr="00D65F60">
        <w:rPr>
          <w:rFonts w:ascii="Palatino Linotype" w:eastAsia="Palatino Linotype" w:hAnsi="Palatino Linotype" w:cs="Palatino Linotype"/>
          <w:b/>
          <w:u w:val="single"/>
        </w:rPr>
        <w:t>o haber omitido hacerlo (acto de no hacer)</w:t>
      </w:r>
      <w:r w:rsidRPr="00D65F60">
        <w:rPr>
          <w:rFonts w:ascii="Palatino Linotype" w:eastAsia="Palatino Linotype" w:hAnsi="Palatino Linotype" w:cs="Palatino Linotype"/>
          <w:u w:val="single"/>
        </w:rPr>
        <w:t xml:space="preserve">, </w:t>
      </w:r>
      <w:r w:rsidRPr="00D65F60">
        <w:rPr>
          <w:rFonts w:ascii="Palatino Linotype" w:eastAsia="Palatino Linotype" w:hAnsi="Palatino Linotype" w:cs="Palatino Linotype"/>
          <w:b/>
          <w:u w:val="single"/>
        </w:rPr>
        <w:t>emite una</w:t>
      </w:r>
      <w:r w:rsidRPr="00D65F60">
        <w:rPr>
          <w:rFonts w:ascii="Palatino Linotype" w:eastAsia="Palatino Linotype" w:hAnsi="Palatino Linotype" w:cs="Palatino Linotype"/>
        </w:rPr>
        <w:t xml:space="preserve"> o una diversa de manera posterior y en ésta subsana las deficiencias que hubiera tenido, quedando satisfecho el derecho subjetivo accionado por la parte Recurrente.</w:t>
      </w:r>
    </w:p>
    <w:p w14:paraId="6398D46D"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Por lo que hace a la revocación, esta se actualiza cuando el Sujeto Obligado deja sin efectos la primera respuesta o su primer acto y en su lugar emite otro con las características y cualidades suficientes para dejar satisfecho el ejercicio del derecho al acceso a la información pública.</w:t>
      </w:r>
    </w:p>
    <w:p w14:paraId="791A34C8"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En este orden de ideas, un acto impugnado queda sin efectos, cuando aun existiendo jurídicamente (esto es, que no se ha modificado, ni revocado) ya no genera ninguna consecuencia legal.</w:t>
      </w:r>
    </w:p>
    <w:p w14:paraId="7D67DF07"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En tanto que, un acto impugnado queda sin materia, cuando ha sido satisfecha la pretensión de la parte Recurrente de manera que el Sujeto Obligado entrega una respuesta aunque sea posterior a los términos previstos en la ley y mediante esta concede la información solicitada.</w:t>
      </w:r>
    </w:p>
    <w:p w14:paraId="14E411D9"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lastRenderedPageBreak/>
        <w:t xml:space="preserve">Con base en los argumentos expuestos, resulta evidente que el </w:t>
      </w:r>
      <w:r w:rsidRPr="00D65F60">
        <w:rPr>
          <w:rFonts w:ascii="Palatino Linotype" w:eastAsia="Palatino Linotype" w:hAnsi="Palatino Linotype" w:cs="Palatino Linotype"/>
          <w:b/>
        </w:rPr>
        <w:t>Sujeto Obligado</w:t>
      </w:r>
      <w:r w:rsidRPr="00D65F60">
        <w:rPr>
          <w:rFonts w:ascii="Palatino Linotype" w:eastAsia="Palatino Linotype" w:hAnsi="Palatino Linotype" w:cs="Palatino Linotype"/>
        </w:rPr>
        <w:t>, aunque haya sido de manera posterior, emitió respuesta a la solicitud de acceso a la información pública de la persona solicitante, a través del servidor público habilitado competente, quien proporcionó un documento en el que se advierten los cargos de los Directores y Coordinadores obligados a certificarse, así como el estatus que guarda la respectiva certificación, por tal motivo, debe tenerse que con lo entregado</w:t>
      </w:r>
      <w:r w:rsidRPr="00D65F60">
        <w:rPr>
          <w:rFonts w:ascii="Palatino Linotype" w:eastAsia="Palatino Linotype" w:hAnsi="Palatino Linotype" w:cs="Palatino Linotype"/>
          <w:b/>
        </w:rPr>
        <w:t>,</w:t>
      </w:r>
      <w:r w:rsidRPr="00D65F60">
        <w:rPr>
          <w:rFonts w:ascii="Palatino Linotype" w:eastAsia="Palatino Linotype" w:hAnsi="Palatino Linotype" w:cs="Palatino Linotype"/>
        </w:rPr>
        <w:t xml:space="preserve"> se satisface la solicitud planteada, con lo cual quedo sin materia el presente recurso de revisión, actualizándose entonces, la causal prevista en la fracción III del artículo 192 de la Ley de la Materia vigente en la Entidad, antes transcrita. </w:t>
      </w:r>
    </w:p>
    <w:p w14:paraId="0C8D6084" w14:textId="77777777" w:rsidR="00BD1720" w:rsidRPr="00D65F60" w:rsidRDefault="00D749C0">
      <w:pPr>
        <w:spacing w:before="240" w:after="240" w:line="360" w:lineRule="auto"/>
        <w:jc w:val="both"/>
        <w:rPr>
          <w:rFonts w:ascii="Palatino Linotype" w:eastAsia="Palatino Linotype" w:hAnsi="Palatino Linotype" w:cs="Palatino Linotype"/>
          <w:b/>
        </w:rPr>
      </w:pPr>
      <w:r w:rsidRPr="00D65F60">
        <w:rPr>
          <w:rFonts w:ascii="Palatino Linotype" w:eastAsia="Palatino Linotype" w:hAnsi="Palatino Linotype" w:cs="Palatino Linotype"/>
        </w:rPr>
        <w:t xml:space="preserve">Atento a los razonamientos lógico jurídicos que han quedado precisados y toda vez que el  </w:t>
      </w:r>
      <w:r w:rsidRPr="00D65F60">
        <w:rPr>
          <w:rFonts w:ascii="Palatino Linotype" w:eastAsia="Palatino Linotype" w:hAnsi="Palatino Linotype" w:cs="Palatino Linotype"/>
          <w:i/>
        </w:rPr>
        <w:t xml:space="preserve">sobreseimiento </w:t>
      </w:r>
      <w:r w:rsidRPr="00D65F60">
        <w:rPr>
          <w:rFonts w:ascii="Palatino Linotype" w:eastAsia="Palatino Linotype" w:hAnsi="Palatino Linotype" w:cs="Palatino Linotype"/>
        </w:rPr>
        <w:t xml:space="preserve">es un acto que da por terminado el procedimiento administrativo de impugnación por alguna causa que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D65F60">
        <w:rPr>
          <w:rFonts w:ascii="Palatino Linotype" w:eastAsia="Palatino Linotype" w:hAnsi="Palatino Linotype" w:cs="Palatino Linotype"/>
          <w:b/>
        </w:rPr>
        <w:t>SOBRESEIMIENTO, NO PERMITE ENTRAR AL ESTUDIO DE LAS CUESTIONES DE FONDO</w:t>
      </w:r>
      <w:r w:rsidRPr="00D65F60">
        <w:rPr>
          <w:rFonts w:ascii="Palatino Linotype" w:eastAsia="Palatino Linotype" w:hAnsi="Palatino Linotype" w:cs="Palatino Linotype"/>
          <w:vertAlign w:val="superscript"/>
        </w:rPr>
        <w:footnoteReference w:id="1"/>
      </w:r>
      <w:r w:rsidRPr="00D65F60">
        <w:rPr>
          <w:rFonts w:ascii="Palatino Linotype" w:eastAsia="Palatino Linotype" w:hAnsi="Palatino Linotype" w:cs="Palatino Linotype"/>
          <w:b/>
        </w:rPr>
        <w:t>.</w:t>
      </w:r>
    </w:p>
    <w:p w14:paraId="26BC61A6" w14:textId="77777777" w:rsidR="00BD1720" w:rsidRPr="00D65F60" w:rsidRDefault="00D749C0">
      <w:pPr>
        <w:tabs>
          <w:tab w:val="left" w:pos="0"/>
        </w:tabs>
        <w:spacing w:before="240" w:after="240" w:line="360" w:lineRule="auto"/>
        <w:ind w:right="49"/>
        <w:jc w:val="both"/>
        <w:rPr>
          <w:rFonts w:ascii="Palatino Linotype" w:eastAsia="Palatino Linotype" w:hAnsi="Palatino Linotype" w:cs="Palatino Linotype"/>
        </w:rPr>
      </w:pPr>
      <w:r w:rsidRPr="00D65F60">
        <w:rPr>
          <w:rFonts w:ascii="Palatino Linotype" w:eastAsia="Palatino Linotype" w:hAnsi="Palatino Linotype" w:cs="Palatino Linotype"/>
        </w:rPr>
        <w:lastRenderedPageBreak/>
        <w:t xml:space="preserve">Por lo tanto, en términos del artículo 186 fracción I este Pleno determina el </w:t>
      </w:r>
      <w:r w:rsidRPr="00D65F60">
        <w:rPr>
          <w:rFonts w:ascii="Palatino Linotype" w:eastAsia="Palatino Linotype" w:hAnsi="Palatino Linotype" w:cs="Palatino Linotype"/>
          <w:b/>
        </w:rPr>
        <w:t xml:space="preserve">sobreseimiento </w:t>
      </w:r>
      <w:r w:rsidRPr="00D65F60">
        <w:rPr>
          <w:rFonts w:ascii="Palatino Linotype" w:eastAsia="Palatino Linotype" w:hAnsi="Palatino Linotype" w:cs="Palatino Linotype"/>
        </w:rPr>
        <w:t xml:space="preserve">de los recursos de revisión toda vez que la afectación al derecho de acceso a la información pública establecido constitucionalmente a favor de la parte </w:t>
      </w:r>
      <w:r w:rsidRPr="00D65F60">
        <w:rPr>
          <w:rFonts w:ascii="Palatino Linotype" w:eastAsia="Palatino Linotype" w:hAnsi="Palatino Linotype" w:cs="Palatino Linotype"/>
          <w:b/>
        </w:rPr>
        <w:t>Recurrente</w:t>
      </w:r>
      <w:r w:rsidRPr="00D65F60">
        <w:rPr>
          <w:rFonts w:ascii="Palatino Linotype" w:eastAsia="Palatino Linotype" w:hAnsi="Palatino Linotype" w:cs="Palatino Linotype"/>
        </w:rPr>
        <w:t xml:space="preserve"> ha sido resarcida.</w:t>
      </w:r>
    </w:p>
    <w:p w14:paraId="23FAF1E7"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fracción I, 186 y 188 de la Ley de Transparencia y Acceso a la Información Pública del Estado de México y Municipios, este Pleno:</w:t>
      </w:r>
    </w:p>
    <w:p w14:paraId="6D1EE12A" w14:textId="77777777" w:rsidR="00BD1720" w:rsidRPr="00D65F60" w:rsidRDefault="00D749C0">
      <w:pPr>
        <w:pBdr>
          <w:top w:val="nil"/>
          <w:left w:val="nil"/>
          <w:bottom w:val="nil"/>
          <w:right w:val="nil"/>
          <w:between w:val="nil"/>
        </w:pBdr>
        <w:spacing w:line="360" w:lineRule="auto"/>
        <w:jc w:val="center"/>
        <w:rPr>
          <w:rFonts w:ascii="Palatino Linotype" w:eastAsia="Palatino Linotype" w:hAnsi="Palatino Linotype" w:cs="Palatino Linotype"/>
          <w:b/>
        </w:rPr>
      </w:pPr>
      <w:r w:rsidRPr="00D65F60">
        <w:rPr>
          <w:rFonts w:ascii="Palatino Linotype" w:eastAsia="Palatino Linotype" w:hAnsi="Palatino Linotype" w:cs="Palatino Linotype"/>
          <w:b/>
        </w:rPr>
        <w:t>III. R E S U E L V E</w:t>
      </w:r>
    </w:p>
    <w:p w14:paraId="54B0F594" w14:textId="77777777" w:rsidR="00BD1720" w:rsidRPr="00D65F60" w:rsidRDefault="00D749C0">
      <w:pPr>
        <w:spacing w:before="240" w:after="240" w:line="360" w:lineRule="auto"/>
        <w:jc w:val="both"/>
        <w:rPr>
          <w:rFonts w:ascii="Palatino Linotype" w:eastAsia="Palatino Linotype" w:hAnsi="Palatino Linotype" w:cs="Palatino Linotype"/>
        </w:rPr>
      </w:pPr>
      <w:bookmarkStart w:id="6" w:name="_heading=h.1t3h5sf" w:colFirst="0" w:colLast="0"/>
      <w:bookmarkEnd w:id="6"/>
      <w:r w:rsidRPr="00D65F60">
        <w:rPr>
          <w:rFonts w:ascii="Palatino Linotype" w:eastAsia="Palatino Linotype" w:hAnsi="Palatino Linotype" w:cs="Palatino Linotype"/>
          <w:b/>
        </w:rPr>
        <w:t xml:space="preserve">Primero. </w:t>
      </w:r>
      <w:r w:rsidRPr="00D65F60">
        <w:rPr>
          <w:rFonts w:ascii="Palatino Linotype" w:eastAsia="Palatino Linotype" w:hAnsi="Palatino Linotype" w:cs="Palatino Linotype"/>
        </w:rPr>
        <w:t>Se</w:t>
      </w:r>
      <w:r w:rsidRPr="00D65F60">
        <w:rPr>
          <w:rFonts w:ascii="Palatino Linotype" w:eastAsia="Palatino Linotype" w:hAnsi="Palatino Linotype" w:cs="Palatino Linotype"/>
          <w:b/>
        </w:rPr>
        <w:t xml:space="preserve"> Sobresee </w:t>
      </w:r>
      <w:r w:rsidRPr="00D65F60">
        <w:rPr>
          <w:rFonts w:ascii="Palatino Linotype" w:eastAsia="Palatino Linotype" w:hAnsi="Palatino Linotype" w:cs="Palatino Linotype"/>
        </w:rPr>
        <w:t xml:space="preserve">el recurso de revisión </w:t>
      </w:r>
      <w:r w:rsidRPr="00D65F60">
        <w:rPr>
          <w:rFonts w:ascii="Palatino Linotype" w:eastAsia="Palatino Linotype" w:hAnsi="Palatino Linotype" w:cs="Palatino Linotype"/>
          <w:b/>
        </w:rPr>
        <w:t xml:space="preserve">00699/INFOEM/IP/RR/2025, </w:t>
      </w:r>
      <w:r w:rsidRPr="00D65F60">
        <w:rPr>
          <w:rFonts w:ascii="Palatino Linotype" w:eastAsia="Palatino Linotype" w:hAnsi="Palatino Linotype" w:cs="Palatino Linotype"/>
        </w:rPr>
        <w:t xml:space="preserve">en términos del </w:t>
      </w:r>
      <w:r w:rsidRPr="00D65F60">
        <w:rPr>
          <w:rFonts w:ascii="Palatino Linotype" w:eastAsia="Palatino Linotype" w:hAnsi="Palatino Linotype" w:cs="Palatino Linotype"/>
          <w:b/>
        </w:rPr>
        <w:t>Considerando</w:t>
      </w:r>
      <w:r w:rsidRPr="00D65F60">
        <w:rPr>
          <w:rFonts w:ascii="Palatino Linotype" w:eastAsia="Palatino Linotype" w:hAnsi="Palatino Linotype" w:cs="Palatino Linotype"/>
        </w:rPr>
        <w:t xml:space="preserve"> </w:t>
      </w:r>
      <w:r w:rsidRPr="00D65F60">
        <w:rPr>
          <w:rFonts w:ascii="Palatino Linotype" w:eastAsia="Palatino Linotype" w:hAnsi="Palatino Linotype" w:cs="Palatino Linotype"/>
          <w:b/>
        </w:rPr>
        <w:t xml:space="preserve">Tercero </w:t>
      </w:r>
      <w:r w:rsidRPr="00D65F60">
        <w:rPr>
          <w:rFonts w:ascii="Palatino Linotype" w:eastAsia="Palatino Linotype" w:hAnsi="Palatino Linotype" w:cs="Palatino Linotype"/>
        </w:rPr>
        <w:t xml:space="preserve">de la presente Resolución, porque al colmar la pretensión de la parte </w:t>
      </w:r>
      <w:r w:rsidRPr="00D65F60">
        <w:rPr>
          <w:rFonts w:ascii="Palatino Linotype" w:eastAsia="Palatino Linotype" w:hAnsi="Palatino Linotype" w:cs="Palatino Linotype"/>
          <w:b/>
        </w:rPr>
        <w:t xml:space="preserve">Recurrente </w:t>
      </w:r>
      <w:r w:rsidRPr="00D65F60">
        <w:rPr>
          <w:rFonts w:ascii="Palatino Linotype" w:eastAsia="Palatino Linotype" w:hAnsi="Palatino Linotype" w:cs="Palatino Linotype"/>
        </w:rPr>
        <w:t xml:space="preserve">mediante informe justificado, quedó sin materia de conformidad con lo dispuesto en la fracción III del artículo 192 de la de la Ley de Transparencia y Acceso a la Información Pública del Estado de México y Municipios. </w:t>
      </w:r>
    </w:p>
    <w:p w14:paraId="23CA0935"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b/>
        </w:rPr>
        <w:t xml:space="preserve">Segundo. Notifíquese, </w:t>
      </w:r>
      <w:r w:rsidRPr="00D65F60">
        <w:rPr>
          <w:rFonts w:ascii="Palatino Linotype" w:eastAsia="Palatino Linotype" w:hAnsi="Palatino Linotype" w:cs="Palatino Linotype"/>
        </w:rPr>
        <w:t>vía</w:t>
      </w:r>
      <w:r w:rsidRPr="00D65F60">
        <w:rPr>
          <w:rFonts w:ascii="Palatino Linotype" w:eastAsia="Palatino Linotype" w:hAnsi="Palatino Linotype" w:cs="Palatino Linotype"/>
          <w:b/>
        </w:rPr>
        <w:t xml:space="preserve"> SAIMEX, </w:t>
      </w:r>
      <w:r w:rsidRPr="00D65F60">
        <w:rPr>
          <w:rFonts w:ascii="Palatino Linotype" w:eastAsia="Palatino Linotype" w:hAnsi="Palatino Linotype" w:cs="Palatino Linotype"/>
        </w:rPr>
        <w:t>al Titular de la Unidad de Transparencia, para su conocimiento.</w:t>
      </w:r>
    </w:p>
    <w:p w14:paraId="18CFF2F3" w14:textId="77777777" w:rsidR="00BD1720" w:rsidRPr="00D65F60" w:rsidRDefault="00D749C0">
      <w:pPr>
        <w:spacing w:before="240" w:after="240"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b/>
        </w:rPr>
        <w:t xml:space="preserve">Tercero. Notifíquese </w:t>
      </w:r>
      <w:r w:rsidRPr="00D65F60">
        <w:rPr>
          <w:rFonts w:ascii="Palatino Linotype" w:eastAsia="Palatino Linotype" w:hAnsi="Palatino Linotype" w:cs="Palatino Linotype"/>
        </w:rPr>
        <w:t>vía</w:t>
      </w:r>
      <w:r w:rsidRPr="00D65F60">
        <w:rPr>
          <w:rFonts w:ascii="Palatino Linotype" w:eastAsia="Palatino Linotype" w:hAnsi="Palatino Linotype" w:cs="Palatino Linotype"/>
          <w:b/>
        </w:rPr>
        <w:t xml:space="preserve"> SAIMEX</w:t>
      </w:r>
      <w:r w:rsidRPr="00D65F60">
        <w:rPr>
          <w:rFonts w:ascii="Palatino Linotype" w:eastAsia="Palatino Linotype" w:hAnsi="Palatino Linotype" w:cs="Palatino Linotype"/>
        </w:rPr>
        <w:t xml:space="preserve">, a la parte </w:t>
      </w:r>
      <w:r w:rsidRPr="00D65F60">
        <w:rPr>
          <w:rFonts w:ascii="Palatino Linotype" w:eastAsia="Palatino Linotype" w:hAnsi="Palatino Linotype" w:cs="Palatino Linotype"/>
          <w:b/>
        </w:rPr>
        <w:t xml:space="preserve">Recurrente </w:t>
      </w:r>
      <w:r w:rsidRPr="00D65F60">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7CA80CB2" w14:textId="77777777" w:rsidR="00BD1720" w:rsidRPr="00D65F60" w:rsidRDefault="00D749C0">
      <w:pPr>
        <w:spacing w:line="360" w:lineRule="auto"/>
        <w:jc w:val="both"/>
        <w:rPr>
          <w:rFonts w:ascii="Palatino Linotype" w:eastAsia="Palatino Linotype" w:hAnsi="Palatino Linotype" w:cs="Palatino Linotype"/>
        </w:rPr>
      </w:pPr>
      <w:r w:rsidRPr="00D65F60">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DE DOS MIL VEINTICINCO, ANTE EL SECRETARIO TÉCNICO DEL PLENO ALEXIS TAPIA RAMÍREZ.</w:t>
      </w:r>
    </w:p>
    <w:p w14:paraId="55FC0040" w14:textId="77777777" w:rsidR="00BD1720" w:rsidRPr="00D65F60" w:rsidRDefault="00BD1720">
      <w:pPr>
        <w:spacing w:line="360" w:lineRule="auto"/>
        <w:jc w:val="both"/>
        <w:rPr>
          <w:rFonts w:ascii="Palatino Linotype" w:eastAsia="Palatino Linotype" w:hAnsi="Palatino Linotype" w:cs="Palatino Linotype"/>
        </w:rPr>
      </w:pPr>
    </w:p>
    <w:p w14:paraId="3FA26D31" w14:textId="77777777" w:rsidR="00BD1720" w:rsidRPr="00D65F60" w:rsidRDefault="00BD1720">
      <w:pPr>
        <w:spacing w:line="360" w:lineRule="auto"/>
        <w:jc w:val="both"/>
        <w:rPr>
          <w:rFonts w:ascii="Palatino Linotype" w:eastAsia="Palatino Linotype" w:hAnsi="Palatino Linotype" w:cs="Palatino Linotype"/>
        </w:rPr>
      </w:pPr>
    </w:p>
    <w:p w14:paraId="5543D7C0" w14:textId="77777777" w:rsidR="00BD1720" w:rsidRPr="00D65F60" w:rsidRDefault="00BD1720">
      <w:pPr>
        <w:spacing w:line="360" w:lineRule="auto"/>
        <w:jc w:val="both"/>
        <w:rPr>
          <w:rFonts w:ascii="Palatino Linotype" w:eastAsia="Palatino Linotype" w:hAnsi="Palatino Linotype" w:cs="Palatino Linotype"/>
        </w:rPr>
      </w:pPr>
    </w:p>
    <w:p w14:paraId="26B8D09F" w14:textId="77777777" w:rsidR="00BD1720" w:rsidRPr="00D65F60" w:rsidRDefault="00BD1720">
      <w:pPr>
        <w:spacing w:line="360" w:lineRule="auto"/>
        <w:jc w:val="both"/>
        <w:rPr>
          <w:rFonts w:ascii="Palatino Linotype" w:eastAsia="Palatino Linotype" w:hAnsi="Palatino Linotype" w:cs="Palatino Linotype"/>
        </w:rPr>
      </w:pPr>
      <w:bookmarkStart w:id="7" w:name="_heading=h.1fob9te" w:colFirst="0" w:colLast="0"/>
      <w:bookmarkEnd w:id="7"/>
    </w:p>
    <w:p w14:paraId="1B281E82" w14:textId="77777777" w:rsidR="00BD1720" w:rsidRPr="00D65F60" w:rsidRDefault="00BD1720">
      <w:pPr>
        <w:spacing w:line="360" w:lineRule="auto"/>
        <w:jc w:val="both"/>
        <w:rPr>
          <w:rFonts w:ascii="Palatino Linotype" w:eastAsia="Palatino Linotype" w:hAnsi="Palatino Linotype" w:cs="Palatino Linotype"/>
        </w:rPr>
      </w:pPr>
    </w:p>
    <w:p w14:paraId="6D272449" w14:textId="77777777" w:rsidR="00BD1720" w:rsidRPr="00D65F60" w:rsidRDefault="00BD1720">
      <w:pPr>
        <w:spacing w:line="360" w:lineRule="auto"/>
        <w:jc w:val="both"/>
        <w:rPr>
          <w:rFonts w:ascii="Palatino Linotype" w:eastAsia="Palatino Linotype" w:hAnsi="Palatino Linotype" w:cs="Palatino Linotype"/>
        </w:rPr>
      </w:pPr>
    </w:p>
    <w:p w14:paraId="11A7F42A" w14:textId="77777777" w:rsidR="00BD1720" w:rsidRPr="00D65F60" w:rsidRDefault="00BD1720">
      <w:pPr>
        <w:spacing w:line="360" w:lineRule="auto"/>
        <w:jc w:val="both"/>
        <w:rPr>
          <w:rFonts w:ascii="Palatino Linotype" w:eastAsia="Palatino Linotype" w:hAnsi="Palatino Linotype" w:cs="Palatino Linotype"/>
        </w:rPr>
      </w:pPr>
    </w:p>
    <w:p w14:paraId="734EBB9B" w14:textId="77777777" w:rsidR="00BD1720" w:rsidRPr="00D65F60" w:rsidRDefault="00BD1720">
      <w:pPr>
        <w:spacing w:line="360" w:lineRule="auto"/>
        <w:jc w:val="both"/>
        <w:rPr>
          <w:rFonts w:ascii="Palatino Linotype" w:eastAsia="Palatino Linotype" w:hAnsi="Palatino Linotype" w:cs="Palatino Linotype"/>
        </w:rPr>
      </w:pPr>
    </w:p>
    <w:p w14:paraId="2E802D09" w14:textId="77777777" w:rsidR="00BD1720" w:rsidRPr="00D65F60" w:rsidRDefault="00BD1720">
      <w:pPr>
        <w:spacing w:line="360" w:lineRule="auto"/>
        <w:jc w:val="both"/>
        <w:rPr>
          <w:rFonts w:ascii="Palatino Linotype" w:eastAsia="Palatino Linotype" w:hAnsi="Palatino Linotype" w:cs="Palatino Linotype"/>
        </w:rPr>
      </w:pPr>
    </w:p>
    <w:p w14:paraId="064C7256" w14:textId="77777777" w:rsidR="00BD1720" w:rsidRPr="00D65F60" w:rsidRDefault="00BD1720">
      <w:pPr>
        <w:spacing w:line="360" w:lineRule="auto"/>
        <w:jc w:val="both"/>
        <w:rPr>
          <w:rFonts w:ascii="Palatino Linotype" w:eastAsia="Palatino Linotype" w:hAnsi="Palatino Linotype" w:cs="Palatino Linotype"/>
        </w:rPr>
      </w:pPr>
    </w:p>
    <w:p w14:paraId="3DCB0C55" w14:textId="77777777" w:rsidR="00BD1720" w:rsidRPr="00D65F60" w:rsidRDefault="00BD1720">
      <w:pPr>
        <w:spacing w:line="360" w:lineRule="auto"/>
        <w:jc w:val="both"/>
        <w:rPr>
          <w:rFonts w:ascii="Palatino Linotype" w:eastAsia="Palatino Linotype" w:hAnsi="Palatino Linotype" w:cs="Palatino Linotype"/>
        </w:rPr>
      </w:pPr>
    </w:p>
    <w:p w14:paraId="31A4F079" w14:textId="77777777" w:rsidR="00BD1720" w:rsidRPr="00D65F60" w:rsidRDefault="00BD1720">
      <w:pPr>
        <w:spacing w:line="360" w:lineRule="auto"/>
        <w:jc w:val="both"/>
        <w:rPr>
          <w:rFonts w:ascii="Palatino Linotype" w:eastAsia="Palatino Linotype" w:hAnsi="Palatino Linotype" w:cs="Palatino Linotype"/>
        </w:rPr>
      </w:pPr>
    </w:p>
    <w:p w14:paraId="1FAA1266" w14:textId="77777777" w:rsidR="00BD1720" w:rsidRPr="00D65F60" w:rsidRDefault="00BD1720">
      <w:pPr>
        <w:spacing w:line="360" w:lineRule="auto"/>
        <w:jc w:val="both"/>
        <w:rPr>
          <w:rFonts w:ascii="Palatino Linotype" w:eastAsia="Palatino Linotype" w:hAnsi="Palatino Linotype" w:cs="Palatino Linotype"/>
        </w:rPr>
      </w:pPr>
    </w:p>
    <w:p w14:paraId="5A908E9F" w14:textId="77777777" w:rsidR="00BD1720" w:rsidRPr="00D65F60" w:rsidRDefault="00BD1720">
      <w:pPr>
        <w:spacing w:line="360" w:lineRule="auto"/>
        <w:jc w:val="both"/>
        <w:rPr>
          <w:rFonts w:ascii="Palatino Linotype" w:eastAsia="Palatino Linotype" w:hAnsi="Palatino Linotype" w:cs="Palatino Linotype"/>
        </w:rPr>
      </w:pPr>
    </w:p>
    <w:p w14:paraId="76BC531C" w14:textId="77777777" w:rsidR="00BD1720" w:rsidRPr="00D65F60" w:rsidRDefault="00BD1720">
      <w:pPr>
        <w:spacing w:line="360" w:lineRule="auto"/>
        <w:jc w:val="both"/>
        <w:rPr>
          <w:rFonts w:ascii="Palatino Linotype" w:eastAsia="Palatino Linotype" w:hAnsi="Palatino Linotype" w:cs="Palatino Linotype"/>
        </w:rPr>
      </w:pPr>
    </w:p>
    <w:p w14:paraId="31CD41D9" w14:textId="77777777" w:rsidR="00BD1720" w:rsidRPr="00D65F60" w:rsidRDefault="00BD1720">
      <w:pPr>
        <w:spacing w:line="360" w:lineRule="auto"/>
        <w:jc w:val="both"/>
        <w:rPr>
          <w:rFonts w:ascii="Palatino Linotype" w:eastAsia="Palatino Linotype" w:hAnsi="Palatino Linotype" w:cs="Palatino Linotype"/>
        </w:rPr>
      </w:pPr>
    </w:p>
    <w:p w14:paraId="2A63F23B" w14:textId="77777777" w:rsidR="00BD1720" w:rsidRPr="00D65F60" w:rsidRDefault="00BD1720">
      <w:pPr>
        <w:spacing w:line="360" w:lineRule="auto"/>
        <w:jc w:val="both"/>
        <w:rPr>
          <w:rFonts w:ascii="Palatino Linotype" w:eastAsia="Palatino Linotype" w:hAnsi="Palatino Linotype" w:cs="Palatino Linotype"/>
        </w:rPr>
      </w:pPr>
    </w:p>
    <w:p w14:paraId="57509773" w14:textId="77777777" w:rsidR="00BD1720" w:rsidRPr="00D65F60" w:rsidRDefault="00BD1720">
      <w:pPr>
        <w:spacing w:line="360" w:lineRule="auto"/>
        <w:jc w:val="both"/>
        <w:rPr>
          <w:rFonts w:ascii="Palatino Linotype" w:eastAsia="Palatino Linotype" w:hAnsi="Palatino Linotype" w:cs="Palatino Linotype"/>
        </w:rPr>
      </w:pPr>
    </w:p>
    <w:p w14:paraId="49CF04B2" w14:textId="77777777" w:rsidR="00BD1720" w:rsidRPr="00D65F60" w:rsidRDefault="00BD1720">
      <w:pPr>
        <w:spacing w:line="360" w:lineRule="auto"/>
        <w:jc w:val="both"/>
        <w:rPr>
          <w:rFonts w:ascii="Palatino Linotype" w:eastAsia="Palatino Linotype" w:hAnsi="Palatino Linotype" w:cs="Palatino Linotype"/>
        </w:rPr>
      </w:pPr>
    </w:p>
    <w:p w14:paraId="25F40C6A" w14:textId="77777777" w:rsidR="00BD1720" w:rsidRPr="00D65F60" w:rsidRDefault="00BD1720">
      <w:pPr>
        <w:spacing w:line="360" w:lineRule="auto"/>
        <w:jc w:val="both"/>
        <w:rPr>
          <w:rFonts w:ascii="Palatino Linotype" w:eastAsia="Palatino Linotype" w:hAnsi="Palatino Linotype" w:cs="Palatino Linotype"/>
        </w:rPr>
      </w:pPr>
    </w:p>
    <w:p w14:paraId="1E8CF9A1" w14:textId="77777777" w:rsidR="00BD1720" w:rsidRPr="00D65F60" w:rsidRDefault="00BD1720">
      <w:pPr>
        <w:spacing w:line="360" w:lineRule="auto"/>
        <w:jc w:val="both"/>
        <w:rPr>
          <w:rFonts w:ascii="Palatino Linotype" w:eastAsia="Palatino Linotype" w:hAnsi="Palatino Linotype" w:cs="Palatino Linotype"/>
        </w:rPr>
      </w:pPr>
    </w:p>
    <w:p w14:paraId="21515508" w14:textId="77777777" w:rsidR="00BD1720" w:rsidRPr="00D65F60" w:rsidRDefault="00BD1720">
      <w:pPr>
        <w:spacing w:line="360" w:lineRule="auto"/>
        <w:jc w:val="both"/>
        <w:rPr>
          <w:rFonts w:ascii="Palatino Linotype" w:eastAsia="Palatino Linotype" w:hAnsi="Palatino Linotype" w:cs="Palatino Linotype"/>
        </w:rPr>
      </w:pPr>
    </w:p>
    <w:p w14:paraId="4837C895" w14:textId="77777777" w:rsidR="00BD1720" w:rsidRPr="00D65F60" w:rsidRDefault="00BD1720">
      <w:pPr>
        <w:spacing w:line="360" w:lineRule="auto"/>
        <w:jc w:val="both"/>
        <w:rPr>
          <w:rFonts w:ascii="Palatino Linotype" w:eastAsia="Palatino Linotype" w:hAnsi="Palatino Linotype" w:cs="Palatino Linotype"/>
        </w:rPr>
      </w:pPr>
    </w:p>
    <w:p w14:paraId="1F16CA35" w14:textId="77777777" w:rsidR="00BD1720" w:rsidRPr="00D65F60" w:rsidRDefault="00BD1720">
      <w:pPr>
        <w:spacing w:line="360" w:lineRule="auto"/>
        <w:jc w:val="both"/>
        <w:rPr>
          <w:rFonts w:ascii="Palatino Linotype" w:eastAsia="Palatino Linotype" w:hAnsi="Palatino Linotype" w:cs="Palatino Linotype"/>
        </w:rPr>
      </w:pPr>
    </w:p>
    <w:p w14:paraId="48581112" w14:textId="77777777" w:rsidR="00BD1720" w:rsidRPr="00D65F60" w:rsidRDefault="00BD1720">
      <w:pPr>
        <w:spacing w:line="360" w:lineRule="auto"/>
        <w:jc w:val="both"/>
        <w:rPr>
          <w:rFonts w:ascii="Palatino Linotype" w:eastAsia="Palatino Linotype" w:hAnsi="Palatino Linotype" w:cs="Palatino Linotype"/>
        </w:rPr>
      </w:pPr>
    </w:p>
    <w:sectPr w:rsidR="00BD1720" w:rsidRPr="00D65F60">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1D9D" w14:textId="77777777" w:rsidR="003904E5" w:rsidRDefault="003904E5">
      <w:r>
        <w:separator/>
      </w:r>
    </w:p>
  </w:endnote>
  <w:endnote w:type="continuationSeparator" w:id="0">
    <w:p w14:paraId="30FE50A4" w14:textId="77777777" w:rsidR="003904E5" w:rsidRDefault="0039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96E3" w14:textId="77777777" w:rsidR="00BD1720" w:rsidRDefault="00D749C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A0A3C">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A0A3C">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p>
  <w:p w14:paraId="2A687914" w14:textId="77777777" w:rsidR="00BD1720" w:rsidRDefault="00BD172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5D3C" w14:textId="77777777" w:rsidR="00BD1720" w:rsidRDefault="00D749C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A0A3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A0A3C">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p>
  <w:p w14:paraId="5F979937" w14:textId="77777777" w:rsidR="00BD1720" w:rsidRDefault="00BD172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E2F1" w14:textId="77777777" w:rsidR="003904E5" w:rsidRDefault="003904E5">
      <w:r>
        <w:separator/>
      </w:r>
    </w:p>
  </w:footnote>
  <w:footnote w:type="continuationSeparator" w:id="0">
    <w:p w14:paraId="76B85F94" w14:textId="77777777" w:rsidR="003904E5" w:rsidRDefault="003904E5">
      <w:r>
        <w:continuationSeparator/>
      </w:r>
    </w:p>
  </w:footnote>
  <w:footnote w:id="1">
    <w:p w14:paraId="6162C863" w14:textId="77777777" w:rsidR="00BD1720" w:rsidRDefault="00D749C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25AE7507" w14:textId="77777777" w:rsidR="00BD1720" w:rsidRDefault="00D749C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009B" w14:textId="77777777" w:rsidR="00BD1720" w:rsidRDefault="00D749C0">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6D78B2B5" wp14:editId="4A6CBF3E">
          <wp:simplePos x="0" y="0"/>
          <wp:positionH relativeFrom="column">
            <wp:posOffset>-1080128</wp:posOffset>
          </wp:positionH>
          <wp:positionV relativeFrom="paragraph">
            <wp:posOffset>-219703</wp:posOffset>
          </wp:positionV>
          <wp:extent cx="7809865" cy="10165715"/>
          <wp:effectExtent l="0" t="0" r="0" b="0"/>
          <wp:wrapNone/>
          <wp:docPr id="191368435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p w14:paraId="30E22CBA" w14:textId="77777777" w:rsidR="00BD1720" w:rsidRDefault="00D749C0">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tbl>
    <w:tblPr>
      <w:tblStyle w:val="aff5"/>
      <w:tblW w:w="5953" w:type="dxa"/>
      <w:tblInd w:w="3261" w:type="dxa"/>
      <w:tblLayout w:type="fixed"/>
      <w:tblLook w:val="0400" w:firstRow="0" w:lastRow="0" w:firstColumn="0" w:lastColumn="0" w:noHBand="0" w:noVBand="1"/>
    </w:tblPr>
    <w:tblGrid>
      <w:gridCol w:w="2489"/>
      <w:gridCol w:w="3464"/>
    </w:tblGrid>
    <w:tr w:rsidR="00BD1720" w14:paraId="076E12EE" w14:textId="77777777">
      <w:tc>
        <w:tcPr>
          <w:tcW w:w="2489" w:type="dxa"/>
          <w:shd w:val="clear" w:color="auto" w:fill="auto"/>
        </w:tcPr>
        <w:p w14:paraId="6FDA9D0E" w14:textId="77777777" w:rsidR="00BD1720" w:rsidRDefault="00D749C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0C818D9" w14:textId="77777777" w:rsidR="00BD1720" w:rsidRDefault="00D749C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00699/INFOEM/IP/RR/2025</w:t>
          </w:r>
        </w:p>
      </w:tc>
    </w:tr>
    <w:tr w:rsidR="00BD1720" w14:paraId="17E662D3" w14:textId="77777777">
      <w:trPr>
        <w:trHeight w:val="228"/>
      </w:trPr>
      <w:tc>
        <w:tcPr>
          <w:tcW w:w="2489" w:type="dxa"/>
          <w:shd w:val="clear" w:color="auto" w:fill="auto"/>
          <w:vAlign w:val="center"/>
        </w:tcPr>
        <w:p w14:paraId="24D8DCA0" w14:textId="77777777" w:rsidR="00BD1720" w:rsidRDefault="00D749C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E94A764" w14:textId="77777777" w:rsidR="00BD1720" w:rsidRDefault="00D749C0">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Jiquipilco</w:t>
          </w:r>
        </w:p>
      </w:tc>
    </w:tr>
    <w:tr w:rsidR="00BD1720" w14:paraId="254D7752" w14:textId="77777777">
      <w:tc>
        <w:tcPr>
          <w:tcW w:w="2489" w:type="dxa"/>
          <w:shd w:val="clear" w:color="auto" w:fill="auto"/>
          <w:vAlign w:val="center"/>
        </w:tcPr>
        <w:p w14:paraId="7C69F4AB" w14:textId="77777777" w:rsidR="00BD1720" w:rsidRDefault="00D749C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7DC30EC" w14:textId="77777777" w:rsidR="00BD1720" w:rsidRDefault="00D749C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7E7575D" w14:textId="77777777" w:rsidR="00BD1720" w:rsidRDefault="00BD1720">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51FF" w14:textId="77777777" w:rsidR="00BD1720" w:rsidRDefault="00BD1720">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p>
  <w:p w14:paraId="4F5CB0E0" w14:textId="77777777" w:rsidR="00BD1720" w:rsidRDefault="00D749C0">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8F1802B" wp14:editId="73CED8DF">
          <wp:simplePos x="0" y="0"/>
          <wp:positionH relativeFrom="column">
            <wp:posOffset>-736591</wp:posOffset>
          </wp:positionH>
          <wp:positionV relativeFrom="paragraph">
            <wp:posOffset>-215253</wp:posOffset>
          </wp:positionV>
          <wp:extent cx="7809865" cy="10165715"/>
          <wp:effectExtent l="0" t="0" r="0" b="0"/>
          <wp:wrapNone/>
          <wp:docPr id="191368435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6"/>
      <w:tblW w:w="5670" w:type="dxa"/>
      <w:tblInd w:w="3261" w:type="dxa"/>
      <w:tblLayout w:type="fixed"/>
      <w:tblLook w:val="0400" w:firstRow="0" w:lastRow="0" w:firstColumn="0" w:lastColumn="0" w:noHBand="0" w:noVBand="1"/>
    </w:tblPr>
    <w:tblGrid>
      <w:gridCol w:w="2551"/>
      <w:gridCol w:w="3119"/>
    </w:tblGrid>
    <w:tr w:rsidR="00BD1720" w14:paraId="0D5653FA" w14:textId="77777777">
      <w:tc>
        <w:tcPr>
          <w:tcW w:w="2551" w:type="dxa"/>
          <w:shd w:val="clear" w:color="auto" w:fill="auto"/>
          <w:vAlign w:val="center"/>
        </w:tcPr>
        <w:p w14:paraId="31FA6A5A" w14:textId="77777777" w:rsidR="00BD1720" w:rsidRDefault="00D749C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ECEC487" w14:textId="77777777" w:rsidR="00BD1720" w:rsidRDefault="00D749C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00699/INFOEM/IP/RR/2025</w:t>
          </w:r>
        </w:p>
      </w:tc>
    </w:tr>
    <w:tr w:rsidR="00BD1720" w14:paraId="0277FFEB" w14:textId="77777777">
      <w:trPr>
        <w:trHeight w:val="130"/>
      </w:trPr>
      <w:tc>
        <w:tcPr>
          <w:tcW w:w="2551" w:type="dxa"/>
          <w:shd w:val="clear" w:color="auto" w:fill="auto"/>
          <w:vAlign w:val="center"/>
        </w:tcPr>
        <w:p w14:paraId="43E044B5" w14:textId="77777777" w:rsidR="00BD1720" w:rsidRDefault="00D749C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0DB8B803" w14:textId="77777777" w:rsidR="00BD1720" w:rsidRDefault="00BD1720">
          <w:pPr>
            <w:jc w:val="both"/>
            <w:rPr>
              <w:rFonts w:ascii="Palatino Linotype" w:eastAsia="Palatino Linotype" w:hAnsi="Palatino Linotype" w:cs="Palatino Linotype"/>
              <w:b/>
              <w:sz w:val="22"/>
              <w:szCs w:val="22"/>
            </w:rPr>
          </w:pPr>
        </w:p>
      </w:tc>
    </w:tr>
    <w:tr w:rsidR="00BD1720" w14:paraId="7A473715" w14:textId="77777777">
      <w:trPr>
        <w:trHeight w:val="228"/>
      </w:trPr>
      <w:tc>
        <w:tcPr>
          <w:tcW w:w="2551" w:type="dxa"/>
          <w:shd w:val="clear" w:color="auto" w:fill="auto"/>
          <w:vAlign w:val="center"/>
        </w:tcPr>
        <w:p w14:paraId="50A19005" w14:textId="77777777" w:rsidR="00BD1720" w:rsidRDefault="00D749C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611EEBC1" w14:textId="77777777" w:rsidR="00BD1720" w:rsidRDefault="00D749C0">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Jiquipilco</w:t>
          </w:r>
        </w:p>
      </w:tc>
    </w:tr>
    <w:tr w:rsidR="00BD1720" w14:paraId="51AF656F" w14:textId="77777777">
      <w:tc>
        <w:tcPr>
          <w:tcW w:w="2551" w:type="dxa"/>
          <w:shd w:val="clear" w:color="auto" w:fill="auto"/>
          <w:vAlign w:val="center"/>
        </w:tcPr>
        <w:p w14:paraId="19191705" w14:textId="77777777" w:rsidR="00BD1720" w:rsidRDefault="00D749C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294CDFD" w14:textId="77777777" w:rsidR="00BD1720" w:rsidRDefault="00D749C0">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0D33D59" w14:textId="77777777" w:rsidR="00BD1720" w:rsidRDefault="00BD1720">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E6A93"/>
    <w:multiLevelType w:val="multilevel"/>
    <w:tmpl w:val="A6CA3A50"/>
    <w:lvl w:ilvl="0">
      <w:start w:val="1"/>
      <w:numFmt w:val="decimal"/>
      <w:pStyle w:val="Listaconvietas3"/>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720"/>
    <w:rsid w:val="003904E5"/>
    <w:rsid w:val="008A0A3C"/>
    <w:rsid w:val="00BD1720"/>
    <w:rsid w:val="00BF7595"/>
    <w:rsid w:val="00D65F60"/>
    <w:rsid w:val="00D749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E222"/>
  <w15:docId w15:val="{3A4E7FD6-C3A8-46E6-9F91-6502D15D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f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f1"/>
    <w:tblPr>
      <w:tblStyleRowBandSize w:val="1"/>
      <w:tblStyleColBandSize w:val="1"/>
      <w:tblCellMar>
        <w:left w:w="115" w:type="dxa"/>
        <w:right w:w="115" w:type="dxa"/>
      </w:tblCellMar>
    </w:tblPr>
  </w:style>
  <w:style w:type="table" w:customStyle="1" w:styleId="a2">
    <w:basedOn w:val="TableNormalf1"/>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f1"/>
    <w:tblPr>
      <w:tblStyleRowBandSize w:val="1"/>
      <w:tblStyleColBandSize w:val="1"/>
      <w:tblCellMar>
        <w:left w:w="115" w:type="dxa"/>
        <w:right w:w="115" w:type="dxa"/>
      </w:tblCellMar>
    </w:tblPr>
  </w:style>
  <w:style w:type="table" w:customStyle="1" w:styleId="a4">
    <w:basedOn w:val="TableNormalf1"/>
    <w:tblPr>
      <w:tblStyleRowBandSize w:val="1"/>
      <w:tblStyleColBandSize w:val="1"/>
      <w:tblCellMar>
        <w:left w:w="115" w:type="dxa"/>
        <w:right w:w="115" w:type="dxa"/>
      </w:tblCellMar>
    </w:tblPr>
  </w:style>
  <w:style w:type="table" w:customStyle="1" w:styleId="a5">
    <w:basedOn w:val="TableNormalf0"/>
    <w:tblPr>
      <w:tblStyleRowBandSize w:val="1"/>
      <w:tblStyleColBandSize w:val="1"/>
      <w:tblCellMar>
        <w:left w:w="115" w:type="dxa"/>
        <w:right w:w="115" w:type="dxa"/>
      </w:tblCellMar>
    </w:tblPr>
  </w:style>
  <w:style w:type="table" w:customStyle="1" w:styleId="a6">
    <w:basedOn w:val="TableNormalf0"/>
    <w:tblPr>
      <w:tblStyleRowBandSize w:val="1"/>
      <w:tblStyleColBandSize w:val="1"/>
      <w:tblCellMar>
        <w:left w:w="115" w:type="dxa"/>
        <w:right w:w="115" w:type="dxa"/>
      </w:tblCellMar>
    </w:tblPr>
  </w:style>
  <w:style w:type="table" w:customStyle="1" w:styleId="a7">
    <w:basedOn w:val="TableNormalf"/>
    <w:tblPr>
      <w:tblStyleRowBandSize w:val="1"/>
      <w:tblStyleColBandSize w:val="1"/>
      <w:tblCellMar>
        <w:left w:w="115" w:type="dxa"/>
        <w:right w:w="115" w:type="dxa"/>
      </w:tblCellMar>
    </w:tblPr>
  </w:style>
  <w:style w:type="table" w:customStyle="1" w:styleId="a8">
    <w:basedOn w:val="TableNormalf"/>
    <w:tblPr>
      <w:tblStyleRowBandSize w:val="1"/>
      <w:tblStyleColBandSize w:val="1"/>
      <w:tblCellMar>
        <w:left w:w="115" w:type="dxa"/>
        <w:right w:w="115" w:type="dxa"/>
      </w:tblCellMar>
    </w:tblPr>
  </w:style>
  <w:style w:type="table" w:customStyle="1" w:styleId="a9">
    <w:basedOn w:val="TableNormale"/>
    <w:tblPr>
      <w:tblStyleRowBandSize w:val="1"/>
      <w:tblStyleColBandSize w:val="1"/>
      <w:tblCellMar>
        <w:left w:w="115" w:type="dxa"/>
        <w:right w:w="115" w:type="dxa"/>
      </w:tblCellMar>
    </w:tblPr>
  </w:style>
  <w:style w:type="table" w:customStyle="1" w:styleId="aa">
    <w:basedOn w:val="TableNormale"/>
    <w:tblPr>
      <w:tblStyleRowBandSize w:val="1"/>
      <w:tblStyleColBandSize w:val="1"/>
      <w:tblCellMar>
        <w:left w:w="115" w:type="dxa"/>
        <w:right w:w="115" w:type="dxa"/>
      </w:tblCellMar>
    </w:tblPr>
  </w:style>
  <w:style w:type="table" w:customStyle="1" w:styleId="ab">
    <w:basedOn w:val="TableNormald"/>
    <w:tblPr>
      <w:tblStyleRowBandSize w:val="1"/>
      <w:tblStyleColBandSize w:val="1"/>
      <w:tblCellMar>
        <w:left w:w="115" w:type="dxa"/>
        <w:right w:w="115" w:type="dxa"/>
      </w:tblCellMar>
    </w:tblPr>
  </w:style>
  <w:style w:type="table" w:customStyle="1" w:styleId="ac">
    <w:basedOn w:val="TableNormald"/>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c"/>
    <w:tblPr>
      <w:tblStyleRowBandSize w:val="1"/>
      <w:tblStyleColBandSize w:val="1"/>
      <w:tblCellMar>
        <w:left w:w="115" w:type="dxa"/>
        <w:right w:w="115" w:type="dxa"/>
      </w:tblCellMar>
    </w:tblPr>
  </w:style>
  <w:style w:type="table" w:customStyle="1" w:styleId="ae">
    <w:basedOn w:val="TableNormalc"/>
    <w:tblPr>
      <w:tblStyleRowBandSize w:val="1"/>
      <w:tblStyleColBandSize w:val="1"/>
      <w:tblCellMar>
        <w:left w:w="115" w:type="dxa"/>
        <w:right w:w="115" w:type="dxa"/>
      </w:tblCellMar>
    </w:tblPr>
  </w:style>
  <w:style w:type="table" w:customStyle="1" w:styleId="af">
    <w:basedOn w:val="TableNormalb"/>
    <w:tblPr>
      <w:tblStyleRowBandSize w:val="1"/>
      <w:tblStyleColBandSize w:val="1"/>
      <w:tblCellMar>
        <w:left w:w="115" w:type="dxa"/>
        <w:right w:w="115" w:type="dxa"/>
      </w:tblCellMar>
    </w:tblPr>
  </w:style>
  <w:style w:type="table" w:customStyle="1" w:styleId="af0">
    <w:basedOn w:val="TableNormalb"/>
    <w:tblPr>
      <w:tblStyleRowBandSize w:val="1"/>
      <w:tblStyleColBandSize w:val="1"/>
      <w:tblCellMar>
        <w:left w:w="115" w:type="dxa"/>
        <w:right w:w="115" w:type="dxa"/>
      </w:tblCellMar>
    </w:tblPr>
  </w:style>
  <w:style w:type="table" w:customStyle="1" w:styleId="af1">
    <w:basedOn w:val="TableNormala"/>
    <w:tblPr>
      <w:tblStyleRowBandSize w:val="1"/>
      <w:tblStyleColBandSize w:val="1"/>
      <w:tblCellMar>
        <w:left w:w="115" w:type="dxa"/>
        <w:right w:w="115" w:type="dxa"/>
      </w:tblCellMar>
    </w:tblPr>
  </w:style>
  <w:style w:type="table" w:customStyle="1" w:styleId="af2">
    <w:basedOn w:val="TableNormala"/>
    <w:tblPr>
      <w:tblStyleRowBandSize w:val="1"/>
      <w:tblStyleColBandSize w:val="1"/>
      <w:tblCellMar>
        <w:left w:w="115" w:type="dxa"/>
        <w:right w:w="115" w:type="dxa"/>
      </w:tblCellMar>
    </w:tblPr>
  </w:style>
  <w:style w:type="table" w:customStyle="1" w:styleId="af3">
    <w:basedOn w:val="TableNormal9"/>
    <w:tblPr>
      <w:tblStyleRowBandSize w:val="1"/>
      <w:tblStyleColBandSize w:val="1"/>
      <w:tblCellMar>
        <w:left w:w="115" w:type="dxa"/>
        <w:right w:w="115" w:type="dxa"/>
      </w:tblCellMar>
    </w:tblPr>
  </w:style>
  <w:style w:type="table" w:customStyle="1" w:styleId="af4">
    <w:basedOn w:val="TableNormal9"/>
    <w:tblPr>
      <w:tblStyleRowBandSize w:val="1"/>
      <w:tblStyleColBandSize w:val="1"/>
      <w:tblCellMar>
        <w:left w:w="115" w:type="dxa"/>
        <w:right w:w="115" w:type="dxa"/>
      </w:tblCellMar>
    </w:tblPr>
  </w:style>
  <w:style w:type="table" w:customStyle="1" w:styleId="af5">
    <w:basedOn w:val="TableNormal8"/>
    <w:tblPr>
      <w:tblStyleRowBandSize w:val="1"/>
      <w:tblStyleColBandSize w:val="1"/>
      <w:tblCellMar>
        <w:left w:w="115" w:type="dxa"/>
        <w:right w:w="115" w:type="dxa"/>
      </w:tblCellMar>
    </w:tblPr>
  </w:style>
  <w:style w:type="table" w:customStyle="1" w:styleId="af6">
    <w:basedOn w:val="TableNormal8"/>
    <w:tblPr>
      <w:tblStyleRowBandSize w:val="1"/>
      <w:tblStyleColBandSize w:val="1"/>
      <w:tblCellMar>
        <w:left w:w="115" w:type="dxa"/>
        <w:right w:w="115" w:type="dxa"/>
      </w:tblCellMar>
    </w:tblPr>
  </w:style>
  <w:style w:type="table" w:customStyle="1" w:styleId="af7">
    <w:basedOn w:val="TableNormal7"/>
    <w:tblPr>
      <w:tblStyleRowBandSize w:val="1"/>
      <w:tblStyleColBandSize w:val="1"/>
      <w:tblCellMar>
        <w:left w:w="115" w:type="dxa"/>
        <w:right w:w="115" w:type="dxa"/>
      </w:tblCellMar>
    </w:tblPr>
  </w:style>
  <w:style w:type="table" w:customStyle="1" w:styleId="af8">
    <w:basedOn w:val="TableNormal7"/>
    <w:tblPr>
      <w:tblStyleRowBandSize w:val="1"/>
      <w:tblStyleColBandSize w:val="1"/>
      <w:tblCellMar>
        <w:left w:w="115" w:type="dxa"/>
        <w:right w:w="115" w:type="dxa"/>
      </w:tblCellMar>
    </w:tblPr>
  </w:style>
  <w:style w:type="table" w:customStyle="1" w:styleId="af9">
    <w:basedOn w:val="TableNormal6"/>
    <w:tblPr>
      <w:tblStyleRowBandSize w:val="1"/>
      <w:tblStyleColBandSize w:val="1"/>
      <w:tblCellMar>
        <w:left w:w="115" w:type="dxa"/>
        <w:right w:w="115" w:type="dxa"/>
      </w:tblCellMar>
    </w:tblPr>
  </w:style>
  <w:style w:type="table" w:customStyle="1" w:styleId="afa">
    <w:basedOn w:val="TableNormal6"/>
    <w:tblPr>
      <w:tblStyleRowBandSize w:val="1"/>
      <w:tblStyleColBandSize w:val="1"/>
      <w:tblCellMar>
        <w:left w:w="115" w:type="dxa"/>
        <w:right w:w="115" w:type="dxa"/>
      </w:tblCellMar>
    </w:tblPr>
  </w:style>
  <w:style w:type="table" w:customStyle="1" w:styleId="afb">
    <w:basedOn w:val="TableNormal5"/>
    <w:tblPr>
      <w:tblStyleRowBandSize w:val="1"/>
      <w:tblStyleColBandSize w:val="1"/>
      <w:tblCellMar>
        <w:left w:w="115" w:type="dxa"/>
        <w:right w:w="115" w:type="dxa"/>
      </w:tblCellMar>
    </w:tblPr>
  </w:style>
  <w:style w:type="table" w:customStyle="1" w:styleId="afc">
    <w:basedOn w:val="TableNormal5"/>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character" w:customStyle="1" w:styleId="object">
    <w:name w:val="object"/>
    <w:basedOn w:val="Fuentedeprrafopredeter"/>
    <w:rsid w:val="00372D57"/>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character" w:customStyle="1" w:styleId="Mencinsinresolver5">
    <w:name w:val="Mención sin resolver5"/>
    <w:basedOn w:val="Fuentedeprrafopredeter"/>
    <w:uiPriority w:val="99"/>
    <w:semiHidden/>
    <w:unhideWhenUsed/>
    <w:rsid w:val="002D2956"/>
    <w:rPr>
      <w:color w:val="605E5C"/>
      <w:shd w:val="clear" w:color="auto" w:fill="E1DFDD"/>
    </w:r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8.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asr6LxqgCYGHcs8cz/oyBz82+w==">CgMxLjAyCGguZ2pkZ3hzMghoLnR5amN3dDIJaC4zMGowemxsMgloLjJzOGV5bzEyDWgucTlhNXBxc3Q2c28yCWguMmV0OTJwMDIJaC4xdDNoNXNmMgloLjFmb2I5dGU4AHIhMTU4UUN2SndudjBLNGJqbWxPYkptS3REd3RlT3NUQmVQ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4735</Words>
  <Characters>26044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2025-03-14T16:44:00Z</cp:lastPrinted>
  <dcterms:created xsi:type="dcterms:W3CDTF">2025-03-31T23:45:00Z</dcterms:created>
  <dcterms:modified xsi:type="dcterms:W3CDTF">2025-03-31T23:45:00Z</dcterms:modified>
</cp:coreProperties>
</file>