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00" w:rsidRPr="00F32196" w:rsidRDefault="000A0D00" w:rsidP="000A0D00">
      <w:pPr>
        <w:spacing w:line="360" w:lineRule="auto"/>
        <w:jc w:val="both"/>
        <w:rPr>
          <w:rFonts w:ascii="Palatino Linotype" w:hAnsi="Palatino Linotype"/>
          <w:sz w:val="24"/>
          <w:szCs w:val="24"/>
        </w:rPr>
      </w:pPr>
      <w:r w:rsidRPr="00F32196">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Pr="00F32196">
        <w:rPr>
          <w:rFonts w:ascii="Palatino Linotype" w:hAnsi="Palatino Linotype"/>
          <w:b/>
          <w:sz w:val="24"/>
          <w:szCs w:val="24"/>
        </w:rPr>
        <w:t>tres de diciembre de dos mil veinticinco</w:t>
      </w:r>
      <w:r w:rsidRPr="00F32196">
        <w:rPr>
          <w:rFonts w:ascii="Palatino Linotype" w:hAnsi="Palatino Linotype"/>
          <w:sz w:val="24"/>
          <w:szCs w:val="24"/>
        </w:rPr>
        <w:t>.</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b/>
          <w:color w:val="000000"/>
          <w:sz w:val="24"/>
          <w:szCs w:val="24"/>
        </w:rPr>
        <w:t>VISTO</w:t>
      </w:r>
      <w:r w:rsidRPr="00F32196">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sidRPr="00F32196">
        <w:rPr>
          <w:rFonts w:ascii="Palatino Linotype" w:eastAsia="Palatino Linotype" w:hAnsi="Palatino Linotype" w:cs="Palatino Linotype"/>
          <w:b/>
          <w:color w:val="000000"/>
          <w:sz w:val="24"/>
          <w:szCs w:val="24"/>
        </w:rPr>
        <w:t>11665/INFOEM/IP/RR/2025</w:t>
      </w:r>
      <w:bookmarkEnd w:id="0"/>
      <w:r w:rsidRPr="00F32196">
        <w:rPr>
          <w:rFonts w:ascii="Palatino Linotype" w:eastAsia="Palatino Linotype" w:hAnsi="Palatino Linotype" w:cs="Palatino Linotype"/>
          <w:color w:val="000000"/>
          <w:sz w:val="24"/>
          <w:szCs w:val="24"/>
        </w:rPr>
        <w:t xml:space="preserve">, interpuesto por </w:t>
      </w:r>
      <w:r w:rsidR="000F09A4">
        <w:rPr>
          <w:rFonts w:ascii="Palatino Linotype" w:eastAsia="Palatino Linotype" w:hAnsi="Palatino Linotype" w:cs="Palatino Linotype"/>
          <w:b/>
          <w:color w:val="000000"/>
          <w:sz w:val="24"/>
          <w:szCs w:val="24"/>
        </w:rPr>
        <w:t>XXXXXXXXXXX</w:t>
      </w:r>
      <w:r w:rsidRPr="00F32196">
        <w:rPr>
          <w:rFonts w:ascii="Palatino Linotype" w:eastAsia="Palatino Linotype" w:hAnsi="Palatino Linotype" w:cs="Palatino Linotype"/>
          <w:sz w:val="24"/>
          <w:szCs w:val="24"/>
        </w:rPr>
        <w:t xml:space="preserve">, </w:t>
      </w:r>
      <w:r w:rsidRPr="00F32196">
        <w:rPr>
          <w:rFonts w:ascii="Palatino Linotype" w:eastAsia="Palatino Linotype" w:hAnsi="Palatino Linotype" w:cs="Palatino Linotype"/>
          <w:color w:val="000000"/>
          <w:sz w:val="24"/>
          <w:szCs w:val="24"/>
        </w:rPr>
        <w:t xml:space="preserve">en lo sucesivo el </w:t>
      </w:r>
      <w:r w:rsidRPr="00F32196">
        <w:rPr>
          <w:rFonts w:ascii="Palatino Linotype" w:eastAsia="Palatino Linotype" w:hAnsi="Palatino Linotype" w:cs="Palatino Linotype"/>
          <w:b/>
          <w:color w:val="000000"/>
          <w:sz w:val="24"/>
          <w:szCs w:val="24"/>
        </w:rPr>
        <w:t>Recurrente</w:t>
      </w:r>
      <w:r w:rsidRPr="00F32196">
        <w:rPr>
          <w:rFonts w:ascii="Palatino Linotype" w:eastAsia="Palatino Linotype" w:hAnsi="Palatino Linotype" w:cs="Palatino Linotype"/>
          <w:color w:val="000000"/>
          <w:sz w:val="24"/>
          <w:szCs w:val="24"/>
        </w:rPr>
        <w:t>, en contra de la respuesta del</w:t>
      </w:r>
      <w:r w:rsidRPr="00F32196">
        <w:rPr>
          <w:rFonts w:ascii="Palatino Linotype" w:eastAsia="Palatino Linotype" w:hAnsi="Palatino Linotype" w:cs="Palatino Linotype"/>
          <w:b/>
          <w:color w:val="000000"/>
          <w:sz w:val="24"/>
          <w:szCs w:val="24"/>
        </w:rPr>
        <w:t xml:space="preserve"> </w:t>
      </w:r>
      <w:r w:rsidRPr="00F32196">
        <w:rPr>
          <w:rFonts w:ascii="Palatino Linotype" w:hAnsi="Palatino Linotype"/>
          <w:b/>
          <w:bCs/>
          <w:color w:val="000000"/>
          <w:sz w:val="24"/>
          <w:szCs w:val="24"/>
        </w:rPr>
        <w:t>Sistema Municipal Para el Desarrollo Integral de la Familia de Coacalco de Berriozábal</w:t>
      </w:r>
      <w:r w:rsidRPr="00F32196">
        <w:rPr>
          <w:rFonts w:ascii="Palatino Linotype" w:eastAsia="Palatino Linotype" w:hAnsi="Palatino Linotype" w:cs="Palatino Linotype"/>
          <w:color w:val="000000"/>
          <w:sz w:val="24"/>
          <w:szCs w:val="24"/>
        </w:rPr>
        <w:t>, en lo subsecuente</w:t>
      </w:r>
      <w:r w:rsidRPr="00F32196">
        <w:rPr>
          <w:rFonts w:ascii="Palatino Linotype" w:eastAsia="Palatino Linotype" w:hAnsi="Palatino Linotype" w:cs="Palatino Linotype"/>
          <w:b/>
          <w:color w:val="000000"/>
          <w:sz w:val="24"/>
          <w:szCs w:val="24"/>
        </w:rPr>
        <w:t xml:space="preserve"> </w:t>
      </w:r>
      <w:r w:rsidRPr="00F32196">
        <w:rPr>
          <w:rFonts w:ascii="Palatino Linotype" w:eastAsia="Palatino Linotype" w:hAnsi="Palatino Linotype" w:cs="Palatino Linotype"/>
          <w:color w:val="000000"/>
          <w:sz w:val="24"/>
          <w:szCs w:val="24"/>
        </w:rPr>
        <w:t>el</w:t>
      </w:r>
      <w:r w:rsidRPr="00F32196">
        <w:rPr>
          <w:rFonts w:ascii="Palatino Linotype" w:eastAsia="Palatino Linotype" w:hAnsi="Palatino Linotype" w:cs="Palatino Linotype"/>
          <w:b/>
          <w:color w:val="000000"/>
          <w:sz w:val="24"/>
          <w:szCs w:val="24"/>
        </w:rPr>
        <w:t xml:space="preserve"> Sujeto Obligado, </w:t>
      </w:r>
      <w:r w:rsidRPr="00F32196">
        <w:rPr>
          <w:rFonts w:ascii="Palatino Linotype" w:eastAsia="Palatino Linotype" w:hAnsi="Palatino Linotype" w:cs="Palatino Linotype"/>
          <w:color w:val="000000"/>
          <w:sz w:val="24"/>
          <w:szCs w:val="24"/>
        </w:rPr>
        <w:t>se procede a dictar la presente resolución.</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keepNext/>
        <w:keepLines/>
        <w:spacing w:after="0" w:line="360" w:lineRule="auto"/>
        <w:jc w:val="center"/>
        <w:rPr>
          <w:rFonts w:ascii="Palatino Linotype" w:eastAsia="Palatino Linotype" w:hAnsi="Palatino Linotype" w:cs="Palatino Linotype"/>
          <w:b/>
          <w:color w:val="000000"/>
          <w:sz w:val="32"/>
          <w:szCs w:val="32"/>
        </w:rPr>
      </w:pPr>
      <w:r w:rsidRPr="00F32196">
        <w:rPr>
          <w:rFonts w:ascii="Palatino Linotype" w:eastAsia="Palatino Linotype" w:hAnsi="Palatino Linotype" w:cs="Palatino Linotype"/>
          <w:b/>
          <w:color w:val="000000"/>
          <w:sz w:val="32"/>
          <w:szCs w:val="32"/>
        </w:rPr>
        <w:t>ANTECEDENTES</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8"/>
          <w:szCs w:val="28"/>
        </w:rPr>
      </w:pPr>
      <w:r w:rsidRPr="00F32196">
        <w:rPr>
          <w:rFonts w:ascii="Palatino Linotype" w:eastAsia="Palatino Linotype" w:hAnsi="Palatino Linotype" w:cs="Palatino Linotype"/>
          <w:b/>
          <w:color w:val="000000"/>
          <w:sz w:val="28"/>
          <w:szCs w:val="28"/>
        </w:rPr>
        <w:t>PRIMERO. De la Solicitud de Información.</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Con fecha doce de septiembre de dos mil veinticinco, el Recurrente presentó mediante el Sistema de Acceso a la Información Mexiquense (SAIMEX), solicitud de información registrada con el número de </w:t>
      </w:r>
      <w:r w:rsidRPr="00F32196">
        <w:rPr>
          <w:rFonts w:ascii="Palatino Linotype" w:eastAsia="Palatino Linotype" w:hAnsi="Palatino Linotype" w:cs="Palatino Linotype"/>
          <w:sz w:val="24"/>
          <w:szCs w:val="24"/>
        </w:rPr>
        <w:t>expediente</w:t>
      </w:r>
      <w:r w:rsidRPr="00F32196">
        <w:rPr>
          <w:rFonts w:ascii="Verdana" w:eastAsia="Verdana" w:hAnsi="Verdana" w:cs="Verdana"/>
          <w:b/>
          <w:color w:val="FF0000"/>
          <w:sz w:val="24"/>
          <w:szCs w:val="24"/>
        </w:rPr>
        <w:t> </w:t>
      </w:r>
      <w:r w:rsidRPr="00F32196">
        <w:rPr>
          <w:color w:val="000000"/>
          <w:sz w:val="27"/>
          <w:szCs w:val="27"/>
        </w:rPr>
        <w:t> </w:t>
      </w:r>
      <w:r w:rsidRPr="00F32196">
        <w:rPr>
          <w:rFonts w:ascii="Verdana" w:eastAsia="Verdana" w:hAnsi="Verdana" w:cs="Verdana"/>
          <w:b/>
          <w:color w:val="FF0000"/>
          <w:sz w:val="20"/>
          <w:szCs w:val="20"/>
        </w:rPr>
        <w:t> </w:t>
      </w:r>
      <w:r w:rsidRPr="00F32196">
        <w:rPr>
          <w:rFonts w:ascii="Palatino Linotype" w:hAnsi="Palatino Linotype"/>
          <w:b/>
          <w:bCs/>
        </w:rPr>
        <w:t>00026/DIFCOACALC/IP/2025</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b/>
          <w:sz w:val="24"/>
          <w:szCs w:val="24"/>
        </w:rPr>
        <w:t xml:space="preserve"> </w:t>
      </w:r>
      <w:r w:rsidRPr="00F32196">
        <w:rPr>
          <w:rFonts w:ascii="Palatino Linotype" w:eastAsia="Palatino Linotype" w:hAnsi="Palatino Linotype" w:cs="Palatino Linotype"/>
          <w:color w:val="000000"/>
          <w:sz w:val="24"/>
          <w:szCs w:val="24"/>
        </w:rPr>
        <w:t>mediante la cual solicitó información en el tenor siguiente:</w:t>
      </w:r>
    </w:p>
    <w:p w:rsidR="000A0D00" w:rsidRPr="00F32196" w:rsidRDefault="000A0D00" w:rsidP="000A0D00">
      <w:pPr>
        <w:spacing w:after="0" w:line="360" w:lineRule="auto"/>
        <w:jc w:val="both"/>
        <w:rPr>
          <w:rFonts w:ascii="Palatino Linotype" w:eastAsia="Palatino Linotype" w:hAnsi="Palatino Linotype" w:cs="Palatino Linotype"/>
          <w:i/>
          <w:color w:val="000000"/>
          <w:sz w:val="24"/>
          <w:szCs w:val="24"/>
        </w:rPr>
      </w:pPr>
    </w:p>
    <w:p w:rsidR="000A0D00" w:rsidRPr="00F32196" w:rsidRDefault="000A0D00" w:rsidP="000A0D00">
      <w:pPr>
        <w:spacing w:after="0" w:line="240" w:lineRule="auto"/>
        <w:jc w:val="both"/>
        <w:rPr>
          <w:rFonts w:ascii="Times New Roman" w:eastAsia="Times New Roman" w:hAnsi="Times New Roman" w:cs="Times New Roman"/>
          <w:sz w:val="24"/>
          <w:szCs w:val="24"/>
        </w:rPr>
      </w:pPr>
      <w:r w:rsidRPr="00F32196">
        <w:rPr>
          <w:rFonts w:ascii="Palatino Linotype" w:eastAsia="Times New Roman" w:hAnsi="Palatino Linotype" w:cs="Times New Roman"/>
          <w:i/>
          <w:sz w:val="24"/>
          <w:szCs w:val="24"/>
        </w:rPr>
        <w:t xml:space="preserve">“Solicito todas las juntas de gobierno de enero </w:t>
      </w:r>
      <w:proofErr w:type="spellStart"/>
      <w:r w:rsidRPr="00F32196">
        <w:rPr>
          <w:rFonts w:ascii="Palatino Linotype" w:eastAsia="Times New Roman" w:hAnsi="Palatino Linotype" w:cs="Times New Roman"/>
          <w:i/>
          <w:sz w:val="24"/>
          <w:szCs w:val="24"/>
        </w:rPr>
        <w:t>asta</w:t>
      </w:r>
      <w:proofErr w:type="spellEnd"/>
      <w:r w:rsidRPr="00F32196">
        <w:rPr>
          <w:rFonts w:ascii="Palatino Linotype" w:eastAsia="Times New Roman" w:hAnsi="Palatino Linotype" w:cs="Times New Roman"/>
          <w:i/>
          <w:sz w:val="24"/>
          <w:szCs w:val="24"/>
        </w:rPr>
        <w:t xml:space="preserve"> hoy y los contratos </w:t>
      </w:r>
      <w:proofErr w:type="spellStart"/>
      <w:r w:rsidRPr="00F32196">
        <w:rPr>
          <w:rFonts w:ascii="Palatino Linotype" w:eastAsia="Times New Roman" w:hAnsi="Palatino Linotype" w:cs="Times New Roman"/>
          <w:i/>
          <w:sz w:val="24"/>
          <w:szCs w:val="24"/>
        </w:rPr>
        <w:t>echos</w:t>
      </w:r>
      <w:proofErr w:type="spellEnd"/>
      <w:r w:rsidRPr="00F32196">
        <w:rPr>
          <w:rFonts w:ascii="Palatino Linotype" w:eastAsia="Times New Roman" w:hAnsi="Palatino Linotype" w:cs="Times New Roman"/>
          <w:i/>
          <w:sz w:val="24"/>
          <w:szCs w:val="24"/>
        </w:rPr>
        <w:t xml:space="preserve"> de enero </w:t>
      </w:r>
      <w:proofErr w:type="spellStart"/>
      <w:r w:rsidRPr="00F32196">
        <w:rPr>
          <w:rFonts w:ascii="Palatino Linotype" w:eastAsia="Times New Roman" w:hAnsi="Palatino Linotype" w:cs="Times New Roman"/>
          <w:i/>
          <w:sz w:val="24"/>
          <w:szCs w:val="24"/>
        </w:rPr>
        <w:t>asta</w:t>
      </w:r>
      <w:proofErr w:type="spellEnd"/>
      <w:r w:rsidRPr="00F32196">
        <w:rPr>
          <w:rFonts w:ascii="Palatino Linotype" w:eastAsia="Times New Roman" w:hAnsi="Palatino Linotype" w:cs="Times New Roman"/>
          <w:i/>
          <w:sz w:val="24"/>
          <w:szCs w:val="24"/>
        </w:rPr>
        <w:t xml:space="preserve"> hoy</w:t>
      </w:r>
      <w:r w:rsidRPr="00F32196">
        <w:rPr>
          <w:rFonts w:ascii="Palatino Linotype" w:eastAsia="Palatino Linotype" w:hAnsi="Palatino Linotype" w:cs="Palatino Linotype"/>
          <w:i/>
          <w:color w:val="000000"/>
          <w:sz w:val="24"/>
          <w:szCs w:val="24"/>
        </w:rPr>
        <w:t>.”</w:t>
      </w:r>
      <w:r w:rsidRPr="00F32196">
        <w:rPr>
          <w:rFonts w:ascii="Palatino Linotype" w:eastAsia="Palatino Linotype" w:hAnsi="Palatino Linotype" w:cs="Palatino Linotype"/>
          <w:i/>
          <w:color w:val="000000"/>
        </w:rPr>
        <w:t xml:space="preserve"> (Sic)</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b/>
          <w:color w:val="000000"/>
          <w:sz w:val="24"/>
          <w:szCs w:val="24"/>
        </w:rPr>
      </w:pPr>
      <w:r w:rsidRPr="00F32196">
        <w:rPr>
          <w:rFonts w:ascii="Palatino Linotype" w:eastAsia="Palatino Linotype" w:hAnsi="Palatino Linotype" w:cs="Palatino Linotype"/>
          <w:color w:val="000000"/>
          <w:sz w:val="24"/>
          <w:szCs w:val="24"/>
        </w:rPr>
        <w:lastRenderedPageBreak/>
        <w:t xml:space="preserve">Modalidad de entrega: </w:t>
      </w:r>
      <w:r w:rsidRPr="00F32196">
        <w:rPr>
          <w:rFonts w:ascii="Palatino Linotype" w:eastAsia="Palatino Linotype" w:hAnsi="Palatino Linotype" w:cs="Palatino Linotype"/>
          <w:b/>
          <w:color w:val="000000"/>
          <w:sz w:val="24"/>
          <w:szCs w:val="24"/>
        </w:rPr>
        <w:t>A través del SAIMEX</w:t>
      </w:r>
      <w:r w:rsidRPr="00F32196">
        <w:rPr>
          <w:rFonts w:ascii="Palatino Linotype" w:eastAsia="Palatino Linotype" w:hAnsi="Palatino Linotype" w:cs="Palatino Linotype"/>
          <w:color w:val="000000"/>
          <w:sz w:val="24"/>
          <w:szCs w:val="24"/>
        </w:rPr>
        <w:t>.</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8"/>
          <w:szCs w:val="28"/>
        </w:rPr>
      </w:pPr>
      <w:r w:rsidRPr="00F32196">
        <w:rPr>
          <w:rFonts w:ascii="Palatino Linotype" w:eastAsia="Palatino Linotype" w:hAnsi="Palatino Linotype" w:cs="Palatino Linotype"/>
          <w:b/>
          <w:color w:val="000000"/>
          <w:sz w:val="28"/>
          <w:szCs w:val="28"/>
        </w:rPr>
        <w:t>SEGUNDO. De la respuesta del Sujeto Obligado.</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De las constancias que obran en el expediente electrónico, se observa que el seis de octubre de dos mil veinticinco, el Sujeto Obligado dio respuesta a la solicitud de información manifestando lo siguiente:</w:t>
      </w:r>
    </w:p>
    <w:tbl>
      <w:tblPr>
        <w:tblW w:w="8495" w:type="dxa"/>
        <w:jc w:val="center"/>
        <w:tblCellSpacing w:w="0" w:type="dxa"/>
        <w:tblCellMar>
          <w:left w:w="0" w:type="dxa"/>
          <w:right w:w="0" w:type="dxa"/>
        </w:tblCellMar>
        <w:tblLook w:val="04A0" w:firstRow="1" w:lastRow="0" w:firstColumn="1" w:lastColumn="0" w:noHBand="0" w:noVBand="1"/>
      </w:tblPr>
      <w:tblGrid>
        <w:gridCol w:w="8495"/>
      </w:tblGrid>
      <w:tr w:rsidR="000A0D00" w:rsidRPr="00F32196" w:rsidTr="000A0D00">
        <w:trPr>
          <w:trHeight w:val="284"/>
          <w:tblCellSpacing w:w="0" w:type="dxa"/>
          <w:jc w:val="center"/>
        </w:trPr>
        <w:tc>
          <w:tcPr>
            <w:tcW w:w="0" w:type="auto"/>
            <w:vAlign w:val="center"/>
            <w:hideMark/>
          </w:tcPr>
          <w:p w:rsidR="000A0D00" w:rsidRPr="00F32196" w:rsidRDefault="000A0D00" w:rsidP="000A0D00">
            <w:pPr>
              <w:spacing w:after="0" w:line="240" w:lineRule="auto"/>
              <w:jc w:val="right"/>
              <w:rPr>
                <w:rFonts w:ascii="Palatino Linotype" w:eastAsia="Times New Roman" w:hAnsi="Palatino Linotype" w:cs="Times New Roman"/>
                <w:i/>
              </w:rPr>
            </w:pPr>
            <w:r w:rsidRPr="00F32196">
              <w:rPr>
                <w:rFonts w:ascii="Palatino Linotype" w:eastAsia="Times New Roman" w:hAnsi="Palatino Linotype" w:cs="Times New Roman"/>
                <w:i/>
              </w:rPr>
              <w:t>ara el Desarrollo Integral de la Familia de Coacalco de Berriozábal, México a 06 de Octubre de 2025</w:t>
            </w:r>
          </w:p>
        </w:tc>
      </w:tr>
      <w:tr w:rsidR="000A0D00" w:rsidRPr="00F32196" w:rsidTr="000A0D00">
        <w:trPr>
          <w:trHeight w:val="284"/>
          <w:tblCellSpacing w:w="0" w:type="dxa"/>
          <w:jc w:val="center"/>
        </w:trPr>
        <w:tc>
          <w:tcPr>
            <w:tcW w:w="0" w:type="auto"/>
            <w:vAlign w:val="center"/>
            <w:hideMark/>
          </w:tcPr>
          <w:p w:rsidR="000A0D00" w:rsidRPr="00F32196" w:rsidRDefault="000A0D00" w:rsidP="000A0D00">
            <w:pPr>
              <w:spacing w:after="0" w:line="240" w:lineRule="auto"/>
              <w:jc w:val="right"/>
              <w:rPr>
                <w:rFonts w:ascii="Palatino Linotype" w:eastAsia="Times New Roman" w:hAnsi="Palatino Linotype" w:cs="Times New Roman"/>
                <w:i/>
              </w:rPr>
            </w:pPr>
            <w:r w:rsidRPr="00F32196">
              <w:rPr>
                <w:rFonts w:ascii="Palatino Linotype" w:eastAsia="Times New Roman" w:hAnsi="Palatino Linotype" w:cs="Times New Roman"/>
                <w:i/>
              </w:rPr>
              <w:t>Nombre del solicitante: C. Solicitante</w:t>
            </w:r>
          </w:p>
        </w:tc>
      </w:tr>
      <w:tr w:rsidR="000A0D00" w:rsidRPr="00F32196" w:rsidTr="000A0D00">
        <w:trPr>
          <w:trHeight w:val="284"/>
          <w:tblCellSpacing w:w="0" w:type="dxa"/>
          <w:jc w:val="center"/>
        </w:trPr>
        <w:tc>
          <w:tcPr>
            <w:tcW w:w="0" w:type="auto"/>
            <w:vAlign w:val="center"/>
            <w:hideMark/>
          </w:tcPr>
          <w:p w:rsidR="000A0D00" w:rsidRPr="00F32196" w:rsidRDefault="000A0D00" w:rsidP="000A0D00">
            <w:pPr>
              <w:spacing w:after="0" w:line="240" w:lineRule="auto"/>
              <w:jc w:val="right"/>
              <w:rPr>
                <w:rFonts w:ascii="Palatino Linotype" w:eastAsia="Times New Roman" w:hAnsi="Palatino Linotype" w:cs="Times New Roman"/>
                <w:i/>
              </w:rPr>
            </w:pPr>
            <w:r w:rsidRPr="00F32196">
              <w:rPr>
                <w:rFonts w:ascii="Palatino Linotype" w:eastAsia="Times New Roman" w:hAnsi="Palatino Linotype" w:cs="Times New Roman"/>
                <w:i/>
              </w:rPr>
              <w:t>Folio de la solicitud: 00026/DIFCOACALC/IP/2025</w:t>
            </w:r>
          </w:p>
        </w:tc>
      </w:tr>
      <w:tr w:rsidR="000A0D00" w:rsidRPr="00F32196" w:rsidTr="000A0D00">
        <w:trPr>
          <w:trHeight w:val="426"/>
          <w:tblCellSpacing w:w="0" w:type="dxa"/>
          <w:jc w:val="center"/>
        </w:trPr>
        <w:tc>
          <w:tcPr>
            <w:tcW w:w="0" w:type="auto"/>
            <w:vAlign w:val="center"/>
            <w:hideMark/>
          </w:tcPr>
          <w:p w:rsidR="000A0D00" w:rsidRPr="00F32196" w:rsidRDefault="000A0D00" w:rsidP="000A0D00">
            <w:pPr>
              <w:spacing w:after="0" w:line="240" w:lineRule="auto"/>
              <w:jc w:val="right"/>
              <w:rPr>
                <w:rFonts w:ascii="Palatino Linotype" w:eastAsia="Times New Roman" w:hAnsi="Palatino Linotype" w:cs="Times New Roman"/>
                <w:i/>
              </w:rPr>
            </w:pPr>
          </w:p>
        </w:tc>
      </w:tr>
      <w:tr w:rsidR="000A0D00" w:rsidRPr="00F32196" w:rsidTr="000A0D00">
        <w:trPr>
          <w:trHeight w:val="142"/>
          <w:tblCellSpacing w:w="0" w:type="dxa"/>
          <w:jc w:val="center"/>
        </w:trPr>
        <w:tc>
          <w:tcPr>
            <w:tcW w:w="0" w:type="auto"/>
            <w:vAlign w:val="center"/>
            <w:hideMark/>
          </w:tcPr>
          <w:p w:rsidR="000A0D00" w:rsidRPr="00F32196" w:rsidRDefault="000A0D00" w:rsidP="000A0D00">
            <w:pPr>
              <w:spacing w:after="0" w:line="240" w:lineRule="auto"/>
              <w:jc w:val="both"/>
              <w:rPr>
                <w:rFonts w:ascii="Palatino Linotype" w:eastAsia="Times New Roman" w:hAnsi="Palatino Linotype" w:cs="Times New Roman"/>
                <w:i/>
              </w:rPr>
            </w:pPr>
            <w:r w:rsidRPr="00F32196">
              <w:rPr>
                <w:rFonts w:ascii="Palatino Linotype" w:eastAsia="Times New Roman" w:hAnsi="Palatino Linotype" w:cs="Times New Roman"/>
                <w:i/>
              </w:rPr>
              <w:t xml:space="preserve">C. Asunto: Entrega de información solicitada a través de la Plataforma Nacional de Transparencia de acuerdo a la solicitud 00026/DIFCOACALC/IP/2025, recibida en fecha doce de septiembre del presente año. Con fundamento en lo dispuesto por los artículos 12 segundo párrafo, 19 párrafo segundo, 23 fracción IV, 24, 159, 162 y 163 de la Ley de Transparencia y Acceso a la Información Pública del Estado de México y Municipios, se hace de su conocimiento, tanto al Instituto de Transparencia, Acceso a la Información Pública y Protección de Datos Personales del Estado de México y Municipios (INFOEM). En atención a la información requerida en la solicitud de acceso a la información con folio 00026/DIFCOACALC/IP/2025, </w:t>
            </w:r>
            <w:r w:rsidRPr="00F32196">
              <w:rPr>
                <w:rFonts w:ascii="Palatino Linotype" w:eastAsia="Times New Roman" w:hAnsi="Palatino Linotype" w:cs="Times New Roman"/>
                <w:b/>
                <w:i/>
              </w:rPr>
              <w:t>se solicita de la persona solicitante, proporcione que tipo de contratos requiere la información.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F32196">
              <w:rPr>
                <w:rFonts w:ascii="Palatino Linotype" w:eastAsia="Times New Roman" w:hAnsi="Palatino Linotype" w:cs="Times New Roman"/>
                <w:i/>
              </w:rPr>
              <w:t xml:space="preserve"> C. solicitante, que la información requerida </w:t>
            </w:r>
            <w:proofErr w:type="gramStart"/>
            <w:r w:rsidRPr="00F32196">
              <w:rPr>
                <w:rFonts w:ascii="Palatino Linotype" w:eastAsia="Times New Roman" w:hAnsi="Palatino Linotype" w:cs="Times New Roman"/>
                <w:i/>
              </w:rPr>
              <w:t>“ juntas</w:t>
            </w:r>
            <w:proofErr w:type="gramEnd"/>
            <w:r w:rsidRPr="00F32196">
              <w:rPr>
                <w:rFonts w:ascii="Palatino Linotype" w:eastAsia="Times New Roman" w:hAnsi="Palatino Linotype" w:cs="Times New Roman"/>
                <w:i/>
              </w:rPr>
              <w:t xml:space="preserve"> de gobierno de enero </w:t>
            </w:r>
            <w:proofErr w:type="spellStart"/>
            <w:r w:rsidRPr="00F32196">
              <w:rPr>
                <w:rFonts w:ascii="Palatino Linotype" w:eastAsia="Times New Roman" w:hAnsi="Palatino Linotype" w:cs="Times New Roman"/>
                <w:i/>
              </w:rPr>
              <w:t>asta</w:t>
            </w:r>
            <w:proofErr w:type="spellEnd"/>
            <w:r w:rsidRPr="00F32196">
              <w:rPr>
                <w:rFonts w:ascii="Palatino Linotype" w:eastAsia="Times New Roman" w:hAnsi="Palatino Linotype" w:cs="Times New Roman"/>
                <w:i/>
              </w:rPr>
              <w:t xml:space="preserve"> hoy “(SIC), mediante solicitud 00026/DIFCOACALC/IP/2025 de acceso a la información fue enviada de manera completa, clara y oportuna, a través de la Plataforma Nacional de Transparencia (PNT), en archivo adjunto siendo los siguientes.</w:t>
            </w:r>
          </w:p>
        </w:tc>
      </w:tr>
    </w:tbl>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i/>
          <w:color w:val="000000"/>
        </w:rPr>
      </w:pPr>
    </w:p>
    <w:p w:rsidR="000A0D00" w:rsidRPr="00F32196" w:rsidRDefault="000A0D00" w:rsidP="000A0D00">
      <w:pPr>
        <w:spacing w:after="0" w:line="360" w:lineRule="auto"/>
        <w:jc w:val="both"/>
        <w:rPr>
          <w:rFonts w:ascii="Palatino Linotype" w:eastAsia="Palatino Linotype" w:hAnsi="Palatino Linotype" w:cs="Palatino Linotype"/>
          <w:i/>
          <w:color w:val="000000"/>
        </w:rPr>
      </w:pPr>
    </w:p>
    <w:p w:rsidR="000A0D00" w:rsidRPr="00F32196" w:rsidRDefault="000A0D00" w:rsidP="000A0D00">
      <w:pPr>
        <w:spacing w:after="0" w:line="360" w:lineRule="auto"/>
        <w:jc w:val="both"/>
        <w:rPr>
          <w:rFonts w:ascii="Palatino Linotype" w:hAnsi="Palatino Linotype" w:cs="Arial"/>
          <w:b/>
          <w:bCs/>
          <w:i/>
          <w:sz w:val="24"/>
          <w:szCs w:val="24"/>
        </w:rPr>
      </w:pPr>
      <w:r w:rsidRPr="00F32196">
        <w:rPr>
          <w:rFonts w:ascii="Palatino Linotype" w:eastAsia="Palatino Linotype" w:hAnsi="Palatino Linotype" w:cs="Palatino Linotype"/>
          <w:color w:val="000000"/>
          <w:sz w:val="24"/>
          <w:szCs w:val="24"/>
        </w:rPr>
        <w:lastRenderedPageBreak/>
        <w:t xml:space="preserve">El Sujeto Obligado, adjuntó a su respuesta el documento denominado </w:t>
      </w:r>
      <w:r w:rsidRPr="00F32196">
        <w:rPr>
          <w:rFonts w:ascii="Palatino Linotype" w:eastAsia="Palatino Linotype" w:hAnsi="Palatino Linotype" w:cs="Palatino Linotype"/>
          <w:i/>
          <w:sz w:val="24"/>
          <w:szCs w:val="24"/>
        </w:rPr>
        <w:t>“</w:t>
      </w:r>
      <w:r w:rsidRPr="00F32196">
        <w:rPr>
          <w:rFonts w:ascii="Palatino Linotype" w:hAnsi="Palatino Linotype" w:cs="Arial"/>
          <w:b/>
          <w:bCs/>
          <w:sz w:val="24"/>
          <w:szCs w:val="24"/>
        </w:rPr>
        <w:t>00026-DIFCOACALC-IP-2025.pdf” y “SMDIFCOADGUT1072025 ST.pdf</w:t>
      </w:r>
      <w:r w:rsidRPr="00F32196">
        <w:rPr>
          <w:rFonts w:ascii="Palatino Linotype" w:eastAsia="Palatino Linotype" w:hAnsi="Palatino Linotype" w:cs="Palatino Linotype"/>
          <w:b/>
          <w:i/>
          <w:sz w:val="24"/>
          <w:szCs w:val="24"/>
        </w:rPr>
        <w:t xml:space="preserve">”, </w:t>
      </w:r>
      <w:r w:rsidRPr="00F32196">
        <w:rPr>
          <w:rFonts w:ascii="Palatino Linotype" w:eastAsia="Palatino Linotype" w:hAnsi="Palatino Linotype" w:cs="Palatino Linotype"/>
          <w:sz w:val="24"/>
          <w:szCs w:val="24"/>
        </w:rPr>
        <w:t xml:space="preserve">los cuales </w:t>
      </w:r>
      <w:r w:rsidRPr="00F32196">
        <w:rPr>
          <w:rFonts w:ascii="Palatino Linotype" w:eastAsia="Palatino Linotype" w:hAnsi="Palatino Linotype" w:cs="Palatino Linotype"/>
          <w:color w:val="000000"/>
          <w:sz w:val="24"/>
          <w:szCs w:val="24"/>
        </w:rPr>
        <w:t>no se reproducen por ser del conocimiento de las partes; no obstante, su contenido será motivo de análisis en el estudio correspondiente.</w:t>
      </w:r>
    </w:p>
    <w:p w:rsidR="007F2F74" w:rsidRPr="00F32196" w:rsidRDefault="007F2F74" w:rsidP="000A0D00">
      <w:pPr>
        <w:keepNext/>
        <w:keepLines/>
        <w:spacing w:after="0" w:line="360" w:lineRule="auto"/>
        <w:jc w:val="both"/>
        <w:rPr>
          <w:rFonts w:ascii="Palatino Linotype" w:hAnsi="Palatino Linotype" w:cs="Arial"/>
          <w:b/>
          <w:bCs/>
          <w:sz w:val="20"/>
          <w:szCs w:val="20"/>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8"/>
          <w:szCs w:val="28"/>
        </w:rPr>
      </w:pPr>
      <w:r w:rsidRPr="00F32196">
        <w:rPr>
          <w:rFonts w:ascii="Palatino Linotype" w:eastAsia="Palatino Linotype" w:hAnsi="Palatino Linotype" w:cs="Palatino Linotype"/>
          <w:b/>
          <w:color w:val="000000"/>
          <w:sz w:val="28"/>
          <w:szCs w:val="28"/>
        </w:rPr>
        <w:t>TERCERO. Del recurso de revisión.</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ocho de octubre de dos mil veinticinco, el cual se registró con el expediente número </w:t>
      </w:r>
      <w:r w:rsidRPr="00F32196">
        <w:rPr>
          <w:rFonts w:ascii="Palatino Linotype" w:eastAsia="Palatino Linotype" w:hAnsi="Palatino Linotype" w:cs="Palatino Linotype"/>
          <w:b/>
          <w:color w:val="000000"/>
          <w:sz w:val="24"/>
          <w:szCs w:val="24"/>
        </w:rPr>
        <w:t>11665/INFOEM/IP/RR/2025</w:t>
      </w:r>
      <w:r w:rsidRPr="00F32196">
        <w:rPr>
          <w:rFonts w:ascii="Palatino Linotype" w:eastAsia="Palatino Linotype" w:hAnsi="Palatino Linotype" w:cs="Palatino Linotype"/>
          <w:color w:val="000000"/>
          <w:sz w:val="24"/>
          <w:szCs w:val="24"/>
        </w:rPr>
        <w:t>, manifestando lo siguiente:</w:t>
      </w:r>
    </w:p>
    <w:p w:rsidR="000A0D00" w:rsidRPr="00F32196" w:rsidRDefault="000A0D00" w:rsidP="000A0D00">
      <w:pPr>
        <w:numPr>
          <w:ilvl w:val="0"/>
          <w:numId w:val="9"/>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sz w:val="24"/>
          <w:szCs w:val="24"/>
        </w:rPr>
      </w:pPr>
      <w:r w:rsidRPr="00F32196">
        <w:rPr>
          <w:rFonts w:ascii="Palatino Linotype" w:eastAsia="Palatino Linotype" w:hAnsi="Palatino Linotype" w:cs="Palatino Linotype"/>
          <w:b/>
          <w:i/>
          <w:color w:val="000000"/>
          <w:sz w:val="24"/>
          <w:szCs w:val="24"/>
        </w:rPr>
        <w:t>Acto Impugnado y Motivos de Inconformidad</w:t>
      </w:r>
      <w:r w:rsidRPr="00F32196">
        <w:rPr>
          <w:rFonts w:ascii="Palatino Linotype" w:eastAsia="Palatino Linotype" w:hAnsi="Palatino Linotype" w:cs="Palatino Linotype"/>
          <w:color w:val="000000"/>
          <w:sz w:val="24"/>
          <w:szCs w:val="24"/>
        </w:rPr>
        <w:t>:</w:t>
      </w:r>
      <w:r w:rsidRPr="00F32196">
        <w:rPr>
          <w:rFonts w:ascii="Palatino Linotype" w:eastAsia="Palatino Linotype" w:hAnsi="Palatino Linotype" w:cs="Palatino Linotype"/>
          <w:b/>
          <w:color w:val="000000"/>
          <w:sz w:val="24"/>
          <w:szCs w:val="24"/>
        </w:rPr>
        <w:t>:</w:t>
      </w:r>
    </w:p>
    <w:p w:rsidR="000A0D00" w:rsidRPr="00F32196" w:rsidRDefault="000A0D00" w:rsidP="000A0D00">
      <w:pPr>
        <w:pBdr>
          <w:top w:val="nil"/>
          <w:left w:val="nil"/>
          <w:bottom w:val="nil"/>
          <w:right w:val="nil"/>
          <w:between w:val="nil"/>
        </w:pBdr>
        <w:spacing w:after="0" w:line="360" w:lineRule="auto"/>
        <w:ind w:left="785" w:right="567"/>
        <w:jc w:val="both"/>
        <w:rPr>
          <w:rFonts w:ascii="Palatino Linotype" w:eastAsia="Palatino Linotype" w:hAnsi="Palatino Linotype" w:cs="Palatino Linotype"/>
          <w:i/>
          <w:color w:val="000000"/>
          <w:sz w:val="24"/>
          <w:szCs w:val="24"/>
        </w:rPr>
      </w:pPr>
      <w:r w:rsidRPr="00F32196">
        <w:rPr>
          <w:rFonts w:ascii="Palatino Linotype" w:eastAsia="Palatino Linotype" w:hAnsi="Palatino Linotype" w:cs="Palatino Linotype"/>
          <w:i/>
          <w:color w:val="000000"/>
          <w:sz w:val="24"/>
          <w:szCs w:val="24"/>
        </w:rPr>
        <w:t>“</w:t>
      </w:r>
      <w:r w:rsidRPr="00F32196">
        <w:rPr>
          <w:rFonts w:ascii="Palatino Linotype" w:hAnsi="Palatino Linotype"/>
          <w:i/>
          <w:color w:val="000000"/>
          <w:sz w:val="24"/>
          <w:szCs w:val="24"/>
        </w:rPr>
        <w:t xml:space="preserve">Solo enviaron las juntas de </w:t>
      </w:r>
      <w:proofErr w:type="spellStart"/>
      <w:r w:rsidRPr="00F32196">
        <w:rPr>
          <w:rFonts w:ascii="Palatino Linotype" w:hAnsi="Palatino Linotype"/>
          <w:i/>
          <w:color w:val="000000"/>
          <w:sz w:val="24"/>
          <w:szCs w:val="24"/>
        </w:rPr>
        <w:t>gobirno</w:t>
      </w:r>
      <w:proofErr w:type="spellEnd"/>
      <w:r w:rsidRPr="00F32196">
        <w:rPr>
          <w:rFonts w:ascii="Palatino Linotype" w:hAnsi="Palatino Linotype"/>
          <w:i/>
          <w:color w:val="000000"/>
          <w:sz w:val="24"/>
          <w:szCs w:val="24"/>
        </w:rPr>
        <w:t xml:space="preserve"> </w:t>
      </w:r>
      <w:r w:rsidRPr="00F32196">
        <w:rPr>
          <w:rFonts w:ascii="Palatino Linotype" w:hAnsi="Palatino Linotype"/>
          <w:b/>
          <w:i/>
          <w:color w:val="000000"/>
          <w:sz w:val="24"/>
          <w:szCs w:val="24"/>
        </w:rPr>
        <w:t>y no los contratos</w:t>
      </w:r>
      <w:r w:rsidRPr="00F32196">
        <w:rPr>
          <w:rFonts w:ascii="Palatino Linotype" w:eastAsia="Palatino Linotype" w:hAnsi="Palatino Linotype" w:cs="Palatino Linotype"/>
          <w:i/>
          <w:color w:val="000000"/>
          <w:sz w:val="24"/>
          <w:szCs w:val="24"/>
        </w:rPr>
        <w:t xml:space="preserve"> </w:t>
      </w:r>
      <w:proofErr w:type="gramStart"/>
      <w:r w:rsidRPr="00F32196">
        <w:rPr>
          <w:rFonts w:ascii="Palatino Linotype" w:eastAsia="Palatino Linotype" w:hAnsi="Palatino Linotype" w:cs="Palatino Linotype"/>
          <w:i/>
          <w:color w:val="000000"/>
          <w:sz w:val="24"/>
          <w:szCs w:val="24"/>
        </w:rPr>
        <w:t>“ (</w:t>
      </w:r>
      <w:proofErr w:type="gramEnd"/>
      <w:r w:rsidRPr="00F32196">
        <w:rPr>
          <w:rFonts w:ascii="Palatino Linotype" w:eastAsia="Palatino Linotype" w:hAnsi="Palatino Linotype" w:cs="Palatino Linotype"/>
          <w:i/>
          <w:color w:val="000000"/>
          <w:sz w:val="24"/>
          <w:szCs w:val="24"/>
        </w:rPr>
        <w:t>Sic)</w:t>
      </w:r>
    </w:p>
    <w:p w:rsidR="000A0D00" w:rsidRPr="00F32196" w:rsidRDefault="000A0D00" w:rsidP="000A0D00">
      <w:pPr>
        <w:pBdr>
          <w:top w:val="nil"/>
          <w:left w:val="nil"/>
          <w:bottom w:val="nil"/>
          <w:right w:val="nil"/>
          <w:between w:val="nil"/>
        </w:pBdr>
        <w:spacing w:after="0" w:line="360" w:lineRule="auto"/>
        <w:ind w:left="785" w:right="567"/>
        <w:jc w:val="both"/>
        <w:rPr>
          <w:rFonts w:ascii="Palatino Linotype" w:eastAsia="Palatino Linotype" w:hAnsi="Palatino Linotype" w:cs="Palatino Linotype"/>
          <w:i/>
          <w:color w:val="000000"/>
          <w:sz w:val="24"/>
          <w:szCs w:val="24"/>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8"/>
          <w:szCs w:val="28"/>
        </w:rPr>
      </w:pPr>
      <w:r w:rsidRPr="00F32196">
        <w:rPr>
          <w:rFonts w:ascii="Palatino Linotype" w:eastAsia="Palatino Linotype" w:hAnsi="Palatino Linotype" w:cs="Palatino Linotype"/>
          <w:b/>
          <w:color w:val="000000"/>
          <w:sz w:val="28"/>
          <w:szCs w:val="28"/>
        </w:rPr>
        <w:t>CUARTO. Del turno y admisión del recurso de revisión.</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Medio de impugnación que le fue turnado al </w:t>
      </w:r>
      <w:r w:rsidRPr="00F32196">
        <w:rPr>
          <w:rFonts w:ascii="Palatino Linotype" w:eastAsia="Palatino Linotype" w:hAnsi="Palatino Linotype" w:cs="Palatino Linotype"/>
          <w:b/>
          <w:color w:val="000000"/>
          <w:sz w:val="24"/>
          <w:szCs w:val="24"/>
        </w:rPr>
        <w:t>Comisionado Presidente José Martínez Vilchis</w:t>
      </w:r>
      <w:r w:rsidRPr="00F32196">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al cual recayó acuerdo de admisión de fecha</w:t>
      </w:r>
      <w:r w:rsidRPr="00F32196">
        <w:rPr>
          <w:rFonts w:ascii="Palatino Linotype" w:eastAsia="Palatino Linotype" w:hAnsi="Palatino Linotype" w:cs="Palatino Linotype"/>
          <w:b/>
          <w:color w:val="000000"/>
          <w:sz w:val="24"/>
          <w:szCs w:val="24"/>
        </w:rPr>
        <w:t xml:space="preserve"> trece de octubre de dos mil veinticinco</w:t>
      </w:r>
      <w:r w:rsidRPr="00F32196">
        <w:rPr>
          <w:rFonts w:ascii="Palatino Linotype" w:eastAsia="Palatino Linotype" w:hAnsi="Palatino Linotype" w:cs="Palatino Linotype"/>
          <w:color w:val="000000"/>
          <w:sz w:val="24"/>
          <w:szCs w:val="24"/>
        </w:rPr>
        <w:t xml:space="preserve">, </w:t>
      </w:r>
      <w:r w:rsidRPr="00F32196">
        <w:rPr>
          <w:rFonts w:ascii="Palatino Linotype" w:eastAsia="Palatino Linotype" w:hAnsi="Palatino Linotype" w:cs="Palatino Linotype"/>
          <w:sz w:val="24"/>
          <w:szCs w:val="24"/>
        </w:rPr>
        <w:t>otorgándose</w:t>
      </w:r>
      <w:r w:rsidRPr="00F32196">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0A0D00" w:rsidRPr="00F32196" w:rsidRDefault="000A0D00" w:rsidP="000A0D00">
      <w:pPr>
        <w:spacing w:after="0" w:line="360" w:lineRule="auto"/>
        <w:jc w:val="both"/>
        <w:rPr>
          <w:rFonts w:ascii="Palatino Linotype" w:eastAsia="Palatino Linotype" w:hAnsi="Palatino Linotype" w:cs="Palatino Linotype"/>
          <w:color w:val="000000"/>
          <w:sz w:val="28"/>
          <w:szCs w:val="28"/>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8"/>
          <w:szCs w:val="28"/>
        </w:rPr>
      </w:pPr>
      <w:r w:rsidRPr="00F32196">
        <w:rPr>
          <w:rFonts w:ascii="Palatino Linotype" w:eastAsia="Palatino Linotype" w:hAnsi="Palatino Linotype" w:cs="Palatino Linotype"/>
          <w:b/>
          <w:color w:val="000000"/>
          <w:sz w:val="28"/>
          <w:szCs w:val="28"/>
        </w:rPr>
        <w:lastRenderedPageBreak/>
        <w:t>QUINTO. De la etapa de instrucción.</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Una vez abierta la etapa de instrucción, el Sujeto Obligado rindió su informe justificado en fecha </w:t>
      </w:r>
      <w:r w:rsidR="007F2F74" w:rsidRPr="00F32196">
        <w:rPr>
          <w:rFonts w:ascii="Palatino Linotype" w:eastAsia="Palatino Linotype" w:hAnsi="Palatino Linotype" w:cs="Palatino Linotype"/>
          <w:b/>
          <w:color w:val="000000"/>
          <w:sz w:val="24"/>
          <w:szCs w:val="24"/>
        </w:rPr>
        <w:t>veintidós de octubre</w:t>
      </w:r>
      <w:r w:rsidRPr="00F32196">
        <w:rPr>
          <w:rFonts w:ascii="Palatino Linotype" w:eastAsia="Palatino Linotype" w:hAnsi="Palatino Linotype" w:cs="Palatino Linotype"/>
          <w:b/>
          <w:color w:val="000000"/>
          <w:sz w:val="24"/>
          <w:szCs w:val="24"/>
        </w:rPr>
        <w:t xml:space="preserve"> de dos mil veinticinco</w:t>
      </w:r>
      <w:r w:rsidRPr="00F32196">
        <w:rPr>
          <w:rFonts w:ascii="Palatino Linotype" w:eastAsia="Palatino Linotype" w:hAnsi="Palatino Linotype" w:cs="Palatino Linotype"/>
          <w:color w:val="000000"/>
          <w:sz w:val="24"/>
          <w:szCs w:val="24"/>
        </w:rPr>
        <w:t xml:space="preserve">, por lo que en fecha </w:t>
      </w:r>
      <w:r w:rsidR="007F2F74" w:rsidRPr="00F32196">
        <w:rPr>
          <w:rFonts w:ascii="Palatino Linotype" w:eastAsia="Palatino Linotype" w:hAnsi="Palatino Linotype" w:cs="Palatino Linotype"/>
          <w:color w:val="000000"/>
          <w:sz w:val="24"/>
          <w:szCs w:val="24"/>
        </w:rPr>
        <w:t>veinticuatro de noviembre</w:t>
      </w:r>
      <w:r w:rsidRPr="00F32196">
        <w:rPr>
          <w:rFonts w:ascii="Palatino Linotype" w:eastAsia="Palatino Linotype" w:hAnsi="Palatino Linotype" w:cs="Palatino Linotype"/>
          <w:color w:val="000000"/>
          <w:sz w:val="24"/>
          <w:szCs w:val="24"/>
        </w:rPr>
        <w:t xml:space="preserve"> de dos mil veinticinco fue puesto a la vista del Recurrente para q</w:t>
      </w:r>
      <w:r w:rsidR="007F2F74" w:rsidRPr="00F32196">
        <w:rPr>
          <w:rFonts w:ascii="Palatino Linotype" w:eastAsia="Palatino Linotype" w:hAnsi="Palatino Linotype" w:cs="Palatino Linotype"/>
          <w:color w:val="000000"/>
          <w:sz w:val="24"/>
          <w:szCs w:val="24"/>
        </w:rPr>
        <w:t>ue rindiera sus manifestaciones</w:t>
      </w:r>
      <w:r w:rsidRPr="00F32196">
        <w:rPr>
          <w:rFonts w:ascii="Palatino Linotype" w:eastAsia="Palatino Linotype" w:hAnsi="Palatino Linotype" w:cs="Palatino Linotype"/>
          <w:color w:val="000000"/>
          <w:sz w:val="24"/>
          <w:szCs w:val="24"/>
        </w:rPr>
        <w:t xml:space="preserve">. Por su parte, el Recurrente no realizó manifestaciones, vertió alegatos ni presentó pruebas que a su derecho convinieran. </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b/>
          <w:color w:val="000000"/>
          <w:sz w:val="28"/>
          <w:szCs w:val="28"/>
        </w:rPr>
        <w:t>SEXTO. Del cierre de instrucción.</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Así, una vez transcurrido el término legal, se decretó el cierre de instrucción en fecha</w:t>
      </w:r>
      <w:r w:rsidRPr="00F32196">
        <w:rPr>
          <w:rFonts w:ascii="Palatino Linotype" w:eastAsia="Palatino Linotype" w:hAnsi="Palatino Linotype" w:cs="Palatino Linotype"/>
          <w:b/>
          <w:color w:val="000000"/>
          <w:sz w:val="24"/>
          <w:szCs w:val="24"/>
        </w:rPr>
        <w:t xml:space="preserve"> </w:t>
      </w:r>
      <w:r w:rsidR="007F2F74" w:rsidRPr="00F32196">
        <w:rPr>
          <w:rFonts w:ascii="Palatino Linotype" w:eastAsia="Palatino Linotype" w:hAnsi="Palatino Linotype" w:cs="Palatino Linotype"/>
          <w:b/>
          <w:color w:val="000000"/>
          <w:sz w:val="24"/>
          <w:szCs w:val="24"/>
        </w:rPr>
        <w:t>primero de diciembre</w:t>
      </w:r>
      <w:r w:rsidRPr="00F32196">
        <w:rPr>
          <w:rFonts w:ascii="Palatino Linotype" w:eastAsia="Palatino Linotype" w:hAnsi="Palatino Linotype" w:cs="Palatino Linotype"/>
          <w:b/>
          <w:color w:val="000000"/>
          <w:sz w:val="24"/>
          <w:szCs w:val="24"/>
        </w:rPr>
        <w:t xml:space="preserve"> de dos mil veinticinco</w:t>
      </w:r>
      <w:r w:rsidRPr="00F32196">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7F2F74" w:rsidRPr="00F32196" w:rsidRDefault="007F2F74" w:rsidP="000A0D00">
      <w:pPr>
        <w:spacing w:after="0" w:line="360" w:lineRule="auto"/>
        <w:jc w:val="both"/>
        <w:rPr>
          <w:rFonts w:ascii="Palatino Linotype" w:eastAsia="Palatino Linotype" w:hAnsi="Palatino Linotype" w:cs="Palatino Linotype"/>
          <w:color w:val="000000"/>
          <w:sz w:val="24"/>
          <w:szCs w:val="24"/>
        </w:rPr>
      </w:pPr>
    </w:p>
    <w:p w:rsidR="0044542D" w:rsidRPr="00F32196" w:rsidRDefault="0044542D" w:rsidP="0044542D">
      <w:pPr>
        <w:keepNext/>
        <w:keepLines/>
        <w:spacing w:after="0" w:line="360" w:lineRule="auto"/>
        <w:jc w:val="both"/>
        <w:outlineLvl w:val="1"/>
        <w:rPr>
          <w:rFonts w:ascii="Palatino Linotype" w:eastAsia="Times New Roman" w:hAnsi="Palatino Linotype" w:cs="Palatino Linotype"/>
          <w:color w:val="000000"/>
          <w:sz w:val="24"/>
          <w:szCs w:val="24"/>
          <w:lang w:val="es-ES_tradnl"/>
        </w:rPr>
      </w:pPr>
      <w:r w:rsidRPr="00F32196">
        <w:rPr>
          <w:rFonts w:ascii="Palatino Linotype" w:hAnsi="Palatino Linotype" w:cs="Arial"/>
          <w:b/>
          <w:sz w:val="28"/>
          <w:szCs w:val="28"/>
        </w:rPr>
        <w:t>SÉPTIMO. De la ampliación de plazo para resolver.</w:t>
      </w:r>
    </w:p>
    <w:p w:rsidR="0044542D" w:rsidRPr="00F32196" w:rsidRDefault="0044542D" w:rsidP="0044542D">
      <w:pPr>
        <w:spacing w:line="360" w:lineRule="auto"/>
        <w:jc w:val="both"/>
        <w:rPr>
          <w:rFonts w:ascii="Palatino Linotype" w:hAnsi="Palatino Linotype" w:cs="Arial"/>
          <w:sz w:val="24"/>
          <w:szCs w:val="24"/>
        </w:rPr>
      </w:pPr>
      <w:r w:rsidRPr="00F32196">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F32196">
        <w:rPr>
          <w:rFonts w:ascii="Palatino Linotype" w:hAnsi="Palatino Linotype" w:cs="Arial"/>
          <w:b/>
          <w:sz w:val="24"/>
          <w:szCs w:val="24"/>
        </w:rPr>
        <w:t xml:space="preserve"> veinticinco de noviembre de dos mil veinticinco</w:t>
      </w:r>
      <w:r w:rsidRPr="00F32196">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Transparencia y </w:t>
      </w:r>
      <w:r w:rsidRPr="00F32196">
        <w:rPr>
          <w:rFonts w:ascii="Palatino Linotype" w:hAnsi="Palatino Linotype" w:cs="Arial"/>
          <w:sz w:val="24"/>
          <w:szCs w:val="24"/>
        </w:rPr>
        <w:lastRenderedPageBreak/>
        <w:t>Acceso a la Información Pública del Estado de México y Municipios, ordenándose turnar los expedientes a la resolución que en derecho proceda.</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44542D" w:rsidRPr="00F32196" w:rsidRDefault="0044542D"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keepNext/>
        <w:keepLines/>
        <w:spacing w:after="0" w:line="360" w:lineRule="auto"/>
        <w:jc w:val="center"/>
        <w:rPr>
          <w:rFonts w:ascii="Palatino Linotype" w:eastAsia="Palatino Linotype" w:hAnsi="Palatino Linotype" w:cs="Palatino Linotype"/>
          <w:b/>
          <w:color w:val="000000"/>
          <w:sz w:val="28"/>
          <w:szCs w:val="28"/>
        </w:rPr>
      </w:pPr>
      <w:r w:rsidRPr="00F32196">
        <w:rPr>
          <w:rFonts w:ascii="Palatino Linotype" w:eastAsia="Palatino Linotype" w:hAnsi="Palatino Linotype" w:cs="Palatino Linotype"/>
          <w:b/>
          <w:color w:val="000000"/>
          <w:sz w:val="28"/>
          <w:szCs w:val="28"/>
        </w:rPr>
        <w:t>C  O   N   S   I   D  E   R  A   N   D   O</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8"/>
          <w:szCs w:val="28"/>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8"/>
          <w:szCs w:val="28"/>
        </w:rPr>
      </w:pPr>
      <w:r w:rsidRPr="00F32196">
        <w:rPr>
          <w:rFonts w:ascii="Palatino Linotype" w:eastAsia="Palatino Linotype" w:hAnsi="Palatino Linotype" w:cs="Palatino Linotype"/>
          <w:b/>
          <w:color w:val="000000"/>
          <w:sz w:val="28"/>
          <w:szCs w:val="28"/>
        </w:rPr>
        <w:t>PRIMERO. De la competencia.</w:t>
      </w:r>
    </w:p>
    <w:p w:rsidR="000A0D00" w:rsidRPr="00F32196" w:rsidRDefault="000A0D00" w:rsidP="0044542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4542D" w:rsidRPr="00F32196" w:rsidRDefault="0044542D" w:rsidP="0044542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6"/>
          <w:szCs w:val="26"/>
        </w:rPr>
      </w:pPr>
      <w:r w:rsidRPr="00F32196">
        <w:rPr>
          <w:rFonts w:ascii="Palatino Linotype" w:eastAsia="Palatino Linotype" w:hAnsi="Palatino Linotype" w:cs="Palatino Linotype"/>
          <w:b/>
          <w:color w:val="000000"/>
          <w:sz w:val="26"/>
          <w:szCs w:val="26"/>
        </w:rPr>
        <w:lastRenderedPageBreak/>
        <w:t xml:space="preserve">SEGUNDO. Sobre los alcances del recurso de revisión. </w:t>
      </w:r>
    </w:p>
    <w:p w:rsidR="000A0D00" w:rsidRPr="00F32196" w:rsidRDefault="000A0D00" w:rsidP="000A0D00">
      <w:pPr>
        <w:spacing w:after="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A0D00" w:rsidRPr="00F32196" w:rsidRDefault="000A0D00" w:rsidP="000A0D00">
      <w:pPr>
        <w:spacing w:after="0" w:line="360" w:lineRule="auto"/>
        <w:jc w:val="both"/>
        <w:rPr>
          <w:rFonts w:ascii="Palatino Linotype" w:eastAsia="Palatino Linotype" w:hAnsi="Palatino Linotype" w:cs="Palatino Linotype"/>
          <w:sz w:val="24"/>
          <w:szCs w:val="24"/>
        </w:rPr>
      </w:pPr>
    </w:p>
    <w:p w:rsidR="000A0D00" w:rsidRPr="00F32196" w:rsidRDefault="000A0D00" w:rsidP="000A0D00">
      <w:pPr>
        <w:spacing w:before="240" w:line="360" w:lineRule="auto"/>
        <w:rPr>
          <w:rFonts w:ascii="Palatino Linotype" w:eastAsia="Palatino Linotype" w:hAnsi="Palatino Linotype" w:cs="Palatino Linotype"/>
          <w:b/>
          <w:color w:val="000000"/>
          <w:sz w:val="26"/>
          <w:szCs w:val="26"/>
        </w:rPr>
      </w:pPr>
      <w:r w:rsidRPr="00F32196">
        <w:rPr>
          <w:rFonts w:ascii="Palatino Linotype" w:eastAsia="Palatino Linotype" w:hAnsi="Palatino Linotype" w:cs="Palatino Linotype"/>
          <w:b/>
          <w:color w:val="000000"/>
          <w:sz w:val="26"/>
          <w:szCs w:val="26"/>
        </w:rPr>
        <w:t xml:space="preserve">TERCERO. De las causas de improcedencia. </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sidRPr="00F32196">
        <w:rPr>
          <w:rFonts w:ascii="Palatino Linotype" w:eastAsia="Palatino Linotype" w:hAnsi="Palatino Linotype" w:cs="Palatino Linotype"/>
          <w:color w:val="000000"/>
          <w:sz w:val="24"/>
          <w:szCs w:val="24"/>
        </w:rPr>
        <w:t>procedibilidad</w:t>
      </w:r>
      <w:proofErr w:type="spellEnd"/>
      <w:r w:rsidRPr="00F32196">
        <w:rPr>
          <w:rFonts w:ascii="Palatino Linotype" w:eastAsia="Palatino Linotype" w:hAnsi="Palatino Linotype" w:cs="Palatino Linotype"/>
          <w:color w:val="000000"/>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w:t>
      </w:r>
      <w:proofErr w:type="spellStart"/>
      <w:r w:rsidRPr="00F32196">
        <w:rPr>
          <w:rFonts w:ascii="Palatino Linotype" w:eastAsia="Palatino Linotype" w:hAnsi="Palatino Linotype" w:cs="Palatino Linotype"/>
          <w:color w:val="000000"/>
          <w:sz w:val="24"/>
          <w:szCs w:val="24"/>
        </w:rPr>
        <w:t>Resolutor</w:t>
      </w:r>
      <w:proofErr w:type="spellEnd"/>
      <w:r w:rsidRPr="00F32196">
        <w:rPr>
          <w:rFonts w:ascii="Palatino Linotype" w:eastAsia="Palatino Linotype" w:hAnsi="Palatino Linotype" w:cs="Palatino Linotype"/>
          <w:color w:val="000000"/>
          <w:sz w:val="24"/>
          <w:szCs w:val="24"/>
        </w:rPr>
        <w:t xml:space="preserve"> y por ende objeto de análisis previo al estudio de fondo del asunto; presupuestos procesales de inicio o trámite de un proceso que dotan de seguridad jurídica las resoluciones, máxime que es </w:t>
      </w:r>
      <w:r w:rsidRPr="00F32196">
        <w:rPr>
          <w:rFonts w:ascii="Palatino Linotype" w:eastAsia="Palatino Linotype" w:hAnsi="Palatino Linotype" w:cs="Palatino Linotype"/>
          <w:color w:val="000000"/>
          <w:sz w:val="24"/>
          <w:szCs w:val="24"/>
        </w:rPr>
        <w:lastRenderedPageBreak/>
        <w:t>una figura procesal adoptada en la ley de la materia</w:t>
      </w:r>
      <w:r w:rsidRPr="00F32196">
        <w:rPr>
          <w:rFonts w:ascii="Palatino Linotype" w:eastAsia="Palatino Linotype" w:hAnsi="Palatino Linotype" w:cs="Palatino Linotype"/>
          <w:color w:val="000000"/>
          <w:sz w:val="24"/>
          <w:szCs w:val="24"/>
          <w:vertAlign w:val="superscript"/>
        </w:rPr>
        <w:footnoteReference w:id="1"/>
      </w:r>
      <w:r w:rsidRPr="00F32196">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w:t>
      </w:r>
      <w:r w:rsidRPr="00F32196">
        <w:rPr>
          <w:rFonts w:ascii="Palatino Linotype" w:eastAsia="Palatino Linotype" w:hAnsi="Palatino Linotype" w:cs="Palatino Linotype"/>
          <w:color w:val="000000"/>
          <w:sz w:val="24"/>
          <w:szCs w:val="24"/>
        </w:rPr>
        <w:lastRenderedPageBreak/>
        <w:t>del Estado de México y Municipios, encontrándose actualizados todos los presupuestos procesales para atender el fondo del asunto, en los términos del considerando posterior.</w:t>
      </w:r>
    </w:p>
    <w:p w:rsidR="0044542D" w:rsidRPr="00F32196" w:rsidRDefault="0044542D"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before="80"/>
        <w:rPr>
          <w:rFonts w:ascii="Palatino Linotype" w:eastAsia="Palatino Linotype" w:hAnsi="Palatino Linotype" w:cs="Palatino Linotype"/>
          <w:b/>
        </w:rPr>
      </w:pPr>
      <w:r w:rsidRPr="00F32196">
        <w:rPr>
          <w:rFonts w:ascii="Palatino Linotype" w:eastAsia="Palatino Linotype" w:hAnsi="Palatino Linotype" w:cs="Palatino Linotype"/>
          <w:b/>
          <w:sz w:val="28"/>
          <w:szCs w:val="28"/>
        </w:rPr>
        <w:t>TERCERO. Cuestiones de previo y especial pronunciamiento</w:t>
      </w:r>
    </w:p>
    <w:p w:rsidR="000A0D00" w:rsidRPr="00F32196" w:rsidRDefault="000A0D00" w:rsidP="000A0D00">
      <w:pPr>
        <w:spacing w:before="24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0A0D00" w:rsidRPr="00F32196" w:rsidRDefault="000A0D00" w:rsidP="000A0D00">
      <w:pPr>
        <w:spacing w:before="240" w:line="360" w:lineRule="auto"/>
        <w:ind w:left="360" w:firstLine="348"/>
        <w:jc w:val="both"/>
        <w:rPr>
          <w:rFonts w:ascii="Palatino Linotype" w:eastAsia="Palatino Linotype" w:hAnsi="Palatino Linotype" w:cs="Palatino Linotype"/>
          <w:i/>
        </w:rPr>
      </w:pPr>
      <w:r w:rsidRPr="00F32196">
        <w:rPr>
          <w:rFonts w:ascii="Palatino Linotype" w:eastAsia="Palatino Linotype" w:hAnsi="Palatino Linotype" w:cs="Palatino Linotype"/>
          <w:i/>
        </w:rPr>
        <w:t>“Artículo 180. El recurso de revisión contendrá:</w:t>
      </w:r>
    </w:p>
    <w:p w:rsidR="000A0D00" w:rsidRPr="00F32196" w:rsidRDefault="000A0D00" w:rsidP="000A0D00">
      <w:pPr>
        <w:numPr>
          <w:ilvl w:val="0"/>
          <w:numId w:val="8"/>
        </w:numPr>
        <w:spacing w:before="240" w:after="0" w:line="360" w:lineRule="auto"/>
        <w:jc w:val="both"/>
        <w:rPr>
          <w:rFonts w:ascii="Palatino Linotype" w:eastAsia="Palatino Linotype" w:hAnsi="Palatino Linotype" w:cs="Palatino Linotype"/>
          <w:i/>
        </w:rPr>
      </w:pPr>
      <w:r w:rsidRPr="00F32196">
        <w:rPr>
          <w:rFonts w:ascii="Palatino Linotype" w:eastAsia="Palatino Linotype" w:hAnsi="Palatino Linotype" w:cs="Palatino Linotype"/>
          <w:i/>
        </w:rPr>
        <w:t>EL sujeto obligado ante la cual se presentó la solicitud;</w:t>
      </w:r>
    </w:p>
    <w:p w:rsidR="000A0D00" w:rsidRPr="00F32196" w:rsidRDefault="000A0D00" w:rsidP="000A0D00">
      <w:pPr>
        <w:numPr>
          <w:ilvl w:val="0"/>
          <w:numId w:val="8"/>
        </w:numPr>
        <w:spacing w:before="240" w:after="0" w:line="360" w:lineRule="auto"/>
        <w:jc w:val="both"/>
        <w:rPr>
          <w:rFonts w:ascii="Palatino Linotype" w:eastAsia="Palatino Linotype" w:hAnsi="Palatino Linotype" w:cs="Palatino Linotype"/>
          <w:i/>
        </w:rPr>
      </w:pPr>
      <w:r w:rsidRPr="00F32196">
        <w:rPr>
          <w:rFonts w:ascii="Palatino Linotype" w:eastAsia="Palatino Linotype" w:hAnsi="Palatino Linotype" w:cs="Palatino Linotype"/>
          <w:i/>
        </w:rPr>
        <w:t>El nombre del solicitante que recurre o de su representante y, en su caso, del tercero interesado, así como la dirección o medio que señale para recibir notificaciones;</w:t>
      </w:r>
    </w:p>
    <w:p w:rsidR="000A0D00" w:rsidRPr="00F32196" w:rsidRDefault="000A0D00" w:rsidP="000A0D00">
      <w:pPr>
        <w:numPr>
          <w:ilvl w:val="0"/>
          <w:numId w:val="8"/>
        </w:numPr>
        <w:spacing w:before="240" w:after="0" w:line="360" w:lineRule="auto"/>
        <w:jc w:val="both"/>
        <w:rPr>
          <w:rFonts w:ascii="Palatino Linotype" w:eastAsia="Palatino Linotype" w:hAnsi="Palatino Linotype" w:cs="Palatino Linotype"/>
          <w:i/>
        </w:rPr>
      </w:pPr>
      <w:r w:rsidRPr="00F32196">
        <w:rPr>
          <w:rFonts w:ascii="Palatino Linotype" w:eastAsia="Palatino Linotype" w:hAnsi="Palatino Linotype" w:cs="Palatino Linotype"/>
          <w:i/>
        </w:rPr>
        <w:t>El número de folio de respuesta de la solicitud de acceso;</w:t>
      </w:r>
    </w:p>
    <w:p w:rsidR="000A0D00" w:rsidRPr="00F32196" w:rsidRDefault="000A0D00" w:rsidP="000A0D00">
      <w:pPr>
        <w:spacing w:before="240" w:line="360" w:lineRule="auto"/>
        <w:ind w:left="1080"/>
        <w:jc w:val="both"/>
        <w:rPr>
          <w:rFonts w:ascii="Palatino Linotype" w:eastAsia="Palatino Linotype" w:hAnsi="Palatino Linotype" w:cs="Palatino Linotype"/>
          <w:i/>
        </w:rPr>
      </w:pPr>
      <w:r w:rsidRPr="00F32196">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rsidR="000A0D00" w:rsidRPr="00F32196" w:rsidRDefault="000A0D00" w:rsidP="000A0D00">
      <w:pPr>
        <w:spacing w:before="240" w:line="360" w:lineRule="auto"/>
        <w:ind w:left="732" w:firstLine="348"/>
        <w:jc w:val="both"/>
        <w:rPr>
          <w:rFonts w:ascii="Palatino Linotype" w:eastAsia="Palatino Linotype" w:hAnsi="Palatino Linotype" w:cs="Palatino Linotype"/>
          <w:i/>
        </w:rPr>
      </w:pPr>
      <w:r w:rsidRPr="00F32196">
        <w:rPr>
          <w:rFonts w:ascii="Palatino Linotype" w:eastAsia="Palatino Linotype" w:hAnsi="Palatino Linotype" w:cs="Palatino Linotype"/>
          <w:i/>
        </w:rPr>
        <w:t>V. El acto que se recurre;</w:t>
      </w:r>
    </w:p>
    <w:p w:rsidR="000A0D00" w:rsidRPr="00F32196" w:rsidRDefault="000A0D00" w:rsidP="000A0D00">
      <w:pPr>
        <w:spacing w:before="240" w:line="360" w:lineRule="auto"/>
        <w:ind w:left="732" w:firstLine="348"/>
        <w:jc w:val="both"/>
        <w:rPr>
          <w:rFonts w:ascii="Palatino Linotype" w:eastAsia="Palatino Linotype" w:hAnsi="Palatino Linotype" w:cs="Palatino Linotype"/>
          <w:i/>
        </w:rPr>
      </w:pPr>
      <w:r w:rsidRPr="00F32196">
        <w:rPr>
          <w:rFonts w:ascii="Palatino Linotype" w:eastAsia="Palatino Linotype" w:hAnsi="Palatino Linotype" w:cs="Palatino Linotype"/>
          <w:i/>
        </w:rPr>
        <w:t>VI. Las razones o motivos de inconformidad;</w:t>
      </w:r>
    </w:p>
    <w:p w:rsidR="000A0D00" w:rsidRPr="00F32196" w:rsidRDefault="000A0D00" w:rsidP="000A0D00">
      <w:pPr>
        <w:spacing w:before="240" w:line="360" w:lineRule="auto"/>
        <w:ind w:left="1080"/>
        <w:jc w:val="both"/>
        <w:rPr>
          <w:rFonts w:ascii="Palatino Linotype" w:eastAsia="Palatino Linotype" w:hAnsi="Palatino Linotype" w:cs="Palatino Linotype"/>
          <w:i/>
        </w:rPr>
      </w:pPr>
      <w:r w:rsidRPr="00F32196">
        <w:rPr>
          <w:rFonts w:ascii="Palatino Linotype" w:eastAsia="Palatino Linotype" w:hAnsi="Palatino Linotype" w:cs="Palatino Linotype"/>
          <w:i/>
        </w:rPr>
        <w:t>VII. La copia de la respuesta que se impugna y, en su caso, de la notificación correspondiente, en el caso de respuesta de la solicitud; y</w:t>
      </w:r>
    </w:p>
    <w:p w:rsidR="000A0D00" w:rsidRPr="00F32196" w:rsidRDefault="000A0D00" w:rsidP="000A0D00">
      <w:pPr>
        <w:spacing w:before="240" w:line="360" w:lineRule="auto"/>
        <w:ind w:left="732" w:firstLine="348"/>
        <w:jc w:val="both"/>
        <w:rPr>
          <w:rFonts w:ascii="Palatino Linotype" w:eastAsia="Palatino Linotype" w:hAnsi="Palatino Linotype" w:cs="Palatino Linotype"/>
          <w:i/>
        </w:rPr>
      </w:pPr>
      <w:r w:rsidRPr="00F32196">
        <w:rPr>
          <w:rFonts w:ascii="Palatino Linotype" w:eastAsia="Palatino Linotype" w:hAnsi="Palatino Linotype" w:cs="Palatino Linotype"/>
          <w:i/>
        </w:rPr>
        <w:lastRenderedPageBreak/>
        <w:t>VIII. Firma del recurrente, en su caso, cuando se presente por escrito, requisito sin el cual se dará trámite al recurso.</w:t>
      </w:r>
    </w:p>
    <w:p w:rsidR="000A0D00" w:rsidRPr="00F32196" w:rsidRDefault="000A0D00" w:rsidP="000A0D00">
      <w:pPr>
        <w:spacing w:before="240" w:line="360" w:lineRule="auto"/>
        <w:ind w:left="1080"/>
        <w:jc w:val="both"/>
        <w:rPr>
          <w:rFonts w:ascii="Palatino Linotype" w:eastAsia="Palatino Linotype" w:hAnsi="Palatino Linotype" w:cs="Palatino Linotype"/>
          <w:i/>
        </w:rPr>
      </w:pPr>
      <w:r w:rsidRPr="00F32196">
        <w:rPr>
          <w:rFonts w:ascii="Palatino Linotype" w:eastAsia="Palatino Linotype" w:hAnsi="Palatino Linotype" w:cs="Palatino Linotype"/>
          <w:i/>
        </w:rPr>
        <w:t>Adicionalmente, se podrán anexar las pruebas y demás elementos que considere procedentes someter a juicio del Instituto.</w:t>
      </w:r>
    </w:p>
    <w:p w:rsidR="000A0D00" w:rsidRPr="00F32196" w:rsidRDefault="000A0D00" w:rsidP="000A0D00">
      <w:pPr>
        <w:spacing w:before="240" w:line="360" w:lineRule="auto"/>
        <w:ind w:left="732" w:firstLine="348"/>
        <w:jc w:val="both"/>
        <w:rPr>
          <w:rFonts w:ascii="Palatino Linotype" w:eastAsia="Palatino Linotype" w:hAnsi="Palatino Linotype" w:cs="Palatino Linotype"/>
          <w:i/>
        </w:rPr>
      </w:pPr>
      <w:r w:rsidRPr="00F32196">
        <w:rPr>
          <w:rFonts w:ascii="Palatino Linotype" w:eastAsia="Palatino Linotype" w:hAnsi="Palatino Linotype" w:cs="Palatino Linotype"/>
          <w:i/>
        </w:rPr>
        <w:t>En ningún caso será necesario que el particular ratifique el recurso de revisión interpuesto.</w:t>
      </w:r>
    </w:p>
    <w:p w:rsidR="000A0D00" w:rsidRPr="00F32196" w:rsidRDefault="000A0D00" w:rsidP="000A0D00">
      <w:pPr>
        <w:spacing w:before="240" w:line="360" w:lineRule="auto"/>
        <w:ind w:left="1080"/>
        <w:jc w:val="both"/>
        <w:rPr>
          <w:rFonts w:ascii="Palatino Linotype" w:eastAsia="Palatino Linotype" w:hAnsi="Palatino Linotype" w:cs="Palatino Linotype"/>
          <w:b/>
          <w:i/>
          <w:u w:val="single"/>
        </w:rPr>
      </w:pPr>
      <w:r w:rsidRPr="00F32196">
        <w:rPr>
          <w:rFonts w:ascii="Palatino Linotype" w:eastAsia="Palatino Linotype" w:hAnsi="Palatino Linotype" w:cs="Palatino Linotype"/>
          <w:b/>
          <w:i/>
          <w:u w:val="single"/>
        </w:rPr>
        <w:t>En caso de que el recurso se interponga de manera electrónica no será indispensable que contengan los requisitos establecidos en las fracciones II, IV, VII y VIII.” [Sic]</w:t>
      </w:r>
    </w:p>
    <w:p w:rsidR="000A0D00" w:rsidRPr="00F32196" w:rsidRDefault="000A0D00" w:rsidP="000A0D00">
      <w:pPr>
        <w:spacing w:line="360" w:lineRule="auto"/>
        <w:jc w:val="both"/>
        <w:rPr>
          <w:rFonts w:ascii="Palatino Linotype" w:eastAsia="Palatino Linotype" w:hAnsi="Palatino Linotype" w:cs="Palatino Linotype"/>
          <w:sz w:val="24"/>
          <w:szCs w:val="24"/>
        </w:rPr>
      </w:pPr>
    </w:p>
    <w:p w:rsidR="000A0D00" w:rsidRPr="00F32196" w:rsidRDefault="000A0D00" w:rsidP="000A0D00">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Cabe señalar que </w:t>
      </w:r>
      <w:r w:rsidRPr="00F32196">
        <w:rPr>
          <w:rFonts w:ascii="Palatino Linotype" w:eastAsia="Palatino Linotype" w:hAnsi="Palatino Linotype" w:cs="Palatino Linotype"/>
          <w:b/>
          <w:sz w:val="24"/>
          <w:szCs w:val="24"/>
        </w:rPr>
        <w:t>El Recurrente</w:t>
      </w:r>
      <w:r w:rsidRPr="00F32196">
        <w:rPr>
          <w:rFonts w:ascii="Palatino Linotype" w:eastAsia="Palatino Linotype" w:hAnsi="Palatino Linotype" w:cs="Palatino Linotype"/>
          <w:sz w:val="24"/>
          <w:szCs w:val="24"/>
        </w:rPr>
        <w:t xml:space="preserve"> </w:t>
      </w:r>
      <w:r w:rsidRPr="00F32196">
        <w:rPr>
          <w:rFonts w:ascii="Palatino Linotype" w:eastAsia="Palatino Linotype" w:hAnsi="Palatino Linotype" w:cs="Palatino Linotype"/>
          <w:sz w:val="24"/>
          <w:szCs w:val="24"/>
          <w:u w:val="single"/>
        </w:rPr>
        <w:t xml:space="preserve">ejerció </w:t>
      </w:r>
      <w:r w:rsidR="0044542D" w:rsidRPr="00F32196">
        <w:rPr>
          <w:rFonts w:ascii="Palatino Linotype" w:eastAsia="Palatino Linotype" w:hAnsi="Palatino Linotype" w:cs="Palatino Linotype"/>
          <w:sz w:val="24"/>
          <w:szCs w:val="24"/>
          <w:u w:val="single"/>
        </w:rPr>
        <w:t>mediante su nombre</w:t>
      </w:r>
      <w:r w:rsidRPr="00F32196">
        <w:rPr>
          <w:rFonts w:ascii="Palatino Linotype" w:eastAsia="Palatino Linotype" w:hAnsi="Palatino Linotype" w:cs="Palatino Linotype"/>
          <w:sz w:val="24"/>
          <w:szCs w:val="24"/>
          <w:u w:val="single"/>
        </w:rPr>
        <w:t xml:space="preserve"> su derecho de acceso a la información pública</w:t>
      </w:r>
      <w:r w:rsidRPr="00F32196">
        <w:rPr>
          <w:rFonts w:ascii="Palatino Linotype" w:eastAsia="Palatino Linotype" w:hAnsi="Palatino Linotype" w:cs="Palatino Linotype"/>
          <w:sz w:val="24"/>
          <w:szCs w:val="24"/>
        </w:rPr>
        <w:t>, sin embargo,</w:t>
      </w:r>
      <w:r w:rsidR="0044542D" w:rsidRPr="00F32196">
        <w:rPr>
          <w:rFonts w:ascii="Palatino Linotype" w:eastAsia="Palatino Linotype" w:hAnsi="Palatino Linotype" w:cs="Palatino Linotype"/>
          <w:sz w:val="24"/>
          <w:szCs w:val="24"/>
        </w:rPr>
        <w:t xml:space="preserve"> de haberlo realizado de manera anónima no </w:t>
      </w:r>
      <w:proofErr w:type="spellStart"/>
      <w:r w:rsidR="0044542D" w:rsidRPr="00F32196">
        <w:rPr>
          <w:rFonts w:ascii="Palatino Linotype" w:eastAsia="Palatino Linotype" w:hAnsi="Palatino Linotype" w:cs="Palatino Linotype"/>
          <w:sz w:val="24"/>
          <w:szCs w:val="24"/>
        </w:rPr>
        <w:t>seria</w:t>
      </w:r>
      <w:proofErr w:type="spellEnd"/>
      <w:r w:rsidRPr="00F32196">
        <w:rPr>
          <w:rFonts w:ascii="Palatino Linotype" w:eastAsia="Palatino Linotype" w:hAnsi="Palatino Linotype" w:cs="Palatino Linotype"/>
          <w:sz w:val="24"/>
          <w:szCs w:val="24"/>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w:t>
      </w:r>
    </w:p>
    <w:p w:rsidR="000A0D00" w:rsidRPr="00F32196" w:rsidRDefault="000A0D00" w:rsidP="000A0D00">
      <w:pPr>
        <w:spacing w:before="240" w:line="360" w:lineRule="auto"/>
        <w:ind w:left="851" w:right="851"/>
        <w:jc w:val="both"/>
        <w:rPr>
          <w:rFonts w:ascii="Palatino Linotype" w:eastAsia="Palatino Linotype" w:hAnsi="Palatino Linotype" w:cs="Palatino Linotype"/>
          <w:b/>
          <w:i/>
        </w:rPr>
      </w:pPr>
      <w:r w:rsidRPr="00F32196">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32196">
        <w:rPr>
          <w:rFonts w:ascii="Palatino Linotype" w:eastAsia="Palatino Linotype" w:hAnsi="Palatino Linotype" w:cs="Palatino Linotype"/>
          <w:b/>
          <w:i/>
        </w:rPr>
        <w:t>[Sic]</w:t>
      </w:r>
    </w:p>
    <w:p w:rsidR="000A0D00" w:rsidRPr="00F32196" w:rsidRDefault="000A0D00" w:rsidP="000A0D00">
      <w:pPr>
        <w:spacing w:before="240" w:line="360" w:lineRule="auto"/>
        <w:ind w:left="851" w:right="851"/>
        <w:jc w:val="both"/>
        <w:rPr>
          <w:rFonts w:ascii="Palatino Linotype" w:eastAsia="Palatino Linotype" w:hAnsi="Palatino Linotype" w:cs="Palatino Linotype"/>
          <w:b/>
          <w:i/>
          <w:sz w:val="24"/>
          <w:szCs w:val="24"/>
        </w:rPr>
      </w:pPr>
    </w:p>
    <w:p w:rsidR="000A0D00" w:rsidRPr="00F32196" w:rsidRDefault="000A0D00" w:rsidP="000A0D00">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Robustece lo anterior se encuentra lo dispuesto en </w:t>
      </w:r>
      <w:r w:rsidR="0044542D" w:rsidRPr="00F32196">
        <w:rPr>
          <w:rFonts w:ascii="Palatino Linotype" w:eastAsia="Palatino Linotype" w:hAnsi="Palatino Linotype" w:cs="Palatino Linotype"/>
          <w:sz w:val="24"/>
          <w:szCs w:val="24"/>
        </w:rPr>
        <w:t xml:space="preserve">el artículo </w:t>
      </w:r>
      <w:r w:rsidRPr="00F32196">
        <w:rPr>
          <w:rFonts w:ascii="Palatino Linotype" w:eastAsia="Palatino Linotype" w:hAnsi="Palatino Linotype" w:cs="Palatino Linotype"/>
          <w:sz w:val="24"/>
          <w:szCs w:val="24"/>
        </w:rPr>
        <w:t>5 de la Constitución Política del Estado Libre y Soberano de México, se establece lo siguiente:</w:t>
      </w:r>
    </w:p>
    <w:p w:rsidR="000A0D00" w:rsidRPr="00F32196" w:rsidRDefault="000A0D00" w:rsidP="000A0D00">
      <w:pPr>
        <w:spacing w:before="240" w:line="360" w:lineRule="auto"/>
        <w:ind w:left="851" w:right="851"/>
        <w:jc w:val="both"/>
        <w:rPr>
          <w:rFonts w:ascii="Palatino Linotype" w:eastAsia="Palatino Linotype" w:hAnsi="Palatino Linotype" w:cs="Palatino Linotype"/>
          <w:b/>
          <w:i/>
          <w:u w:val="single"/>
        </w:rPr>
      </w:pPr>
      <w:r w:rsidRPr="00F32196">
        <w:rPr>
          <w:rFonts w:ascii="Palatino Linotype" w:eastAsia="Palatino Linotype" w:hAnsi="Palatino Linotype" w:cs="Palatino Linotype"/>
          <w:b/>
          <w:i/>
          <w:u w:val="single"/>
        </w:rPr>
        <w:lastRenderedPageBreak/>
        <w:t>Constitución Política del Estado Libre y Soberano de México</w:t>
      </w:r>
    </w:p>
    <w:p w:rsidR="000A0D00" w:rsidRPr="00F32196" w:rsidRDefault="000A0D00" w:rsidP="000A0D00">
      <w:pPr>
        <w:spacing w:before="240" w:line="360" w:lineRule="auto"/>
        <w:ind w:left="851" w:right="851"/>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r w:rsidRPr="00F32196">
        <w:rPr>
          <w:rFonts w:ascii="Palatino Linotype" w:eastAsia="Palatino Linotype" w:hAnsi="Palatino Linotype" w:cs="Palatino Linotype"/>
          <w:b/>
          <w:i/>
        </w:rPr>
        <w:t>Artículo 5</w:t>
      </w:r>
      <w:r w:rsidRPr="00F32196">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A0D00" w:rsidRPr="00F32196" w:rsidRDefault="000A0D00" w:rsidP="000A0D00">
      <w:pPr>
        <w:spacing w:before="240" w:line="360" w:lineRule="auto"/>
        <w:ind w:left="851" w:right="851"/>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p>
    <w:p w:rsidR="000A0D00" w:rsidRPr="00F32196" w:rsidRDefault="000A0D00" w:rsidP="000A0D00">
      <w:pPr>
        <w:spacing w:before="240" w:line="360" w:lineRule="auto"/>
        <w:ind w:left="851" w:right="851"/>
        <w:jc w:val="both"/>
        <w:rPr>
          <w:rFonts w:ascii="Palatino Linotype" w:eastAsia="Palatino Linotype" w:hAnsi="Palatino Linotype" w:cs="Palatino Linotype"/>
          <w:b/>
          <w:i/>
        </w:rPr>
      </w:pPr>
      <w:proofErr w:type="gramStart"/>
      <w:r w:rsidRPr="00F32196">
        <w:rPr>
          <w:rFonts w:ascii="Palatino Linotype" w:eastAsia="Palatino Linotype" w:hAnsi="Palatino Linotype" w:cs="Palatino Linotype"/>
          <w:i/>
        </w:rPr>
        <w:t>transparencia</w:t>
      </w:r>
      <w:proofErr w:type="gramEnd"/>
      <w:r w:rsidRPr="00F32196">
        <w:rPr>
          <w:rFonts w:ascii="Palatino Linotype" w:eastAsia="Palatino Linotype" w:hAnsi="Palatino Linotype" w:cs="Palatino Linotype"/>
          <w:i/>
        </w:rPr>
        <w:t xml:space="preserve">, acceso a la información pública y a la protección de datos personales en posesión de los sujetos obligados en los términos que establezca la ley. (…)” </w:t>
      </w:r>
      <w:r w:rsidRPr="00F32196">
        <w:rPr>
          <w:rFonts w:ascii="Palatino Linotype" w:eastAsia="Palatino Linotype" w:hAnsi="Palatino Linotype" w:cs="Palatino Linotype"/>
          <w:b/>
          <w:i/>
        </w:rPr>
        <w:t>[Sic]</w:t>
      </w:r>
    </w:p>
    <w:p w:rsidR="00024971" w:rsidRPr="00F32196" w:rsidRDefault="00024971" w:rsidP="000A0D00">
      <w:pPr>
        <w:spacing w:before="240" w:line="360" w:lineRule="auto"/>
        <w:jc w:val="both"/>
        <w:rPr>
          <w:rFonts w:ascii="Palatino Linotype" w:eastAsia="Palatino Linotype" w:hAnsi="Palatino Linotype" w:cs="Palatino Linotype"/>
          <w:sz w:val="24"/>
          <w:szCs w:val="24"/>
        </w:rPr>
      </w:pPr>
    </w:p>
    <w:p w:rsidR="000A0D00" w:rsidRPr="00F32196" w:rsidRDefault="000A0D00" w:rsidP="000A0D00">
      <w:pPr>
        <w:spacing w:before="24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32196">
        <w:rPr>
          <w:rFonts w:ascii="Palatino Linotype" w:eastAsia="Palatino Linotype" w:hAnsi="Palatino Linotype" w:cs="Palatino Linotype"/>
          <w:b/>
          <w:sz w:val="24"/>
          <w:szCs w:val="24"/>
          <w:u w:val="single"/>
        </w:rPr>
        <w:t>incluso, la solicitud de acceso a la información pueda ser anónima</w:t>
      </w:r>
      <w:r w:rsidRPr="00F32196">
        <w:rPr>
          <w:rFonts w:ascii="Palatino Linotype" w:eastAsia="Palatino Linotype" w:hAnsi="Palatino Linotype" w:cs="Palatino Linotype"/>
          <w:sz w:val="24"/>
          <w:szCs w:val="24"/>
        </w:rPr>
        <w:t xml:space="preserve"> o no contener un nombre que identifique al solicitante o que permita tener certeza sobre su identidad. En conclusión, se cubrieron los requisitos de procedencia y </w:t>
      </w:r>
      <w:proofErr w:type="spellStart"/>
      <w:r w:rsidRPr="00F32196">
        <w:rPr>
          <w:rFonts w:ascii="Palatino Linotype" w:eastAsia="Palatino Linotype" w:hAnsi="Palatino Linotype" w:cs="Palatino Linotype"/>
          <w:sz w:val="24"/>
          <w:szCs w:val="24"/>
        </w:rPr>
        <w:t>procedibilidad</w:t>
      </w:r>
      <w:proofErr w:type="spellEnd"/>
      <w:r w:rsidRPr="00F32196">
        <w:rPr>
          <w:rFonts w:ascii="Palatino Linotype" w:eastAsia="Palatino Linotype" w:hAnsi="Palatino Linotype" w:cs="Palatino Linotype"/>
          <w:sz w:val="24"/>
          <w:szCs w:val="24"/>
        </w:rPr>
        <w:t xml:space="preserve"> y conforme a las constancias que obran en el expediente.</w:t>
      </w:r>
    </w:p>
    <w:p w:rsidR="000A0D00" w:rsidRPr="00F32196" w:rsidRDefault="000A0D00" w:rsidP="000A0D00">
      <w:pPr>
        <w:keepNext/>
        <w:keepLines/>
        <w:spacing w:line="360" w:lineRule="auto"/>
        <w:jc w:val="both"/>
        <w:rPr>
          <w:rFonts w:ascii="Palatino Linotype" w:eastAsia="Palatino Linotype" w:hAnsi="Palatino Linotype" w:cs="Palatino Linotype"/>
          <w:b/>
          <w:color w:val="000000"/>
          <w:sz w:val="26"/>
          <w:szCs w:val="26"/>
        </w:rPr>
      </w:pPr>
      <w:r w:rsidRPr="00F32196">
        <w:rPr>
          <w:rFonts w:ascii="Palatino Linotype" w:eastAsia="Palatino Linotype" w:hAnsi="Palatino Linotype" w:cs="Palatino Linotype"/>
          <w:b/>
          <w:color w:val="000000"/>
          <w:sz w:val="26"/>
          <w:szCs w:val="26"/>
        </w:rPr>
        <w:lastRenderedPageBreak/>
        <w:t>CUARTO. De las causas de improcedencia.</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sidRPr="00F32196">
        <w:rPr>
          <w:rFonts w:ascii="Palatino Linotype" w:eastAsia="Palatino Linotype" w:hAnsi="Palatino Linotype" w:cs="Palatino Linotype"/>
          <w:color w:val="000000"/>
          <w:sz w:val="24"/>
          <w:szCs w:val="24"/>
        </w:rPr>
        <w:t>procedibilidad</w:t>
      </w:r>
      <w:proofErr w:type="spellEnd"/>
      <w:r w:rsidRPr="00F32196">
        <w:rPr>
          <w:rFonts w:ascii="Palatino Linotype" w:eastAsia="Palatino Linotype" w:hAnsi="Palatino Linotype" w:cs="Palatino Linotype"/>
          <w:color w:val="000000"/>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A0D00" w:rsidRPr="00F32196" w:rsidRDefault="000A0D00" w:rsidP="000A0D00">
      <w:pPr>
        <w:spacing w:after="0" w:line="360" w:lineRule="auto"/>
        <w:jc w:val="both"/>
        <w:rPr>
          <w:rFonts w:ascii="Palatino Linotype" w:eastAsia="Palatino Linotype" w:hAnsi="Palatino Linotype" w:cs="Palatino Linotype"/>
          <w:color w:val="000000"/>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w:t>
      </w:r>
      <w:proofErr w:type="spellStart"/>
      <w:r w:rsidRPr="00F32196">
        <w:rPr>
          <w:rFonts w:ascii="Palatino Linotype" w:eastAsia="Palatino Linotype" w:hAnsi="Palatino Linotype" w:cs="Palatino Linotype"/>
          <w:color w:val="000000"/>
          <w:sz w:val="24"/>
          <w:szCs w:val="24"/>
        </w:rPr>
        <w:t>Resolutor</w:t>
      </w:r>
      <w:proofErr w:type="spellEnd"/>
      <w:r w:rsidRPr="00F32196">
        <w:rPr>
          <w:rFonts w:ascii="Palatino Linotype" w:eastAsia="Palatino Linotype" w:hAnsi="Palatino Linotype" w:cs="Palatino Linotype"/>
          <w:color w:val="000000"/>
          <w:sz w:val="24"/>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32196">
        <w:rPr>
          <w:rFonts w:ascii="Palatino Linotype" w:eastAsia="Palatino Linotype" w:hAnsi="Palatino Linotype" w:cs="Palatino Linotype"/>
          <w:color w:val="000000"/>
          <w:sz w:val="24"/>
          <w:szCs w:val="24"/>
          <w:vertAlign w:val="superscript"/>
        </w:rPr>
        <w:footnoteReference w:id="2"/>
      </w:r>
      <w:r w:rsidRPr="00F32196">
        <w:rPr>
          <w:rFonts w:ascii="Palatino Linotype" w:eastAsia="Palatino Linotype" w:hAnsi="Palatino Linotype" w:cs="Palatino Linotype"/>
          <w:color w:val="000000"/>
          <w:sz w:val="24"/>
          <w:szCs w:val="24"/>
        </w:rPr>
        <w:t xml:space="preserve">, la cual permite dilucidar alguna </w:t>
      </w:r>
      <w:r w:rsidRPr="00F32196">
        <w:rPr>
          <w:rFonts w:ascii="Palatino Linotype" w:eastAsia="Palatino Linotype" w:hAnsi="Palatino Linotype" w:cs="Palatino Linotype"/>
          <w:color w:val="000000"/>
          <w:sz w:val="24"/>
          <w:szCs w:val="24"/>
        </w:rPr>
        <w:lastRenderedPageBreak/>
        <w:t>causal que impida el estudio y resolución, cuando una vez admitido el recurso de revisión se advierta una causa de improcedencia que permita sobreseerlo, sin estudiar el fondo del asunto.</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keepNext/>
        <w:keepLines/>
        <w:spacing w:after="0" w:line="360" w:lineRule="auto"/>
        <w:jc w:val="both"/>
        <w:rPr>
          <w:rFonts w:ascii="Palatino Linotype" w:eastAsia="Palatino Linotype" w:hAnsi="Palatino Linotype" w:cs="Palatino Linotype"/>
          <w:b/>
          <w:color w:val="000000"/>
          <w:sz w:val="26"/>
          <w:szCs w:val="26"/>
        </w:rPr>
      </w:pPr>
      <w:r w:rsidRPr="00F32196">
        <w:rPr>
          <w:rFonts w:ascii="Palatino Linotype" w:eastAsia="Palatino Linotype" w:hAnsi="Palatino Linotype" w:cs="Palatino Linotype"/>
          <w:b/>
          <w:color w:val="000000"/>
          <w:sz w:val="26"/>
          <w:szCs w:val="26"/>
        </w:rPr>
        <w:t xml:space="preserve">QUINTO. </w:t>
      </w:r>
      <w:r w:rsidRPr="00F32196">
        <w:rPr>
          <w:rFonts w:ascii="Palatino Linotype" w:eastAsia="Palatino Linotype" w:hAnsi="Palatino Linotype" w:cs="Palatino Linotype"/>
          <w:b/>
          <w:color w:val="000000"/>
          <w:sz w:val="28"/>
          <w:szCs w:val="28"/>
        </w:rPr>
        <w:t>Estudio y resolución del asunto</w:t>
      </w:r>
      <w:r w:rsidRPr="00F32196">
        <w:rPr>
          <w:rFonts w:ascii="Palatino Linotype" w:eastAsia="Palatino Linotype" w:hAnsi="Palatino Linotype" w:cs="Palatino Linotype"/>
          <w:b/>
          <w:color w:val="000000"/>
          <w:sz w:val="26"/>
          <w:szCs w:val="26"/>
        </w:rPr>
        <w:t>.</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F32196">
        <w:rPr>
          <w:rFonts w:ascii="Palatino Linotype" w:eastAsia="Palatino Linotype" w:hAnsi="Palatino Linotype" w:cs="Palatino Linotype"/>
          <w:color w:val="000000"/>
          <w:sz w:val="24"/>
          <w:szCs w:val="24"/>
        </w:rPr>
        <w:lastRenderedPageBreak/>
        <w:t>el Estado Mexicano sea parte, en concordancia con el párrafo tercero del artículo 1 de la Constitución Federal y el diverso 8 de la Ley de Transparencia local.</w:t>
      </w: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p>
    <w:p w:rsidR="0044542D"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Por tanto, es conveniente recordar que el hoy Recurrente requirió del</w:t>
      </w:r>
      <w:r w:rsidR="00CC3C65" w:rsidRPr="00F32196">
        <w:rPr>
          <w:rFonts w:ascii="Palatino Linotype" w:eastAsia="Palatino Linotype" w:hAnsi="Palatino Linotype" w:cs="Palatino Linotype"/>
          <w:color w:val="000000"/>
          <w:sz w:val="24"/>
          <w:szCs w:val="24"/>
        </w:rPr>
        <w:t xml:space="preserve"> Sujeto Obligado, lo siguiente:</w:t>
      </w:r>
    </w:p>
    <w:p w:rsidR="0044542D" w:rsidRPr="00F32196" w:rsidRDefault="0044542D" w:rsidP="004A7176">
      <w:pPr>
        <w:pStyle w:val="Prrafodelista"/>
        <w:numPr>
          <w:ilvl w:val="3"/>
          <w:numId w:val="8"/>
        </w:numPr>
        <w:spacing w:after="0" w:line="360" w:lineRule="auto"/>
        <w:ind w:left="1560"/>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Del primero de enero al doce de septiembre de dos mil veinticinco </w:t>
      </w:r>
    </w:p>
    <w:p w:rsidR="004A7176" w:rsidRPr="00F32196" w:rsidRDefault="004A7176" w:rsidP="004A7176">
      <w:pPr>
        <w:pStyle w:val="Prrafodelista"/>
        <w:numPr>
          <w:ilvl w:val="0"/>
          <w:numId w:val="16"/>
        </w:num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Juntas de Gobierno</w:t>
      </w:r>
      <w:r w:rsidR="00CC3C65" w:rsidRPr="00F32196">
        <w:rPr>
          <w:rFonts w:ascii="Palatino Linotype" w:eastAsia="Palatino Linotype" w:hAnsi="Palatino Linotype" w:cs="Palatino Linotype"/>
          <w:color w:val="000000"/>
          <w:sz w:val="24"/>
          <w:szCs w:val="24"/>
        </w:rPr>
        <w:t>.</w:t>
      </w:r>
    </w:p>
    <w:p w:rsidR="004A7176" w:rsidRPr="00F32196" w:rsidRDefault="004A7176" w:rsidP="00CC3C65">
      <w:pPr>
        <w:pStyle w:val="Prrafodelista"/>
        <w:numPr>
          <w:ilvl w:val="0"/>
          <w:numId w:val="16"/>
        </w:num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Contratos</w:t>
      </w:r>
      <w:r w:rsidR="00CC3C65" w:rsidRPr="00F32196">
        <w:rPr>
          <w:rFonts w:ascii="Palatino Linotype" w:eastAsia="Palatino Linotype" w:hAnsi="Palatino Linotype" w:cs="Palatino Linotype"/>
          <w:color w:val="000000"/>
          <w:sz w:val="24"/>
          <w:szCs w:val="24"/>
        </w:rPr>
        <w:t>.</w:t>
      </w:r>
    </w:p>
    <w:p w:rsidR="00024971" w:rsidRPr="00F32196" w:rsidRDefault="00024971" w:rsidP="000A0D00">
      <w:pPr>
        <w:spacing w:after="0" w:line="360" w:lineRule="auto"/>
        <w:jc w:val="both"/>
        <w:rPr>
          <w:rFonts w:ascii="Palatino Linotype" w:eastAsia="Palatino Linotype" w:hAnsi="Palatino Linotype" w:cs="Palatino Linotype"/>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Por lo que atento a la solicitud de información el Sujeto Obligado hizo entrega del siguiente archivo electrónico:</w:t>
      </w:r>
    </w:p>
    <w:p w:rsidR="004A7176" w:rsidRPr="00F32196" w:rsidRDefault="004A7176" w:rsidP="004A7176">
      <w:pPr>
        <w:pStyle w:val="Prrafodelista"/>
        <w:numPr>
          <w:ilvl w:val="0"/>
          <w:numId w:val="17"/>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
          <w:bCs/>
          <w:sz w:val="24"/>
          <w:szCs w:val="24"/>
        </w:rPr>
        <w:t xml:space="preserve">00026-DIFCOACALC-IP-2025.pdf: </w:t>
      </w:r>
      <w:r w:rsidRPr="00F32196">
        <w:rPr>
          <w:rFonts w:ascii="Palatino Linotype" w:hAnsi="Palatino Linotype" w:cs="Arial"/>
          <w:bCs/>
          <w:sz w:val="24"/>
          <w:szCs w:val="24"/>
        </w:rPr>
        <w:t xml:space="preserve">Soporte documental que consta de ciento ochenta y tres fojas en formato PDF por medio del cual se advierte lo siguiente; </w:t>
      </w:r>
    </w:p>
    <w:p w:rsidR="004A7176" w:rsidRPr="00F32196" w:rsidRDefault="004A7176" w:rsidP="004A7176">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t>Acta de sesión de instalación de junta de gobierno de fecha tres de enero de dos mil veinticinco.</w:t>
      </w:r>
    </w:p>
    <w:p w:rsidR="004A7176" w:rsidRPr="00F32196" w:rsidRDefault="004A7176" w:rsidP="004A7176">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t xml:space="preserve">Acta de la primera sesión ordinaria de la junta de gobierno de fecha veinte de febrero de dos mil veinticinco. </w:t>
      </w:r>
    </w:p>
    <w:p w:rsidR="004A7176" w:rsidRPr="00F32196" w:rsidRDefault="004A7176" w:rsidP="004A7176">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t>Acta de la primera sesión extraordinaria de la junta de gobierno de fecha seis de marzo de dos mil veinticinco.</w:t>
      </w:r>
    </w:p>
    <w:p w:rsidR="004A7176" w:rsidRPr="00F32196" w:rsidRDefault="004A7176" w:rsidP="004A7176">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t>Acta de la segunda sesión extraordinaria de la junta de gobierno de fecha diez de marzo de dos mil veinticinco</w:t>
      </w:r>
    </w:p>
    <w:p w:rsidR="004A7176" w:rsidRPr="00F32196" w:rsidRDefault="004A7176" w:rsidP="004A7176">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lastRenderedPageBreak/>
        <w:t>Acta de la tercera sesión ordinaria de la junta de gobierno de fecha veintitrés de junio de dos mil veinticinco</w:t>
      </w:r>
    </w:p>
    <w:p w:rsidR="004A7176" w:rsidRPr="00F32196" w:rsidRDefault="004A7176" w:rsidP="004A7176">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t>Acta de la cuarta sesión ordinaria de la junta de gobierno de fecha dieciocho de agosto de dos mil veinticinco</w:t>
      </w:r>
    </w:p>
    <w:p w:rsidR="004A7176" w:rsidRPr="00F32196" w:rsidRDefault="004A7176" w:rsidP="004A7176">
      <w:pPr>
        <w:pBdr>
          <w:top w:val="nil"/>
          <w:left w:val="nil"/>
          <w:bottom w:val="nil"/>
          <w:right w:val="nil"/>
          <w:between w:val="nil"/>
        </w:pBdr>
        <w:spacing w:after="0" w:line="360" w:lineRule="auto"/>
        <w:jc w:val="both"/>
        <w:rPr>
          <w:rFonts w:ascii="Palatino Linotype" w:hAnsi="Palatino Linotype" w:cs="Arial"/>
          <w:bCs/>
          <w:sz w:val="24"/>
          <w:szCs w:val="24"/>
        </w:rPr>
      </w:pPr>
    </w:p>
    <w:p w:rsidR="004A7176" w:rsidRPr="00F32196" w:rsidRDefault="004A7176" w:rsidP="004A7176">
      <w:pPr>
        <w:pStyle w:val="Prrafodelista"/>
        <w:numPr>
          <w:ilvl w:val="0"/>
          <w:numId w:val="17"/>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
          <w:bCs/>
          <w:sz w:val="24"/>
          <w:szCs w:val="24"/>
        </w:rPr>
        <w:t>SMDIFCOADGUT1072025 ST.pdf</w:t>
      </w:r>
      <w:r w:rsidRPr="00F32196">
        <w:rPr>
          <w:rFonts w:ascii="Palatino Linotype" w:hAnsi="Palatino Linotype" w:cs="Arial"/>
          <w:bCs/>
          <w:sz w:val="24"/>
          <w:szCs w:val="24"/>
        </w:rPr>
        <w:t xml:space="preserve">: Soporte documental que consta de dos fojas en los términos siguientes; </w:t>
      </w:r>
    </w:p>
    <w:p w:rsidR="00C82D6F" w:rsidRPr="00F32196" w:rsidRDefault="004A7176" w:rsidP="0016256D">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t>Oficio de fecha diecisiete de septiembre de dos mil veinticinco por medio del cual el Titular de la Unidad de Transparencia turna la solicitud de información al Secretario Técnico del Sujeto Obligado</w:t>
      </w:r>
      <w:r w:rsidR="00C82D6F" w:rsidRPr="00F32196">
        <w:rPr>
          <w:rFonts w:ascii="Palatino Linotype" w:hAnsi="Palatino Linotype" w:cs="Arial"/>
          <w:bCs/>
          <w:sz w:val="24"/>
          <w:szCs w:val="24"/>
        </w:rPr>
        <w:t>.</w:t>
      </w:r>
    </w:p>
    <w:p w:rsidR="000A0D00" w:rsidRPr="00F32196" w:rsidRDefault="00C82D6F" w:rsidP="004A7176">
      <w:pPr>
        <w:pStyle w:val="Prrafodelista"/>
        <w:numPr>
          <w:ilvl w:val="0"/>
          <w:numId w:val="18"/>
        </w:numPr>
        <w:pBdr>
          <w:top w:val="nil"/>
          <w:left w:val="nil"/>
          <w:bottom w:val="nil"/>
          <w:right w:val="nil"/>
          <w:between w:val="nil"/>
        </w:pBdr>
        <w:spacing w:after="0" w:line="360" w:lineRule="auto"/>
        <w:jc w:val="both"/>
        <w:rPr>
          <w:rFonts w:ascii="Palatino Linotype" w:hAnsi="Palatino Linotype" w:cs="Arial"/>
          <w:bCs/>
          <w:sz w:val="24"/>
          <w:szCs w:val="24"/>
        </w:rPr>
      </w:pPr>
      <w:r w:rsidRPr="00F32196">
        <w:rPr>
          <w:rFonts w:ascii="Palatino Linotype" w:hAnsi="Palatino Linotype" w:cs="Arial"/>
          <w:bCs/>
          <w:sz w:val="24"/>
          <w:szCs w:val="24"/>
        </w:rPr>
        <w:t xml:space="preserve">Oficio de fecha diecisiete de septiembre de dos mil veinticinco por medio del cual el Secretario Técnico del Sujeto Obligado </w:t>
      </w:r>
      <w:r w:rsidR="004A7176" w:rsidRPr="00F32196">
        <w:rPr>
          <w:rFonts w:ascii="Palatino Linotype" w:hAnsi="Palatino Linotype" w:cs="Arial"/>
          <w:bCs/>
          <w:sz w:val="24"/>
          <w:szCs w:val="24"/>
        </w:rPr>
        <w:t xml:space="preserve"> </w:t>
      </w:r>
      <w:r w:rsidRPr="00F32196">
        <w:rPr>
          <w:rFonts w:ascii="Palatino Linotype" w:hAnsi="Palatino Linotype" w:cs="Arial"/>
          <w:bCs/>
          <w:sz w:val="24"/>
          <w:szCs w:val="24"/>
        </w:rPr>
        <w:t>manifiesta que da cuenta de las actas de junta de gobierno.</w:t>
      </w:r>
    </w:p>
    <w:p w:rsidR="000A0D00" w:rsidRPr="00F32196" w:rsidRDefault="000A0D00" w:rsidP="004A7176">
      <w:pPr>
        <w:pBdr>
          <w:top w:val="nil"/>
          <w:left w:val="nil"/>
          <w:bottom w:val="nil"/>
          <w:right w:val="nil"/>
          <w:between w:val="nil"/>
        </w:pBdr>
        <w:spacing w:after="0" w:line="360" w:lineRule="auto"/>
        <w:ind w:left="1080"/>
        <w:jc w:val="both"/>
        <w:rPr>
          <w:rFonts w:ascii="Palatino Linotype" w:eastAsia="Palatino Linotype" w:hAnsi="Palatino Linotype" w:cs="Palatino Linotype"/>
          <w:i/>
          <w:color w:val="000000"/>
          <w:sz w:val="24"/>
          <w:szCs w:val="24"/>
        </w:rPr>
      </w:pPr>
    </w:p>
    <w:p w:rsidR="000A0D00" w:rsidRPr="00F32196" w:rsidRDefault="000A0D00"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conculcado, por lo que interpuso el recurso de revisión al rubro citado,</w:t>
      </w:r>
      <w:r w:rsidR="00CC3C65" w:rsidRPr="00F32196">
        <w:rPr>
          <w:rFonts w:ascii="Palatino Linotype" w:eastAsia="Palatino Linotype" w:hAnsi="Palatino Linotype" w:cs="Palatino Linotype"/>
          <w:color w:val="000000"/>
          <w:sz w:val="24"/>
          <w:szCs w:val="24"/>
        </w:rPr>
        <w:t xml:space="preserve"> señalando como acto impugnado </w:t>
      </w:r>
      <w:r w:rsidRPr="00F32196">
        <w:rPr>
          <w:rFonts w:ascii="Palatino Linotype" w:eastAsia="Palatino Linotype" w:hAnsi="Palatino Linotype" w:cs="Palatino Linotype"/>
          <w:color w:val="000000"/>
          <w:sz w:val="24"/>
          <w:szCs w:val="24"/>
        </w:rPr>
        <w:t xml:space="preserve">motivos de inconformidad </w:t>
      </w:r>
      <w:r w:rsidRPr="00F32196">
        <w:rPr>
          <w:rFonts w:ascii="Palatino Linotype" w:eastAsia="Palatino Linotype" w:hAnsi="Palatino Linotype" w:cs="Palatino Linotype"/>
          <w:i/>
          <w:color w:val="000000"/>
          <w:sz w:val="24"/>
          <w:szCs w:val="24"/>
        </w:rPr>
        <w:t>“</w:t>
      </w:r>
      <w:r w:rsidR="00CC3C65" w:rsidRPr="00F32196">
        <w:rPr>
          <w:rFonts w:ascii="Palatino Linotype" w:hAnsi="Palatino Linotype"/>
          <w:i/>
          <w:color w:val="000000"/>
          <w:sz w:val="24"/>
          <w:szCs w:val="24"/>
          <w:u w:val="single"/>
        </w:rPr>
        <w:t xml:space="preserve">Solo enviaron las juntas de </w:t>
      </w:r>
      <w:proofErr w:type="spellStart"/>
      <w:r w:rsidR="00CC3C65" w:rsidRPr="00F32196">
        <w:rPr>
          <w:rFonts w:ascii="Palatino Linotype" w:hAnsi="Palatino Linotype"/>
          <w:i/>
          <w:color w:val="000000"/>
          <w:sz w:val="24"/>
          <w:szCs w:val="24"/>
          <w:u w:val="single"/>
        </w:rPr>
        <w:t>gobirno</w:t>
      </w:r>
      <w:proofErr w:type="spellEnd"/>
      <w:r w:rsidR="00CC3C65" w:rsidRPr="00F32196">
        <w:rPr>
          <w:rFonts w:ascii="Palatino Linotype" w:hAnsi="Palatino Linotype"/>
          <w:i/>
          <w:color w:val="000000"/>
          <w:sz w:val="24"/>
          <w:szCs w:val="24"/>
          <w:u w:val="single"/>
        </w:rPr>
        <w:t xml:space="preserve"> y no los contratos</w:t>
      </w:r>
      <w:r w:rsidRPr="00F32196">
        <w:rPr>
          <w:rFonts w:ascii="Palatino Linotype" w:hAnsi="Palatino Linotype"/>
          <w:i/>
          <w:color w:val="000000"/>
          <w:sz w:val="24"/>
          <w:szCs w:val="24"/>
          <w:u w:val="single"/>
        </w:rPr>
        <w:t>”</w:t>
      </w:r>
      <w:r w:rsidRPr="00F32196">
        <w:rPr>
          <w:rFonts w:ascii="Palatino Linotype" w:eastAsia="Palatino Linotype" w:hAnsi="Palatino Linotype" w:cs="Palatino Linotype"/>
          <w:i/>
          <w:color w:val="000000"/>
          <w:sz w:val="24"/>
          <w:szCs w:val="24"/>
          <w:u w:val="single"/>
        </w:rPr>
        <w:t>,</w:t>
      </w:r>
      <w:r w:rsidRPr="00F32196">
        <w:rPr>
          <w:rFonts w:ascii="Palatino Linotype" w:eastAsia="Palatino Linotype" w:hAnsi="Palatino Linotype" w:cs="Palatino Linotype"/>
          <w:color w:val="000000"/>
          <w:sz w:val="24"/>
          <w:szCs w:val="24"/>
        </w:rPr>
        <w:t xml:space="preserve"> en este sentido el Recurrente consideró que el Sujeto Obligado </w:t>
      </w:r>
      <w:r w:rsidRPr="00F32196">
        <w:rPr>
          <w:rFonts w:ascii="Palatino Linotype" w:eastAsia="Palatino Linotype" w:hAnsi="Palatino Linotype" w:cs="Palatino Linotype"/>
          <w:color w:val="000000"/>
          <w:sz w:val="24"/>
          <w:szCs w:val="24"/>
          <w:u w:val="single"/>
        </w:rPr>
        <w:t xml:space="preserve">no le dio cuenta de los contratos </w:t>
      </w:r>
      <w:r w:rsidR="00CC3C65" w:rsidRPr="00F32196">
        <w:rPr>
          <w:rFonts w:ascii="Palatino Linotype" w:eastAsia="Palatino Linotype" w:hAnsi="Palatino Linotype" w:cs="Palatino Linotype"/>
          <w:color w:val="000000"/>
          <w:sz w:val="24"/>
          <w:szCs w:val="24"/>
          <w:u w:val="single"/>
        </w:rPr>
        <w:t>realizados por el Sujeto Obligado del primero de enero al doce de septiembre de dos mil veinticinco</w:t>
      </w:r>
      <w:r w:rsidR="00CC3C65" w:rsidRPr="00F32196">
        <w:rPr>
          <w:rFonts w:ascii="Palatino Linotype" w:eastAsia="Palatino Linotype" w:hAnsi="Palatino Linotype" w:cs="Palatino Linotype"/>
          <w:color w:val="000000"/>
          <w:sz w:val="24"/>
          <w:szCs w:val="24"/>
        </w:rPr>
        <w:t>.</w:t>
      </w:r>
    </w:p>
    <w:p w:rsidR="00CC3C65" w:rsidRPr="00F32196" w:rsidRDefault="00CC3C65" w:rsidP="000A0D00">
      <w:pPr>
        <w:spacing w:after="0" w:line="360" w:lineRule="auto"/>
        <w:jc w:val="both"/>
        <w:rPr>
          <w:rFonts w:ascii="Palatino Linotype" w:eastAsia="Palatino Linotype" w:hAnsi="Palatino Linotype" w:cs="Palatino Linotype"/>
          <w:color w:val="000000"/>
          <w:sz w:val="24"/>
          <w:szCs w:val="24"/>
        </w:rPr>
      </w:pPr>
    </w:p>
    <w:p w:rsidR="00CC3C65" w:rsidRPr="00F32196" w:rsidRDefault="000A0D00" w:rsidP="000A0D00">
      <w:pPr>
        <w:spacing w:line="360" w:lineRule="auto"/>
        <w:jc w:val="both"/>
        <w:rPr>
          <w:rFonts w:ascii="Palatino Linotype" w:hAnsi="Palatino Linotype" w:cs="Arial"/>
          <w:bCs/>
          <w:sz w:val="24"/>
          <w:szCs w:val="24"/>
        </w:rPr>
      </w:pPr>
      <w:r w:rsidRPr="00F32196">
        <w:rPr>
          <w:rFonts w:ascii="Palatino Linotype" w:eastAsia="Palatino Linotype" w:hAnsi="Palatino Linotype" w:cs="Palatino Linotype"/>
          <w:color w:val="000000"/>
          <w:sz w:val="24"/>
          <w:szCs w:val="24"/>
        </w:rPr>
        <w:lastRenderedPageBreak/>
        <w:t xml:space="preserve">De lo anterior y a efecto de no vulnerar el derecho al acceso a la información del recurrente el Sujeto Obligado mediante Informe Justificado hizo entrega del archivo electrónico denominado </w:t>
      </w:r>
      <w:r w:rsidRPr="00F32196">
        <w:rPr>
          <w:rFonts w:ascii="Palatino Linotype" w:eastAsia="Palatino Linotype" w:hAnsi="Palatino Linotype" w:cs="Palatino Linotype"/>
          <w:b/>
          <w:i/>
          <w:color w:val="000000"/>
          <w:sz w:val="24"/>
          <w:szCs w:val="24"/>
        </w:rPr>
        <w:t>“</w:t>
      </w:r>
      <w:r w:rsidR="00CC3C65" w:rsidRPr="00F32196">
        <w:rPr>
          <w:rFonts w:ascii="Palatino Linotype" w:hAnsi="Palatino Linotype" w:cs="Arial"/>
          <w:b/>
          <w:bCs/>
          <w:i/>
          <w:sz w:val="24"/>
          <w:szCs w:val="24"/>
        </w:rPr>
        <w:t xml:space="preserve">26 11665INFOEMIPRR2025.pdf” </w:t>
      </w:r>
      <w:r w:rsidR="00CC3C65" w:rsidRPr="00F32196">
        <w:rPr>
          <w:rFonts w:ascii="Palatino Linotype" w:hAnsi="Palatino Linotype" w:cs="Arial"/>
          <w:bCs/>
          <w:sz w:val="24"/>
          <w:szCs w:val="24"/>
        </w:rPr>
        <w:t xml:space="preserve"> en los términos siguientes; </w:t>
      </w:r>
    </w:p>
    <w:p w:rsidR="00CC3C65" w:rsidRPr="00F32196" w:rsidRDefault="00CC3C65" w:rsidP="00CC3C65">
      <w:pPr>
        <w:pStyle w:val="Prrafodelista"/>
        <w:numPr>
          <w:ilvl w:val="0"/>
          <w:numId w:val="17"/>
        </w:numPr>
        <w:spacing w:line="360" w:lineRule="auto"/>
        <w:jc w:val="both"/>
        <w:rPr>
          <w:rFonts w:ascii="Palatino Linotype" w:hAnsi="Palatino Linotype" w:cs="Arial"/>
          <w:bCs/>
          <w:sz w:val="24"/>
          <w:szCs w:val="24"/>
        </w:rPr>
      </w:pPr>
      <w:r w:rsidRPr="00F32196">
        <w:rPr>
          <w:rFonts w:ascii="Palatino Linotype" w:hAnsi="Palatino Linotype" w:cs="Arial"/>
          <w:bCs/>
          <w:sz w:val="24"/>
          <w:szCs w:val="24"/>
        </w:rPr>
        <w:t xml:space="preserve">Soporte documental que consta de tres fojas en formato PDF por medio del cual el Titular de la Unidad de Transparencia manifiesta que la Secretaria Técnica le dio cuenta de las juntas de gobierno y que </w:t>
      </w:r>
      <w:r w:rsidRPr="00F32196">
        <w:rPr>
          <w:rFonts w:ascii="Palatino Linotype" w:hAnsi="Palatino Linotype" w:cs="Arial"/>
          <w:bCs/>
          <w:sz w:val="24"/>
          <w:szCs w:val="24"/>
          <w:u w:val="single"/>
        </w:rPr>
        <w:t>respecto los contratos el Recurrente fue omiso en desahogar el requerimiento de aclaración solicitado en respuesta por lo que no puede tenerse por presentada la solicitud de información dejando a salvo sus derechos para presentar nuevamente una solicitud</w:t>
      </w:r>
      <w:r w:rsidRPr="00F32196">
        <w:rPr>
          <w:rFonts w:ascii="Palatino Linotype" w:hAnsi="Palatino Linotype" w:cs="Arial"/>
          <w:b/>
          <w:bCs/>
          <w:sz w:val="24"/>
          <w:szCs w:val="24"/>
        </w:rPr>
        <w:t>.</w:t>
      </w:r>
      <w:r w:rsidRPr="00F32196">
        <w:rPr>
          <w:rFonts w:ascii="Palatino Linotype" w:hAnsi="Palatino Linotype" w:cs="Arial"/>
          <w:bCs/>
          <w:sz w:val="24"/>
          <w:szCs w:val="24"/>
        </w:rPr>
        <w:t xml:space="preserve"> </w:t>
      </w:r>
    </w:p>
    <w:p w:rsidR="00CC3C65" w:rsidRPr="00F32196" w:rsidRDefault="00CC3C65" w:rsidP="000A0D00">
      <w:pPr>
        <w:spacing w:line="360" w:lineRule="auto"/>
        <w:jc w:val="both"/>
        <w:rPr>
          <w:rFonts w:ascii="Palatino Linotype" w:hAnsi="Palatino Linotype" w:cs="Arial"/>
          <w:b/>
          <w:bCs/>
          <w:i/>
          <w:sz w:val="24"/>
          <w:szCs w:val="24"/>
        </w:rPr>
      </w:pPr>
    </w:p>
    <w:p w:rsidR="006807C0" w:rsidRPr="00F32196" w:rsidRDefault="006807C0" w:rsidP="006807C0">
      <w:pPr>
        <w:spacing w:line="360" w:lineRule="auto"/>
        <w:ind w:right="49"/>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 xml:space="preserve">De lo anterior, es de precisarse que el Recurrente únicamente manifestó inconformidad respecto los contratos realizados por el Sujeto Obligado del primero de enero al doce de septiembre de dos mil veinticinco es este sentido  es de establecerse que no hubo pronunciamiento por la parte Recurrente respecto a las actas de las juntas de gobierno entregadas por lo que debe declararse consentida por el </w:t>
      </w:r>
      <w:r w:rsidRPr="00F32196">
        <w:rPr>
          <w:rFonts w:ascii="Palatino Linotype" w:eastAsia="Palatino Linotype" w:hAnsi="Palatino Linotype" w:cs="Palatino Linotype"/>
          <w:b/>
          <w:color w:val="000000"/>
          <w:sz w:val="24"/>
          <w:szCs w:val="24"/>
        </w:rPr>
        <w:t>RECURRENTE</w:t>
      </w:r>
      <w:r w:rsidRPr="00F32196">
        <w:rPr>
          <w:rFonts w:ascii="Palatino Linotype" w:eastAsia="Palatino Linotype" w:hAnsi="Palatino Linotype" w:cs="Palatino Linotype"/>
          <w:color w:val="000000"/>
          <w:sz w:val="24"/>
          <w:szCs w:val="24"/>
        </w:rPr>
        <w:t>, debido a que no se realizaron manifestaciones de inconformidad, por lo que no pueden producirse efectos jurídicos tendentes a revocar, confirmar o modificar el acto reclamado ya que se infiere un consentimiento del Recurrente</w:t>
      </w:r>
      <w:r w:rsidRPr="00F32196">
        <w:rPr>
          <w:rFonts w:ascii="Palatino Linotype" w:eastAsia="Palatino Linotype" w:hAnsi="Palatino Linotype" w:cs="Palatino Linotype"/>
          <w:b/>
          <w:color w:val="000000"/>
          <w:sz w:val="24"/>
          <w:szCs w:val="24"/>
        </w:rPr>
        <w:t xml:space="preserve"> </w:t>
      </w:r>
      <w:r w:rsidRPr="00F32196">
        <w:rPr>
          <w:rFonts w:ascii="Palatino Linotype" w:eastAsia="Palatino Linotype" w:hAnsi="Palatino Linotype" w:cs="Palatino Linotype"/>
          <w:color w:val="000000"/>
          <w:sz w:val="24"/>
          <w:szCs w:val="24"/>
        </w:rPr>
        <w:t>ante la falta de impugnación eficaz.</w:t>
      </w:r>
    </w:p>
    <w:p w:rsidR="006807C0" w:rsidRPr="00F32196" w:rsidRDefault="006807C0" w:rsidP="006807C0">
      <w:pPr>
        <w:spacing w:line="360" w:lineRule="auto"/>
        <w:ind w:right="49"/>
        <w:jc w:val="both"/>
        <w:rPr>
          <w:rFonts w:ascii="Palatino Linotype" w:eastAsia="Palatino Linotype" w:hAnsi="Palatino Linotype" w:cs="Palatino Linotype"/>
          <w:color w:val="000000"/>
        </w:rPr>
      </w:pPr>
    </w:p>
    <w:p w:rsidR="006807C0" w:rsidRPr="00F32196" w:rsidRDefault="006807C0" w:rsidP="006807C0">
      <w:pPr>
        <w:spacing w:line="360" w:lineRule="auto"/>
        <w:ind w:right="49"/>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color w:val="000000"/>
          <w:sz w:val="24"/>
          <w:szCs w:val="24"/>
        </w:rPr>
        <w:lastRenderedPageBreak/>
        <w:t>Sirve de sustento a lo anterior por analogía la tesis jurisprudencial número VI.3o.C. J/60, publicada en el Semanario Judicial de la Federación y su Gaceta bajo el número de registro 176,608 que a la letra dice:</w:t>
      </w:r>
    </w:p>
    <w:p w:rsidR="006807C0" w:rsidRPr="00F32196" w:rsidRDefault="006807C0" w:rsidP="006807C0">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F32196">
        <w:rPr>
          <w:rFonts w:ascii="Palatino Linotype" w:eastAsia="Palatino Linotype" w:hAnsi="Palatino Linotype" w:cs="Palatino Linotype"/>
          <w:b/>
          <w:i/>
          <w:smallCaps/>
          <w:color w:val="000000"/>
        </w:rPr>
        <w:t xml:space="preserve">ACTOS CONSENTIDOS. SON LOS QUE NO SE IMPUGNAN MEDIANTE EL RECURSO IDÓNEO. </w:t>
      </w:r>
      <w:r w:rsidRPr="00F32196">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807C0" w:rsidRPr="00F32196" w:rsidRDefault="006807C0" w:rsidP="006807C0">
      <w:pPr>
        <w:spacing w:line="360" w:lineRule="auto"/>
        <w:ind w:right="49"/>
        <w:jc w:val="both"/>
        <w:rPr>
          <w:rFonts w:ascii="Palatino Linotype" w:eastAsia="Palatino Linotype" w:hAnsi="Palatino Linotype" w:cs="Palatino Linotype"/>
          <w:color w:val="000000"/>
        </w:rPr>
      </w:pPr>
    </w:p>
    <w:p w:rsidR="006807C0" w:rsidRPr="00F32196" w:rsidRDefault="006807C0" w:rsidP="006807C0">
      <w:pPr>
        <w:spacing w:line="360" w:lineRule="auto"/>
        <w:ind w:right="49"/>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color w:val="000000"/>
          <w:sz w:val="24"/>
          <w:szCs w:val="24"/>
        </w:rPr>
        <w:t xml:space="preserve">Para </w:t>
      </w:r>
      <w:r w:rsidRPr="00F32196">
        <w:rPr>
          <w:rFonts w:ascii="Palatino Linotype" w:eastAsia="Palatino Linotype" w:hAnsi="Palatino Linotype" w:cs="Palatino Linotype"/>
          <w:sz w:val="24"/>
          <w:szCs w:val="24"/>
        </w:rPr>
        <w:t>mayor abundamiento, también resulta aplicable el criterio 01/20 emitido por el Instituto Nacional de Transparencia, Acceso a la Información Pública y Protección de Datos Personales, que a la letra estipula lo siguiente:</w:t>
      </w:r>
    </w:p>
    <w:p w:rsidR="000A0D00" w:rsidRPr="00F32196" w:rsidRDefault="006807C0" w:rsidP="006807C0">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F32196">
        <w:rPr>
          <w:rFonts w:ascii="Palatino Linotype" w:eastAsia="Palatino Linotype" w:hAnsi="Palatino Linotype" w:cs="Palatino Linotype"/>
          <w:b/>
          <w:i/>
          <w:color w:val="000000"/>
        </w:rPr>
        <w:t>Actos consentidos tácitamente. Improcedencia de su análisis.</w:t>
      </w:r>
      <w:r w:rsidRPr="00F32196">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6807C0" w:rsidRPr="00F32196" w:rsidRDefault="006807C0" w:rsidP="000A0D00">
      <w:pPr>
        <w:tabs>
          <w:tab w:val="left" w:pos="709"/>
        </w:tabs>
        <w:spacing w:after="0" w:line="360" w:lineRule="auto"/>
        <w:jc w:val="both"/>
        <w:rPr>
          <w:rFonts w:ascii="Palatino Linotype" w:eastAsia="Palatino Linotype" w:hAnsi="Palatino Linotype" w:cs="Palatino Linotype"/>
          <w:sz w:val="24"/>
          <w:szCs w:val="24"/>
        </w:rPr>
      </w:pPr>
    </w:p>
    <w:p w:rsidR="000A0D00" w:rsidRPr="00F32196" w:rsidRDefault="000A0D00" w:rsidP="000A0D00">
      <w:pPr>
        <w:tabs>
          <w:tab w:val="left" w:pos="709"/>
        </w:tabs>
        <w:spacing w:after="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De lo anterior se debe señalar que el artículo 4, párrafo segundo de la Ley de Transparencia y Acceso a la Información Pública del Estado de México y Municipios, dispone:</w:t>
      </w:r>
    </w:p>
    <w:p w:rsidR="000A0D00" w:rsidRPr="00F32196" w:rsidRDefault="000A0D00" w:rsidP="000A0D00">
      <w:pPr>
        <w:spacing w:after="0" w:line="360" w:lineRule="auto"/>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r w:rsidRPr="00F32196">
        <w:rPr>
          <w:rFonts w:ascii="Palatino Linotype" w:eastAsia="Palatino Linotype" w:hAnsi="Palatino Linotype" w:cs="Palatino Linotype"/>
          <w:b/>
          <w:i/>
        </w:rPr>
        <w:t xml:space="preserve">Artículo 4. </w:t>
      </w:r>
      <w:r w:rsidRPr="00F32196">
        <w:rPr>
          <w:rFonts w:ascii="Palatino Linotype" w:eastAsia="Palatino Linotype" w:hAnsi="Palatino Linotype" w:cs="Palatino Linotype"/>
          <w:i/>
        </w:rPr>
        <w:t xml:space="preserve">… </w:t>
      </w:r>
    </w:p>
    <w:p w:rsidR="000A0D00" w:rsidRPr="00F32196" w:rsidRDefault="000A0D00" w:rsidP="000A0D00">
      <w:pPr>
        <w:spacing w:after="0" w:line="360" w:lineRule="auto"/>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 Toda la información generada, obtenida, adquirida, transformada, administrada o en posesión de los sujetos obligados es pública y accesible de manera permanente a cualquier persona, en </w:t>
      </w:r>
      <w:r w:rsidRPr="00F32196">
        <w:rPr>
          <w:rFonts w:ascii="Palatino Linotype" w:eastAsia="Palatino Linotype" w:hAnsi="Palatino Linotype" w:cs="Palatino Linotype"/>
          <w:i/>
        </w:rPr>
        <w:lastRenderedPageBreak/>
        <w:t>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A0D00" w:rsidRPr="00F32196" w:rsidRDefault="000A0D00" w:rsidP="000A0D00">
      <w:pPr>
        <w:spacing w:after="0" w:line="360" w:lineRule="auto"/>
        <w:ind w:left="567" w:right="616"/>
        <w:jc w:val="both"/>
        <w:rPr>
          <w:rFonts w:ascii="Palatino Linotype" w:eastAsia="Palatino Linotype" w:hAnsi="Palatino Linotype" w:cs="Palatino Linotype"/>
          <w:i/>
        </w:rPr>
      </w:pPr>
    </w:p>
    <w:p w:rsidR="000A0D00" w:rsidRPr="00F32196" w:rsidRDefault="000A0D00" w:rsidP="000A0D00">
      <w:pPr>
        <w:tabs>
          <w:tab w:val="left" w:pos="709"/>
        </w:tabs>
        <w:spacing w:after="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0A0D00" w:rsidRPr="00F32196" w:rsidRDefault="000A0D00" w:rsidP="000A0D00">
      <w:pPr>
        <w:tabs>
          <w:tab w:val="left" w:pos="709"/>
        </w:tabs>
        <w:spacing w:after="0" w:line="360" w:lineRule="auto"/>
        <w:jc w:val="both"/>
        <w:rPr>
          <w:rFonts w:ascii="Palatino Linotype" w:eastAsia="Palatino Linotype" w:hAnsi="Palatino Linotype" w:cs="Palatino Linotype"/>
          <w:sz w:val="24"/>
          <w:szCs w:val="24"/>
        </w:rPr>
      </w:pPr>
    </w:p>
    <w:p w:rsidR="000A0D00" w:rsidRPr="00F32196" w:rsidRDefault="000A0D00" w:rsidP="000A0D00">
      <w:pPr>
        <w:tabs>
          <w:tab w:val="left" w:pos="709"/>
        </w:tabs>
        <w:spacing w:after="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En esta misma tesitura, el derecho de acceso a la información pública, consiste en que la información solicitada conste en un soporte documental en cualquiera de sus formas, a saber: </w:t>
      </w:r>
      <w:r w:rsidRPr="00F32196">
        <w:rPr>
          <w:rFonts w:ascii="Palatino Linotype" w:eastAsia="Palatino Linotype" w:hAnsi="Palatino Linotype" w:cs="Palatino Linotype"/>
          <w:b/>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32196">
        <w:rPr>
          <w:rFonts w:ascii="Palatino Linotype" w:eastAsia="Palatino Linotype" w:hAnsi="Palatino Linotype" w:cs="Palatino Linotype"/>
          <w:sz w:val="24"/>
          <w:szCs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0A0D00" w:rsidRPr="00F32196" w:rsidRDefault="000A0D00" w:rsidP="000A0D00">
      <w:pPr>
        <w:spacing w:after="0" w:line="360" w:lineRule="auto"/>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r w:rsidRPr="00F32196">
        <w:rPr>
          <w:rFonts w:ascii="Palatino Linotype" w:eastAsia="Palatino Linotype" w:hAnsi="Palatino Linotype" w:cs="Palatino Linotype"/>
          <w:b/>
          <w:i/>
        </w:rPr>
        <w:t xml:space="preserve">Artículo 3. </w:t>
      </w:r>
      <w:r w:rsidRPr="00F32196">
        <w:rPr>
          <w:rFonts w:ascii="Palatino Linotype" w:eastAsia="Palatino Linotype" w:hAnsi="Palatino Linotype" w:cs="Palatino Linotype"/>
          <w:i/>
        </w:rPr>
        <w:t>Para los efectos de la presente Ley se entenderá por:</w:t>
      </w:r>
    </w:p>
    <w:p w:rsidR="000A0D00" w:rsidRPr="00F32196" w:rsidRDefault="000A0D00" w:rsidP="000A0D00">
      <w:pPr>
        <w:spacing w:after="0" w:line="360" w:lineRule="auto"/>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p>
    <w:p w:rsidR="000A0D00" w:rsidRPr="00F32196" w:rsidRDefault="000A0D00" w:rsidP="000A0D00">
      <w:pPr>
        <w:spacing w:after="0" w:line="360" w:lineRule="auto"/>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b/>
          <w:i/>
        </w:rPr>
        <w:lastRenderedPageBreak/>
        <w:t>XI. Documento:</w:t>
      </w:r>
      <w:r w:rsidRPr="00F32196">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w:t>
      </w:r>
      <w:r w:rsidRPr="00F32196">
        <w:rPr>
          <w:rFonts w:ascii="Palatino Linotype" w:eastAsia="Palatino Linotype" w:hAnsi="Palatino Linotype" w:cs="Palatino Linotype"/>
          <w:b/>
          <w:i/>
          <w:u w:val="single"/>
        </w:rPr>
        <w:t>registro que documente el ejercicio de las facultades, funciones y competencias de los sujetos obligados</w:t>
      </w:r>
      <w:r w:rsidRPr="00F32196">
        <w:rPr>
          <w:rFonts w:ascii="Palatino Linotype" w:eastAsia="Palatino Linotype" w:hAnsi="Palatino Linotype" w:cs="Palatino Linotype"/>
          <w:i/>
          <w:u w:val="single"/>
        </w:rPr>
        <w:t>,</w:t>
      </w:r>
      <w:r w:rsidRPr="00F32196">
        <w:rPr>
          <w:rFonts w:ascii="Palatino Linotype" w:eastAsia="Palatino Linotype" w:hAnsi="Palatino Linotype" w:cs="Palatino Linotype"/>
          <w:i/>
        </w:rPr>
        <w:t xml:space="preserve"> sus servidores públicos e integrantes, </w:t>
      </w:r>
      <w:r w:rsidRPr="00F32196">
        <w:rPr>
          <w:rFonts w:ascii="Palatino Linotype" w:eastAsia="Palatino Linotype" w:hAnsi="Palatino Linotype" w:cs="Palatino Linotype"/>
          <w:b/>
          <w:i/>
          <w:u w:val="single"/>
        </w:rPr>
        <w:t>sin importar su fuente o fecha de elaboración.</w:t>
      </w:r>
      <w:r w:rsidRPr="00F32196">
        <w:rPr>
          <w:rFonts w:ascii="Palatino Linotype" w:eastAsia="Palatino Linotype" w:hAnsi="Palatino Linotype" w:cs="Palatino Linotype"/>
          <w:i/>
        </w:rPr>
        <w:t xml:space="preserve"> Los documentos podrán estar en cualquier medio, sea escrito, impreso, sonoro, visual, electrónico, informático u holográfico;</w:t>
      </w:r>
    </w:p>
    <w:p w:rsidR="000A0D00" w:rsidRPr="00F32196" w:rsidRDefault="000A0D00" w:rsidP="000A0D00">
      <w:pPr>
        <w:spacing w:after="0" w:line="360" w:lineRule="auto"/>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p>
    <w:p w:rsidR="000A0D00" w:rsidRPr="00F32196" w:rsidRDefault="000A0D00" w:rsidP="000A0D00">
      <w:pPr>
        <w:spacing w:after="0" w:line="360" w:lineRule="auto"/>
        <w:ind w:right="49"/>
        <w:jc w:val="both"/>
        <w:rPr>
          <w:rFonts w:ascii="Palatino Linotype" w:eastAsia="Palatino Linotype" w:hAnsi="Palatino Linotype" w:cs="Palatino Linotype"/>
          <w:sz w:val="24"/>
          <w:szCs w:val="24"/>
        </w:rPr>
      </w:pPr>
    </w:p>
    <w:p w:rsidR="000A0D00" w:rsidRPr="00F32196" w:rsidRDefault="000A0D00" w:rsidP="000A0D00">
      <w:pPr>
        <w:spacing w:after="0" w:line="360" w:lineRule="auto"/>
        <w:ind w:right="49"/>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0A0D00" w:rsidRPr="00F32196" w:rsidRDefault="000A0D00" w:rsidP="000A0D00">
      <w:pPr>
        <w:spacing w:after="0" w:line="360" w:lineRule="auto"/>
        <w:jc w:val="both"/>
        <w:rPr>
          <w:rFonts w:ascii="Palatino Linotype" w:eastAsia="Palatino Linotype" w:hAnsi="Palatino Linotype" w:cs="Palatino Linotype"/>
          <w:sz w:val="24"/>
          <w:szCs w:val="24"/>
        </w:rPr>
      </w:pPr>
    </w:p>
    <w:p w:rsidR="006807C0" w:rsidRPr="00F32196" w:rsidRDefault="006666D1" w:rsidP="000A0D00">
      <w:pPr>
        <w:spacing w:after="0" w:line="360" w:lineRule="auto"/>
        <w:jc w:val="both"/>
        <w:rPr>
          <w:rFonts w:ascii="Palatino Linotype" w:eastAsia="Palatino Linotype" w:hAnsi="Palatino Linotype" w:cs="Palatino Linotype"/>
          <w:sz w:val="24"/>
          <w:szCs w:val="24"/>
          <w:u w:val="single"/>
        </w:rPr>
      </w:pPr>
      <w:r w:rsidRPr="00F32196">
        <w:rPr>
          <w:rFonts w:ascii="Palatino Linotype" w:eastAsia="Palatino Linotype" w:hAnsi="Palatino Linotype" w:cs="Palatino Linotype"/>
          <w:sz w:val="24"/>
          <w:szCs w:val="24"/>
        </w:rPr>
        <w:t xml:space="preserve">En ese contexto es de precisarse que si bien el Sujeto Obligado manifestó que requería aclaración por parte del Recurrente respecto los contratos requeridos </w:t>
      </w:r>
      <w:r w:rsidR="00300AC9" w:rsidRPr="00F32196">
        <w:rPr>
          <w:rFonts w:ascii="Palatino Linotype" w:eastAsia="Palatino Linotype" w:hAnsi="Palatino Linotype" w:cs="Palatino Linotype"/>
          <w:sz w:val="24"/>
          <w:szCs w:val="24"/>
        </w:rPr>
        <w:t xml:space="preserve">sin embargo </w:t>
      </w:r>
      <w:r w:rsidRPr="00F32196">
        <w:rPr>
          <w:rFonts w:ascii="Palatino Linotype" w:eastAsia="Palatino Linotype" w:hAnsi="Palatino Linotype" w:cs="Palatino Linotype"/>
          <w:sz w:val="24"/>
          <w:szCs w:val="24"/>
          <w:u w:val="single"/>
        </w:rPr>
        <w:t xml:space="preserve">se </w:t>
      </w:r>
      <w:r w:rsidRPr="00F32196">
        <w:rPr>
          <w:rFonts w:ascii="Palatino Linotype" w:eastAsia="Palatino Linotype" w:hAnsi="Palatino Linotype" w:cs="Palatino Linotype"/>
          <w:sz w:val="24"/>
          <w:szCs w:val="24"/>
          <w:u w:val="single"/>
        </w:rPr>
        <w:lastRenderedPageBreak/>
        <w:t xml:space="preserve">advierte que no fue realizado en el momento procesal oportuno conforme lo establecido por el artículo 159 de la Ley de Transparencia Local pues este Instituto advierte que el requerimiento de información es claro y preciso. </w:t>
      </w:r>
    </w:p>
    <w:p w:rsidR="006666D1" w:rsidRPr="00F32196" w:rsidRDefault="006666D1" w:rsidP="000A0D00">
      <w:pPr>
        <w:spacing w:after="0" w:line="360" w:lineRule="auto"/>
        <w:jc w:val="both"/>
        <w:rPr>
          <w:rFonts w:ascii="Palatino Linotype" w:eastAsia="Palatino Linotype" w:hAnsi="Palatino Linotype" w:cs="Palatino Linotype"/>
          <w:sz w:val="24"/>
          <w:szCs w:val="24"/>
        </w:rPr>
      </w:pPr>
    </w:p>
    <w:p w:rsidR="006666D1" w:rsidRPr="00F32196" w:rsidRDefault="006666D1" w:rsidP="000A0D00">
      <w:pPr>
        <w:spacing w:after="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Entonces resulta </w:t>
      </w:r>
      <w:r w:rsidR="005F258D" w:rsidRPr="00F32196">
        <w:rPr>
          <w:rFonts w:ascii="Palatino Linotype" w:eastAsia="Palatino Linotype" w:hAnsi="Palatino Linotype" w:cs="Palatino Linotype"/>
          <w:sz w:val="24"/>
          <w:szCs w:val="24"/>
        </w:rPr>
        <w:t xml:space="preserve">procedente de manera enunciativa traer </w:t>
      </w:r>
      <w:r w:rsidRPr="00F32196">
        <w:rPr>
          <w:rFonts w:ascii="Palatino Linotype" w:eastAsia="Palatino Linotype" w:hAnsi="Palatino Linotype" w:cs="Palatino Linotype"/>
          <w:sz w:val="24"/>
          <w:szCs w:val="24"/>
        </w:rPr>
        <w:t xml:space="preserve">a colación el Código Administrativo del Estado de México a efecto de advertir que los contratos se pueden realizar mediante invitación restringida y adjudicación directa, conforme lo siguiente; </w:t>
      </w:r>
    </w:p>
    <w:p w:rsidR="006666D1" w:rsidRPr="00F32196" w:rsidRDefault="006666D1" w:rsidP="006666D1">
      <w:pPr>
        <w:spacing w:after="0" w:line="360" w:lineRule="auto"/>
        <w:ind w:left="708"/>
        <w:jc w:val="both"/>
        <w:rPr>
          <w:rFonts w:ascii="Palatino Linotype" w:hAnsi="Palatino Linotype"/>
          <w:i/>
        </w:rPr>
      </w:pPr>
      <w:r w:rsidRPr="00F32196">
        <w:rPr>
          <w:rFonts w:ascii="Palatino Linotype" w:hAnsi="Palatino Linotype"/>
          <w:i/>
        </w:rPr>
        <w:t xml:space="preserve">Artículo 12.20.- Los contratos a que se refiere este Libro, se adjudicarán a través de licitaciones públicas, mediante convocatoria pública. </w:t>
      </w:r>
    </w:p>
    <w:p w:rsidR="006666D1" w:rsidRPr="00F32196" w:rsidRDefault="006666D1" w:rsidP="006666D1">
      <w:pPr>
        <w:spacing w:after="0" w:line="360" w:lineRule="auto"/>
        <w:ind w:left="708"/>
        <w:jc w:val="both"/>
        <w:rPr>
          <w:rFonts w:ascii="Palatino Linotype" w:hAnsi="Palatino Linotype"/>
          <w:i/>
        </w:rPr>
      </w:pPr>
    </w:p>
    <w:p w:rsidR="006666D1" w:rsidRPr="00F32196" w:rsidRDefault="006666D1" w:rsidP="006666D1">
      <w:pPr>
        <w:spacing w:after="0" w:line="360" w:lineRule="auto"/>
        <w:ind w:left="708"/>
        <w:jc w:val="both"/>
        <w:rPr>
          <w:rFonts w:ascii="Palatino Linotype" w:hAnsi="Palatino Linotype"/>
          <w:i/>
        </w:rPr>
      </w:pPr>
      <w:r w:rsidRPr="00F32196">
        <w:rPr>
          <w:rFonts w:ascii="Palatino Linotype" w:hAnsi="Palatino Linotype"/>
          <w:i/>
        </w:rPr>
        <w:t xml:space="preserve">Artículo 12.21.- Las dependencias, entidades y ayuntamientos podrán adjudicar contratos para la ejecución de obra pública o servicios relacionados con la misma. </w:t>
      </w:r>
      <w:proofErr w:type="gramStart"/>
      <w:r w:rsidRPr="00F32196">
        <w:rPr>
          <w:rFonts w:ascii="Palatino Linotype" w:hAnsi="Palatino Linotype"/>
          <w:i/>
        </w:rPr>
        <w:t>mediante</w:t>
      </w:r>
      <w:proofErr w:type="gramEnd"/>
      <w:r w:rsidRPr="00F32196">
        <w:rPr>
          <w:rFonts w:ascii="Palatino Linotype" w:hAnsi="Palatino Linotype"/>
          <w:i/>
        </w:rPr>
        <w:t xml:space="preserve"> las excepciones al procedimiento de licitación siguientes:</w:t>
      </w:r>
    </w:p>
    <w:p w:rsidR="006666D1" w:rsidRPr="00F32196" w:rsidRDefault="006666D1" w:rsidP="006666D1">
      <w:pPr>
        <w:pStyle w:val="Prrafodelista"/>
        <w:numPr>
          <w:ilvl w:val="0"/>
          <w:numId w:val="19"/>
        </w:numPr>
        <w:spacing w:after="0" w:line="360" w:lineRule="auto"/>
        <w:jc w:val="both"/>
        <w:rPr>
          <w:rFonts w:ascii="Palatino Linotype" w:hAnsi="Palatino Linotype"/>
          <w:i/>
        </w:rPr>
      </w:pPr>
      <w:r w:rsidRPr="00F32196">
        <w:rPr>
          <w:rFonts w:ascii="Palatino Linotype" w:hAnsi="Palatino Linotype"/>
          <w:i/>
        </w:rPr>
        <w:t>Invitación restringida;</w:t>
      </w:r>
    </w:p>
    <w:p w:rsidR="006666D1" w:rsidRPr="00F32196" w:rsidRDefault="006666D1" w:rsidP="006666D1">
      <w:pPr>
        <w:pStyle w:val="Prrafodelista"/>
        <w:numPr>
          <w:ilvl w:val="0"/>
          <w:numId w:val="19"/>
        </w:numPr>
        <w:spacing w:after="0" w:line="360" w:lineRule="auto"/>
        <w:jc w:val="both"/>
        <w:rPr>
          <w:rFonts w:ascii="Palatino Linotype" w:eastAsia="Palatino Linotype" w:hAnsi="Palatino Linotype" w:cs="Palatino Linotype"/>
          <w:i/>
          <w:sz w:val="24"/>
          <w:szCs w:val="24"/>
        </w:rPr>
      </w:pPr>
      <w:r w:rsidRPr="00F32196">
        <w:rPr>
          <w:rFonts w:ascii="Palatino Linotype" w:hAnsi="Palatino Linotype"/>
          <w:i/>
        </w:rPr>
        <w:t>Adjudicación directa</w:t>
      </w:r>
    </w:p>
    <w:p w:rsidR="006666D1" w:rsidRPr="00F32196" w:rsidRDefault="006666D1" w:rsidP="006666D1">
      <w:pPr>
        <w:spacing w:after="0" w:line="360" w:lineRule="auto"/>
        <w:ind w:left="708"/>
        <w:jc w:val="both"/>
        <w:rPr>
          <w:rFonts w:ascii="Palatino Linotype" w:hAnsi="Palatino Linotype"/>
          <w:i/>
        </w:rPr>
      </w:pPr>
    </w:p>
    <w:p w:rsidR="006666D1" w:rsidRPr="00F32196" w:rsidRDefault="006666D1" w:rsidP="006666D1">
      <w:pPr>
        <w:spacing w:after="0" w:line="360" w:lineRule="auto"/>
        <w:ind w:left="708"/>
        <w:jc w:val="both"/>
        <w:rPr>
          <w:rFonts w:ascii="Palatino Linotype" w:hAnsi="Palatino Linotype"/>
          <w:i/>
        </w:rPr>
      </w:pPr>
      <w:r w:rsidRPr="00F32196">
        <w:rPr>
          <w:rFonts w:ascii="Palatino Linotype" w:hAnsi="Palatino Linotype"/>
          <w:i/>
        </w:rPr>
        <w:t>Artículo 12.22.- En el procedimiento de licitación pública deberán establecerse los mismos requisitos y condiciones para todos los participantes, debiendo las dependencias, entidades y ayuntamientos, proporcionarles igual acceso a la información relacionada con dicho procedimiento, a fin de evitar favorecer a algún participante.</w:t>
      </w:r>
    </w:p>
    <w:p w:rsidR="006666D1" w:rsidRPr="00F32196" w:rsidRDefault="006666D1" w:rsidP="006666D1">
      <w:pPr>
        <w:spacing w:after="0" w:line="360" w:lineRule="auto"/>
        <w:ind w:left="708"/>
        <w:jc w:val="both"/>
        <w:rPr>
          <w:rFonts w:ascii="Palatino Linotype" w:eastAsia="Palatino Linotype" w:hAnsi="Palatino Linotype" w:cs="Palatino Linotype"/>
          <w:sz w:val="24"/>
          <w:szCs w:val="24"/>
        </w:rPr>
      </w:pPr>
    </w:p>
    <w:p w:rsidR="005F258D" w:rsidRPr="00F32196" w:rsidRDefault="006666D1" w:rsidP="005F258D">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Así mismo en términos de lo establecido por</w:t>
      </w:r>
      <w:r w:rsidR="005F258D" w:rsidRPr="00F32196">
        <w:rPr>
          <w:rFonts w:ascii="Palatino Linotype" w:eastAsia="Palatino Linotype" w:hAnsi="Palatino Linotype" w:cs="Palatino Linotype"/>
          <w:sz w:val="24"/>
          <w:szCs w:val="24"/>
        </w:rPr>
        <w:t xml:space="preserve"> los artículos 13 Bis E, 15, y 23 de</w:t>
      </w:r>
      <w:r w:rsidRPr="00F32196">
        <w:rPr>
          <w:rFonts w:ascii="Palatino Linotype" w:eastAsia="Palatino Linotype" w:hAnsi="Palatino Linotype" w:cs="Palatino Linotype"/>
          <w:sz w:val="24"/>
          <w:szCs w:val="24"/>
        </w:rPr>
        <w:t xml:space="preserve"> la ley que crea los organismos públicos descentralizados de asistencia social de carácter municipal </w:t>
      </w:r>
      <w:r w:rsidRPr="00F32196">
        <w:rPr>
          <w:rFonts w:ascii="Palatino Linotype" w:eastAsia="Palatino Linotype" w:hAnsi="Palatino Linotype" w:cs="Palatino Linotype"/>
          <w:sz w:val="24"/>
          <w:szCs w:val="24"/>
        </w:rPr>
        <w:lastRenderedPageBreak/>
        <w:t>denominados “Sistemas Municipales para el Desarrollo Integral de la Familia”</w:t>
      </w:r>
      <w:r w:rsidR="005F258D" w:rsidRPr="00F32196">
        <w:rPr>
          <w:rFonts w:ascii="Palatino Linotype" w:eastAsia="Palatino Linotype" w:hAnsi="Palatino Linotype" w:cs="Palatino Linotype"/>
          <w:sz w:val="24"/>
          <w:szCs w:val="24"/>
        </w:rPr>
        <w:t xml:space="preserve"> los Sistemas DIF tiene la facultad de celebrar contratos pues se precisa que </w:t>
      </w:r>
      <w:r w:rsidR="005F258D" w:rsidRPr="00F32196">
        <w:rPr>
          <w:rFonts w:ascii="Palatino Linotype" w:hAnsi="Palatino Linotype"/>
          <w:sz w:val="24"/>
          <w:szCs w:val="24"/>
        </w:rPr>
        <w:t xml:space="preserve">gozarán respecto a su patrimonio y a los actos y contratos que celebren conforme las normativas aplicables, en los términos siguientes; </w:t>
      </w:r>
    </w:p>
    <w:p w:rsidR="005F258D" w:rsidRPr="00F32196" w:rsidRDefault="005F258D" w:rsidP="005F258D">
      <w:pPr>
        <w:spacing w:line="360" w:lineRule="auto"/>
        <w:ind w:left="708"/>
        <w:jc w:val="both"/>
        <w:rPr>
          <w:rFonts w:ascii="Palatino Linotype" w:hAnsi="Palatino Linotype"/>
          <w:i/>
        </w:rPr>
      </w:pPr>
      <w:r w:rsidRPr="00F32196">
        <w:rPr>
          <w:rFonts w:ascii="Palatino Linotype" w:hAnsi="Palatino Linotype"/>
          <w:b/>
          <w:i/>
        </w:rPr>
        <w:t>Artículo 13 Bis-E.-</w:t>
      </w:r>
      <w:r w:rsidRPr="00F32196">
        <w:rPr>
          <w:rFonts w:ascii="Palatino Linotype" w:hAnsi="Palatino Linotype"/>
          <w:i/>
        </w:rPr>
        <w:t xml:space="preserve"> La Presidencia tendrá las atribuciones y obligaciones siguientes:</w:t>
      </w:r>
    </w:p>
    <w:p w:rsidR="005F258D" w:rsidRPr="00F32196" w:rsidRDefault="005F258D" w:rsidP="005F258D">
      <w:pPr>
        <w:spacing w:line="360" w:lineRule="auto"/>
        <w:ind w:left="708"/>
        <w:jc w:val="both"/>
        <w:rPr>
          <w:rFonts w:ascii="Palatino Linotype" w:hAnsi="Palatino Linotype"/>
          <w:b/>
          <w:i/>
        </w:rPr>
      </w:pPr>
      <w:r w:rsidRPr="00F32196">
        <w:rPr>
          <w:rFonts w:ascii="Palatino Linotype" w:hAnsi="Palatino Linotype"/>
          <w:i/>
        </w:rPr>
        <w:t>XIX. Las demás que le confieran los ordenamientos legales y la Junta de Gobierno.</w:t>
      </w:r>
    </w:p>
    <w:p w:rsidR="005F258D" w:rsidRPr="00F32196" w:rsidRDefault="005F258D" w:rsidP="005F258D">
      <w:pPr>
        <w:spacing w:line="360" w:lineRule="auto"/>
        <w:ind w:left="708"/>
        <w:jc w:val="both"/>
        <w:rPr>
          <w:rFonts w:ascii="Palatino Linotype" w:hAnsi="Palatino Linotype"/>
          <w:b/>
          <w:i/>
        </w:rPr>
      </w:pPr>
    </w:p>
    <w:p w:rsidR="005F258D" w:rsidRPr="00F32196" w:rsidRDefault="005F258D" w:rsidP="005F258D">
      <w:pPr>
        <w:spacing w:line="360" w:lineRule="auto"/>
        <w:ind w:left="708"/>
        <w:jc w:val="both"/>
        <w:rPr>
          <w:rFonts w:ascii="Palatino Linotype" w:hAnsi="Palatino Linotype"/>
          <w:i/>
        </w:rPr>
      </w:pPr>
      <w:r w:rsidRPr="00F32196">
        <w:rPr>
          <w:rFonts w:ascii="Palatino Linotype" w:hAnsi="Palatino Linotype"/>
          <w:b/>
          <w:i/>
        </w:rPr>
        <w:t>Artículo 15.-</w:t>
      </w:r>
      <w:r w:rsidRPr="00F32196">
        <w:rPr>
          <w:rFonts w:ascii="Palatino Linotype" w:hAnsi="Palatino Linotype"/>
          <w:i/>
        </w:rPr>
        <w:t xml:space="preserve">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rsidR="005F258D" w:rsidRPr="00F32196" w:rsidRDefault="005F258D" w:rsidP="005F258D">
      <w:pPr>
        <w:spacing w:line="360" w:lineRule="auto"/>
        <w:ind w:left="1416"/>
        <w:jc w:val="both"/>
        <w:rPr>
          <w:rFonts w:ascii="Palatino Linotype" w:hAnsi="Palatino Linotype"/>
          <w:i/>
        </w:rPr>
      </w:pPr>
      <w:r w:rsidRPr="00F32196">
        <w:rPr>
          <w:rFonts w:ascii="Palatino Linotype" w:hAnsi="Palatino Linotype"/>
          <w:i/>
        </w:rPr>
        <w:t>I. Administrar los recursos que conforman el patrimonio del organismo de conformidad con lo establecido en las disposiciones legales aplicables;</w:t>
      </w:r>
    </w:p>
    <w:p w:rsidR="005F258D" w:rsidRPr="00F32196" w:rsidRDefault="005F258D" w:rsidP="005F258D">
      <w:pPr>
        <w:spacing w:line="360" w:lineRule="auto"/>
        <w:ind w:left="708"/>
        <w:jc w:val="both"/>
        <w:rPr>
          <w:rFonts w:ascii="Palatino Linotype" w:hAnsi="Palatino Linotype"/>
          <w:b/>
          <w:i/>
        </w:rPr>
      </w:pPr>
    </w:p>
    <w:p w:rsidR="005F258D" w:rsidRPr="00F32196" w:rsidRDefault="005F258D" w:rsidP="005F258D">
      <w:pPr>
        <w:spacing w:line="360" w:lineRule="auto"/>
        <w:ind w:left="708"/>
        <w:jc w:val="both"/>
        <w:rPr>
          <w:rFonts w:ascii="Palatino Linotype" w:eastAsia="Palatino Linotype" w:hAnsi="Palatino Linotype" w:cs="Palatino Linotype"/>
          <w:i/>
          <w:sz w:val="24"/>
          <w:szCs w:val="24"/>
        </w:rPr>
      </w:pPr>
      <w:r w:rsidRPr="00F32196">
        <w:rPr>
          <w:rFonts w:ascii="Palatino Linotype" w:hAnsi="Palatino Linotype"/>
          <w:b/>
          <w:i/>
        </w:rPr>
        <w:t>Artículo 23.-</w:t>
      </w:r>
      <w:r w:rsidRPr="00F32196">
        <w:rPr>
          <w:rFonts w:ascii="Palatino Linotype" w:hAnsi="Palatino Linotype"/>
          <w:i/>
        </w:rPr>
        <w:t xml:space="preserve"> Los Sistemas Municipales gozarán respecto a su patrimonio y a los actos y contratos que celebren, de las franquicias, prerrogativas y exenciones de carácter económico que dispongan las Leyes.</w:t>
      </w:r>
    </w:p>
    <w:p w:rsidR="006666D1" w:rsidRPr="00F32196" w:rsidRDefault="006666D1" w:rsidP="006666D1">
      <w:pPr>
        <w:spacing w:line="360" w:lineRule="auto"/>
        <w:jc w:val="both"/>
        <w:rPr>
          <w:rFonts w:ascii="Palatino Linotype" w:eastAsia="Palatino Linotype" w:hAnsi="Palatino Linotype" w:cs="Palatino Linotype"/>
          <w:sz w:val="24"/>
          <w:szCs w:val="24"/>
        </w:rPr>
      </w:pPr>
    </w:p>
    <w:p w:rsidR="006666D1" w:rsidRPr="00F32196" w:rsidRDefault="006666D1" w:rsidP="006666D1">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De lo anterior la Ley de Transparencia en su numeral 92 en su fracción XXIX establece como obligación de transparencia común la información sobre los procesos y resultados </w:t>
      </w:r>
      <w:r w:rsidRPr="00F32196">
        <w:rPr>
          <w:rFonts w:ascii="Palatino Linotype" w:eastAsia="Palatino Linotype" w:hAnsi="Palatino Linotype" w:cs="Palatino Linotype"/>
          <w:sz w:val="24"/>
          <w:szCs w:val="24"/>
        </w:rPr>
        <w:lastRenderedPageBreak/>
        <w:t xml:space="preserve">de procedimientos de adjudicación directa, invitación restringida y licitación de cualquier naturaleza, en los términos siguientes; </w:t>
      </w:r>
    </w:p>
    <w:p w:rsidR="006666D1" w:rsidRPr="00F32196" w:rsidRDefault="006666D1" w:rsidP="006666D1">
      <w:pPr>
        <w:ind w:left="416"/>
        <w:jc w:val="center"/>
        <w:rPr>
          <w:rFonts w:ascii="Palatino Linotype" w:eastAsia="Palatino Linotype" w:hAnsi="Palatino Linotype" w:cs="Palatino Linotype"/>
          <w:b/>
          <w:i/>
        </w:rPr>
      </w:pPr>
      <w:r w:rsidRPr="00F32196">
        <w:rPr>
          <w:rFonts w:ascii="Palatino Linotype" w:eastAsia="Palatino Linotype" w:hAnsi="Palatino Linotype" w:cs="Palatino Linotype"/>
          <w:b/>
          <w:i/>
        </w:rPr>
        <w:t>Capítulo II De las Obligaciones de Transparencia Comunes</w:t>
      </w:r>
    </w:p>
    <w:p w:rsidR="006666D1" w:rsidRPr="00F32196" w:rsidRDefault="006666D1" w:rsidP="006666D1">
      <w:pPr>
        <w:ind w:left="416"/>
        <w:jc w:val="both"/>
        <w:rPr>
          <w:rFonts w:ascii="Palatino Linotype" w:eastAsia="Palatino Linotype" w:hAnsi="Palatino Linotype" w:cs="Palatino Linotype"/>
          <w:i/>
        </w:rPr>
      </w:pPr>
      <w:r w:rsidRPr="00F32196">
        <w:rPr>
          <w:rFonts w:ascii="Palatino Linotype" w:eastAsia="Palatino Linotype" w:hAnsi="Palatino Linotype" w:cs="Palatino Linotype"/>
          <w:b/>
          <w:i/>
        </w:rPr>
        <w:t>Artículo 92.</w:t>
      </w:r>
      <w:r w:rsidRPr="00F32196">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666D1" w:rsidRPr="00F32196" w:rsidRDefault="006666D1" w:rsidP="006666D1">
      <w:pPr>
        <w:jc w:val="both"/>
        <w:rPr>
          <w:rFonts w:ascii="Palatino Linotype" w:eastAsia="Palatino Linotype" w:hAnsi="Palatino Linotype" w:cs="Palatino Linotype"/>
        </w:rPr>
      </w:pPr>
    </w:p>
    <w:p w:rsidR="006666D1" w:rsidRPr="00F32196" w:rsidRDefault="006666D1" w:rsidP="006666D1">
      <w:pPr>
        <w:ind w:left="416"/>
        <w:jc w:val="both"/>
        <w:rPr>
          <w:rFonts w:ascii="Palatino Linotype" w:eastAsia="Palatino Linotype" w:hAnsi="Palatino Linotype" w:cs="Palatino Linotype"/>
          <w:i/>
        </w:rPr>
      </w:pPr>
      <w:r w:rsidRPr="00F32196">
        <w:rPr>
          <w:rFonts w:ascii="Palatino Linotype" w:eastAsia="Palatino Linotype" w:hAnsi="Palatino Linotype" w:cs="Palatino Linotype"/>
          <w:b/>
          <w:i/>
        </w:rPr>
        <w:t>XXIX.</w:t>
      </w:r>
      <w:r w:rsidRPr="00F32196">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w:t>
      </w:r>
      <w:r w:rsidRPr="00F32196">
        <w:rPr>
          <w:rFonts w:ascii="Palatino Linotype" w:eastAsia="Palatino Linotype" w:hAnsi="Palatino Linotype" w:cs="Palatino Linotype"/>
          <w:b/>
          <w:i/>
          <w:u w:val="single"/>
        </w:rPr>
        <w:t>de los contratos celebrados</w:t>
      </w:r>
      <w:r w:rsidRPr="00F32196">
        <w:rPr>
          <w:rFonts w:ascii="Palatino Linotype" w:eastAsia="Palatino Linotype" w:hAnsi="Palatino Linotype" w:cs="Palatino Linotype"/>
          <w:i/>
        </w:rPr>
        <w:t>, que deberán contener, por los menos, lo siguiente:</w:t>
      </w:r>
    </w:p>
    <w:p w:rsidR="006666D1" w:rsidRPr="00F32196" w:rsidRDefault="006666D1" w:rsidP="006666D1">
      <w:pPr>
        <w:jc w:val="both"/>
        <w:rPr>
          <w:rFonts w:ascii="Palatino Linotype" w:eastAsia="Palatino Linotype" w:hAnsi="Palatino Linotype" w:cs="Palatino Linotype"/>
          <w:i/>
        </w:rPr>
      </w:pPr>
    </w:p>
    <w:p w:rsidR="006666D1" w:rsidRPr="00F32196" w:rsidRDefault="006666D1" w:rsidP="006666D1">
      <w:pPr>
        <w:ind w:left="416"/>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a) De licitaciones públicas o procedimientos de invitación restringida: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1) La convocatoria o invitación emitida, así como los fundamentos legales aplicados para llevarla a cabo;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2) Los nombres de los participantes o invitados;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3) El nombre del ganador y las razones que lo justifican;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4) El área solicitante y la responsable de su ejecución;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5) Las convocatorias e invitaciones emitidas; </w:t>
      </w:r>
    </w:p>
    <w:p w:rsidR="006666D1" w:rsidRPr="00F32196" w:rsidRDefault="006666D1" w:rsidP="006666D1">
      <w:pPr>
        <w:ind w:left="708"/>
        <w:jc w:val="both"/>
      </w:pPr>
      <w:r w:rsidRPr="00F32196">
        <w:rPr>
          <w:rFonts w:ascii="Palatino Linotype" w:eastAsia="Palatino Linotype" w:hAnsi="Palatino Linotype" w:cs="Palatino Linotype"/>
          <w:i/>
        </w:rPr>
        <w:t>6) Los dictámenes y fallo de adjudicación;</w:t>
      </w:r>
      <w:r w:rsidRPr="00F32196">
        <w:t xml:space="preserve">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7) </w:t>
      </w:r>
      <w:r w:rsidRPr="00F32196">
        <w:rPr>
          <w:rFonts w:ascii="Palatino Linotype" w:eastAsia="Palatino Linotype" w:hAnsi="Palatino Linotype" w:cs="Palatino Linotype"/>
          <w:b/>
          <w:i/>
          <w:u w:val="single"/>
        </w:rPr>
        <w:t>El contrato y, en su caso, sus anexos</w:t>
      </w:r>
      <w:r w:rsidRPr="00F32196">
        <w:rPr>
          <w:rFonts w:ascii="Palatino Linotype" w:eastAsia="Palatino Linotype" w:hAnsi="Palatino Linotype" w:cs="Palatino Linotype"/>
          <w:i/>
        </w:rPr>
        <w:t>;</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 8) Los mecanismos de vigilancia y supervisión, incluyendo en su caso, los estudios de impacto urbano y ambiental, según corresponda;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9) La partida presupuestal, de conformidad con el clasificador por objeto del gasto, en el caso de ser aplicable;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lastRenderedPageBreak/>
        <w:t xml:space="preserve">10) Origen de los recursos especificando si son federales, estatales o municipales, así como el tipo de fondo de participación o aportación respectiva;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11) Los convenios modificatorios que, en su caso, sean firmados, precisando el objeto y la fecha de celebración;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12) Los informes de avance físico y financiero sobre las obras o servicios contratados;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13) El convenio de terminación; y </w:t>
      </w:r>
    </w:p>
    <w:p w:rsidR="006666D1" w:rsidRPr="00F32196" w:rsidRDefault="006666D1" w:rsidP="006666D1">
      <w:pPr>
        <w:ind w:left="708"/>
        <w:jc w:val="both"/>
        <w:rPr>
          <w:rFonts w:ascii="Palatino Linotype" w:eastAsia="Palatino Linotype" w:hAnsi="Palatino Linotype" w:cs="Palatino Linotype"/>
          <w:i/>
        </w:rPr>
      </w:pPr>
      <w:r w:rsidRPr="00F32196">
        <w:rPr>
          <w:rFonts w:ascii="Palatino Linotype" w:eastAsia="Palatino Linotype" w:hAnsi="Palatino Linotype" w:cs="Palatino Linotype"/>
          <w:i/>
        </w:rPr>
        <w:t>14) El finiquito</w:t>
      </w:r>
      <w:r w:rsidRPr="00F32196">
        <w:t>.</w:t>
      </w:r>
    </w:p>
    <w:p w:rsidR="006666D1" w:rsidRPr="00F32196" w:rsidRDefault="006666D1" w:rsidP="006666D1">
      <w:pPr>
        <w:ind w:firstLine="416"/>
        <w:jc w:val="both"/>
        <w:rPr>
          <w:rFonts w:ascii="Palatino Linotype" w:eastAsia="Palatino Linotype" w:hAnsi="Palatino Linotype" w:cs="Palatino Linotype"/>
          <w:i/>
        </w:rPr>
      </w:pPr>
      <w:r w:rsidRPr="00F32196">
        <w:rPr>
          <w:rFonts w:ascii="Palatino Linotype" w:eastAsia="Palatino Linotype" w:hAnsi="Palatino Linotype" w:cs="Palatino Linotype"/>
          <w:i/>
        </w:rPr>
        <w:t>b) De las adjudicaciones directas:</w:t>
      </w:r>
    </w:p>
    <w:p w:rsidR="006666D1" w:rsidRPr="00F32196" w:rsidRDefault="006666D1" w:rsidP="006666D1">
      <w:pPr>
        <w:ind w:left="416" w:firstLine="284"/>
        <w:jc w:val="both"/>
        <w:rPr>
          <w:rFonts w:ascii="Palatino Linotype" w:eastAsia="Palatino Linotype" w:hAnsi="Palatino Linotype" w:cs="Palatino Linotype"/>
          <w:i/>
        </w:rPr>
      </w:pPr>
      <w:r w:rsidRPr="00F32196">
        <w:rPr>
          <w:rFonts w:ascii="Palatino Linotype" w:eastAsia="Palatino Linotype" w:hAnsi="Palatino Linotype" w:cs="Palatino Linotype"/>
          <w:i/>
        </w:rPr>
        <w:t>1) La propuesta enviada por el participante;</w:t>
      </w:r>
    </w:p>
    <w:p w:rsidR="006666D1" w:rsidRPr="00F32196" w:rsidRDefault="006666D1" w:rsidP="006666D1">
      <w:pPr>
        <w:ind w:left="416" w:firstLine="284"/>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 2) Los motivos y fundamentos legales aplicados para llevarla a cabo; </w:t>
      </w:r>
    </w:p>
    <w:p w:rsidR="006666D1" w:rsidRPr="00F32196" w:rsidRDefault="006666D1" w:rsidP="006666D1">
      <w:pPr>
        <w:ind w:left="416" w:firstLine="284"/>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3) La autorización del ejercicio de la opción; </w:t>
      </w:r>
    </w:p>
    <w:p w:rsidR="006666D1" w:rsidRPr="00F32196" w:rsidRDefault="006666D1" w:rsidP="006666D1">
      <w:pPr>
        <w:ind w:left="701"/>
        <w:jc w:val="both"/>
        <w:rPr>
          <w:rFonts w:ascii="Palatino Linotype" w:eastAsia="Palatino Linotype" w:hAnsi="Palatino Linotype" w:cs="Palatino Linotype"/>
          <w:i/>
        </w:rPr>
      </w:pPr>
      <w:r w:rsidRPr="00F32196">
        <w:rPr>
          <w:rFonts w:ascii="Palatino Linotype" w:eastAsia="Palatino Linotype" w:hAnsi="Palatino Linotype" w:cs="Palatino Linotype"/>
          <w:i/>
        </w:rPr>
        <w:t>4) En su caso, las cotizaciones consideradas, especificando los nombres de los proveedores y sus montos;</w:t>
      </w:r>
    </w:p>
    <w:p w:rsidR="006666D1" w:rsidRPr="00F32196" w:rsidRDefault="006666D1" w:rsidP="006666D1">
      <w:pPr>
        <w:ind w:left="416" w:firstLine="284"/>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 5) El nombre de la persona física o jurídica colectiva adjudicada; </w:t>
      </w:r>
    </w:p>
    <w:p w:rsidR="006666D1" w:rsidRPr="00F32196" w:rsidRDefault="006666D1" w:rsidP="006666D1">
      <w:pPr>
        <w:ind w:left="416" w:firstLine="284"/>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6) La unidad administrativa solicitante y la responsable de su ejecución; </w:t>
      </w:r>
    </w:p>
    <w:p w:rsidR="006666D1" w:rsidRPr="00F32196" w:rsidRDefault="006666D1" w:rsidP="006666D1">
      <w:pPr>
        <w:ind w:left="701"/>
        <w:jc w:val="both"/>
        <w:rPr>
          <w:rFonts w:ascii="Palatino Linotype" w:eastAsia="Palatino Linotype" w:hAnsi="Palatino Linotype" w:cs="Palatino Linotype"/>
          <w:b/>
          <w:i/>
        </w:rPr>
      </w:pPr>
      <w:r w:rsidRPr="00F32196">
        <w:rPr>
          <w:rFonts w:ascii="Palatino Linotype" w:eastAsia="Palatino Linotype" w:hAnsi="Palatino Linotype" w:cs="Palatino Linotype"/>
          <w:i/>
        </w:rPr>
        <w:t xml:space="preserve">7) El número, fecha, el monto </w:t>
      </w:r>
      <w:r w:rsidRPr="00F32196">
        <w:rPr>
          <w:rFonts w:ascii="Palatino Linotype" w:eastAsia="Palatino Linotype" w:hAnsi="Palatino Linotype" w:cs="Palatino Linotype"/>
          <w:b/>
          <w:i/>
        </w:rPr>
        <w:t xml:space="preserve">del contrato y el plazo de entrega o de ejecución de los servicios u obra; </w:t>
      </w:r>
    </w:p>
    <w:p w:rsidR="006666D1" w:rsidRPr="00F32196" w:rsidRDefault="006666D1" w:rsidP="006666D1">
      <w:pPr>
        <w:ind w:left="701"/>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rsidR="006666D1" w:rsidRPr="00F32196" w:rsidRDefault="006666D1" w:rsidP="006666D1">
      <w:pPr>
        <w:ind w:left="701"/>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9) Los informes de avance sobre las obras o servicios contratados; </w:t>
      </w:r>
    </w:p>
    <w:p w:rsidR="006666D1" w:rsidRPr="00F32196" w:rsidRDefault="006666D1" w:rsidP="006666D1">
      <w:pPr>
        <w:ind w:left="701"/>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10) El convenio de terminación; y </w:t>
      </w:r>
    </w:p>
    <w:p w:rsidR="006666D1" w:rsidRPr="00F32196" w:rsidRDefault="006666D1" w:rsidP="006666D1">
      <w:pPr>
        <w:ind w:left="701"/>
        <w:jc w:val="both"/>
        <w:rPr>
          <w:rFonts w:ascii="Palatino Linotype" w:eastAsia="Palatino Linotype" w:hAnsi="Palatino Linotype" w:cs="Palatino Linotype"/>
          <w:i/>
        </w:rPr>
      </w:pPr>
      <w:r w:rsidRPr="00F32196">
        <w:rPr>
          <w:rFonts w:ascii="Palatino Linotype" w:eastAsia="Palatino Linotype" w:hAnsi="Palatino Linotype" w:cs="Palatino Linotype"/>
          <w:i/>
        </w:rPr>
        <w:t>11) El finiquito</w:t>
      </w:r>
    </w:p>
    <w:p w:rsidR="006666D1" w:rsidRPr="00F32196" w:rsidRDefault="006666D1" w:rsidP="000A0D00">
      <w:pPr>
        <w:spacing w:after="0" w:line="360" w:lineRule="auto"/>
        <w:jc w:val="both"/>
        <w:rPr>
          <w:rFonts w:ascii="Palatino Linotype" w:eastAsia="Palatino Linotype" w:hAnsi="Palatino Linotype" w:cs="Palatino Linotype"/>
          <w:sz w:val="24"/>
          <w:szCs w:val="24"/>
        </w:rPr>
      </w:pPr>
    </w:p>
    <w:p w:rsidR="005F258D" w:rsidRPr="00F32196" w:rsidRDefault="005F258D" w:rsidP="005F258D">
      <w:pPr>
        <w:spacing w:line="360" w:lineRule="auto"/>
        <w:jc w:val="both"/>
        <w:rPr>
          <w:rFonts w:ascii="Palatino Linotype" w:hAnsi="Palatino Linotype" w:cs="Palatino Linotype"/>
          <w:iCs/>
          <w:sz w:val="24"/>
          <w:szCs w:val="24"/>
        </w:rPr>
      </w:pPr>
      <w:r w:rsidRPr="00F32196">
        <w:rPr>
          <w:rFonts w:ascii="Palatino Linotype" w:hAnsi="Palatino Linotype"/>
          <w:sz w:val="24"/>
          <w:szCs w:val="24"/>
        </w:rPr>
        <w:lastRenderedPageBreak/>
        <w:t xml:space="preserve">En este sentido no se puede tener por satisfecho el requerimiento respecto los contratos celebrados por el Sujeto Obligado del primero de enero al doce de septiembre de dos mil veinticinco pues este Instituto advierte que </w:t>
      </w:r>
      <w:r w:rsidRPr="00F32196">
        <w:rPr>
          <w:rFonts w:ascii="Palatino Linotype" w:hAnsi="Palatino Linotype" w:cs="Palatino Linotype"/>
          <w:iCs/>
          <w:sz w:val="24"/>
          <w:szCs w:val="24"/>
        </w:rPr>
        <w:t>la solicitud de información no fue turnada a las unidades administrativas que generaron la información por lo que no se puede acreditar la búsqueda exhaustiva y razonable de la información.</w:t>
      </w:r>
    </w:p>
    <w:p w:rsidR="00300AC9" w:rsidRPr="00F32196" w:rsidRDefault="00300AC9" w:rsidP="005F258D">
      <w:pPr>
        <w:spacing w:line="360" w:lineRule="auto"/>
        <w:jc w:val="both"/>
        <w:rPr>
          <w:rFonts w:ascii="Palatino Linotype" w:hAnsi="Palatino Linotype"/>
          <w:sz w:val="24"/>
          <w:szCs w:val="24"/>
        </w:rPr>
      </w:pPr>
    </w:p>
    <w:p w:rsidR="005F258D" w:rsidRPr="00F32196" w:rsidRDefault="005F258D" w:rsidP="005F258D">
      <w:pPr>
        <w:spacing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rsidR="005F258D" w:rsidRPr="00F32196" w:rsidRDefault="005F258D" w:rsidP="005F258D">
      <w:pPr>
        <w:spacing w:line="360" w:lineRule="auto"/>
        <w:jc w:val="both"/>
        <w:rPr>
          <w:rFonts w:ascii="Palatino Linotype" w:eastAsia="Palatino Linotype" w:hAnsi="Palatino Linotype" w:cs="Palatino Linotype"/>
          <w:color w:val="000000"/>
          <w:sz w:val="24"/>
          <w:szCs w:val="24"/>
        </w:rPr>
      </w:pPr>
    </w:p>
    <w:p w:rsidR="005F258D" w:rsidRPr="00F32196" w:rsidRDefault="005F258D" w:rsidP="005F258D">
      <w:pPr>
        <w:spacing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Lo anterior ocasiona que en el caso no se cumpliera con el principio de búsqueda exhaustiva de la información requerida, cuyo alcance se encuentra establecido en el Criterio Reiterado 02/19 emitido por el Pleno de este Organismo Garante, a saber:</w:t>
      </w:r>
    </w:p>
    <w:p w:rsidR="005F258D" w:rsidRPr="00F32196" w:rsidRDefault="005F258D" w:rsidP="005F258D">
      <w:pPr>
        <w:spacing w:line="276" w:lineRule="auto"/>
        <w:ind w:left="567" w:right="706"/>
        <w:jc w:val="both"/>
        <w:rPr>
          <w:rFonts w:ascii="Palatino Linotype" w:eastAsia="Palatino Linotype" w:hAnsi="Palatino Linotype" w:cs="Palatino Linotype"/>
          <w:i/>
          <w:color w:val="000000"/>
        </w:rPr>
      </w:pPr>
      <w:r w:rsidRPr="00F32196">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F32196">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w:t>
      </w:r>
      <w:r w:rsidRPr="00F32196">
        <w:rPr>
          <w:rFonts w:ascii="Palatino Linotype" w:eastAsia="Palatino Linotype" w:hAnsi="Palatino Linotype" w:cs="Palatino Linotype"/>
          <w:i/>
          <w:color w:val="000000"/>
        </w:rPr>
        <w:lastRenderedPageBreak/>
        <w:t>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5F258D" w:rsidRPr="00F32196" w:rsidRDefault="005F258D" w:rsidP="005F258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F258D" w:rsidRPr="00F32196" w:rsidRDefault="005F258D" w:rsidP="005F258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En tal sentido, resulta aplicable el Criterio 02/17 emitido por el Peno del Instituto Nacional de Transparencia y Acceso a la Información y Protección de Datos Personales, de título y texto siguientes:</w:t>
      </w:r>
    </w:p>
    <w:p w:rsidR="005F258D" w:rsidRPr="00F32196" w:rsidRDefault="005F258D" w:rsidP="005F258D">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F32196">
        <w:rPr>
          <w:rFonts w:ascii="Palatino Linotype" w:eastAsia="Palatino Linotype" w:hAnsi="Palatino Linotype" w:cs="Palatino Linotype"/>
          <w:b/>
          <w:i/>
          <w:color w:val="000000"/>
        </w:rPr>
        <w:t xml:space="preserve">“Congruencia y exhaustividad. Sus alcances para garantizar el derecho de acceso a la información. </w:t>
      </w:r>
      <w:r w:rsidRPr="00F32196">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32196">
        <w:rPr>
          <w:rFonts w:ascii="Palatino Linotype" w:eastAsia="Palatino Linotype" w:hAnsi="Palatino Linotype" w:cs="Palatino Linotype"/>
          <w:b/>
          <w:i/>
          <w:color w:val="000000"/>
        </w:rPr>
        <w:t xml:space="preserve">la congruencia implica que exista concordancia entre el requerimiento formulado por el particular y la </w:t>
      </w:r>
      <w:r w:rsidRPr="00F32196">
        <w:rPr>
          <w:rFonts w:ascii="Palatino Linotype" w:eastAsia="Palatino Linotype" w:hAnsi="Palatino Linotype" w:cs="Palatino Linotype"/>
          <w:b/>
          <w:i/>
          <w:color w:val="000000"/>
        </w:rPr>
        <w:lastRenderedPageBreak/>
        <w:t>respuesta proporcionada por el sujeto obligado</w:t>
      </w:r>
      <w:r w:rsidRPr="00F32196">
        <w:rPr>
          <w:rFonts w:ascii="Palatino Linotype" w:eastAsia="Palatino Linotype" w:hAnsi="Palatino Linotype" w:cs="Palatino Linotype"/>
          <w:i/>
          <w:color w:val="000000"/>
        </w:rPr>
        <w:t xml:space="preserve">; mientras que </w:t>
      </w:r>
      <w:r w:rsidRPr="00F32196">
        <w:rPr>
          <w:rFonts w:ascii="Palatino Linotype" w:eastAsia="Palatino Linotype" w:hAnsi="Palatino Linotype" w:cs="Palatino Linotype"/>
          <w:b/>
          <w:i/>
          <w:color w:val="000000"/>
        </w:rPr>
        <w:t>la exhaustividad significa que dicha respuesta se refiera expresamente a cada uno de los puntos solicitados</w:t>
      </w:r>
      <w:r w:rsidRPr="00F32196">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F258D" w:rsidRPr="00F32196" w:rsidRDefault="005F258D" w:rsidP="005F25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4"/>
          <w:szCs w:val="24"/>
        </w:rPr>
      </w:pPr>
    </w:p>
    <w:p w:rsidR="005F258D" w:rsidRPr="00F32196" w:rsidRDefault="005F258D" w:rsidP="005F258D">
      <w:pPr>
        <w:spacing w:line="360" w:lineRule="auto"/>
        <w:ind w:right="49"/>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Robustece lo anterior, lo que señala el artículo 12 de la Ley de Transparencia y Acceso a la Información Pública del Estado de México y Municipios, el cual precisa lo siguiente:  </w:t>
      </w:r>
    </w:p>
    <w:p w:rsidR="005F258D" w:rsidRPr="00F32196" w:rsidRDefault="005F258D" w:rsidP="005F258D">
      <w:pPr>
        <w:spacing w:line="276" w:lineRule="auto"/>
        <w:ind w:left="567" w:right="900"/>
        <w:jc w:val="both"/>
        <w:rPr>
          <w:rFonts w:ascii="Palatino Linotype" w:eastAsia="Palatino Linotype" w:hAnsi="Palatino Linotype" w:cs="Palatino Linotype"/>
          <w:i/>
        </w:rPr>
      </w:pPr>
      <w:r w:rsidRPr="00F32196">
        <w:rPr>
          <w:rFonts w:ascii="Palatino Linotype" w:eastAsia="Palatino Linotype" w:hAnsi="Palatino Linotype" w:cs="Palatino Linotype"/>
          <w:b/>
          <w:i/>
        </w:rPr>
        <w:t>Artículo 12.</w:t>
      </w:r>
      <w:r w:rsidRPr="00F3219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5F258D" w:rsidRPr="00F32196" w:rsidRDefault="005F258D" w:rsidP="005F258D">
      <w:pPr>
        <w:spacing w:line="276" w:lineRule="auto"/>
        <w:ind w:left="567" w:right="900"/>
        <w:jc w:val="both"/>
        <w:rPr>
          <w:rFonts w:ascii="Palatino Linotype" w:eastAsia="Palatino Linotype" w:hAnsi="Palatino Linotype" w:cs="Palatino Linotype"/>
          <w:i/>
        </w:rPr>
      </w:pPr>
    </w:p>
    <w:p w:rsidR="005F258D" w:rsidRPr="00F32196" w:rsidRDefault="005F258D" w:rsidP="005F258D">
      <w:pPr>
        <w:spacing w:line="276" w:lineRule="auto"/>
        <w:ind w:left="567" w:right="900"/>
        <w:jc w:val="both"/>
        <w:rPr>
          <w:rFonts w:ascii="Palatino Linotype" w:eastAsia="Palatino Linotype" w:hAnsi="Palatino Linotype" w:cs="Palatino Linotype"/>
          <w:i/>
        </w:rPr>
      </w:pPr>
      <w:r w:rsidRPr="00F32196">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F32196">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5F258D" w:rsidRPr="00F32196" w:rsidRDefault="005F258D" w:rsidP="000A0D00">
      <w:pPr>
        <w:spacing w:after="0" w:line="360" w:lineRule="auto"/>
        <w:jc w:val="both"/>
        <w:rPr>
          <w:rFonts w:ascii="Palatino Linotype" w:eastAsia="Palatino Linotype" w:hAnsi="Palatino Linotype" w:cs="Palatino Linotype"/>
          <w:color w:val="000000"/>
          <w:sz w:val="24"/>
          <w:szCs w:val="24"/>
        </w:rPr>
      </w:pPr>
    </w:p>
    <w:p w:rsidR="006666D1" w:rsidRPr="00F32196" w:rsidRDefault="005F258D" w:rsidP="000A0D00">
      <w:pPr>
        <w:spacing w:after="0" w:line="360" w:lineRule="auto"/>
        <w:jc w:val="both"/>
        <w:rPr>
          <w:rFonts w:ascii="Palatino Linotype" w:eastAsia="Palatino Linotype" w:hAnsi="Palatino Linotype" w:cs="Palatino Linotype"/>
          <w:color w:val="000000"/>
          <w:sz w:val="24"/>
          <w:szCs w:val="24"/>
        </w:rPr>
      </w:pPr>
      <w:r w:rsidRPr="00F32196">
        <w:rPr>
          <w:rFonts w:ascii="Palatino Linotype" w:eastAsia="Palatino Linotype" w:hAnsi="Palatino Linotype" w:cs="Palatino Linotype"/>
          <w:color w:val="000000"/>
          <w:sz w:val="24"/>
          <w:szCs w:val="24"/>
        </w:rPr>
        <w:t>Por lo vertido en líneas anteriores resulta dable ordenar de ser procedente en versión pública los contratos celebrados por el Sujeto Obligado del primero de enero al doce de septiembre de dos mi</w:t>
      </w:r>
      <w:r w:rsidR="00300AC9" w:rsidRPr="00F32196">
        <w:rPr>
          <w:rFonts w:ascii="Palatino Linotype" w:eastAsia="Palatino Linotype" w:hAnsi="Palatino Linotype" w:cs="Palatino Linotype"/>
          <w:color w:val="000000"/>
          <w:sz w:val="24"/>
          <w:szCs w:val="24"/>
        </w:rPr>
        <w:t>l</w:t>
      </w:r>
      <w:r w:rsidRPr="00F32196">
        <w:rPr>
          <w:rFonts w:ascii="Palatino Linotype" w:eastAsia="Palatino Linotype" w:hAnsi="Palatino Linotype" w:cs="Palatino Linotype"/>
          <w:color w:val="000000"/>
          <w:sz w:val="24"/>
          <w:szCs w:val="24"/>
        </w:rPr>
        <w:t xml:space="preserve"> veinticinco. </w:t>
      </w:r>
    </w:p>
    <w:p w:rsidR="005F258D" w:rsidRPr="00F32196" w:rsidRDefault="005F258D" w:rsidP="005F258D">
      <w:pPr>
        <w:keepNext/>
        <w:keepLines/>
        <w:spacing w:line="360" w:lineRule="auto"/>
        <w:jc w:val="both"/>
        <w:outlineLvl w:val="2"/>
        <w:rPr>
          <w:rFonts w:ascii="Palatino Linotype" w:eastAsia="Palatino Linotype" w:hAnsi="Palatino Linotype" w:cstheme="majorBidi"/>
          <w:b/>
          <w:i/>
          <w:color w:val="000000" w:themeColor="text1"/>
          <w:sz w:val="28"/>
          <w:szCs w:val="28"/>
          <w:u w:val="single"/>
        </w:rPr>
      </w:pPr>
      <w:r w:rsidRPr="00F32196">
        <w:rPr>
          <w:rFonts w:ascii="Palatino Linotype" w:eastAsia="Palatino Linotype" w:hAnsi="Palatino Linotype" w:cstheme="majorBidi"/>
          <w:b/>
          <w:i/>
          <w:color w:val="000000" w:themeColor="text1"/>
          <w:sz w:val="28"/>
          <w:szCs w:val="28"/>
          <w:u w:val="single"/>
        </w:rPr>
        <w:lastRenderedPageBreak/>
        <w:t>DE LA VERSIÓN PÚBLICA</w:t>
      </w:r>
    </w:p>
    <w:p w:rsidR="005F258D" w:rsidRPr="00F32196" w:rsidRDefault="005F258D" w:rsidP="005F258D">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Artículo 3.</w:t>
      </w:r>
      <w:r w:rsidRPr="00F32196">
        <w:rPr>
          <w:rFonts w:ascii="Palatino Linotype" w:eastAsia="Palatino Linotype" w:hAnsi="Palatino Linotype" w:cs="Palatino Linotype"/>
          <w:i/>
        </w:rPr>
        <w:t xml:space="preserve"> Para los efectos de la presente Ley se entenderá por:</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IX. Datos personales:</w:t>
      </w:r>
      <w:r w:rsidRPr="00F3219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XX.</w:t>
      </w:r>
      <w:r w:rsidRPr="00F32196">
        <w:rPr>
          <w:rFonts w:ascii="Palatino Linotype" w:eastAsia="Palatino Linotype" w:hAnsi="Palatino Linotype" w:cs="Palatino Linotype"/>
          <w:i/>
        </w:rPr>
        <w:t xml:space="preserve"> </w:t>
      </w:r>
      <w:r w:rsidRPr="00F32196">
        <w:rPr>
          <w:rFonts w:ascii="Palatino Linotype" w:eastAsia="Palatino Linotype" w:hAnsi="Palatino Linotype" w:cs="Palatino Linotype"/>
          <w:b/>
          <w:i/>
        </w:rPr>
        <w:t>Información clasificada:</w:t>
      </w:r>
      <w:r w:rsidRPr="00F32196">
        <w:rPr>
          <w:rFonts w:ascii="Palatino Linotype" w:eastAsia="Palatino Linotype" w:hAnsi="Palatino Linotype" w:cs="Palatino Linotype"/>
          <w:i/>
        </w:rPr>
        <w:t xml:space="preserve"> Aquella considerada por la presente Ley como reservada o confidencial;</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XXI.</w:t>
      </w:r>
      <w:r w:rsidRPr="00F32196">
        <w:rPr>
          <w:rFonts w:ascii="Palatino Linotype" w:eastAsia="Palatino Linotype" w:hAnsi="Palatino Linotype" w:cs="Palatino Linotype"/>
          <w:i/>
        </w:rPr>
        <w:t xml:space="preserve"> </w:t>
      </w:r>
      <w:r w:rsidRPr="00F32196">
        <w:rPr>
          <w:rFonts w:ascii="Palatino Linotype" w:eastAsia="Palatino Linotype" w:hAnsi="Palatino Linotype" w:cs="Palatino Linotype"/>
          <w:b/>
          <w:i/>
        </w:rPr>
        <w:t>Información confidencial:</w:t>
      </w:r>
      <w:r w:rsidRPr="00F32196">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XLV.</w:t>
      </w:r>
      <w:r w:rsidRPr="00F32196">
        <w:rPr>
          <w:rFonts w:ascii="Palatino Linotype" w:eastAsia="Palatino Linotype" w:hAnsi="Palatino Linotype" w:cs="Palatino Linotype"/>
          <w:i/>
        </w:rPr>
        <w:t xml:space="preserve"> </w:t>
      </w:r>
      <w:r w:rsidRPr="00F32196">
        <w:rPr>
          <w:rFonts w:ascii="Palatino Linotype" w:eastAsia="Palatino Linotype" w:hAnsi="Palatino Linotype" w:cs="Palatino Linotype"/>
          <w:b/>
          <w:i/>
        </w:rPr>
        <w:t>Versión pública:</w:t>
      </w:r>
      <w:r w:rsidRPr="00F3219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p>
    <w:p w:rsidR="005F258D" w:rsidRPr="00F32196" w:rsidRDefault="005F258D" w:rsidP="005F258D">
      <w:pPr>
        <w:spacing w:line="360" w:lineRule="auto"/>
        <w:ind w:right="567"/>
        <w:jc w:val="both"/>
        <w:rPr>
          <w:rFonts w:ascii="Palatino Linotype" w:eastAsia="Palatino Linotype" w:hAnsi="Palatino Linotype" w:cs="Palatino Linotype"/>
          <w:i/>
        </w:rPr>
      </w:pP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 xml:space="preserve">Artículo 91. </w:t>
      </w:r>
      <w:r w:rsidRPr="00F32196">
        <w:rPr>
          <w:rFonts w:ascii="Palatino Linotype" w:eastAsia="Palatino Linotype" w:hAnsi="Palatino Linotype" w:cs="Palatino Linotype"/>
          <w:i/>
        </w:rPr>
        <w:t>El acceso a la información pública será restringido excepcionalmente, cuando ésta sea clasificada como reservada o confidencial.</w:t>
      </w:r>
    </w:p>
    <w:p w:rsidR="005F258D" w:rsidRPr="00F32196" w:rsidRDefault="005F258D" w:rsidP="005F258D">
      <w:pPr>
        <w:spacing w:line="360" w:lineRule="auto"/>
        <w:ind w:left="567" w:right="567"/>
        <w:jc w:val="both"/>
        <w:rPr>
          <w:rFonts w:ascii="Palatino Linotype" w:eastAsia="Palatino Linotype" w:hAnsi="Palatino Linotype" w:cs="Palatino Linotype"/>
          <w:i/>
        </w:rPr>
      </w:pP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Artículo 132.</w:t>
      </w:r>
      <w:r w:rsidRPr="00F32196">
        <w:rPr>
          <w:rFonts w:ascii="Palatino Linotype" w:eastAsia="Palatino Linotype" w:hAnsi="Palatino Linotype" w:cs="Palatino Linotype"/>
          <w:i/>
        </w:rPr>
        <w:t xml:space="preserve"> </w:t>
      </w:r>
      <w:r w:rsidRPr="00F32196">
        <w:rPr>
          <w:rFonts w:ascii="Palatino Linotype" w:eastAsia="Palatino Linotype" w:hAnsi="Palatino Linotype" w:cs="Palatino Linotype"/>
          <w:i/>
          <w:u w:val="single"/>
        </w:rPr>
        <w:t>La clasificación de la información se llevará a cabo en el momento en que</w:t>
      </w:r>
      <w:r w:rsidRPr="00F32196">
        <w:rPr>
          <w:rFonts w:ascii="Palatino Linotype" w:eastAsia="Palatino Linotype" w:hAnsi="Palatino Linotype" w:cs="Palatino Linotype"/>
          <w:i/>
        </w:rPr>
        <w:t>:</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I.</w:t>
      </w:r>
      <w:r w:rsidRPr="00F32196">
        <w:rPr>
          <w:rFonts w:ascii="Palatino Linotype" w:eastAsia="Palatino Linotype" w:hAnsi="Palatino Linotype" w:cs="Palatino Linotype"/>
          <w:i/>
        </w:rPr>
        <w:t xml:space="preserve"> Se reciba una solicitud de acceso a la información;</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II.</w:t>
      </w:r>
      <w:r w:rsidRPr="00F32196">
        <w:rPr>
          <w:rFonts w:ascii="Palatino Linotype" w:eastAsia="Palatino Linotype" w:hAnsi="Palatino Linotype" w:cs="Palatino Linotype"/>
          <w:i/>
        </w:rPr>
        <w:t xml:space="preserve"> </w:t>
      </w:r>
      <w:r w:rsidRPr="00F32196">
        <w:rPr>
          <w:rFonts w:ascii="Palatino Linotype" w:eastAsia="Palatino Linotype" w:hAnsi="Palatino Linotype" w:cs="Palatino Linotype"/>
          <w:i/>
          <w:u w:val="single"/>
        </w:rPr>
        <w:t>Se determine mediante resolución de autoridad competente; o</w:t>
      </w:r>
    </w:p>
    <w:p w:rsidR="005F258D" w:rsidRPr="00F32196" w:rsidRDefault="005F258D" w:rsidP="005F258D">
      <w:pPr>
        <w:spacing w:line="360" w:lineRule="auto"/>
        <w:ind w:left="567" w:right="567"/>
        <w:jc w:val="both"/>
        <w:rPr>
          <w:rFonts w:ascii="Palatino Linotype" w:eastAsia="Palatino Linotype" w:hAnsi="Palatino Linotype" w:cs="Palatino Linotype"/>
          <w:i/>
          <w:u w:val="single"/>
        </w:rPr>
      </w:pPr>
      <w:r w:rsidRPr="00F32196">
        <w:rPr>
          <w:rFonts w:ascii="Palatino Linotype" w:eastAsia="Palatino Linotype" w:hAnsi="Palatino Linotype" w:cs="Palatino Linotype"/>
          <w:b/>
          <w:i/>
        </w:rPr>
        <w:t>III.</w:t>
      </w:r>
      <w:r w:rsidRPr="00F32196">
        <w:rPr>
          <w:rFonts w:ascii="Palatino Linotype" w:eastAsia="Palatino Linotype" w:hAnsi="Palatino Linotype" w:cs="Palatino Linotype"/>
          <w:i/>
        </w:rPr>
        <w:t xml:space="preserve"> </w:t>
      </w:r>
      <w:r w:rsidRPr="00F32196">
        <w:rPr>
          <w:rFonts w:ascii="Palatino Linotype" w:eastAsia="Palatino Linotype" w:hAnsi="Palatino Linotype" w:cs="Palatino Linotype"/>
          <w:i/>
          <w:u w:val="single"/>
        </w:rPr>
        <w:t>Se generen versiones públicas para dar cumplimiento a las obligaciones de transparencia previstas en esta Ley.</w:t>
      </w:r>
    </w:p>
    <w:p w:rsidR="005F258D" w:rsidRPr="00F32196" w:rsidRDefault="005F258D" w:rsidP="005F258D">
      <w:pPr>
        <w:spacing w:line="360" w:lineRule="auto"/>
        <w:ind w:left="567" w:right="567"/>
        <w:jc w:val="both"/>
        <w:rPr>
          <w:rFonts w:ascii="Palatino Linotype" w:eastAsia="Palatino Linotype" w:hAnsi="Palatino Linotype" w:cs="Palatino Linotype"/>
          <w:i/>
          <w:sz w:val="24"/>
          <w:szCs w:val="24"/>
        </w:rPr>
      </w:pPr>
      <w:r w:rsidRPr="00F32196">
        <w:rPr>
          <w:rFonts w:ascii="Palatino Linotype" w:eastAsia="Palatino Linotype" w:hAnsi="Palatino Linotype" w:cs="Palatino Linotype"/>
          <w:i/>
          <w:sz w:val="24"/>
          <w:szCs w:val="24"/>
        </w:rPr>
        <w:t>[…]</w:t>
      </w:r>
    </w:p>
    <w:p w:rsidR="005F258D" w:rsidRPr="00F32196" w:rsidRDefault="005F258D" w:rsidP="005F258D">
      <w:pPr>
        <w:spacing w:line="360" w:lineRule="auto"/>
        <w:jc w:val="both"/>
        <w:rPr>
          <w:rFonts w:ascii="Palatino Linotype" w:eastAsia="Palatino Linotype" w:hAnsi="Palatino Linotype" w:cs="Palatino Linotype"/>
          <w:sz w:val="24"/>
          <w:szCs w:val="24"/>
        </w:rPr>
      </w:pPr>
    </w:p>
    <w:p w:rsidR="005F258D" w:rsidRPr="00F32196" w:rsidRDefault="005F258D" w:rsidP="005F258D">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F258D" w:rsidRPr="00F32196" w:rsidRDefault="005F258D" w:rsidP="005F258D">
      <w:pPr>
        <w:spacing w:line="360" w:lineRule="auto"/>
        <w:jc w:val="both"/>
        <w:rPr>
          <w:rFonts w:ascii="Palatino Linotype" w:eastAsia="Palatino Linotype" w:hAnsi="Palatino Linotype" w:cs="Palatino Linotype"/>
          <w:sz w:val="24"/>
          <w:szCs w:val="24"/>
        </w:rPr>
      </w:pPr>
    </w:p>
    <w:p w:rsidR="005F258D" w:rsidRPr="00F32196" w:rsidRDefault="005F258D" w:rsidP="005F258D">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Por otro lado, los </w:t>
      </w:r>
      <w:r w:rsidRPr="00F32196">
        <w:rPr>
          <w:rFonts w:ascii="Palatino Linotype" w:eastAsia="Palatino Linotype" w:hAnsi="Palatino Linotype" w:cs="Palatino Linotype"/>
          <w:iCs/>
          <w:sz w:val="24"/>
          <w:szCs w:val="24"/>
        </w:rPr>
        <w:t>Lineamientos Generales en Materia de Clasificación y Desclasificación de la Información, así como para la elaboración de Versiones Públicas</w:t>
      </w:r>
      <w:r w:rsidRPr="00F32196">
        <w:rPr>
          <w:rFonts w:ascii="Palatino Linotype" w:eastAsia="Palatino Linotype" w:hAnsi="Palatino Linotype" w:cs="Palatino Linotype"/>
          <w:sz w:val="24"/>
          <w:szCs w:val="24"/>
        </w:rPr>
        <w:t xml:space="preserve">, emitidos por el Consejo Nacional del Sistema Nacional de Transparencia, Acceso a la Información </w:t>
      </w:r>
      <w:r w:rsidRPr="00F32196">
        <w:rPr>
          <w:rFonts w:ascii="Palatino Linotype" w:eastAsia="Palatino Linotype" w:hAnsi="Palatino Linotype" w:cs="Palatino Linotype"/>
          <w:sz w:val="24"/>
          <w:szCs w:val="24"/>
        </w:rPr>
        <w:lastRenderedPageBreak/>
        <w:t>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A649D" w:rsidRPr="00F32196" w:rsidRDefault="005A649D" w:rsidP="005F258D">
      <w:pPr>
        <w:spacing w:line="360" w:lineRule="auto"/>
        <w:jc w:val="both"/>
        <w:rPr>
          <w:rFonts w:ascii="Palatino Linotype" w:eastAsia="Palatino Linotype" w:hAnsi="Palatino Linotype" w:cs="Palatino Linotype"/>
          <w:sz w:val="24"/>
          <w:szCs w:val="24"/>
        </w:rPr>
      </w:pPr>
    </w:p>
    <w:p w:rsidR="00E64653" w:rsidRPr="00F32196" w:rsidRDefault="00E64653" w:rsidP="00E64653">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La </w:t>
      </w:r>
      <w:r w:rsidRPr="00F32196">
        <w:rPr>
          <w:rFonts w:ascii="Palatino Linotype" w:eastAsia="Palatino Linotype" w:hAnsi="Palatino Linotype" w:cs="Palatino Linotype"/>
          <w:b/>
          <w:sz w:val="24"/>
          <w:szCs w:val="24"/>
          <w:u w:val="single"/>
        </w:rPr>
        <w:t>clave de elector</w:t>
      </w:r>
      <w:r w:rsidRPr="00F32196">
        <w:rPr>
          <w:rFonts w:ascii="Palatino Linotype" w:eastAsia="Palatino Linotype" w:hAnsi="Palatino Linotype" w:cs="Palatino Linotype"/>
          <w:sz w:val="24"/>
          <w:szCs w:val="24"/>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F32196">
        <w:rPr>
          <w:rFonts w:ascii="Palatino Linotype" w:eastAsia="Palatino Linotype" w:hAnsi="Palatino Linotype" w:cs="Palatino Linotype"/>
          <w:sz w:val="24"/>
          <w:szCs w:val="24"/>
        </w:rPr>
        <w:t>homoclave</w:t>
      </w:r>
      <w:proofErr w:type="spellEnd"/>
      <w:r w:rsidRPr="00F32196">
        <w:rPr>
          <w:rFonts w:ascii="Palatino Linotype" w:eastAsia="Palatino Linotype" w:hAnsi="Palatino Linotype" w:cs="Palatino Linotype"/>
          <w:sz w:val="24"/>
          <w:szCs w:val="24"/>
        </w:rPr>
        <w:t xml:space="preserve"> que distingue a su titular de cualquier otro homónimo, por lo tanto, se trata de un dato personal que debe ser protegido.</w:t>
      </w:r>
    </w:p>
    <w:p w:rsidR="00E64653" w:rsidRPr="00F32196" w:rsidRDefault="00E64653" w:rsidP="00E64653">
      <w:pPr>
        <w:spacing w:line="360" w:lineRule="auto"/>
        <w:jc w:val="both"/>
        <w:rPr>
          <w:rFonts w:ascii="Palatino Linotype" w:hAnsi="Palatino Linotype" w:cs="Arial"/>
          <w:sz w:val="24"/>
          <w:szCs w:val="24"/>
        </w:rPr>
      </w:pPr>
    </w:p>
    <w:p w:rsidR="00E64653" w:rsidRPr="00F32196" w:rsidRDefault="00E64653" w:rsidP="00E64653">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El </w:t>
      </w:r>
      <w:r w:rsidRPr="00F32196">
        <w:rPr>
          <w:rFonts w:ascii="Palatino Linotype" w:eastAsia="Palatino Linotype" w:hAnsi="Palatino Linotype" w:cs="Palatino Linotype"/>
          <w:b/>
          <w:sz w:val="24"/>
          <w:szCs w:val="24"/>
          <w:u w:val="single"/>
        </w:rPr>
        <w:t>número de OCR</w:t>
      </w:r>
      <w:r w:rsidRPr="00F32196">
        <w:rPr>
          <w:rFonts w:ascii="Palatino Linotype" w:eastAsia="Palatino Linotype" w:hAnsi="Palatino Linotype" w:cs="Palatino Linotype"/>
          <w:b/>
          <w:sz w:val="24"/>
          <w:szCs w:val="24"/>
        </w:rPr>
        <w:t>,</w:t>
      </w:r>
      <w:r w:rsidRPr="00F32196">
        <w:rPr>
          <w:rFonts w:ascii="Palatino Linotype" w:eastAsia="Palatino Linotype" w:hAnsi="Palatino Linotype" w:cs="Palatino Linotype"/>
          <w:sz w:val="24"/>
          <w:szCs w:val="24"/>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F32196">
        <w:rPr>
          <w:rFonts w:ascii="Palatino Linotype" w:eastAsia="Palatino Linotype" w:hAnsi="Palatino Linotype" w:cs="Palatino Linotype"/>
          <w:sz w:val="24"/>
          <w:szCs w:val="24"/>
        </w:rPr>
        <w:t>geoelectoral</w:t>
      </w:r>
      <w:proofErr w:type="spellEnd"/>
      <w:r w:rsidRPr="00F32196">
        <w:rPr>
          <w:rFonts w:ascii="Palatino Linotype" w:eastAsia="Palatino Linotype" w:hAnsi="Palatino Linotype" w:cs="Palatino Linotype"/>
          <w:sz w:val="24"/>
          <w:szCs w:val="24"/>
        </w:rPr>
        <w:t xml:space="preserve"> ahí contenida, por lo que es susceptible de resguardarse.</w:t>
      </w:r>
    </w:p>
    <w:p w:rsidR="00E64653" w:rsidRPr="00F32196" w:rsidRDefault="00E64653" w:rsidP="00E64653">
      <w:pPr>
        <w:spacing w:line="360" w:lineRule="auto"/>
        <w:jc w:val="both"/>
        <w:rPr>
          <w:rFonts w:ascii="Palatino Linotype" w:eastAsia="Palatino Linotype" w:hAnsi="Palatino Linotype" w:cs="Palatino Linotype"/>
          <w:sz w:val="24"/>
          <w:szCs w:val="24"/>
        </w:rPr>
      </w:pPr>
    </w:p>
    <w:p w:rsidR="00E64653" w:rsidRPr="00F32196" w:rsidRDefault="00E64653" w:rsidP="00E64653">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La </w:t>
      </w:r>
      <w:r w:rsidRPr="00F32196">
        <w:rPr>
          <w:rFonts w:ascii="Palatino Linotype" w:eastAsia="Palatino Linotype" w:hAnsi="Palatino Linotype" w:cs="Palatino Linotype"/>
          <w:b/>
          <w:sz w:val="24"/>
          <w:szCs w:val="24"/>
          <w:u w:val="single"/>
        </w:rPr>
        <w:t>clave única del registro de población</w:t>
      </w:r>
      <w:r w:rsidRPr="00F32196">
        <w:rPr>
          <w:rFonts w:ascii="Palatino Linotype" w:eastAsia="Palatino Linotype" w:hAnsi="Palatino Linotype" w:cs="Palatino Linotype"/>
          <w:b/>
          <w:sz w:val="24"/>
          <w:szCs w:val="24"/>
        </w:rPr>
        <w:t>,</w:t>
      </w:r>
      <w:r w:rsidRPr="00F32196">
        <w:rPr>
          <w:rFonts w:ascii="Palatino Linotype" w:eastAsia="Palatino Linotype" w:hAnsi="Palatino Linotype" w:cs="Palatino Linotype"/>
          <w:i/>
          <w:sz w:val="24"/>
          <w:szCs w:val="24"/>
        </w:rPr>
        <w:t xml:space="preserve"> </w:t>
      </w:r>
      <w:r w:rsidRPr="00F32196">
        <w:rPr>
          <w:rFonts w:ascii="Palatino Linotype" w:eastAsia="Palatino Linotype" w:hAnsi="Palatino Linotype" w:cs="Palatino Linotype"/>
          <w:sz w:val="24"/>
          <w:szCs w:val="24"/>
        </w:rPr>
        <w:t xml:space="preserve">se integra por datos personales que sólo conciernen al particular titular de la misma, como lo son su nombre, apellidos, fecha de </w:t>
      </w:r>
      <w:r w:rsidRPr="00F32196">
        <w:rPr>
          <w:rFonts w:ascii="Palatino Linotype" w:eastAsia="Palatino Linotype" w:hAnsi="Palatino Linotype" w:cs="Palatino Linotype"/>
          <w:sz w:val="24"/>
          <w:szCs w:val="24"/>
        </w:rPr>
        <w:lastRenderedPageBreak/>
        <w:t>nacimiento, lugar de nacimiento y sexo. Dichos datos, constituyen información que distingue plenamente a una persona física del resto de los habitantes del país, por lo está considerada como información confidencial.</w:t>
      </w:r>
    </w:p>
    <w:p w:rsidR="00E64653" w:rsidRPr="00F32196" w:rsidRDefault="00E64653" w:rsidP="00E64653">
      <w:pPr>
        <w:spacing w:line="360" w:lineRule="auto"/>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Igualmente, resulta importante destacar que el </w:t>
      </w:r>
      <w:r w:rsidRPr="00F32196">
        <w:rPr>
          <w:rFonts w:ascii="Palatino Linotype" w:eastAsia="Palatino Linotype" w:hAnsi="Palatino Linotype" w:cs="Palatino Linotype"/>
          <w:b/>
          <w:bCs/>
          <w:i/>
          <w:sz w:val="24"/>
          <w:szCs w:val="24"/>
          <w:u w:val="single"/>
        </w:rPr>
        <w:t>número de cuenta bancaria</w:t>
      </w:r>
      <w:r w:rsidRPr="00F32196">
        <w:rPr>
          <w:rFonts w:ascii="Palatino Linotype" w:eastAsia="Palatino Linotype" w:hAnsi="Palatino Linotype" w:cs="Palatino Linotype"/>
          <w:sz w:val="24"/>
          <w:szCs w:val="24"/>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w:t>
      </w:r>
      <w:r w:rsidRPr="00F32196">
        <w:rPr>
          <w:rFonts w:ascii="Palatino Linotype" w:eastAsia="Palatino Linotype" w:hAnsi="Palatino Linotype" w:cs="Palatino Linotype"/>
          <w:sz w:val="24"/>
          <w:szCs w:val="24"/>
        </w:rPr>
        <w:lastRenderedPageBreak/>
        <w:t xml:space="preserve">toda vez que se podría dar un uso inadecuado a la misma o cometer algún ilícito o fraude en contra del patrimonio de los particulares. </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En esa virtud, este Pleno determina que dicha información no puede ser del dominio público, toda vez que se podría dar un uso inadecuado a la misma o cometer algún ilícito o fraude como ya ha sido expuesto.  Es por esta razón que se debe omitir el o los números de cuentas bancarias de particulares en las versiones públicas que de las facturas se hagan, para ser entregadas.</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Lo argumentado encuentra sustento en los criterios orientadores 10/17 y 11/17 emitidos por el entonces Instituto Nacional de Transparencia, Acceso a la Información y Protección de Datos Personales, INAI, que llevan por rubro y texto los siguientes:</w:t>
      </w:r>
    </w:p>
    <w:p w:rsidR="00E64653" w:rsidRPr="00F32196" w:rsidRDefault="00E64653" w:rsidP="00E64653">
      <w:pPr>
        <w:spacing w:before="120" w:after="120"/>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b/>
          <w:i/>
        </w:rPr>
        <w:t>“Cuentas bancarias y/o CLABE interbancaria de personas físicas y morales privadas.</w:t>
      </w:r>
      <w:r w:rsidRPr="00F32196">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E64653" w:rsidRPr="00F32196" w:rsidRDefault="00E64653" w:rsidP="00E64653">
      <w:pPr>
        <w:spacing w:before="120" w:after="120"/>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b/>
          <w:i/>
        </w:rPr>
        <w:lastRenderedPageBreak/>
        <w:t>Cuentas bancarias y/o CLABE interbancaria de sujetos obligados que reciben y/o transfieren recursos públicos, son información pública</w:t>
      </w:r>
      <w:r w:rsidRPr="00F32196">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Por cuanto hace al </w:t>
      </w:r>
      <w:r w:rsidRPr="00F32196">
        <w:rPr>
          <w:rFonts w:ascii="Palatino Linotype" w:eastAsia="Palatino Linotype" w:hAnsi="Palatino Linotype" w:cs="Palatino Linotype"/>
          <w:b/>
          <w:sz w:val="24"/>
          <w:szCs w:val="24"/>
        </w:rPr>
        <w:t xml:space="preserve">Registro Federal de Contribuyentes (RFC) </w:t>
      </w:r>
      <w:r w:rsidRPr="00F32196">
        <w:rPr>
          <w:rFonts w:ascii="Palatino Linotype" w:eastAsia="Palatino Linotype" w:hAnsi="Palatino Linotype" w:cs="Palatino Linotype"/>
          <w:sz w:val="24"/>
          <w:szCs w:val="24"/>
        </w:rPr>
        <w:t>y</w:t>
      </w:r>
      <w:r w:rsidRPr="00F32196">
        <w:rPr>
          <w:rFonts w:ascii="Palatino Linotype" w:eastAsia="Palatino Linotype" w:hAnsi="Palatino Linotype" w:cs="Palatino Linotype"/>
          <w:b/>
          <w:sz w:val="24"/>
          <w:szCs w:val="24"/>
        </w:rPr>
        <w:t xml:space="preserve"> el domicilio fiscal </w:t>
      </w:r>
      <w:r w:rsidRPr="00F32196">
        <w:rPr>
          <w:rFonts w:ascii="Palatino Linotype" w:eastAsia="Palatino Linotype" w:hAnsi="Palatino Linotype" w:cs="Palatino Linotype"/>
          <w:sz w:val="24"/>
          <w:szCs w:val="24"/>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Además, las personas físicas que realicen las actividades contratadas por las instituciones, renuncian implícitamente a una parte de su derecho a la intimidad al </w:t>
      </w:r>
      <w:r w:rsidRPr="00F32196">
        <w:rPr>
          <w:rFonts w:ascii="Palatino Linotype" w:eastAsia="Palatino Linotype" w:hAnsi="Palatino Linotype" w:cs="Palatino Linotype"/>
          <w:sz w:val="24"/>
          <w:szCs w:val="24"/>
        </w:rPr>
        <w:lastRenderedPageBreak/>
        <w:t xml:space="preserve">obtener beneficios y lucros de los recursos públicos por dicha contratación, por lo que </w:t>
      </w:r>
      <w:r w:rsidRPr="00F32196">
        <w:rPr>
          <w:rFonts w:ascii="Palatino Linotype" w:eastAsia="Palatino Linotype" w:hAnsi="Palatino Linotype" w:cs="Palatino Linotype"/>
          <w:b/>
          <w:sz w:val="24"/>
          <w:szCs w:val="24"/>
        </w:rPr>
        <w:t>no puede considerarse como información clasificada lo relativo a su nombre, registro federal de contribuyentes y domicilio fiscal</w:t>
      </w:r>
      <w:r w:rsidRPr="00F32196">
        <w:rPr>
          <w:rFonts w:ascii="Palatino Linotype" w:eastAsia="Palatino Linotype" w:hAnsi="Palatino Linotype" w:cs="Palatino Linotype"/>
          <w:sz w:val="24"/>
          <w:szCs w:val="24"/>
        </w:rPr>
        <w:t>, atento a que dicha información es la que puede generar certeza en los gobernados en que se está ejerciendo debidamente el presupuesto.</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rPr>
      </w:pPr>
      <w:r w:rsidRPr="00F32196">
        <w:rPr>
          <w:rFonts w:ascii="Palatino Linotype" w:eastAsia="Palatino Linotype" w:hAnsi="Palatino Linotype" w:cs="Palatino Linotype"/>
          <w:sz w:val="24"/>
          <w:szCs w:val="24"/>
        </w:rPr>
        <w:t>Robustece lo anterior el criterio orientador 04/21 emitido por el entonces Instituto Nacional de Transparencia, Acceso a la Información y Protección de Datos Personales, INAI, el cual refiere</w:t>
      </w:r>
      <w:r w:rsidRPr="00F32196">
        <w:rPr>
          <w:rFonts w:ascii="Palatino Linotype" w:eastAsia="Palatino Linotype" w:hAnsi="Palatino Linotype" w:cs="Palatino Linotype"/>
        </w:rPr>
        <w:t>:</w:t>
      </w:r>
    </w:p>
    <w:p w:rsidR="00E64653" w:rsidRPr="00F32196" w:rsidRDefault="00E64653" w:rsidP="00E64653">
      <w:pPr>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b/>
          <w:i/>
        </w:rPr>
        <w:t xml:space="preserve">“Registro Federal de Contribuyentes (RFC) de personas físicas proveedoras o contratistas. </w:t>
      </w:r>
      <w:r w:rsidRPr="00F32196">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E64653" w:rsidRPr="00F32196" w:rsidRDefault="00E64653" w:rsidP="00E64653">
      <w:pPr>
        <w:pStyle w:val="Sinespaciado"/>
        <w:rPr>
          <w:rFonts w:eastAsia="Palatino Linotype"/>
          <w:lang w:eastAsia="es-MX"/>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Relacionado con lo anterior, el </w:t>
      </w:r>
      <w:r w:rsidRPr="00F32196">
        <w:rPr>
          <w:rFonts w:ascii="Palatino Linotype" w:eastAsia="Palatino Linotype" w:hAnsi="Palatino Linotype" w:cs="Palatino Linotype"/>
          <w:b/>
          <w:sz w:val="24"/>
          <w:szCs w:val="24"/>
        </w:rPr>
        <w:t>nombre de las personas físicas</w:t>
      </w:r>
      <w:r w:rsidRPr="00F32196">
        <w:rPr>
          <w:rFonts w:ascii="Palatino Linotype" w:eastAsia="Palatino Linotype" w:hAnsi="Palatino Linotype" w:cs="Palatino Linotype"/>
          <w:sz w:val="24"/>
          <w:szCs w:val="24"/>
        </w:rPr>
        <w:t xml:space="preserve"> o los </w:t>
      </w:r>
      <w:r w:rsidRPr="00F32196">
        <w:rPr>
          <w:rFonts w:ascii="Palatino Linotype" w:eastAsia="Palatino Linotype" w:hAnsi="Palatino Linotype" w:cs="Palatino Linotype"/>
          <w:b/>
          <w:sz w:val="24"/>
          <w:szCs w:val="24"/>
        </w:rPr>
        <w:t>representantes legales de las personas morales</w:t>
      </w:r>
      <w:r w:rsidRPr="00F32196">
        <w:rPr>
          <w:rFonts w:ascii="Palatino Linotype" w:eastAsia="Palatino Linotype" w:hAnsi="Palatino Linotype" w:cs="Palatino Linotype"/>
          <w:sz w:val="24"/>
          <w:szCs w:val="24"/>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w:t>
      </w:r>
      <w:r w:rsidRPr="00F32196">
        <w:rPr>
          <w:rFonts w:ascii="Palatino Linotype" w:eastAsia="Palatino Linotype" w:hAnsi="Palatino Linotype" w:cs="Palatino Linotype"/>
          <w:sz w:val="24"/>
          <w:szCs w:val="24"/>
        </w:rPr>
        <w:lastRenderedPageBreak/>
        <w:t>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p>
    <w:p w:rsidR="00E64653" w:rsidRPr="00F32196" w:rsidRDefault="00E64653" w:rsidP="00E64653">
      <w:pPr>
        <w:spacing w:line="360" w:lineRule="auto"/>
        <w:ind w:right="50"/>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Argumentación que guarda sustento en lo estipulado por el artículo 23 de la Ley de Transparencia y Acceso a la Información Pública del Estado de México y Municipios en su penúltimo párrafo, mismo que es del tenor literal siguiente:</w:t>
      </w:r>
    </w:p>
    <w:p w:rsidR="00E64653" w:rsidRPr="00F32196" w:rsidRDefault="00E64653" w:rsidP="00E64653">
      <w:pPr>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i/>
        </w:rPr>
        <w:t>“</w:t>
      </w:r>
      <w:r w:rsidRPr="00F32196">
        <w:rPr>
          <w:rFonts w:ascii="Palatino Linotype" w:eastAsia="Palatino Linotype" w:hAnsi="Palatino Linotype" w:cs="Palatino Linotype"/>
          <w:b/>
          <w:i/>
        </w:rPr>
        <w:t>Artículo 23.</w:t>
      </w:r>
      <w:r w:rsidRPr="00F32196">
        <w:rPr>
          <w:rFonts w:ascii="Palatino Linotype" w:eastAsia="Palatino Linotype" w:hAnsi="Palatino Linotype" w:cs="Palatino Linotype"/>
          <w:i/>
        </w:rPr>
        <w:t xml:space="preserve"> (…)</w:t>
      </w:r>
    </w:p>
    <w:p w:rsidR="00E64653" w:rsidRPr="00F32196" w:rsidRDefault="00E64653" w:rsidP="00E64653">
      <w:pPr>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64653" w:rsidRPr="00F32196" w:rsidRDefault="00E64653" w:rsidP="00E64653">
      <w:pPr>
        <w:pStyle w:val="Sinespaciado"/>
        <w:rPr>
          <w:rFonts w:eastAsia="Palatino Linotype"/>
          <w:lang w:eastAsia="es-MX"/>
        </w:rPr>
      </w:pPr>
    </w:p>
    <w:p w:rsidR="00E64653" w:rsidRPr="00F32196" w:rsidRDefault="00E64653" w:rsidP="00E64653">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Asimismo, resulta aplicable el contenido del criterio orientador 01/19 emitido por el entonces Instituto Nacional de Transparencia, Acceso a la Información, y Protección de Datos Personales, INAI, que lleva por rubro y texto los siguientes;</w:t>
      </w:r>
    </w:p>
    <w:p w:rsidR="00E64653" w:rsidRPr="00F32196" w:rsidRDefault="00E64653" w:rsidP="00E64653">
      <w:pPr>
        <w:ind w:left="567" w:right="616"/>
        <w:jc w:val="both"/>
        <w:rPr>
          <w:rFonts w:ascii="Palatino Linotype" w:eastAsia="Palatino Linotype" w:hAnsi="Palatino Linotype" w:cs="Palatino Linotype"/>
          <w:i/>
        </w:rPr>
      </w:pPr>
      <w:r w:rsidRPr="00F32196">
        <w:rPr>
          <w:rFonts w:ascii="Palatino Linotype" w:eastAsia="Palatino Linotype" w:hAnsi="Palatino Linotype" w:cs="Palatino Linotype"/>
          <w:b/>
          <w:i/>
        </w:rPr>
        <w:t>“Datos de identificación del representante o apoderado legal.</w:t>
      </w:r>
      <w:r w:rsidRPr="00F32196">
        <w:rPr>
          <w:rFonts w:ascii="Palatino Linotype" w:eastAsia="Palatino Linotype" w:hAnsi="Palatino Linotype" w:cs="Palatino Linotype"/>
          <w:i/>
        </w:rPr>
        <w:t xml:space="preserve"> </w:t>
      </w:r>
      <w:r w:rsidRPr="00F32196">
        <w:rPr>
          <w:rFonts w:ascii="Palatino Linotype" w:eastAsia="Palatino Linotype" w:hAnsi="Palatino Linotype" w:cs="Palatino Linotype"/>
          <w:b/>
          <w:i/>
        </w:rPr>
        <w:t xml:space="preserve">Naturaleza jurídica. </w:t>
      </w:r>
      <w:r w:rsidRPr="00F32196">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F32196">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F32196">
        <w:rPr>
          <w:rFonts w:ascii="Palatino Linotype" w:eastAsia="Palatino Linotype" w:hAnsi="Palatino Linotype" w:cs="Palatino Linotype"/>
          <w:i/>
        </w:rPr>
        <w:t>.”</w:t>
      </w:r>
    </w:p>
    <w:p w:rsidR="00E64653" w:rsidRPr="00F32196" w:rsidRDefault="00E64653" w:rsidP="00E64653">
      <w:pPr>
        <w:ind w:left="567" w:right="616"/>
        <w:jc w:val="both"/>
        <w:rPr>
          <w:rFonts w:ascii="Palatino Linotype" w:eastAsia="Palatino Linotype" w:hAnsi="Palatino Linotype" w:cs="Palatino Linotype"/>
          <w:i/>
        </w:rPr>
      </w:pPr>
    </w:p>
    <w:p w:rsidR="00E64653" w:rsidRPr="00F32196" w:rsidRDefault="00E64653" w:rsidP="00E64653">
      <w:pPr>
        <w:spacing w:line="360" w:lineRule="auto"/>
        <w:jc w:val="both"/>
        <w:rPr>
          <w:rFonts w:ascii="Palatino Linotype" w:eastAsia="Palatino Linotype" w:hAnsi="Palatino Linotype" w:cs="Palatino Linotype"/>
          <w:sz w:val="24"/>
          <w:szCs w:val="24"/>
          <w:lang w:val="es-ES_tradnl"/>
        </w:rPr>
      </w:pPr>
      <w:r w:rsidRPr="00F32196">
        <w:rPr>
          <w:rFonts w:ascii="Palatino Linotype" w:eastAsia="Palatino Linotype" w:hAnsi="Palatino Linotype" w:cs="Palatino Linotype"/>
          <w:sz w:val="24"/>
          <w:szCs w:val="24"/>
          <w:lang w:val="es-ES_tradnl"/>
        </w:rPr>
        <w:lastRenderedPageBreak/>
        <w:t xml:space="preserve">Por otro lado, los </w:t>
      </w:r>
      <w:r w:rsidRPr="00F32196">
        <w:rPr>
          <w:rFonts w:ascii="Palatino Linotype" w:eastAsia="Palatino Linotype" w:hAnsi="Palatino Linotype" w:cs="Palatino Linotype"/>
          <w:iCs/>
          <w:sz w:val="24"/>
          <w:szCs w:val="24"/>
          <w:lang w:val="es-ES_tradnl"/>
        </w:rPr>
        <w:t>Lineamientos Generales en Materia de Clasificación y Desclasificación de la Información, así como para la elaboración de Versiones Públicas</w:t>
      </w:r>
      <w:r w:rsidRPr="00F32196">
        <w:rPr>
          <w:rFonts w:ascii="Palatino Linotype" w:eastAsia="Palatino Linotype" w:hAnsi="Palatino Linotype" w:cs="Palatino Linotype"/>
          <w:sz w:val="24"/>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64653" w:rsidRPr="00F32196" w:rsidRDefault="00E64653" w:rsidP="00E64653">
      <w:pPr>
        <w:tabs>
          <w:tab w:val="left" w:pos="4962"/>
        </w:tabs>
        <w:spacing w:after="0" w:line="360" w:lineRule="auto"/>
        <w:jc w:val="both"/>
        <w:rPr>
          <w:rFonts w:ascii="Palatino Linotype" w:hAnsi="Palatino Linotype"/>
          <w:color w:val="000000"/>
          <w:sz w:val="24"/>
          <w:szCs w:val="24"/>
        </w:rPr>
      </w:pPr>
    </w:p>
    <w:p w:rsidR="00E64653" w:rsidRPr="00F32196" w:rsidRDefault="00E64653" w:rsidP="00E64653">
      <w:pPr>
        <w:tabs>
          <w:tab w:val="left" w:pos="4962"/>
        </w:tabs>
        <w:spacing w:after="0" w:line="360" w:lineRule="auto"/>
        <w:jc w:val="both"/>
        <w:rPr>
          <w:rFonts w:ascii="Palatino Linotype" w:hAnsi="Palatino Linotype"/>
          <w:color w:val="000000"/>
          <w:sz w:val="24"/>
          <w:szCs w:val="24"/>
        </w:rPr>
      </w:pPr>
      <w:r w:rsidRPr="00F32196">
        <w:rPr>
          <w:rFonts w:ascii="Palatino Linotype" w:hAnsi="Palatino Linotype"/>
          <w:color w:val="000000"/>
          <w:sz w:val="24"/>
          <w:szCs w:val="24"/>
        </w:rPr>
        <w:t>Respecto la firma plasmada por servidores públicos en el ejercicio de sus funciones o atribuciones  no puede considerarse como un dato susceptible de clasificarse. Sobre dicho dato, cabe precisar que, en el presente caso, se trata de los servidores públicos, es de señalar que la firma es un dato personal confidencial y únicamente será público dicho dato cuando sirva para la emisión de un acto de autoridad, en ejercicio de sus funciones.</w:t>
      </w:r>
    </w:p>
    <w:p w:rsidR="00E64653" w:rsidRPr="00F32196" w:rsidRDefault="00E64653" w:rsidP="00E64653">
      <w:pPr>
        <w:tabs>
          <w:tab w:val="left" w:pos="4962"/>
        </w:tabs>
        <w:spacing w:after="0" w:line="360" w:lineRule="auto"/>
        <w:jc w:val="both"/>
        <w:rPr>
          <w:rFonts w:ascii="Palatino Linotype" w:hAnsi="Palatino Linotype"/>
          <w:color w:val="000000"/>
          <w:sz w:val="24"/>
          <w:szCs w:val="24"/>
        </w:rPr>
      </w:pPr>
      <w:r w:rsidRPr="00F32196">
        <w:rPr>
          <w:rFonts w:ascii="Palatino Linotype" w:hAnsi="Palatino Linotype"/>
          <w:color w:val="000000"/>
          <w:sz w:val="24"/>
          <w:szCs w:val="24"/>
        </w:rPr>
        <w:t> </w:t>
      </w:r>
    </w:p>
    <w:p w:rsidR="00E64653" w:rsidRPr="00F32196" w:rsidRDefault="00E64653" w:rsidP="00E64653">
      <w:pPr>
        <w:tabs>
          <w:tab w:val="left" w:pos="4962"/>
        </w:tabs>
        <w:spacing w:after="0" w:line="360" w:lineRule="auto"/>
        <w:jc w:val="both"/>
        <w:rPr>
          <w:rFonts w:ascii="Palatino Linotype" w:hAnsi="Palatino Linotype"/>
          <w:color w:val="000000"/>
          <w:sz w:val="24"/>
          <w:szCs w:val="24"/>
        </w:rPr>
      </w:pPr>
      <w:r w:rsidRPr="00F32196">
        <w:rPr>
          <w:rFonts w:ascii="Palatino Linotype" w:hAnsi="Palatino Linotype"/>
          <w:color w:val="000000"/>
          <w:sz w:val="24"/>
          <w:szCs w:val="24"/>
        </w:rPr>
        <w:t>Lo anterior, se robustece, con el Criterio de Interpretación, de la Segunda Época, con clave de control SO/002/2019, emitido por el entonces Instituto Nacional de Transparencia, Acceso a la Información y Protección de Datos Personales, que establece lo siguiente:</w:t>
      </w:r>
    </w:p>
    <w:p w:rsidR="00E64653" w:rsidRPr="00F32196" w:rsidRDefault="00E64653" w:rsidP="00E64653">
      <w:pPr>
        <w:spacing w:after="0" w:line="360" w:lineRule="auto"/>
        <w:ind w:left="567" w:right="567"/>
        <w:jc w:val="both"/>
        <w:rPr>
          <w:rFonts w:ascii="Palatino Linotype" w:hAnsi="Palatino Linotype"/>
          <w:color w:val="000000"/>
        </w:rPr>
      </w:pPr>
      <w:r w:rsidRPr="00F32196">
        <w:rPr>
          <w:rFonts w:ascii="Palatino Linotype" w:hAnsi="Palatino Linotype"/>
          <w:b/>
          <w:i/>
          <w:color w:val="000000"/>
        </w:rPr>
        <w:t>“Firma y rúbrica de servidores públicos.</w:t>
      </w:r>
      <w:r w:rsidRPr="00F32196">
        <w:rPr>
          <w:rFonts w:ascii="Palatino Linotype" w:hAnsi="Palatino Linotype"/>
          <w:i/>
          <w:color w:val="000000"/>
        </w:rPr>
        <w:t> Si bien la firma y la rúbrica son datos personales confidenciales, cuando un servidor público emite un acto como autoridad, en ejercicio de las funciones que tiene conferidas, la firma o rúbrica mediante la cual se valida dicho acto es pública.”</w:t>
      </w:r>
    </w:p>
    <w:p w:rsidR="00E64653" w:rsidRPr="00F32196" w:rsidRDefault="00E64653" w:rsidP="00E64653">
      <w:pPr>
        <w:spacing w:after="0" w:line="360" w:lineRule="auto"/>
        <w:ind w:left="567" w:right="567"/>
        <w:jc w:val="both"/>
        <w:rPr>
          <w:rFonts w:ascii="Palatino Linotype" w:hAnsi="Palatino Linotype"/>
          <w:color w:val="000000"/>
        </w:rPr>
      </w:pP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r w:rsidRPr="00F32196">
        <w:rPr>
          <w:rFonts w:ascii="Palatino Linotype" w:hAnsi="Palatino Linotype" w:cs="Tahoma"/>
          <w:bCs/>
          <w:sz w:val="24"/>
          <w:szCs w:val="24"/>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r w:rsidRPr="00F32196">
        <w:rPr>
          <w:rFonts w:ascii="Palatino Linotype" w:hAnsi="Palatino Linotype" w:cs="Tahoma"/>
          <w:bCs/>
          <w:sz w:val="24"/>
          <w:szCs w:val="24"/>
          <w:lang w:val="es-E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w:t>
      </w:r>
      <w:r w:rsidRPr="00F32196">
        <w:rPr>
          <w:rFonts w:ascii="Palatino Linotype" w:hAnsi="Palatino Linotype" w:cs="Tahoma"/>
          <w:bCs/>
          <w:sz w:val="24"/>
          <w:szCs w:val="24"/>
          <w:u w:val="single"/>
          <w:lang w:val="es-ES"/>
        </w:rPr>
        <w:t>cuando la fotografía obra en documentos de servidores públicos vinculados con el cumplimiento de disposiciones legales</w:t>
      </w:r>
      <w:r w:rsidRPr="00F32196">
        <w:rPr>
          <w:rFonts w:ascii="Palatino Linotype" w:hAnsi="Palatino Linotype" w:cs="Tahoma"/>
          <w:bCs/>
          <w:sz w:val="24"/>
          <w:szCs w:val="24"/>
          <w:lang w:val="es-ES"/>
        </w:rPr>
        <w:t>.</w:t>
      </w: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p>
    <w:p w:rsidR="00E64653" w:rsidRPr="00F32196" w:rsidRDefault="00E64653" w:rsidP="00E64653">
      <w:pPr>
        <w:spacing w:line="360" w:lineRule="auto"/>
        <w:jc w:val="both"/>
        <w:rPr>
          <w:rFonts w:ascii="Palatino Linotype" w:hAnsi="Palatino Linotype"/>
          <w:sz w:val="24"/>
          <w:szCs w:val="24"/>
        </w:rPr>
      </w:pPr>
      <w:r w:rsidRPr="00F32196">
        <w:rPr>
          <w:rFonts w:ascii="Palatino Linotype" w:hAnsi="Palatino Linotype"/>
          <w:sz w:val="24"/>
          <w:szCs w:val="24"/>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w:t>
      </w:r>
      <w:r w:rsidRPr="00F32196">
        <w:rPr>
          <w:rFonts w:ascii="Palatino Linotype" w:hAnsi="Palatino Linotype"/>
          <w:sz w:val="24"/>
          <w:szCs w:val="24"/>
        </w:rPr>
        <w:lastRenderedPageBreak/>
        <w:t>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r w:rsidRPr="00F32196">
        <w:rPr>
          <w:rFonts w:ascii="Palatino Linotype" w:hAnsi="Palatino Linotype" w:cs="Tahoma"/>
          <w:bCs/>
          <w:sz w:val="24"/>
          <w:szCs w:val="24"/>
          <w:lang w:val="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r w:rsidRPr="00F32196">
        <w:rPr>
          <w:rFonts w:ascii="Palatino Linotype" w:hAnsi="Palatino Linotype" w:cs="Tahoma"/>
          <w:bCs/>
          <w:sz w:val="24"/>
          <w:szCs w:val="24"/>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r w:rsidRPr="00F32196">
        <w:rPr>
          <w:rFonts w:ascii="Palatino Linotype" w:hAnsi="Palatino Linotype" w:cs="Tahoma"/>
          <w:bCs/>
          <w:sz w:val="24"/>
          <w:szCs w:val="24"/>
          <w:lang w:val="es-ES"/>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p>
    <w:p w:rsidR="00E64653" w:rsidRPr="00F32196" w:rsidRDefault="00E64653" w:rsidP="00E64653">
      <w:pPr>
        <w:tabs>
          <w:tab w:val="left" w:pos="4962"/>
        </w:tabs>
        <w:spacing w:after="0" w:line="360" w:lineRule="auto"/>
        <w:contextualSpacing/>
        <w:jc w:val="both"/>
        <w:rPr>
          <w:rFonts w:ascii="Palatino Linotype" w:hAnsi="Palatino Linotype" w:cs="Tahoma"/>
          <w:bCs/>
          <w:sz w:val="24"/>
          <w:szCs w:val="24"/>
          <w:lang w:val="es-ES"/>
        </w:rPr>
      </w:pPr>
      <w:r w:rsidRPr="00F32196">
        <w:rPr>
          <w:rFonts w:ascii="Palatino Linotype" w:hAnsi="Palatino Linotype" w:cs="Tahoma"/>
          <w:bCs/>
          <w:sz w:val="24"/>
          <w:szCs w:val="24"/>
          <w:lang w:val="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5F258D" w:rsidRPr="00F32196" w:rsidRDefault="005F258D" w:rsidP="005F258D">
      <w:pPr>
        <w:spacing w:line="360" w:lineRule="auto"/>
        <w:jc w:val="both"/>
        <w:rPr>
          <w:rFonts w:ascii="Palatino Linotype" w:eastAsia="Palatino Linotype" w:hAnsi="Palatino Linotype" w:cs="Palatino Linotype"/>
          <w:sz w:val="24"/>
          <w:szCs w:val="24"/>
        </w:rPr>
      </w:pPr>
    </w:p>
    <w:p w:rsidR="005F258D" w:rsidRPr="00F32196" w:rsidRDefault="005F258D" w:rsidP="005F258D">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Quincuagésimo sexto.</w:t>
      </w:r>
      <w:r w:rsidRPr="00F32196">
        <w:rPr>
          <w:rFonts w:ascii="Palatino Linotype" w:eastAsia="Palatino Linotype" w:hAnsi="Palatino Linotype" w:cs="Palatino Linotype"/>
          <w:i/>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5F258D" w:rsidRPr="00F32196" w:rsidRDefault="005F258D" w:rsidP="005F258D">
      <w:pPr>
        <w:spacing w:line="360" w:lineRule="auto"/>
        <w:ind w:left="567" w:right="567"/>
        <w:jc w:val="both"/>
        <w:rPr>
          <w:rFonts w:ascii="Palatino Linotype" w:eastAsia="Palatino Linotype" w:hAnsi="Palatino Linotype" w:cs="Palatino Linotype"/>
          <w:i/>
        </w:rPr>
      </w:pP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lastRenderedPageBreak/>
        <w:t>Quincuagésimo séptimo.</w:t>
      </w:r>
      <w:r w:rsidRPr="00F32196">
        <w:rPr>
          <w:rFonts w:ascii="Palatino Linotype" w:eastAsia="Palatino Linotype" w:hAnsi="Palatino Linotype" w:cs="Palatino Linotype"/>
          <w:i/>
        </w:rPr>
        <w:t xml:space="preserve"> Se considera, en principio, como información pública y no podrá omitirse de las versiones públicas la siguiente:</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II. El nombre de los integrantes de los sujetos obligados en los documentos, y sus firmas autógrafas o digitales, cuando sean utilizados en el ejercicio de las facultades conferidas para el desempeño del servicio público, y </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rsidR="005F258D" w:rsidRPr="00F32196" w:rsidRDefault="005F258D" w:rsidP="005F258D">
      <w:pPr>
        <w:spacing w:line="360" w:lineRule="auto"/>
        <w:ind w:left="567" w:right="567"/>
        <w:jc w:val="both"/>
        <w:rPr>
          <w:rFonts w:ascii="Palatino Linotype" w:eastAsia="Palatino Linotype" w:hAnsi="Palatino Linotype" w:cs="Palatino Linotype"/>
          <w:i/>
        </w:rPr>
      </w:pPr>
    </w:p>
    <w:p w:rsidR="005F258D" w:rsidRPr="00F32196" w:rsidRDefault="005F258D" w:rsidP="005F258D">
      <w:pPr>
        <w:spacing w:line="360" w:lineRule="auto"/>
        <w:ind w:left="567" w:right="567"/>
        <w:jc w:val="both"/>
        <w:rPr>
          <w:rFonts w:ascii="Palatino Linotype" w:eastAsia="Palatino Linotype" w:hAnsi="Palatino Linotype" w:cs="Palatino Linotype"/>
          <w:i/>
        </w:rPr>
      </w:pPr>
      <w:r w:rsidRPr="00F32196">
        <w:rPr>
          <w:rFonts w:ascii="Palatino Linotype" w:eastAsia="Palatino Linotype" w:hAnsi="Palatino Linotype" w:cs="Palatino Linotype"/>
          <w:b/>
          <w:i/>
        </w:rPr>
        <w:t>Quincuagésimo octavo.</w:t>
      </w:r>
      <w:r w:rsidRPr="00F32196">
        <w:rPr>
          <w:rFonts w:ascii="Palatino Linotype" w:eastAsia="Palatino Linotype" w:hAnsi="Palatino Linotype" w:cs="Palatino Linotype"/>
          <w:i/>
        </w:rPr>
        <w:t xml:space="preserve"> Los sujetos obligados garantizarán que los sistemas o medios empleados para eliminar la información en las versiones públicas sean irreversibles, de tal forma que no permitan la recuperación o la visualización de la misma.</w:t>
      </w:r>
    </w:p>
    <w:p w:rsidR="005F258D" w:rsidRPr="00F32196" w:rsidRDefault="005F258D" w:rsidP="005F258D">
      <w:pPr>
        <w:spacing w:line="360" w:lineRule="auto"/>
        <w:jc w:val="both"/>
        <w:rPr>
          <w:rFonts w:ascii="Palatino Linotype" w:eastAsia="Palatino Linotype" w:hAnsi="Palatino Linotype" w:cs="Palatino Linotype"/>
        </w:rPr>
      </w:pPr>
    </w:p>
    <w:p w:rsidR="005F258D" w:rsidRPr="00F32196" w:rsidRDefault="005F258D" w:rsidP="005F258D">
      <w:pPr>
        <w:spacing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F32196">
        <w:rPr>
          <w:rFonts w:ascii="Palatino Linotype" w:eastAsia="Palatino Linotype" w:hAnsi="Palatino Linotype" w:cs="Palatino Linotype"/>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rsidR="005F258D" w:rsidRPr="00F32196" w:rsidRDefault="005F258D" w:rsidP="005F258D">
      <w:pPr>
        <w:spacing w:line="360" w:lineRule="auto"/>
        <w:jc w:val="both"/>
        <w:rPr>
          <w:rFonts w:ascii="Palatino Linotype" w:hAnsi="Palatino Linotype"/>
          <w:sz w:val="24"/>
          <w:szCs w:val="24"/>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5F258D" w:rsidRPr="00F32196" w:rsidRDefault="005F258D" w:rsidP="005F258D">
      <w:pPr>
        <w:spacing w:line="360" w:lineRule="auto"/>
        <w:jc w:val="both"/>
        <w:rPr>
          <w:rFonts w:ascii="Palatino Linotype" w:hAnsi="Palatino Linotype" w:cs="Arial"/>
          <w:sz w:val="24"/>
          <w:szCs w:val="24"/>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rsidR="005F258D" w:rsidRPr="00F32196" w:rsidRDefault="005F258D" w:rsidP="005F258D">
      <w:pPr>
        <w:spacing w:line="360" w:lineRule="auto"/>
        <w:ind w:left="567" w:right="567"/>
        <w:jc w:val="both"/>
        <w:rPr>
          <w:rFonts w:ascii="Palatino Linotype" w:hAnsi="Palatino Linotype" w:cs="Arial"/>
          <w:i/>
        </w:rPr>
      </w:pPr>
      <w:r w:rsidRPr="00F32196">
        <w:rPr>
          <w:rFonts w:ascii="Palatino Linotype" w:hAnsi="Palatino Linotype" w:cs="Arial"/>
          <w:b/>
          <w:i/>
        </w:rPr>
        <w:t>FUNDAMENTACIÓN Y MOTIVACIÓN</w:t>
      </w:r>
      <w:r w:rsidRPr="00F32196">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F258D" w:rsidRPr="00F32196" w:rsidRDefault="005F258D" w:rsidP="005F258D">
      <w:pPr>
        <w:spacing w:line="360" w:lineRule="auto"/>
        <w:jc w:val="both"/>
        <w:rPr>
          <w:rFonts w:ascii="Palatino Linotype" w:hAnsi="Palatino Linotype" w:cs="Arial"/>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F258D" w:rsidRPr="00F32196" w:rsidRDefault="005F258D" w:rsidP="005F258D">
      <w:pPr>
        <w:spacing w:line="360" w:lineRule="auto"/>
        <w:jc w:val="both"/>
        <w:rPr>
          <w:rFonts w:ascii="Palatino Linotype" w:hAnsi="Palatino Linotype" w:cs="Arial"/>
          <w:sz w:val="24"/>
          <w:szCs w:val="24"/>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F258D" w:rsidRPr="00F32196" w:rsidRDefault="005F258D" w:rsidP="005F258D">
      <w:pPr>
        <w:spacing w:line="360" w:lineRule="auto"/>
        <w:ind w:left="567" w:right="567"/>
        <w:jc w:val="both"/>
        <w:rPr>
          <w:rFonts w:ascii="Palatino Linotype" w:hAnsi="Palatino Linotype" w:cs="Arial"/>
          <w:i/>
        </w:rPr>
      </w:pPr>
      <w:r w:rsidRPr="00F32196">
        <w:rPr>
          <w:rFonts w:ascii="Palatino Linotype" w:hAnsi="Palatino Linotype" w:cs="Arial"/>
          <w:b/>
          <w:i/>
        </w:rPr>
        <w:t xml:space="preserve">FUNDAMENTACIÓN Y MOTIVACIÓN. EL ASPECTO FORMAL DE LA GARANTÍA Y SU FINALIDAD SE TRADUCEN EN EXPLICAR, JUSTIFICAR, </w:t>
      </w:r>
      <w:r w:rsidRPr="00F32196">
        <w:rPr>
          <w:rFonts w:ascii="Palatino Linotype" w:hAnsi="Palatino Linotype" w:cs="Arial"/>
          <w:b/>
          <w:i/>
        </w:rPr>
        <w:lastRenderedPageBreak/>
        <w:t>POSIBILITAR LA DEFENSA Y COMUNICAR LA DECISIÓN.</w:t>
      </w:r>
      <w:r w:rsidRPr="00F32196">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F258D" w:rsidRPr="00F32196" w:rsidRDefault="005F258D" w:rsidP="005F258D">
      <w:pPr>
        <w:spacing w:line="360" w:lineRule="auto"/>
        <w:jc w:val="both"/>
        <w:rPr>
          <w:rFonts w:ascii="Palatino Linotype" w:hAnsi="Palatino Linotype" w:cs="Arial"/>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F258D" w:rsidRPr="00F32196" w:rsidRDefault="005F258D" w:rsidP="005F258D">
      <w:pPr>
        <w:spacing w:line="360" w:lineRule="auto"/>
        <w:jc w:val="both"/>
        <w:rPr>
          <w:rFonts w:ascii="Palatino Linotype" w:hAnsi="Palatino Linotype" w:cs="Arial"/>
          <w:sz w:val="24"/>
          <w:szCs w:val="24"/>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430EB" w:rsidRPr="00F32196" w:rsidRDefault="006430EB" w:rsidP="005F258D">
      <w:pPr>
        <w:spacing w:line="360" w:lineRule="auto"/>
        <w:jc w:val="both"/>
        <w:rPr>
          <w:rFonts w:ascii="Palatino Linotype" w:hAnsi="Palatino Linotype" w:cs="Arial"/>
          <w:sz w:val="24"/>
          <w:szCs w:val="24"/>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sz w:val="24"/>
          <w:szCs w:val="24"/>
          <w:lang w:eastAsia="es-ES"/>
        </w:rPr>
        <w:t xml:space="preserve">En mérito de lo expuesto en líneas anteriores, </w:t>
      </w:r>
      <w:r w:rsidRPr="00F32196">
        <w:rPr>
          <w:rFonts w:ascii="Palatino Linotype" w:hAnsi="Palatino Linotype" w:cs="Arial"/>
          <w:sz w:val="24"/>
          <w:szCs w:val="24"/>
          <w:lang w:eastAsia="es-ES"/>
        </w:rPr>
        <w:t>con fundamento en la fracción</w:t>
      </w:r>
      <w:r w:rsidRPr="00F32196">
        <w:rPr>
          <w:rFonts w:ascii="Palatino Linotype" w:hAnsi="Palatino Linotype" w:cs="Arial"/>
          <w:b/>
          <w:sz w:val="24"/>
          <w:szCs w:val="24"/>
          <w:lang w:eastAsia="es-ES"/>
        </w:rPr>
        <w:t xml:space="preserve"> </w:t>
      </w:r>
      <w:r w:rsidRPr="00F32196">
        <w:rPr>
          <w:rFonts w:ascii="Palatino Linotype" w:hAnsi="Palatino Linotype" w:cs="Arial"/>
          <w:sz w:val="24"/>
          <w:szCs w:val="24"/>
          <w:lang w:eastAsia="es-ES"/>
        </w:rPr>
        <w:t>III, del artículo 186,</w:t>
      </w:r>
      <w:r w:rsidRPr="00F32196">
        <w:rPr>
          <w:rFonts w:ascii="Palatino Linotype" w:hAnsi="Palatino Linotype" w:cs="Arial"/>
          <w:b/>
          <w:sz w:val="24"/>
          <w:szCs w:val="24"/>
          <w:lang w:eastAsia="es-ES"/>
        </w:rPr>
        <w:t xml:space="preserve"> </w:t>
      </w:r>
      <w:r w:rsidRPr="00F32196">
        <w:rPr>
          <w:rFonts w:ascii="Palatino Linotype" w:hAnsi="Palatino Linotype" w:cs="Arial"/>
          <w:sz w:val="24"/>
          <w:szCs w:val="24"/>
          <w:lang w:eastAsia="es-ES"/>
        </w:rPr>
        <w:t xml:space="preserve">de la Ley de Transparencia y Acceso a la Información Pública del Estado de México y Municipios, se </w:t>
      </w:r>
      <w:r w:rsidRPr="00F32196">
        <w:rPr>
          <w:rFonts w:ascii="Palatino Linotype" w:hAnsi="Palatino Linotype" w:cs="Arial"/>
          <w:b/>
          <w:sz w:val="24"/>
          <w:szCs w:val="24"/>
          <w:lang w:eastAsia="es-ES"/>
        </w:rPr>
        <w:t xml:space="preserve">MODIFICA </w:t>
      </w:r>
      <w:r w:rsidRPr="00F32196">
        <w:rPr>
          <w:rFonts w:ascii="Palatino Linotype" w:hAnsi="Palatino Linotype" w:cs="Arial"/>
          <w:sz w:val="24"/>
          <w:szCs w:val="24"/>
          <w:lang w:eastAsia="es-ES"/>
        </w:rPr>
        <w:t>la respuesta a la solicitud de información número</w:t>
      </w:r>
      <w:r w:rsidRPr="00F32196">
        <w:rPr>
          <w:rFonts w:ascii="Palatino Linotype" w:hAnsi="Palatino Linotype"/>
          <w:b/>
          <w:sz w:val="24"/>
          <w:szCs w:val="24"/>
          <w:lang w:eastAsia="es-ES"/>
        </w:rPr>
        <w:t xml:space="preserve"> </w:t>
      </w:r>
      <w:r w:rsidRPr="00F32196">
        <w:rPr>
          <w:rFonts w:ascii="Palatino Linotype" w:hAnsi="Palatino Linotype"/>
          <w:b/>
          <w:bCs/>
          <w:color w:val="FF0000"/>
          <w:sz w:val="24"/>
          <w:szCs w:val="24"/>
        </w:rPr>
        <w:t> </w:t>
      </w:r>
      <w:r w:rsidR="005E6887" w:rsidRPr="00F32196">
        <w:rPr>
          <w:rFonts w:ascii="Palatino Linotype" w:hAnsi="Palatino Linotype"/>
          <w:b/>
          <w:bCs/>
          <w:sz w:val="24"/>
          <w:szCs w:val="24"/>
        </w:rPr>
        <w:t xml:space="preserve">00026/DIFCOACALC/IP/2025 </w:t>
      </w:r>
      <w:r w:rsidRPr="00F32196">
        <w:rPr>
          <w:rFonts w:ascii="Palatino Linotype" w:hAnsi="Palatino Linotype" w:cs="Arial"/>
          <w:sz w:val="24"/>
          <w:szCs w:val="24"/>
        </w:rPr>
        <w:t xml:space="preserve">que ha sido materia del presente fallo. </w:t>
      </w:r>
    </w:p>
    <w:p w:rsidR="005F258D" w:rsidRPr="00F32196" w:rsidRDefault="005F258D" w:rsidP="005F258D">
      <w:pPr>
        <w:spacing w:line="360" w:lineRule="auto"/>
        <w:jc w:val="both"/>
        <w:rPr>
          <w:rFonts w:ascii="Palatino Linotype" w:hAnsi="Palatino Linotype"/>
          <w:sz w:val="24"/>
          <w:szCs w:val="24"/>
          <w:lang w:eastAsia="es-ES"/>
        </w:rPr>
      </w:pPr>
      <w:r w:rsidRPr="00F32196">
        <w:rPr>
          <w:rFonts w:ascii="Palatino Linotype" w:hAnsi="Palatino Linotype"/>
          <w:sz w:val="24"/>
          <w:szCs w:val="24"/>
          <w:lang w:eastAsia="es-ES"/>
        </w:rPr>
        <w:t>Por lo antes expuesto y fundado es de resolverse y,</w:t>
      </w:r>
    </w:p>
    <w:p w:rsidR="005F258D" w:rsidRPr="00F32196" w:rsidRDefault="005F258D" w:rsidP="005F258D">
      <w:pPr>
        <w:spacing w:line="360" w:lineRule="auto"/>
        <w:jc w:val="both"/>
        <w:rPr>
          <w:rFonts w:ascii="Palatino Linotype" w:hAnsi="Palatino Linotype"/>
          <w:lang w:eastAsia="es-ES"/>
        </w:rPr>
      </w:pPr>
    </w:p>
    <w:p w:rsidR="005F258D" w:rsidRPr="00F32196" w:rsidRDefault="005F258D" w:rsidP="005F258D">
      <w:pPr>
        <w:spacing w:before="240" w:after="240" w:line="360" w:lineRule="auto"/>
        <w:jc w:val="center"/>
        <w:rPr>
          <w:rFonts w:ascii="Palatino Linotype" w:hAnsi="Palatino Linotype"/>
          <w:b/>
          <w:spacing w:val="60"/>
          <w:sz w:val="28"/>
          <w:szCs w:val="28"/>
        </w:rPr>
      </w:pPr>
      <w:r w:rsidRPr="00F32196">
        <w:rPr>
          <w:rFonts w:ascii="Palatino Linotype" w:hAnsi="Palatino Linotype"/>
          <w:b/>
          <w:spacing w:val="60"/>
          <w:sz w:val="28"/>
          <w:szCs w:val="28"/>
        </w:rPr>
        <w:t>S E RESUELVE</w:t>
      </w:r>
    </w:p>
    <w:p w:rsidR="005F258D" w:rsidRPr="00F32196" w:rsidRDefault="005F258D" w:rsidP="005F258D">
      <w:pPr>
        <w:spacing w:before="240" w:after="240" w:line="360" w:lineRule="auto"/>
        <w:jc w:val="both"/>
        <w:rPr>
          <w:rFonts w:ascii="Palatino Linotype" w:hAnsi="Palatino Linotype"/>
          <w:b/>
          <w:spacing w:val="60"/>
        </w:rPr>
      </w:pPr>
    </w:p>
    <w:p w:rsidR="005F258D" w:rsidRPr="00F32196" w:rsidRDefault="005F258D" w:rsidP="005F258D">
      <w:pPr>
        <w:spacing w:line="360" w:lineRule="auto"/>
        <w:jc w:val="both"/>
        <w:rPr>
          <w:rFonts w:ascii="Palatino Linotype" w:hAnsi="Palatino Linotype" w:cs="Arial"/>
          <w:sz w:val="24"/>
          <w:szCs w:val="24"/>
        </w:rPr>
      </w:pPr>
      <w:r w:rsidRPr="00F32196">
        <w:rPr>
          <w:rFonts w:ascii="Palatino Linotype" w:hAnsi="Palatino Linotype" w:cs="Arial"/>
          <w:b/>
          <w:sz w:val="28"/>
          <w:szCs w:val="28"/>
        </w:rPr>
        <w:lastRenderedPageBreak/>
        <w:t>PRIMERO</w:t>
      </w:r>
      <w:r w:rsidRPr="00F32196">
        <w:rPr>
          <w:rFonts w:ascii="Palatino Linotype" w:hAnsi="Palatino Linotype" w:cs="Arial"/>
        </w:rPr>
        <w:t xml:space="preserve">. </w:t>
      </w:r>
      <w:r w:rsidRPr="00F32196">
        <w:rPr>
          <w:rFonts w:ascii="Palatino Linotype" w:hAnsi="Palatino Linotype" w:cs="Arial"/>
          <w:b/>
        </w:rPr>
        <w:t xml:space="preserve">Se </w:t>
      </w:r>
      <w:r w:rsidRPr="00F32196">
        <w:rPr>
          <w:rFonts w:ascii="Palatino Linotype" w:hAnsi="Palatino Linotype" w:cs="Arial"/>
          <w:b/>
          <w:sz w:val="24"/>
          <w:szCs w:val="24"/>
          <w:lang w:eastAsia="es-ES"/>
        </w:rPr>
        <w:t>MODIFICA</w:t>
      </w:r>
      <w:r w:rsidRPr="00F32196">
        <w:rPr>
          <w:rFonts w:ascii="Palatino Linotype" w:hAnsi="Palatino Linotype" w:cs="Arial"/>
          <w:b/>
          <w:sz w:val="24"/>
          <w:szCs w:val="24"/>
        </w:rPr>
        <w:t xml:space="preserve"> </w:t>
      </w:r>
      <w:r w:rsidRPr="00F32196">
        <w:rPr>
          <w:rFonts w:ascii="Palatino Linotype" w:hAnsi="Palatino Linotype" w:cs="Arial"/>
          <w:sz w:val="24"/>
          <w:szCs w:val="24"/>
        </w:rPr>
        <w:t>la respuesta entregada por</w:t>
      </w:r>
      <w:r w:rsidRPr="00F32196">
        <w:rPr>
          <w:rFonts w:ascii="Palatino Linotype" w:hAnsi="Palatino Linotype" w:cs="Arial"/>
          <w:b/>
          <w:sz w:val="24"/>
          <w:szCs w:val="24"/>
        </w:rPr>
        <w:t xml:space="preserve"> EL SUJETO OBLIGADO, </w:t>
      </w:r>
      <w:r w:rsidRPr="00F32196">
        <w:rPr>
          <w:rFonts w:ascii="Palatino Linotype" w:hAnsi="Palatino Linotype" w:cs="Arial"/>
          <w:sz w:val="24"/>
          <w:szCs w:val="24"/>
        </w:rPr>
        <w:t xml:space="preserve">a la solicitud de información número </w:t>
      </w:r>
      <w:r w:rsidR="005E6887" w:rsidRPr="00F32196">
        <w:rPr>
          <w:rFonts w:ascii="Palatino Linotype" w:hAnsi="Palatino Linotype"/>
          <w:b/>
          <w:bCs/>
          <w:sz w:val="24"/>
          <w:szCs w:val="24"/>
        </w:rPr>
        <w:t>00026/DIFCOACALC/IP/2025</w:t>
      </w:r>
      <w:r w:rsidRPr="00F32196">
        <w:rPr>
          <w:rFonts w:ascii="Palatino Linotype" w:hAnsi="Palatino Linotype" w:cs="Arial"/>
          <w:b/>
          <w:sz w:val="24"/>
          <w:szCs w:val="24"/>
        </w:rPr>
        <w:t xml:space="preserve">, </w:t>
      </w:r>
      <w:r w:rsidRPr="00F32196">
        <w:rPr>
          <w:rFonts w:ascii="Palatino Linotype" w:hAnsi="Palatino Linotype" w:cs="Arial"/>
          <w:sz w:val="24"/>
          <w:szCs w:val="24"/>
        </w:rPr>
        <w:t xml:space="preserve">en términos del considerando </w:t>
      </w:r>
      <w:r w:rsidRPr="00F32196">
        <w:rPr>
          <w:rFonts w:ascii="Palatino Linotype" w:hAnsi="Palatino Linotype" w:cs="Arial"/>
          <w:b/>
          <w:sz w:val="24"/>
          <w:szCs w:val="24"/>
        </w:rPr>
        <w:t xml:space="preserve">QUINTO </w:t>
      </w:r>
      <w:r w:rsidRPr="00F32196">
        <w:rPr>
          <w:rFonts w:ascii="Palatino Linotype" w:hAnsi="Palatino Linotype" w:cs="Arial"/>
          <w:sz w:val="24"/>
          <w:szCs w:val="24"/>
        </w:rPr>
        <w:t>de la presente resolución.</w:t>
      </w:r>
    </w:p>
    <w:p w:rsidR="005F258D" w:rsidRPr="00F32196" w:rsidRDefault="005F258D" w:rsidP="005F258D">
      <w:pPr>
        <w:spacing w:line="360" w:lineRule="auto"/>
        <w:jc w:val="both"/>
        <w:rPr>
          <w:rFonts w:ascii="Palatino Linotype" w:hAnsi="Palatino Linotype" w:cs="Arial"/>
          <w:b/>
          <w:sz w:val="24"/>
          <w:szCs w:val="24"/>
          <w:lang w:val="es-ES"/>
        </w:rPr>
      </w:pPr>
    </w:p>
    <w:p w:rsidR="005F258D" w:rsidRPr="00F32196" w:rsidRDefault="005F258D" w:rsidP="005F258D">
      <w:pPr>
        <w:spacing w:line="360" w:lineRule="auto"/>
        <w:ind w:right="49"/>
        <w:jc w:val="both"/>
        <w:rPr>
          <w:rFonts w:ascii="Palatino Linotype" w:hAnsi="Palatino Linotype"/>
          <w:bCs/>
          <w:sz w:val="24"/>
          <w:szCs w:val="24"/>
        </w:rPr>
      </w:pPr>
      <w:r w:rsidRPr="00F32196">
        <w:rPr>
          <w:rFonts w:ascii="Palatino Linotype" w:hAnsi="Palatino Linotype" w:cs="Arial"/>
          <w:b/>
          <w:sz w:val="28"/>
          <w:szCs w:val="28"/>
          <w:lang w:val="es-ES"/>
        </w:rPr>
        <w:t>SEGUNDO</w:t>
      </w:r>
      <w:r w:rsidRPr="00F32196">
        <w:rPr>
          <w:rFonts w:ascii="Palatino Linotype" w:hAnsi="Palatino Linotype" w:cs="Arial"/>
          <w:sz w:val="24"/>
          <w:szCs w:val="24"/>
          <w:lang w:val="es-ES"/>
        </w:rPr>
        <w:t xml:space="preserve">. </w:t>
      </w:r>
      <w:r w:rsidRPr="00F32196">
        <w:rPr>
          <w:rFonts w:ascii="Palatino Linotype" w:hAnsi="Palatino Linotype" w:cs="Arial"/>
          <w:sz w:val="24"/>
          <w:szCs w:val="24"/>
        </w:rPr>
        <w:t xml:space="preserve">Se </w:t>
      </w:r>
      <w:r w:rsidRPr="00F32196">
        <w:rPr>
          <w:rFonts w:ascii="Palatino Linotype" w:hAnsi="Palatino Linotype" w:cs="Arial"/>
          <w:b/>
          <w:sz w:val="24"/>
          <w:szCs w:val="24"/>
        </w:rPr>
        <w:t xml:space="preserve">ORDENA </w:t>
      </w:r>
      <w:r w:rsidRPr="00F32196">
        <w:rPr>
          <w:rFonts w:ascii="Palatino Linotype" w:hAnsi="Palatino Linotype" w:cs="Arial"/>
          <w:sz w:val="24"/>
          <w:szCs w:val="24"/>
        </w:rPr>
        <w:t xml:space="preserve">al </w:t>
      </w:r>
      <w:r w:rsidRPr="00F32196">
        <w:rPr>
          <w:rFonts w:ascii="Palatino Linotype" w:hAnsi="Palatino Linotype" w:cs="Arial"/>
          <w:b/>
          <w:sz w:val="24"/>
          <w:szCs w:val="24"/>
        </w:rPr>
        <w:t>Sujeto Obligado</w:t>
      </w:r>
      <w:r w:rsidRPr="00F32196">
        <w:rPr>
          <w:rFonts w:ascii="Palatino Linotype" w:hAnsi="Palatino Linotype" w:cs="Arial"/>
          <w:sz w:val="24"/>
          <w:szCs w:val="24"/>
        </w:rPr>
        <w:t>, a través del Sistema de Acceso a la Información Mexiquense (</w:t>
      </w:r>
      <w:r w:rsidRPr="00F32196">
        <w:rPr>
          <w:rFonts w:ascii="Palatino Linotype" w:hAnsi="Palatino Linotype" w:cs="Arial"/>
          <w:b/>
          <w:sz w:val="24"/>
          <w:szCs w:val="24"/>
        </w:rPr>
        <w:t>SAIMEX</w:t>
      </w:r>
      <w:r w:rsidRPr="00F32196">
        <w:rPr>
          <w:rFonts w:ascii="Palatino Linotype" w:hAnsi="Palatino Linotype" w:cs="Arial"/>
          <w:sz w:val="24"/>
          <w:szCs w:val="24"/>
        </w:rPr>
        <w:t xml:space="preserve">) en términos del considerando </w:t>
      </w:r>
      <w:r w:rsidRPr="00F32196">
        <w:rPr>
          <w:rFonts w:ascii="Palatino Linotype" w:hAnsi="Palatino Linotype" w:cs="Arial"/>
          <w:b/>
          <w:sz w:val="24"/>
          <w:szCs w:val="24"/>
        </w:rPr>
        <w:t xml:space="preserve">QUINTO </w:t>
      </w:r>
      <w:r w:rsidRPr="00F32196">
        <w:rPr>
          <w:rFonts w:ascii="Palatino Linotype" w:hAnsi="Palatino Linotype" w:cs="Arial"/>
          <w:sz w:val="24"/>
          <w:szCs w:val="24"/>
        </w:rPr>
        <w:t>de esta resolución, haga entrega de ser procedente en versión pública  de lo siguiente</w:t>
      </w:r>
      <w:r w:rsidRPr="00F32196">
        <w:rPr>
          <w:rFonts w:ascii="Palatino Linotype" w:hAnsi="Palatino Linotype"/>
          <w:bCs/>
          <w:sz w:val="24"/>
          <w:szCs w:val="24"/>
        </w:rPr>
        <w:t>:</w:t>
      </w:r>
    </w:p>
    <w:p w:rsidR="005F258D" w:rsidRPr="00F32196" w:rsidRDefault="005F258D" w:rsidP="005F258D">
      <w:pPr>
        <w:spacing w:line="360" w:lineRule="auto"/>
        <w:ind w:right="49"/>
        <w:jc w:val="both"/>
        <w:rPr>
          <w:rFonts w:ascii="Palatino Linotype" w:hAnsi="Palatino Linotype"/>
          <w:bCs/>
          <w:sz w:val="24"/>
          <w:szCs w:val="24"/>
        </w:rPr>
      </w:pPr>
    </w:p>
    <w:p w:rsidR="005F258D" w:rsidRPr="00F32196" w:rsidRDefault="005F258D" w:rsidP="00534573">
      <w:pPr>
        <w:pStyle w:val="Prrafodelista"/>
        <w:numPr>
          <w:ilvl w:val="0"/>
          <w:numId w:val="20"/>
        </w:numPr>
        <w:spacing w:after="0" w:line="360" w:lineRule="auto"/>
        <w:ind w:right="49"/>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color w:val="000000"/>
          <w:sz w:val="24"/>
          <w:szCs w:val="24"/>
        </w:rPr>
        <w:t>Contratos celebrados por el Sujeto Obligado del primero de enero al doce de septiembre de dos mil veinticinco</w:t>
      </w:r>
      <w:r w:rsidRPr="00F32196">
        <w:rPr>
          <w:rFonts w:ascii="Palatino Linotype" w:eastAsia="Palatino Linotype" w:hAnsi="Palatino Linotype" w:cs="Palatino Linotype"/>
          <w:sz w:val="24"/>
          <w:szCs w:val="24"/>
        </w:rPr>
        <w:t xml:space="preserve">. </w:t>
      </w:r>
    </w:p>
    <w:p w:rsidR="005F258D" w:rsidRPr="00F32196" w:rsidRDefault="005F258D" w:rsidP="005F258D">
      <w:pPr>
        <w:pStyle w:val="INFOEM"/>
        <w:ind w:left="708"/>
        <w:rPr>
          <w:szCs w:val="22"/>
        </w:rPr>
      </w:pPr>
      <w:r w:rsidRPr="00F32196">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F258D" w:rsidRPr="00F32196" w:rsidRDefault="005F258D" w:rsidP="005F258D">
      <w:pPr>
        <w:autoSpaceDE w:val="0"/>
        <w:autoSpaceDN w:val="0"/>
        <w:adjustRightInd w:val="0"/>
        <w:spacing w:line="360" w:lineRule="auto"/>
        <w:ind w:right="49"/>
        <w:jc w:val="both"/>
        <w:rPr>
          <w:rFonts w:ascii="Palatino Linotype" w:hAnsi="Palatino Linotype" w:cs="Arial"/>
          <w:b/>
        </w:rPr>
      </w:pPr>
    </w:p>
    <w:p w:rsidR="005F258D" w:rsidRPr="00F32196" w:rsidRDefault="005F258D" w:rsidP="005F258D">
      <w:pPr>
        <w:autoSpaceDE w:val="0"/>
        <w:autoSpaceDN w:val="0"/>
        <w:adjustRightInd w:val="0"/>
        <w:spacing w:line="360" w:lineRule="auto"/>
        <w:ind w:right="49"/>
        <w:jc w:val="both"/>
        <w:rPr>
          <w:rFonts w:ascii="Palatino Linotype" w:eastAsia="Palatino Linotype" w:hAnsi="Palatino Linotype" w:cs="Palatino Linotype"/>
          <w:b/>
          <w:color w:val="000000"/>
        </w:rPr>
      </w:pPr>
      <w:r w:rsidRPr="00F32196">
        <w:rPr>
          <w:rFonts w:ascii="Palatino Linotype" w:hAnsi="Palatino Linotype" w:cs="Arial"/>
          <w:b/>
          <w:sz w:val="28"/>
          <w:szCs w:val="28"/>
        </w:rPr>
        <w:t>TERCERO</w:t>
      </w:r>
      <w:r w:rsidRPr="00F32196">
        <w:rPr>
          <w:rFonts w:ascii="Palatino Linotype" w:hAnsi="Palatino Linotype" w:cs="Arial"/>
          <w:b/>
        </w:rPr>
        <w:t xml:space="preserve">. </w:t>
      </w:r>
      <w:r w:rsidRPr="00F32196">
        <w:rPr>
          <w:rFonts w:ascii="Palatino Linotype" w:hAnsi="Palatino Linotype" w:cs="Arial"/>
          <w:b/>
          <w:sz w:val="24"/>
          <w:szCs w:val="24"/>
        </w:rPr>
        <w:t>NOTIFÍQUESE</w:t>
      </w:r>
      <w:r w:rsidRPr="00F32196">
        <w:rPr>
          <w:rFonts w:ascii="Palatino Linotype" w:hAnsi="Palatino Linotype" w:cs="Arial"/>
          <w:i/>
          <w:sz w:val="24"/>
          <w:szCs w:val="24"/>
        </w:rPr>
        <w:t xml:space="preserve"> </w:t>
      </w:r>
      <w:r w:rsidRPr="00F32196">
        <w:rPr>
          <w:rFonts w:ascii="Palatino Linotype" w:hAnsi="Palatino Linotype" w:cs="Arial"/>
          <w:sz w:val="24"/>
          <w:szCs w:val="24"/>
        </w:rPr>
        <w:t>la presente resolución al Titular de la Unidad de Transparencia del</w:t>
      </w:r>
      <w:r w:rsidRPr="00F32196">
        <w:rPr>
          <w:rFonts w:ascii="Palatino Linotype" w:hAnsi="Palatino Linotype" w:cs="Arial"/>
          <w:b/>
          <w:sz w:val="24"/>
          <w:szCs w:val="24"/>
        </w:rPr>
        <w:t xml:space="preserve"> Sujeto Obligado</w:t>
      </w:r>
      <w:r w:rsidRPr="00F32196">
        <w:rPr>
          <w:rFonts w:ascii="Palatino Linotype" w:hAnsi="Palatino Linotype" w:cs="Arial"/>
          <w:sz w:val="24"/>
          <w:szCs w:val="24"/>
        </w:rPr>
        <w:t>, a través del Sistema de Acceso a la Información Mexiquense (</w:t>
      </w:r>
      <w:r w:rsidRPr="00F32196">
        <w:rPr>
          <w:rFonts w:ascii="Palatino Linotype" w:hAnsi="Palatino Linotype" w:cs="Arial"/>
          <w:b/>
          <w:sz w:val="24"/>
          <w:szCs w:val="24"/>
        </w:rPr>
        <w:t>SAIMEX</w:t>
      </w:r>
      <w:r w:rsidRPr="00F32196">
        <w:rPr>
          <w:rFonts w:ascii="Palatino Linotype" w:hAnsi="Palatino Linotype" w:cs="Arial"/>
          <w:sz w:val="24"/>
          <w:szCs w:val="24"/>
        </w:rPr>
        <w:t xml:space="preserve">) para que conforme al artículo 186 último párrafo, 189 segundo párrafo y 194 de la Ley de Transparencia y Acceso a la Información Pública del Estado </w:t>
      </w:r>
      <w:r w:rsidRPr="00F32196">
        <w:rPr>
          <w:rFonts w:ascii="Palatino Linotype" w:hAnsi="Palatino Linotype" w:cs="Arial"/>
          <w:sz w:val="24"/>
          <w:szCs w:val="24"/>
        </w:rPr>
        <w:lastRenderedPageBreak/>
        <w:t xml:space="preserve">de México y Municipios; dé cumplimiento a lo ordenado dentro del plazo de 10 (diez) días hábiles, debiendo informar a este Instituto en un plazo de tres días hábiles siguientes sobre el cumplimiento dado a la presente </w:t>
      </w:r>
      <w:r w:rsidRPr="00F32196">
        <w:rPr>
          <w:rFonts w:ascii="Palatino Linotype" w:hAnsi="Palatino Linotype" w:cs="Arial"/>
          <w:b/>
          <w:sz w:val="24"/>
          <w:szCs w:val="24"/>
        </w:rPr>
        <w:t>y</w:t>
      </w:r>
      <w:r w:rsidRPr="00F32196">
        <w:rPr>
          <w:rFonts w:ascii="Palatino Linotype" w:hAnsi="Palatino Linotype" w:cs="Arial"/>
          <w:sz w:val="24"/>
          <w:szCs w:val="24"/>
        </w:rPr>
        <w:t xml:space="preserve"> </w:t>
      </w:r>
      <w:r w:rsidRPr="00F32196">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F258D" w:rsidRPr="00F32196" w:rsidRDefault="005F258D" w:rsidP="005F258D">
      <w:pPr>
        <w:autoSpaceDE w:val="0"/>
        <w:autoSpaceDN w:val="0"/>
        <w:adjustRightInd w:val="0"/>
        <w:spacing w:line="360" w:lineRule="auto"/>
        <w:ind w:right="49"/>
        <w:jc w:val="both"/>
        <w:rPr>
          <w:rFonts w:ascii="Palatino Linotype" w:hAnsi="Palatino Linotype" w:cs="Arial"/>
        </w:rPr>
      </w:pPr>
    </w:p>
    <w:p w:rsidR="005F258D" w:rsidRPr="00F32196" w:rsidRDefault="005F258D" w:rsidP="005F258D">
      <w:pPr>
        <w:autoSpaceDE w:val="0"/>
        <w:autoSpaceDN w:val="0"/>
        <w:adjustRightInd w:val="0"/>
        <w:spacing w:line="360" w:lineRule="auto"/>
        <w:jc w:val="both"/>
        <w:rPr>
          <w:rFonts w:ascii="Palatino Linotype" w:hAnsi="Palatino Linotype" w:cs="Arial"/>
        </w:rPr>
      </w:pPr>
      <w:r w:rsidRPr="00F32196">
        <w:rPr>
          <w:rFonts w:ascii="Palatino Linotype" w:hAnsi="Palatino Linotype" w:cs="Arial"/>
          <w:b/>
          <w:sz w:val="28"/>
          <w:szCs w:val="28"/>
        </w:rPr>
        <w:t>CUARTO.</w:t>
      </w:r>
      <w:r w:rsidRPr="00F32196">
        <w:rPr>
          <w:rFonts w:ascii="Palatino Linotype" w:hAnsi="Palatino Linotype" w:cs="Arial"/>
          <w:b/>
        </w:rPr>
        <w:t xml:space="preserve"> </w:t>
      </w:r>
      <w:r w:rsidRPr="00F32196">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F32196">
        <w:rPr>
          <w:rFonts w:ascii="Palatino Linotype" w:hAnsi="Palatino Linotype" w:cs="Arial"/>
          <w:b/>
          <w:sz w:val="24"/>
          <w:szCs w:val="24"/>
        </w:rPr>
        <w:t>Sujeto Obligado</w:t>
      </w:r>
      <w:r w:rsidRPr="00F32196">
        <w:rPr>
          <w:rFonts w:ascii="Palatino Linotype" w:hAnsi="Palatino Linotype" w:cs="Arial"/>
          <w:sz w:val="24"/>
          <w:szCs w:val="24"/>
        </w:rPr>
        <w:t xml:space="preserve"> de manera fundada y motivada, podrá solicitar una ampliación de plazo para el cumplimiento de la presente resolución.</w:t>
      </w:r>
    </w:p>
    <w:p w:rsidR="005F258D" w:rsidRPr="00F32196" w:rsidRDefault="005F258D" w:rsidP="005F258D">
      <w:pPr>
        <w:autoSpaceDE w:val="0"/>
        <w:autoSpaceDN w:val="0"/>
        <w:adjustRightInd w:val="0"/>
        <w:spacing w:line="360" w:lineRule="auto"/>
        <w:jc w:val="both"/>
        <w:rPr>
          <w:rFonts w:ascii="Palatino Linotype" w:hAnsi="Palatino Linotype" w:cs="Arial"/>
        </w:rPr>
      </w:pPr>
    </w:p>
    <w:p w:rsidR="005F258D" w:rsidRPr="00F32196" w:rsidRDefault="005F258D" w:rsidP="005F258D">
      <w:pPr>
        <w:pBdr>
          <w:top w:val="nil"/>
          <w:left w:val="nil"/>
          <w:bottom w:val="nil"/>
          <w:right w:val="nil"/>
          <w:between w:val="nil"/>
        </w:pBdr>
        <w:spacing w:line="360" w:lineRule="auto"/>
        <w:contextualSpacing/>
        <w:jc w:val="both"/>
        <w:rPr>
          <w:rFonts w:ascii="Palatino Linotype" w:hAnsi="Palatino Linotype"/>
          <w:color w:val="000000"/>
        </w:rPr>
      </w:pPr>
      <w:r w:rsidRPr="00F32196">
        <w:rPr>
          <w:rFonts w:ascii="Palatino Linotype" w:hAnsi="Palatino Linotype"/>
          <w:b/>
          <w:sz w:val="28"/>
          <w:szCs w:val="28"/>
        </w:rPr>
        <w:t>QUINTO.</w:t>
      </w:r>
      <w:r w:rsidRPr="00F32196">
        <w:rPr>
          <w:rFonts w:ascii="Palatino Linotype" w:hAnsi="Palatino Linotype"/>
          <w:b/>
        </w:rPr>
        <w:t xml:space="preserve"> </w:t>
      </w:r>
      <w:r w:rsidRPr="00F32196">
        <w:rPr>
          <w:rFonts w:ascii="Palatino Linotype" w:hAnsi="Palatino Linotype" w:cs="Arial"/>
          <w:b/>
          <w:sz w:val="24"/>
          <w:szCs w:val="24"/>
        </w:rPr>
        <w:t>NOTIFÍQUESE</w:t>
      </w:r>
      <w:r w:rsidRPr="00F32196">
        <w:rPr>
          <w:rFonts w:ascii="Palatino Linotype" w:hAnsi="Palatino Linotype" w:cs="Arial"/>
          <w:sz w:val="24"/>
          <w:szCs w:val="24"/>
        </w:rPr>
        <w:t xml:space="preserve"> a través del Sistema de Acceso a la Información Mexiquense (</w:t>
      </w:r>
      <w:r w:rsidRPr="00F32196">
        <w:rPr>
          <w:rFonts w:ascii="Palatino Linotype" w:hAnsi="Palatino Linotype" w:cs="Arial"/>
          <w:b/>
          <w:sz w:val="24"/>
          <w:szCs w:val="24"/>
        </w:rPr>
        <w:t>SAIMEX</w:t>
      </w:r>
      <w:r w:rsidRPr="00F32196">
        <w:rPr>
          <w:rFonts w:ascii="Palatino Linotype" w:hAnsi="Palatino Linotype" w:cs="Arial"/>
          <w:sz w:val="24"/>
          <w:szCs w:val="24"/>
        </w:rPr>
        <w:t xml:space="preserve">), al </w:t>
      </w:r>
      <w:r w:rsidRPr="00F32196">
        <w:rPr>
          <w:rFonts w:ascii="Palatino Linotype" w:hAnsi="Palatino Linotype" w:cs="Arial"/>
          <w:b/>
          <w:sz w:val="24"/>
          <w:szCs w:val="24"/>
        </w:rPr>
        <w:t>Recurrente</w:t>
      </w:r>
      <w:r w:rsidRPr="00F3219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r w:rsidR="00D5351E" w:rsidRPr="00F32196">
        <w:rPr>
          <w:rFonts w:ascii="Palatino Linotype" w:hAnsi="Palatino Linotype" w:cs="Arial"/>
          <w:sz w:val="24"/>
          <w:szCs w:val="24"/>
        </w:rPr>
        <w:t>.</w:t>
      </w:r>
    </w:p>
    <w:p w:rsidR="005F258D" w:rsidRPr="00F32196" w:rsidRDefault="005F258D" w:rsidP="000A0D00">
      <w:pPr>
        <w:spacing w:after="0" w:line="360" w:lineRule="auto"/>
        <w:jc w:val="both"/>
        <w:rPr>
          <w:rFonts w:ascii="Palatino Linotype" w:eastAsia="Palatino Linotype" w:hAnsi="Palatino Linotype" w:cs="Palatino Linotype"/>
          <w:sz w:val="24"/>
          <w:szCs w:val="24"/>
        </w:rPr>
      </w:pPr>
    </w:p>
    <w:p w:rsidR="006666D1" w:rsidRPr="00F32196" w:rsidRDefault="006666D1" w:rsidP="000A0D00">
      <w:pPr>
        <w:spacing w:after="0" w:line="360" w:lineRule="auto"/>
        <w:jc w:val="both"/>
        <w:rPr>
          <w:rFonts w:ascii="Palatino Linotype" w:eastAsia="Palatino Linotype" w:hAnsi="Palatino Linotype" w:cs="Palatino Linotype"/>
          <w:sz w:val="24"/>
          <w:szCs w:val="24"/>
        </w:rPr>
      </w:pPr>
    </w:p>
    <w:p w:rsidR="000A0D00" w:rsidRPr="00F32196" w:rsidRDefault="000A0D00" w:rsidP="000A0D00">
      <w:pPr>
        <w:spacing w:after="0" w:line="360" w:lineRule="auto"/>
        <w:jc w:val="both"/>
        <w:rPr>
          <w:rFonts w:ascii="Palatino Linotype" w:eastAsia="Palatino Linotype" w:hAnsi="Palatino Linotype" w:cs="Palatino Linotype"/>
          <w:sz w:val="24"/>
          <w:szCs w:val="24"/>
        </w:rPr>
      </w:pPr>
      <w:r w:rsidRPr="00F32196">
        <w:rPr>
          <w:rFonts w:ascii="Palatino Linotype" w:eastAsia="Palatino Linotype" w:hAnsi="Palatino Linotype" w:cs="Palatino Linotype"/>
          <w:sz w:val="24"/>
          <w:szCs w:val="24"/>
        </w:rPr>
        <w:lastRenderedPageBreak/>
        <w:t xml:space="preserve">ASÍ LO RESUELVE, POR </w:t>
      </w:r>
      <w:r w:rsidRPr="00F32196">
        <w:rPr>
          <w:rFonts w:ascii="Palatino Linotype" w:eastAsia="Palatino Linotype" w:hAnsi="Palatino Linotype" w:cs="Palatino Linotype"/>
          <w:b/>
          <w:sz w:val="24"/>
          <w:szCs w:val="24"/>
        </w:rPr>
        <w:t>UNANIMIDAD</w:t>
      </w:r>
      <w:r w:rsidRPr="00F32196">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96ED9" w:rsidRPr="00F32196">
        <w:rPr>
          <w:rFonts w:ascii="Palatino Linotype" w:eastAsia="Palatino Linotype" w:hAnsi="Palatino Linotype" w:cs="Palatino Linotype"/>
          <w:sz w:val="24"/>
          <w:szCs w:val="24"/>
        </w:rPr>
        <w:t xml:space="preserve">Y GUADALUPE RAMÍREZ PEÑA, EN LA </w:t>
      </w:r>
      <w:r w:rsidR="00B96ED9" w:rsidRPr="00F32196">
        <w:rPr>
          <w:rFonts w:ascii="Palatino Linotype" w:eastAsia="Palatino Linotype" w:hAnsi="Palatino Linotype" w:cs="Palatino Linotype"/>
          <w:b/>
          <w:sz w:val="24"/>
          <w:szCs w:val="24"/>
        </w:rPr>
        <w:t>CUADRAGÉSIMA TERCERA</w:t>
      </w:r>
      <w:r w:rsidRPr="00F32196">
        <w:rPr>
          <w:rFonts w:ascii="Palatino Linotype" w:eastAsia="Palatino Linotype" w:hAnsi="Palatino Linotype" w:cs="Palatino Linotype"/>
          <w:b/>
          <w:sz w:val="24"/>
          <w:szCs w:val="24"/>
        </w:rPr>
        <w:t xml:space="preserve"> ORDINARIA CELEBRADA EL </w:t>
      </w:r>
      <w:r w:rsidR="00B96ED9" w:rsidRPr="00F32196">
        <w:rPr>
          <w:rFonts w:ascii="Palatino Linotype" w:eastAsia="Palatino Linotype" w:hAnsi="Palatino Linotype" w:cs="Palatino Linotype"/>
          <w:b/>
          <w:sz w:val="24"/>
          <w:szCs w:val="24"/>
        </w:rPr>
        <w:t>TRES DE DICIEMBRE</w:t>
      </w:r>
      <w:r w:rsidRPr="00F32196">
        <w:rPr>
          <w:rFonts w:ascii="Palatino Linotype" w:eastAsia="Palatino Linotype" w:hAnsi="Palatino Linotype" w:cs="Palatino Linotype"/>
          <w:b/>
          <w:sz w:val="24"/>
          <w:szCs w:val="24"/>
        </w:rPr>
        <w:t xml:space="preserve"> DE DOS MIL VEINTICINCO</w:t>
      </w:r>
      <w:r w:rsidRPr="00F32196">
        <w:rPr>
          <w:rFonts w:ascii="Palatino Linotype" w:eastAsia="Palatino Linotype" w:hAnsi="Palatino Linotype" w:cs="Palatino Linotype"/>
          <w:sz w:val="24"/>
          <w:szCs w:val="24"/>
        </w:rPr>
        <w:t>, ANTE EL SECRETARIO TÉCNICO DEL PLENO, ALEXIS TAPIA RAMÍREZ. ------------------------------------------------------------------------------------------------------------------------------------------------------------------------------------------------------------------------------------------------------------------------------------------------------------------------------------------------------------------------------------------</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r w:rsidRPr="00F32196">
        <w:rPr>
          <w:rFonts w:ascii="Palatino Linotype" w:eastAsia="Palatino Linotype" w:hAnsi="Palatino Linotype" w:cs="Palatino Linotype"/>
          <w:sz w:val="24"/>
          <w:szCs w:val="24"/>
          <w:lang w:val="es-ES_tradnl"/>
        </w:rPr>
        <w:t>--------------------------------------------------------------------------</w:t>
      </w:r>
      <w:r w:rsidRPr="00F32196">
        <w:rPr>
          <w:rFonts w:ascii="Palatino Linotype" w:eastAsia="Palatino Linotype" w:hAnsi="Palatino Linotype" w:cs="Palatino Linotype"/>
          <w:sz w:val="24"/>
          <w:szCs w:val="24"/>
        </w:rPr>
        <w:t>-----------------------------</w:t>
      </w:r>
    </w:p>
    <w:p w:rsidR="000A0D00" w:rsidRDefault="000A0D00" w:rsidP="000A0D00">
      <w:pPr>
        <w:spacing w:after="0" w:line="360" w:lineRule="auto"/>
        <w:jc w:val="both"/>
        <w:rPr>
          <w:rFonts w:ascii="Palatino Linotype" w:eastAsia="Palatino Linotype" w:hAnsi="Palatino Linotype" w:cs="Palatino Linotype"/>
          <w:sz w:val="20"/>
          <w:szCs w:val="20"/>
        </w:rPr>
      </w:pPr>
      <w:r w:rsidRPr="00F32196">
        <w:rPr>
          <w:rFonts w:ascii="Palatino Linotype" w:eastAsia="Palatino Linotype" w:hAnsi="Palatino Linotype" w:cs="Palatino Linotype"/>
          <w:sz w:val="20"/>
          <w:szCs w:val="20"/>
        </w:rPr>
        <w:t>JMV/CCR/NJMB</w:t>
      </w:r>
    </w:p>
    <w:p w:rsidR="000A0D00" w:rsidRDefault="000A0D00" w:rsidP="000A0D00">
      <w:pPr>
        <w:spacing w:after="0" w:line="360" w:lineRule="auto"/>
        <w:jc w:val="both"/>
        <w:rPr>
          <w:rFonts w:ascii="Palatino Linotype" w:eastAsia="Palatino Linotype" w:hAnsi="Palatino Linotype" w:cs="Palatino Linotype"/>
          <w:sz w:val="20"/>
          <w:szCs w:val="20"/>
        </w:rPr>
      </w:pPr>
    </w:p>
    <w:p w:rsidR="000A0D00" w:rsidRDefault="000A0D00" w:rsidP="000A0D00">
      <w:pPr>
        <w:spacing w:after="0" w:line="360" w:lineRule="auto"/>
        <w:jc w:val="both"/>
        <w:rPr>
          <w:rFonts w:ascii="Palatino Linotype" w:eastAsia="Palatino Linotype" w:hAnsi="Palatino Linotype" w:cs="Palatino Linotype"/>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color w:val="000000"/>
          <w:sz w:val="20"/>
          <w:szCs w:val="20"/>
        </w:rPr>
      </w:pPr>
    </w:p>
    <w:p w:rsidR="000A0D00" w:rsidRDefault="000A0D00" w:rsidP="000A0D00">
      <w:pPr>
        <w:spacing w:after="0" w:line="360" w:lineRule="auto"/>
        <w:jc w:val="both"/>
        <w:rPr>
          <w:rFonts w:ascii="Palatino Linotype" w:eastAsia="Palatino Linotype" w:hAnsi="Palatino Linotype" w:cs="Palatino Linotype"/>
          <w:sz w:val="24"/>
          <w:szCs w:val="24"/>
        </w:rPr>
      </w:pPr>
    </w:p>
    <w:p w:rsidR="000A0D00" w:rsidRDefault="000A0D00" w:rsidP="000A0D00">
      <w:pPr>
        <w:spacing w:after="0" w:line="360" w:lineRule="auto"/>
        <w:jc w:val="both"/>
        <w:rPr>
          <w:rFonts w:ascii="Palatino Linotype" w:eastAsia="Palatino Linotype" w:hAnsi="Palatino Linotype" w:cs="Palatino Linotype"/>
          <w:sz w:val="24"/>
          <w:szCs w:val="24"/>
        </w:rPr>
      </w:pPr>
    </w:p>
    <w:p w:rsidR="000A0D00" w:rsidRDefault="000A0D00" w:rsidP="000A0D00">
      <w:pPr>
        <w:spacing w:after="0" w:line="360" w:lineRule="auto"/>
        <w:jc w:val="both"/>
        <w:rPr>
          <w:rFonts w:ascii="Palatino Linotype" w:eastAsia="Palatino Linotype" w:hAnsi="Palatino Linotype" w:cs="Palatino Linotype"/>
          <w:sz w:val="24"/>
          <w:szCs w:val="24"/>
        </w:rPr>
      </w:pPr>
    </w:p>
    <w:p w:rsidR="000A0D00" w:rsidRDefault="000A0D00" w:rsidP="000A0D00">
      <w:pPr>
        <w:spacing w:after="0" w:line="360" w:lineRule="auto"/>
        <w:jc w:val="both"/>
        <w:rPr>
          <w:rFonts w:ascii="Palatino Linotype" w:eastAsia="Palatino Linotype" w:hAnsi="Palatino Linotype" w:cs="Palatino Linotype"/>
          <w:sz w:val="24"/>
          <w:szCs w:val="24"/>
        </w:rPr>
      </w:pPr>
    </w:p>
    <w:p w:rsidR="000A0D00" w:rsidRDefault="000A0D00" w:rsidP="000A0D00">
      <w:pPr>
        <w:spacing w:line="360" w:lineRule="auto"/>
      </w:pPr>
    </w:p>
    <w:p w:rsidR="000A0D00" w:rsidRDefault="000A0D00" w:rsidP="000A0D00">
      <w:pPr>
        <w:spacing w:line="360" w:lineRule="auto"/>
      </w:pPr>
    </w:p>
    <w:p w:rsidR="000A0D00" w:rsidRDefault="000A0D00" w:rsidP="000A0D00">
      <w:pPr>
        <w:spacing w:line="360" w:lineRule="auto"/>
      </w:pPr>
    </w:p>
    <w:p w:rsidR="000A0D00" w:rsidRDefault="000A0D00" w:rsidP="000A0D00">
      <w:pPr>
        <w:spacing w:line="360" w:lineRule="auto"/>
      </w:pPr>
    </w:p>
    <w:p w:rsidR="000A0D00" w:rsidRDefault="000A0D00" w:rsidP="000A0D00">
      <w:pPr>
        <w:spacing w:line="360" w:lineRule="auto"/>
      </w:pPr>
    </w:p>
    <w:p w:rsidR="000A0D00" w:rsidRDefault="000A0D00" w:rsidP="000A0D00"/>
    <w:p w:rsidR="000A0D00" w:rsidRDefault="000A0D00" w:rsidP="000A0D00"/>
    <w:p w:rsidR="00C65678" w:rsidRDefault="00C65678"/>
    <w:sectPr w:rsidR="00C65678">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C3F" w:rsidRDefault="002D2C3F" w:rsidP="000A0D00">
      <w:pPr>
        <w:spacing w:after="0" w:line="240" w:lineRule="auto"/>
      </w:pPr>
      <w:r>
        <w:separator/>
      </w:r>
    </w:p>
  </w:endnote>
  <w:endnote w:type="continuationSeparator" w:id="0">
    <w:p w:rsidR="002D2C3F" w:rsidRDefault="002D2C3F" w:rsidP="000A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D1" w:rsidRDefault="006666D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09A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09A4">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D1" w:rsidRDefault="006666D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09A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09A4">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C3F" w:rsidRDefault="002D2C3F" w:rsidP="000A0D00">
      <w:pPr>
        <w:spacing w:after="0" w:line="240" w:lineRule="auto"/>
      </w:pPr>
      <w:r>
        <w:separator/>
      </w:r>
    </w:p>
  </w:footnote>
  <w:footnote w:type="continuationSeparator" w:id="0">
    <w:p w:rsidR="002D2C3F" w:rsidRDefault="002D2C3F" w:rsidP="000A0D00">
      <w:pPr>
        <w:spacing w:after="0" w:line="240" w:lineRule="auto"/>
      </w:pPr>
      <w:r>
        <w:continuationSeparator/>
      </w:r>
    </w:p>
  </w:footnote>
  <w:footnote w:id="1">
    <w:p w:rsidR="006666D1" w:rsidRDefault="006666D1" w:rsidP="000A0D00">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6666D1" w:rsidRDefault="006666D1" w:rsidP="000A0D00">
      <w:pPr>
        <w:rPr>
          <w:color w:val="000000"/>
          <w:sz w:val="20"/>
          <w:szCs w:val="20"/>
        </w:rPr>
      </w:pPr>
    </w:p>
    <w:p w:rsidR="006666D1" w:rsidRDefault="006666D1" w:rsidP="000A0D00">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6666D1" w:rsidRDefault="006666D1" w:rsidP="000A0D00">
      <w:pPr>
        <w:jc w:val="both"/>
        <w:rPr>
          <w:i/>
          <w:sz w:val="20"/>
          <w:szCs w:val="20"/>
        </w:rPr>
      </w:pPr>
      <w:r>
        <w:rPr>
          <w:i/>
          <w:sz w:val="20"/>
          <w:szCs w:val="20"/>
        </w:rPr>
        <w:t xml:space="preserve">Del examen de compatibilidad de los artículos </w:t>
      </w:r>
      <w:hyperlink r:id="rId1">
        <w:r>
          <w:rPr>
            <w:i/>
            <w:color w:val="000000"/>
            <w:sz w:val="20"/>
            <w:szCs w:val="20"/>
            <w:u w:val="single"/>
          </w:rPr>
          <w:t>73 y 74 de la Ley de Amparo</w:t>
        </w:r>
      </w:hyperlink>
      <w:r>
        <w:rPr>
          <w:i/>
          <w:sz w:val="20"/>
          <w:szCs w:val="20"/>
        </w:rPr>
        <w:t xml:space="preserve"> con el artículo </w:t>
      </w:r>
      <w:hyperlink r:id="rId2">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i/>
          <w:sz w:val="20"/>
          <w:szCs w:val="20"/>
        </w:rPr>
        <w:t>concesoria</w:t>
      </w:r>
      <w:proofErr w:type="spellEnd"/>
      <w:r>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666D1" w:rsidRDefault="006666D1" w:rsidP="000A0D00">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6666D1" w:rsidRDefault="006666D1" w:rsidP="000A0D00">
      <w:pPr>
        <w:rPr>
          <w:color w:val="000000"/>
          <w:sz w:val="20"/>
          <w:szCs w:val="20"/>
        </w:rPr>
      </w:pPr>
    </w:p>
    <w:p w:rsidR="006666D1" w:rsidRDefault="006666D1" w:rsidP="000A0D00">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6666D1" w:rsidRDefault="006666D1" w:rsidP="000A0D00">
      <w:pPr>
        <w:jc w:val="both"/>
        <w:rPr>
          <w:i/>
          <w:sz w:val="20"/>
          <w:szCs w:val="20"/>
        </w:rPr>
      </w:pPr>
      <w:r>
        <w:rPr>
          <w:i/>
          <w:sz w:val="20"/>
          <w:szCs w:val="20"/>
        </w:rPr>
        <w:t xml:space="preserve">Del examen de compatibilidad de los artículos </w:t>
      </w:r>
      <w:hyperlink r:id="rId3">
        <w:r>
          <w:rPr>
            <w:i/>
            <w:color w:val="000000"/>
            <w:sz w:val="20"/>
            <w:szCs w:val="20"/>
            <w:u w:val="single"/>
          </w:rPr>
          <w:t>73 y 74 de la Ley de Amparo</w:t>
        </w:r>
      </w:hyperlink>
      <w:r>
        <w:rPr>
          <w:i/>
          <w:sz w:val="20"/>
          <w:szCs w:val="20"/>
        </w:rPr>
        <w:t xml:space="preserve"> con el artículo </w:t>
      </w:r>
      <w:hyperlink r:id="rId4">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i/>
          <w:sz w:val="20"/>
          <w:szCs w:val="20"/>
        </w:rPr>
        <w:t>concesoria</w:t>
      </w:r>
      <w:proofErr w:type="spellEnd"/>
      <w:r>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D1" w:rsidRDefault="002D2C3F">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0;margin-top:0;width:609.4pt;height:793.75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D1" w:rsidRDefault="006666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W w:w="9641" w:type="dxa"/>
      <w:tblLayout w:type="fixed"/>
      <w:tblLook w:val="0400" w:firstRow="0" w:lastRow="0" w:firstColumn="0" w:lastColumn="0" w:noHBand="0" w:noVBand="1"/>
    </w:tblPr>
    <w:tblGrid>
      <w:gridCol w:w="5180"/>
      <w:gridCol w:w="4461"/>
    </w:tblGrid>
    <w:tr w:rsidR="006666D1">
      <w:trPr>
        <w:trHeight w:val="237"/>
      </w:trPr>
      <w:tc>
        <w:tcPr>
          <w:tcW w:w="5180" w:type="dxa"/>
        </w:tcPr>
        <w:p w:rsidR="006666D1" w:rsidRDefault="006666D1">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461" w:type="dxa"/>
        </w:tcPr>
        <w:p w:rsidR="006666D1" w:rsidRDefault="006666D1">
          <w:pPr>
            <w:spacing w:after="120" w:line="24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11665/INFOEM/IP/RR/2025</w:t>
          </w:r>
        </w:p>
      </w:tc>
    </w:tr>
    <w:tr w:rsidR="006666D1">
      <w:trPr>
        <w:trHeight w:val="252"/>
      </w:trPr>
      <w:tc>
        <w:tcPr>
          <w:tcW w:w="5180" w:type="dxa"/>
        </w:tcPr>
        <w:p w:rsidR="006666D1" w:rsidRDefault="006666D1">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461" w:type="dxa"/>
        </w:tcPr>
        <w:p w:rsidR="006666D1" w:rsidRDefault="006666D1" w:rsidP="000A0D00">
          <w:pPr>
            <w:spacing w:after="120" w:line="240" w:lineRule="auto"/>
            <w:ind w:left="-81" w:right="71"/>
            <w:jc w:val="right"/>
            <w:rPr>
              <w:rFonts w:ascii="Palatino Linotype" w:eastAsia="Palatino Linotype" w:hAnsi="Palatino Linotype" w:cs="Palatino Linotype"/>
              <w:sz w:val="24"/>
              <w:szCs w:val="24"/>
            </w:rPr>
          </w:pPr>
          <w:r w:rsidRPr="000A0D00">
            <w:rPr>
              <w:rFonts w:ascii="Palatino Linotype" w:hAnsi="Palatino Linotype"/>
              <w:b/>
              <w:bCs/>
              <w:color w:val="000000"/>
              <w:sz w:val="24"/>
              <w:szCs w:val="24"/>
            </w:rPr>
            <w:t>Sistema Municipal Para el Desarrollo Integral de la Familia de Coacalco de Berriozábal</w:t>
          </w:r>
        </w:p>
      </w:tc>
    </w:tr>
    <w:tr w:rsidR="006666D1">
      <w:trPr>
        <w:trHeight w:val="357"/>
      </w:trPr>
      <w:tc>
        <w:tcPr>
          <w:tcW w:w="5180" w:type="dxa"/>
        </w:tcPr>
        <w:p w:rsidR="006666D1" w:rsidRDefault="006666D1">
          <w:pPr>
            <w:tabs>
              <w:tab w:val="left" w:pos="4892"/>
            </w:tabs>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461" w:type="dxa"/>
        </w:tcPr>
        <w:p w:rsidR="006666D1" w:rsidRDefault="006666D1">
          <w:pPr>
            <w:spacing w:after="120" w:line="24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p w:rsidR="006666D1" w:rsidRDefault="006666D1">
          <w:pPr>
            <w:spacing w:after="120" w:line="240" w:lineRule="auto"/>
            <w:ind w:left="-486" w:right="71" w:firstLine="567"/>
            <w:jc w:val="right"/>
            <w:rPr>
              <w:rFonts w:ascii="Palatino Linotype" w:eastAsia="Palatino Linotype" w:hAnsi="Palatino Linotype" w:cs="Palatino Linotype"/>
              <w:sz w:val="24"/>
              <w:szCs w:val="24"/>
            </w:rPr>
          </w:pPr>
        </w:p>
      </w:tc>
    </w:tr>
  </w:tbl>
  <w:p w:rsidR="006666D1" w:rsidRDefault="002D2C3F">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81.55pt;margin-top:-142.95pt;width:609.4pt;height:793.75pt;z-index:-251656192;mso-position-horizontal:absolute;mso-position-horizontal-relative:margin;mso-position-vertical:absolute;mso-position-vertical-relative:margin">
          <v:imagedata r:id="rId1" o:title="image2"/>
          <w10:wrap anchorx="margin" anchory="margin"/>
        </v:shape>
      </w:pict>
    </w:r>
    <w:r w:rsidR="006666D1">
      <w:rPr>
        <w:rFonts w:ascii="Times New Roman" w:eastAsia="Times New Roman" w:hAnsi="Times New Roman" w:cs="Times New Roman"/>
        <w:color w:val="000000"/>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D1" w:rsidRDefault="006666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
        <w:szCs w:val="2"/>
      </w:rPr>
    </w:pPr>
  </w:p>
  <w:tbl>
    <w:tblPr>
      <w:tblW w:w="9498" w:type="dxa"/>
      <w:tblLayout w:type="fixed"/>
      <w:tblLook w:val="0400" w:firstRow="0" w:lastRow="0" w:firstColumn="0" w:lastColumn="0" w:noHBand="0" w:noVBand="1"/>
    </w:tblPr>
    <w:tblGrid>
      <w:gridCol w:w="5103"/>
      <w:gridCol w:w="4395"/>
    </w:tblGrid>
    <w:tr w:rsidR="006666D1">
      <w:trPr>
        <w:trHeight w:val="227"/>
      </w:trPr>
      <w:tc>
        <w:tcPr>
          <w:tcW w:w="5103" w:type="dxa"/>
        </w:tcPr>
        <w:p w:rsidR="006666D1" w:rsidRDefault="006666D1">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395" w:type="dxa"/>
        </w:tcPr>
        <w:p w:rsidR="006666D1" w:rsidRDefault="006666D1">
          <w:pPr>
            <w:spacing w:after="120" w:line="24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11665/INFOEM/IP/RR/2025</w:t>
          </w:r>
        </w:p>
      </w:tc>
    </w:tr>
    <w:tr w:rsidR="006666D1">
      <w:trPr>
        <w:trHeight w:val="227"/>
      </w:trPr>
      <w:tc>
        <w:tcPr>
          <w:tcW w:w="5103" w:type="dxa"/>
        </w:tcPr>
        <w:p w:rsidR="006666D1" w:rsidRDefault="006666D1">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Recurrente:     </w:t>
          </w:r>
        </w:p>
      </w:tc>
      <w:tc>
        <w:tcPr>
          <w:tcW w:w="4395" w:type="dxa"/>
        </w:tcPr>
        <w:p w:rsidR="006666D1" w:rsidRDefault="000F09A4">
          <w:pPr>
            <w:spacing w:after="120" w:line="24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XXXXXXXXXXXX</w:t>
          </w:r>
        </w:p>
      </w:tc>
    </w:tr>
    <w:tr w:rsidR="006666D1">
      <w:trPr>
        <w:trHeight w:val="242"/>
      </w:trPr>
      <w:tc>
        <w:tcPr>
          <w:tcW w:w="5103" w:type="dxa"/>
        </w:tcPr>
        <w:p w:rsidR="006666D1" w:rsidRDefault="006666D1">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395" w:type="dxa"/>
        </w:tcPr>
        <w:p w:rsidR="006666D1" w:rsidRPr="000A0D00" w:rsidRDefault="006666D1">
          <w:pPr>
            <w:spacing w:after="120" w:line="240" w:lineRule="auto"/>
            <w:ind w:left="-70" w:right="68"/>
            <w:jc w:val="right"/>
            <w:rPr>
              <w:rFonts w:ascii="Palatino Linotype" w:eastAsia="Palatino Linotype" w:hAnsi="Palatino Linotype" w:cs="Palatino Linotype"/>
              <w:sz w:val="24"/>
              <w:szCs w:val="24"/>
            </w:rPr>
          </w:pPr>
          <w:r w:rsidRPr="000A0D00">
            <w:rPr>
              <w:rFonts w:ascii="Palatino Linotype" w:hAnsi="Palatino Linotype"/>
              <w:b/>
              <w:bCs/>
              <w:color w:val="000000"/>
              <w:sz w:val="24"/>
              <w:szCs w:val="24"/>
            </w:rPr>
            <w:t>Sistema Municipal Para el Desarrollo Integral de la Familia de Coacalco de Berriozábal</w:t>
          </w:r>
        </w:p>
      </w:tc>
    </w:tr>
    <w:tr w:rsidR="006666D1">
      <w:trPr>
        <w:trHeight w:val="342"/>
      </w:trPr>
      <w:tc>
        <w:tcPr>
          <w:tcW w:w="5103" w:type="dxa"/>
        </w:tcPr>
        <w:p w:rsidR="006666D1" w:rsidRDefault="006666D1">
          <w:pPr>
            <w:tabs>
              <w:tab w:val="left" w:pos="4892"/>
            </w:tabs>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395" w:type="dxa"/>
        </w:tcPr>
        <w:p w:rsidR="006666D1" w:rsidRDefault="006666D1">
          <w:pPr>
            <w:spacing w:after="120" w:line="24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rsidR="006666D1" w:rsidRDefault="006666D1">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4"/>
        <w:szCs w:val="24"/>
      </w:rPr>
      <w:drawing>
        <wp:anchor distT="0" distB="0" distL="0" distR="0" simplePos="0" relativeHeight="251659264" behindDoc="1" locked="0" layoutInCell="1" hidden="0" allowOverlap="1" wp14:anchorId="628DB89A" wp14:editId="71EFC94E">
          <wp:simplePos x="0" y="0"/>
          <wp:positionH relativeFrom="margin">
            <wp:posOffset>-1029968</wp:posOffset>
          </wp:positionH>
          <wp:positionV relativeFrom="margin">
            <wp:posOffset>-1807844</wp:posOffset>
          </wp:positionV>
          <wp:extent cx="7739380" cy="10080625"/>
          <wp:effectExtent l="0" t="0" r="0" b="0"/>
          <wp:wrapNone/>
          <wp:docPr id="1" name="image1.png" descr="infoem"/>
          <wp:cNvGraphicFramePr/>
          <a:graphic xmlns:a="http://schemas.openxmlformats.org/drawingml/2006/main">
            <a:graphicData uri="http://schemas.openxmlformats.org/drawingml/2006/picture">
              <pic:pic xmlns:pic="http://schemas.openxmlformats.org/drawingml/2006/picture">
                <pic:nvPicPr>
                  <pic:cNvPr id="0" name="image1.png" descr="infoem"/>
                  <pic:cNvPicPr preferRelativeResize="0"/>
                </pic:nvPicPr>
                <pic:blipFill>
                  <a:blip r:embed="rId1"/>
                  <a:srcRect/>
                  <a:stretch>
                    <a:fillRect/>
                  </a:stretch>
                </pic:blipFill>
                <pic:spPr>
                  <a:xfrm>
                    <a:off x="0" y="0"/>
                    <a:ext cx="7739380" cy="10080625"/>
                  </a:xfrm>
                  <a:prstGeom prst="rect">
                    <a:avLst/>
                  </a:prstGeom>
                  <a:ln/>
                </pic:spPr>
              </pic:pic>
            </a:graphicData>
          </a:graphic>
        </wp:anchor>
      </w:drawing>
    </w:r>
    <w:r>
      <w:rPr>
        <w:rFonts w:ascii="Times New Roman" w:eastAsia="Times New Roman" w:hAnsi="Times New Roman" w:cs="Times New Roman"/>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2702C2D"/>
    <w:multiLevelType w:val="hybridMultilevel"/>
    <w:tmpl w:val="8BC69E6A"/>
    <w:lvl w:ilvl="0" w:tplc="43E4D186">
      <w:start w:val="1"/>
      <w:numFmt w:val="upp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 w15:restartNumberingAfterBreak="0">
    <w:nsid w:val="09704339"/>
    <w:multiLevelType w:val="multilevel"/>
    <w:tmpl w:val="6B7CF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1B2CA5"/>
    <w:multiLevelType w:val="hybridMultilevel"/>
    <w:tmpl w:val="5670708C"/>
    <w:lvl w:ilvl="0" w:tplc="5CE2A58C">
      <w:start w:val="26"/>
      <w:numFmt w:val="bullet"/>
      <w:lvlText w:val="-"/>
      <w:lvlJc w:val="left"/>
      <w:pPr>
        <w:ind w:left="1080" w:hanging="360"/>
      </w:pPr>
      <w:rPr>
        <w:rFonts w:ascii="Palatino Linotype" w:eastAsia="Calibr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0673831"/>
    <w:multiLevelType w:val="hybridMultilevel"/>
    <w:tmpl w:val="8F482896"/>
    <w:lvl w:ilvl="0" w:tplc="FE523040">
      <w:start w:val="1"/>
      <w:numFmt w:val="bullet"/>
      <w:lvlText w:val=""/>
      <w:lvlJc w:val="left"/>
      <w:pPr>
        <w:ind w:left="1440" w:hanging="360"/>
      </w:pPr>
      <w:rPr>
        <w:rFonts w:ascii="Symbol" w:eastAsia="Palatino Linotype" w:hAnsi="Symbol" w:cs="Palatino Linotype"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1376D87"/>
    <w:multiLevelType w:val="multilevel"/>
    <w:tmpl w:val="31389804"/>
    <w:lvl w:ilvl="0">
      <w:start w:val="1"/>
      <w:numFmt w:val="decimal"/>
      <w:lvlText w:val="%1."/>
      <w:lvlJc w:val="left"/>
      <w:pPr>
        <w:ind w:left="1080" w:hanging="360"/>
      </w:pPr>
    </w:lvl>
    <w:lvl w:ilvl="1">
      <w:start w:val="1"/>
      <w:numFmt w:val="upp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1A45A4B"/>
    <w:multiLevelType w:val="multilevel"/>
    <w:tmpl w:val="67F80484"/>
    <w:lvl w:ilvl="0">
      <w:start w:val="1"/>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8" w15:restartNumberingAfterBreak="0">
    <w:nsid w:val="28CF3651"/>
    <w:multiLevelType w:val="hybridMultilevel"/>
    <w:tmpl w:val="0F68845A"/>
    <w:lvl w:ilvl="0" w:tplc="A184BE74">
      <w:start w:val="26"/>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4507F7"/>
    <w:multiLevelType w:val="multilevel"/>
    <w:tmpl w:val="77662478"/>
    <w:lvl w:ilvl="0">
      <w:start w:val="1"/>
      <w:numFmt w:val="decimal"/>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3D0D5605"/>
    <w:multiLevelType w:val="multilevel"/>
    <w:tmpl w:val="704ECD9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3EA15C39"/>
    <w:multiLevelType w:val="multilevel"/>
    <w:tmpl w:val="694053C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9EC25EA"/>
    <w:multiLevelType w:val="hybridMultilevel"/>
    <w:tmpl w:val="BD560544"/>
    <w:lvl w:ilvl="0" w:tplc="9CE457C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5AA405F2"/>
    <w:multiLevelType w:val="multilevel"/>
    <w:tmpl w:val="7F5A219E"/>
    <w:lvl w:ilvl="0">
      <w:start w:val="1"/>
      <w:numFmt w:val="decimal"/>
      <w:lvlText w:val="%1."/>
      <w:lvlJc w:val="left"/>
      <w:pPr>
        <w:ind w:left="1440" w:hanging="360"/>
      </w:pPr>
      <w:rPr>
        <w:rFonts w:ascii="Palatino Linotype" w:eastAsia="Palatino Linotype" w:hAnsi="Palatino Linotype" w:cs="Palatino Linotype"/>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D3223DC"/>
    <w:multiLevelType w:val="multilevel"/>
    <w:tmpl w:val="DFCAF5CC"/>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 w15:restartNumberingAfterBreak="0">
    <w:nsid w:val="60B844BD"/>
    <w:multiLevelType w:val="hybridMultilevel"/>
    <w:tmpl w:val="7E68E82C"/>
    <w:lvl w:ilvl="0" w:tplc="AA3C4814">
      <w:start w:val="2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780E09B3"/>
    <w:multiLevelType w:val="multilevel"/>
    <w:tmpl w:val="A6B84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8"/>
  </w:num>
  <w:num w:numId="3">
    <w:abstractNumId w:val="0"/>
  </w:num>
  <w:num w:numId="4">
    <w:abstractNumId w:val="14"/>
  </w:num>
  <w:num w:numId="5">
    <w:abstractNumId w:val="10"/>
  </w:num>
  <w:num w:numId="6">
    <w:abstractNumId w:val="19"/>
  </w:num>
  <w:num w:numId="7">
    <w:abstractNumId w:val="2"/>
  </w:num>
  <w:num w:numId="8">
    <w:abstractNumId w:val="11"/>
  </w:num>
  <w:num w:numId="9">
    <w:abstractNumId w:val="16"/>
  </w:num>
  <w:num w:numId="10">
    <w:abstractNumId w:val="7"/>
  </w:num>
  <w:num w:numId="11">
    <w:abstractNumId w:val="15"/>
  </w:num>
  <w:num w:numId="12">
    <w:abstractNumId w:val="6"/>
  </w:num>
  <w:num w:numId="13">
    <w:abstractNumId w:val="5"/>
  </w:num>
  <w:num w:numId="14">
    <w:abstractNumId w:val="3"/>
  </w:num>
  <w:num w:numId="15">
    <w:abstractNumId w:val="17"/>
  </w:num>
  <w:num w:numId="16">
    <w:abstractNumId w:val="1"/>
  </w:num>
  <w:num w:numId="17">
    <w:abstractNumId w:val="8"/>
  </w:num>
  <w:num w:numId="18">
    <w:abstractNumId w:val="4"/>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00"/>
    <w:rsid w:val="00024971"/>
    <w:rsid w:val="000A0D00"/>
    <w:rsid w:val="000F09A4"/>
    <w:rsid w:val="001317E6"/>
    <w:rsid w:val="0016256D"/>
    <w:rsid w:val="00257EF9"/>
    <w:rsid w:val="00287CFC"/>
    <w:rsid w:val="002D2C3F"/>
    <w:rsid w:val="00300AC9"/>
    <w:rsid w:val="0044542D"/>
    <w:rsid w:val="004A7176"/>
    <w:rsid w:val="00534573"/>
    <w:rsid w:val="00537BCF"/>
    <w:rsid w:val="005A649D"/>
    <w:rsid w:val="005E6887"/>
    <w:rsid w:val="005F258D"/>
    <w:rsid w:val="006430EB"/>
    <w:rsid w:val="006666D1"/>
    <w:rsid w:val="006807C0"/>
    <w:rsid w:val="007F2F74"/>
    <w:rsid w:val="00B130ED"/>
    <w:rsid w:val="00B96ED9"/>
    <w:rsid w:val="00C65678"/>
    <w:rsid w:val="00C82D6F"/>
    <w:rsid w:val="00CC3C65"/>
    <w:rsid w:val="00D205A6"/>
    <w:rsid w:val="00D5351E"/>
    <w:rsid w:val="00E4673C"/>
    <w:rsid w:val="00E64653"/>
    <w:rsid w:val="00F141B7"/>
    <w:rsid w:val="00F321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C883854-8DDA-47E5-BADB-23B89B4E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0D00"/>
    <w:rPr>
      <w:rFonts w:ascii="Calibri" w:eastAsia="Calibri" w:hAnsi="Calibri" w:cs="Calibri"/>
      <w:lang w:eastAsia="es-MX"/>
    </w:rPr>
  </w:style>
  <w:style w:type="paragraph" w:styleId="Ttulo1">
    <w:name w:val="heading 1"/>
    <w:basedOn w:val="Normal"/>
    <w:next w:val="Normal"/>
    <w:link w:val="Ttulo1Car"/>
    <w:uiPriority w:val="9"/>
    <w:qFormat/>
    <w:rsid w:val="006807C0"/>
    <w:pPr>
      <w:keepNext/>
      <w:keepLines/>
      <w:spacing w:after="0" w:line="360" w:lineRule="auto"/>
      <w:jc w:val="center"/>
      <w:outlineLvl w:val="0"/>
    </w:pPr>
    <w:rPr>
      <w:rFonts w:ascii="Palatino Linotype" w:eastAsiaTheme="majorEastAsia" w:hAnsi="Palatino Linotype" w:cstheme="majorBidi"/>
      <w:b/>
      <w:szCs w:val="4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A0D0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A0D00"/>
    <w:rPr>
      <w:rFonts w:ascii="Calibri" w:eastAsia="Calibri" w:hAnsi="Calibri" w:cs="Calibri"/>
      <w:lang w:eastAsia="es-MX"/>
    </w:rPr>
  </w:style>
  <w:style w:type="paragraph" w:styleId="Piedepgina">
    <w:name w:val="footer"/>
    <w:basedOn w:val="Normal"/>
    <w:link w:val="PiedepginaCar"/>
    <w:uiPriority w:val="99"/>
    <w:unhideWhenUsed/>
    <w:rsid w:val="000A0D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D00"/>
    <w:rPr>
      <w:rFonts w:ascii="Calibri" w:eastAsia="Calibri" w:hAnsi="Calibri" w:cs="Calibri"/>
      <w:lang w:eastAsia="es-MX"/>
    </w:rPr>
  </w:style>
  <w:style w:type="character" w:styleId="Hipervnculo">
    <w:name w:val="Hyperlink"/>
    <w:basedOn w:val="Fuentedeprrafopredeter"/>
    <w:uiPriority w:val="99"/>
    <w:semiHidden/>
    <w:unhideWhenUsed/>
    <w:rsid w:val="000A0D00"/>
    <w:rPr>
      <w:color w:val="0000FF"/>
      <w:u w:val="single"/>
    </w:rPr>
  </w:style>
  <w:style w:type="character" w:customStyle="1" w:styleId="Ttulo1Car">
    <w:name w:val="Título 1 Car"/>
    <w:basedOn w:val="Fuentedeprrafopredeter"/>
    <w:link w:val="Ttulo1"/>
    <w:uiPriority w:val="9"/>
    <w:rsid w:val="006807C0"/>
    <w:rPr>
      <w:rFonts w:ascii="Palatino Linotype" w:eastAsiaTheme="majorEastAsia" w:hAnsi="Palatino Linotype" w:cstheme="majorBidi"/>
      <w:b/>
      <w:szCs w:val="40"/>
      <w:lang w:eastAsia="es-ES"/>
    </w:rPr>
  </w:style>
  <w:style w:type="paragraph" w:styleId="Puesto">
    <w:name w:val="Title"/>
    <w:aliases w:val="Cita textual"/>
    <w:next w:val="Normal"/>
    <w:link w:val="PuestoCar"/>
    <w:uiPriority w:val="10"/>
    <w:qFormat/>
    <w:rsid w:val="006807C0"/>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6807C0"/>
    <w:rPr>
      <w:rFonts w:ascii="Palatino Linotype" w:eastAsiaTheme="majorEastAsia" w:hAnsi="Palatino Linotype" w:cstheme="majorBidi"/>
      <w:i/>
      <w:kern w:val="28"/>
      <w:szCs w:val="56"/>
      <w:lang w:eastAsia="es-ES"/>
    </w:rPr>
  </w:style>
  <w:style w:type="paragraph" w:customStyle="1" w:styleId="INFOEM">
    <w:name w:val="INFOEM"/>
    <w:basedOn w:val="Normal"/>
    <w:qFormat/>
    <w:rsid w:val="005F258D"/>
    <w:pPr>
      <w:spacing w:before="240" w:line="360" w:lineRule="auto"/>
      <w:ind w:left="851" w:right="851"/>
      <w:jc w:val="both"/>
    </w:pPr>
    <w:rPr>
      <w:rFonts w:ascii="Palatino Linotype" w:eastAsiaTheme="minorHAnsi" w:hAnsi="Palatino Linotype" w:cstheme="minorBidi"/>
      <w:i/>
      <w:szCs w:val="14"/>
      <w:lang w:eastAsia="en-US"/>
    </w:rPr>
  </w:style>
  <w:style w:type="paragraph" w:styleId="Sinespaciado">
    <w:name w:val="No Spacing"/>
    <w:aliases w:val="Francesa,INAI"/>
    <w:link w:val="SinespaciadoCar"/>
    <w:uiPriority w:val="1"/>
    <w:qFormat/>
    <w:rsid w:val="00E646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6465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23965">
      <w:bodyDiv w:val="1"/>
      <w:marLeft w:val="0"/>
      <w:marRight w:val="0"/>
      <w:marTop w:val="0"/>
      <w:marBottom w:val="0"/>
      <w:divBdr>
        <w:top w:val="none" w:sz="0" w:space="0" w:color="auto"/>
        <w:left w:val="none" w:sz="0" w:space="0" w:color="auto"/>
        <w:bottom w:val="none" w:sz="0" w:space="0" w:color="auto"/>
        <w:right w:val="none" w:sz="0" w:space="0" w:color="auto"/>
      </w:divBdr>
    </w:div>
    <w:div w:id="69635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46</Pages>
  <Words>9694</Words>
  <Characters>53318</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17</cp:revision>
  <cp:lastPrinted>2025-12-05T16:28:00Z</cp:lastPrinted>
  <dcterms:created xsi:type="dcterms:W3CDTF">2025-11-24T17:14:00Z</dcterms:created>
  <dcterms:modified xsi:type="dcterms:W3CDTF">2026-01-23T18:37:00Z</dcterms:modified>
</cp:coreProperties>
</file>