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7E4696" w:rsidRDefault="00A077F4" w:rsidP="009957ED">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7E4696">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E4696">
        <w:rPr>
          <w:rFonts w:ascii="Palatino Linotype" w:eastAsia="Palatino Linotype" w:hAnsi="Palatino Linotype" w:cs="Palatino Linotype"/>
          <w:b/>
          <w:color w:val="000000" w:themeColor="text1"/>
        </w:rPr>
        <w:t xml:space="preserve">de fecha </w:t>
      </w:r>
      <w:r w:rsidR="00F47909" w:rsidRPr="007E4696">
        <w:rPr>
          <w:rFonts w:ascii="Palatino Linotype" w:eastAsia="Palatino Linotype" w:hAnsi="Palatino Linotype" w:cs="Palatino Linotype"/>
          <w:b/>
          <w:color w:val="000000" w:themeColor="text1"/>
        </w:rPr>
        <w:t>dos (02) de julio</w:t>
      </w:r>
      <w:r w:rsidRPr="007E4696">
        <w:rPr>
          <w:rFonts w:ascii="Palatino Linotype" w:eastAsia="Palatino Linotype" w:hAnsi="Palatino Linotype" w:cs="Palatino Linotype"/>
          <w:b/>
          <w:color w:val="000000" w:themeColor="text1"/>
        </w:rPr>
        <w:t xml:space="preserve"> de dos mil veinticinco</w:t>
      </w:r>
      <w:r w:rsidRPr="007E4696">
        <w:rPr>
          <w:rFonts w:ascii="Palatino Linotype" w:eastAsia="Palatino Linotype" w:hAnsi="Palatino Linotype" w:cs="Palatino Linotype"/>
          <w:color w:val="000000" w:themeColor="text1"/>
        </w:rPr>
        <w:t>.</w:t>
      </w:r>
    </w:p>
    <w:p w:rsidR="0072148B" w:rsidRPr="007E4696" w:rsidRDefault="0072148B" w:rsidP="009957ED">
      <w:pPr>
        <w:tabs>
          <w:tab w:val="left" w:pos="3465"/>
        </w:tabs>
        <w:spacing w:line="360" w:lineRule="auto"/>
        <w:jc w:val="both"/>
        <w:rPr>
          <w:rFonts w:ascii="Palatino Linotype" w:eastAsia="Palatino Linotype" w:hAnsi="Palatino Linotype" w:cs="Palatino Linotype"/>
          <w:color w:val="000000" w:themeColor="text1"/>
        </w:rPr>
      </w:pPr>
    </w:p>
    <w:p w:rsidR="0072148B" w:rsidRPr="007E4696" w:rsidRDefault="00A077F4" w:rsidP="009957ED">
      <w:pPr>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b/>
          <w:color w:val="000000" w:themeColor="text1"/>
        </w:rPr>
        <w:t xml:space="preserve">VISTAS </w:t>
      </w:r>
      <w:r w:rsidRPr="007E4696">
        <w:rPr>
          <w:rFonts w:ascii="Palatino Linotype" w:eastAsia="Palatino Linotype" w:hAnsi="Palatino Linotype" w:cs="Palatino Linotype"/>
          <w:color w:val="000000" w:themeColor="text1"/>
        </w:rPr>
        <w:t xml:space="preserve">las constancias para resolver los Recursos de Revisión </w:t>
      </w:r>
      <w:r w:rsidR="005744D9" w:rsidRPr="007E4696">
        <w:rPr>
          <w:rFonts w:ascii="Palatino Linotype" w:eastAsia="Palatino Linotype" w:hAnsi="Palatino Linotype" w:cs="Palatino Linotype"/>
          <w:b/>
          <w:color w:val="000000" w:themeColor="text1"/>
        </w:rPr>
        <w:t>06178</w:t>
      </w:r>
      <w:r w:rsidRPr="007E4696">
        <w:rPr>
          <w:rFonts w:ascii="Palatino Linotype" w:eastAsia="Palatino Linotype" w:hAnsi="Palatino Linotype" w:cs="Palatino Linotype"/>
          <w:b/>
          <w:color w:val="000000" w:themeColor="text1"/>
        </w:rPr>
        <w:t>/INFOEM/IP/RR/2025</w:t>
      </w:r>
      <w:r w:rsidR="0007021D" w:rsidRPr="007E4696">
        <w:rPr>
          <w:rFonts w:ascii="Palatino Linotype" w:eastAsia="Palatino Linotype" w:hAnsi="Palatino Linotype" w:cs="Palatino Linotype"/>
          <w:b/>
          <w:color w:val="000000" w:themeColor="text1"/>
        </w:rPr>
        <w:t xml:space="preserve">, </w:t>
      </w:r>
      <w:r w:rsidR="005744D9" w:rsidRPr="007E4696">
        <w:rPr>
          <w:rFonts w:ascii="Palatino Linotype" w:eastAsia="Palatino Linotype" w:hAnsi="Palatino Linotype" w:cs="Palatino Linotype"/>
          <w:b/>
          <w:color w:val="000000" w:themeColor="text1"/>
        </w:rPr>
        <w:t>06185/INFOEM/IP/RR/2025</w:t>
      </w:r>
      <w:r w:rsidRPr="007E4696">
        <w:rPr>
          <w:rFonts w:ascii="Palatino Linotype" w:eastAsia="Palatino Linotype" w:hAnsi="Palatino Linotype" w:cs="Palatino Linotype"/>
          <w:b/>
          <w:color w:val="000000" w:themeColor="text1"/>
        </w:rPr>
        <w:t xml:space="preserve"> y </w:t>
      </w:r>
      <w:r w:rsidR="005744D9" w:rsidRPr="007E4696">
        <w:rPr>
          <w:rFonts w:ascii="Palatino Linotype" w:eastAsia="Palatino Linotype" w:hAnsi="Palatino Linotype" w:cs="Palatino Linotype"/>
          <w:b/>
          <w:color w:val="000000" w:themeColor="text1"/>
        </w:rPr>
        <w:t>06282</w:t>
      </w:r>
      <w:r w:rsidR="004B0B6F" w:rsidRPr="007E4696">
        <w:rPr>
          <w:rFonts w:ascii="Palatino Linotype" w:eastAsia="Palatino Linotype" w:hAnsi="Palatino Linotype" w:cs="Palatino Linotype"/>
          <w:b/>
          <w:color w:val="000000" w:themeColor="text1"/>
        </w:rPr>
        <w:t>/INFOEM/IP/RR/2025</w:t>
      </w:r>
      <w:r w:rsidRPr="007E4696">
        <w:rPr>
          <w:rFonts w:ascii="Palatino Linotype" w:eastAsia="Palatino Linotype" w:hAnsi="Palatino Linotype" w:cs="Palatino Linotype"/>
          <w:color w:val="000000" w:themeColor="text1"/>
        </w:rPr>
        <w:t xml:space="preserve">, promovidos por </w:t>
      </w:r>
      <w:r w:rsidR="00DA61C7">
        <w:rPr>
          <w:rFonts w:ascii="Palatino Linotype" w:eastAsia="Palatino Linotype" w:hAnsi="Palatino Linotype" w:cs="Palatino Linotype"/>
          <w:b/>
          <w:bCs/>
          <w:color w:val="000000" w:themeColor="text1"/>
        </w:rPr>
        <w:t>XXXX</w:t>
      </w:r>
      <w:r w:rsidRPr="007E4696">
        <w:rPr>
          <w:rFonts w:ascii="Palatino Linotype" w:eastAsia="Palatino Linotype" w:hAnsi="Palatino Linotype" w:cs="Palatino Linotype"/>
          <w:color w:val="000000" w:themeColor="text1"/>
        </w:rPr>
        <w:t xml:space="preserve">, en lo sucesivo </w:t>
      </w:r>
      <w:r w:rsidRPr="007E4696">
        <w:rPr>
          <w:rFonts w:ascii="Palatino Linotype" w:eastAsia="Palatino Linotype" w:hAnsi="Palatino Linotype" w:cs="Palatino Linotype"/>
          <w:b/>
          <w:color w:val="000000" w:themeColor="text1"/>
        </w:rPr>
        <w:t>EL RECURRENTE</w:t>
      </w:r>
      <w:r w:rsidRPr="007E4696">
        <w:rPr>
          <w:rFonts w:ascii="Palatino Linotype" w:eastAsia="Palatino Linotype" w:hAnsi="Palatino Linotype" w:cs="Palatino Linotype"/>
          <w:color w:val="000000" w:themeColor="text1"/>
        </w:rPr>
        <w:t>, en contra de la</w:t>
      </w:r>
      <w:r w:rsidR="00E63A8F"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respuesta</w:t>
      </w:r>
      <w:r w:rsidR="00E63A8F"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otorgada</w:t>
      </w:r>
      <w:r w:rsidR="00E63A8F"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a las solicitudes de información </w:t>
      </w:r>
      <w:r w:rsidR="005744D9" w:rsidRPr="007E4696">
        <w:rPr>
          <w:rFonts w:ascii="Palatino Linotype" w:eastAsia="Palatino Linotype" w:hAnsi="Palatino Linotype" w:cs="Palatino Linotype"/>
          <w:b/>
          <w:color w:val="000000" w:themeColor="text1"/>
        </w:rPr>
        <w:t>00284/PLEGISLA/IP/2025, 00283/PLEGISLA/IP/2025 y 00286/PLEGISLA/IP/2025</w:t>
      </w:r>
      <w:r w:rsidRPr="007E4696">
        <w:rPr>
          <w:rFonts w:ascii="Palatino Linotype" w:eastAsia="Palatino Linotype" w:hAnsi="Palatino Linotype" w:cs="Palatino Linotype"/>
          <w:color w:val="000000" w:themeColor="text1"/>
        </w:rPr>
        <w:t xml:space="preserve">, por parte del </w:t>
      </w:r>
      <w:r w:rsidR="005744D9" w:rsidRPr="007E4696">
        <w:rPr>
          <w:rFonts w:ascii="Palatino Linotype" w:eastAsia="Palatino Linotype" w:hAnsi="Palatino Linotype" w:cs="Palatino Linotype"/>
          <w:b/>
          <w:bCs/>
          <w:color w:val="000000" w:themeColor="text1"/>
        </w:rPr>
        <w:t>Poder Legislativo</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en adelante el </w:t>
      </w:r>
      <w:r w:rsidRPr="007E4696">
        <w:rPr>
          <w:rFonts w:ascii="Palatino Linotype" w:eastAsia="Palatino Linotype" w:hAnsi="Palatino Linotype" w:cs="Palatino Linotype"/>
          <w:b/>
          <w:color w:val="000000" w:themeColor="text1"/>
        </w:rPr>
        <w:t>SUJETO OBLIGADO</w:t>
      </w:r>
      <w:r w:rsidRPr="007E4696">
        <w:rPr>
          <w:rFonts w:ascii="Palatino Linotype" w:eastAsia="Palatino Linotype" w:hAnsi="Palatino Linotype" w:cs="Palatino Linotype"/>
          <w:color w:val="000000" w:themeColor="text1"/>
        </w:rPr>
        <w:t>, se emite la presente resolución con base en los siguientes:</w:t>
      </w:r>
    </w:p>
    <w:p w:rsidR="0072148B" w:rsidRPr="007E4696" w:rsidRDefault="0072148B" w:rsidP="009957ED">
      <w:pPr>
        <w:spacing w:line="360" w:lineRule="auto"/>
        <w:jc w:val="both"/>
        <w:rPr>
          <w:rFonts w:ascii="Palatino Linotype" w:eastAsia="Palatino Linotype" w:hAnsi="Palatino Linotype" w:cs="Palatino Linotype"/>
          <w:color w:val="000000" w:themeColor="text1"/>
        </w:rPr>
      </w:pPr>
    </w:p>
    <w:p w:rsidR="0072148B" w:rsidRPr="007E4696" w:rsidRDefault="00A077F4" w:rsidP="009957E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E4696">
        <w:rPr>
          <w:rFonts w:ascii="Palatino Linotype" w:eastAsia="Palatino Linotype" w:hAnsi="Palatino Linotype" w:cs="Palatino Linotype"/>
          <w:b/>
          <w:color w:val="000000" w:themeColor="text1"/>
          <w:sz w:val="24"/>
          <w:szCs w:val="24"/>
        </w:rPr>
        <w:t>A N T E C E D E N T E S</w:t>
      </w:r>
    </w:p>
    <w:p w:rsidR="0072148B" w:rsidRPr="007E4696" w:rsidRDefault="0072148B" w:rsidP="009957E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7E4696" w:rsidRDefault="00A077F4" w:rsidP="009957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El </w:t>
      </w:r>
      <w:r w:rsidR="00AC3814" w:rsidRPr="007E4696">
        <w:rPr>
          <w:rFonts w:ascii="Palatino Linotype" w:eastAsia="Palatino Linotype" w:hAnsi="Palatino Linotype" w:cs="Palatino Linotype"/>
          <w:b/>
          <w:color w:val="000000" w:themeColor="text1"/>
        </w:rPr>
        <w:t>siete y ocho de mayo</w:t>
      </w:r>
      <w:r w:rsidR="00E63A8F"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b/>
          <w:color w:val="000000" w:themeColor="text1"/>
        </w:rPr>
        <w:t>de dos mil veinticinco</w:t>
      </w:r>
      <w:r w:rsidRPr="007E4696">
        <w:rPr>
          <w:rFonts w:ascii="Palatino Linotype" w:eastAsia="Palatino Linotype" w:hAnsi="Palatino Linotype" w:cs="Palatino Linotype"/>
          <w:color w:val="000000" w:themeColor="text1"/>
        </w:rPr>
        <w:t>,</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se presentó ante el Sujeto Obligado vía Sistema de Acceso a la Información Mexiquense, en adelante SAIMEX, las siguientes </w:t>
      </w:r>
      <w:r w:rsidRPr="007E4696">
        <w:rPr>
          <w:rFonts w:ascii="Palatino Linotype" w:eastAsia="Palatino Linotype" w:hAnsi="Palatino Linotype" w:cs="Palatino Linotype"/>
          <w:b/>
          <w:color w:val="000000" w:themeColor="text1"/>
        </w:rPr>
        <w:t>solicitudes de información</w:t>
      </w:r>
      <w:r w:rsidRPr="007E4696">
        <w:rPr>
          <w:rFonts w:ascii="Palatino Linotype" w:eastAsia="Palatino Linotype" w:hAnsi="Palatino Linotype" w:cs="Palatino Linotype"/>
          <w:color w:val="000000" w:themeColor="text1"/>
        </w:rPr>
        <w:t xml:space="preserve"> pública:</w:t>
      </w:r>
    </w:p>
    <w:p w:rsidR="00E63A8F" w:rsidRPr="007E4696" w:rsidRDefault="00E63A8F" w:rsidP="00995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AC3814" w:rsidRPr="007E4696" w:rsidRDefault="00AC3814" w:rsidP="009957ED">
      <w:pPr>
        <w:pBdr>
          <w:top w:val="nil"/>
          <w:left w:val="nil"/>
          <w:bottom w:val="nil"/>
          <w:right w:val="nil"/>
          <w:between w:val="nil"/>
        </w:pBdr>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00284/PLEGISLA/IP/2025</w:t>
      </w:r>
    </w:p>
    <w:p w:rsidR="00AC3814" w:rsidRPr="007E4696" w:rsidRDefault="00AC3814"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r w:rsidR="007A5DE4" w:rsidRPr="007E4696">
        <w:rPr>
          <w:rFonts w:ascii="Palatino Linotype" w:eastAsia="Palatino Linotype" w:hAnsi="Palatino Linotype" w:cs="Palatino Linotype"/>
          <w:i/>
          <w:color w:val="000000" w:themeColor="text1"/>
        </w:rPr>
        <w:t>solicito copia simple digitalizada a través del sistema electrónico saimex de los comprobantes de todos los pagos realizados mediante cheque y transferencia electrónica a particulares correspondientes a las partidas presupuestales 3611 y 3612 durante el mes de diciembre de 2024</w:t>
      </w:r>
      <w:r w:rsidRPr="007E4696">
        <w:rPr>
          <w:rFonts w:ascii="Palatino Linotype" w:eastAsia="Palatino Linotype" w:hAnsi="Palatino Linotype" w:cs="Palatino Linotype"/>
          <w:i/>
          <w:color w:val="000000" w:themeColor="text1"/>
        </w:rPr>
        <w:t>” (Sic)</w:t>
      </w:r>
    </w:p>
    <w:p w:rsidR="00AC3814" w:rsidRDefault="00AC3814"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DA61C7" w:rsidRDefault="00DA61C7"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DA61C7" w:rsidRDefault="00DA61C7"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DA61C7" w:rsidRPr="007E4696" w:rsidRDefault="00DA61C7"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EF0FAA" w:rsidRPr="007E4696" w:rsidRDefault="00AC3814" w:rsidP="009957ED">
      <w:pPr>
        <w:pBdr>
          <w:top w:val="nil"/>
          <w:left w:val="nil"/>
          <w:bottom w:val="nil"/>
          <w:right w:val="nil"/>
          <w:between w:val="nil"/>
        </w:pBdr>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 xml:space="preserve">00283/PLEGISLA/IP/2025 </w:t>
      </w:r>
    </w:p>
    <w:p w:rsidR="00AC3814" w:rsidRPr="007E4696" w:rsidRDefault="00AC3814" w:rsidP="009957ED">
      <w:pPr>
        <w:pBdr>
          <w:top w:val="nil"/>
          <w:left w:val="nil"/>
          <w:bottom w:val="nil"/>
          <w:right w:val="nil"/>
          <w:between w:val="nil"/>
        </w:pBdr>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i/>
          <w:color w:val="000000" w:themeColor="text1"/>
        </w:rPr>
        <w:t>“</w:t>
      </w:r>
      <w:r w:rsidR="00EF0FAA" w:rsidRPr="007E4696">
        <w:rPr>
          <w:rFonts w:ascii="Palatino Linotype" w:eastAsia="Palatino Linotype" w:hAnsi="Palatino Linotype" w:cs="Palatino Linotype"/>
          <w:i/>
          <w:color w:val="000000" w:themeColor="text1"/>
        </w:rPr>
        <w:t>solicito copia simple digitalizada a través del sistema electrónico saimex de los comprobantes de todos los pagos realizados mediante cheque y transferencia electrónica a particulares durante el mes de marzo de 2025</w:t>
      </w:r>
      <w:r w:rsidRPr="007E4696">
        <w:rPr>
          <w:rFonts w:ascii="Palatino Linotype" w:eastAsia="Palatino Linotype" w:hAnsi="Palatino Linotype" w:cs="Palatino Linotype"/>
          <w:i/>
          <w:color w:val="000000" w:themeColor="text1"/>
        </w:rPr>
        <w:t>” (Sic)</w:t>
      </w:r>
    </w:p>
    <w:p w:rsidR="00AC3814" w:rsidRPr="007E4696" w:rsidRDefault="00AC3814" w:rsidP="009957ED">
      <w:pPr>
        <w:pBdr>
          <w:top w:val="nil"/>
          <w:left w:val="nil"/>
          <w:bottom w:val="nil"/>
          <w:right w:val="nil"/>
          <w:between w:val="nil"/>
        </w:pBdr>
        <w:jc w:val="both"/>
        <w:rPr>
          <w:rFonts w:ascii="Palatino Linotype" w:eastAsia="Palatino Linotype" w:hAnsi="Palatino Linotype" w:cs="Palatino Linotype"/>
          <w:b/>
          <w:color w:val="000000" w:themeColor="text1"/>
        </w:rPr>
      </w:pPr>
    </w:p>
    <w:p w:rsidR="00AC3814" w:rsidRPr="007E4696" w:rsidRDefault="00AC3814"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color w:val="000000" w:themeColor="text1"/>
        </w:rPr>
        <w:t>00286/PLEGISLA/IP/2025</w:t>
      </w:r>
      <w:r w:rsidRPr="007E4696">
        <w:rPr>
          <w:rFonts w:ascii="Palatino Linotype" w:eastAsia="Palatino Linotype" w:hAnsi="Palatino Linotype" w:cs="Palatino Linotype"/>
          <w:i/>
          <w:color w:val="000000" w:themeColor="text1"/>
        </w:rPr>
        <w:t xml:space="preserve"> </w:t>
      </w:r>
    </w:p>
    <w:p w:rsidR="00D63A96" w:rsidRPr="007E4696" w:rsidRDefault="00D63A96"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r w:rsidR="00E0099C" w:rsidRPr="007E4696">
        <w:rPr>
          <w:rFonts w:ascii="Palatino Linotype" w:eastAsia="Palatino Linotype" w:hAnsi="Palatino Linotype" w:cs="Palatino Linotype"/>
          <w:i/>
          <w:color w:val="000000" w:themeColor="text1"/>
        </w:rPr>
        <w:t>solicito copia simple digitalizada a través del sistema electrónico saimex de las pólizas y/o comprobantes digitales de pagos realizados a particulares vía cheque o transferencia electrónica durante el mes de abril de 2025.</w:t>
      </w:r>
      <w:r w:rsidRPr="007E4696">
        <w:rPr>
          <w:rFonts w:ascii="Palatino Linotype" w:eastAsia="Palatino Linotype" w:hAnsi="Palatino Linotype" w:cs="Palatino Linotype"/>
          <w:i/>
          <w:color w:val="000000" w:themeColor="text1"/>
        </w:rPr>
        <w:t>” (Sic)</w:t>
      </w:r>
    </w:p>
    <w:p w:rsidR="00D63A96" w:rsidRPr="007E4696" w:rsidRDefault="00D63A96" w:rsidP="009957ED">
      <w:pPr>
        <w:pBdr>
          <w:top w:val="nil"/>
          <w:left w:val="nil"/>
          <w:bottom w:val="nil"/>
          <w:right w:val="nil"/>
          <w:between w:val="nil"/>
        </w:pBdr>
        <w:jc w:val="both"/>
        <w:rPr>
          <w:rFonts w:ascii="Palatino Linotype" w:eastAsia="Palatino Linotype" w:hAnsi="Palatino Linotype" w:cs="Palatino Linotype"/>
          <w:b/>
          <w:color w:val="000000" w:themeColor="text1"/>
        </w:rPr>
      </w:pPr>
    </w:p>
    <w:p w:rsidR="00223B24" w:rsidRPr="007E4696" w:rsidRDefault="00223B24"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7E4696" w:rsidRDefault="00A077F4" w:rsidP="009957ED">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Se eligió como modalidad de entrega de la información: A través del </w:t>
      </w:r>
      <w:r w:rsidR="00B64FBA" w:rsidRPr="007E4696">
        <w:rPr>
          <w:rFonts w:ascii="Palatino Linotype" w:eastAsia="Palatino Linotype" w:hAnsi="Palatino Linotype" w:cs="Palatino Linotype"/>
          <w:b/>
          <w:color w:val="000000" w:themeColor="text1"/>
        </w:rPr>
        <w:t>SAIMEX.</w:t>
      </w:r>
    </w:p>
    <w:p w:rsidR="009B2185" w:rsidRPr="007E4696" w:rsidRDefault="009B2185" w:rsidP="00995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7E4696" w:rsidRDefault="00A077F4" w:rsidP="009957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El</w:t>
      </w:r>
      <w:r w:rsidRPr="007E4696">
        <w:rPr>
          <w:rFonts w:ascii="Palatino Linotype" w:eastAsia="Palatino Linotype" w:hAnsi="Palatino Linotype" w:cs="Palatino Linotype"/>
          <w:b/>
          <w:color w:val="000000" w:themeColor="text1"/>
        </w:rPr>
        <w:t xml:space="preserve"> </w:t>
      </w:r>
      <w:r w:rsidR="007A5DE4" w:rsidRPr="007E4696">
        <w:rPr>
          <w:rFonts w:ascii="Palatino Linotype" w:eastAsia="Palatino Linotype" w:hAnsi="Palatino Linotype" w:cs="Palatino Linotype"/>
          <w:b/>
          <w:color w:val="000000" w:themeColor="text1"/>
        </w:rPr>
        <w:t>veintiocho y veintinueve de mayo</w:t>
      </w:r>
      <w:r w:rsidRPr="007E4696">
        <w:rPr>
          <w:rFonts w:ascii="Palatino Linotype" w:eastAsia="Palatino Linotype" w:hAnsi="Palatino Linotype" w:cs="Palatino Linotype"/>
          <w:b/>
          <w:color w:val="000000" w:themeColor="text1"/>
        </w:rPr>
        <w:t xml:space="preserve"> de dos mil veinticinco</w:t>
      </w:r>
      <w:r w:rsidRPr="007E4696">
        <w:rPr>
          <w:rFonts w:ascii="Palatino Linotype" w:eastAsia="Palatino Linotype" w:hAnsi="Palatino Linotype" w:cs="Palatino Linotype"/>
          <w:color w:val="000000" w:themeColor="text1"/>
        </w:rPr>
        <w:t>, el Sujeto Obligado</w:t>
      </w:r>
      <w:r w:rsidRPr="007E4696">
        <w:rPr>
          <w:rFonts w:ascii="Palatino Linotype" w:eastAsia="Palatino Linotype" w:hAnsi="Palatino Linotype" w:cs="Palatino Linotype"/>
          <w:b/>
          <w:color w:val="000000" w:themeColor="text1"/>
        </w:rPr>
        <w:t>,</w:t>
      </w:r>
      <w:r w:rsidRPr="007E4696">
        <w:rPr>
          <w:rFonts w:ascii="Palatino Linotype" w:eastAsia="Palatino Linotype" w:hAnsi="Palatino Linotype" w:cs="Palatino Linotype"/>
          <w:color w:val="000000" w:themeColor="text1"/>
        </w:rPr>
        <w:t xml:space="preserve"> dio </w:t>
      </w:r>
      <w:r w:rsidRPr="007E4696">
        <w:rPr>
          <w:rFonts w:ascii="Palatino Linotype" w:eastAsia="Palatino Linotype" w:hAnsi="Palatino Linotype" w:cs="Palatino Linotype"/>
          <w:b/>
          <w:color w:val="000000" w:themeColor="text1"/>
        </w:rPr>
        <w:t>respuesta</w:t>
      </w:r>
      <w:r w:rsidRPr="007E4696">
        <w:rPr>
          <w:rFonts w:ascii="Palatino Linotype" w:eastAsia="Palatino Linotype" w:hAnsi="Palatino Linotype" w:cs="Palatino Linotype"/>
          <w:color w:val="000000" w:themeColor="text1"/>
        </w:rPr>
        <w:t xml:space="preserve"> a través de los siguientes archivos electrónicos</w:t>
      </w:r>
      <w:r w:rsidRPr="007E4696">
        <w:rPr>
          <w:rFonts w:ascii="Palatino Linotype" w:eastAsia="Palatino Linotype" w:hAnsi="Palatino Linotype" w:cs="Palatino Linotype"/>
          <w:b/>
          <w:i/>
          <w:color w:val="000000" w:themeColor="text1"/>
        </w:rPr>
        <w:t>:</w:t>
      </w:r>
    </w:p>
    <w:p w:rsidR="003E1C35" w:rsidRPr="007E4696" w:rsidRDefault="003E1C35" w:rsidP="009957ED">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B53C4D" w:rsidRPr="007E4696" w:rsidRDefault="00A077F4" w:rsidP="009957ED">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 xml:space="preserve">Folio de la solicitud: </w:t>
      </w:r>
      <w:r w:rsidR="007A5DE4" w:rsidRPr="007E4696">
        <w:rPr>
          <w:rFonts w:ascii="Palatino Linotype" w:eastAsia="Palatino Linotype" w:hAnsi="Palatino Linotype" w:cs="Palatino Linotype"/>
          <w:b/>
          <w:color w:val="000000" w:themeColor="text1"/>
        </w:rPr>
        <w:t>00284/PLEGISLA/IP/2025</w:t>
      </w: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2E09D8" w:rsidRPr="007E4696" w:rsidRDefault="002E09D8" w:rsidP="009957ED">
      <w:pPr>
        <w:pBdr>
          <w:top w:val="nil"/>
          <w:left w:val="nil"/>
          <w:bottom w:val="nil"/>
          <w:right w:val="nil"/>
          <w:between w:val="nil"/>
        </w:pBdr>
        <w:tabs>
          <w:tab w:val="left" w:pos="567"/>
        </w:tabs>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Metepec, México a 28 de Mayo de 2025</w:t>
      </w:r>
    </w:p>
    <w:p w:rsidR="002E09D8" w:rsidRPr="007E4696" w:rsidRDefault="002E09D8" w:rsidP="009957ED">
      <w:pPr>
        <w:pBdr>
          <w:top w:val="nil"/>
          <w:left w:val="nil"/>
          <w:bottom w:val="nil"/>
          <w:right w:val="nil"/>
          <w:between w:val="nil"/>
        </w:pBdr>
        <w:tabs>
          <w:tab w:val="left" w:pos="567"/>
        </w:tabs>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Nombre del solicitante: C. Solicitante</w:t>
      </w:r>
    </w:p>
    <w:p w:rsidR="002E09D8" w:rsidRPr="007E4696" w:rsidRDefault="002E09D8" w:rsidP="009957ED">
      <w:pPr>
        <w:pBdr>
          <w:top w:val="nil"/>
          <w:left w:val="nil"/>
          <w:bottom w:val="nil"/>
          <w:right w:val="nil"/>
          <w:between w:val="nil"/>
        </w:pBdr>
        <w:tabs>
          <w:tab w:val="left" w:pos="567"/>
        </w:tabs>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Folio de la solicitud: 00284/PLEGISLA/IP/2025</w:t>
      </w: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xml:space="preserve">Derivado de la búsqueda exhaustiva y razonable realizada en los archivos que obran en esta dependencia; se informa que los comprobantes de pago correspondientes a las partidas presupuestales 3611 y 3612, realizados durante el mes de diciembre 2024, pueden consultarse en el apartado del cuarto trimestre 2024, en el enlace siguiente: https://administracionyfinanzasplem.gob.mx/ece.html </w:t>
      </w:r>
      <w:r w:rsidR="00EF0FAA" w:rsidRPr="007E4696">
        <w:rPr>
          <w:rFonts w:ascii="Palatino Linotype" w:eastAsia="Palatino Linotype" w:hAnsi="Palatino Linotype" w:cs="Palatino Linotype"/>
          <w:i/>
          <w:color w:val="000000" w:themeColor="text1"/>
        </w:rPr>
        <w:t>...</w:t>
      </w:r>
      <w:r w:rsidRPr="007E4696">
        <w:rPr>
          <w:rFonts w:ascii="Palatino Linotype" w:eastAsia="Palatino Linotype" w:hAnsi="Palatino Linotype" w:cs="Palatino Linotype"/>
          <w:i/>
          <w:color w:val="000000" w:themeColor="text1"/>
        </w:rPr>
        <w:t>”.</w:t>
      </w: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2E09D8" w:rsidRPr="007E4696" w:rsidRDefault="002E09D8" w:rsidP="009957ED">
      <w:pPr>
        <w:pBdr>
          <w:top w:val="nil"/>
          <w:left w:val="nil"/>
          <w:bottom w:val="nil"/>
          <w:right w:val="nil"/>
          <w:between w:val="nil"/>
        </w:pBdr>
        <w:tabs>
          <w:tab w:val="left" w:pos="567"/>
        </w:tabs>
        <w:jc w:val="both"/>
        <w:rPr>
          <w:rFonts w:ascii="Palatino Linotype" w:eastAsia="Palatino Linotype" w:hAnsi="Palatino Linotype" w:cs="Palatino Linotype"/>
          <w:i/>
          <w:color w:val="000000" w:themeColor="text1"/>
        </w:rPr>
      </w:pPr>
    </w:p>
    <w:p w:rsidR="002E09D8" w:rsidRPr="007E4696" w:rsidRDefault="002E09D8"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Oficio 0284.pdf</w:t>
      </w:r>
    </w:p>
    <w:p w:rsidR="002E09D8" w:rsidRPr="007E4696" w:rsidRDefault="002E09D8"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lastRenderedPageBreak/>
        <w:t>Oficio</w:t>
      </w:r>
      <w:r w:rsidR="00ED3382" w:rsidRPr="007E4696">
        <w:rPr>
          <w:rFonts w:ascii="Palatino Linotype" w:eastAsia="Palatino Linotype" w:hAnsi="Palatino Linotype" w:cs="Palatino Linotype"/>
          <w:color w:val="000000" w:themeColor="text1"/>
        </w:rPr>
        <w:t xml:space="preserve"> firmado por la Servidora Pública Habilitada de la Secretaría de Administración y Finanzas, a través del cual emite la respuesta refiriendo que derivado de la búsqueda exhaustiva y razonable realizada en los archivos que obran en esa dependencia, </w:t>
      </w:r>
      <w:r w:rsidR="00ED3382" w:rsidRPr="007E4696">
        <w:rPr>
          <w:rFonts w:ascii="Palatino Linotype" w:eastAsia="Palatino Linotype" w:hAnsi="Palatino Linotype" w:cs="Palatino Linotype"/>
          <w:i/>
          <w:color w:val="000000" w:themeColor="text1"/>
        </w:rPr>
        <w:t xml:space="preserve">se informa que los comprobantes de pago correspondientes a las partidas presupuestales 3611 y 3612, realizados durante el mes de diciembre 2024, pueden consultarse en el apartado del cuarto trimestre 2024, en el enlace siguiente: </w:t>
      </w:r>
      <w:r w:rsidR="00ED3382" w:rsidRPr="007E4696">
        <w:rPr>
          <w:rFonts w:ascii="Palatino Linotype" w:eastAsia="Palatino Linotype" w:hAnsi="Palatino Linotype" w:cs="Palatino Linotype"/>
          <w:color w:val="000000" w:themeColor="text1"/>
        </w:rPr>
        <w:t>(proporcionado en formato cerrado)</w:t>
      </w:r>
    </w:p>
    <w:p w:rsidR="00ED3382" w:rsidRPr="007E4696" w:rsidRDefault="00ED3382"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2E09D8" w:rsidRPr="007E4696" w:rsidRDefault="00ED3382" w:rsidP="009957ED">
      <w:pPr>
        <w:pStyle w:val="Prrafodelista"/>
        <w:pBdr>
          <w:top w:val="nil"/>
          <w:left w:val="nil"/>
          <w:bottom w:val="nil"/>
          <w:right w:val="nil"/>
          <w:between w:val="nil"/>
        </w:pBdr>
        <w:tabs>
          <w:tab w:val="left" w:pos="567"/>
        </w:tabs>
        <w:ind w:left="0"/>
        <w:jc w:val="center"/>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noProof/>
          <w:color w:val="000000" w:themeColor="text1"/>
          <w:lang w:val="es-MX" w:eastAsia="es-MX"/>
        </w:rPr>
        <w:drawing>
          <wp:inline distT="0" distB="0" distL="0" distR="0" wp14:anchorId="3CDF9968" wp14:editId="6145F5EB">
            <wp:extent cx="4060825" cy="635218"/>
            <wp:effectExtent l="152400" t="152400" r="358775" b="3556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91494" cy="655658"/>
                    </a:xfrm>
                    <a:prstGeom prst="rect">
                      <a:avLst/>
                    </a:prstGeom>
                    <a:ln>
                      <a:noFill/>
                    </a:ln>
                    <a:effectLst>
                      <a:outerShdw blurRad="292100" dist="139700" dir="2700000" algn="tl" rotWithShape="0">
                        <a:srgbClr val="333333">
                          <a:alpha val="65000"/>
                        </a:srgbClr>
                      </a:outerShdw>
                    </a:effectLst>
                  </pic:spPr>
                </pic:pic>
              </a:graphicData>
            </a:graphic>
          </wp:inline>
        </w:drawing>
      </w:r>
    </w:p>
    <w:p w:rsidR="002E09D8" w:rsidRPr="007E4696" w:rsidRDefault="002E09D8"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284 RESPUESTA.pdf</w:t>
      </w:r>
    </w:p>
    <w:p w:rsidR="00ED3382" w:rsidRPr="007E4696" w:rsidRDefault="00ED3382"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UIPL/0830/2025 de fecha 28 de mayo de 2025, firmado por el Titular de la Unidad de Información a través del cual remite la respuesta a su solicitud, proporcionada por la servidora pública habilitada de la Secretaría de Administración y Finanzas.</w:t>
      </w:r>
    </w:p>
    <w:p w:rsidR="002E09D8" w:rsidRPr="007E4696" w:rsidRDefault="002E09D8"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B53C4D" w:rsidRPr="007E4696" w:rsidRDefault="007A5DE4" w:rsidP="009957ED">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Folio de la solicitud: 00283/PLEGISLA/IP/2025</w:t>
      </w: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Metepec, México a 28 de Mayo de 2025</w:t>
      </w:r>
    </w:p>
    <w:p w:rsidR="00EF0FAA" w:rsidRPr="007E4696" w:rsidRDefault="00EF0FAA"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Nombre del solicitante: C. Solicitante</w:t>
      </w:r>
    </w:p>
    <w:p w:rsidR="00EF0FAA" w:rsidRPr="007E4696" w:rsidRDefault="00EF0FAA"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Folio de la solicitud: 00283/PLEGISLA/IP/2025</w:t>
      </w:r>
    </w:p>
    <w:p w:rsidR="00EF0FAA" w:rsidRPr="007E4696" w:rsidRDefault="00EF0FAA"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Derivado de la búsqueda exhaustiva y razonable realizada en los archivos que obran en esta dependencia; se comunica que los comprobantes de los pagos realizados mediante cheque y transferencia electrónica a particulares durante marzo 2025, es información confidencial conforme al acuerdo PLEGISLA/LXII/CT/12ªext/2025/SEXTO, aprobado en la Décima Segunda Sesión Extraordinaria del Comité de Transparencia del Poder Legislativo del Estado Libre y Soberano de México, mismo que se adjunta al presente…”</w:t>
      </w: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Leyenda Confidencial - 0283.pdf</w:t>
      </w: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lastRenderedPageBreak/>
        <w:t>Documento titulado “Leyenda de clasificación de información” en el que se establecen diversos datos sobre la clasificación de información confidencial para dar atención a la solicitud.</w:t>
      </w: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Acuerdo PLEGISLA-LXII-CT-12ªext-2025-SEXTO.pdf</w:t>
      </w: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Acuerdo PLE</w:t>
      </w:r>
      <w:r w:rsidR="00676FAB" w:rsidRPr="007E4696">
        <w:rPr>
          <w:rFonts w:ascii="Palatino Linotype" w:eastAsia="Palatino Linotype" w:hAnsi="Palatino Linotype" w:cs="Palatino Linotype"/>
          <w:color w:val="000000" w:themeColor="text1"/>
        </w:rPr>
        <w:t>GISLA/LXII/CT/12ª</w:t>
      </w:r>
      <w:r w:rsidRPr="007E4696">
        <w:rPr>
          <w:rFonts w:ascii="Palatino Linotype" w:eastAsia="Palatino Linotype" w:hAnsi="Palatino Linotype" w:cs="Palatino Linotype"/>
          <w:color w:val="000000" w:themeColor="text1"/>
        </w:rPr>
        <w:t>ext/2025/SEXTО del Comité de Transparencia a través del cual la servidora pública habilitada de la Secretaría de Administración y Finanzas, presenta propuesta de clasificación parcial como información confidencial de los datos personales contenidos en los comprobantes de pago (cheques y transferencias) realizados a personas físicas durante marzo 2025, en razón que Los comprobantes de pago (cheques y transferencias) son considerados como información confidencial en virtud de contener innumerables datos personales de personas físicas, tales como alias, pseudónimos, domicilios particulares o conceptos y referencias que contengan información privada,</w:t>
      </w:r>
      <w:r w:rsidR="00676FAB" w:rsidRPr="007E4696">
        <w:rPr>
          <w:rFonts w:ascii="Palatino Linotype" w:eastAsia="Palatino Linotype" w:hAnsi="Palatino Linotype" w:cs="Palatino Linotype"/>
          <w:color w:val="000000" w:themeColor="text1"/>
        </w:rPr>
        <w:t xml:space="preserve"> así como datos personales de carácter patrimonial, tales como números de cuenta bancaria y/o CLABE interbancaria de personas físicas de naturaleza privada, domicilios, conceptos o referencias que contengan información privada.</w:t>
      </w:r>
    </w:p>
    <w:p w:rsidR="00676FAB" w:rsidRPr="007E4696" w:rsidRDefault="00676FAB"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676FAB" w:rsidRPr="007E4696" w:rsidRDefault="00676FAB"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Se confirma por unanimidad la clasificación parcial como información confidencial de los datos personales contenidos en los comprobantes de pago (cheques y transferencias) realizados a personas físicas durante marzo 2025</w:t>
      </w:r>
    </w:p>
    <w:p w:rsidR="00676FAB" w:rsidRPr="007E4696" w:rsidRDefault="00676FAB"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Oficio 0283.pdf</w:t>
      </w:r>
    </w:p>
    <w:p w:rsidR="00676FAB" w:rsidRPr="007E4696" w:rsidRDefault="00676FAB"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firmado por la Servidora Pública Habilitada de la Secretaría de Administración y Finanzas a través del cual refiere que derivado de la búsqueda Exhaustiva y razonable realizada en los archivos de esa dependencia, se comunica que los pagos realizados mediante cheque o transferencia electrónica a particulares durante marzo 2025, es información confidencial conforme al acuerdo PLEGISLA/LXII/CT/12ªext/2025/SEXTО.</w:t>
      </w:r>
    </w:p>
    <w:p w:rsidR="00676FAB" w:rsidRPr="007E4696" w:rsidRDefault="00676FAB"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EF0FAA" w:rsidRPr="007E4696" w:rsidRDefault="00EF0FA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283 RESPUESTA.pdf</w:t>
      </w:r>
    </w:p>
    <w:p w:rsidR="00676FAB" w:rsidRPr="007E4696" w:rsidRDefault="00676FAB"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w:t>
      </w:r>
      <w:r w:rsidR="00C71907" w:rsidRPr="007E4696">
        <w:rPr>
          <w:rFonts w:ascii="Palatino Linotype" w:eastAsia="Palatino Linotype" w:hAnsi="Palatino Linotype" w:cs="Palatino Linotype"/>
          <w:color w:val="000000" w:themeColor="text1"/>
        </w:rPr>
        <w:t xml:space="preserve"> UIPL/0829/2025 de fecha 28 de mayo de 2025 firmado por el Titular de la Unidad de Información a través del cual remite la respuesta a su solicitud, proporcionada por la servidora pública habilitada de la Secretaría de Administración y Finanzas.</w:t>
      </w:r>
    </w:p>
    <w:p w:rsidR="002E09D8" w:rsidRPr="007E4696" w:rsidRDefault="002E09D8"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7A5DE4" w:rsidRPr="007E4696" w:rsidRDefault="007A5DE4" w:rsidP="009957ED">
      <w:pPr>
        <w:pStyle w:val="Prrafodelista"/>
        <w:numPr>
          <w:ilvl w:val="0"/>
          <w:numId w:val="6"/>
        </w:numPr>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Folio de la solicitud: 00286/PLEGISLA/IP/2025</w:t>
      </w:r>
    </w:p>
    <w:p w:rsidR="002E09D8" w:rsidRPr="007E4696" w:rsidRDefault="002E09D8"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lastRenderedPageBreak/>
        <w:t>Metepec, México a 29 de Mayo de 2025</w:t>
      </w:r>
    </w:p>
    <w:p w:rsidR="00B54410" w:rsidRPr="007E4696" w:rsidRDefault="00B54410"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Nombre del solicitante: C. Solicitante</w:t>
      </w:r>
    </w:p>
    <w:p w:rsidR="00B54410" w:rsidRPr="007E4696" w:rsidRDefault="00B54410" w:rsidP="009957ED">
      <w:pPr>
        <w:pStyle w:val="Prrafodelista"/>
        <w:pBdr>
          <w:top w:val="nil"/>
          <w:left w:val="nil"/>
          <w:bottom w:val="nil"/>
          <w:right w:val="nil"/>
          <w:between w:val="nil"/>
        </w:pBdr>
        <w:tabs>
          <w:tab w:val="left" w:pos="567"/>
        </w:tabs>
        <w:ind w:left="0"/>
        <w:jc w:val="right"/>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Folio de la solicitud: 00286/PLEGISLA/IP/2025</w:t>
      </w: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Derivado de la búsqueda exhaustiva y razonable realizada en los archivos que obran en esta dependencia; se comunica que los comprobantes de los pagos realizados mediante cheque y transferencia electrónica a particulares durante el mes de abril 2025, es información confidencial conforme al acuerdo PLEGISLA/LXII/CT/13ªext/2025/CUARTO, aprobado en la Décima Tercera Sesión Extraordinaria del Comité de Transparencia del Poder Legislativo del Estado Libre y Soberano de México, mismo que se adjunta al presente…</w:t>
      </w: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i/>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Oficio 0286.pdf</w:t>
      </w: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firmado por la Servidora Pública Habilitada de la Secretaría de Administración y Finanzas a través del cual refiere que derivado de la búsqueda Exhaustiva y razonable realizada en los archivos de esa dependencia, se comunica que los comprobantes de pagos realizados mediante cheque o transferencia electrónica a particulares durante abril 2025, es información confidencial conforme al acuerdo PLEGISLA/LXII/CT/13ªext/2025/CUARTO.</w:t>
      </w: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PLEGISLA-LXII-CT-13ªext-2025-CUARTO.pdf</w:t>
      </w:r>
    </w:p>
    <w:p w:rsidR="00DB10C9" w:rsidRPr="007E4696" w:rsidRDefault="00DB10C9"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Acuerdo PLEGISLA/LXII/CT/13ªext/2025/CUARTO del Comité de Transparencia a través del cual la servidora pública habilitada de la Secretaría de Administración y Finanzas, presenta propuesta de clasificación parcial como información confidencial de los datos personales contenidos en los comprobantes de pago (cheques y transferencias) realizados a personas físicas durante abril 2025, en razón que Los comprobantes de pago (cheques y transferencias) son considerados como información confidencial en virtud de contener innumerables datos personales de personas físicas, tales como alias, pseudónimos, domicilios particulares o conceptos y referencias que contengan información privada, así como datos personales de carácter patrimonial, tales como números de cuenta bancaria y/o CLABE interbancaria de personas físicas de naturaleza privada, domicilios, conceptos o referencias que contengan información privada.</w:t>
      </w:r>
    </w:p>
    <w:p w:rsidR="00DB10C9" w:rsidRPr="007E4696" w:rsidRDefault="00DB10C9"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DB10C9" w:rsidRPr="007E4696" w:rsidRDefault="00DB10C9"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lastRenderedPageBreak/>
        <w:t xml:space="preserve">Se confirma por unanimidad la clasificación parcial como información confidencial de los datos personales contenidos en los comprobantes de pago (cheques y transferencias) realizados a personas físicas durante </w:t>
      </w:r>
      <w:r w:rsidR="00A02349" w:rsidRPr="007E4696">
        <w:rPr>
          <w:rFonts w:ascii="Palatino Linotype" w:eastAsia="Palatino Linotype" w:hAnsi="Palatino Linotype" w:cs="Palatino Linotype"/>
          <w:color w:val="000000" w:themeColor="text1"/>
        </w:rPr>
        <w:t>abril</w:t>
      </w:r>
      <w:r w:rsidRPr="007E4696">
        <w:rPr>
          <w:rFonts w:ascii="Palatino Linotype" w:eastAsia="Palatino Linotype" w:hAnsi="Palatino Linotype" w:cs="Palatino Linotype"/>
          <w:color w:val="000000" w:themeColor="text1"/>
        </w:rPr>
        <w:t xml:space="preserve"> 2025</w:t>
      </w:r>
      <w:r w:rsidR="00A02349" w:rsidRPr="007E4696">
        <w:rPr>
          <w:rFonts w:ascii="Palatino Linotype" w:eastAsia="Palatino Linotype" w:hAnsi="Palatino Linotype" w:cs="Palatino Linotype"/>
          <w:color w:val="000000" w:themeColor="text1"/>
        </w:rPr>
        <w:t>.</w:t>
      </w:r>
    </w:p>
    <w:p w:rsidR="00DB10C9" w:rsidRPr="007E4696" w:rsidRDefault="00DB10C9"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DB10C9" w:rsidRPr="007E4696" w:rsidRDefault="00DB10C9"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Leyenda Confidencial - 0286.pdf</w:t>
      </w:r>
    </w:p>
    <w:p w:rsidR="00690EBA" w:rsidRPr="007E4696" w:rsidRDefault="00690EBA" w:rsidP="009957ED">
      <w:pPr>
        <w:pStyle w:val="Prrafodelista"/>
        <w:ind w:left="0"/>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Documento titulado “Leyenda de clasificación de información confidencial” en el que se establecen diversos datos sobre la clasificación de información confidencial para dar atención a la solicitud.</w:t>
      </w:r>
    </w:p>
    <w:p w:rsidR="00690EBA" w:rsidRPr="007E4696" w:rsidRDefault="00690EBA" w:rsidP="009957E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B54410" w:rsidRPr="007E4696" w:rsidRDefault="00B54410"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286 RESPUESTA.pdf</w:t>
      </w:r>
    </w:p>
    <w:p w:rsidR="00690EBA" w:rsidRPr="007E4696" w:rsidRDefault="00690EB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UIPL/0842/2025 de fecha 29 de mayo de 2025 firmado por el Titular de la Unidad de Información a través del cual remite la respuesta a su solicitud, proporcionada por la servidora pública habilitada de la Secretaría de Administración y Finanzas.</w:t>
      </w:r>
    </w:p>
    <w:p w:rsidR="00690EBA" w:rsidRPr="007E4696" w:rsidRDefault="00690EBA" w:rsidP="009957ED">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FC2A51" w:rsidRPr="007E4696" w:rsidRDefault="00FC2A51" w:rsidP="009957ED">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72148B" w:rsidRPr="007E4696" w:rsidRDefault="00A077F4" w:rsidP="009957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El</w:t>
      </w:r>
      <w:r w:rsidRPr="007E4696">
        <w:rPr>
          <w:rFonts w:ascii="Palatino Linotype" w:eastAsia="Palatino Linotype" w:hAnsi="Palatino Linotype" w:cs="Palatino Linotype"/>
          <w:b/>
          <w:color w:val="000000" w:themeColor="text1"/>
        </w:rPr>
        <w:t xml:space="preserve"> </w:t>
      </w:r>
      <w:r w:rsidR="00F00FE3" w:rsidRPr="007E4696">
        <w:rPr>
          <w:rFonts w:ascii="Palatino Linotype" w:eastAsia="Palatino Linotype" w:hAnsi="Palatino Linotype" w:cs="Palatino Linotype"/>
          <w:b/>
          <w:color w:val="000000" w:themeColor="text1"/>
        </w:rPr>
        <w:t>veintinueve</w:t>
      </w:r>
      <w:r w:rsidR="00CD0B5F" w:rsidRPr="007E4696">
        <w:rPr>
          <w:rFonts w:ascii="Palatino Linotype" w:eastAsia="Palatino Linotype" w:hAnsi="Palatino Linotype" w:cs="Palatino Linotype"/>
          <w:b/>
          <w:color w:val="000000" w:themeColor="text1"/>
        </w:rPr>
        <w:t xml:space="preserve"> de mayo</w:t>
      </w:r>
      <w:r w:rsidR="002D5602"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b/>
          <w:color w:val="000000" w:themeColor="text1"/>
        </w:rPr>
        <w:t>de dos mil veinticinco</w:t>
      </w:r>
      <w:r w:rsidRPr="007E4696">
        <w:rPr>
          <w:rFonts w:ascii="Palatino Linotype" w:eastAsia="Palatino Linotype" w:hAnsi="Palatino Linotype" w:cs="Palatino Linotype"/>
          <w:color w:val="000000" w:themeColor="text1"/>
        </w:rPr>
        <w:t xml:space="preserve">, el particular interpuso los </w:t>
      </w:r>
      <w:r w:rsidR="00470606" w:rsidRPr="007E4696">
        <w:rPr>
          <w:rFonts w:ascii="Palatino Linotype" w:eastAsia="Palatino Linotype" w:hAnsi="Palatino Linotype" w:cs="Palatino Linotype"/>
          <w:color w:val="000000" w:themeColor="text1"/>
        </w:rPr>
        <w:t xml:space="preserve">Recursos </w:t>
      </w:r>
      <w:r w:rsidRPr="007E4696">
        <w:rPr>
          <w:rFonts w:ascii="Palatino Linotype" w:eastAsia="Palatino Linotype" w:hAnsi="Palatino Linotype" w:cs="Palatino Linotype"/>
          <w:color w:val="000000" w:themeColor="text1"/>
        </w:rPr>
        <w:t xml:space="preserve">de </w:t>
      </w:r>
      <w:r w:rsidR="00470606" w:rsidRPr="007E4696">
        <w:rPr>
          <w:rFonts w:ascii="Palatino Linotype" w:eastAsia="Palatino Linotype" w:hAnsi="Palatino Linotype" w:cs="Palatino Linotype"/>
          <w:color w:val="000000" w:themeColor="text1"/>
        </w:rPr>
        <w:t xml:space="preserve">Revisión </w:t>
      </w:r>
      <w:r w:rsidRPr="007E4696">
        <w:rPr>
          <w:rFonts w:ascii="Palatino Linotype" w:eastAsia="Palatino Linotype" w:hAnsi="Palatino Linotype" w:cs="Palatino Linotype"/>
          <w:color w:val="000000" w:themeColor="text1"/>
        </w:rPr>
        <w:t xml:space="preserve">a los que se les asignaron los folios </w:t>
      </w:r>
      <w:r w:rsidR="00920AC7" w:rsidRPr="007E4696">
        <w:rPr>
          <w:rFonts w:ascii="Palatino Linotype" w:eastAsia="Palatino Linotype" w:hAnsi="Palatino Linotype" w:cs="Palatino Linotype"/>
          <w:b/>
          <w:color w:val="000000" w:themeColor="text1"/>
        </w:rPr>
        <w:t>06178/INFOEM/IP/RR/2025, 06185/INFOEM/IP/RR/2025 y 06282/INFOEM/IP/RR/2025</w:t>
      </w:r>
      <w:r w:rsidR="00A362BA" w:rsidRPr="007E4696">
        <w:rPr>
          <w:rFonts w:ascii="Palatino Linotype" w:eastAsia="Palatino Linotype" w:hAnsi="Palatino Linotype" w:cs="Palatino Linotype"/>
          <w:b/>
          <w:color w:val="000000" w:themeColor="text1"/>
        </w:rPr>
        <w:t>,</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en contra de las respuestas emitidas por el sujeto obligado, realizando </w:t>
      </w:r>
      <w:r w:rsidR="00920AC7" w:rsidRPr="007E4696">
        <w:rPr>
          <w:rFonts w:ascii="Palatino Linotype" w:eastAsia="Palatino Linotype" w:hAnsi="Palatino Linotype" w:cs="Palatino Linotype"/>
          <w:color w:val="000000" w:themeColor="text1"/>
        </w:rPr>
        <w:t>las</w:t>
      </w:r>
      <w:r w:rsidRPr="007E4696">
        <w:rPr>
          <w:rFonts w:ascii="Palatino Linotype" w:eastAsia="Palatino Linotype" w:hAnsi="Palatino Linotype" w:cs="Palatino Linotype"/>
          <w:color w:val="000000" w:themeColor="text1"/>
        </w:rPr>
        <w:t xml:space="preserve"> </w:t>
      </w:r>
      <w:r w:rsidR="00920AC7" w:rsidRPr="007E4696">
        <w:rPr>
          <w:rFonts w:ascii="Palatino Linotype" w:eastAsia="Palatino Linotype" w:hAnsi="Palatino Linotype" w:cs="Palatino Linotype"/>
          <w:color w:val="000000" w:themeColor="text1"/>
        </w:rPr>
        <w:t xml:space="preserve">siguientes </w:t>
      </w:r>
      <w:r w:rsidRPr="007E4696">
        <w:rPr>
          <w:rFonts w:ascii="Palatino Linotype" w:eastAsia="Palatino Linotype" w:hAnsi="Palatino Linotype" w:cs="Palatino Linotype"/>
          <w:color w:val="000000" w:themeColor="text1"/>
        </w:rPr>
        <w:t>manifestaciones como acto impugnado y razones o motivos de inconformidad:</w:t>
      </w:r>
    </w:p>
    <w:p w:rsidR="005F5122" w:rsidRPr="007E4696" w:rsidRDefault="005F5122" w:rsidP="009957ED">
      <w:pPr>
        <w:pBdr>
          <w:top w:val="nil"/>
          <w:left w:val="nil"/>
          <w:bottom w:val="nil"/>
          <w:right w:val="nil"/>
          <w:between w:val="nil"/>
        </w:pBdr>
        <w:jc w:val="both"/>
        <w:rPr>
          <w:rFonts w:ascii="Palatino Linotype" w:eastAsia="Palatino Linotype" w:hAnsi="Palatino Linotype" w:cs="Palatino Linotype"/>
          <w:b/>
          <w:color w:val="000000" w:themeColor="text1"/>
        </w:rPr>
      </w:pPr>
    </w:p>
    <w:p w:rsidR="00920AC7" w:rsidRPr="007E4696" w:rsidRDefault="00920AC7" w:rsidP="009957ED">
      <w:pPr>
        <w:pStyle w:val="Prrafodelista"/>
        <w:numPr>
          <w:ilvl w:val="0"/>
          <w:numId w:val="32"/>
        </w:numPr>
        <w:pBdr>
          <w:top w:val="nil"/>
          <w:left w:val="nil"/>
          <w:bottom w:val="nil"/>
          <w:right w:val="nil"/>
          <w:between w:val="nil"/>
        </w:pBdr>
        <w:ind w:left="0"/>
        <w:jc w:val="both"/>
        <w:rPr>
          <w:rFonts w:ascii="Palatino Linotype" w:eastAsia="Palatino Linotype" w:hAnsi="Palatino Linotype" w:cs="Palatino Linotype"/>
          <w:b/>
          <w:color w:val="000000" w:themeColor="text1"/>
        </w:rPr>
      </w:pPr>
      <w:bookmarkStart w:id="2" w:name="_heading=h.30j0zll" w:colFirst="0" w:colLast="0"/>
      <w:bookmarkEnd w:id="2"/>
      <w:r w:rsidRPr="007E4696">
        <w:rPr>
          <w:rFonts w:ascii="Palatino Linotype" w:eastAsia="Palatino Linotype" w:hAnsi="Palatino Linotype" w:cs="Palatino Linotype"/>
          <w:b/>
          <w:color w:val="000000" w:themeColor="text1"/>
        </w:rPr>
        <w:t>06178/INFOEM/IP/RR/2025</w:t>
      </w:r>
    </w:p>
    <w:p w:rsidR="0072148B" w:rsidRPr="00DA61C7" w:rsidRDefault="00A077F4" w:rsidP="00DA61C7">
      <w:pPr>
        <w:pStyle w:val="Prrafodelista"/>
        <w:numPr>
          <w:ilvl w:val="0"/>
          <w:numId w:val="32"/>
        </w:numPr>
        <w:pBdr>
          <w:top w:val="nil"/>
          <w:left w:val="nil"/>
          <w:bottom w:val="nil"/>
          <w:right w:val="nil"/>
          <w:between w:val="nil"/>
        </w:pBdr>
        <w:ind w:left="709"/>
        <w:jc w:val="both"/>
        <w:rPr>
          <w:rFonts w:ascii="Palatino Linotype" w:eastAsia="Palatino Linotype" w:hAnsi="Palatino Linotype" w:cs="Palatino Linotype"/>
          <w:i/>
          <w:color w:val="000000" w:themeColor="text1"/>
        </w:rPr>
      </w:pPr>
      <w:r w:rsidRPr="00DA61C7">
        <w:rPr>
          <w:rFonts w:ascii="Palatino Linotype" w:eastAsia="Palatino Linotype" w:hAnsi="Palatino Linotype" w:cs="Palatino Linotype"/>
          <w:b/>
          <w:color w:val="000000" w:themeColor="text1"/>
        </w:rPr>
        <w:t xml:space="preserve">Acto impugnado: </w:t>
      </w:r>
      <w:r w:rsidRPr="00DA61C7">
        <w:rPr>
          <w:rFonts w:ascii="Palatino Linotype" w:eastAsia="Palatino Linotype" w:hAnsi="Palatino Linotype" w:cs="Palatino Linotype"/>
          <w:i/>
          <w:color w:val="000000" w:themeColor="text1"/>
        </w:rPr>
        <w:t>“</w:t>
      </w:r>
      <w:r w:rsidR="00C014F6" w:rsidRPr="00DA61C7">
        <w:rPr>
          <w:rFonts w:ascii="Palatino Linotype" w:eastAsia="Palatino Linotype" w:hAnsi="Palatino Linotype" w:cs="Palatino Linotype"/>
          <w:i/>
          <w:color w:val="000000" w:themeColor="text1"/>
        </w:rPr>
        <w:t>RESPUESTA A SOLICITUD 00284/PLEGISLA/IP/2025</w:t>
      </w:r>
      <w:r w:rsidRPr="00DA61C7">
        <w:rPr>
          <w:rFonts w:ascii="Palatino Linotype" w:eastAsia="Palatino Linotype" w:hAnsi="Palatino Linotype" w:cs="Palatino Linotype"/>
          <w:i/>
          <w:color w:val="000000" w:themeColor="text1"/>
        </w:rPr>
        <w:t>” (Sic)</w:t>
      </w:r>
    </w:p>
    <w:p w:rsidR="005F5122" w:rsidRPr="007E4696" w:rsidRDefault="005F5122"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DA61C7" w:rsidRDefault="00A077F4" w:rsidP="00DA61C7">
      <w:pPr>
        <w:pStyle w:val="Prrafodelista"/>
        <w:numPr>
          <w:ilvl w:val="0"/>
          <w:numId w:val="32"/>
        </w:numPr>
        <w:pBdr>
          <w:top w:val="nil"/>
          <w:left w:val="nil"/>
          <w:bottom w:val="nil"/>
          <w:right w:val="nil"/>
          <w:between w:val="nil"/>
        </w:pBdr>
        <w:ind w:left="709"/>
        <w:jc w:val="both"/>
        <w:rPr>
          <w:rFonts w:ascii="Palatino Linotype" w:eastAsia="Palatino Linotype" w:hAnsi="Palatino Linotype" w:cs="Palatino Linotype"/>
          <w:i/>
          <w:color w:val="000000" w:themeColor="text1"/>
        </w:rPr>
      </w:pPr>
      <w:bookmarkStart w:id="3" w:name="_heading=h.1fob9te" w:colFirst="0" w:colLast="0"/>
      <w:bookmarkEnd w:id="3"/>
      <w:r w:rsidRPr="00DA61C7">
        <w:rPr>
          <w:rFonts w:ascii="Palatino Linotype" w:eastAsia="Palatino Linotype" w:hAnsi="Palatino Linotype" w:cs="Palatino Linotype"/>
          <w:b/>
          <w:color w:val="000000" w:themeColor="text1"/>
        </w:rPr>
        <w:t xml:space="preserve">Razones o Motivos de inconformidad: </w:t>
      </w:r>
      <w:r w:rsidRPr="00DA61C7">
        <w:rPr>
          <w:rFonts w:ascii="Palatino Linotype" w:eastAsia="Palatino Linotype" w:hAnsi="Palatino Linotype" w:cs="Palatino Linotype"/>
          <w:i/>
          <w:color w:val="000000" w:themeColor="text1"/>
        </w:rPr>
        <w:t>“</w:t>
      </w:r>
      <w:r w:rsidR="00C014F6" w:rsidRPr="00DA61C7">
        <w:rPr>
          <w:rFonts w:ascii="Palatino Linotype" w:eastAsia="Palatino Linotype" w:hAnsi="Palatino Linotype" w:cs="Palatino Linotype"/>
          <w:i/>
          <w:color w:val="000000" w:themeColor="text1"/>
        </w:rPr>
        <w:t>EN SU RESPUESTA A LA PRESENTE SOLICITUD DE INFORMACION EL SUJETO OBLIGADO PRESENTA UNA LIGA ELECTRONICA QUE NO CONTIENE LA DOCUMENTACIÓN REQUERIDA EN LA SOLICITUD, EN LA CUAL REQUERIMOS LOS COMPROBANTES DE LOS PAGOS REALIZADOS MEDIANTE CHQUE Y TRANSFERENCIA ELECTRÓNICA CORRESPONDIENTES A LOS GASTOS REALIZADOS CON RECURSOS PÚBLICOS DE LAS PARTIDAS 3611 Y 3612 EN DICIEMBRE DE 2024. EN LA LIGA OFRECIDA SE ENCUENTRAN FACTURAS DE L PARTIDA 3612 Y NO LOS COM PROBANTES DE PAGO.</w:t>
      </w:r>
      <w:r w:rsidRPr="00DA61C7">
        <w:rPr>
          <w:rFonts w:ascii="Palatino Linotype" w:eastAsia="Palatino Linotype" w:hAnsi="Palatino Linotype" w:cs="Palatino Linotype"/>
          <w:i/>
          <w:color w:val="000000" w:themeColor="text1"/>
        </w:rPr>
        <w:t xml:space="preserve">” </w:t>
      </w:r>
      <w:r w:rsidRPr="00DA61C7">
        <w:rPr>
          <w:rFonts w:ascii="Palatino Linotype" w:eastAsia="Palatino Linotype" w:hAnsi="Palatino Linotype" w:cs="Palatino Linotype"/>
          <w:color w:val="000000" w:themeColor="text1"/>
        </w:rPr>
        <w:t>(Sic)</w:t>
      </w:r>
      <w:r w:rsidR="00EC3336" w:rsidRPr="00DA61C7">
        <w:rPr>
          <w:rFonts w:ascii="Palatino Linotype" w:eastAsia="Palatino Linotype" w:hAnsi="Palatino Linotype" w:cs="Palatino Linotype"/>
          <w:color w:val="000000" w:themeColor="text1"/>
        </w:rPr>
        <w:t xml:space="preserve"> </w:t>
      </w:r>
    </w:p>
    <w:p w:rsidR="00920AC7" w:rsidRPr="007E4696" w:rsidRDefault="00920AC7" w:rsidP="009957ED">
      <w:pPr>
        <w:pStyle w:val="Prrafodelista"/>
        <w:numPr>
          <w:ilvl w:val="0"/>
          <w:numId w:val="3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06185/INFOEM/IP/RR/2025</w:t>
      </w:r>
    </w:p>
    <w:p w:rsidR="00920AC7" w:rsidRPr="00DA61C7" w:rsidRDefault="00920AC7" w:rsidP="00DA61C7">
      <w:pPr>
        <w:pStyle w:val="Prrafodelista"/>
        <w:numPr>
          <w:ilvl w:val="0"/>
          <w:numId w:val="32"/>
        </w:num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DA61C7">
        <w:rPr>
          <w:rFonts w:ascii="Palatino Linotype" w:eastAsia="Palatino Linotype" w:hAnsi="Palatino Linotype" w:cs="Palatino Linotype"/>
          <w:b/>
          <w:color w:val="000000" w:themeColor="text1"/>
        </w:rPr>
        <w:t xml:space="preserve">Acto impugnado: </w:t>
      </w:r>
      <w:r w:rsidRPr="00DA61C7">
        <w:rPr>
          <w:rFonts w:ascii="Palatino Linotype" w:eastAsia="Palatino Linotype" w:hAnsi="Palatino Linotype" w:cs="Palatino Linotype"/>
          <w:i/>
          <w:color w:val="000000" w:themeColor="text1"/>
        </w:rPr>
        <w:t>“</w:t>
      </w:r>
      <w:r w:rsidR="0091616A" w:rsidRPr="00DA61C7">
        <w:rPr>
          <w:rFonts w:ascii="Palatino Linotype" w:eastAsia="Palatino Linotype" w:hAnsi="Palatino Linotype" w:cs="Palatino Linotype"/>
          <w:i/>
          <w:color w:val="000000" w:themeColor="text1"/>
        </w:rPr>
        <w:t>RESPUESTA A LA SOLICITUD 00283/PLEGISLA/IP/2025</w:t>
      </w:r>
      <w:r w:rsidRPr="00DA61C7">
        <w:rPr>
          <w:rFonts w:ascii="Palatino Linotype" w:eastAsia="Palatino Linotype" w:hAnsi="Palatino Linotype" w:cs="Palatino Linotype"/>
          <w:i/>
          <w:color w:val="000000" w:themeColor="text1"/>
        </w:rPr>
        <w:t>” (Sic)</w:t>
      </w:r>
    </w:p>
    <w:p w:rsidR="00920AC7" w:rsidRPr="007E4696" w:rsidRDefault="00920AC7" w:rsidP="009957ED">
      <w:pPr>
        <w:pBdr>
          <w:top w:val="nil"/>
          <w:left w:val="nil"/>
          <w:bottom w:val="nil"/>
          <w:right w:val="nil"/>
          <w:between w:val="nil"/>
        </w:pBdr>
        <w:jc w:val="both"/>
        <w:rPr>
          <w:rFonts w:ascii="Palatino Linotype" w:eastAsia="Palatino Linotype" w:hAnsi="Palatino Linotype" w:cs="Palatino Linotype"/>
          <w:i/>
          <w:color w:val="000000" w:themeColor="text1"/>
        </w:rPr>
      </w:pPr>
    </w:p>
    <w:p w:rsidR="00920AC7" w:rsidRPr="00DA61C7" w:rsidRDefault="00920AC7" w:rsidP="00DA61C7">
      <w:pPr>
        <w:pStyle w:val="Prrafodelista"/>
        <w:numPr>
          <w:ilvl w:val="0"/>
          <w:numId w:val="32"/>
        </w:num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DA61C7">
        <w:rPr>
          <w:rFonts w:ascii="Palatino Linotype" w:eastAsia="Palatino Linotype" w:hAnsi="Palatino Linotype" w:cs="Palatino Linotype"/>
          <w:b/>
          <w:color w:val="000000" w:themeColor="text1"/>
        </w:rPr>
        <w:t>Razones o Motivos de inconformidad</w:t>
      </w:r>
      <w:r w:rsidRPr="00DA61C7">
        <w:rPr>
          <w:rFonts w:ascii="Palatino Linotype" w:eastAsia="Palatino Linotype" w:hAnsi="Palatino Linotype" w:cs="Palatino Linotype"/>
          <w:i/>
          <w:color w:val="000000" w:themeColor="text1"/>
        </w:rPr>
        <w:t>: “</w:t>
      </w:r>
      <w:r w:rsidR="0091616A" w:rsidRPr="00DA61C7">
        <w:rPr>
          <w:rFonts w:ascii="Palatino Linotype" w:eastAsia="Palatino Linotype" w:hAnsi="Palatino Linotype" w:cs="Palatino Linotype"/>
          <w:i/>
          <w:color w:val="000000" w:themeColor="text1"/>
        </w:rPr>
        <w:t>LA CLASIFICACION COMO INFORMACIÓN CONFIDENCIAL QUE LLEVA A CABO EL SUJETO OBLIGADO A TRAVÉS DE SU COMITÉ DE TRANSPARENCIA ES ILEGAL, YA QUE LA INFORMACIÓN REQUERIDA EN LA PRESENTE SOLICITUD DE INFORMACIÓN ES DE CARACTER PÚBLICO. EN ESTE CASO, LOS COMPROBANTES DE PAGO MEDIANTE RECURSOS PÚBLICOS SE TRATA DE DOCUMENTOS PÚBLICOS QUE LOS CIUDADANOS TENEMOS DERECHO DE CONOCER. LA CLASIFICACIÓN IMPUESTA POR EL SUJETO OBLIGADO VIOLA EN ESENCIA Y FUNDAMENTO EL OBJETIVO CENTRAL DE LA LEY DE TRANSPARENCIA Y ACCESO A LA INFORMACIÓN PÚBLICA DEL ESTADO DE MÉXICO Y MUNICIPIOS, QUE ES PERMITIR EL ACCESO DE LOS CIUDADANOS A CONOCER LA FORMA EN QUE SE APLICAN LOS RECURSOS PÚBLICOS. POR LO ANTERIOR, SOLICITO SE REVOQUE EL ACUERDO QUE CLASIFICA COMO CONFIDENCIA LA INFORMACIÓN SOLICITADA Y SE ORDENE AL SUJETO OBLIGADO LA ENTREGA DE LA MISMA EN LOS TÉRMINOS EXPRESADOS EN LA PETICIÓN.</w:t>
      </w:r>
      <w:r w:rsidRPr="00DA61C7">
        <w:rPr>
          <w:rFonts w:ascii="Palatino Linotype" w:eastAsia="Palatino Linotype" w:hAnsi="Palatino Linotype" w:cs="Palatino Linotype"/>
          <w:i/>
          <w:color w:val="000000" w:themeColor="text1"/>
        </w:rPr>
        <w:t>” (Sic)</w:t>
      </w:r>
    </w:p>
    <w:p w:rsidR="00920AC7" w:rsidRPr="007E4696" w:rsidRDefault="00920AC7" w:rsidP="009957E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7E4696" w:rsidRDefault="00920AC7" w:rsidP="009957ED">
      <w:pPr>
        <w:pStyle w:val="Prrafodelista"/>
        <w:numPr>
          <w:ilvl w:val="0"/>
          <w:numId w:val="3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06282/INFOEM/IP/RR/2025</w:t>
      </w:r>
    </w:p>
    <w:p w:rsidR="00920AC7" w:rsidRPr="00DA61C7" w:rsidRDefault="00920AC7" w:rsidP="00DA61C7">
      <w:pPr>
        <w:pStyle w:val="Prrafodelista"/>
        <w:numPr>
          <w:ilvl w:val="0"/>
          <w:numId w:val="32"/>
        </w:num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DA61C7">
        <w:rPr>
          <w:rFonts w:ascii="Palatino Linotype" w:eastAsia="Palatino Linotype" w:hAnsi="Palatino Linotype" w:cs="Palatino Linotype"/>
          <w:b/>
          <w:color w:val="000000" w:themeColor="text1"/>
        </w:rPr>
        <w:t xml:space="preserve">Acto impugnado: </w:t>
      </w:r>
      <w:r w:rsidRPr="00DA61C7">
        <w:rPr>
          <w:rFonts w:ascii="Palatino Linotype" w:eastAsia="Palatino Linotype" w:hAnsi="Palatino Linotype" w:cs="Palatino Linotype"/>
          <w:i/>
          <w:color w:val="000000" w:themeColor="text1"/>
        </w:rPr>
        <w:t>“</w:t>
      </w:r>
      <w:r w:rsidR="00B560FD" w:rsidRPr="00DA61C7">
        <w:rPr>
          <w:rFonts w:ascii="Palatino Linotype" w:eastAsia="Palatino Linotype" w:hAnsi="Palatino Linotype" w:cs="Palatino Linotype"/>
          <w:i/>
          <w:color w:val="000000" w:themeColor="text1"/>
        </w:rPr>
        <w:t>RESPUESTA A LA SOLICITUD 00286/PLEGISLA/IP/2025</w:t>
      </w:r>
      <w:r w:rsidRPr="00DA61C7">
        <w:rPr>
          <w:rFonts w:ascii="Palatino Linotype" w:eastAsia="Palatino Linotype" w:hAnsi="Palatino Linotype" w:cs="Palatino Linotype"/>
          <w:i/>
          <w:color w:val="000000" w:themeColor="text1"/>
        </w:rPr>
        <w:t>” (Sic)</w:t>
      </w:r>
    </w:p>
    <w:p w:rsidR="00920AC7" w:rsidRPr="007E4696" w:rsidRDefault="00920AC7" w:rsidP="00DA61C7">
      <w:pPr>
        <w:pBdr>
          <w:top w:val="nil"/>
          <w:left w:val="nil"/>
          <w:bottom w:val="nil"/>
          <w:right w:val="nil"/>
          <w:between w:val="nil"/>
        </w:pBdr>
        <w:ind w:left="567"/>
        <w:jc w:val="both"/>
        <w:rPr>
          <w:rFonts w:ascii="Palatino Linotype" w:eastAsia="Palatino Linotype" w:hAnsi="Palatino Linotype" w:cs="Palatino Linotype"/>
          <w:i/>
          <w:color w:val="000000" w:themeColor="text1"/>
        </w:rPr>
      </w:pPr>
    </w:p>
    <w:p w:rsidR="00920AC7" w:rsidRPr="00DA61C7" w:rsidRDefault="00920AC7" w:rsidP="00DA61C7">
      <w:pPr>
        <w:pStyle w:val="Prrafodelista"/>
        <w:numPr>
          <w:ilvl w:val="0"/>
          <w:numId w:val="32"/>
        </w:num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DA61C7">
        <w:rPr>
          <w:rFonts w:ascii="Palatino Linotype" w:eastAsia="Palatino Linotype" w:hAnsi="Palatino Linotype" w:cs="Palatino Linotype"/>
          <w:b/>
          <w:color w:val="000000" w:themeColor="text1"/>
        </w:rPr>
        <w:t>Razones o Motivos de inconformidad</w:t>
      </w:r>
      <w:r w:rsidRPr="00DA61C7">
        <w:rPr>
          <w:rFonts w:ascii="Palatino Linotype" w:eastAsia="Palatino Linotype" w:hAnsi="Palatino Linotype" w:cs="Palatino Linotype"/>
          <w:i/>
          <w:color w:val="000000" w:themeColor="text1"/>
        </w:rPr>
        <w:t>: “</w:t>
      </w:r>
      <w:r w:rsidR="00B560FD" w:rsidRPr="00DA61C7">
        <w:rPr>
          <w:rFonts w:ascii="Palatino Linotype" w:eastAsia="Palatino Linotype" w:hAnsi="Palatino Linotype" w:cs="Palatino Linotype"/>
          <w:i/>
          <w:color w:val="000000" w:themeColor="text1"/>
        </w:rPr>
        <w:t xml:space="preserve">LA CLASIFICACION COMO INFORMACIÓN CONFIDENCIAL QUE LLEVA A CABO EL SUJETO OBLIGADO A TRAVÉS DE SU COMITÉ DE TRANSPARENCIA ES CONTRARIA A LA LEY, YA QUE LA INFORMACIÓN REQUERIDA EN LA PRESENTE SOLICITUD DE INFORMACIÓN ES DE CARACTER PÚBLICO. EN ESTE CASO, LOS COMPROBANTES DE PAGO MEDIANTE RECURSOS PÚBLICOS SE TRATA DE DOCUMENTOS PÚBLICOS QUE LOS CIUDADANOS TENEMOS DERECHO DE CONOCER. LA CLASIFICACIÓN IMPUESTA POR EL SUJETO OBLIGADO VIOLA EN ESENCIA Y FUNDAMENTO EL OBJETIVO CENTRAL DE LA LEY DE TRANSPARENCIA Y ACCESO A LA INFORMACIÓN PÚBLICA DEL ESTADO DE MÉXICO Y MUNICIPIOS, QUE ES PERMITIR EL ACCESO DE LOS CIUDADANOS A CONOCER LA FORMA EN QUE SE APLICAN LOS RECURSOS </w:t>
      </w:r>
      <w:r w:rsidR="00B560FD" w:rsidRPr="00DA61C7">
        <w:rPr>
          <w:rFonts w:ascii="Palatino Linotype" w:eastAsia="Palatino Linotype" w:hAnsi="Palatino Linotype" w:cs="Palatino Linotype"/>
          <w:i/>
          <w:color w:val="000000" w:themeColor="text1"/>
        </w:rPr>
        <w:lastRenderedPageBreak/>
        <w:t>PÚBLICOS. POR LO ANTERIOR, SOLICITO SE REVOQUE EL ACUERDO QUE CLASIFICA COMO CONFIDENCIA LA INFORMACIÓN SOLICITADA Y SE ORDENE AL SUJETO OBLIGADO LA ENTREGA DE LA MISMA EN LOS TÉRMINOS EXPRESADOS EN LA PETICIÓN.</w:t>
      </w:r>
      <w:r w:rsidRPr="00DA61C7">
        <w:rPr>
          <w:rFonts w:ascii="Palatino Linotype" w:eastAsia="Palatino Linotype" w:hAnsi="Palatino Linotype" w:cs="Palatino Linotype"/>
          <w:i/>
          <w:color w:val="000000" w:themeColor="text1"/>
        </w:rPr>
        <w:t>” (Sic)</w:t>
      </w:r>
    </w:p>
    <w:p w:rsidR="00C014F6" w:rsidRPr="007E4696" w:rsidRDefault="00C014F6" w:rsidP="009957ED">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u w:val="single"/>
        </w:rPr>
      </w:pPr>
    </w:p>
    <w:p w:rsidR="0072148B" w:rsidRPr="007E4696" w:rsidRDefault="00C014F6" w:rsidP="009957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Los Comisionados de origen,</w:t>
      </w:r>
      <w:r w:rsidR="00A077F4" w:rsidRPr="007E4696">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7E4696">
        <w:rPr>
          <w:rFonts w:ascii="Palatino Linotype" w:eastAsia="Palatino Linotype" w:hAnsi="Palatino Linotype" w:cs="Palatino Linotype"/>
          <w:b/>
          <w:color w:val="000000" w:themeColor="text1"/>
        </w:rPr>
        <w:t xml:space="preserve">acuerdos de admisión </w:t>
      </w:r>
      <w:r w:rsidR="00A077F4" w:rsidRPr="007E4696">
        <w:rPr>
          <w:rFonts w:ascii="Palatino Linotype" w:eastAsia="Palatino Linotype" w:hAnsi="Palatino Linotype" w:cs="Palatino Linotype"/>
          <w:color w:val="000000" w:themeColor="text1"/>
        </w:rPr>
        <w:t xml:space="preserve">de fechas </w:t>
      </w:r>
      <w:r w:rsidRPr="007E4696">
        <w:rPr>
          <w:rFonts w:ascii="Palatino Linotype" w:eastAsia="Palatino Linotype" w:hAnsi="Palatino Linotype" w:cs="Palatino Linotype"/>
          <w:b/>
          <w:color w:val="000000" w:themeColor="text1"/>
        </w:rPr>
        <w:t>veintinueve de mayo, dos y tres de junio</w:t>
      </w:r>
      <w:r w:rsidR="00974B85" w:rsidRPr="007E4696">
        <w:rPr>
          <w:rFonts w:ascii="Palatino Linotype" w:eastAsia="Palatino Linotype" w:hAnsi="Palatino Linotype" w:cs="Palatino Linotype"/>
          <w:b/>
          <w:color w:val="000000" w:themeColor="text1"/>
        </w:rPr>
        <w:t xml:space="preserve"> </w:t>
      </w:r>
      <w:r w:rsidR="00A077F4" w:rsidRPr="007E4696">
        <w:rPr>
          <w:rFonts w:ascii="Palatino Linotype" w:eastAsia="Palatino Linotype" w:hAnsi="Palatino Linotype" w:cs="Palatino Linotype"/>
          <w:b/>
          <w:color w:val="000000" w:themeColor="text1"/>
        </w:rPr>
        <w:t xml:space="preserve">de dos mil veinticinco, </w:t>
      </w:r>
      <w:r w:rsidRPr="007E4696">
        <w:rPr>
          <w:rFonts w:ascii="Palatino Linotype" w:eastAsia="Palatino Linotype" w:hAnsi="Palatino Linotype" w:cs="Palatino Linotype"/>
          <w:color w:val="000000" w:themeColor="text1"/>
        </w:rPr>
        <w:t>pusieron</w:t>
      </w:r>
      <w:r w:rsidR="00A077F4" w:rsidRPr="007E4696">
        <w:rPr>
          <w:rFonts w:ascii="Palatino Linotype" w:eastAsia="Palatino Linotype" w:hAnsi="Palatino Linotype" w:cs="Palatino Linotype"/>
          <w:color w:val="000000" w:themeColor="text1"/>
        </w:rPr>
        <w:t xml:space="preserve"> a disposición de las partes </w:t>
      </w:r>
      <w:r w:rsidR="000959FB" w:rsidRPr="007E4696">
        <w:rPr>
          <w:rFonts w:ascii="Palatino Linotype" w:eastAsia="Palatino Linotype" w:hAnsi="Palatino Linotype" w:cs="Palatino Linotype"/>
          <w:color w:val="000000" w:themeColor="text1"/>
        </w:rPr>
        <w:t>los</w:t>
      </w:r>
      <w:r w:rsidR="00A077F4" w:rsidRPr="007E4696">
        <w:rPr>
          <w:rFonts w:ascii="Palatino Linotype" w:eastAsia="Palatino Linotype" w:hAnsi="Palatino Linotype" w:cs="Palatino Linotype"/>
          <w:color w:val="000000" w:themeColor="text1"/>
        </w:rPr>
        <w:t xml:space="preserve"> expediente</w:t>
      </w:r>
      <w:r w:rsidR="000959FB" w:rsidRPr="007E4696">
        <w:rPr>
          <w:rFonts w:ascii="Palatino Linotype" w:eastAsia="Palatino Linotype" w:hAnsi="Palatino Linotype" w:cs="Palatino Linotype"/>
          <w:color w:val="000000" w:themeColor="text1"/>
        </w:rPr>
        <w:t>s</w:t>
      </w:r>
      <w:r w:rsidR="00A077F4" w:rsidRPr="007E4696">
        <w:rPr>
          <w:rFonts w:ascii="Palatino Linotype" w:eastAsia="Palatino Linotype" w:hAnsi="Palatino Linotype" w:cs="Palatino Linotype"/>
          <w:color w:val="000000" w:themeColor="text1"/>
        </w:rPr>
        <w:t xml:space="preserve"> electrónico</w:t>
      </w:r>
      <w:r w:rsidR="000959FB" w:rsidRPr="007E4696">
        <w:rPr>
          <w:rFonts w:ascii="Palatino Linotype" w:eastAsia="Palatino Linotype" w:hAnsi="Palatino Linotype" w:cs="Palatino Linotype"/>
          <w:color w:val="000000" w:themeColor="text1"/>
        </w:rPr>
        <w:t>s</w:t>
      </w:r>
      <w:r w:rsidR="00A077F4" w:rsidRPr="007E4696">
        <w:rPr>
          <w:rFonts w:ascii="Palatino Linotype" w:eastAsia="Palatino Linotype" w:hAnsi="Palatino Linotype" w:cs="Palatino Linotype"/>
          <w:color w:val="000000" w:themeColor="text1"/>
        </w:rPr>
        <w:t xml:space="preserve"> vía SAIMEX a efecto de que en un plazo máximo de siete días manifestara lo que a su derecho conviniera, ofreciera pruebas y alegatos según corresponda al caso concreto, de esta forma para que el </w:t>
      </w:r>
      <w:r w:rsidR="00A077F4" w:rsidRPr="007E4696">
        <w:rPr>
          <w:rFonts w:ascii="Palatino Linotype" w:eastAsia="Palatino Linotype" w:hAnsi="Palatino Linotype" w:cs="Palatino Linotype"/>
          <w:b/>
          <w:color w:val="000000" w:themeColor="text1"/>
        </w:rPr>
        <w:t xml:space="preserve">SUJETO OBLIGADO </w:t>
      </w:r>
      <w:r w:rsidR="00A077F4" w:rsidRPr="007E4696">
        <w:rPr>
          <w:rFonts w:ascii="Palatino Linotype" w:eastAsia="Palatino Linotype" w:hAnsi="Palatino Linotype" w:cs="Palatino Linotype"/>
          <w:color w:val="000000" w:themeColor="text1"/>
        </w:rPr>
        <w:t>presentara Informe</w:t>
      </w:r>
      <w:r w:rsidR="000959FB" w:rsidRPr="007E4696">
        <w:rPr>
          <w:rFonts w:ascii="Palatino Linotype" w:eastAsia="Palatino Linotype" w:hAnsi="Palatino Linotype" w:cs="Palatino Linotype"/>
          <w:color w:val="000000" w:themeColor="text1"/>
        </w:rPr>
        <w:t>s</w:t>
      </w:r>
      <w:r w:rsidR="00A077F4" w:rsidRPr="007E4696">
        <w:rPr>
          <w:rFonts w:ascii="Palatino Linotype" w:eastAsia="Palatino Linotype" w:hAnsi="Palatino Linotype" w:cs="Palatino Linotype"/>
          <w:color w:val="000000" w:themeColor="text1"/>
        </w:rPr>
        <w:t xml:space="preserve"> Justificado</w:t>
      </w:r>
      <w:r w:rsidR="000959FB" w:rsidRPr="007E4696">
        <w:rPr>
          <w:rFonts w:ascii="Palatino Linotype" w:eastAsia="Palatino Linotype" w:hAnsi="Palatino Linotype" w:cs="Palatino Linotype"/>
          <w:color w:val="000000" w:themeColor="text1"/>
        </w:rPr>
        <w:t>s</w:t>
      </w:r>
      <w:r w:rsidR="00A077F4" w:rsidRPr="007E4696">
        <w:rPr>
          <w:rFonts w:ascii="Palatino Linotype" w:eastAsia="Palatino Linotype" w:hAnsi="Palatino Linotype" w:cs="Palatino Linotype"/>
          <w:color w:val="000000" w:themeColor="text1"/>
        </w:rPr>
        <w:t xml:space="preserve"> procedente</w:t>
      </w:r>
      <w:r w:rsidR="000959FB" w:rsidRPr="007E4696">
        <w:rPr>
          <w:rFonts w:ascii="Palatino Linotype" w:eastAsia="Palatino Linotype" w:hAnsi="Palatino Linotype" w:cs="Palatino Linotype"/>
          <w:color w:val="000000" w:themeColor="text1"/>
        </w:rPr>
        <w:t>s</w:t>
      </w:r>
      <w:r w:rsidR="00A077F4" w:rsidRPr="007E4696">
        <w:rPr>
          <w:rFonts w:ascii="Palatino Linotype" w:eastAsia="Palatino Linotype" w:hAnsi="Palatino Linotype" w:cs="Palatino Linotype"/>
          <w:color w:val="000000" w:themeColor="text1"/>
        </w:rPr>
        <w:t>.</w:t>
      </w:r>
    </w:p>
    <w:p w:rsidR="004E0AFD" w:rsidRPr="007E4696" w:rsidRDefault="004E0AFD" w:rsidP="00995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7E4696" w:rsidRDefault="004E0AFD"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El Recurrente</w:t>
      </w:r>
      <w:r w:rsidR="00FA67E2" w:rsidRPr="007E4696">
        <w:rPr>
          <w:rFonts w:ascii="Palatino Linotype" w:eastAsia="Palatino Linotype" w:hAnsi="Palatino Linotype" w:cs="Palatino Linotype"/>
          <w:color w:val="000000" w:themeColor="text1"/>
        </w:rPr>
        <w:t xml:space="preserve"> </w:t>
      </w:r>
      <w:r w:rsidRPr="007E4696">
        <w:rPr>
          <w:rFonts w:ascii="Palatino Linotype" w:eastAsia="Palatino Linotype" w:hAnsi="Palatino Linotype" w:cs="Palatino Linotype"/>
          <w:color w:val="000000" w:themeColor="text1"/>
        </w:rPr>
        <w:t>dejó de realizar manifestaciones que a su derecho conviniera y asistiera. Por su parte, el Sujeto Obligado,</w:t>
      </w:r>
      <w:r w:rsidRPr="007E4696">
        <w:rPr>
          <w:rFonts w:ascii="Palatino Linotype" w:eastAsia="Palatino Linotype" w:hAnsi="Palatino Linotype" w:cs="Palatino Linotype"/>
          <w:b/>
          <w:color w:val="000000" w:themeColor="text1"/>
        </w:rPr>
        <w:t xml:space="preserve"> </w:t>
      </w:r>
      <w:r w:rsidR="00974B85" w:rsidRPr="007E4696">
        <w:rPr>
          <w:rFonts w:ascii="Palatino Linotype" w:eastAsia="Palatino Linotype" w:hAnsi="Palatino Linotype" w:cs="Palatino Linotype"/>
          <w:color w:val="000000" w:themeColor="text1"/>
        </w:rPr>
        <w:t>en fecha</w:t>
      </w:r>
      <w:r w:rsidR="005F2E45" w:rsidRPr="007E4696">
        <w:rPr>
          <w:rFonts w:ascii="Palatino Linotype" w:eastAsia="Palatino Linotype" w:hAnsi="Palatino Linotype" w:cs="Palatino Linotype"/>
          <w:color w:val="000000" w:themeColor="text1"/>
        </w:rPr>
        <w:t>s</w:t>
      </w:r>
      <w:r w:rsidR="00974B85" w:rsidRPr="007E4696">
        <w:rPr>
          <w:rFonts w:ascii="Palatino Linotype" w:eastAsia="Palatino Linotype" w:hAnsi="Palatino Linotype" w:cs="Palatino Linotype"/>
          <w:b/>
          <w:color w:val="000000" w:themeColor="text1"/>
        </w:rPr>
        <w:t xml:space="preserve"> </w:t>
      </w:r>
      <w:r w:rsidR="00B152FD" w:rsidRPr="007E4696">
        <w:rPr>
          <w:rFonts w:ascii="Palatino Linotype" w:eastAsia="Palatino Linotype" w:hAnsi="Palatino Linotype" w:cs="Palatino Linotype"/>
          <w:b/>
          <w:color w:val="000000" w:themeColor="text1"/>
        </w:rPr>
        <w:t>nueve, doce y once de junio</w:t>
      </w:r>
      <w:r w:rsidR="00974B85" w:rsidRPr="007E4696">
        <w:rPr>
          <w:rFonts w:ascii="Palatino Linotype" w:eastAsia="Palatino Linotype" w:hAnsi="Palatino Linotype" w:cs="Palatino Linotype"/>
          <w:b/>
          <w:color w:val="000000" w:themeColor="text1"/>
        </w:rPr>
        <w:t xml:space="preserve"> de dos mil veinticinco </w:t>
      </w:r>
      <w:r w:rsidRPr="007E4696">
        <w:rPr>
          <w:rFonts w:ascii="Palatino Linotype" w:eastAsia="Palatino Linotype" w:hAnsi="Palatino Linotype" w:cs="Palatino Linotype"/>
          <w:color w:val="000000" w:themeColor="text1"/>
        </w:rPr>
        <w:t xml:space="preserve">presentó </w:t>
      </w:r>
      <w:r w:rsidRPr="007E4696">
        <w:rPr>
          <w:rFonts w:ascii="Palatino Linotype" w:eastAsia="Palatino Linotype" w:hAnsi="Palatino Linotype" w:cs="Palatino Linotype"/>
          <w:b/>
          <w:color w:val="000000" w:themeColor="text1"/>
        </w:rPr>
        <w:t>informes justificados</w:t>
      </w:r>
      <w:r w:rsidRPr="007E4696">
        <w:rPr>
          <w:rFonts w:ascii="Palatino Linotype" w:eastAsia="Palatino Linotype" w:hAnsi="Palatino Linotype" w:cs="Palatino Linotype"/>
          <w:color w:val="000000" w:themeColor="text1"/>
        </w:rPr>
        <w:t xml:space="preserve"> </w:t>
      </w:r>
      <w:r w:rsidR="00974B85" w:rsidRPr="007E4696">
        <w:rPr>
          <w:rFonts w:ascii="Palatino Linotype" w:eastAsia="Palatino Linotype" w:hAnsi="Palatino Linotype" w:cs="Palatino Linotype"/>
          <w:color w:val="000000" w:themeColor="text1"/>
        </w:rPr>
        <w:t>a través de los siguientes archivos electrónicos</w:t>
      </w:r>
      <w:r w:rsidR="008E36DA" w:rsidRPr="007E4696">
        <w:rPr>
          <w:rFonts w:ascii="Palatino Linotype" w:eastAsia="Palatino Linotype" w:hAnsi="Palatino Linotype" w:cs="Palatino Linotype"/>
          <w:color w:val="000000" w:themeColor="text1"/>
        </w:rPr>
        <w:t>:</w:t>
      </w:r>
      <w:r w:rsidRPr="007E4696">
        <w:rPr>
          <w:rFonts w:ascii="Palatino Linotype" w:eastAsia="Palatino Linotype" w:hAnsi="Palatino Linotype" w:cs="Palatino Linotype"/>
          <w:color w:val="000000" w:themeColor="text1"/>
        </w:rPr>
        <w:t xml:space="preserve"> </w:t>
      </w:r>
    </w:p>
    <w:p w:rsidR="00974B85" w:rsidRPr="007E4696" w:rsidRDefault="00974B85"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6066" w:rsidRPr="007E4696" w:rsidRDefault="0032282B" w:rsidP="009957ED">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06178</w:t>
      </w:r>
      <w:r w:rsidR="004E0AFD" w:rsidRPr="007E4696">
        <w:rPr>
          <w:rFonts w:ascii="Palatino Linotype" w:eastAsia="Palatino Linotype" w:hAnsi="Palatino Linotype" w:cs="Palatino Linotype"/>
          <w:b/>
          <w:color w:val="000000" w:themeColor="text1"/>
        </w:rPr>
        <w:t>/INFOEM/IP/RR/2025</w:t>
      </w:r>
    </w:p>
    <w:p w:rsidR="004305EE" w:rsidRPr="007E4696" w:rsidRDefault="00371253" w:rsidP="009957ED">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6178 SAF.pdf</w:t>
      </w:r>
    </w:p>
    <w:p w:rsidR="00D71472" w:rsidRPr="007E4696" w:rsidRDefault="00D71472" w:rsidP="009957ED">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41001/329/2025 de fecha 05 de junio de 2025 firmado por la Encargada de la Secretaría Técnica y Servidora Pública Habilitada de la Secretaría de Administración y Finanzas a través del cual ratifica su respuesta primigenia.</w:t>
      </w:r>
    </w:p>
    <w:p w:rsidR="00D71472" w:rsidRPr="007E4696" w:rsidRDefault="00D71472" w:rsidP="009957ED">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371253" w:rsidRPr="007E4696" w:rsidRDefault="00371253" w:rsidP="009957ED">
      <w:pPr>
        <w:pBdr>
          <w:top w:val="nil"/>
          <w:left w:val="nil"/>
          <w:bottom w:val="nil"/>
          <w:right w:val="nil"/>
          <w:between w:val="nil"/>
        </w:pBdr>
        <w:ind w:firstLine="1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6178 INFORME JUSTIFICADO.pdf</w:t>
      </w:r>
    </w:p>
    <w:p w:rsidR="00D71472" w:rsidRPr="007E4696" w:rsidRDefault="00D71472" w:rsidP="009957ED">
      <w:pPr>
        <w:pBdr>
          <w:top w:val="nil"/>
          <w:left w:val="nil"/>
          <w:bottom w:val="nil"/>
          <w:right w:val="nil"/>
          <w:between w:val="nil"/>
        </w:pBdr>
        <w:ind w:firstLine="1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Oficio UIPL/0909/2025 firmado por el Titular de la Unidad de Información a través del cual rinde informe justificado ratificando su respuesta inicial y refiriendo que la Secretaría de Administración y Finanza, otorgó la información que obra en sus archivos, </w:t>
      </w:r>
      <w:r w:rsidRPr="007E4696">
        <w:rPr>
          <w:rFonts w:ascii="Palatino Linotype" w:eastAsia="Palatino Linotype" w:hAnsi="Palatino Linotype" w:cs="Palatino Linotype"/>
          <w:color w:val="000000" w:themeColor="text1"/>
        </w:rPr>
        <w:lastRenderedPageBreak/>
        <w:t>con el único objetivo de brindar atención a la solicitud de acceso a la información, sin tener el deber u obligación de presentarla conforme al interés del ahora recurrente.</w:t>
      </w:r>
    </w:p>
    <w:p w:rsidR="00371253" w:rsidRPr="007E4696" w:rsidRDefault="00371253" w:rsidP="009957ED">
      <w:pPr>
        <w:pBdr>
          <w:top w:val="nil"/>
          <w:left w:val="nil"/>
          <w:bottom w:val="nil"/>
          <w:right w:val="nil"/>
          <w:between w:val="nil"/>
        </w:pBdr>
        <w:ind w:firstLine="10"/>
        <w:jc w:val="both"/>
        <w:rPr>
          <w:rFonts w:ascii="Palatino Linotype" w:eastAsia="Palatino Linotype" w:hAnsi="Palatino Linotype" w:cs="Palatino Linotype"/>
          <w:color w:val="000000" w:themeColor="text1"/>
        </w:rPr>
      </w:pPr>
    </w:p>
    <w:p w:rsidR="00751354" w:rsidRPr="007E4696" w:rsidRDefault="0032282B" w:rsidP="009957ED">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06185</w:t>
      </w:r>
      <w:r w:rsidR="004E0AFD" w:rsidRPr="007E4696">
        <w:rPr>
          <w:rFonts w:ascii="Palatino Linotype" w:eastAsia="Palatino Linotype" w:hAnsi="Palatino Linotype" w:cs="Palatino Linotype"/>
          <w:b/>
          <w:color w:val="000000" w:themeColor="text1"/>
        </w:rPr>
        <w:t>/INFOEM/IP/RR/2025</w:t>
      </w:r>
    </w:p>
    <w:p w:rsidR="00694BD3" w:rsidRPr="007E4696" w:rsidRDefault="00694BD3" w:rsidP="009957ED">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6185 INF. JUSTIFICADO.pdf</w:t>
      </w:r>
    </w:p>
    <w:p w:rsidR="004862CB" w:rsidRPr="007E4696" w:rsidRDefault="004862CB" w:rsidP="009957ED">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UIPL/0937/2025 firmado por el Titular de la Unidad de Información a través del cual remite informe justificado ratificando su respuesta primigenia.</w:t>
      </w:r>
    </w:p>
    <w:p w:rsidR="004862CB" w:rsidRPr="007E4696" w:rsidRDefault="004862CB" w:rsidP="009957ED">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694BD3" w:rsidRPr="007E4696" w:rsidRDefault="00694BD3" w:rsidP="009957ED">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6185 INF. SAF.pdf</w:t>
      </w:r>
    </w:p>
    <w:p w:rsidR="000E229A" w:rsidRPr="007E4696" w:rsidRDefault="002555C1" w:rsidP="009957ED">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41001/331/2025 de fecha 05 de junio de 2025, firmado por la Encargada de la Secretaría Técnica y Servidora Pública Habilitada de la Secretaría de Administración y Finanzas, a través del cual ratifica su respuesta inicial.</w:t>
      </w:r>
    </w:p>
    <w:p w:rsidR="007F1775" w:rsidRPr="007E4696" w:rsidRDefault="007F1775" w:rsidP="009957ED">
      <w:pPr>
        <w:pBdr>
          <w:top w:val="nil"/>
          <w:left w:val="nil"/>
          <w:bottom w:val="nil"/>
          <w:right w:val="nil"/>
          <w:between w:val="nil"/>
        </w:pBdr>
        <w:jc w:val="both"/>
        <w:rPr>
          <w:rFonts w:ascii="Palatino Linotype" w:eastAsia="Palatino Linotype" w:hAnsi="Palatino Linotype" w:cs="Palatino Linotype"/>
          <w:color w:val="000000" w:themeColor="text1"/>
        </w:rPr>
      </w:pPr>
    </w:p>
    <w:p w:rsidR="007F1775" w:rsidRPr="007E4696" w:rsidRDefault="0032282B" w:rsidP="009957ED">
      <w:pPr>
        <w:pStyle w:val="Prrafodelista"/>
        <w:numPr>
          <w:ilvl w:val="0"/>
          <w:numId w:val="6"/>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06282</w:t>
      </w:r>
      <w:r w:rsidR="007F1775" w:rsidRPr="007E4696">
        <w:rPr>
          <w:rFonts w:ascii="Palatino Linotype" w:eastAsia="Palatino Linotype" w:hAnsi="Palatino Linotype" w:cs="Palatino Linotype"/>
          <w:b/>
          <w:color w:val="000000" w:themeColor="text1"/>
        </w:rPr>
        <w:t>/INFOEM/IP/RR/2025</w:t>
      </w:r>
    </w:p>
    <w:p w:rsidR="00536DC5" w:rsidRPr="007E4696" w:rsidRDefault="00536DC5" w:rsidP="009957ED">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6282 INFORME JUSTIFICADO.pdf</w:t>
      </w:r>
    </w:p>
    <w:p w:rsidR="00536DC5" w:rsidRPr="007E4696" w:rsidRDefault="00536DC5" w:rsidP="009957ED">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UIPL/0931/2025 firmado por el Titular de la Unidad de Información a través del cual remite informe justificado ratificando su respuesta primigenia.</w:t>
      </w:r>
    </w:p>
    <w:p w:rsidR="00536DC5" w:rsidRPr="007E4696" w:rsidRDefault="00536DC5" w:rsidP="009957ED">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536DC5" w:rsidRPr="007E4696" w:rsidRDefault="00536DC5" w:rsidP="009957ED">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6282 INF. SAF.pdf</w:t>
      </w:r>
    </w:p>
    <w:p w:rsidR="00536DC5" w:rsidRPr="007E4696" w:rsidRDefault="00536DC5" w:rsidP="009957ED">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Oficio 41001/334/2025 de fecha 09 de junio de 2025, firmado por la Encargada de la Secretaría Técnica y Servidora Pública Habilitada de la Secretaría de Administración y Finanzas, a través del cual ratifica su respuesta inicial.</w:t>
      </w:r>
    </w:p>
    <w:p w:rsidR="00F060C8" w:rsidRPr="007E4696" w:rsidRDefault="00F060C8" w:rsidP="009957ED">
      <w:pPr>
        <w:pBdr>
          <w:top w:val="nil"/>
          <w:left w:val="nil"/>
          <w:bottom w:val="nil"/>
          <w:right w:val="nil"/>
          <w:between w:val="nil"/>
        </w:pBdr>
        <w:jc w:val="both"/>
        <w:rPr>
          <w:rFonts w:ascii="Palatino Linotype" w:eastAsia="Palatino Linotype" w:hAnsi="Palatino Linotype" w:cs="Palatino Linotype"/>
          <w:color w:val="000000" w:themeColor="text1"/>
        </w:rPr>
      </w:pPr>
    </w:p>
    <w:p w:rsidR="005C4743" w:rsidRPr="007E4696" w:rsidRDefault="005C4743" w:rsidP="009957ED">
      <w:pPr>
        <w:pBdr>
          <w:top w:val="nil"/>
          <w:left w:val="nil"/>
          <w:bottom w:val="nil"/>
          <w:right w:val="nil"/>
          <w:between w:val="nil"/>
        </w:pBdr>
        <w:jc w:val="both"/>
        <w:rPr>
          <w:rFonts w:ascii="Palatino Linotype" w:eastAsia="Palatino Linotype" w:hAnsi="Palatino Linotype" w:cs="Palatino Linotype"/>
          <w:color w:val="000000" w:themeColor="text1"/>
        </w:rPr>
      </w:pPr>
    </w:p>
    <w:p w:rsidR="00E72D43" w:rsidRPr="007E4696" w:rsidRDefault="00E72D43" w:rsidP="009957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Posteriormente el Pleno de este Órgano Autónomo, en fecha</w:t>
      </w:r>
      <w:r w:rsidRPr="007E4696">
        <w:rPr>
          <w:rFonts w:ascii="Palatino Linotype" w:eastAsia="Palatino Linotype" w:hAnsi="Palatino Linotype" w:cs="Palatino Linotype"/>
          <w:b/>
          <w:color w:val="000000" w:themeColor="text1"/>
        </w:rPr>
        <w:t xml:space="preserve"> </w:t>
      </w:r>
      <w:r w:rsidR="0042360C" w:rsidRPr="007E4696">
        <w:rPr>
          <w:rFonts w:ascii="Palatino Linotype" w:eastAsia="Palatino Linotype" w:hAnsi="Palatino Linotype" w:cs="Palatino Linotype"/>
          <w:b/>
          <w:color w:val="000000" w:themeColor="text1"/>
        </w:rPr>
        <w:t>dieciocho</w:t>
      </w:r>
      <w:r w:rsidR="00DC7AF5" w:rsidRPr="007E4696">
        <w:rPr>
          <w:rFonts w:ascii="Palatino Linotype" w:eastAsia="Palatino Linotype" w:hAnsi="Palatino Linotype" w:cs="Palatino Linotype"/>
          <w:b/>
          <w:color w:val="000000" w:themeColor="text1"/>
        </w:rPr>
        <w:t xml:space="preserve"> de junio</w:t>
      </w:r>
      <w:r w:rsidRPr="007E4696">
        <w:rPr>
          <w:rFonts w:ascii="Palatino Linotype" w:eastAsia="Palatino Linotype" w:hAnsi="Palatino Linotype" w:cs="Palatino Linotype"/>
          <w:b/>
          <w:color w:val="000000" w:themeColor="text1"/>
        </w:rPr>
        <w:t xml:space="preserve"> de dos mil veinticinco</w:t>
      </w:r>
      <w:r w:rsidRPr="007E4696">
        <w:rPr>
          <w:rFonts w:ascii="Palatino Linotype" w:eastAsia="Palatino Linotype" w:hAnsi="Palatino Linotype" w:cs="Palatino Linotype"/>
          <w:color w:val="000000" w:themeColor="text1"/>
        </w:rPr>
        <w:t xml:space="preserve">; </w:t>
      </w:r>
      <w:r w:rsidRPr="007E4696">
        <w:rPr>
          <w:rFonts w:ascii="Palatino Linotype" w:eastAsia="Palatino Linotype" w:hAnsi="Palatino Linotype" w:cs="Palatino Linotype"/>
          <w:b/>
          <w:color w:val="000000" w:themeColor="text1"/>
        </w:rPr>
        <w:t>ordenó la acumulación</w:t>
      </w:r>
      <w:r w:rsidRPr="007E4696">
        <w:rPr>
          <w:rFonts w:ascii="Palatino Linotype" w:eastAsia="Palatino Linotype" w:hAnsi="Palatino Linotype" w:cs="Palatino Linotype"/>
          <w:color w:val="000000" w:themeColor="text1"/>
        </w:rPr>
        <w:t xml:space="preserve"> de los recursos de revisión de mérito, a efecto de que la Ponencia de la </w:t>
      </w:r>
      <w:r w:rsidRPr="007E4696">
        <w:rPr>
          <w:rFonts w:ascii="Palatino Linotype" w:eastAsia="Palatino Linotype" w:hAnsi="Palatino Linotype" w:cs="Palatino Linotype"/>
          <w:b/>
          <w:color w:val="000000" w:themeColor="text1"/>
        </w:rPr>
        <w:t xml:space="preserve">Comisionada María del Rosario Mejía Ayala </w:t>
      </w:r>
      <w:r w:rsidRPr="007E4696">
        <w:rPr>
          <w:rFonts w:ascii="Palatino Linotype" w:eastAsia="Palatino Linotype" w:hAnsi="Palatino Linotype" w:cs="Palatino Linotype"/>
          <w:color w:val="000000" w:themeColor="text1"/>
        </w:rPr>
        <w:t xml:space="preserve">formulará y presentará el proyecto de resolución correspondiente, de conformidad con el numeral ONCE incisos b) y c) de los Lineamientos para la Recepción, Trámite y Resolución de las Solicitudes de Acceso a la Información Pública, así como de los Recursos de Revisión </w:t>
      </w:r>
      <w:r w:rsidRPr="007E4696">
        <w:rPr>
          <w:rFonts w:ascii="Palatino Linotype" w:eastAsia="Palatino Linotype" w:hAnsi="Palatino Linotype" w:cs="Palatino Linotype"/>
          <w:color w:val="000000" w:themeColor="text1"/>
        </w:rPr>
        <w:lastRenderedPageBreak/>
        <w:t>que deberán observar los Sujetos Obligados por la Ley de Transparencia Estatal</w:t>
      </w:r>
      <w:r w:rsidRPr="007E4696">
        <w:rPr>
          <w:rFonts w:ascii="Palatino Linotype" w:eastAsia="Palatino Linotype" w:hAnsi="Palatino Linotype" w:cs="Palatino Linotype"/>
          <w:i/>
          <w:color w:val="000000" w:themeColor="text1"/>
          <w:vertAlign w:val="superscript"/>
        </w:rPr>
        <w:footnoteReference w:id="1"/>
      </w:r>
      <w:r w:rsidRPr="007E4696">
        <w:rPr>
          <w:rFonts w:ascii="Palatino Linotype" w:eastAsia="Palatino Linotype" w:hAnsi="Palatino Linotype" w:cs="Palatino Linotype"/>
          <w:color w:val="000000" w:themeColor="text1"/>
        </w:rPr>
        <w:t>, que señala:</w:t>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“ONCE.</w:t>
      </w:r>
      <w:r w:rsidRPr="007E4696">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r w:rsidRPr="007E4696">
        <w:rPr>
          <w:rFonts w:ascii="Palatino Linotype" w:eastAsia="Palatino Linotype" w:hAnsi="Palatino Linotype" w:cs="Palatino Linotype"/>
          <w:i/>
          <w:color w:val="000000" w:themeColor="text1"/>
        </w:rPr>
        <w:tab/>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b) Las partes o los actos impugnados sean iguales</w:t>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c) Cuando se trate del mismo solicitante, el mismo SUJETO OBLIGADO, aunque se trate de solicitudes diversas;</w:t>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(Énfasis añadido)</w:t>
      </w:r>
    </w:p>
    <w:p w:rsidR="00E72D43" w:rsidRPr="007E4696" w:rsidRDefault="00E72D43" w:rsidP="009957ED">
      <w:pPr>
        <w:pBdr>
          <w:top w:val="nil"/>
          <w:left w:val="nil"/>
          <w:bottom w:val="nil"/>
          <w:right w:val="nil"/>
          <w:between w:val="nil"/>
        </w:pBdr>
        <w:jc w:val="both"/>
        <w:rPr>
          <w:rFonts w:ascii="Palatino Linotype" w:eastAsia="Palatino Linotype" w:hAnsi="Palatino Linotype" w:cs="Palatino Linotype"/>
          <w:color w:val="000000" w:themeColor="text1"/>
        </w:rPr>
      </w:pPr>
    </w:p>
    <w:p w:rsidR="0042360C" w:rsidRPr="007E4696" w:rsidRDefault="00E72D43" w:rsidP="009957E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Es así que,</w:t>
      </w:r>
      <w:r w:rsidRPr="007E4696">
        <w:rPr>
          <w:rFonts w:ascii="Palatino Linotype" w:eastAsia="Palatino Linotype" w:hAnsi="Palatino Linotype" w:cs="Palatino Linotype"/>
          <w:i/>
          <w:color w:val="000000" w:themeColor="text1"/>
        </w:rPr>
        <w:t xml:space="preserve"> </w:t>
      </w:r>
      <w:r w:rsidRPr="007E4696">
        <w:rPr>
          <w:rFonts w:ascii="Palatino Linotype" w:eastAsia="Palatino Linotype" w:hAnsi="Palatino Linotype" w:cs="Palatino Linotype"/>
          <w:color w:val="000000" w:themeColor="text1"/>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rsidR="00451CF4" w:rsidRPr="007E4696" w:rsidRDefault="00451CF4" w:rsidP="009957E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7E4696" w:rsidRDefault="00A077F4"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E4696">
        <w:rPr>
          <w:rFonts w:ascii="Palatino Linotype" w:eastAsia="Palatino Linotype" w:hAnsi="Palatino Linotype" w:cs="Palatino Linotype"/>
          <w:color w:val="000000" w:themeColor="text1"/>
        </w:rPr>
        <w:t xml:space="preserve">Seguidamente, en fecha </w:t>
      </w:r>
      <w:r w:rsidR="000E72D7" w:rsidRPr="007E4696">
        <w:rPr>
          <w:rFonts w:ascii="Palatino Linotype" w:eastAsia="Palatino Linotype" w:hAnsi="Palatino Linotype" w:cs="Palatino Linotype"/>
          <w:b/>
          <w:color w:val="000000" w:themeColor="text1"/>
        </w:rPr>
        <w:t>uno de julio</w:t>
      </w:r>
      <w:r w:rsidRPr="007E4696">
        <w:rPr>
          <w:rFonts w:ascii="Palatino Linotype" w:eastAsia="Palatino Linotype" w:hAnsi="Palatino Linotype" w:cs="Palatino Linotype"/>
          <w:b/>
          <w:color w:val="000000" w:themeColor="text1"/>
        </w:rPr>
        <w:t xml:space="preserve"> de dos mil veinticinco</w:t>
      </w:r>
      <w:r w:rsidRPr="007E4696">
        <w:rPr>
          <w:rFonts w:ascii="Palatino Linotype" w:eastAsia="Palatino Linotype" w:hAnsi="Palatino Linotype" w:cs="Palatino Linotype"/>
          <w:color w:val="000000" w:themeColor="text1"/>
        </w:rPr>
        <w:t xml:space="preserve">, la Comisionada Ponente dictó el </w:t>
      </w:r>
      <w:r w:rsidRPr="007E4696">
        <w:rPr>
          <w:rFonts w:ascii="Palatino Linotype" w:eastAsia="Palatino Linotype" w:hAnsi="Palatino Linotype" w:cs="Palatino Linotype"/>
          <w:b/>
          <w:color w:val="000000" w:themeColor="text1"/>
        </w:rPr>
        <w:t>cierre del periodo de instrucción</w:t>
      </w:r>
      <w:r w:rsidRPr="007E4696">
        <w:rPr>
          <w:rFonts w:ascii="Palatino Linotype" w:eastAsia="Palatino Linotype" w:hAnsi="Palatino Linotype" w:cs="Palatino Linotype"/>
          <w:color w:val="000000" w:themeColor="text1"/>
        </w:rPr>
        <w:t xml:space="preserve"> y, ordenó la resolución que conforme a Derecho proceda, de acuerdo a las siguientes:</w:t>
      </w:r>
    </w:p>
    <w:p w:rsidR="004B0B6F" w:rsidRPr="007E4696" w:rsidRDefault="004B0B6F" w:rsidP="004B0B6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B6F" w:rsidRPr="007E4696" w:rsidRDefault="004B0B6F" w:rsidP="004B0B6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B6F" w:rsidRPr="007E4696" w:rsidRDefault="004B0B6F" w:rsidP="004B0B6F">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4B0B6F" w:rsidRPr="007E4696" w:rsidRDefault="004B0B6F" w:rsidP="004B0B6F">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7E4696" w:rsidRDefault="00A077F4" w:rsidP="009957E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C O N S I D E R A C I O N E S</w:t>
      </w:r>
    </w:p>
    <w:p w:rsidR="0072148B" w:rsidRPr="007E4696" w:rsidRDefault="0072148B" w:rsidP="009957ED">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7E4696" w:rsidRDefault="00A077F4" w:rsidP="009957ED">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7E4696">
        <w:rPr>
          <w:rFonts w:ascii="Palatino Linotype" w:eastAsia="Palatino Linotype" w:hAnsi="Palatino Linotype" w:cs="Palatino Linotype"/>
          <w:b/>
          <w:color w:val="000000" w:themeColor="text1"/>
          <w:sz w:val="24"/>
          <w:szCs w:val="24"/>
        </w:rPr>
        <w:t>PRIMERA. Competencia</w:t>
      </w:r>
    </w:p>
    <w:p w:rsidR="0072148B" w:rsidRPr="007E4696" w:rsidRDefault="00A077F4"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7E4696">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7E4696">
        <w:rPr>
          <w:rFonts w:ascii="Palatino Linotype" w:eastAsia="Palatino Linotype" w:hAnsi="Palatino Linotype" w:cs="Palatino Linotype"/>
          <w:color w:val="000000" w:themeColor="text1"/>
        </w:rPr>
        <w:t xml:space="preserve">; 1°, 8°, 9°, 10, 37 y 42, fracciones I, II y III, de la Ley General de Transparencia y </w:t>
      </w:r>
      <w:r w:rsidR="0052393A" w:rsidRPr="007E4696">
        <w:rPr>
          <w:rFonts w:ascii="Palatino Linotype" w:eastAsia="Palatino Linotype" w:hAnsi="Palatino Linotype" w:cs="Palatino Linotype"/>
          <w:color w:val="000000" w:themeColor="text1"/>
        </w:rPr>
        <w:t>Acceso a la Información Pública</w:t>
      </w:r>
      <w:r w:rsidRPr="007E4696">
        <w:rPr>
          <w:rFonts w:ascii="Palatino Linotype" w:eastAsia="Palatino Linotype" w:hAnsi="Palatino Linotype" w:cs="Palatino Linotype"/>
          <w:color w:val="000000" w:themeColor="text1"/>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7E4696" w:rsidRDefault="0072148B" w:rsidP="009957E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7E4696" w:rsidRDefault="00A077F4" w:rsidP="009957ED">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7E4696">
        <w:rPr>
          <w:rFonts w:ascii="Palatino Linotype" w:eastAsia="Palatino Linotype" w:hAnsi="Palatino Linotype" w:cs="Palatino Linotype"/>
          <w:b/>
          <w:color w:val="000000" w:themeColor="text1"/>
          <w:sz w:val="24"/>
          <w:szCs w:val="24"/>
        </w:rPr>
        <w:t>SEGUNDA. Procedencia.</w:t>
      </w: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7E4696" w:rsidRDefault="0072148B" w:rsidP="009957ED">
      <w:pPr>
        <w:spacing w:line="360" w:lineRule="auto"/>
        <w:jc w:val="both"/>
        <w:rPr>
          <w:rFonts w:ascii="Palatino Linotype" w:eastAsia="Palatino Linotype" w:hAnsi="Palatino Linotype" w:cs="Palatino Linotype"/>
          <w:color w:val="000000" w:themeColor="text1"/>
        </w:rPr>
      </w:pP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lastRenderedPageBreak/>
        <w:t>Por otro lado, el escrito contiene las formalidades previstas por el artículo 180, último párrafo, de la citada Ley de la materia, por lo que es procedente que este Instituto conozca y resuelva el presente recurso.</w:t>
      </w:r>
    </w:p>
    <w:p w:rsidR="0072148B" w:rsidRPr="007E4696" w:rsidRDefault="0072148B" w:rsidP="009957E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7E4696" w:rsidRDefault="00A077F4" w:rsidP="009957ED">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7E4696">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7E4696" w:rsidRDefault="00A077F4"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Se solicitó tener acceso, a la información que a continuación se simplifica:</w:t>
      </w:r>
    </w:p>
    <w:p w:rsidR="00181219" w:rsidRPr="007E4696" w:rsidRDefault="008D5396" w:rsidP="009957ED">
      <w:pPr>
        <w:pStyle w:val="Prrafodelista"/>
        <w:numPr>
          <w:ilvl w:val="0"/>
          <w:numId w:val="33"/>
        </w:numPr>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i/>
          <w:color w:val="000000" w:themeColor="text1"/>
        </w:rPr>
        <w:t>Comprobantes de todos los pagos realizados mediante cheque y transferencia electrónica a particulares correspondientes a las partidas presupuestales 3611 y 3612 durante el mes de diciembre de 2024.</w:t>
      </w:r>
    </w:p>
    <w:p w:rsidR="008D5396" w:rsidRPr="007E4696" w:rsidRDefault="008D5396" w:rsidP="009957ED">
      <w:pPr>
        <w:pStyle w:val="Prrafodelista"/>
        <w:numPr>
          <w:ilvl w:val="0"/>
          <w:numId w:val="33"/>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xml:space="preserve">Comprobantes de todos los pagos realizados mediante cheque y transferencia electrónica a particulares </w:t>
      </w:r>
      <w:r w:rsidR="009A0992" w:rsidRPr="007E4696">
        <w:rPr>
          <w:rFonts w:ascii="Palatino Linotype" w:eastAsia="Palatino Linotype" w:hAnsi="Palatino Linotype" w:cs="Palatino Linotype"/>
          <w:i/>
          <w:color w:val="000000" w:themeColor="text1"/>
        </w:rPr>
        <w:t>del</w:t>
      </w:r>
      <w:r w:rsidRPr="007E4696">
        <w:rPr>
          <w:rFonts w:ascii="Palatino Linotype" w:eastAsia="Palatino Linotype" w:hAnsi="Palatino Linotype" w:cs="Palatino Linotype"/>
          <w:i/>
          <w:color w:val="000000" w:themeColor="text1"/>
        </w:rPr>
        <w:t xml:space="preserve"> 01 de marzo al 30 de abril de 2025.</w:t>
      </w:r>
    </w:p>
    <w:p w:rsidR="008D5396" w:rsidRPr="007E4696" w:rsidRDefault="008D5396" w:rsidP="009957ED">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En respuesta, el Sujeto Obligado</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remitió los archivos ya descritos en el anterior Párrafo </w:t>
      </w:r>
      <w:r w:rsidR="00CD00B5" w:rsidRPr="007E4696">
        <w:rPr>
          <w:rFonts w:ascii="Palatino Linotype" w:eastAsia="Palatino Linotype" w:hAnsi="Palatino Linotype" w:cs="Palatino Linotype"/>
          <w:color w:val="000000" w:themeColor="text1"/>
        </w:rPr>
        <w:t>2</w:t>
      </w:r>
      <w:r w:rsidRPr="007E4696">
        <w:rPr>
          <w:rFonts w:ascii="Palatino Linotype" w:eastAsia="Palatino Linotype" w:hAnsi="Palatino Linotype" w:cs="Palatino Linotype"/>
          <w:color w:val="000000" w:themeColor="text1"/>
        </w:rPr>
        <w:t xml:space="preserve">, inconforme con las respuestas, se interpuso recurso de revisión </w:t>
      </w:r>
      <w:r w:rsidR="004E658C" w:rsidRPr="007E4696">
        <w:rPr>
          <w:rFonts w:ascii="Palatino Linotype" w:eastAsia="Palatino Linotype" w:hAnsi="Palatino Linotype" w:cs="Palatino Linotype"/>
          <w:color w:val="000000" w:themeColor="text1"/>
        </w:rPr>
        <w:t xml:space="preserve">argumentando </w:t>
      </w:r>
      <w:r w:rsidR="00454C50" w:rsidRPr="007E4696">
        <w:rPr>
          <w:rFonts w:ascii="Palatino Linotype" w:eastAsia="Palatino Linotype" w:hAnsi="Palatino Linotype" w:cs="Palatino Linotype"/>
          <w:color w:val="000000" w:themeColor="text1"/>
        </w:rPr>
        <w:t xml:space="preserve">que </w:t>
      </w:r>
      <w:r w:rsidR="00764299" w:rsidRPr="007E4696">
        <w:rPr>
          <w:rFonts w:ascii="Palatino Linotype" w:eastAsia="Palatino Linotype" w:hAnsi="Palatino Linotype" w:cs="Palatino Linotype"/>
          <w:color w:val="000000" w:themeColor="text1"/>
        </w:rPr>
        <w:t>la liga proporcionada no contiene la información requerida y por la clasificación de la información.</w:t>
      </w:r>
    </w:p>
    <w:p w:rsidR="0072148B" w:rsidRPr="007E4696" w:rsidRDefault="0072148B" w:rsidP="009957ED">
      <w:pPr>
        <w:contextualSpacing/>
        <w:jc w:val="both"/>
        <w:rPr>
          <w:rFonts w:ascii="Palatino Linotype" w:eastAsia="Palatino Linotype" w:hAnsi="Palatino Linotype" w:cs="Palatino Linotype"/>
          <w:i/>
          <w:color w:val="000000" w:themeColor="text1"/>
        </w:rPr>
      </w:pP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D84BF8" w:rsidRPr="007E4696">
        <w:rPr>
          <w:rFonts w:ascii="Palatino Linotype" w:eastAsia="Palatino Linotype" w:hAnsi="Palatino Linotype" w:cs="Palatino Linotype"/>
          <w:color w:val="000000" w:themeColor="text1"/>
        </w:rPr>
        <w:t>fracciones II y VI</w:t>
      </w:r>
      <w:r w:rsidRPr="007E4696">
        <w:rPr>
          <w:rFonts w:ascii="Palatino Linotype" w:eastAsia="Palatino Linotype" w:hAnsi="Palatino Linotype" w:cs="Palatino Linotype"/>
          <w:color w:val="000000" w:themeColor="text1"/>
        </w:rPr>
        <w:t>,</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de la Ley de Transparencia y Acceso a la Información Pública del Estado de</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México</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y</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Municipios; </w:t>
      </w:r>
      <w:r w:rsidR="00D84BF8" w:rsidRPr="007E4696">
        <w:rPr>
          <w:rFonts w:ascii="Palatino Linotype" w:eastAsia="Palatino Linotype" w:hAnsi="Palatino Linotype" w:cs="Palatino Linotype"/>
          <w:color w:val="000000" w:themeColor="text1"/>
        </w:rPr>
        <w:t>fracciones</w:t>
      </w:r>
      <w:r w:rsidR="00E75514" w:rsidRPr="007E4696">
        <w:rPr>
          <w:rFonts w:ascii="Palatino Linotype" w:eastAsia="Palatino Linotype" w:hAnsi="Palatino Linotype" w:cs="Palatino Linotype"/>
          <w:color w:val="000000" w:themeColor="text1"/>
        </w:rPr>
        <w:t xml:space="preserve"> que determina</w:t>
      </w:r>
      <w:r w:rsidR="00D84BF8" w:rsidRPr="007E4696">
        <w:rPr>
          <w:rFonts w:ascii="Palatino Linotype" w:eastAsia="Palatino Linotype" w:hAnsi="Palatino Linotype" w:cs="Palatino Linotype"/>
          <w:color w:val="000000" w:themeColor="text1"/>
        </w:rPr>
        <w:t>n</w:t>
      </w:r>
      <w:r w:rsidRPr="007E4696">
        <w:rPr>
          <w:rFonts w:ascii="Palatino Linotype" w:eastAsia="Palatino Linotype" w:hAnsi="Palatino Linotype" w:cs="Palatino Linotype"/>
          <w:color w:val="000000" w:themeColor="text1"/>
        </w:rPr>
        <w:t xml:space="preserve"> la</w:t>
      </w:r>
      <w:r w:rsidR="00D84BF8"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hipótesis relativa</w:t>
      </w:r>
      <w:r w:rsidR="00D84BF8"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a </w:t>
      </w:r>
      <w:r w:rsidR="00D84BF8" w:rsidRPr="007E4696">
        <w:rPr>
          <w:rFonts w:ascii="Palatino Linotype" w:eastAsia="Palatino Linotype" w:hAnsi="Palatino Linotype" w:cs="Palatino Linotype"/>
          <w:color w:val="000000" w:themeColor="text1"/>
        </w:rPr>
        <w:t>la clasificación de la información y la entrega de información que no corresponda con lo solicitado</w:t>
      </w:r>
      <w:r w:rsidRPr="007E4696">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señalada. </w:t>
      </w:r>
    </w:p>
    <w:p w:rsidR="0072148B" w:rsidRPr="007E4696" w:rsidRDefault="0072148B" w:rsidP="009957ED">
      <w:pPr>
        <w:spacing w:line="360" w:lineRule="auto"/>
        <w:rPr>
          <w:rFonts w:ascii="Palatino Linotype" w:eastAsia="Palatino Linotype" w:hAnsi="Palatino Linotype" w:cs="Palatino Linotype"/>
          <w:color w:val="000000" w:themeColor="text1"/>
        </w:rPr>
      </w:pPr>
    </w:p>
    <w:p w:rsidR="0072148B" w:rsidRPr="007E4696" w:rsidRDefault="00A077F4" w:rsidP="009957ED">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7E4696">
        <w:rPr>
          <w:rFonts w:ascii="Palatino Linotype" w:eastAsia="Palatino Linotype" w:hAnsi="Palatino Linotype" w:cs="Palatino Linotype"/>
          <w:b/>
          <w:color w:val="000000" w:themeColor="text1"/>
          <w:sz w:val="24"/>
          <w:szCs w:val="24"/>
        </w:rPr>
        <w:lastRenderedPageBreak/>
        <w:t>CUARTA. Estudio de la controversia.</w:t>
      </w: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7E4696" w:rsidRDefault="0072148B" w:rsidP="009957ED">
      <w:pPr>
        <w:spacing w:line="360" w:lineRule="auto"/>
        <w:jc w:val="both"/>
        <w:rPr>
          <w:rFonts w:ascii="Palatino Linotype" w:eastAsia="Palatino Linotype" w:hAnsi="Palatino Linotype" w:cs="Palatino Linotype"/>
          <w:color w:val="000000" w:themeColor="text1"/>
        </w:rPr>
      </w:pP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7E4696" w:rsidRDefault="0072148B" w:rsidP="009957E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7E4696" w:rsidRDefault="00A077F4"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w:t>
      </w:r>
      <w:r w:rsidRPr="007E4696">
        <w:rPr>
          <w:rFonts w:ascii="Palatino Linotype" w:eastAsia="Palatino Linotype" w:hAnsi="Palatino Linotype" w:cs="Palatino Linotype"/>
          <w:color w:val="000000" w:themeColor="text1"/>
        </w:rPr>
        <w:lastRenderedPageBreak/>
        <w:t>consultar por encontrarse publicada en cualquier medio de difusión o porque la requieren a través de una solicitud de acceso a la información, siempre y cuando no encuadre en una de las excepciones contempladas por la ley.</w:t>
      </w:r>
    </w:p>
    <w:p w:rsidR="00931ADB" w:rsidRPr="007E4696" w:rsidRDefault="00931ADB" w:rsidP="009957ED">
      <w:pPr>
        <w:jc w:val="both"/>
        <w:rPr>
          <w:rFonts w:ascii="Palatino Linotype" w:eastAsia="Palatino Linotype" w:hAnsi="Palatino Linotype" w:cs="Palatino Linotype"/>
          <w:color w:val="000000" w:themeColor="text1"/>
        </w:rPr>
      </w:pPr>
    </w:p>
    <w:p w:rsidR="000746C9" w:rsidRPr="007E4696" w:rsidRDefault="00A077F4" w:rsidP="009957ED">
      <w:pPr>
        <w:numPr>
          <w:ilvl w:val="0"/>
          <w:numId w:val="4"/>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Del Sujeto Obligado.</w:t>
      </w:r>
    </w:p>
    <w:p w:rsidR="000773D6" w:rsidRPr="007E4696" w:rsidRDefault="00362B4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 xml:space="preserve">Para el ejercicio de sus funciones, la Legislatura contará con diversas dependencias, entre las que se encuentran la </w:t>
      </w:r>
      <w:r w:rsidRPr="007E4696">
        <w:rPr>
          <w:rFonts w:ascii="Palatino Linotype" w:eastAsia="Palatino Linotype" w:hAnsi="Palatino Linotype" w:cs="Palatino Linotype"/>
          <w:b/>
          <w:color w:val="000000" w:themeColor="text1"/>
        </w:rPr>
        <w:t>Secretaría de Administración y Finanzas</w:t>
      </w:r>
      <w:r w:rsidRPr="007E4696">
        <w:rPr>
          <w:rFonts w:ascii="Palatino Linotype" w:eastAsia="Palatino Linotype" w:hAnsi="Palatino Linotype" w:cs="Palatino Linotype"/>
          <w:color w:val="000000" w:themeColor="text1"/>
        </w:rPr>
        <w:t>, de conformidad con lo establecido en el artículo 94, fracción IV, de la Ley Orgánica del Poder Legislativo del Estado Libre y Soberano de México</w:t>
      </w:r>
      <w:r w:rsidRPr="007E4696">
        <w:rPr>
          <w:rFonts w:ascii="Palatino Linotype" w:hAnsi="Palatino Linotype"/>
          <w:color w:val="000000" w:themeColor="text1"/>
        </w:rPr>
        <w:t>.</w:t>
      </w:r>
    </w:p>
    <w:p w:rsidR="002C5404" w:rsidRPr="007E4696" w:rsidRDefault="002C5404" w:rsidP="009957ED">
      <w:pPr>
        <w:spacing w:line="360" w:lineRule="auto"/>
        <w:jc w:val="both"/>
        <w:rPr>
          <w:rFonts w:ascii="Palatino Linotype" w:hAnsi="Palatino Linotype"/>
          <w:color w:val="000000" w:themeColor="text1"/>
        </w:rPr>
      </w:pPr>
    </w:p>
    <w:p w:rsidR="00362B4D" w:rsidRPr="007E4696" w:rsidRDefault="00362B4D"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De acuerdo a lo establecido </w:t>
      </w:r>
      <w:r w:rsidR="002C5404" w:rsidRPr="007E4696">
        <w:rPr>
          <w:rFonts w:ascii="Palatino Linotype" w:eastAsia="Palatino Linotype" w:hAnsi="Palatino Linotype" w:cs="Palatino Linotype"/>
          <w:color w:val="000000" w:themeColor="text1"/>
        </w:rPr>
        <w:t>el</w:t>
      </w:r>
      <w:r w:rsidRPr="007E4696">
        <w:rPr>
          <w:rFonts w:ascii="Palatino Linotype" w:eastAsia="Palatino Linotype" w:hAnsi="Palatino Linotype" w:cs="Palatino Linotype"/>
          <w:color w:val="000000" w:themeColor="text1"/>
        </w:rPr>
        <w:t xml:space="preserve"> Reglamento del Poder Legislativo del Estado Libre y Soberano de México</w:t>
      </w:r>
      <w:r w:rsidR="00791719" w:rsidRPr="007E4696">
        <w:rPr>
          <w:rFonts w:ascii="Palatino Linotype" w:eastAsia="Palatino Linotype" w:hAnsi="Palatino Linotype" w:cs="Palatino Linotype"/>
          <w:color w:val="000000" w:themeColor="text1"/>
        </w:rPr>
        <w:t xml:space="preserve">, el Reglamento Interno de la Secretaría de Administración y Finanzas del Poder Legislativo del Estado de México </w:t>
      </w:r>
      <w:r w:rsidR="002C5404" w:rsidRPr="007E4696">
        <w:rPr>
          <w:rFonts w:ascii="Palatino Linotype" w:eastAsia="Palatino Linotype" w:hAnsi="Palatino Linotype" w:cs="Palatino Linotype"/>
          <w:color w:val="000000" w:themeColor="text1"/>
        </w:rPr>
        <w:t>y el Manual General de Organización de la Secretaría de Administración y Finanzas, establecen lo siguiente respecto de dicha unidad administrativa:</w:t>
      </w:r>
    </w:p>
    <w:p w:rsidR="002C5404" w:rsidRPr="007E4696" w:rsidRDefault="002C5404" w:rsidP="009957ED">
      <w:pPr>
        <w:jc w:val="center"/>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Reglamento del Poder Legislativo del Estado Libre y Soberano de México</w:t>
      </w:r>
    </w:p>
    <w:p w:rsidR="002C5404" w:rsidRPr="007E4696" w:rsidRDefault="002C5404" w:rsidP="009957ED">
      <w:pPr>
        <w:jc w:val="center"/>
        <w:rPr>
          <w:rFonts w:ascii="Palatino Linotype" w:eastAsia="Palatino Linotype" w:hAnsi="Palatino Linotype" w:cs="Palatino Linotype"/>
          <w:b/>
          <w:i/>
          <w:color w:val="000000" w:themeColor="text1"/>
        </w:rPr>
      </w:pP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Artículo 157</w:t>
      </w:r>
      <w:r w:rsidRPr="007E4696">
        <w:rPr>
          <w:rFonts w:ascii="Palatino Linotype" w:eastAsia="Palatino Linotype" w:hAnsi="Palatino Linotype" w:cs="Palatino Linotype"/>
          <w:i/>
          <w:color w:val="000000" w:themeColor="text1"/>
        </w:rPr>
        <w:t xml:space="preserve">.- La </w:t>
      </w:r>
      <w:r w:rsidRPr="007E4696">
        <w:rPr>
          <w:rFonts w:ascii="Palatino Linotype" w:eastAsia="Palatino Linotype" w:hAnsi="Palatino Linotype" w:cs="Palatino Linotype"/>
          <w:b/>
          <w:i/>
          <w:color w:val="000000" w:themeColor="text1"/>
        </w:rPr>
        <w:t>Secretaría de Administración y Finanzas</w:t>
      </w:r>
      <w:r w:rsidRPr="007E4696">
        <w:rPr>
          <w:rFonts w:ascii="Palatino Linotype" w:eastAsia="Palatino Linotype" w:hAnsi="Palatino Linotype" w:cs="Palatino Linotype"/>
          <w:i/>
          <w:color w:val="000000" w:themeColor="text1"/>
        </w:rPr>
        <w:t xml:space="preserve">, es la dependencia del Poder Legislativo </w:t>
      </w:r>
      <w:r w:rsidRPr="007E4696">
        <w:rPr>
          <w:rFonts w:ascii="Palatino Linotype" w:eastAsia="Palatino Linotype" w:hAnsi="Palatino Linotype" w:cs="Palatino Linotype"/>
          <w:b/>
          <w:i/>
          <w:color w:val="000000" w:themeColor="text1"/>
        </w:rPr>
        <w:t>encargada de la administración</w:t>
      </w:r>
      <w:r w:rsidRPr="007E4696">
        <w:rPr>
          <w:rFonts w:ascii="Palatino Linotype" w:eastAsia="Palatino Linotype" w:hAnsi="Palatino Linotype" w:cs="Palatino Linotype"/>
          <w:i/>
          <w:color w:val="000000" w:themeColor="text1"/>
        </w:rPr>
        <w:t xml:space="preserve"> de la Legislatura.</w:t>
      </w:r>
    </w:p>
    <w:p w:rsidR="002C5404" w:rsidRPr="007E4696" w:rsidRDefault="002C5404" w:rsidP="009957ED">
      <w:pPr>
        <w:jc w:val="both"/>
        <w:rPr>
          <w:rFonts w:ascii="Palatino Linotype" w:eastAsia="Palatino Linotype" w:hAnsi="Palatino Linotype" w:cs="Palatino Linotype"/>
          <w:i/>
          <w:color w:val="000000" w:themeColor="text1"/>
        </w:rPr>
      </w:pP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Artículo 160.- La Secretaría de Administración y Finanzas, tendrá las atribuciones siguientes</w:t>
      </w:r>
      <w:r w:rsidRPr="007E4696">
        <w:rPr>
          <w:rFonts w:ascii="Palatino Linotype" w:eastAsia="Palatino Linotype" w:hAnsi="Palatino Linotype" w:cs="Palatino Linotype"/>
          <w:i/>
          <w:color w:val="000000" w:themeColor="text1"/>
        </w:rPr>
        <w:t xml:space="preserve">: </w:t>
      </w:r>
    </w:p>
    <w:p w:rsidR="002C5404" w:rsidRPr="007E4696" w:rsidRDefault="002C5404" w:rsidP="009957ED">
      <w:pPr>
        <w:jc w:val="both"/>
        <w:rPr>
          <w:rFonts w:ascii="Palatino Linotype" w:eastAsia="Palatino Linotype" w:hAnsi="Palatino Linotype" w:cs="Palatino Linotype"/>
          <w:i/>
          <w:color w:val="000000" w:themeColor="text1"/>
        </w:rPr>
      </w:pP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I. Planear, organizar, coordinar y controlar los recursos humanos, financieros, materiales y tecnologías de la información y comunicación con los que cuente el Poder Legislativo;</w:t>
      </w: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VIII.- Administrar la aplicación de los recursos y efectuar las comprobaciones, para efectos de la contabilidad pública;</w:t>
      </w: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lastRenderedPageBreak/>
        <w:t>X. Autorizar y firmar en su caso, la documentación referente a erogaciones y pagos que con cargo al presupuesto de egresos ejerza el Poder Legislativo;</w:t>
      </w: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2C5404" w:rsidRPr="007E4696" w:rsidRDefault="002C5404"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XVII. Planear, organizar, coordinar y controlar adquisición de bienes y la contratación de servicios, enajenaciones, arrendamientos, obra y servicios relacionados con las mismas, así como los almacenes, suministros, servicios generales, acervo administrativo, patrimonio y servicio médico de primer nivel;</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center"/>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Reglamento Interno de la Secretaría de Administración y Finanzas del Poder Legislativo del Estado de México</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Artículo 5.-</w:t>
      </w:r>
      <w:r w:rsidRPr="007E4696">
        <w:rPr>
          <w:rFonts w:ascii="Palatino Linotype" w:eastAsia="Palatino Linotype" w:hAnsi="Palatino Linotype" w:cs="Palatino Linotype"/>
          <w:i/>
          <w:color w:val="000000" w:themeColor="text1"/>
        </w:rPr>
        <w:t xml:space="preserve"> La Secretaría, para el ejercicio de sus atribuciones y funciones, se auxiliará de una secretaría particular y de las unidades administrativas siguientes:</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VIII. Dirección de Finanzas:</w:t>
      </w:r>
    </w:p>
    <w:p w:rsidR="00791719" w:rsidRPr="007E4696" w:rsidRDefault="00791719"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w:t>
      </w:r>
    </w:p>
    <w:p w:rsidR="00791719" w:rsidRPr="007E4696" w:rsidRDefault="00791719" w:rsidP="009957ED">
      <w:pPr>
        <w:jc w:val="both"/>
        <w:rPr>
          <w:rFonts w:ascii="Palatino Linotype" w:eastAsia="Palatino Linotype" w:hAnsi="Palatino Linotype" w:cs="Palatino Linotype"/>
          <w:b/>
          <w:i/>
          <w:color w:val="000000" w:themeColor="text1"/>
        </w:rPr>
      </w:pP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xml:space="preserve">Artículo 16. </w:t>
      </w:r>
      <w:r w:rsidRPr="007E4696">
        <w:rPr>
          <w:rFonts w:ascii="Palatino Linotype" w:eastAsia="Palatino Linotype" w:hAnsi="Palatino Linotype" w:cs="Palatino Linotype"/>
          <w:b/>
          <w:i/>
          <w:color w:val="000000" w:themeColor="text1"/>
        </w:rPr>
        <w:t>Corresponde a la Dirección de Finanzas</w:t>
      </w:r>
      <w:r w:rsidRPr="007E4696">
        <w:rPr>
          <w:rFonts w:ascii="Palatino Linotype" w:eastAsia="Palatino Linotype" w:hAnsi="Palatino Linotype" w:cs="Palatino Linotype"/>
          <w:i/>
          <w:color w:val="000000" w:themeColor="text1"/>
        </w:rPr>
        <w:t xml:space="preserve">: </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I. Planear, organizar, dirigir y controlar las actividades inherentes a la liberación y generación de recursos;</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IV. Cumplir con las obligaciones financieras suscritas por el Poder Legislativo;</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center"/>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Manual General de Organización de la Secretaría de Administración y Finanzas</w:t>
      </w:r>
    </w:p>
    <w:p w:rsidR="00791719" w:rsidRPr="007E4696" w:rsidRDefault="00791719" w:rsidP="009957ED">
      <w:pPr>
        <w:jc w:val="center"/>
        <w:rPr>
          <w:rFonts w:ascii="Palatino Linotype" w:eastAsia="Palatino Linotype" w:hAnsi="Palatino Linotype" w:cs="Palatino Linotype"/>
          <w:b/>
          <w:i/>
          <w:color w:val="000000" w:themeColor="text1"/>
        </w:rPr>
      </w:pPr>
    </w:p>
    <w:p w:rsidR="00791719" w:rsidRPr="007E4696" w:rsidRDefault="00791719"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 xml:space="preserve">Secretaría de Administración y Finanzas (Secretaría) </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Objetivo</w:t>
      </w:r>
      <w:r w:rsidRPr="007E4696">
        <w:rPr>
          <w:rFonts w:ascii="Palatino Linotype" w:eastAsia="Palatino Linotype" w:hAnsi="Palatino Linotype" w:cs="Palatino Linotype"/>
          <w:i/>
          <w:color w:val="000000" w:themeColor="text1"/>
        </w:rPr>
        <w:t xml:space="preserve">: </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xml:space="preserve">Dirigir los procesos de planeación, organización, coordinación y control de recursos humanos, financieros, materiales y tecnologías de la información y comunicación para contribuir en el desempeño de las funciones del Poder Legislativo. </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Funciones</w:t>
      </w: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lastRenderedPageBreak/>
        <w:t>− Autorizar y proveer los recursos humanos, financieros, materiales y tecnologías de la información y comunicación, así como servicios generales, apoyo logístico y demás necesarios para el desempeño de las funciones del Poder Legislativo;</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Autorizar las erogaciones para dar cumplimiento a las obligaciones financieras del Poder Legislativo;</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Autorizar adquisiciones de bienes, contratación de servicios, enajenaciones, arrendamientos, obras y servicios relacionados con las mismas, conforme a la normativa vigente;</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 xml:space="preserve">Dirección de Finanzas </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 xml:space="preserve">Objetivo: </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xml:space="preserve">Planear, organizar, dirigir y controlar las actividades inherentes a la liberación y generación de recursos ante las instancias que correspondan, a efecto de dar cumplimiento a las obligaciones financieras suscritas por el Poder Legislativo; asimismo, diseñar estrategias de inversión de los recursos disponibles para la obtención de rendimientos con tasas preferenciales en forma segura y por períodos sostenidos a través del tiempo. </w:t>
      </w:r>
    </w:p>
    <w:p w:rsidR="00791719" w:rsidRPr="007E4696" w:rsidRDefault="00791719" w:rsidP="009957ED">
      <w:pPr>
        <w:jc w:val="both"/>
        <w:rPr>
          <w:rFonts w:ascii="Palatino Linotype" w:eastAsia="Palatino Linotype" w:hAnsi="Palatino Linotype" w:cs="Palatino Linotype"/>
          <w:i/>
          <w:color w:val="000000" w:themeColor="text1"/>
        </w:rPr>
      </w:pPr>
    </w:p>
    <w:p w:rsidR="00791719" w:rsidRPr="007E4696" w:rsidRDefault="00791719"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 xml:space="preserve">Funciones: </w:t>
      </w:r>
    </w:p>
    <w:p w:rsidR="00791719" w:rsidRPr="007E4696" w:rsidRDefault="00791719"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 Aplicar la normativa vigente para el ejercicio y control de los recursos financieros del Poder Legislativo;</w:t>
      </w:r>
    </w:p>
    <w:p w:rsidR="006C0A8A" w:rsidRPr="007E4696" w:rsidRDefault="006C0A8A"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6C0A8A" w:rsidRPr="007E4696" w:rsidRDefault="006C0A8A"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 Aplicar los pagos a través de transferencias electrónicas y cheques derivados de compromisos y obligaciones del Poder Legislativo;</w:t>
      </w:r>
    </w:p>
    <w:p w:rsidR="006C0A8A" w:rsidRPr="007E4696" w:rsidRDefault="006C0A8A"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w:t>
      </w:r>
    </w:p>
    <w:p w:rsidR="00791719" w:rsidRPr="007E4696" w:rsidRDefault="00791719" w:rsidP="009957ED">
      <w:pPr>
        <w:jc w:val="both"/>
        <w:rPr>
          <w:rFonts w:ascii="Palatino Linotype" w:eastAsia="Palatino Linotype" w:hAnsi="Palatino Linotype" w:cs="Palatino Linotype"/>
          <w:b/>
          <w:i/>
          <w:color w:val="000000" w:themeColor="text1"/>
        </w:rPr>
      </w:pPr>
    </w:p>
    <w:p w:rsidR="00791719" w:rsidRPr="007E4696" w:rsidRDefault="00791719" w:rsidP="009957ED">
      <w:pPr>
        <w:jc w:val="both"/>
        <w:rPr>
          <w:rFonts w:ascii="Palatino Linotype" w:eastAsia="Palatino Linotype" w:hAnsi="Palatino Linotype" w:cs="Palatino Linotype"/>
          <w:b/>
          <w:i/>
          <w:color w:val="000000" w:themeColor="text1"/>
        </w:rPr>
      </w:pPr>
    </w:p>
    <w:p w:rsidR="000773D6" w:rsidRPr="007E4696" w:rsidRDefault="009935A8"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Toda vez que</w:t>
      </w:r>
      <w:r w:rsidR="000773D6" w:rsidRPr="007E4696">
        <w:rPr>
          <w:rFonts w:ascii="Palatino Linotype" w:eastAsia="Palatino Linotype" w:hAnsi="Palatino Linotype" w:cs="Palatino Linotype"/>
          <w:color w:val="000000" w:themeColor="text1"/>
        </w:rPr>
        <w:t xml:space="preserve"> el Sujeto Obligado en respuesta</w:t>
      </w:r>
      <w:r w:rsidR="00115E30" w:rsidRPr="007E4696">
        <w:rPr>
          <w:rFonts w:ascii="Palatino Linotype" w:eastAsia="Palatino Linotype" w:hAnsi="Palatino Linotype" w:cs="Palatino Linotype"/>
          <w:color w:val="000000" w:themeColor="text1"/>
        </w:rPr>
        <w:t>s</w:t>
      </w:r>
      <w:r w:rsidR="000773D6" w:rsidRPr="007E4696">
        <w:rPr>
          <w:rFonts w:ascii="Palatino Linotype" w:eastAsia="Palatino Linotype" w:hAnsi="Palatino Linotype" w:cs="Palatino Linotype"/>
          <w:color w:val="000000" w:themeColor="text1"/>
        </w:rPr>
        <w:t xml:space="preserve"> emite </w:t>
      </w:r>
      <w:r w:rsidR="00115E30" w:rsidRPr="007E4696">
        <w:rPr>
          <w:rFonts w:ascii="Palatino Linotype" w:eastAsia="Palatino Linotype" w:hAnsi="Palatino Linotype" w:cs="Palatino Linotype"/>
          <w:color w:val="000000" w:themeColor="text1"/>
        </w:rPr>
        <w:t xml:space="preserve">su </w:t>
      </w:r>
      <w:r w:rsidR="000773D6" w:rsidRPr="007E4696">
        <w:rPr>
          <w:rFonts w:ascii="Palatino Linotype" w:eastAsia="Palatino Linotype" w:hAnsi="Palatino Linotype" w:cs="Palatino Linotype"/>
          <w:color w:val="000000" w:themeColor="text1"/>
        </w:rPr>
        <w:t xml:space="preserve">pronunciamiento a través del Servidor Público Habilitado </w:t>
      </w:r>
      <w:r w:rsidR="00115E30" w:rsidRPr="007E4696">
        <w:rPr>
          <w:rFonts w:ascii="Palatino Linotype" w:eastAsia="Palatino Linotype" w:hAnsi="Palatino Linotype" w:cs="Palatino Linotype"/>
          <w:color w:val="000000" w:themeColor="text1"/>
        </w:rPr>
        <w:t>la Secretaría de Administración y Finanzas</w:t>
      </w:r>
      <w:r w:rsidR="000773D6" w:rsidRPr="007E4696">
        <w:rPr>
          <w:rFonts w:ascii="Palatino Linotype" w:eastAsia="Palatino Linotype" w:hAnsi="Palatino Linotype" w:cs="Palatino Linotype"/>
          <w:color w:val="000000" w:themeColor="text1"/>
        </w:rPr>
        <w:t>, podemos advertir que se</w:t>
      </w:r>
      <w:r w:rsidR="000773D6" w:rsidRPr="007E4696">
        <w:rPr>
          <w:rFonts w:ascii="Palatino Linotype" w:eastAsia="Palatino Linotype" w:hAnsi="Palatino Linotype" w:cs="Palatino Linotype"/>
          <w:b/>
          <w:color w:val="000000" w:themeColor="text1"/>
        </w:rPr>
        <w:t xml:space="preserve"> </w:t>
      </w:r>
      <w:r w:rsidR="000773D6" w:rsidRPr="007E4696">
        <w:rPr>
          <w:rFonts w:ascii="Palatino Linotype" w:eastAsia="Palatino Linotype" w:hAnsi="Palatino Linotype" w:cs="Palatino Linotype"/>
          <w:color w:val="000000" w:themeColor="text1"/>
        </w:rPr>
        <w:t>siguió el procedimiento inmerso en la normatividad aplicable, ya que turnó los req</w:t>
      </w:r>
      <w:r w:rsidR="00B7425B" w:rsidRPr="007E4696">
        <w:rPr>
          <w:rFonts w:ascii="Palatino Linotype" w:eastAsia="Palatino Linotype" w:hAnsi="Palatino Linotype" w:cs="Palatino Linotype"/>
          <w:color w:val="000000" w:themeColor="text1"/>
        </w:rPr>
        <w:t>uerimientos de información a la unidad administrativa competente</w:t>
      </w:r>
      <w:r w:rsidR="000773D6" w:rsidRPr="007E4696">
        <w:rPr>
          <w:rFonts w:ascii="Palatino Linotype" w:eastAsia="Palatino Linotype" w:hAnsi="Palatino Linotype" w:cs="Palatino Linotype"/>
          <w:color w:val="000000" w:themeColor="text1"/>
        </w:rPr>
        <w:t xml:space="preserve">, vigilando lo establecido por el artículo 162 de la Ley de Transparencia y Acceso a la Información Pública del Estado de México y Municipios, al turnar la solicitud de </w:t>
      </w:r>
      <w:r w:rsidR="000773D6" w:rsidRPr="007E4696">
        <w:rPr>
          <w:rFonts w:ascii="Palatino Linotype" w:eastAsia="Palatino Linotype" w:hAnsi="Palatino Linotype" w:cs="Palatino Linotype"/>
          <w:color w:val="000000" w:themeColor="text1"/>
        </w:rPr>
        <w:lastRenderedPageBreak/>
        <w:t xml:space="preserve">información </w:t>
      </w:r>
      <w:r w:rsidR="00B7425B" w:rsidRPr="007E4696">
        <w:rPr>
          <w:rFonts w:ascii="Palatino Linotype" w:eastAsia="Palatino Linotype" w:hAnsi="Palatino Linotype" w:cs="Palatino Linotype"/>
          <w:color w:val="000000" w:themeColor="text1"/>
        </w:rPr>
        <w:t>al área en la</w:t>
      </w:r>
      <w:r w:rsidR="000773D6" w:rsidRPr="007E4696">
        <w:rPr>
          <w:rFonts w:ascii="Palatino Linotype" w:eastAsia="Palatino Linotype" w:hAnsi="Palatino Linotype" w:cs="Palatino Linotype"/>
          <w:color w:val="000000" w:themeColor="text1"/>
        </w:rPr>
        <w:t xml:space="preserve"> que pudiera obrar la información de conformidad con la fracción XXXIX del artículo tercero de la legislación local vigente en materia de transparencia:</w:t>
      </w:r>
    </w:p>
    <w:p w:rsidR="000773D6" w:rsidRPr="007E4696" w:rsidRDefault="000773D6"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XXXIX.</w:t>
      </w:r>
      <w:r w:rsidRPr="007E4696">
        <w:rPr>
          <w:rFonts w:ascii="Palatino Linotype" w:eastAsia="Palatino Linotype" w:hAnsi="Palatino Linotype" w:cs="Palatino Linotype"/>
          <w:i/>
          <w:color w:val="000000" w:themeColor="text1"/>
        </w:rPr>
        <w:t xml:space="preserve"> </w:t>
      </w:r>
      <w:r w:rsidRPr="007E4696">
        <w:rPr>
          <w:rFonts w:ascii="Palatino Linotype" w:eastAsia="Palatino Linotype" w:hAnsi="Palatino Linotype" w:cs="Palatino Linotype"/>
          <w:b/>
          <w:i/>
          <w:color w:val="000000" w:themeColor="text1"/>
        </w:rPr>
        <w:t>Servidor público habilitado</w:t>
      </w:r>
      <w:r w:rsidRPr="007E4696">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0773D6" w:rsidRPr="007E4696" w:rsidRDefault="000773D6" w:rsidP="009957ED">
      <w:pPr>
        <w:spacing w:line="360" w:lineRule="auto"/>
        <w:jc w:val="both"/>
        <w:rPr>
          <w:rFonts w:ascii="Palatino Linotype" w:eastAsia="Palatino Linotype" w:hAnsi="Palatino Linotype" w:cs="Palatino Linotype"/>
          <w:color w:val="000000" w:themeColor="text1"/>
        </w:rPr>
      </w:pPr>
    </w:p>
    <w:p w:rsidR="000773D6" w:rsidRPr="007E4696" w:rsidRDefault="000773D6"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0773D6" w:rsidRPr="007E4696" w:rsidRDefault="000773D6"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r w:rsidRPr="007E4696">
        <w:rPr>
          <w:rFonts w:ascii="Palatino Linotype" w:eastAsia="Palatino Linotype" w:hAnsi="Palatino Linotype" w:cs="Palatino Linotype"/>
          <w:b/>
          <w:i/>
          <w:color w:val="000000" w:themeColor="text1"/>
        </w:rPr>
        <w:t>Artículo 162.</w:t>
      </w:r>
      <w:r w:rsidRPr="007E4696">
        <w:rPr>
          <w:rFonts w:ascii="Palatino Linotype" w:eastAsia="Palatino Linotype" w:hAnsi="Palatino Linotype" w:cs="Palatino Linotype"/>
          <w:i/>
          <w:color w:val="000000" w:themeColor="text1"/>
        </w:rPr>
        <w:t xml:space="preserve"> Las unidades de transparencia deberán garantizar que las solicitudes se turnen a </w:t>
      </w:r>
      <w:r w:rsidRPr="007E4696">
        <w:rPr>
          <w:rFonts w:ascii="Palatino Linotype" w:eastAsia="Palatino Linotype" w:hAnsi="Palatino Linotype" w:cs="Palatino Linotype"/>
          <w:b/>
          <w:i/>
          <w:color w:val="000000" w:themeColor="text1"/>
        </w:rPr>
        <w:t>todas las Áreas competentes</w:t>
      </w:r>
      <w:r w:rsidRPr="007E4696">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785B5E" w:rsidRPr="007E4696" w:rsidRDefault="00785B5E" w:rsidP="009957ED">
      <w:pPr>
        <w:spacing w:line="360" w:lineRule="auto"/>
        <w:jc w:val="both"/>
        <w:rPr>
          <w:rFonts w:ascii="Palatino Linotype" w:eastAsia="Palatino Linotype" w:hAnsi="Palatino Linotype" w:cs="Palatino Linotype"/>
          <w:color w:val="000000" w:themeColor="text1"/>
        </w:rPr>
      </w:pPr>
    </w:p>
    <w:p w:rsidR="00785B5E" w:rsidRPr="007E4696" w:rsidRDefault="00785B5E"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785B5E" w:rsidRPr="007E4696" w:rsidRDefault="00785B5E" w:rsidP="009957ED">
      <w:pPr>
        <w:spacing w:line="360" w:lineRule="auto"/>
        <w:jc w:val="both"/>
        <w:rPr>
          <w:rFonts w:ascii="Palatino Linotype" w:hAnsi="Palatino Linotype"/>
          <w:color w:val="000000" w:themeColor="text1"/>
        </w:rPr>
      </w:pP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lastRenderedPageBreak/>
        <w:t>“</w:t>
      </w:r>
      <w:r w:rsidRPr="007E4696">
        <w:rPr>
          <w:rFonts w:ascii="Palatino Linotype" w:eastAsia="Palatino Linotype" w:hAnsi="Palatino Linotype" w:cs="Palatino Linotype"/>
          <w:b/>
          <w:i/>
          <w:color w:val="000000" w:themeColor="text1"/>
        </w:rPr>
        <w:t xml:space="preserve">Artículo 3. </w:t>
      </w:r>
      <w:r w:rsidRPr="007E4696">
        <w:rPr>
          <w:rFonts w:ascii="Palatino Linotype" w:eastAsia="Palatino Linotype" w:hAnsi="Palatino Linotype" w:cs="Palatino Linotype"/>
          <w:i/>
          <w:color w:val="000000" w:themeColor="text1"/>
        </w:rPr>
        <w:t>Para los efectos de la presente Ley se entenderá por:</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XI. Documento:</w:t>
      </w:r>
      <w:r w:rsidRPr="007E4696">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85B5E" w:rsidRPr="007E4696" w:rsidRDefault="00785B5E" w:rsidP="009957ED">
      <w:pPr>
        <w:spacing w:line="360" w:lineRule="auto"/>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785B5E" w:rsidRPr="007E4696" w:rsidRDefault="00785B5E" w:rsidP="009957ED">
      <w:pPr>
        <w:jc w:val="both"/>
        <w:rPr>
          <w:rFonts w:ascii="Palatino Linotype" w:eastAsia="Palatino Linotype" w:hAnsi="Palatino Linotype" w:cs="Palatino Linotype"/>
          <w:color w:val="000000" w:themeColor="text1"/>
        </w:rPr>
      </w:pPr>
    </w:p>
    <w:p w:rsidR="00785B5E" w:rsidRPr="007E4696" w:rsidRDefault="00785B5E"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785B5E" w:rsidRPr="007E4696" w:rsidRDefault="00785B5E"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color w:val="000000" w:themeColor="text1"/>
        </w:rPr>
        <w:t>“</w:t>
      </w:r>
      <w:r w:rsidRPr="007E4696">
        <w:rPr>
          <w:rFonts w:ascii="Palatino Linotype" w:eastAsia="Palatino Linotype" w:hAnsi="Palatino Linotype" w:cs="Palatino Linotype"/>
          <w:b/>
          <w:i/>
          <w:color w:val="000000" w:themeColor="text1"/>
        </w:rPr>
        <w:t>CRITERIO 0002-11</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E4696">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785B5E" w:rsidRPr="007E4696" w:rsidRDefault="00785B5E"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 xml:space="preserve">1) </w:t>
      </w:r>
      <w:r w:rsidRPr="007E4696">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785B5E" w:rsidRPr="007E4696" w:rsidRDefault="00785B5E" w:rsidP="009957ED">
      <w:pPr>
        <w:tabs>
          <w:tab w:val="left" w:pos="851"/>
        </w:tabs>
        <w:spacing w:line="360" w:lineRule="auto"/>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(Énfasis Añadido)</w:t>
      </w:r>
    </w:p>
    <w:p w:rsidR="00785B5E" w:rsidRPr="007E4696" w:rsidRDefault="00785B5E" w:rsidP="009957ED">
      <w:pPr>
        <w:pBdr>
          <w:top w:val="nil"/>
          <w:left w:val="nil"/>
          <w:bottom w:val="nil"/>
          <w:right w:val="nil"/>
          <w:between w:val="nil"/>
        </w:pBdr>
        <w:jc w:val="both"/>
        <w:rPr>
          <w:rFonts w:ascii="Palatino Linotype" w:eastAsia="Palatino Linotype" w:hAnsi="Palatino Linotype" w:cs="Palatino Linotype"/>
          <w:color w:val="000000" w:themeColor="text1"/>
        </w:rPr>
      </w:pPr>
    </w:p>
    <w:p w:rsidR="00785B5E" w:rsidRPr="007E4696" w:rsidRDefault="00785B5E"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lastRenderedPageBreak/>
        <w:t>Por su parte los artículos 160 y 166, de la Ley local en la materia, que se reproduce de la siguiente forma:</w:t>
      </w: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r w:rsidRPr="007E4696">
        <w:rPr>
          <w:rFonts w:ascii="Palatino Linotype" w:eastAsia="Palatino Linotype" w:hAnsi="Palatino Linotype" w:cs="Palatino Linotype"/>
          <w:b/>
          <w:i/>
          <w:color w:val="000000" w:themeColor="text1"/>
        </w:rPr>
        <w:t>Artículo 160.</w:t>
      </w:r>
      <w:r w:rsidRPr="007E4696">
        <w:rPr>
          <w:rFonts w:ascii="Palatino Linotype" w:eastAsia="Palatino Linotype" w:hAnsi="Palatino Linotype" w:cs="Palatino Linotype"/>
          <w:i/>
          <w:color w:val="000000" w:themeColor="text1"/>
        </w:rPr>
        <w:t xml:space="preserve"> </w:t>
      </w:r>
      <w:r w:rsidRPr="007E4696">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E4696">
        <w:rPr>
          <w:rFonts w:ascii="Palatino Linotype" w:eastAsia="Palatino Linotype" w:hAnsi="Palatino Linotype" w:cs="Palatino Linotype"/>
          <w:i/>
          <w:color w:val="000000" w:themeColor="text1"/>
        </w:rPr>
        <w:t>.</w:t>
      </w:r>
    </w:p>
    <w:p w:rsidR="00785B5E" w:rsidRPr="007E4696" w:rsidRDefault="00785B5E" w:rsidP="009957ED">
      <w:pPr>
        <w:jc w:val="both"/>
        <w:rPr>
          <w:rFonts w:ascii="Palatino Linotype" w:eastAsia="Palatino Linotype" w:hAnsi="Palatino Linotype" w:cs="Palatino Linotype"/>
          <w:i/>
          <w:color w:val="000000" w:themeColor="text1"/>
        </w:rPr>
      </w:pPr>
    </w:p>
    <w:p w:rsidR="00785B5E" w:rsidRPr="007E4696" w:rsidRDefault="00785B5E"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785B5E" w:rsidRPr="007E4696" w:rsidRDefault="00785B5E" w:rsidP="009957ED">
      <w:pPr>
        <w:jc w:val="both"/>
        <w:rPr>
          <w:rFonts w:ascii="Palatino Linotype" w:eastAsia="Palatino Linotype" w:hAnsi="Palatino Linotype" w:cs="Palatino Linotype"/>
          <w:i/>
          <w:color w:val="000000" w:themeColor="text1"/>
          <w:u w:val="single"/>
        </w:rPr>
      </w:pPr>
      <w:r w:rsidRPr="007E4696">
        <w:rPr>
          <w:rFonts w:ascii="Palatino Linotype" w:eastAsia="Palatino Linotype" w:hAnsi="Palatino Linotype" w:cs="Palatino Linotype"/>
          <w:b/>
          <w:i/>
          <w:color w:val="000000" w:themeColor="text1"/>
        </w:rPr>
        <w:t>Artículo 166.</w:t>
      </w:r>
      <w:r w:rsidRPr="007E4696">
        <w:rPr>
          <w:rFonts w:ascii="Palatino Linotype" w:eastAsia="Palatino Linotype" w:hAnsi="Palatino Linotype" w:cs="Palatino Linotype"/>
          <w:i/>
          <w:color w:val="000000" w:themeColor="text1"/>
        </w:rPr>
        <w:t xml:space="preserve"> </w:t>
      </w:r>
      <w:r w:rsidRPr="007E4696">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785B5E" w:rsidRPr="007E4696" w:rsidRDefault="00785B5E" w:rsidP="009957ED">
      <w:pPr>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(Énfasis añadido)</w:t>
      </w:r>
    </w:p>
    <w:p w:rsidR="00785B5E" w:rsidRPr="007E4696" w:rsidRDefault="00785B5E" w:rsidP="009957ED">
      <w:pPr>
        <w:jc w:val="both"/>
        <w:rPr>
          <w:rFonts w:ascii="Palatino Linotype" w:eastAsia="Palatino Linotype" w:hAnsi="Palatino Linotype" w:cs="Palatino Linotype"/>
          <w:color w:val="000000" w:themeColor="text1"/>
        </w:rPr>
      </w:pPr>
    </w:p>
    <w:p w:rsidR="00785B5E" w:rsidRPr="007E4696" w:rsidRDefault="00785B5E"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C06FAB" w:rsidRPr="007E4696" w:rsidRDefault="00C06FAB" w:rsidP="009957ED">
      <w:pPr>
        <w:spacing w:line="360" w:lineRule="auto"/>
        <w:jc w:val="both"/>
        <w:rPr>
          <w:rFonts w:ascii="Palatino Linotype" w:eastAsia="Palatino Linotype" w:hAnsi="Palatino Linotype" w:cs="Palatino Linotype"/>
          <w:color w:val="000000" w:themeColor="text1"/>
        </w:rPr>
      </w:pPr>
    </w:p>
    <w:p w:rsidR="003D2691" w:rsidRPr="007E4696" w:rsidRDefault="003F6DA2" w:rsidP="009957ED">
      <w:pPr>
        <w:numPr>
          <w:ilvl w:val="0"/>
          <w:numId w:val="2"/>
        </w:numPr>
        <w:spacing w:line="360" w:lineRule="auto"/>
        <w:ind w:left="0" w:firstLine="0"/>
        <w:jc w:val="both"/>
        <w:rPr>
          <w:rFonts w:ascii="Palatino Linotype" w:eastAsia="Palatino Linotype" w:hAnsi="Palatino Linotype" w:cs="Palatino Linotype"/>
          <w:color w:val="000000" w:themeColor="text1"/>
          <w:u w:val="single"/>
        </w:rPr>
      </w:pPr>
      <w:r w:rsidRPr="007E4696">
        <w:rPr>
          <w:rFonts w:ascii="Palatino Linotype" w:eastAsia="Palatino Linotype" w:hAnsi="Palatino Linotype" w:cs="Palatino Linotype"/>
          <w:color w:val="000000" w:themeColor="text1"/>
        </w:rPr>
        <w:t xml:space="preserve">Ahora bien, </w:t>
      </w:r>
      <w:r w:rsidR="00631614" w:rsidRPr="007E4696">
        <w:rPr>
          <w:rFonts w:ascii="Palatino Linotype" w:eastAsia="Palatino Linotype" w:hAnsi="Palatino Linotype" w:cs="Palatino Linotype"/>
          <w:color w:val="000000" w:themeColor="text1"/>
        </w:rPr>
        <w:t xml:space="preserve">es de recordar </w:t>
      </w:r>
      <w:r w:rsidR="003D2691" w:rsidRPr="007E4696">
        <w:rPr>
          <w:rFonts w:ascii="Palatino Linotype" w:eastAsia="Palatino Linotype" w:hAnsi="Palatino Linotype" w:cs="Palatino Linotype"/>
          <w:color w:val="000000" w:themeColor="text1"/>
        </w:rPr>
        <w:t xml:space="preserve">para el punto de solicitud relativo a los </w:t>
      </w:r>
      <w:r w:rsidR="003D2691" w:rsidRPr="007E4696">
        <w:rPr>
          <w:rFonts w:ascii="Palatino Linotype" w:eastAsia="Palatino Linotype" w:hAnsi="Palatino Linotype" w:cs="Palatino Linotype"/>
          <w:i/>
          <w:color w:val="000000" w:themeColor="text1"/>
          <w:u w:val="single"/>
        </w:rPr>
        <w:t>Comprobantes de todos los pagos realizados mediante cheque y transferencia electrónica a particulares correspondientes a las partidas presupuestales 3611 y 3612 durante el mes de diciembre de 2024</w:t>
      </w:r>
      <w:r w:rsidR="0094792E" w:rsidRPr="007E4696">
        <w:rPr>
          <w:rFonts w:ascii="Palatino Linotype" w:eastAsia="Palatino Linotype" w:hAnsi="Palatino Linotype" w:cs="Palatino Linotype"/>
          <w:color w:val="000000" w:themeColor="text1"/>
          <w:u w:val="single"/>
        </w:rPr>
        <w:t>,</w:t>
      </w:r>
      <w:r w:rsidR="0094792E" w:rsidRPr="007E4696">
        <w:rPr>
          <w:rFonts w:ascii="Palatino Linotype" w:eastAsia="Palatino Linotype" w:hAnsi="Palatino Linotype" w:cs="Palatino Linotype"/>
          <w:color w:val="000000" w:themeColor="text1"/>
        </w:rPr>
        <w:t xml:space="preserve"> el Sujeto Obligado refirió que </w:t>
      </w:r>
      <w:r w:rsidR="0094792E" w:rsidRPr="007E4696">
        <w:rPr>
          <w:rFonts w:ascii="Palatino Linotype" w:eastAsia="Palatino Linotype" w:hAnsi="Palatino Linotype" w:cs="Palatino Linotype"/>
          <w:i/>
          <w:color w:val="000000" w:themeColor="text1"/>
        </w:rPr>
        <w:t xml:space="preserve">los comprobantes de pago correspondientes a las partidas presupuestales 3611 y 3612, realizados durante el mes de diciembre 2024, pueden consultarse en el apartado del cuarto trimestre 2024, en el enlace siguiente: </w:t>
      </w:r>
      <w:hyperlink r:id="rId10" w:history="1">
        <w:r w:rsidR="0094792E" w:rsidRPr="007E4696">
          <w:rPr>
            <w:rStyle w:val="Hipervnculo"/>
            <w:rFonts w:ascii="Palatino Linotype" w:eastAsia="Palatino Linotype" w:hAnsi="Palatino Linotype" w:cs="Palatino Linotype"/>
            <w:i/>
            <w:color w:val="000000" w:themeColor="text1"/>
          </w:rPr>
          <w:t>https://administracionyfinanzasplem.gob.mx/ece.html</w:t>
        </w:r>
      </w:hyperlink>
      <w:r w:rsidR="0094792E" w:rsidRPr="007E4696">
        <w:rPr>
          <w:rFonts w:ascii="Palatino Linotype" w:eastAsia="Palatino Linotype" w:hAnsi="Palatino Linotype" w:cs="Palatino Linotype"/>
          <w:i/>
          <w:color w:val="000000" w:themeColor="text1"/>
        </w:rPr>
        <w:t xml:space="preserve"> </w:t>
      </w:r>
      <w:r w:rsidR="0094792E" w:rsidRPr="007E4696">
        <w:rPr>
          <w:rFonts w:ascii="Palatino Linotype" w:eastAsia="Palatino Linotype" w:hAnsi="Palatino Linotype" w:cs="Palatino Linotype"/>
          <w:color w:val="000000" w:themeColor="text1"/>
        </w:rPr>
        <w:t xml:space="preserve">, de lo que es de señalar que si bien en respuesta se envió en formato cerrado, en el apartado de la respuesta del SAIMEX, se </w:t>
      </w:r>
      <w:r w:rsidR="0094792E" w:rsidRPr="007E4696">
        <w:rPr>
          <w:rFonts w:ascii="Palatino Linotype" w:eastAsia="Palatino Linotype" w:hAnsi="Palatino Linotype" w:cs="Palatino Linotype"/>
          <w:color w:val="000000" w:themeColor="text1"/>
        </w:rPr>
        <w:lastRenderedPageBreak/>
        <w:t>entrega dicha liga en formato abierto; de la respuesta el particular se dolió al señalar que dicha liga no contiene la información requerida, en la liga ofrecida se encuentran facturas de la partida 3612 y no los comprobantes de pago, posteriormente el Sujeto Obligado al rendir informe justificado ratifica la respuesta inicial.</w:t>
      </w:r>
    </w:p>
    <w:p w:rsidR="0094792E" w:rsidRPr="007E4696" w:rsidRDefault="0094792E" w:rsidP="009957ED">
      <w:pPr>
        <w:spacing w:line="360" w:lineRule="auto"/>
        <w:jc w:val="both"/>
        <w:rPr>
          <w:rFonts w:ascii="Palatino Linotype" w:eastAsia="Palatino Linotype" w:hAnsi="Palatino Linotype" w:cs="Palatino Linotype"/>
          <w:color w:val="000000" w:themeColor="text1"/>
          <w:u w:val="single"/>
        </w:rPr>
      </w:pPr>
    </w:p>
    <w:p w:rsidR="00662FD3" w:rsidRPr="007E4696" w:rsidRDefault="00D06A2C" w:rsidP="009957ED">
      <w:pPr>
        <w:numPr>
          <w:ilvl w:val="0"/>
          <w:numId w:val="2"/>
        </w:numPr>
        <w:spacing w:line="360" w:lineRule="auto"/>
        <w:ind w:left="0" w:firstLine="0"/>
        <w:jc w:val="both"/>
        <w:rPr>
          <w:rFonts w:ascii="Palatino Linotype" w:eastAsia="Palatino Linotype" w:hAnsi="Palatino Linotype" w:cs="Palatino Linotype"/>
          <w:bCs/>
          <w:color w:val="000000" w:themeColor="text1"/>
          <w:lang w:val="es-MX"/>
        </w:rPr>
      </w:pPr>
      <w:r w:rsidRPr="007E4696">
        <w:rPr>
          <w:rFonts w:ascii="Palatino Linotype" w:eastAsia="Palatino Linotype" w:hAnsi="Palatino Linotype" w:cs="Palatino Linotype"/>
          <w:bCs/>
          <w:noProof/>
          <w:color w:val="000000" w:themeColor="text1"/>
          <w:lang w:val="es-MX" w:eastAsia="es-MX"/>
        </w:rPr>
        <w:drawing>
          <wp:anchor distT="0" distB="0" distL="114300" distR="114300" simplePos="0" relativeHeight="251658240" behindDoc="0" locked="0" layoutInCell="1" allowOverlap="1">
            <wp:simplePos x="0" y="0"/>
            <wp:positionH relativeFrom="column">
              <wp:posOffset>577215</wp:posOffset>
            </wp:positionH>
            <wp:positionV relativeFrom="paragraph">
              <wp:posOffset>1943100</wp:posOffset>
            </wp:positionV>
            <wp:extent cx="2546350" cy="1020445"/>
            <wp:effectExtent l="152400" t="152400" r="368300" b="3702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6350" cy="1020445"/>
                    </a:xfrm>
                    <a:prstGeom prst="rect">
                      <a:avLst/>
                    </a:prstGeom>
                    <a:ln>
                      <a:noFill/>
                    </a:ln>
                    <a:effectLst>
                      <a:outerShdw blurRad="292100" dist="139700" dir="2700000" algn="tl" rotWithShape="0">
                        <a:srgbClr val="333333">
                          <a:alpha val="65000"/>
                        </a:srgbClr>
                      </a:outerShdw>
                    </a:effectLst>
                  </pic:spPr>
                </pic:pic>
              </a:graphicData>
            </a:graphic>
          </wp:anchor>
        </w:drawing>
      </w:r>
      <w:r w:rsidRPr="007E4696">
        <w:rPr>
          <w:rFonts w:ascii="Palatino Linotype" w:hAnsi="Palatino Linotype"/>
          <w:noProof/>
          <w:color w:val="000000" w:themeColor="text1"/>
          <w:lang w:val="es-MX" w:eastAsia="es-MX"/>
        </w:rPr>
        <w:drawing>
          <wp:anchor distT="0" distB="0" distL="114300" distR="114300" simplePos="0" relativeHeight="251659264" behindDoc="0" locked="0" layoutInCell="1" allowOverlap="1">
            <wp:simplePos x="0" y="0"/>
            <wp:positionH relativeFrom="margin">
              <wp:align>right</wp:align>
            </wp:positionH>
            <wp:positionV relativeFrom="paragraph">
              <wp:posOffset>1493520</wp:posOffset>
            </wp:positionV>
            <wp:extent cx="1759274" cy="1866900"/>
            <wp:effectExtent l="152400" t="152400" r="355600" b="36195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9274" cy="1866900"/>
                    </a:xfrm>
                    <a:prstGeom prst="rect">
                      <a:avLst/>
                    </a:prstGeom>
                    <a:ln>
                      <a:noFill/>
                    </a:ln>
                    <a:effectLst>
                      <a:outerShdw blurRad="292100" dist="139700" dir="2700000" algn="tl" rotWithShape="0">
                        <a:srgbClr val="333333">
                          <a:alpha val="65000"/>
                        </a:srgbClr>
                      </a:outerShdw>
                    </a:effectLst>
                  </pic:spPr>
                </pic:pic>
              </a:graphicData>
            </a:graphic>
          </wp:anchor>
        </w:drawing>
      </w:r>
      <w:r w:rsidR="00631614" w:rsidRPr="007E4696">
        <w:rPr>
          <w:rFonts w:ascii="Palatino Linotype" w:eastAsia="Palatino Linotype" w:hAnsi="Palatino Linotype" w:cs="Palatino Linotype"/>
          <w:color w:val="000000" w:themeColor="text1"/>
        </w:rPr>
        <w:t xml:space="preserve"> </w:t>
      </w:r>
      <w:r w:rsidR="00911256" w:rsidRPr="007E4696">
        <w:rPr>
          <w:rFonts w:ascii="Palatino Linotype" w:eastAsia="Palatino Linotype" w:hAnsi="Palatino Linotype" w:cs="Palatino Linotype"/>
          <w:color w:val="000000" w:themeColor="text1"/>
        </w:rPr>
        <w:t xml:space="preserve">Al ingresar a la ligan antes señalada se puede visualizar una página del Congreso del Estado de México, referente al </w:t>
      </w:r>
      <w:r w:rsidR="00911256" w:rsidRPr="007E4696">
        <w:rPr>
          <w:rFonts w:ascii="Palatino Linotype" w:eastAsia="Palatino Linotype" w:hAnsi="Palatino Linotype" w:cs="Palatino Linotype"/>
          <w:bCs/>
          <w:color w:val="000000" w:themeColor="text1"/>
          <w:lang w:val="es-MX"/>
        </w:rPr>
        <w:t>Artículo 92 fracción XXVII B, al seguir las indicaciones del Sujeto Obligado</w:t>
      </w:r>
      <w:r w:rsidRPr="007E4696">
        <w:rPr>
          <w:rFonts w:ascii="Palatino Linotype" w:eastAsia="Palatino Linotype" w:hAnsi="Palatino Linotype" w:cs="Palatino Linotype"/>
          <w:bCs/>
          <w:color w:val="000000" w:themeColor="text1"/>
          <w:lang w:val="es-MX"/>
        </w:rPr>
        <w:t>, al seleccionar el aparrado correspondiente al cuarto trimestre 2024, mismo que permite la visualización de 72 facturas, tal como se muestra en las siguientes imágenes:</w:t>
      </w:r>
    </w:p>
    <w:p w:rsidR="00796A13" w:rsidRPr="007E4696" w:rsidRDefault="00D06A2C" w:rsidP="009957ED">
      <w:pPr>
        <w:numPr>
          <w:ilvl w:val="0"/>
          <w:numId w:val="2"/>
        </w:numPr>
        <w:spacing w:line="360" w:lineRule="auto"/>
        <w:ind w:left="0" w:firstLine="0"/>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color w:val="000000" w:themeColor="text1"/>
        </w:rPr>
        <w:t xml:space="preserve">En lo que </w:t>
      </w:r>
      <w:r w:rsidR="00796A13" w:rsidRPr="007E4696">
        <w:rPr>
          <w:rFonts w:ascii="Palatino Linotype" w:eastAsia="Palatino Linotype" w:hAnsi="Palatino Linotype" w:cs="Palatino Linotype"/>
          <w:color w:val="000000" w:themeColor="text1"/>
        </w:rPr>
        <w:t xml:space="preserve">respecta a los </w:t>
      </w:r>
      <w:r w:rsidR="00796A13" w:rsidRPr="007E4696">
        <w:rPr>
          <w:rFonts w:ascii="Palatino Linotype" w:eastAsia="Palatino Linotype" w:hAnsi="Palatino Linotype" w:cs="Palatino Linotype"/>
          <w:i/>
          <w:color w:val="000000" w:themeColor="text1"/>
        </w:rPr>
        <w:t>Comprobantes de todos los pagos realizados mediante cheque y transferencia electrónica a particulares del 01 de marzo al 30 de abril de 2025,</w:t>
      </w:r>
      <w:r w:rsidR="00796A13" w:rsidRPr="007E4696">
        <w:rPr>
          <w:rFonts w:ascii="Palatino Linotype" w:eastAsia="Palatino Linotype" w:hAnsi="Palatino Linotype" w:cs="Palatino Linotype"/>
          <w:color w:val="000000" w:themeColor="text1"/>
        </w:rPr>
        <w:t xml:space="preserve"> el Sujeto Obligado clasificó la información como confidencial, al referir que los comprobantes de pago (cheques y transferencias) contienen innumerables datos personales, circunstancia de la cual se dolió el recurrente.</w:t>
      </w:r>
    </w:p>
    <w:p w:rsidR="003403E0" w:rsidRPr="007E4696" w:rsidRDefault="003403E0" w:rsidP="009957ED">
      <w:pPr>
        <w:spacing w:line="360" w:lineRule="auto"/>
        <w:rPr>
          <w:rFonts w:ascii="Palatino Linotype" w:eastAsia="Palatino Linotype" w:hAnsi="Palatino Linotype" w:cs="Palatino Linotype"/>
          <w:i/>
          <w:color w:val="000000" w:themeColor="text1"/>
        </w:rPr>
      </w:pPr>
    </w:p>
    <w:p w:rsidR="00D06A2C" w:rsidRPr="007E4696" w:rsidRDefault="00796A13"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lastRenderedPageBreak/>
        <w:t xml:space="preserve">En razón de lo anterior se analizará la naturaleza jurídica de la información </w:t>
      </w:r>
      <w:r w:rsidR="00B6599D" w:rsidRPr="007E4696">
        <w:rPr>
          <w:rFonts w:ascii="Palatino Linotype" w:eastAsia="Palatino Linotype" w:hAnsi="Palatino Linotype" w:cs="Palatino Linotype"/>
          <w:color w:val="000000" w:themeColor="text1"/>
        </w:rPr>
        <w:t>requerida</w:t>
      </w:r>
      <w:r w:rsidRPr="007E4696">
        <w:rPr>
          <w:rFonts w:ascii="Palatino Linotype" w:eastAsia="Palatino Linotype" w:hAnsi="Palatino Linotype" w:cs="Palatino Linotype"/>
          <w:color w:val="000000" w:themeColor="text1"/>
        </w:rPr>
        <w:t xml:space="preserve"> a fin de determinar si el Sujeto Obligado a través de la información entregada mediante la liga proporcionada y la clasificación de información como confidencial, da atención a la solicitud realizada por el particular.</w:t>
      </w:r>
    </w:p>
    <w:p w:rsidR="003403E0" w:rsidRPr="007E4696" w:rsidRDefault="003403E0" w:rsidP="009957ED">
      <w:pPr>
        <w:spacing w:line="360" w:lineRule="auto"/>
        <w:jc w:val="both"/>
        <w:rPr>
          <w:rFonts w:ascii="Palatino Linotype" w:eastAsia="Palatino Linotype" w:hAnsi="Palatino Linotype" w:cs="Palatino Linotype"/>
          <w:color w:val="000000" w:themeColor="text1"/>
        </w:rPr>
      </w:pPr>
    </w:p>
    <w:p w:rsidR="003403E0" w:rsidRPr="007E4696" w:rsidRDefault="003403E0"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En principio es de referir que en la </w:t>
      </w:r>
      <w:r w:rsidR="00C303F3" w:rsidRPr="007E4696">
        <w:rPr>
          <w:rFonts w:ascii="Palatino Linotype" w:eastAsia="Palatino Linotype" w:hAnsi="Palatino Linotype" w:cs="Palatino Linotype"/>
          <w:color w:val="000000" w:themeColor="text1"/>
        </w:rPr>
        <w:t xml:space="preserve">solicitud </w:t>
      </w:r>
      <w:r w:rsidR="00C303F3" w:rsidRPr="007E4696">
        <w:rPr>
          <w:rFonts w:ascii="Palatino Linotype" w:eastAsia="Palatino Linotype" w:hAnsi="Palatino Linotype" w:cs="Palatino Linotype"/>
          <w:i/>
          <w:color w:val="000000" w:themeColor="text1"/>
          <w:u w:val="single"/>
        </w:rPr>
        <w:t>Comprobantes de todos los pagos realizados mediante cheque y transferencia electrónica a particulares correspondientes a las partidas presupuestales 3611 y 3612 durante el mes de diciembre de 2024</w:t>
      </w:r>
      <w:r w:rsidR="00C303F3" w:rsidRPr="007E4696">
        <w:rPr>
          <w:rFonts w:ascii="Palatino Linotype" w:eastAsia="Palatino Linotype" w:hAnsi="Palatino Linotype" w:cs="Palatino Linotype"/>
          <w:color w:val="000000" w:themeColor="text1"/>
        </w:rPr>
        <w:t>, dichas partidas presupuestales de conformidad con el Clasificador por Objeto de Gasto Estatal-Municipal</w:t>
      </w:r>
      <w:r w:rsidR="00CC24F0" w:rsidRPr="007E4696">
        <w:rPr>
          <w:rFonts w:ascii="Palatino Linotype" w:eastAsia="Palatino Linotype" w:hAnsi="Palatino Linotype" w:cs="Palatino Linotype"/>
          <w:color w:val="000000" w:themeColor="text1"/>
        </w:rPr>
        <w:t xml:space="preserve"> señala lo siguiente:</w:t>
      </w:r>
    </w:p>
    <w:p w:rsidR="00CC24F0" w:rsidRPr="007E4696" w:rsidRDefault="00CC24F0"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1.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CC24F0" w:rsidRPr="007E4696" w:rsidRDefault="00CC24F0" w:rsidP="009957ED">
      <w:pPr>
        <w:jc w:val="both"/>
        <w:rPr>
          <w:rFonts w:ascii="Palatino Linotype" w:eastAsia="Palatino Linotype" w:hAnsi="Palatino Linotype" w:cs="Palatino Linotype"/>
          <w:i/>
          <w:color w:val="000000" w:themeColor="text1"/>
        </w:rPr>
      </w:pPr>
    </w:p>
    <w:p w:rsidR="00CC24F0" w:rsidRPr="007E4696" w:rsidRDefault="00CC24F0"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2. El presente Clasificador por Objeto del Gasto, es de observancia obligatoria para las dependencias, entidades públicas y los Municipios, cumpliendo además con la normatividad que se emita en la materia.</w:t>
      </w:r>
    </w:p>
    <w:p w:rsidR="00CC24F0" w:rsidRPr="007E4696" w:rsidRDefault="00CC24F0"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CC24F0" w:rsidRPr="007E4696" w:rsidRDefault="00CC24F0"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4. Los capítulos, subcapítulos y partidas de gasto del presente Clasificador podrán utilizarse por los Poderes Legislativo y Judicial…</w:t>
      </w:r>
    </w:p>
    <w:p w:rsidR="00CC24F0" w:rsidRPr="007E4696" w:rsidRDefault="00CC24F0"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noProof/>
          <w:color w:val="000000" w:themeColor="text1"/>
          <w:lang w:val="es-MX" w:eastAsia="es-MX"/>
        </w:rPr>
        <w:drawing>
          <wp:inline distT="0" distB="0" distL="0" distR="0" wp14:anchorId="296FAF5F" wp14:editId="12FDD851">
            <wp:extent cx="5756275" cy="428625"/>
            <wp:effectExtent l="152400" t="152400" r="358775" b="3714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9252" b="8556"/>
                    <a:stretch/>
                  </pic:blipFill>
                  <pic:spPr bwMode="auto">
                    <a:xfrm>
                      <a:off x="0" y="0"/>
                      <a:ext cx="5756275" cy="42862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rsidR="00CC24F0" w:rsidRPr="007E4696" w:rsidRDefault="00CC24F0" w:rsidP="009957ED">
      <w:pPr>
        <w:jc w:val="center"/>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t>Capítulo 3000 Servicios Generales</w:t>
      </w:r>
    </w:p>
    <w:p w:rsidR="00CC24F0" w:rsidRPr="007E4696" w:rsidRDefault="00CC24F0" w:rsidP="009957ED">
      <w:pPr>
        <w:jc w:val="center"/>
        <w:rPr>
          <w:rFonts w:ascii="Palatino Linotype" w:eastAsia="Palatino Linotype" w:hAnsi="Palatino Linotype" w:cs="Palatino Linotype"/>
          <w:b/>
          <w:i/>
          <w:color w:val="000000" w:themeColor="text1"/>
        </w:rPr>
      </w:pPr>
    </w:p>
    <w:p w:rsidR="00CC24F0" w:rsidRPr="007E4696" w:rsidRDefault="00CC24F0" w:rsidP="009957ED">
      <w:pPr>
        <w:jc w:val="both"/>
        <w:rPr>
          <w:rFonts w:ascii="Palatino Linotype" w:eastAsia="Palatino Linotype" w:hAnsi="Palatino Linotype" w:cs="Palatino Linotype"/>
          <w:b/>
          <w:i/>
          <w:color w:val="000000" w:themeColor="text1"/>
        </w:rPr>
      </w:pPr>
      <w:r w:rsidRPr="007E4696">
        <w:rPr>
          <w:rFonts w:ascii="Palatino Linotype" w:eastAsia="Palatino Linotype" w:hAnsi="Palatino Linotype" w:cs="Palatino Linotype"/>
          <w:b/>
          <w:i/>
          <w:color w:val="000000" w:themeColor="text1"/>
        </w:rPr>
        <w:lastRenderedPageBreak/>
        <w:t xml:space="preserve">Subcapítulo 3600 Servicios de Comunicación Social y Publicidad. </w:t>
      </w:r>
    </w:p>
    <w:p w:rsidR="00CC24F0" w:rsidRPr="007E4696" w:rsidRDefault="00CC24F0"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entes públicos. Incluye la contratación de servicios de impresión y publicación de información; así como al montaje de espectáculos culturales y celebraciones que demanden los entes públicos.</w:t>
      </w:r>
    </w:p>
    <w:p w:rsidR="001405CB" w:rsidRPr="007E4696" w:rsidRDefault="001405CB"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i/>
          <w:color w:val="000000" w:themeColor="text1"/>
        </w:rPr>
        <w:t>…</w:t>
      </w:r>
    </w:p>
    <w:p w:rsidR="001405CB" w:rsidRPr="007E4696" w:rsidRDefault="001405CB"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3611 Gastos de publicidad y propaganda</w:t>
      </w:r>
      <w:r w:rsidRPr="007E4696">
        <w:rPr>
          <w:rFonts w:ascii="Palatino Linotype" w:eastAsia="Palatino Linotype" w:hAnsi="Palatino Linotype" w:cs="Palatino Linotype"/>
          <w:i/>
          <w:color w:val="000000" w:themeColor="text1"/>
        </w:rPr>
        <w:t xml:space="preserve">. Asignación para contratar servicios de publicidad y difusión en medios masivos de comunicación, que permitan dar a conocer el quehacer de la administración pública estatal, así como los bienes y servicios públicos que se prestan; publicación y difusión masiva a través de televisión abierta y restringida, radio, cine, prensa, encartes, espectaculares, para buses, Internet y medios electrónicos e impresos internacionales. </w:t>
      </w:r>
    </w:p>
    <w:p w:rsidR="001405CB" w:rsidRPr="007E4696" w:rsidRDefault="001405CB" w:rsidP="009957ED">
      <w:pPr>
        <w:jc w:val="both"/>
        <w:rPr>
          <w:rFonts w:ascii="Palatino Linotype" w:eastAsia="Palatino Linotype" w:hAnsi="Palatino Linotype" w:cs="Palatino Linotype"/>
          <w:i/>
          <w:color w:val="000000" w:themeColor="text1"/>
        </w:rPr>
      </w:pPr>
    </w:p>
    <w:p w:rsidR="001405CB" w:rsidRPr="007E4696" w:rsidRDefault="001405CB" w:rsidP="009957ED">
      <w:pPr>
        <w:jc w:val="both"/>
        <w:rPr>
          <w:rFonts w:ascii="Palatino Linotype" w:eastAsia="Palatino Linotype" w:hAnsi="Palatino Linotype" w:cs="Palatino Linotype"/>
          <w:i/>
          <w:color w:val="000000" w:themeColor="text1"/>
        </w:rPr>
      </w:pPr>
      <w:r w:rsidRPr="007E4696">
        <w:rPr>
          <w:rFonts w:ascii="Palatino Linotype" w:eastAsia="Palatino Linotype" w:hAnsi="Palatino Linotype" w:cs="Palatino Linotype"/>
          <w:b/>
          <w:i/>
          <w:color w:val="000000" w:themeColor="text1"/>
        </w:rPr>
        <w:t>3612 Publicaciones oficiales</w:t>
      </w:r>
      <w:r w:rsidRPr="007E4696">
        <w:rPr>
          <w:rFonts w:ascii="Palatino Linotype" w:eastAsia="Palatino Linotype" w:hAnsi="Palatino Linotype" w:cs="Palatino Linotype"/>
          <w:i/>
          <w:color w:val="000000" w:themeColor="text1"/>
        </w:rPr>
        <w:t>. Asignaciones destinadas a cubrir el costo de los servicios de publicación de documentos oficiales tales como: programas sectoriales, regionales y especiales, informes de labores, manuales de organización, de procedimientos y de servicios al público, decretos, acuerdos, convenios, oficios, circulares, programas de adquisiciones, instructivos, libros, revistas, folletos, boletines, posters, trípticos, edictos, informes, así como la información en materia de licitaciones públicas y subastas para la adquisición o enajenación, bases y convocatorias.</w:t>
      </w:r>
    </w:p>
    <w:p w:rsidR="00053346" w:rsidRPr="007E4696" w:rsidRDefault="00053346" w:rsidP="009957ED">
      <w:pPr>
        <w:jc w:val="both"/>
        <w:rPr>
          <w:rFonts w:ascii="Palatino Linotype" w:eastAsia="Palatino Linotype" w:hAnsi="Palatino Linotype" w:cs="Palatino Linotype"/>
          <w:i/>
          <w:color w:val="000000" w:themeColor="text1"/>
        </w:rPr>
      </w:pPr>
    </w:p>
    <w:p w:rsidR="00DB41E5" w:rsidRPr="007E4696" w:rsidRDefault="00FE3D40" w:rsidP="009957ED">
      <w:pPr>
        <w:numPr>
          <w:ilvl w:val="0"/>
          <w:numId w:val="2"/>
        </w:numPr>
        <w:spacing w:line="360" w:lineRule="auto"/>
        <w:ind w:left="0" w:firstLine="0"/>
        <w:jc w:val="both"/>
        <w:rPr>
          <w:rFonts w:ascii="Palatino Linotype" w:hAnsi="Palatino Linotype" w:cs="Tahoma"/>
          <w:color w:val="000000" w:themeColor="text1"/>
        </w:rPr>
      </w:pPr>
      <w:r w:rsidRPr="007E4696">
        <w:rPr>
          <w:rFonts w:ascii="Palatino Linotype" w:hAnsi="Palatino Linotype" w:cs="Tahoma"/>
          <w:color w:val="000000" w:themeColor="text1"/>
        </w:rPr>
        <w:t xml:space="preserve">Ahora bien, es de referir que si bien la información a la que remite el link entregado en respuesta es respecto al cumplimiento de las obligaciones comunes de transparencia establecida en su artículo 92, fracción XXVII, de la Ley de Transparencia Local, relativa a Los montos destinados a gastos relativos a todos los programas y campañas de comunicación social y publicidad oficial desglosada por tipo de medio, proveedores, número de contrato y concepto; en la información entregada se observan facturas respecto a la partida presupuestal 3612 de publicaciones oficiales, sin embargo, la </w:t>
      </w:r>
      <w:r w:rsidRPr="007E4696">
        <w:rPr>
          <w:rFonts w:ascii="Palatino Linotype" w:hAnsi="Palatino Linotype" w:cs="Tahoma"/>
          <w:b/>
          <w:color w:val="000000" w:themeColor="text1"/>
        </w:rPr>
        <w:t>factura</w:t>
      </w:r>
      <w:r w:rsidRPr="007E4696">
        <w:rPr>
          <w:rFonts w:ascii="Palatino Linotype" w:hAnsi="Palatino Linotype" w:cs="Tahoma"/>
          <w:color w:val="000000" w:themeColor="text1"/>
        </w:rPr>
        <w:t xml:space="preserve"> no es un comprobante de pago, una factura detalla una transacción, </w:t>
      </w:r>
      <w:r w:rsidR="00DB41E5" w:rsidRPr="007E4696">
        <w:rPr>
          <w:rFonts w:ascii="Palatino Linotype" w:hAnsi="Palatino Linotype" w:cs="Tahoma"/>
          <w:color w:val="000000" w:themeColor="text1"/>
        </w:rPr>
        <w:t xml:space="preserve">misma que contiene distintos datos como el bien o servicio obtenido, precios, impuestos y total a pagar, entre otros, </w:t>
      </w:r>
      <w:r w:rsidRPr="007E4696">
        <w:rPr>
          <w:rFonts w:ascii="Palatino Linotype" w:hAnsi="Palatino Linotype" w:cs="Tahoma"/>
          <w:color w:val="000000" w:themeColor="text1"/>
        </w:rPr>
        <w:t xml:space="preserve">no obstante por </w:t>
      </w:r>
      <w:r w:rsidR="00DB41E5" w:rsidRPr="007E4696">
        <w:rPr>
          <w:rFonts w:ascii="Palatino Linotype" w:hAnsi="Palatino Linotype" w:cs="Tahoma"/>
          <w:color w:val="000000" w:themeColor="text1"/>
        </w:rPr>
        <w:t>sí</w:t>
      </w:r>
      <w:r w:rsidRPr="007E4696">
        <w:rPr>
          <w:rFonts w:ascii="Palatino Linotype" w:hAnsi="Palatino Linotype" w:cs="Tahoma"/>
          <w:color w:val="000000" w:themeColor="text1"/>
        </w:rPr>
        <w:t xml:space="preserve"> misma no</w:t>
      </w:r>
      <w:r w:rsidR="00DB41E5" w:rsidRPr="007E4696">
        <w:rPr>
          <w:rFonts w:ascii="Palatino Linotype" w:hAnsi="Palatino Linotype" w:cs="Tahoma"/>
          <w:color w:val="000000" w:themeColor="text1"/>
        </w:rPr>
        <w:t xml:space="preserve"> confirma la realización de un pago; </w:t>
      </w:r>
      <w:r w:rsidR="00DB41E5" w:rsidRPr="007E4696">
        <w:rPr>
          <w:rFonts w:ascii="Palatino Linotype" w:hAnsi="Palatino Linotype" w:cs="Tahoma"/>
          <w:color w:val="000000" w:themeColor="text1"/>
        </w:rPr>
        <w:lastRenderedPageBreak/>
        <w:t xml:space="preserve">por el contrario, un </w:t>
      </w:r>
      <w:r w:rsidR="00DB41E5" w:rsidRPr="007E4696">
        <w:rPr>
          <w:rFonts w:ascii="Palatino Linotype" w:hAnsi="Palatino Linotype" w:cs="Tahoma"/>
          <w:b/>
          <w:color w:val="000000" w:themeColor="text1"/>
        </w:rPr>
        <w:t>comprobante de pago</w:t>
      </w:r>
      <w:r w:rsidR="00DB41E5" w:rsidRPr="007E4696">
        <w:rPr>
          <w:rFonts w:ascii="Palatino Linotype" w:hAnsi="Palatino Linotype" w:cs="Tahoma"/>
          <w:color w:val="000000" w:themeColor="text1"/>
        </w:rPr>
        <w:t xml:space="preserve"> confirma que se ha efectuado un pago, ya sea de una factura o una transacción, mostrando que el pago ha sido realizado. Existen distintos tipos de comprobantes de pago, como lo son de manera enunciativa recibos, tickets, notas y comprobantes de transferencias bancarias</w:t>
      </w:r>
      <w:r w:rsidR="004B0B6F" w:rsidRPr="007E4696">
        <w:rPr>
          <w:rFonts w:ascii="Palatino Linotype" w:hAnsi="Palatino Linotype" w:cs="Tahoma"/>
          <w:color w:val="000000" w:themeColor="text1"/>
        </w:rPr>
        <w:t>.</w:t>
      </w:r>
    </w:p>
    <w:p w:rsidR="004B0B6F" w:rsidRPr="007E4696" w:rsidRDefault="004B0B6F" w:rsidP="004B0B6F">
      <w:pPr>
        <w:spacing w:line="360" w:lineRule="auto"/>
        <w:jc w:val="both"/>
        <w:rPr>
          <w:rFonts w:ascii="Palatino Linotype" w:hAnsi="Palatino Linotype" w:cs="Tahoma"/>
          <w:color w:val="000000" w:themeColor="text1"/>
        </w:rPr>
      </w:pPr>
    </w:p>
    <w:p w:rsidR="007160CF" w:rsidRPr="007E4696" w:rsidRDefault="007160CF" w:rsidP="009957ED">
      <w:pPr>
        <w:numPr>
          <w:ilvl w:val="0"/>
          <w:numId w:val="2"/>
        </w:numPr>
        <w:spacing w:line="360" w:lineRule="auto"/>
        <w:ind w:left="0" w:firstLine="0"/>
        <w:jc w:val="both"/>
        <w:rPr>
          <w:rFonts w:ascii="Palatino Linotype" w:hAnsi="Palatino Linotype" w:cs="Tahoma"/>
          <w:color w:val="000000" w:themeColor="text1"/>
        </w:rPr>
      </w:pPr>
      <w:r w:rsidRPr="007E4696">
        <w:rPr>
          <w:rFonts w:ascii="Palatino Linotype" w:eastAsia="Palatino Linotype" w:hAnsi="Palatino Linotype" w:cs="Palatino Linotype"/>
          <w:color w:val="000000" w:themeColor="text1"/>
        </w:rPr>
        <w:t>De lo expuesto anteriormente</w:t>
      </w:r>
      <w:r w:rsidRPr="007E4696">
        <w:rPr>
          <w:rFonts w:ascii="Palatino Linotype" w:hAnsi="Palatino Linotype" w:cs="Tahoma"/>
          <w:color w:val="000000" w:themeColor="text1"/>
        </w:rPr>
        <w:t xml:space="preserve">, resulta importante contextualizar que lo solicitado de manera enunciativa más no  limitativa se puede encontrar en la </w:t>
      </w:r>
      <w:r w:rsidRPr="007E4696">
        <w:rPr>
          <w:rFonts w:ascii="Palatino Linotype" w:hAnsi="Palatino Linotype" w:cs="Tahoma"/>
          <w:b/>
          <w:color w:val="000000" w:themeColor="text1"/>
        </w:rPr>
        <w:t xml:space="preserve">póliza </w:t>
      </w:r>
      <w:r w:rsidR="00DB41E5" w:rsidRPr="007E4696">
        <w:rPr>
          <w:rFonts w:ascii="Palatino Linotype" w:hAnsi="Palatino Linotype" w:cs="Tahoma"/>
          <w:b/>
          <w:color w:val="000000" w:themeColor="text1"/>
        </w:rPr>
        <w:t>de egreso y póliza de cheque</w:t>
      </w:r>
      <w:r w:rsidRPr="007E4696">
        <w:rPr>
          <w:rFonts w:ascii="Palatino Linotype" w:hAnsi="Palatino Linotype" w:cs="Tahoma"/>
          <w:color w:val="000000" w:themeColor="text1"/>
        </w:rPr>
        <w:t xml:space="preserve">, por lo que, se analiza lo siguiente. </w:t>
      </w:r>
    </w:p>
    <w:p w:rsidR="007160CF" w:rsidRPr="007E4696" w:rsidRDefault="007160CF" w:rsidP="009957ED">
      <w:pPr>
        <w:spacing w:line="360" w:lineRule="auto"/>
        <w:jc w:val="both"/>
        <w:rPr>
          <w:rFonts w:ascii="Palatino Linotype" w:hAnsi="Palatino Linotype" w:cs="Tahoma"/>
          <w:color w:val="000000" w:themeColor="text1"/>
        </w:rPr>
      </w:pPr>
    </w:p>
    <w:p w:rsidR="007160CF" w:rsidRPr="007E4696" w:rsidRDefault="007160CF" w:rsidP="009957ED">
      <w:pPr>
        <w:numPr>
          <w:ilvl w:val="0"/>
          <w:numId w:val="2"/>
        </w:numPr>
        <w:spacing w:line="360" w:lineRule="auto"/>
        <w:ind w:left="0" w:firstLine="0"/>
        <w:jc w:val="both"/>
        <w:rPr>
          <w:rFonts w:ascii="Palatino Linotype" w:hAnsi="Palatino Linotype" w:cs="Tahoma"/>
          <w:color w:val="000000" w:themeColor="text1"/>
        </w:rPr>
      </w:pPr>
      <w:r w:rsidRPr="007E4696">
        <w:rPr>
          <w:rFonts w:ascii="Palatino Linotype" w:hAnsi="Palatino Linotype" w:cs="Tahoma"/>
          <w:color w:val="000000" w:themeColor="text1"/>
        </w:rPr>
        <w:t xml:space="preserve">En ese contexto, es de referir que de conformidad con  los artículos 342, 343, 344 y 345 del Código </w:t>
      </w:r>
      <w:r w:rsidRPr="007E4696">
        <w:rPr>
          <w:rFonts w:ascii="Palatino Linotype" w:eastAsia="Palatino Linotype" w:hAnsi="Palatino Linotype" w:cs="Palatino Linotype"/>
          <w:color w:val="000000" w:themeColor="text1"/>
        </w:rPr>
        <w:t>Financiero</w:t>
      </w:r>
      <w:r w:rsidRPr="007E4696">
        <w:rPr>
          <w:rFonts w:ascii="Palatino Linotype" w:hAnsi="Palatino Linotype" w:cs="Tahoma"/>
          <w:color w:val="000000" w:themeColor="text1"/>
        </w:rPr>
        <w:t xml:space="preserve"> del Estado de México y Municipios, disponen el sistema y las políticas que deben seguirse para llevar el registro contable y presupuestal de las operaciones financieras, en los siguientes términos:</w:t>
      </w: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b/>
          <w:i/>
          <w:color w:val="000000" w:themeColor="text1"/>
        </w:rPr>
        <w:t>Artículo 342.-</w:t>
      </w:r>
      <w:r w:rsidRPr="007E4696">
        <w:rPr>
          <w:rFonts w:ascii="Palatino Linotype" w:hAnsi="Palatino Linotype" w:cs="Tahoma"/>
          <w:i/>
          <w:color w:val="000000" w:themeColor="text1"/>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3458E4" w:rsidRPr="007E4696" w:rsidRDefault="003458E4" w:rsidP="009957ED">
      <w:pPr>
        <w:jc w:val="both"/>
        <w:rPr>
          <w:rFonts w:ascii="Palatino Linotype" w:hAnsi="Palatino Linotype" w:cs="Tahoma"/>
          <w:i/>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rsidR="007160CF" w:rsidRPr="007E4696" w:rsidRDefault="007160CF" w:rsidP="009957ED">
      <w:pPr>
        <w:jc w:val="both"/>
        <w:rPr>
          <w:rFonts w:ascii="Palatino Linotype" w:hAnsi="Palatino Linotype" w:cs="Tahoma"/>
          <w:i/>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b/>
          <w:i/>
          <w:color w:val="000000" w:themeColor="text1"/>
        </w:rPr>
        <w:t>Artículo 343.-</w:t>
      </w:r>
      <w:r w:rsidRPr="007E4696">
        <w:rPr>
          <w:rFonts w:ascii="Palatino Linotype" w:hAnsi="Palatino Linotype" w:cs="Tahoma"/>
          <w:i/>
          <w:color w:val="000000" w:themeColor="text1"/>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El sistema de contabilidad sobre base acumulativa total, se sustentará en las normas emitidas por el Consejo Nacional de Armonización Contable.</w:t>
      </w:r>
    </w:p>
    <w:p w:rsidR="007160CF" w:rsidRPr="007E4696" w:rsidRDefault="007160CF" w:rsidP="009957ED">
      <w:pPr>
        <w:jc w:val="both"/>
        <w:rPr>
          <w:rFonts w:ascii="Palatino Linotype" w:hAnsi="Palatino Linotype" w:cs="Tahoma"/>
          <w:b/>
          <w:i/>
          <w:color w:val="000000" w:themeColor="text1"/>
        </w:rPr>
      </w:pPr>
    </w:p>
    <w:p w:rsidR="007160CF" w:rsidRPr="007E4696" w:rsidRDefault="007160CF" w:rsidP="009957ED">
      <w:pPr>
        <w:jc w:val="both"/>
        <w:rPr>
          <w:rFonts w:ascii="Palatino Linotype" w:hAnsi="Palatino Linotype" w:cs="Tahoma"/>
          <w:b/>
          <w:i/>
          <w:color w:val="000000" w:themeColor="text1"/>
        </w:rPr>
      </w:pPr>
      <w:r w:rsidRPr="007E4696">
        <w:rPr>
          <w:rFonts w:ascii="Palatino Linotype" w:hAnsi="Palatino Linotype" w:cs="Tahoma"/>
          <w:b/>
          <w:i/>
          <w:color w:val="000000" w:themeColor="text1"/>
        </w:rPr>
        <w:lastRenderedPageBreak/>
        <w:t>Artículo 344.- Los Entes Públicos, a través de cualquiera de sus unidades administrativas, de acuerdo con su naturaleza jurídica y según corresponda, registrarán contablemente el efecto patrimonial y presupuestal de las operaciones financieras que realicen</w:t>
      </w:r>
      <w:r w:rsidRPr="007E4696">
        <w:rPr>
          <w:rFonts w:ascii="Palatino Linotype" w:hAnsi="Palatino Linotype" w:cs="Tahoma"/>
          <w:i/>
          <w:color w:val="000000" w:themeColor="text1"/>
        </w:rPr>
        <w:t>, en el momento en que ocurran, con base en el sistema y políticas de registro establecidas, en el caso de los Municipios, se hará por la Tesorería.</w:t>
      </w:r>
    </w:p>
    <w:p w:rsidR="007160CF" w:rsidRPr="007E4696" w:rsidRDefault="007160CF" w:rsidP="009957ED">
      <w:pPr>
        <w:jc w:val="both"/>
        <w:rPr>
          <w:rFonts w:ascii="Palatino Linotype" w:hAnsi="Palatino Linotype" w:cs="Tahoma"/>
          <w:b/>
          <w:i/>
          <w:color w:val="000000" w:themeColor="text1"/>
        </w:rPr>
      </w:pPr>
    </w:p>
    <w:p w:rsidR="003458E4" w:rsidRPr="007E4696" w:rsidRDefault="003458E4" w:rsidP="009957ED">
      <w:pPr>
        <w:jc w:val="both"/>
        <w:rPr>
          <w:rFonts w:ascii="Palatino Linotype" w:hAnsi="Palatino Linotype" w:cs="Tahoma"/>
          <w:b/>
          <w:i/>
          <w:color w:val="000000" w:themeColor="text1"/>
        </w:rPr>
      </w:pPr>
      <w:r w:rsidRPr="007E4696">
        <w:rPr>
          <w:rFonts w:ascii="Palatino Linotype" w:hAnsi="Palatino Linotype" w:cs="Tahoma"/>
          <w:b/>
          <w:i/>
          <w:color w:val="000000" w:themeColor="text1"/>
        </w:rPr>
        <w:t xml:space="preserve">Todo registro contable y presupuestal deberá estar soportado con los documentos de registro, justificativos y comprobatorios originales, </w:t>
      </w:r>
      <w:r w:rsidRPr="007E4696">
        <w:rPr>
          <w:rFonts w:ascii="Palatino Linotype" w:hAnsi="Palatino Linotype" w:cs="Tahoma"/>
          <w:i/>
          <w:color w:val="000000" w:themeColor="text1"/>
        </w:rPr>
        <w:t xml:space="preserve">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w:t>
      </w:r>
    </w:p>
    <w:p w:rsidR="007160CF" w:rsidRPr="007E4696" w:rsidRDefault="007160CF" w:rsidP="009957ED">
      <w:pPr>
        <w:jc w:val="both"/>
        <w:rPr>
          <w:rFonts w:ascii="Palatino Linotype" w:hAnsi="Palatino Linotype" w:cs="Tahoma"/>
          <w:b/>
          <w:i/>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b/>
          <w:i/>
          <w:color w:val="000000" w:themeColor="text1"/>
        </w:rPr>
        <w:t>Artículo 345.-</w:t>
      </w:r>
      <w:r w:rsidRPr="007E4696">
        <w:rPr>
          <w:rFonts w:ascii="Palatino Linotype" w:hAnsi="Palatino Linotype" w:cs="Tahoma"/>
          <w:i/>
          <w:color w:val="000000" w:themeColor="text1"/>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rsidR="007160CF" w:rsidRPr="007E4696" w:rsidRDefault="007160CF" w:rsidP="009957ED">
      <w:pPr>
        <w:jc w:val="both"/>
        <w:rPr>
          <w:rFonts w:ascii="Palatino Linotype" w:hAnsi="Palatino Linotype" w:cs="Tahoma"/>
          <w:i/>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b/>
          <w:i/>
          <w:color w:val="000000" w:themeColor="text1"/>
        </w:rPr>
        <w:t>Los poderes Legislativo y Judicial, los Organismos Autónomos y las Entidades Públicas, de acuerdo con su naturaleza jurídica y según corresponda, deberán conservar la documentación contable del año en curso y la de ejercicios anteriores</w:t>
      </w:r>
      <w:r w:rsidRPr="007E4696">
        <w:rPr>
          <w:rFonts w:ascii="Palatino Linotype" w:hAnsi="Palatino Linotype" w:cs="Tahoma"/>
          <w:i/>
          <w:color w:val="000000" w:themeColor="text1"/>
        </w:rPr>
        <w:t>, cuyas cuentas públicas hayan sido revisadas y fiscalizadas, en sus propios Archivos Contables. Tratándose de los comprobantes fiscales digitales, estos deberán estar agregados en forma electrónica a cada póliza de registro contable.</w:t>
      </w:r>
    </w:p>
    <w:p w:rsidR="008F409F" w:rsidRPr="007E4696" w:rsidRDefault="008F409F" w:rsidP="009957ED">
      <w:pPr>
        <w:jc w:val="both"/>
        <w:rPr>
          <w:rFonts w:ascii="Palatino Linotype" w:hAnsi="Palatino Linotype" w:cs="Tahoma"/>
          <w:i/>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El plazo señalado en este artículo empezará a contar a partir de la publicación en el Periódico Oficial, del decreto correspondiente</w:t>
      </w:r>
      <w:r w:rsidRPr="007E4696">
        <w:rPr>
          <w:rFonts w:ascii="Palatino Linotype" w:hAnsi="Palatino Linotype" w:cs="Tahoma"/>
          <w:b/>
          <w:i/>
          <w:color w:val="000000" w:themeColor="text1"/>
        </w:rPr>
        <w:t xml:space="preserve"> </w:t>
      </w:r>
    </w:p>
    <w:p w:rsidR="007160CF" w:rsidRPr="007E4696" w:rsidRDefault="007160CF" w:rsidP="009957ED">
      <w:pPr>
        <w:spacing w:line="360" w:lineRule="auto"/>
        <w:jc w:val="both"/>
        <w:rPr>
          <w:rFonts w:ascii="Palatino Linotype" w:hAnsi="Palatino Linotype" w:cs="Tahoma"/>
          <w:i/>
          <w:color w:val="000000" w:themeColor="text1"/>
        </w:rPr>
      </w:pPr>
    </w:p>
    <w:p w:rsidR="007160CF" w:rsidRPr="007E4696" w:rsidRDefault="007160CF" w:rsidP="009957ED">
      <w:pPr>
        <w:numPr>
          <w:ilvl w:val="0"/>
          <w:numId w:val="2"/>
        </w:numPr>
        <w:spacing w:line="360" w:lineRule="auto"/>
        <w:ind w:left="0" w:firstLine="0"/>
        <w:jc w:val="both"/>
        <w:rPr>
          <w:rFonts w:ascii="Palatino Linotype" w:hAnsi="Palatino Linotype" w:cs="Tahoma"/>
          <w:color w:val="000000" w:themeColor="text1"/>
        </w:rPr>
      </w:pPr>
      <w:r w:rsidRPr="007E4696">
        <w:rPr>
          <w:rFonts w:ascii="Palatino Linotype" w:hAnsi="Palatino Linotype" w:cs="Tahoma"/>
          <w:color w:val="000000" w:themeColor="text1"/>
        </w:rPr>
        <w:t xml:space="preserve">De una </w:t>
      </w:r>
      <w:r w:rsidRPr="007E4696">
        <w:rPr>
          <w:rFonts w:ascii="Palatino Linotype" w:eastAsia="Palatino Linotype" w:hAnsi="Palatino Linotype" w:cs="Palatino Linotype"/>
          <w:color w:val="000000" w:themeColor="text1"/>
        </w:rPr>
        <w:t>interpretación</w:t>
      </w:r>
      <w:r w:rsidRPr="007E4696">
        <w:rPr>
          <w:rFonts w:ascii="Palatino Linotype" w:hAnsi="Palatino Linotype" w:cs="Tahoma"/>
          <w:color w:val="000000" w:themeColor="text1"/>
        </w:rPr>
        <w:t xml:space="preserve"> sistemática de los artículos transcritos, se desprende primeramente que el registro contable del efecto patrimonial y presupuestal de las operaciones financieras se realizará conforme al sistema y a las disposiciones que se </w:t>
      </w:r>
      <w:r w:rsidRPr="007E4696">
        <w:rPr>
          <w:rFonts w:ascii="Palatino Linotype" w:hAnsi="Palatino Linotype" w:cs="Tahoma"/>
          <w:color w:val="000000" w:themeColor="text1"/>
        </w:rPr>
        <w:lastRenderedPageBreak/>
        <w:t>aprueben en materia de planeación, programación, presupuestación, evaluación y contabilidad gubernamental.</w:t>
      </w:r>
    </w:p>
    <w:p w:rsidR="007160CF" w:rsidRPr="007E4696" w:rsidRDefault="007160CF" w:rsidP="009957ED">
      <w:pPr>
        <w:spacing w:line="360" w:lineRule="auto"/>
        <w:jc w:val="both"/>
        <w:rPr>
          <w:rFonts w:ascii="Palatino Linotype" w:hAnsi="Palatino Linotype" w:cs="Tahoma"/>
          <w:color w:val="000000" w:themeColor="text1"/>
        </w:rPr>
      </w:pPr>
    </w:p>
    <w:p w:rsidR="007160CF" w:rsidRPr="007E4696" w:rsidRDefault="007160CF" w:rsidP="009957ED">
      <w:pPr>
        <w:numPr>
          <w:ilvl w:val="0"/>
          <w:numId w:val="2"/>
        </w:numPr>
        <w:spacing w:line="360" w:lineRule="auto"/>
        <w:ind w:left="0" w:firstLine="0"/>
        <w:jc w:val="both"/>
        <w:rPr>
          <w:rFonts w:ascii="Palatino Linotype" w:hAnsi="Palatino Linotype" w:cs="Tahoma"/>
          <w:color w:val="000000" w:themeColor="text1"/>
        </w:rPr>
      </w:pPr>
      <w:r w:rsidRPr="007E4696">
        <w:rPr>
          <w:rFonts w:ascii="Palatino Linotype" w:hAnsi="Palatino Linotype" w:cs="Tahoma"/>
          <w:color w:val="000000" w:themeColor="text1"/>
        </w:rPr>
        <w:t xml:space="preserve">Al respecto, si bien es cierto que el Código Financiero del Estado de México y Municipios establece la </w:t>
      </w:r>
      <w:r w:rsidRPr="007E4696">
        <w:rPr>
          <w:rFonts w:ascii="Palatino Linotype" w:eastAsia="Palatino Linotype" w:hAnsi="Palatino Linotype" w:cs="Palatino Linotype"/>
          <w:color w:val="000000" w:themeColor="text1"/>
        </w:rPr>
        <w:t>obligación</w:t>
      </w:r>
      <w:r w:rsidRPr="007E4696">
        <w:rPr>
          <w:rFonts w:ascii="Palatino Linotype" w:hAnsi="Palatino Linotype" w:cs="Tahoma"/>
          <w:color w:val="000000" w:themeColor="text1"/>
        </w:rPr>
        <w:t xml:space="preserve"> </w:t>
      </w:r>
      <w:r w:rsidR="004B2F2F" w:rsidRPr="007E4696">
        <w:rPr>
          <w:rFonts w:ascii="Palatino Linotype" w:hAnsi="Palatino Linotype" w:cs="Tahoma"/>
          <w:color w:val="000000" w:themeColor="text1"/>
        </w:rPr>
        <w:t>al Poder Legislativo</w:t>
      </w:r>
      <w:r w:rsidRPr="007E4696">
        <w:rPr>
          <w:rFonts w:ascii="Palatino Linotype" w:hAnsi="Palatino Linotype" w:cs="Tahoma"/>
          <w:color w:val="000000" w:themeColor="text1"/>
        </w:rPr>
        <w:t xml:space="preserve"> para llevar los registros contables y presupuestales; también lo es que, dicho ordenamiento jurídico no establece que debemos entender por registro contable y presupuestal; sin embargo, el “</w:t>
      </w:r>
      <w:r w:rsidRPr="007E4696">
        <w:rPr>
          <w:rFonts w:ascii="Palatino Linotype" w:hAnsi="Palatino Linotype" w:cs="Tahoma"/>
          <w:i/>
          <w:color w:val="000000" w:themeColor="text1"/>
        </w:rPr>
        <w:t>Glosario de Términos para el Proceso de Planeación, Programación, Presupuestación y Evaluación en la Administración Pública”</w:t>
      </w:r>
      <w:r w:rsidRPr="007E4696">
        <w:rPr>
          <w:rFonts w:ascii="Palatino Linotype" w:hAnsi="Palatino Linotype" w:cs="Tahoma"/>
          <w:color w:val="000000" w:themeColor="text1"/>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rsidR="007160CF" w:rsidRPr="007E4696" w:rsidRDefault="007160CF" w:rsidP="009957ED">
      <w:pPr>
        <w:jc w:val="both"/>
        <w:rPr>
          <w:rFonts w:ascii="Palatino Linotype" w:hAnsi="Palatino Linotype" w:cs="Tahoma"/>
          <w:color w:val="000000" w:themeColor="text1"/>
        </w:rPr>
      </w:pPr>
    </w:p>
    <w:p w:rsidR="007160CF" w:rsidRPr="007E4696" w:rsidRDefault="007160CF" w:rsidP="009957ED">
      <w:pPr>
        <w:jc w:val="both"/>
        <w:rPr>
          <w:rFonts w:ascii="Palatino Linotype" w:hAnsi="Palatino Linotype" w:cs="Tahoma"/>
          <w:b/>
          <w:i/>
          <w:color w:val="000000" w:themeColor="text1"/>
        </w:rPr>
      </w:pPr>
      <w:r w:rsidRPr="007E4696">
        <w:rPr>
          <w:rFonts w:ascii="Palatino Linotype" w:hAnsi="Palatino Linotype" w:cs="Tahoma"/>
          <w:b/>
          <w:i/>
          <w:color w:val="000000" w:themeColor="text1"/>
        </w:rPr>
        <w:t xml:space="preserve">REGISTRO CONTABLE. </w:t>
      </w:r>
      <w:r w:rsidRPr="007E4696">
        <w:rPr>
          <w:rFonts w:ascii="Palatino Linotype" w:hAnsi="Palatino Linotype" w:cs="Tahoma"/>
          <w:i/>
          <w:color w:val="000000" w:themeColor="text1"/>
        </w:rPr>
        <w:t>Asiento que se realiza en los libros de contabilidad de las actividades relacionadas con el ingreso y egresos de un ente económico.</w:t>
      </w:r>
    </w:p>
    <w:p w:rsidR="007160CF" w:rsidRPr="007E4696" w:rsidRDefault="007160CF" w:rsidP="009957ED">
      <w:pPr>
        <w:jc w:val="both"/>
        <w:rPr>
          <w:rFonts w:ascii="Palatino Linotype" w:hAnsi="Palatino Linotype" w:cs="Tahoma"/>
          <w:i/>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b/>
          <w:i/>
          <w:color w:val="000000" w:themeColor="text1"/>
        </w:rPr>
        <w:t xml:space="preserve">REGISTRO PRESUPUESTARIO. </w:t>
      </w:r>
      <w:r w:rsidRPr="007E4696">
        <w:rPr>
          <w:rFonts w:ascii="Palatino Linotype" w:hAnsi="Palatino Linotype" w:cs="Tahoma"/>
          <w:i/>
          <w:color w:val="000000" w:themeColor="text1"/>
        </w:rPr>
        <w:t>Asiento contable de las erogaciones realizadas por las dependencias y entidades con relación a la asignación, modificación y ejercicio de los recursos presupuestarios que se les hayan autorizado.</w:t>
      </w:r>
    </w:p>
    <w:p w:rsidR="007160CF" w:rsidRPr="007E4696" w:rsidRDefault="007160CF" w:rsidP="009957ED">
      <w:pPr>
        <w:spacing w:line="360" w:lineRule="auto"/>
        <w:jc w:val="both"/>
        <w:rPr>
          <w:rFonts w:ascii="Palatino Linotype" w:hAnsi="Palatino Linotype" w:cs="Tahoma"/>
          <w:color w:val="000000" w:themeColor="text1"/>
        </w:rPr>
      </w:pPr>
    </w:p>
    <w:p w:rsidR="007160CF" w:rsidRPr="007E4696" w:rsidRDefault="007160CF" w:rsidP="009957ED">
      <w:pPr>
        <w:numPr>
          <w:ilvl w:val="0"/>
          <w:numId w:val="2"/>
        </w:numPr>
        <w:spacing w:line="360" w:lineRule="auto"/>
        <w:ind w:left="0" w:firstLine="0"/>
        <w:jc w:val="both"/>
        <w:rPr>
          <w:rFonts w:ascii="Palatino Linotype" w:hAnsi="Palatino Linotype" w:cs="Tahoma"/>
          <w:color w:val="000000" w:themeColor="text1"/>
        </w:rPr>
      </w:pPr>
      <w:r w:rsidRPr="007E4696">
        <w:rPr>
          <w:rFonts w:ascii="Palatino Linotype" w:hAnsi="Palatino Linotype" w:cs="Tahoma"/>
          <w:color w:val="000000" w:themeColor="text1"/>
        </w:rPr>
        <w:t xml:space="preserve">En este sentido, </w:t>
      </w:r>
      <w:r w:rsidRPr="007E4696">
        <w:rPr>
          <w:rFonts w:ascii="Palatino Linotype" w:eastAsia="Palatino Linotype" w:hAnsi="Palatino Linotype" w:cs="Palatino Linotype"/>
          <w:color w:val="000000" w:themeColor="text1"/>
        </w:rPr>
        <w:t>cabe</w:t>
      </w:r>
      <w:r w:rsidRPr="007E4696">
        <w:rPr>
          <w:rFonts w:ascii="Palatino Linotype" w:hAnsi="Palatino Linotype" w:cs="Tahoma"/>
          <w:color w:val="000000" w:themeColor="text1"/>
        </w:rPr>
        <w:t xml:space="preserve"> referir que la Ley de Fiscalización Superior del Estado de México prevé en su artículo 4 que los </w:t>
      </w:r>
      <w:r w:rsidR="00DF678F" w:rsidRPr="007E4696">
        <w:rPr>
          <w:rFonts w:ascii="Palatino Linotype" w:hAnsi="Palatino Linotype" w:cs="Tahoma"/>
          <w:color w:val="000000" w:themeColor="text1"/>
        </w:rPr>
        <w:t>Poderes Públicos del Estado</w:t>
      </w:r>
      <w:r w:rsidRPr="007E4696">
        <w:rPr>
          <w:rFonts w:ascii="Palatino Linotype" w:hAnsi="Palatino Linotype" w:cs="Tahoma"/>
          <w:color w:val="000000" w:themeColor="text1"/>
        </w:rPr>
        <w:t xml:space="preserve"> son considerados entes fiscalizables, tal como se observa a continuación:</w:t>
      </w: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b/>
          <w:i/>
          <w:color w:val="000000" w:themeColor="text1"/>
        </w:rPr>
        <w:t>Artículo 4.</w:t>
      </w:r>
      <w:r w:rsidRPr="007E4696">
        <w:rPr>
          <w:rFonts w:ascii="Palatino Linotype" w:hAnsi="Palatino Linotype" w:cs="Tahoma"/>
          <w:i/>
          <w:color w:val="000000" w:themeColor="text1"/>
        </w:rPr>
        <w:t xml:space="preserve"> Son sujetos de fiscalización:</w:t>
      </w:r>
    </w:p>
    <w:p w:rsidR="007160CF" w:rsidRPr="007E4696" w:rsidRDefault="00DF678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I. Los Poderes Públicos del Estado;</w:t>
      </w:r>
    </w:p>
    <w:p w:rsidR="00DF678F" w:rsidRPr="007E4696" w:rsidRDefault="00DF678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w:t>
      </w:r>
    </w:p>
    <w:p w:rsidR="00DF678F" w:rsidRPr="007E4696" w:rsidRDefault="00DF678F" w:rsidP="009957ED">
      <w:pPr>
        <w:jc w:val="both"/>
        <w:rPr>
          <w:rFonts w:ascii="Palatino Linotype" w:hAnsi="Palatino Linotype" w:cs="Tahoma"/>
          <w:i/>
          <w:color w:val="000000" w:themeColor="text1"/>
        </w:rPr>
      </w:pPr>
    </w:p>
    <w:p w:rsidR="007160CF" w:rsidRPr="007E4696" w:rsidRDefault="007160CF" w:rsidP="009957ED">
      <w:pPr>
        <w:jc w:val="both"/>
        <w:rPr>
          <w:rFonts w:ascii="Palatino Linotype" w:hAnsi="Palatino Linotype" w:cs="Tahoma"/>
          <w:color w:val="000000" w:themeColor="text1"/>
        </w:rPr>
      </w:pPr>
      <w:r w:rsidRPr="007E4696">
        <w:rPr>
          <w:rFonts w:ascii="Palatino Linotype" w:hAnsi="Palatino Linotype" w:cs="Tahoma"/>
          <w:color w:val="000000" w:themeColor="text1"/>
        </w:rPr>
        <w:lastRenderedPageBreak/>
        <w:t xml:space="preserve">Asimismo, el ordenamiento legal referido señala en su artículo 8, fracción XI lo siguiente: </w:t>
      </w:r>
    </w:p>
    <w:p w:rsidR="007160CF" w:rsidRPr="007E4696" w:rsidRDefault="007160CF" w:rsidP="009957ED">
      <w:pPr>
        <w:jc w:val="both"/>
        <w:rPr>
          <w:rFonts w:ascii="Palatino Linotype" w:hAnsi="Palatino Linotype" w:cs="Tahoma"/>
          <w:color w:val="000000" w:themeColor="text1"/>
        </w:rPr>
      </w:pP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Artículo 8. El Órgano Superior tendrá las siguientes atribuciones:</w:t>
      </w: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w:t>
      </w:r>
    </w:p>
    <w:p w:rsidR="007160CF" w:rsidRPr="007E4696" w:rsidRDefault="007160CF" w:rsidP="009957ED">
      <w:pPr>
        <w:jc w:val="both"/>
        <w:rPr>
          <w:rFonts w:ascii="Palatino Linotype" w:hAnsi="Palatino Linotype" w:cs="Tahoma"/>
          <w:i/>
          <w:color w:val="000000" w:themeColor="text1"/>
        </w:rPr>
      </w:pPr>
      <w:r w:rsidRPr="007E4696">
        <w:rPr>
          <w:rFonts w:ascii="Palatino Linotype" w:hAnsi="Palatino Linotype" w:cs="Tahoma"/>
          <w:i/>
          <w:color w:val="000000" w:themeColor="text1"/>
        </w:rPr>
        <w:t xml:space="preserve">XI. </w:t>
      </w:r>
      <w:r w:rsidRPr="007E4696">
        <w:rPr>
          <w:rFonts w:ascii="Palatino Linotype" w:hAnsi="Palatino Linotype" w:cs="Tahoma"/>
          <w:b/>
          <w:i/>
          <w:color w:val="000000" w:themeColor="text1"/>
        </w:rPr>
        <w:t>Establecer los lineamientos, criterios, procedimientos, métodos y sistemas para las acciones de control y evaluación, necesarios para la fiscalización de las cuentas públicas y los informes trimestrales</w:t>
      </w:r>
      <w:r w:rsidRPr="007E4696">
        <w:rPr>
          <w:rFonts w:ascii="Palatino Linotype" w:hAnsi="Palatino Linotype" w:cs="Tahoma"/>
          <w:i/>
          <w:color w:val="000000" w:themeColor="text1"/>
        </w:rPr>
        <w:t xml:space="preserve">…” </w:t>
      </w:r>
    </w:p>
    <w:p w:rsidR="007160CF" w:rsidRPr="007E4696" w:rsidRDefault="007160CF" w:rsidP="009957ED">
      <w:pPr>
        <w:tabs>
          <w:tab w:val="left" w:pos="284"/>
        </w:tabs>
        <w:spacing w:before="240" w:after="240" w:line="360" w:lineRule="auto"/>
        <w:contextualSpacing/>
        <w:jc w:val="both"/>
        <w:rPr>
          <w:rFonts w:ascii="Palatino Linotype" w:eastAsia="Calibri" w:hAnsi="Palatino Linotype"/>
          <w:bCs/>
          <w:color w:val="000000" w:themeColor="text1"/>
          <w:lang w:val="es-ES"/>
        </w:rPr>
      </w:pPr>
    </w:p>
    <w:p w:rsidR="007160CF" w:rsidRPr="007E4696" w:rsidRDefault="007160CF" w:rsidP="009957ED">
      <w:pPr>
        <w:numPr>
          <w:ilvl w:val="0"/>
          <w:numId w:val="2"/>
        </w:numPr>
        <w:spacing w:line="360" w:lineRule="auto"/>
        <w:ind w:left="0" w:firstLine="0"/>
        <w:jc w:val="both"/>
        <w:rPr>
          <w:rFonts w:ascii="Palatino Linotype" w:eastAsia="Calibri" w:hAnsi="Palatino Linotype"/>
          <w:bCs/>
          <w:color w:val="000000" w:themeColor="text1"/>
          <w:lang w:val="es-ES"/>
        </w:rPr>
      </w:pPr>
      <w:r w:rsidRPr="007E4696">
        <w:rPr>
          <w:rFonts w:ascii="Palatino Linotype" w:hAnsi="Palatino Linotype" w:cs="Tahoma"/>
          <w:color w:val="000000" w:themeColor="text1"/>
        </w:rPr>
        <w:t>De</w:t>
      </w:r>
      <w:r w:rsidRPr="007E4696">
        <w:rPr>
          <w:rFonts w:ascii="Palatino Linotype" w:eastAsia="Calibri" w:hAnsi="Palatino Linotype"/>
          <w:color w:val="000000" w:themeColor="text1"/>
          <w:lang w:val="es-ES"/>
        </w:rPr>
        <w:t xml:space="preserve"> la normatividad previamente plasmada, se desprende primeramente que el</w:t>
      </w:r>
      <w:r w:rsidRPr="007E4696">
        <w:rPr>
          <w:rFonts w:ascii="Palatino Linotype" w:eastAsia="Calibri" w:hAnsi="Palatino Linotype"/>
          <w:bCs/>
          <w:color w:val="000000" w:themeColor="text1"/>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7160CF" w:rsidRPr="007E4696" w:rsidRDefault="007160CF" w:rsidP="009957ED">
      <w:pPr>
        <w:tabs>
          <w:tab w:val="left" w:pos="284"/>
        </w:tabs>
        <w:spacing w:before="240" w:after="240" w:line="360" w:lineRule="auto"/>
        <w:contextualSpacing/>
        <w:jc w:val="both"/>
        <w:rPr>
          <w:rFonts w:ascii="Palatino Linotype" w:eastAsia="Calibri" w:hAnsi="Palatino Linotype"/>
          <w:color w:val="000000" w:themeColor="text1"/>
          <w:lang w:val="es-ES"/>
        </w:rPr>
      </w:pPr>
    </w:p>
    <w:p w:rsidR="002F5A77" w:rsidRPr="007E4696" w:rsidRDefault="002F5A77"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En ese orden de ideas, </w:t>
      </w:r>
      <w:r w:rsidR="00DF678F" w:rsidRPr="007E4696">
        <w:rPr>
          <w:rFonts w:ascii="Palatino Linotype" w:eastAsia="Palatino Linotype" w:hAnsi="Palatino Linotype" w:cs="Palatino Linotype"/>
          <w:color w:val="000000" w:themeColor="text1"/>
        </w:rPr>
        <w:t xml:space="preserve">es </w:t>
      </w:r>
      <w:r w:rsidRPr="007E4696">
        <w:rPr>
          <w:rFonts w:ascii="Palatino Linotype" w:eastAsia="Palatino Linotype" w:hAnsi="Palatino Linotype" w:cs="Palatino Linotype"/>
          <w:color w:val="000000" w:themeColor="text1"/>
        </w:rPr>
        <w:t xml:space="preserve">oportuno </w:t>
      </w:r>
      <w:r w:rsidR="005C2A72" w:rsidRPr="007E4696">
        <w:rPr>
          <w:rFonts w:ascii="Palatino Linotype" w:eastAsia="Palatino Linotype" w:hAnsi="Palatino Linotype" w:cs="Palatino Linotype"/>
          <w:color w:val="000000" w:themeColor="text1"/>
        </w:rPr>
        <w:t>referir</w:t>
      </w:r>
      <w:r w:rsidRPr="007E4696">
        <w:rPr>
          <w:rFonts w:ascii="Palatino Linotype" w:eastAsia="Palatino Linotype" w:hAnsi="Palatino Linotype" w:cs="Palatino Linotype"/>
          <w:color w:val="000000" w:themeColor="text1"/>
        </w:rPr>
        <w:t xml:space="preserve"> el Instructivo del Módulo 1 del </w:t>
      </w:r>
      <w:r w:rsidR="005C2A72" w:rsidRPr="007E4696">
        <w:rPr>
          <w:rFonts w:ascii="Palatino Linotype" w:eastAsia="Palatino Linotype" w:hAnsi="Palatino Linotype" w:cs="Palatino Linotype"/>
          <w:color w:val="000000" w:themeColor="text1"/>
        </w:rPr>
        <w:t>2025</w:t>
      </w:r>
      <w:r w:rsidRPr="007E4696">
        <w:rPr>
          <w:rFonts w:ascii="Palatino Linotype" w:eastAsia="Palatino Linotype" w:hAnsi="Palatino Linotype" w:cs="Palatino Linotype"/>
          <w:color w:val="000000" w:themeColor="text1"/>
        </w:rPr>
        <w:t xml:space="preserve"> del Órgano Superior de Fiscalización del Estado de México (OSFEM)</w:t>
      </w:r>
      <w:r w:rsidR="005C2A72" w:rsidRPr="007E4696">
        <w:rPr>
          <w:rFonts w:ascii="Palatino Linotype" w:eastAsia="Palatino Linotype" w:hAnsi="Palatino Linotype" w:cs="Palatino Linotype"/>
          <w:color w:val="000000" w:themeColor="text1"/>
        </w:rPr>
        <w:t xml:space="preserve">, </w:t>
      </w:r>
      <w:r w:rsidRPr="007E4696">
        <w:rPr>
          <w:rFonts w:ascii="Palatino Linotype" w:eastAsia="Palatino Linotype" w:hAnsi="Palatino Linotype" w:cs="Palatino Linotype"/>
          <w:color w:val="000000" w:themeColor="text1"/>
        </w:rPr>
        <w:t xml:space="preserve">en su apartado denominado </w:t>
      </w:r>
      <w:r w:rsidRPr="007E4696">
        <w:rPr>
          <w:rFonts w:ascii="Palatino Linotype" w:eastAsia="Palatino Linotype" w:hAnsi="Palatino Linotype" w:cs="Palatino Linotype"/>
          <w:b/>
          <w:color w:val="000000" w:themeColor="text1"/>
        </w:rPr>
        <w:t>“</w:t>
      </w:r>
      <w:r w:rsidR="005C2A72" w:rsidRPr="007E4696">
        <w:rPr>
          <w:rFonts w:ascii="Palatino Linotype" w:eastAsia="Palatino Linotype" w:hAnsi="Palatino Linotype" w:cs="Palatino Linotype"/>
          <w:b/>
          <w:color w:val="000000" w:themeColor="text1"/>
        </w:rPr>
        <w:t>17. Pólizas de egresos con soporte documental digitalizadas</w:t>
      </w:r>
      <w:r w:rsidRPr="007E4696">
        <w:rPr>
          <w:rFonts w:ascii="Palatino Linotype" w:eastAsia="Palatino Linotype" w:hAnsi="Palatino Linotype" w:cs="Palatino Linotype"/>
          <w:b/>
          <w:color w:val="000000" w:themeColor="text1"/>
        </w:rPr>
        <w:t>”</w:t>
      </w:r>
      <w:r w:rsidR="00124428"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 </w:t>
      </w:r>
      <w:r w:rsidR="00124428" w:rsidRPr="007E4696">
        <w:rPr>
          <w:rFonts w:ascii="Palatino Linotype" w:eastAsia="Palatino Linotype" w:hAnsi="Palatino Linotype" w:cs="Palatino Linotype"/>
          <w:color w:val="000000" w:themeColor="text1"/>
        </w:rPr>
        <w:t xml:space="preserve">este tipo de póliza refleja cualquier operación contable en la que se produzca una salida de efectivo o erogaciones, a través de transferencias bancarias electrónicas. No obstante, si dicha erogación se realiza a través de un cheque bancario la póliza contable será una póliza de cheque. </w:t>
      </w:r>
      <w:r w:rsidR="00124428" w:rsidRPr="007E4696">
        <w:rPr>
          <w:rFonts w:ascii="Palatino Linotype" w:eastAsia="Palatino Linotype" w:hAnsi="Palatino Linotype" w:cs="Palatino Linotype"/>
          <w:b/>
          <w:color w:val="000000" w:themeColor="text1"/>
          <w:u w:val="single"/>
        </w:rPr>
        <w:t>Las pólizas de egresos</w:t>
      </w:r>
      <w:r w:rsidR="00124428" w:rsidRPr="007E4696">
        <w:rPr>
          <w:rFonts w:ascii="Palatino Linotype" w:eastAsia="Palatino Linotype" w:hAnsi="Palatino Linotype" w:cs="Palatino Linotype"/>
          <w:color w:val="000000" w:themeColor="text1"/>
        </w:rPr>
        <w:t xml:space="preserve"> deberán ser las que emita su sistema y </w:t>
      </w:r>
      <w:r w:rsidR="00124428" w:rsidRPr="007E4696">
        <w:rPr>
          <w:rFonts w:ascii="Palatino Linotype" w:eastAsia="Palatino Linotype" w:hAnsi="Palatino Linotype" w:cs="Palatino Linotype"/>
          <w:b/>
          <w:color w:val="000000" w:themeColor="text1"/>
          <w:u w:val="single"/>
        </w:rPr>
        <w:t>deberán estar soportadas por toda la documentación comprobatoria que justifique el egreso</w:t>
      </w:r>
      <w:r w:rsidR="00124428" w:rsidRPr="007E4696">
        <w:rPr>
          <w:rFonts w:ascii="Palatino Linotype" w:eastAsia="Palatino Linotype" w:hAnsi="Palatino Linotype" w:cs="Palatino Linotype"/>
          <w:color w:val="000000" w:themeColor="text1"/>
        </w:rPr>
        <w:t>, las cuales deberán coincidir con las presentadas en el Diario General de Pólizas de cada uno de los meses que corresponda.</w:t>
      </w:r>
    </w:p>
    <w:p w:rsidR="00124428" w:rsidRPr="007E4696" w:rsidRDefault="00124428"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124428" w:rsidRPr="007E4696" w:rsidRDefault="00124428"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“18. Pólizas de cheque con soporte documental digitalizadas”</w:t>
      </w:r>
      <w:r w:rsidRPr="007E4696">
        <w:rPr>
          <w:rFonts w:ascii="Palatino Linotype" w:eastAsia="Palatino Linotype" w:hAnsi="Palatino Linotype" w:cs="Palatino Linotype"/>
          <w:color w:val="000000" w:themeColor="text1"/>
        </w:rPr>
        <w:t xml:space="preserve"> Este tipo de póliza se utiliza en caso de erogaciones realizadas a través de un cheque. </w:t>
      </w:r>
      <w:r w:rsidRPr="007E4696">
        <w:rPr>
          <w:rFonts w:ascii="Palatino Linotype" w:eastAsia="Palatino Linotype" w:hAnsi="Palatino Linotype" w:cs="Palatino Linotype"/>
          <w:b/>
          <w:color w:val="000000" w:themeColor="text1"/>
          <w:u w:val="single"/>
        </w:rPr>
        <w:t xml:space="preserve">Las pólizas de </w:t>
      </w:r>
      <w:r w:rsidRPr="007E4696">
        <w:rPr>
          <w:rFonts w:ascii="Palatino Linotype" w:eastAsia="Palatino Linotype" w:hAnsi="Palatino Linotype" w:cs="Palatino Linotype"/>
          <w:b/>
          <w:color w:val="000000" w:themeColor="text1"/>
          <w:u w:val="single"/>
        </w:rPr>
        <w:lastRenderedPageBreak/>
        <w:t>cheque deberán</w:t>
      </w:r>
      <w:r w:rsidRPr="007E4696">
        <w:rPr>
          <w:rFonts w:ascii="Palatino Linotype" w:eastAsia="Palatino Linotype" w:hAnsi="Palatino Linotype" w:cs="Palatino Linotype"/>
          <w:color w:val="000000" w:themeColor="text1"/>
        </w:rPr>
        <w:t xml:space="preserve"> ser las que emita su sistema y </w:t>
      </w:r>
      <w:r w:rsidRPr="007E4696">
        <w:rPr>
          <w:rFonts w:ascii="Palatino Linotype" w:eastAsia="Palatino Linotype" w:hAnsi="Palatino Linotype" w:cs="Palatino Linotype"/>
          <w:b/>
          <w:color w:val="000000" w:themeColor="text1"/>
          <w:u w:val="single"/>
        </w:rPr>
        <w:t>deberán estar soportadas por toda la documentación comprobatoria que justifique la erogación</w:t>
      </w:r>
      <w:r w:rsidRPr="007E4696">
        <w:rPr>
          <w:rFonts w:ascii="Palatino Linotype" w:eastAsia="Palatino Linotype" w:hAnsi="Palatino Linotype" w:cs="Palatino Linotype"/>
          <w:color w:val="000000" w:themeColor="text1"/>
        </w:rPr>
        <w:t>, las cuales deberán coincidir con las presentadas en el Diario General de Pólizas de cada uno de los meses que corresponda.</w:t>
      </w:r>
    </w:p>
    <w:p w:rsidR="002F5A77" w:rsidRPr="007E4696" w:rsidRDefault="002F5A77" w:rsidP="009957ED">
      <w:pPr>
        <w:pBdr>
          <w:top w:val="nil"/>
          <w:left w:val="nil"/>
          <w:bottom w:val="nil"/>
          <w:right w:val="nil"/>
          <w:between w:val="nil"/>
        </w:pBdr>
        <w:rPr>
          <w:rFonts w:ascii="Palatino Linotype" w:eastAsia="Palatino Linotype" w:hAnsi="Palatino Linotype" w:cs="Palatino Linotype"/>
          <w:color w:val="000000" w:themeColor="text1"/>
        </w:rPr>
      </w:pPr>
    </w:p>
    <w:p w:rsidR="002F5A77" w:rsidRPr="007E4696" w:rsidRDefault="002F5A77"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Como se puedo observar, </w:t>
      </w:r>
      <w:r w:rsidR="001A5BC3" w:rsidRPr="007E4696">
        <w:rPr>
          <w:rFonts w:ascii="Palatino Linotype" w:eastAsia="Palatino Linotype" w:hAnsi="Palatino Linotype" w:cs="Palatino Linotype"/>
          <w:b/>
          <w:color w:val="000000" w:themeColor="text1"/>
        </w:rPr>
        <w:t>las pólizas de egresos y las pólizas de cheques, de manera enunciativa mas no limitativa pueden</w:t>
      </w:r>
      <w:r w:rsidRPr="007E4696">
        <w:rPr>
          <w:rFonts w:ascii="Palatino Linotype" w:eastAsia="Palatino Linotype" w:hAnsi="Palatino Linotype" w:cs="Palatino Linotype"/>
          <w:b/>
          <w:color w:val="000000" w:themeColor="text1"/>
        </w:rPr>
        <w:t xml:space="preserve"> colmar la pretensión del Recurrente</w:t>
      </w:r>
      <w:r w:rsidRPr="007E4696">
        <w:rPr>
          <w:rFonts w:ascii="Palatino Linotype" w:eastAsia="Palatino Linotype" w:hAnsi="Palatino Linotype" w:cs="Palatino Linotype"/>
          <w:color w:val="000000" w:themeColor="text1"/>
        </w:rPr>
        <w:t xml:space="preserve">, pues contiene la información solicitada; </w:t>
      </w:r>
      <w:r w:rsidR="001A5BC3" w:rsidRPr="007E4696">
        <w:rPr>
          <w:rFonts w:ascii="Palatino Linotype" w:eastAsia="Palatino Linotype" w:hAnsi="Palatino Linotype" w:cs="Palatino Linotype"/>
          <w:color w:val="000000" w:themeColor="text1"/>
        </w:rPr>
        <w:t>asimismo es de referir que</w:t>
      </w:r>
      <w:r w:rsidR="00F36D84" w:rsidRPr="007E4696">
        <w:rPr>
          <w:rFonts w:ascii="Palatino Linotype" w:eastAsia="Palatino Linotype" w:hAnsi="Palatino Linotype" w:cs="Palatino Linotype"/>
          <w:color w:val="000000" w:themeColor="text1"/>
        </w:rPr>
        <w:t xml:space="preserve"> estos</w:t>
      </w:r>
      <w:r w:rsidRPr="007E4696">
        <w:rPr>
          <w:rFonts w:ascii="Palatino Linotype" w:eastAsia="Palatino Linotype" w:hAnsi="Palatino Linotype" w:cs="Palatino Linotype"/>
          <w:color w:val="000000" w:themeColor="text1"/>
        </w:rPr>
        <w:t xml:space="preserve"> formato</w:t>
      </w:r>
      <w:r w:rsidR="00F36D84"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se genera</w:t>
      </w:r>
      <w:r w:rsidR="00F36D84" w:rsidRPr="007E4696">
        <w:rPr>
          <w:rFonts w:ascii="Palatino Linotype" w:eastAsia="Palatino Linotype" w:hAnsi="Palatino Linotype" w:cs="Palatino Linotype"/>
          <w:color w:val="000000" w:themeColor="text1"/>
        </w:rPr>
        <w:t>n</w:t>
      </w:r>
      <w:r w:rsidRPr="007E4696">
        <w:rPr>
          <w:rFonts w:ascii="Palatino Linotype" w:eastAsia="Palatino Linotype" w:hAnsi="Palatino Linotype" w:cs="Palatino Linotype"/>
          <w:color w:val="000000" w:themeColor="text1"/>
        </w:rPr>
        <w:t xml:space="preserve"> de manera mensual, como lo </w:t>
      </w:r>
      <w:r w:rsidR="00F36D84" w:rsidRPr="007E4696">
        <w:rPr>
          <w:rFonts w:ascii="Palatino Linotype" w:eastAsia="Palatino Linotype" w:hAnsi="Palatino Linotype" w:cs="Palatino Linotype"/>
          <w:color w:val="000000" w:themeColor="text1"/>
        </w:rPr>
        <w:t>disponen los</w:t>
      </w:r>
      <w:r w:rsidRPr="007E4696">
        <w:rPr>
          <w:rFonts w:ascii="Palatino Linotype" w:eastAsia="Palatino Linotype" w:hAnsi="Palatino Linotype" w:cs="Palatino Linotype"/>
          <w:color w:val="000000" w:themeColor="text1"/>
        </w:rPr>
        <w:t xml:space="preserve"> </w:t>
      </w:r>
      <w:r w:rsidR="00F36D84" w:rsidRPr="007E4696">
        <w:rPr>
          <w:rFonts w:ascii="Palatino Linotype" w:eastAsia="Palatino Linotype" w:hAnsi="Palatino Linotype" w:cs="Palatino Linotype"/>
          <w:color w:val="000000" w:themeColor="text1"/>
        </w:rPr>
        <w:t>Lineamientos, fechas de capacitación y calendarización para la integración y presentación de los informes trimestrales estatales y municipales</w:t>
      </w:r>
      <w:r w:rsidR="00B27F6B" w:rsidRPr="007E4696">
        <w:rPr>
          <w:rFonts w:ascii="Palatino Linotype" w:eastAsia="Palatino Linotype" w:hAnsi="Palatino Linotype" w:cs="Palatino Linotype"/>
          <w:color w:val="000000" w:themeColor="text1"/>
        </w:rPr>
        <w:t xml:space="preserve"> del ejercicio fiscal 2025</w:t>
      </w:r>
      <w:r w:rsidR="00F36D84" w:rsidRPr="007E4696">
        <w:rPr>
          <w:rFonts w:ascii="Palatino Linotype" w:eastAsia="Palatino Linotype" w:hAnsi="Palatino Linotype" w:cs="Palatino Linotype"/>
          <w:color w:val="000000" w:themeColor="text1"/>
        </w:rPr>
        <w:t>, de las entidades fiscalizables del Estado de México, tal como se muestra a continuación:</w:t>
      </w:r>
    </w:p>
    <w:p w:rsidR="002F5A77" w:rsidRPr="007E4696" w:rsidRDefault="00DA61C7" w:rsidP="009957ED">
      <w:pPr>
        <w:pBdr>
          <w:top w:val="nil"/>
          <w:left w:val="nil"/>
          <w:bottom w:val="nil"/>
          <w:right w:val="nil"/>
          <w:between w:val="nil"/>
        </w:pBdr>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75805</wp:posOffset>
                </wp:positionH>
                <wp:positionV relativeFrom="paragraph">
                  <wp:posOffset>25616</wp:posOffset>
                </wp:positionV>
                <wp:extent cx="5779698" cy="4037162"/>
                <wp:effectExtent l="0" t="0" r="31115" b="20955"/>
                <wp:wrapNone/>
                <wp:docPr id="4" name="Conector recto 4"/>
                <wp:cNvGraphicFramePr/>
                <a:graphic xmlns:a="http://schemas.openxmlformats.org/drawingml/2006/main">
                  <a:graphicData uri="http://schemas.microsoft.com/office/word/2010/wordprocessingShape">
                    <wps:wsp>
                      <wps:cNvCnPr/>
                      <wps:spPr>
                        <a:xfrm>
                          <a:off x="0" y="0"/>
                          <a:ext cx="5779698" cy="40371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D39E4"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5pt,2pt" to="461.05pt,3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" strokecolor="black [3200]" strokeweight=".5pt">
                <v:stroke joinstyle="miter"/>
              </v:line>
            </w:pict>
          </mc:Fallback>
        </mc:AlternateContent>
      </w:r>
    </w:p>
    <w:p w:rsidR="002F5A77" w:rsidRPr="007E4696" w:rsidRDefault="003F1E06" w:rsidP="009957ED">
      <w:pPr>
        <w:pBdr>
          <w:top w:val="nil"/>
          <w:left w:val="nil"/>
          <w:bottom w:val="nil"/>
          <w:right w:val="nil"/>
          <w:between w:val="nil"/>
        </w:pBdr>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noProof/>
          <w:color w:val="000000" w:themeColor="text1"/>
          <w:lang w:val="es-MX" w:eastAsia="es-MX"/>
        </w:rPr>
        <w:lastRenderedPageBreak/>
        <w:drawing>
          <wp:inline distT="0" distB="0" distL="0" distR="0" wp14:anchorId="69F01C1E" wp14:editId="5A3C5262">
            <wp:extent cx="5544324" cy="4115374"/>
            <wp:effectExtent l="152400" t="152400" r="361315" b="361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44324" cy="4115374"/>
                    </a:xfrm>
                    <a:prstGeom prst="rect">
                      <a:avLst/>
                    </a:prstGeom>
                    <a:ln>
                      <a:noFill/>
                    </a:ln>
                    <a:effectLst>
                      <a:outerShdw blurRad="292100" dist="139700" dir="2700000" algn="tl" rotWithShape="0">
                        <a:srgbClr val="333333">
                          <a:alpha val="65000"/>
                        </a:srgbClr>
                      </a:outerShdw>
                    </a:effectLst>
                  </pic:spPr>
                </pic:pic>
              </a:graphicData>
            </a:graphic>
          </wp:inline>
        </w:drawing>
      </w:r>
    </w:p>
    <w:p w:rsidR="002F5A77" w:rsidRPr="007E4696" w:rsidRDefault="00DA61C7"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68F23821" wp14:editId="2F6034EA">
                <wp:simplePos x="0" y="0"/>
                <wp:positionH relativeFrom="margin">
                  <wp:posOffset>84432</wp:posOffset>
                </wp:positionH>
                <wp:positionV relativeFrom="paragraph">
                  <wp:posOffset>1254496</wp:posOffset>
                </wp:positionV>
                <wp:extent cx="5727712" cy="1846041"/>
                <wp:effectExtent l="0" t="0" r="25400" b="20955"/>
                <wp:wrapNone/>
                <wp:docPr id="6" name="Conector recto 6"/>
                <wp:cNvGraphicFramePr/>
                <a:graphic xmlns:a="http://schemas.openxmlformats.org/drawingml/2006/main">
                  <a:graphicData uri="http://schemas.microsoft.com/office/word/2010/wordprocessingShape">
                    <wps:wsp>
                      <wps:cNvCnPr/>
                      <wps:spPr>
                        <a:xfrm>
                          <a:off x="0" y="0"/>
                          <a:ext cx="5727712" cy="18460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90E1C"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65pt,98.8pt" to="457.65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" strokecolor="black [3200]" strokeweight=".5pt">
                <v:stroke joinstyle="miter"/>
                <w10:wrap anchorx="margin"/>
              </v:line>
            </w:pict>
          </mc:Fallback>
        </mc:AlternateContent>
      </w:r>
      <w:r w:rsidR="003F1E06" w:rsidRPr="007E4696">
        <w:rPr>
          <w:rFonts w:ascii="Palatino Linotype" w:eastAsia="Palatino Linotype" w:hAnsi="Palatino Linotype" w:cs="Palatino Linotype"/>
          <w:color w:val="000000" w:themeColor="text1"/>
        </w:rPr>
        <w:t>En lo que respecta a la información del ejercicio fiscal 2024</w:t>
      </w:r>
      <w:r w:rsidR="00B27F6B" w:rsidRPr="007E4696">
        <w:rPr>
          <w:rFonts w:ascii="Palatino Linotype" w:eastAsia="Palatino Linotype" w:hAnsi="Palatino Linotype" w:cs="Palatino Linotype"/>
          <w:color w:val="000000" w:themeColor="text1"/>
        </w:rPr>
        <w:t>, Lineamientos para la integración y presentación de los informes trimestrales estatales del ejercicio fiscal 2024, establece la entrega del Diario General de Pólizas de manera mensual, tal como se muestra en la imagen siguiente:</w:t>
      </w:r>
    </w:p>
    <w:p w:rsidR="00B27F6B" w:rsidRPr="007E4696" w:rsidRDefault="00B27F6B"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noProof/>
          <w:color w:val="000000" w:themeColor="text1"/>
          <w:lang w:val="es-MX" w:eastAsia="es-MX"/>
        </w:rPr>
        <w:lastRenderedPageBreak/>
        <w:drawing>
          <wp:inline distT="0" distB="0" distL="0" distR="0" wp14:anchorId="18535466" wp14:editId="7F14589A">
            <wp:extent cx="5430008" cy="4963218"/>
            <wp:effectExtent l="152400" t="152400" r="361315" b="3708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30008" cy="4963218"/>
                    </a:xfrm>
                    <a:prstGeom prst="rect">
                      <a:avLst/>
                    </a:prstGeom>
                    <a:ln>
                      <a:noFill/>
                    </a:ln>
                    <a:effectLst>
                      <a:outerShdw blurRad="292100" dist="139700" dir="2700000" algn="tl" rotWithShape="0">
                        <a:srgbClr val="333333">
                          <a:alpha val="65000"/>
                        </a:srgbClr>
                      </a:outerShdw>
                    </a:effectLst>
                  </pic:spPr>
                </pic:pic>
              </a:graphicData>
            </a:graphic>
          </wp:inline>
        </w:drawing>
      </w:r>
    </w:p>
    <w:p w:rsidR="00FD622B" w:rsidRPr="007E4696" w:rsidRDefault="00FD622B"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El </w:t>
      </w:r>
      <w:r w:rsidRPr="007E4696">
        <w:rPr>
          <w:rFonts w:ascii="Palatino Linotype" w:eastAsia="Palatino Linotype" w:hAnsi="Palatino Linotype" w:cs="Palatino Linotype"/>
          <w:b/>
          <w:color w:val="000000" w:themeColor="text1"/>
        </w:rPr>
        <w:t>Diario General de Pólizas</w:t>
      </w:r>
      <w:r w:rsidRPr="007E4696">
        <w:rPr>
          <w:rFonts w:ascii="Palatino Linotype" w:eastAsia="Palatino Linotype" w:hAnsi="Palatino Linotype" w:cs="Palatino Linotype"/>
          <w:color w:val="000000" w:themeColor="text1"/>
        </w:rPr>
        <w:t xml:space="preserve"> debe contener diversos datos relativos a la información contable y financiera del Sujeto Obligado, debe enviar mensualmente al Órgano Superior de Fiscalización, tales como el tipo de póliza, dentro de sus tipos se encuentran las pólizas de diario, de ingresos, de egresos, de cuentas por pagar y de cheque.</w:t>
      </w:r>
    </w:p>
    <w:p w:rsidR="00FD622B" w:rsidRPr="007E4696" w:rsidRDefault="00FD622B"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F5A77" w:rsidRPr="007E4696" w:rsidRDefault="00FD622B"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lastRenderedPageBreak/>
        <w:t xml:space="preserve">En razón de lo expuesto es de precisar que </w:t>
      </w:r>
      <w:r w:rsidR="002F5A77" w:rsidRPr="007E4696">
        <w:rPr>
          <w:rFonts w:ascii="Palatino Linotype" w:eastAsia="Palatino Linotype" w:hAnsi="Palatino Linotype" w:cs="Palatino Linotype"/>
          <w:color w:val="000000" w:themeColor="text1"/>
        </w:rPr>
        <w:t xml:space="preserve">la información solicitada debe de administrarse y poseerse en los archivos del </w:t>
      </w:r>
      <w:r w:rsidR="002F5A77" w:rsidRPr="007E4696">
        <w:rPr>
          <w:rFonts w:ascii="Palatino Linotype" w:eastAsia="Palatino Linotype" w:hAnsi="Palatino Linotype" w:cs="Palatino Linotype"/>
          <w:b/>
          <w:color w:val="000000" w:themeColor="text1"/>
        </w:rPr>
        <w:t>SUJETO OBLIGADO</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máxime que entregó una liga donde pretendió colmar el requerimiento, así como la pretensión de la clasificación de información como confidencial de la relativa a la temporalidad del 01 de marzo al 30 de abril de 2025.</w:t>
      </w:r>
    </w:p>
    <w:p w:rsidR="009C79B8" w:rsidRPr="007E4696" w:rsidRDefault="009C79B8"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C79B8" w:rsidRPr="007E4696" w:rsidRDefault="009C79B8"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Ahora bien, en consecuencia de lo anterior es de referir que la información solicitada reviste interés público al transparentar las actividades que llevan a cabo los sujetos obligados, particularmente el Poder Legislativo es un Sujeto Obligado a transparentar y permitir el acceso a su información</w:t>
      </w:r>
      <w:r w:rsidR="006E16E5" w:rsidRPr="007E4696">
        <w:rPr>
          <w:rFonts w:ascii="Palatino Linotype" w:eastAsia="Palatino Linotype" w:hAnsi="Palatino Linotype" w:cs="Palatino Linotype"/>
          <w:color w:val="000000" w:themeColor="text1"/>
        </w:rPr>
        <w:t>, en razón que se debe garantizar el efectivo acceso de toda persona a la información en posesión de cualquier Sujeto Obligado, así como de cualquier persona que reciba recursos públicos.</w:t>
      </w:r>
    </w:p>
    <w:p w:rsidR="006E16E5" w:rsidRPr="007E4696" w:rsidRDefault="006E16E5"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E16E5" w:rsidRPr="007E4696" w:rsidRDefault="006E16E5"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Los sujetos obligados deberán hacer pública toda aquella información relativa a los montos y las personas a quienes entreguen, por cualquier motivo, recursos públicos y en consecuencia, los servidores públicos deberán transparentar sus acciones así como garantizar y respetar el derecho de acceso a la información pública.</w:t>
      </w:r>
    </w:p>
    <w:p w:rsidR="005F0956" w:rsidRPr="007E4696" w:rsidRDefault="005F0956"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F0956" w:rsidRPr="007E4696" w:rsidRDefault="005F0956"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Ahora bien, el Sujeto Obligado pretendió clasificar la información como confidencial por contener datos bancarios y fiscales cuya titularidad corresponde a particulares, perdiendo de vista la excepción contemplada en la norma cuando involucra el ejercicio de recursos públicos, establecido en el artículo 143, fracción II, de la Ley de Transparencia Local; adicionalmente  la información privada y los datos personales concernientes a una persona física o jurídico colectiva identificada o </w:t>
      </w:r>
      <w:r w:rsidRPr="007E4696">
        <w:rPr>
          <w:rFonts w:ascii="Palatino Linotype" w:eastAsia="Palatino Linotype" w:hAnsi="Palatino Linotype" w:cs="Palatino Linotype"/>
          <w:color w:val="000000" w:themeColor="text1"/>
        </w:rPr>
        <w:lastRenderedPageBreak/>
        <w:t>identificable, tratándose de proveedores, prestadores de servicios o contratistas, dichos datos no deben ser suprimidos de la</w:t>
      </w:r>
      <w:r w:rsidR="00046966" w:rsidRPr="007E4696">
        <w:rPr>
          <w:rFonts w:ascii="Palatino Linotype" w:eastAsia="Palatino Linotype" w:hAnsi="Palatino Linotype" w:cs="Palatino Linotype"/>
          <w:color w:val="000000" w:themeColor="text1"/>
        </w:rPr>
        <w:t xml:space="preserve"> documentación que dé cuenta de la información requerida</w:t>
      </w:r>
      <w:r w:rsidR="00AF00DD" w:rsidRPr="007E4696">
        <w:rPr>
          <w:rFonts w:ascii="Palatino Linotype" w:eastAsia="Palatino Linotype" w:hAnsi="Palatino Linotype" w:cs="Palatino Linotype"/>
          <w:color w:val="000000" w:themeColor="text1"/>
        </w:rPr>
        <w:t>.</w:t>
      </w:r>
    </w:p>
    <w:p w:rsidR="005F0956" w:rsidRPr="007E4696" w:rsidRDefault="005F0956"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E16E5" w:rsidRPr="007E4696" w:rsidRDefault="006E16E5"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En este mismo sentido se tiene como obligación de transparencia común la de </w:t>
      </w:r>
      <w:r w:rsidR="005F0956" w:rsidRPr="007E4696">
        <w:rPr>
          <w:rFonts w:ascii="Palatino Linotype" w:eastAsia="Palatino Linotype" w:hAnsi="Palatino Linotype" w:cs="Palatino Linotype"/>
          <w:color w:val="000000" w:themeColor="text1"/>
        </w:rPr>
        <w:t>poner a disposición la información relativa a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00AF00DD" w:rsidRPr="007E4696">
        <w:rPr>
          <w:rFonts w:ascii="Palatino Linotype" w:eastAsia="Palatino Linotype" w:hAnsi="Palatino Linotype" w:cs="Palatino Linotype"/>
          <w:color w:val="000000" w:themeColor="text1"/>
        </w:rPr>
        <w:t>.</w:t>
      </w:r>
    </w:p>
    <w:p w:rsidR="00AF00DD" w:rsidRPr="007E4696" w:rsidRDefault="00AF00DD"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AF00DD" w:rsidRPr="007E4696" w:rsidRDefault="00AF00DD" w:rsidP="009957E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Cs/>
          <w:color w:val="000000" w:themeColor="text1"/>
        </w:rPr>
      </w:pPr>
      <w:r w:rsidRPr="007E4696">
        <w:rPr>
          <w:rFonts w:ascii="Palatino Linotype" w:eastAsia="Palatino Linotype" w:hAnsi="Palatino Linotype" w:cs="Palatino Linotype"/>
          <w:color w:val="000000" w:themeColor="text1"/>
        </w:rPr>
        <w:t xml:space="preserve">En este sentido se deben señalar diversos datos de manera enunciativa mas no limitativa, que si bien corresponden a datos personales </w:t>
      </w:r>
      <w:r w:rsidRPr="007E4696">
        <w:rPr>
          <w:rFonts w:ascii="Palatino Linotype" w:eastAsia="Palatino Linotype" w:hAnsi="Palatino Linotype" w:cs="Palatino Linotype"/>
          <w:bCs/>
          <w:color w:val="000000" w:themeColor="text1"/>
        </w:rPr>
        <w:t>no actualizan la causal de clasificación establecida en el artículo 143, fracción I, de la Ley de Transparencia y Acceso a la Información Pública del Estado de México y Municipios.</w:t>
      </w:r>
    </w:p>
    <w:p w:rsidR="007F369E" w:rsidRPr="007E4696" w:rsidRDefault="007F369E" w:rsidP="009957ED">
      <w:pPr>
        <w:pBdr>
          <w:top w:val="nil"/>
          <w:left w:val="nil"/>
          <w:bottom w:val="nil"/>
          <w:right w:val="nil"/>
          <w:between w:val="nil"/>
        </w:pBdr>
        <w:spacing w:line="360" w:lineRule="auto"/>
        <w:jc w:val="both"/>
        <w:rPr>
          <w:rFonts w:ascii="Palatino Linotype" w:eastAsia="Palatino Linotype" w:hAnsi="Palatino Linotype" w:cs="Palatino Linotype"/>
          <w:bCs/>
          <w:color w:val="000000" w:themeColor="text1"/>
        </w:rPr>
      </w:pPr>
    </w:p>
    <w:p w:rsidR="007F369E" w:rsidRPr="007E4696" w:rsidRDefault="007F369E" w:rsidP="009957ED">
      <w:pPr>
        <w:pStyle w:val="Prrafodelista"/>
        <w:numPr>
          <w:ilvl w:val="0"/>
          <w:numId w:val="6"/>
        </w:numPr>
        <w:pBdr>
          <w:top w:val="nil"/>
          <w:left w:val="nil"/>
          <w:bottom w:val="nil"/>
          <w:right w:val="nil"/>
          <w:between w:val="nil"/>
        </w:pBdr>
        <w:spacing w:line="360" w:lineRule="auto"/>
        <w:ind w:left="0"/>
        <w:jc w:val="both"/>
        <w:rPr>
          <w:rFonts w:ascii="Palatino Linotype" w:eastAsia="Palatino Linotype" w:hAnsi="Palatino Linotype" w:cs="Palatino Linotype"/>
          <w:b/>
          <w:bCs/>
          <w:color w:val="000000" w:themeColor="text1"/>
        </w:rPr>
      </w:pPr>
      <w:r w:rsidRPr="007E4696">
        <w:rPr>
          <w:rFonts w:ascii="Palatino Linotype" w:hAnsi="Palatino Linotype"/>
          <w:b/>
          <w:color w:val="000000" w:themeColor="text1"/>
        </w:rPr>
        <w:t>Cuentas bancarias o clabes interbancarias</w:t>
      </w: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eastAsia="Palatino Linotype" w:hAnsi="Palatino Linotype" w:cs="Palatino Linotype"/>
          <w:color w:val="000000" w:themeColor="text1"/>
        </w:rPr>
        <w:t xml:space="preserve">Resulta importante señalar que </w:t>
      </w:r>
      <w:r w:rsidRPr="007E4696">
        <w:rPr>
          <w:rFonts w:ascii="Palatino Linotype" w:hAnsi="Palatino Linotype"/>
          <w:color w:val="000000" w:themeColor="text1"/>
        </w:rPr>
        <w:t>tratándose</w:t>
      </w:r>
      <w:r w:rsidR="007F369E" w:rsidRPr="007E4696">
        <w:rPr>
          <w:rFonts w:ascii="Palatino Linotype" w:hAnsi="Palatino Linotype"/>
          <w:color w:val="000000" w:themeColor="text1"/>
        </w:rPr>
        <w:t xml:space="preserve"> de las cuentas bancarias o clab</w:t>
      </w:r>
      <w:r w:rsidRPr="007E4696">
        <w:rPr>
          <w:rFonts w:ascii="Palatino Linotype" w:hAnsi="Palatino Linotype"/>
          <w:color w:val="000000" w:themeColor="text1"/>
        </w:rPr>
        <w:t>es interbancarias de los Sujetos Obligados ya que su publicidad cede a la rendición de cuentas al transparentar la forma en que son administrados los recursos públicos.</w:t>
      </w:r>
    </w:p>
    <w:p w:rsidR="00AF00DD" w:rsidRPr="007E4696" w:rsidRDefault="00AF00DD" w:rsidP="009957ED">
      <w:pPr>
        <w:spacing w:line="360" w:lineRule="auto"/>
        <w:jc w:val="both"/>
        <w:rPr>
          <w:rFonts w:ascii="Palatino Linotype" w:hAnsi="Palatino Linotype"/>
          <w:color w:val="000000" w:themeColor="text1"/>
        </w:rPr>
      </w:pP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t>Lo argumentado encuentra sustento en los criterios orientadores 10/17 y 11/17 emitidos por el Instituto Nacional de Transparencia, Acceso a la Información y Protección de Datos Personales, INAI, que llevan por rubro y texto los siguientes:</w:t>
      </w:r>
    </w:p>
    <w:p w:rsidR="00AF00DD" w:rsidRPr="007E4696" w:rsidRDefault="00AF00DD" w:rsidP="009957ED">
      <w:pPr>
        <w:pStyle w:val="NormalWeb"/>
        <w:spacing w:before="240" w:beforeAutospacing="0" w:after="240" w:afterAutospacing="0"/>
        <w:jc w:val="both"/>
        <w:rPr>
          <w:rFonts w:ascii="Palatino Linotype" w:hAnsi="Palatino Linotype"/>
          <w:color w:val="000000" w:themeColor="text1"/>
        </w:rPr>
      </w:pPr>
      <w:r w:rsidRPr="007E4696">
        <w:rPr>
          <w:rFonts w:ascii="Palatino Linotype" w:hAnsi="Palatino Linotype"/>
          <w:b/>
          <w:bCs/>
          <w:i/>
          <w:iCs/>
          <w:color w:val="000000" w:themeColor="text1"/>
        </w:rPr>
        <w:lastRenderedPageBreak/>
        <w:t>“Cuentas bancarias y/o CLABE interbancaria de personas físicas y morales privadas.</w:t>
      </w:r>
      <w:r w:rsidRPr="007E4696">
        <w:rPr>
          <w:rFonts w:ascii="Palatino Linotype" w:hAnsi="Palatino Linotype"/>
          <w:i/>
          <w:iCs/>
          <w:color w:val="000000" w:themeColor="text1"/>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AF00DD" w:rsidRPr="007E4696" w:rsidRDefault="00AF00DD" w:rsidP="009957ED">
      <w:pPr>
        <w:pStyle w:val="NormalWeb"/>
        <w:spacing w:before="240" w:beforeAutospacing="0" w:after="240" w:afterAutospacing="0"/>
        <w:jc w:val="both"/>
        <w:rPr>
          <w:rFonts w:ascii="Palatino Linotype" w:hAnsi="Palatino Linotype"/>
          <w:i/>
          <w:iCs/>
          <w:color w:val="000000" w:themeColor="text1"/>
        </w:rPr>
      </w:pPr>
      <w:r w:rsidRPr="007E4696">
        <w:rPr>
          <w:rFonts w:ascii="Palatino Linotype" w:hAnsi="Palatino Linotype"/>
          <w:b/>
          <w:bCs/>
          <w:i/>
          <w:iCs/>
          <w:color w:val="000000" w:themeColor="text1"/>
        </w:rPr>
        <w:t>Cuentas bancarias y/o CLABE interbancaria de sujetos obligados que reciben y/o transfieren recursos públicos, son información pública</w:t>
      </w:r>
      <w:r w:rsidRPr="007E4696">
        <w:rPr>
          <w:rFonts w:ascii="Palatino Linotype" w:hAnsi="Palatino Linotype"/>
          <w:i/>
          <w:iCs/>
          <w:color w:val="000000" w:themeColor="text1"/>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AF00DD" w:rsidRPr="007E4696" w:rsidRDefault="00AF00DD" w:rsidP="009957ED">
      <w:pPr>
        <w:pStyle w:val="NormalWeb"/>
        <w:spacing w:before="0" w:beforeAutospacing="0" w:after="0" w:afterAutospacing="0"/>
        <w:jc w:val="both"/>
        <w:rPr>
          <w:rFonts w:ascii="Palatino Linotype" w:hAnsi="Palatino Linotype"/>
          <w:color w:val="000000" w:themeColor="text1"/>
        </w:rPr>
      </w:pPr>
    </w:p>
    <w:p w:rsidR="007F369E" w:rsidRPr="007E4696" w:rsidRDefault="007F369E" w:rsidP="009957ED">
      <w:pPr>
        <w:pStyle w:val="Prrafodelista"/>
        <w:numPr>
          <w:ilvl w:val="0"/>
          <w:numId w:val="6"/>
        </w:numPr>
        <w:spacing w:line="360" w:lineRule="auto"/>
        <w:ind w:left="0"/>
        <w:jc w:val="both"/>
        <w:rPr>
          <w:rFonts w:ascii="Palatino Linotype" w:hAnsi="Palatino Linotype"/>
          <w:color w:val="000000" w:themeColor="text1"/>
        </w:rPr>
      </w:pPr>
      <w:r w:rsidRPr="007E4696">
        <w:rPr>
          <w:rFonts w:ascii="Palatino Linotype" w:hAnsi="Palatino Linotype"/>
          <w:b/>
          <w:bCs/>
          <w:color w:val="000000" w:themeColor="text1"/>
        </w:rPr>
        <w:t>Registro Federal de Contribuyentes (RFC)</w:t>
      </w: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t xml:space="preserve">Por cuanto hace al </w:t>
      </w:r>
      <w:r w:rsidRPr="007E4696">
        <w:rPr>
          <w:rFonts w:ascii="Palatino Linotype" w:hAnsi="Palatino Linotype"/>
          <w:b/>
          <w:bCs/>
          <w:color w:val="000000" w:themeColor="text1"/>
        </w:rPr>
        <w:t xml:space="preserve">Registro Federal de Contribuyentes (RFC), </w:t>
      </w:r>
      <w:r w:rsidRPr="007E4696">
        <w:rPr>
          <w:rFonts w:ascii="Palatino Linotype" w:hAnsi="Palatino Linotype"/>
          <w:color w:val="000000" w:themeColor="text1"/>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rsidR="00AF00DD" w:rsidRPr="007E4696" w:rsidRDefault="00AF00DD" w:rsidP="009957ED">
      <w:pPr>
        <w:spacing w:line="360" w:lineRule="auto"/>
        <w:jc w:val="both"/>
        <w:rPr>
          <w:rFonts w:ascii="Palatino Linotype" w:hAnsi="Palatino Linotype"/>
          <w:color w:val="000000" w:themeColor="text1"/>
        </w:rPr>
      </w:pP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AF00DD" w:rsidRPr="007E4696" w:rsidRDefault="00AF00DD" w:rsidP="009957ED">
      <w:pPr>
        <w:spacing w:line="360" w:lineRule="auto"/>
        <w:jc w:val="both"/>
        <w:rPr>
          <w:rFonts w:ascii="Palatino Linotype" w:hAnsi="Palatino Linotype"/>
          <w:color w:val="000000" w:themeColor="text1"/>
        </w:rPr>
      </w:pP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t>Robustece lo anterior el criterio orientador 04/21 emitido por el Instituto Nacional de Transparencia, Acceso a la Información y Protección de Datos Personales, INAI, el cual refiere:</w:t>
      </w:r>
    </w:p>
    <w:p w:rsidR="00AF00DD" w:rsidRPr="007E4696" w:rsidRDefault="00AF00DD" w:rsidP="009957ED">
      <w:pPr>
        <w:pStyle w:val="NormalWeb"/>
        <w:tabs>
          <w:tab w:val="left" w:pos="7938"/>
        </w:tabs>
        <w:spacing w:before="120" w:beforeAutospacing="0" w:after="120" w:afterAutospacing="0"/>
        <w:jc w:val="both"/>
        <w:rPr>
          <w:rFonts w:ascii="Palatino Linotype" w:hAnsi="Palatino Linotype"/>
          <w:i/>
          <w:iCs/>
          <w:color w:val="000000" w:themeColor="text1"/>
        </w:rPr>
      </w:pPr>
      <w:r w:rsidRPr="007E4696">
        <w:rPr>
          <w:rFonts w:ascii="Palatino Linotype" w:hAnsi="Palatino Linotype"/>
          <w:b/>
          <w:bCs/>
          <w:i/>
          <w:iCs/>
          <w:color w:val="000000" w:themeColor="text1"/>
        </w:rPr>
        <w:t xml:space="preserve">“Registro Federal de Contribuyentes (RFC) de personas físicas proveedoras o contratistas. </w:t>
      </w:r>
      <w:r w:rsidRPr="007E4696">
        <w:rPr>
          <w:rFonts w:ascii="Palatino Linotype" w:hAnsi="Palatino Linotype"/>
          <w:i/>
          <w:iCs/>
          <w:color w:val="000000" w:themeColor="text1"/>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rsidR="00AF00DD" w:rsidRPr="007E4696" w:rsidRDefault="00AF00DD" w:rsidP="009957ED">
      <w:pPr>
        <w:pStyle w:val="NormalWeb"/>
        <w:tabs>
          <w:tab w:val="left" w:pos="7938"/>
        </w:tabs>
        <w:spacing w:before="120" w:beforeAutospacing="0" w:after="120" w:afterAutospacing="0"/>
        <w:jc w:val="both"/>
        <w:rPr>
          <w:rFonts w:ascii="Palatino Linotype" w:hAnsi="Palatino Linotype"/>
          <w:color w:val="000000" w:themeColor="text1"/>
        </w:rPr>
      </w:pP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t xml:space="preserve">Relacionado con lo anterior, el nombre de las personas físicas o los representantes legales de las personas morales,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w:t>
      </w:r>
      <w:r w:rsidRPr="007E4696">
        <w:rPr>
          <w:rFonts w:ascii="Palatino Linotype" w:hAnsi="Palatino Linotype"/>
          <w:color w:val="000000" w:themeColor="text1"/>
        </w:rPr>
        <w:lastRenderedPageBreak/>
        <w:t>los datos del representante legal de la persona moral que resultó favorecida con el procedimiento de licitación no conservan el carácter de confidencial y por tanto no deben ser testados.</w:t>
      </w:r>
    </w:p>
    <w:p w:rsidR="007F369E" w:rsidRPr="007E4696" w:rsidRDefault="007F369E" w:rsidP="009957ED">
      <w:pPr>
        <w:spacing w:line="360" w:lineRule="auto"/>
        <w:jc w:val="both"/>
        <w:rPr>
          <w:rFonts w:ascii="Palatino Linotype" w:hAnsi="Palatino Linotype"/>
          <w:color w:val="000000" w:themeColor="text1"/>
        </w:rPr>
      </w:pPr>
    </w:p>
    <w:p w:rsidR="00AF00DD" w:rsidRPr="007E4696" w:rsidRDefault="00AF00DD" w:rsidP="009957ED">
      <w:pPr>
        <w:numPr>
          <w:ilvl w:val="0"/>
          <w:numId w:val="2"/>
        </w:numPr>
        <w:spacing w:line="360" w:lineRule="auto"/>
        <w:ind w:left="0" w:firstLine="0"/>
        <w:jc w:val="both"/>
        <w:rPr>
          <w:rFonts w:ascii="Palatino Linotype" w:hAnsi="Palatino Linotype"/>
          <w:color w:val="000000" w:themeColor="text1"/>
        </w:rPr>
      </w:pPr>
      <w:r w:rsidRPr="007E4696">
        <w:rPr>
          <w:rFonts w:ascii="Palatino Linotype" w:hAnsi="Palatino Linotype"/>
          <w:color w:val="000000" w:themeColor="text1"/>
        </w:rPr>
        <w:t>Asimismo, resulta aplicable el contenido del criterio de interpretación 01/19 emitido por el Instituto Nacional de Transparencia, Acceso a la Información, y Protección de Datos Personales, INAI, que lleva por rubro y texto los siguientes:</w:t>
      </w:r>
    </w:p>
    <w:p w:rsidR="00AF00DD" w:rsidRPr="007E4696" w:rsidRDefault="00AF00DD" w:rsidP="009957ED">
      <w:pPr>
        <w:pStyle w:val="NormalWeb"/>
        <w:spacing w:before="0" w:beforeAutospacing="0" w:after="0" w:afterAutospacing="0"/>
        <w:jc w:val="both"/>
        <w:rPr>
          <w:rFonts w:ascii="Palatino Linotype" w:hAnsi="Palatino Linotype"/>
          <w:i/>
          <w:iCs/>
          <w:color w:val="000000" w:themeColor="text1"/>
        </w:rPr>
      </w:pPr>
      <w:r w:rsidRPr="007E4696">
        <w:rPr>
          <w:rFonts w:ascii="Palatino Linotype" w:hAnsi="Palatino Linotype"/>
          <w:b/>
          <w:bCs/>
          <w:i/>
          <w:iCs/>
          <w:color w:val="000000" w:themeColor="text1"/>
        </w:rPr>
        <w:t>“Datos de identificación del representante o apoderado legal.</w:t>
      </w:r>
      <w:r w:rsidRPr="007E4696">
        <w:rPr>
          <w:rFonts w:ascii="Palatino Linotype" w:hAnsi="Palatino Linotype"/>
          <w:i/>
          <w:iCs/>
          <w:color w:val="000000" w:themeColor="text1"/>
        </w:rPr>
        <w:t xml:space="preserve"> </w:t>
      </w:r>
      <w:r w:rsidRPr="007E4696">
        <w:rPr>
          <w:rFonts w:ascii="Palatino Linotype" w:hAnsi="Palatino Linotype"/>
          <w:b/>
          <w:bCs/>
          <w:i/>
          <w:iCs/>
          <w:color w:val="000000" w:themeColor="text1"/>
        </w:rPr>
        <w:t xml:space="preserve">Naturaleza jurídica. </w:t>
      </w:r>
      <w:r w:rsidRPr="007E4696">
        <w:rPr>
          <w:rFonts w:ascii="Palatino Linotype" w:hAnsi="Palatino Linotype"/>
          <w:i/>
          <w:iCs/>
          <w:color w:val="000000" w:themeColor="text1"/>
        </w:rPr>
        <w:t xml:space="preserve">El nombre, la firma y la rúbrica de una persona física, que actúe como representante o apoderado legal de un tercero que haya celebrado un acto jurídico, con algún sujeto obligado, </w:t>
      </w:r>
      <w:r w:rsidRPr="007E4696">
        <w:rPr>
          <w:rFonts w:ascii="Palatino Linotype" w:hAnsi="Palatino Linotype"/>
          <w:b/>
          <w:bCs/>
          <w:i/>
          <w:iCs/>
          <w:color w:val="000000" w:themeColor="text1"/>
        </w:rPr>
        <w:t>es información pública, en razón de que tales datos fueron proporcionados con el objeto de expresar el consentimiento obligacional del tercero y otorgar validez a dicho instrumento jurídico</w:t>
      </w:r>
      <w:r w:rsidRPr="007E4696">
        <w:rPr>
          <w:rFonts w:ascii="Palatino Linotype" w:hAnsi="Palatino Linotype"/>
          <w:i/>
          <w:iCs/>
          <w:color w:val="000000" w:themeColor="text1"/>
        </w:rPr>
        <w:t>.”</w:t>
      </w:r>
    </w:p>
    <w:p w:rsidR="007F369E" w:rsidRPr="007E4696" w:rsidRDefault="007F369E" w:rsidP="009957ED">
      <w:pPr>
        <w:shd w:val="clear" w:color="auto" w:fill="FFFFFF" w:themeFill="background1"/>
        <w:spacing w:line="360" w:lineRule="auto"/>
        <w:jc w:val="both"/>
        <w:rPr>
          <w:rFonts w:ascii="Palatino Linotype" w:hAnsi="Palatino Linotype"/>
          <w:b/>
          <w:bCs/>
          <w:color w:val="000000" w:themeColor="text1"/>
        </w:rPr>
      </w:pPr>
    </w:p>
    <w:p w:rsidR="00AF00DD" w:rsidRPr="007E4696" w:rsidRDefault="00AF00DD" w:rsidP="009957ED">
      <w:pPr>
        <w:pStyle w:val="Prrafodelista"/>
        <w:numPr>
          <w:ilvl w:val="0"/>
          <w:numId w:val="6"/>
        </w:numPr>
        <w:shd w:val="clear" w:color="auto" w:fill="FFFFFF" w:themeFill="background1"/>
        <w:spacing w:line="360" w:lineRule="auto"/>
        <w:ind w:left="0"/>
        <w:jc w:val="both"/>
        <w:rPr>
          <w:rFonts w:ascii="Palatino Linotype" w:hAnsi="Palatino Linotype" w:cs="Tahoma"/>
          <w:b/>
          <w:color w:val="000000" w:themeColor="text1"/>
          <w:lang w:eastAsia="es-MX"/>
        </w:rPr>
      </w:pPr>
      <w:r w:rsidRPr="007E4696">
        <w:rPr>
          <w:rFonts w:ascii="Palatino Linotype" w:hAnsi="Palatino Linotype" w:cs="Tahoma"/>
          <w:b/>
          <w:color w:val="000000" w:themeColor="text1"/>
          <w:lang w:eastAsia="es-MX"/>
        </w:rPr>
        <w:t>Domicilio Fiscal o legal (proveedor persona física o moral)</w:t>
      </w:r>
    </w:p>
    <w:p w:rsidR="00AF00DD" w:rsidRPr="007E4696" w:rsidRDefault="00AF00DD" w:rsidP="009957ED">
      <w:pPr>
        <w:numPr>
          <w:ilvl w:val="0"/>
          <w:numId w:val="2"/>
        </w:numPr>
        <w:spacing w:line="360" w:lineRule="auto"/>
        <w:ind w:left="0" w:firstLine="0"/>
        <w:jc w:val="both"/>
        <w:rPr>
          <w:rFonts w:ascii="Palatino Linotype" w:hAnsi="Palatino Linotype" w:cs="Tahoma"/>
          <w:color w:val="000000" w:themeColor="text1"/>
          <w:lang w:val="es-ES"/>
        </w:rPr>
      </w:pPr>
      <w:r w:rsidRPr="007E4696">
        <w:rPr>
          <w:rFonts w:ascii="Palatino Linotype" w:eastAsia="Palatino Linotype" w:hAnsi="Palatino Linotype" w:cs="Palatino Linotype"/>
          <w:color w:val="000000" w:themeColor="text1"/>
        </w:rPr>
        <w:t>De</w:t>
      </w:r>
      <w:r w:rsidRPr="007E4696">
        <w:rPr>
          <w:rFonts w:ascii="Palatino Linotype" w:hAnsi="Palatino Linotype" w:cs="Tahoma"/>
          <w:color w:val="000000" w:themeColor="text1"/>
          <w:lang w:val="es-ES"/>
        </w:rPr>
        <w:t xml:space="preserv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00AF00DD" w:rsidRPr="007E4696" w:rsidRDefault="00AF00DD" w:rsidP="009957ED">
      <w:pPr>
        <w:shd w:val="clear" w:color="auto" w:fill="FFFFFF" w:themeFill="background1"/>
        <w:spacing w:before="240" w:after="240" w:line="360" w:lineRule="auto"/>
        <w:jc w:val="both"/>
        <w:rPr>
          <w:rFonts w:ascii="Palatino Linotype" w:eastAsia="Calibri" w:hAnsi="Palatino Linotype" w:cs="Tahoma"/>
          <w:bCs/>
          <w:iCs/>
          <w:color w:val="000000" w:themeColor="text1"/>
          <w:lang w:val="es-ES"/>
        </w:rPr>
      </w:pPr>
      <w:r w:rsidRPr="007E4696">
        <w:rPr>
          <w:rFonts w:ascii="Palatino Linotype" w:eastAsia="Calibri" w:hAnsi="Palatino Linotype" w:cs="Tahoma"/>
          <w:bCs/>
          <w:iCs/>
          <w:color w:val="000000" w:themeColor="text1"/>
          <w:lang w:val="es-ES"/>
        </w:rPr>
        <w:t>Además, respecto al domicilio fiscal, resulta necesario traer el artículo 22 del Código Financiero del Estado de México y Municipios, que establece:</w:t>
      </w:r>
    </w:p>
    <w:p w:rsidR="00AF00DD" w:rsidRPr="007E4696" w:rsidRDefault="00AF00DD" w:rsidP="009957ED">
      <w:pPr>
        <w:shd w:val="clear" w:color="auto" w:fill="FFFFFF" w:themeFill="background1"/>
        <w:jc w:val="both"/>
        <w:rPr>
          <w:rFonts w:ascii="Palatino Linotype" w:eastAsia="Calibri" w:hAnsi="Palatino Linotype" w:cs="Tahoma"/>
          <w:b/>
          <w:bCs/>
          <w:i/>
          <w:iCs/>
          <w:color w:val="000000" w:themeColor="text1"/>
        </w:rPr>
      </w:pPr>
      <w:r w:rsidRPr="007E4696">
        <w:rPr>
          <w:rFonts w:ascii="Palatino Linotype" w:eastAsia="Calibri" w:hAnsi="Palatino Linotype" w:cs="Tahoma"/>
          <w:b/>
          <w:bCs/>
          <w:i/>
          <w:iCs/>
          <w:color w:val="000000" w:themeColor="text1"/>
        </w:rPr>
        <w:t xml:space="preserve">Artículo 22.- Se considera domicilio fiscal de las personas físicas y jurídicas colectivas: </w:t>
      </w: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r w:rsidRPr="007E4696">
        <w:rPr>
          <w:rFonts w:ascii="Palatino Linotype" w:eastAsia="Calibri" w:hAnsi="Palatino Linotype" w:cs="Tahoma"/>
          <w:bCs/>
          <w:i/>
          <w:iCs/>
          <w:color w:val="000000" w:themeColor="text1"/>
        </w:rPr>
        <w:t xml:space="preserve">I. El lugar o establecimiento donde se realicen actividades que generen obligaciones fiscales. </w:t>
      </w: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r w:rsidRPr="007E4696">
        <w:rPr>
          <w:rFonts w:ascii="Palatino Linotype" w:eastAsia="Calibri" w:hAnsi="Palatino Linotype" w:cs="Tahoma"/>
          <w:bCs/>
          <w:i/>
          <w:iCs/>
          <w:color w:val="000000" w:themeColor="text1"/>
        </w:rPr>
        <w:lastRenderedPageBreak/>
        <w:t xml:space="preserve">II. El lugar o establecimiento en que se realice el hecho generador de la obligación fiscal, cuando las actividades no se realicen en forma habitual. </w:t>
      </w: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r w:rsidRPr="007E4696">
        <w:rPr>
          <w:rFonts w:ascii="Palatino Linotype" w:eastAsia="Calibri" w:hAnsi="Palatino Linotype" w:cs="Tahoma"/>
          <w:bCs/>
          <w:i/>
          <w:iCs/>
          <w:color w:val="000000" w:themeColor="text1"/>
        </w:rPr>
        <w:t xml:space="preserve">III. El inmueble en el que residan en el territorio del Estado de México, cuando realicen sus actividades en la vía pública, en puestos fijos y semifijos; </w:t>
      </w: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r w:rsidRPr="007E4696">
        <w:rPr>
          <w:rFonts w:ascii="Palatino Linotype" w:eastAsia="Calibri" w:hAnsi="Palatino Linotype" w:cs="Tahoma"/>
          <w:bCs/>
          <w:i/>
          <w:iCs/>
          <w:color w:val="000000" w:themeColor="text1"/>
        </w:rPr>
        <w:t xml:space="preserve">IV. La residencia que identifique la autoridad fiscal, cuando exista certeza de que es el único lugar posible de localización del contribuyente. </w:t>
      </w: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r w:rsidRPr="007E4696">
        <w:rPr>
          <w:rFonts w:ascii="Palatino Linotype" w:eastAsia="Calibri" w:hAnsi="Palatino Linotype" w:cs="Tahoma"/>
          <w:bCs/>
          <w:i/>
          <w:iCs/>
          <w:color w:val="000000" w:themeColor="text1"/>
        </w:rPr>
        <w:t>V. Aquel que señalen a las entidades financieras o sociedades cooperativas de ahorro y préstamo, cuando sean usuarios de los servicios que presten estas, siempre que los contribuyentes no hayan manifestado alguno de los domicilios citados en las fracciones anteriores o no hayan sido localizados en los mismos.</w:t>
      </w:r>
    </w:p>
    <w:p w:rsidR="00AF00DD" w:rsidRPr="007E4696" w:rsidRDefault="00AF00DD" w:rsidP="009957ED">
      <w:pPr>
        <w:shd w:val="clear" w:color="auto" w:fill="FFFFFF" w:themeFill="background1"/>
        <w:jc w:val="both"/>
        <w:rPr>
          <w:rFonts w:ascii="Palatino Linotype" w:eastAsia="Calibri" w:hAnsi="Palatino Linotype" w:cs="Tahoma"/>
          <w:bCs/>
          <w:i/>
          <w:iCs/>
          <w:color w:val="000000" w:themeColor="text1"/>
        </w:rPr>
      </w:pPr>
      <w:r w:rsidRPr="007E4696">
        <w:rPr>
          <w:rFonts w:ascii="Palatino Linotype" w:eastAsia="Calibri" w:hAnsi="Palatino Linotype" w:cs="Tahoma"/>
          <w:bCs/>
          <w:i/>
          <w:iCs/>
          <w:color w:val="000000" w:themeColor="text1"/>
        </w:rPr>
        <w:t>…</w:t>
      </w:r>
    </w:p>
    <w:p w:rsidR="00AF00DD" w:rsidRPr="007E4696" w:rsidRDefault="00AF00DD" w:rsidP="009957ED">
      <w:pPr>
        <w:jc w:val="both"/>
        <w:rPr>
          <w:rFonts w:ascii="Palatino Linotype" w:eastAsia="Calibri" w:hAnsi="Palatino Linotype" w:cs="Tahoma"/>
          <w:bCs/>
          <w:iCs/>
          <w:color w:val="000000" w:themeColor="text1"/>
          <w:lang w:val="es-ES"/>
        </w:rPr>
      </w:pPr>
    </w:p>
    <w:p w:rsidR="00AF00DD" w:rsidRPr="007E4696" w:rsidRDefault="00AF00DD" w:rsidP="009957ED">
      <w:pPr>
        <w:pStyle w:val="Prrafodelista"/>
        <w:numPr>
          <w:ilvl w:val="0"/>
          <w:numId w:val="6"/>
        </w:numPr>
        <w:spacing w:line="360" w:lineRule="auto"/>
        <w:ind w:left="0"/>
        <w:jc w:val="both"/>
        <w:rPr>
          <w:rFonts w:ascii="Palatino Linotype" w:eastAsia="Calibri" w:hAnsi="Palatino Linotype" w:cs="Tahoma"/>
          <w:b/>
          <w:bCs/>
          <w:color w:val="000000" w:themeColor="text1"/>
        </w:rPr>
      </w:pPr>
      <w:r w:rsidRPr="007E4696">
        <w:rPr>
          <w:rFonts w:ascii="Palatino Linotype" w:eastAsia="Calibri" w:hAnsi="Palatino Linotype" w:cs="Tahoma"/>
          <w:b/>
          <w:bCs/>
          <w:color w:val="000000" w:themeColor="text1"/>
        </w:rPr>
        <w:t>Número telefónico</w:t>
      </w:r>
    </w:p>
    <w:p w:rsidR="00AF00DD" w:rsidRPr="007E4696" w:rsidRDefault="00AF00DD" w:rsidP="009957ED">
      <w:pPr>
        <w:numPr>
          <w:ilvl w:val="0"/>
          <w:numId w:val="2"/>
        </w:numPr>
        <w:spacing w:line="360" w:lineRule="auto"/>
        <w:ind w:left="0" w:firstLine="0"/>
        <w:jc w:val="both"/>
        <w:rPr>
          <w:rFonts w:ascii="Palatino Linotype" w:eastAsia="Calibri" w:hAnsi="Palatino Linotype" w:cs="Tahoma"/>
          <w:bCs/>
          <w:color w:val="000000" w:themeColor="text1"/>
        </w:rPr>
      </w:pPr>
      <w:r w:rsidRPr="007E4696">
        <w:rPr>
          <w:rFonts w:ascii="Palatino Linotype" w:eastAsia="Calibri" w:hAnsi="Palatino Linotype" w:cs="Tahoma"/>
          <w:b/>
          <w:bCs/>
          <w:color w:val="000000" w:themeColor="text1"/>
        </w:rPr>
        <w:t>Un</w:t>
      </w:r>
      <w:r w:rsidRPr="007E4696">
        <w:rPr>
          <w:rFonts w:ascii="Palatino Linotype" w:eastAsia="Calibri" w:hAnsi="Palatino Linotype" w:cs="Tahoma"/>
          <w:bCs/>
          <w:color w:val="000000" w:themeColor="text1"/>
        </w:rPr>
        <w:t> </w:t>
      </w:r>
      <w:r w:rsidRPr="007E4696">
        <w:rPr>
          <w:rFonts w:ascii="Palatino Linotype" w:eastAsia="Calibri" w:hAnsi="Palatino Linotype" w:cs="Tahoma"/>
          <w:b/>
          <w:bCs/>
          <w:color w:val="000000" w:themeColor="text1"/>
        </w:rPr>
        <w:t>número de teléfono</w:t>
      </w:r>
      <w:r w:rsidRPr="007E4696">
        <w:rPr>
          <w:rFonts w:ascii="Palatino Linotype" w:eastAsia="Calibri" w:hAnsi="Palatino Linotype" w:cs="Tahoma"/>
          <w:bCs/>
          <w:color w:val="000000" w:themeColor="text1"/>
        </w:rPr>
        <w:t> es una secuencia de </w:t>
      </w:r>
      <w:r w:rsidRPr="007E4696">
        <w:rPr>
          <w:rStyle w:val="Hipervnculo"/>
          <w:rFonts w:ascii="Palatino Linotype" w:eastAsia="Calibri" w:hAnsi="Palatino Linotype" w:cs="Tahoma"/>
          <w:bCs/>
          <w:color w:val="000000" w:themeColor="text1"/>
          <w:u w:val="none"/>
        </w:rPr>
        <w:t>dígitos</w:t>
      </w:r>
      <w:r w:rsidRPr="007E4696">
        <w:rPr>
          <w:rFonts w:ascii="Palatino Linotype" w:eastAsia="Calibri" w:hAnsi="Palatino Linotype" w:cs="Tahoma"/>
          <w:bCs/>
          <w:color w:val="000000" w:themeColor="text1"/>
        </w:rPr>
        <w:t> utilizada para identificar una </w:t>
      </w:r>
      <w:r w:rsidRPr="007E4696">
        <w:rPr>
          <w:rStyle w:val="Hipervnculo"/>
          <w:rFonts w:ascii="Palatino Linotype" w:eastAsia="Calibri" w:hAnsi="Palatino Linotype" w:cs="Tahoma"/>
          <w:bCs/>
          <w:color w:val="000000" w:themeColor="text1"/>
          <w:u w:val="none"/>
        </w:rPr>
        <w:t>línea telefónica</w:t>
      </w:r>
      <w:r w:rsidRPr="007E4696">
        <w:rPr>
          <w:rFonts w:ascii="Palatino Linotype" w:eastAsia="Calibri" w:hAnsi="Palatino Linotype" w:cs="Tahoma"/>
          <w:bCs/>
          <w:color w:val="000000" w:themeColor="text1"/>
        </w:rPr>
        <w:t> dentro de una </w:t>
      </w:r>
      <w:r w:rsidRPr="007E4696">
        <w:rPr>
          <w:rStyle w:val="Hipervnculo"/>
          <w:rFonts w:ascii="Palatino Linotype" w:eastAsia="Calibri" w:hAnsi="Palatino Linotype" w:cs="Tahoma"/>
          <w:bCs/>
          <w:color w:val="000000" w:themeColor="text1"/>
          <w:u w:val="none"/>
        </w:rPr>
        <w:t>Red Telefónica Conmutada</w:t>
      </w:r>
      <w:r w:rsidRPr="007E4696">
        <w:rPr>
          <w:rFonts w:ascii="Palatino Linotype" w:eastAsia="Calibri" w:hAnsi="Palatino Linotype" w:cs="Tahoma"/>
          <w:bCs/>
          <w:color w:val="000000" w:themeColor="text1"/>
        </w:rPr>
        <w:t>, el número contiene la información necesaria para identificar el punto final de la llamada. Los números de teléfono están a menudo asignados a líneas que tienen conectados dispositivos distintos de un </w:t>
      </w:r>
      <w:r w:rsidRPr="007E4696">
        <w:rPr>
          <w:rStyle w:val="Hipervnculo"/>
          <w:rFonts w:ascii="Palatino Linotype" w:eastAsia="Calibri" w:hAnsi="Palatino Linotype" w:cs="Tahoma"/>
          <w:bCs/>
          <w:color w:val="000000" w:themeColor="text1"/>
          <w:u w:val="none"/>
        </w:rPr>
        <w:t>teléfono</w:t>
      </w:r>
      <w:r w:rsidRPr="007E4696">
        <w:rPr>
          <w:rFonts w:ascii="Palatino Linotype" w:eastAsia="Calibri" w:hAnsi="Palatino Linotype" w:cs="Tahoma"/>
          <w:bCs/>
          <w:color w:val="000000" w:themeColor="text1"/>
        </w:rPr>
        <w:t>, tales como </w:t>
      </w:r>
      <w:r w:rsidRPr="007E4696">
        <w:rPr>
          <w:rStyle w:val="Hipervnculo"/>
          <w:rFonts w:ascii="Palatino Linotype" w:eastAsia="Calibri" w:hAnsi="Palatino Linotype" w:cs="Tahoma"/>
          <w:bCs/>
          <w:color w:val="000000" w:themeColor="text1"/>
          <w:u w:val="none"/>
        </w:rPr>
        <w:t>faxes</w:t>
      </w:r>
      <w:r w:rsidRPr="007E4696">
        <w:rPr>
          <w:rFonts w:ascii="Palatino Linotype" w:eastAsia="Calibri" w:hAnsi="Palatino Linotype" w:cs="Tahoma"/>
          <w:bCs/>
          <w:color w:val="000000" w:themeColor="text1"/>
        </w:rPr>
        <w:t> y </w:t>
      </w:r>
      <w:r w:rsidRPr="007E4696">
        <w:rPr>
          <w:rStyle w:val="Hipervnculo"/>
          <w:rFonts w:ascii="Palatino Linotype" w:eastAsia="Calibri" w:hAnsi="Palatino Linotype" w:cs="Tahoma"/>
          <w:bCs/>
          <w:color w:val="000000" w:themeColor="text1"/>
          <w:u w:val="none"/>
        </w:rPr>
        <w:t>módems</w:t>
      </w:r>
      <w:r w:rsidRPr="007E4696">
        <w:rPr>
          <w:rFonts w:ascii="Palatino Linotype" w:eastAsia="Calibri" w:hAnsi="Palatino Linotype" w:cs="Tahoma"/>
          <w:bCs/>
          <w:color w:val="000000" w:themeColor="text1"/>
        </w:rPr>
        <w:t>. Cada uno de esos </w:t>
      </w:r>
      <w:r w:rsidRPr="007E4696">
        <w:rPr>
          <w:rStyle w:val="Hipervnculo"/>
          <w:rFonts w:ascii="Palatino Linotype" w:eastAsia="Calibri" w:hAnsi="Palatino Linotype" w:cs="Tahoma"/>
          <w:bCs/>
          <w:color w:val="000000" w:themeColor="text1"/>
          <w:u w:val="none"/>
        </w:rPr>
        <w:t>puntos de terminación de red</w:t>
      </w:r>
      <w:r w:rsidRPr="007E4696">
        <w:rPr>
          <w:rFonts w:ascii="Palatino Linotype" w:eastAsia="Calibri" w:hAnsi="Palatino Linotype" w:cs="Tahoma"/>
          <w:bCs/>
          <w:color w:val="000000" w:themeColor="text1"/>
        </w:rPr>
        <w:t> deben de tener un número único en la red para poder realizar una </w:t>
      </w:r>
      <w:r w:rsidRPr="007E4696">
        <w:rPr>
          <w:rStyle w:val="Hipervnculo"/>
          <w:rFonts w:ascii="Palatino Linotype" w:eastAsia="Calibri" w:hAnsi="Palatino Linotype" w:cs="Tahoma"/>
          <w:bCs/>
          <w:color w:val="000000" w:themeColor="text1"/>
          <w:u w:val="none"/>
        </w:rPr>
        <w:t>llamada telefónica</w:t>
      </w:r>
      <w:r w:rsidRPr="007E4696">
        <w:rPr>
          <w:rFonts w:ascii="Palatino Linotype" w:eastAsia="Calibri" w:hAnsi="Palatino Linotype" w:cs="Tahoma"/>
          <w:bCs/>
          <w:color w:val="000000" w:themeColor="text1"/>
        </w:rPr>
        <w:t>.</w:t>
      </w:r>
    </w:p>
    <w:p w:rsidR="00AF00DD" w:rsidRPr="007E4696" w:rsidRDefault="00AF00DD" w:rsidP="009957ED">
      <w:pPr>
        <w:spacing w:line="360" w:lineRule="auto"/>
        <w:jc w:val="both"/>
        <w:rPr>
          <w:rFonts w:ascii="Palatino Linotype" w:eastAsia="Calibri" w:hAnsi="Palatino Linotype" w:cs="Tahoma"/>
          <w:bCs/>
          <w:color w:val="000000" w:themeColor="text1"/>
        </w:rPr>
      </w:pPr>
    </w:p>
    <w:p w:rsidR="00AF00DD" w:rsidRPr="007E4696" w:rsidRDefault="00AF00DD" w:rsidP="009957ED">
      <w:pPr>
        <w:pStyle w:val="Prrafodelista"/>
        <w:numPr>
          <w:ilvl w:val="0"/>
          <w:numId w:val="6"/>
        </w:numPr>
        <w:spacing w:line="360" w:lineRule="auto"/>
        <w:ind w:left="0"/>
        <w:jc w:val="both"/>
        <w:rPr>
          <w:rFonts w:ascii="Palatino Linotype" w:hAnsi="Palatino Linotype" w:cs="Tahoma"/>
          <w:color w:val="000000" w:themeColor="text1"/>
        </w:rPr>
      </w:pPr>
      <w:r w:rsidRPr="007E4696">
        <w:rPr>
          <w:rFonts w:ascii="Palatino Linotype" w:hAnsi="Palatino Linotype" w:cs="Tahoma"/>
          <w:b/>
          <w:color w:val="000000" w:themeColor="text1"/>
        </w:rPr>
        <w:t>Correo electrónico</w:t>
      </w:r>
    </w:p>
    <w:p w:rsidR="00AF00DD" w:rsidRPr="007E4696" w:rsidRDefault="00AF00DD" w:rsidP="009957ED">
      <w:pPr>
        <w:numPr>
          <w:ilvl w:val="0"/>
          <w:numId w:val="2"/>
        </w:numPr>
        <w:spacing w:line="360" w:lineRule="auto"/>
        <w:ind w:left="0" w:firstLine="0"/>
        <w:jc w:val="both"/>
        <w:rPr>
          <w:rFonts w:ascii="Palatino Linotype" w:eastAsia="Calibri" w:hAnsi="Palatino Linotype" w:cs="Tahoma"/>
          <w:bCs/>
          <w:color w:val="000000" w:themeColor="text1"/>
          <w:lang w:eastAsia="en-US"/>
        </w:rPr>
      </w:pPr>
      <w:r w:rsidRPr="007E4696">
        <w:rPr>
          <w:rFonts w:ascii="Palatino Linotype" w:eastAsia="Calibri" w:hAnsi="Palatino Linotype" w:cs="Tahoma"/>
          <w:bCs/>
          <w:color w:val="000000" w:themeColor="text1"/>
        </w:rPr>
        <w:t>El</w:t>
      </w:r>
      <w:r w:rsidRPr="007E4696">
        <w:rPr>
          <w:rFonts w:ascii="Palatino Linotype" w:eastAsia="Calibri" w:hAnsi="Palatino Linotype" w:cs="Tahoma"/>
          <w:bCs/>
          <w:color w:val="000000" w:themeColor="text1"/>
          <w:lang w:eastAsia="en-US"/>
        </w:rPr>
        <w:t xml:space="preserve"> </w:t>
      </w:r>
      <w:r w:rsidRPr="007E4696">
        <w:rPr>
          <w:rFonts w:ascii="Palatino Linotype" w:eastAsia="Calibri" w:hAnsi="Palatino Linotype" w:cs="Tahoma"/>
          <w:b/>
          <w:bCs/>
          <w:color w:val="000000" w:themeColor="text1"/>
          <w:lang w:eastAsia="en-US"/>
        </w:rPr>
        <w:t>correo electrónico</w:t>
      </w:r>
      <w:r w:rsidRPr="007E4696">
        <w:rPr>
          <w:rFonts w:ascii="Palatino Linotype" w:eastAsia="Calibri" w:hAnsi="Palatino Linotype" w:cs="Tahoma"/>
          <w:bCs/>
          <w:color w:val="000000" w:themeColor="text1"/>
          <w:lang w:eastAsia="en-US"/>
        </w:rPr>
        <w:t xml:space="preserve"> es un sistema de transmisión de mensajes a través de internet. Dicho dato se puede asimilar al teléfono o domicilio particular, cuya nomenclatura, se considera como un dato personal, toda vez que es un medio para </w:t>
      </w:r>
      <w:r w:rsidRPr="007E4696">
        <w:rPr>
          <w:rFonts w:ascii="Palatino Linotype" w:eastAsia="Calibri" w:hAnsi="Palatino Linotype" w:cs="Tahoma"/>
          <w:bCs/>
          <w:color w:val="000000" w:themeColor="text1"/>
          <w:lang w:eastAsia="en-US"/>
        </w:rPr>
        <w:lastRenderedPageBreak/>
        <w:t>comunicarse con la persona titular del mismo, la hace localizable e incluso identificable, al poder estar conformado por parte de su nombre o bien, fecha de nacimiento.</w:t>
      </w:r>
    </w:p>
    <w:p w:rsidR="00AF00DD" w:rsidRPr="007E4696" w:rsidRDefault="00AF00DD" w:rsidP="009957ED">
      <w:pPr>
        <w:spacing w:line="360" w:lineRule="auto"/>
        <w:jc w:val="both"/>
        <w:rPr>
          <w:rFonts w:ascii="Palatino Linotype" w:eastAsia="Calibri" w:hAnsi="Palatino Linotype" w:cs="Tahoma"/>
          <w:bCs/>
          <w:color w:val="000000" w:themeColor="text1"/>
          <w:lang w:eastAsia="en-US"/>
        </w:rPr>
      </w:pPr>
    </w:p>
    <w:p w:rsidR="00AF00DD" w:rsidRPr="007E4696" w:rsidRDefault="00AF00DD" w:rsidP="009957ED">
      <w:pPr>
        <w:numPr>
          <w:ilvl w:val="0"/>
          <w:numId w:val="2"/>
        </w:numPr>
        <w:spacing w:line="360" w:lineRule="auto"/>
        <w:ind w:left="0" w:firstLine="0"/>
        <w:jc w:val="both"/>
        <w:rPr>
          <w:rFonts w:ascii="Palatino Linotype" w:eastAsia="Calibri" w:hAnsi="Palatino Linotype" w:cs="Tahoma"/>
          <w:bCs/>
          <w:color w:val="000000" w:themeColor="text1"/>
        </w:rPr>
      </w:pPr>
      <w:r w:rsidRPr="007E4696">
        <w:rPr>
          <w:rFonts w:ascii="Palatino Linotype" w:eastAsia="Calibri" w:hAnsi="Palatino Linotype" w:cs="Tahoma"/>
          <w:bCs/>
          <w:color w:val="000000" w:themeColor="text1"/>
        </w:rPr>
        <w:t xml:space="preserve">Al respecto debe mencionarse que </w:t>
      </w:r>
      <w:r w:rsidRPr="007E4696">
        <w:rPr>
          <w:rFonts w:ascii="Palatino Linotype" w:eastAsia="Calibri" w:hAnsi="Palatino Linotype" w:cs="Tahoma"/>
          <w:bCs/>
          <w:iCs/>
          <w:color w:val="000000" w:themeColor="text1"/>
          <w:lang w:val="es-ES"/>
        </w:rPr>
        <w:t xml:space="preserve">conforme a lo establecido en los criterios números 16, 18 y 19 de </w:t>
      </w:r>
      <w:r w:rsidRPr="007E4696">
        <w:rPr>
          <w:rFonts w:ascii="Palatino Linotype" w:eastAsia="Calibri" w:hAnsi="Palatino Linotype" w:cs="Tahoma"/>
          <w:bCs/>
          <w:color w:val="000000" w:themeColor="text1"/>
        </w:rPr>
        <w:t xml:space="preserve">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artículo 70, </w:t>
      </w:r>
      <w:r w:rsidRPr="007E4696">
        <w:rPr>
          <w:rFonts w:ascii="Palatino Linotype" w:eastAsia="Calibri" w:hAnsi="Palatino Linotype" w:cs="Tahoma"/>
          <w:b/>
          <w:bCs/>
          <w:color w:val="000000" w:themeColor="text1"/>
        </w:rPr>
        <w:t>el domicilio fiscal, y datos de contacto como teléfono y correo electrónico de los proveedores y contratistas, es un dato que debe ser público, motivo por el cual no es procedente que se realice su clasificación como confidencial.</w:t>
      </w:r>
    </w:p>
    <w:p w:rsidR="00AF00DD" w:rsidRPr="007E4696" w:rsidRDefault="00AF00DD" w:rsidP="009957ED">
      <w:pPr>
        <w:spacing w:line="360" w:lineRule="auto"/>
        <w:jc w:val="both"/>
        <w:rPr>
          <w:rFonts w:ascii="Palatino Linotype" w:eastAsia="Calibri" w:hAnsi="Palatino Linotype" w:cs="Tahoma"/>
          <w:bCs/>
          <w:iCs/>
          <w:color w:val="000000" w:themeColor="text1"/>
          <w:lang w:val="es-ES"/>
        </w:rPr>
      </w:pPr>
    </w:p>
    <w:p w:rsidR="00AF00DD" w:rsidRPr="007E4696" w:rsidRDefault="00AF00DD" w:rsidP="009957ED">
      <w:pPr>
        <w:numPr>
          <w:ilvl w:val="0"/>
          <w:numId w:val="2"/>
        </w:numPr>
        <w:spacing w:line="360" w:lineRule="auto"/>
        <w:ind w:left="0" w:firstLine="0"/>
        <w:jc w:val="both"/>
        <w:rPr>
          <w:rFonts w:ascii="Palatino Linotype" w:eastAsia="Calibri" w:hAnsi="Palatino Linotype" w:cs="Tahoma"/>
          <w:bCs/>
          <w:iCs/>
          <w:color w:val="000000" w:themeColor="text1"/>
          <w:lang w:val="es-ES"/>
        </w:rPr>
      </w:pPr>
      <w:r w:rsidRPr="007E4696">
        <w:rPr>
          <w:rFonts w:ascii="Palatino Linotype" w:eastAsia="Calibri" w:hAnsi="Palatino Linotype" w:cs="Tahoma"/>
          <w:bCs/>
          <w:color w:val="000000" w:themeColor="text1"/>
          <w:lang w:val="es-ES" w:eastAsia="en-US"/>
        </w:rPr>
        <w:t>En este mismo orden de ideas, cuando las personas tienen una relación comercial, laboral, de servicios, trámites o del tipo que sea, necesariamente por un tema de interés público, debe cederse un poco de privacidad, de tal forma que las personas en general puedan verificar el debido desempeño de los servidores públicos, la aplicación de la ley y el ejercicio de recursos públicos, en donde únicamente se privilegie la publicidad de los datos esenciales para la transparencia y rendición de cuentas, sin afectar la vida privada de las personas.</w:t>
      </w:r>
    </w:p>
    <w:p w:rsidR="00AF00DD" w:rsidRPr="007E4696" w:rsidRDefault="00AF00DD" w:rsidP="009957ED">
      <w:pPr>
        <w:shd w:val="clear" w:color="auto" w:fill="FFFFFF" w:themeFill="background1"/>
        <w:spacing w:line="360" w:lineRule="auto"/>
        <w:jc w:val="both"/>
        <w:rPr>
          <w:rFonts w:ascii="Palatino Linotype" w:eastAsia="Calibri" w:hAnsi="Palatino Linotype" w:cs="Tahoma"/>
          <w:bCs/>
          <w:iCs/>
          <w:color w:val="000000" w:themeColor="text1"/>
          <w:lang w:val="es-ES"/>
        </w:rPr>
      </w:pPr>
    </w:p>
    <w:p w:rsidR="00AF00DD" w:rsidRPr="007E4696" w:rsidRDefault="00AF00DD" w:rsidP="009957ED">
      <w:pPr>
        <w:numPr>
          <w:ilvl w:val="0"/>
          <w:numId w:val="2"/>
        </w:numPr>
        <w:spacing w:line="360" w:lineRule="auto"/>
        <w:ind w:left="0" w:firstLine="0"/>
        <w:jc w:val="both"/>
        <w:rPr>
          <w:rFonts w:ascii="Palatino Linotype" w:eastAsia="Calibri" w:hAnsi="Palatino Linotype" w:cs="Tahoma"/>
          <w:bCs/>
          <w:iCs/>
          <w:color w:val="000000" w:themeColor="text1"/>
          <w:lang w:val="es-ES"/>
        </w:rPr>
      </w:pPr>
      <w:r w:rsidRPr="007E4696">
        <w:rPr>
          <w:rFonts w:ascii="Palatino Linotype" w:eastAsia="Calibri" w:hAnsi="Palatino Linotype" w:cs="Tahoma"/>
          <w:bCs/>
          <w:iCs/>
          <w:color w:val="000000" w:themeColor="text1"/>
          <w:lang w:val="es-ES"/>
        </w:rPr>
        <w:t>De tal suerte que</w:t>
      </w:r>
      <w:r w:rsidRPr="007E4696">
        <w:rPr>
          <w:rFonts w:ascii="Palatino Linotype" w:eastAsia="Calibri" w:hAnsi="Palatino Linotype" w:cs="Tahoma"/>
          <w:b/>
          <w:bCs/>
          <w:iCs/>
          <w:color w:val="000000" w:themeColor="text1"/>
          <w:lang w:val="es-ES"/>
        </w:rPr>
        <w:t xml:space="preserve">, tratándose de proveedores (personas físicas o jurídico colectivas), el domicilio fiscal, número telefónico y correo electrónico no son datos </w:t>
      </w:r>
      <w:r w:rsidRPr="007E4696">
        <w:rPr>
          <w:rFonts w:ascii="Palatino Linotype" w:eastAsia="Calibri" w:hAnsi="Palatino Linotype" w:cs="Tahoma"/>
          <w:b/>
          <w:bCs/>
          <w:iCs/>
          <w:color w:val="000000" w:themeColor="text1"/>
          <w:lang w:val="es-ES"/>
        </w:rPr>
        <w:lastRenderedPageBreak/>
        <w:t>susceptibles de clasificarse como confidenciales</w:t>
      </w:r>
      <w:r w:rsidRPr="007E4696">
        <w:rPr>
          <w:rFonts w:ascii="Palatino Linotype" w:eastAsia="Calibri" w:hAnsi="Palatino Linotype" w:cs="Tahoma"/>
          <w:bCs/>
          <w:iCs/>
          <w:color w:val="000000" w:themeColor="text1"/>
          <w:lang w:val="es-ES"/>
        </w:rPr>
        <w:t>, es decir, no se actualiza lo establecido en el artículo 143, fracción I de la Ley de Transparencia y Acceso a la Información Pública del Estado de México y Municipios.</w:t>
      </w:r>
    </w:p>
    <w:p w:rsidR="00AF00DD" w:rsidRPr="007E4696" w:rsidRDefault="00AF00DD" w:rsidP="009957ED">
      <w:pPr>
        <w:spacing w:line="360" w:lineRule="auto"/>
        <w:jc w:val="both"/>
        <w:rPr>
          <w:rFonts w:ascii="Palatino Linotype" w:eastAsia="Calibri" w:hAnsi="Palatino Linotype" w:cs="Tahoma"/>
          <w:bCs/>
          <w:iCs/>
          <w:color w:val="000000" w:themeColor="text1"/>
          <w:lang w:val="es-ES"/>
        </w:rPr>
      </w:pPr>
    </w:p>
    <w:p w:rsidR="00AF00DD" w:rsidRPr="007E4696" w:rsidRDefault="00AF00DD" w:rsidP="009957ED">
      <w:pPr>
        <w:numPr>
          <w:ilvl w:val="0"/>
          <w:numId w:val="2"/>
        </w:numPr>
        <w:spacing w:line="360" w:lineRule="auto"/>
        <w:ind w:left="0" w:firstLine="0"/>
        <w:jc w:val="both"/>
        <w:rPr>
          <w:rFonts w:ascii="Palatino Linotype" w:eastAsia="Calibri" w:hAnsi="Palatino Linotype" w:cs="Tahoma"/>
          <w:bCs/>
          <w:iCs/>
          <w:color w:val="000000" w:themeColor="text1"/>
          <w:lang w:val="es-ES"/>
        </w:rPr>
      </w:pPr>
      <w:r w:rsidRPr="007E4696">
        <w:rPr>
          <w:rFonts w:ascii="Palatino Linotype" w:eastAsia="Calibri" w:hAnsi="Palatino Linotype" w:cs="Tahoma"/>
          <w:bCs/>
          <w:iCs/>
          <w:color w:val="000000" w:themeColor="text1"/>
          <w:lang w:val="es-ES"/>
        </w:rPr>
        <w:t>Por otro lado, es de precisar que</w:t>
      </w:r>
      <w:r w:rsidRPr="007E4696">
        <w:rPr>
          <w:rFonts w:ascii="Palatino Linotype" w:hAnsi="Palatino Linotype" w:cs="Arial"/>
          <w:color w:val="000000" w:themeColor="text1"/>
        </w:rPr>
        <w:t xml:space="preserve">, referente al </w:t>
      </w:r>
      <w:r w:rsidRPr="007E4696">
        <w:rPr>
          <w:rFonts w:ascii="Palatino Linotype" w:hAnsi="Palatino Linotype" w:cs="Arial"/>
          <w:b/>
          <w:color w:val="000000" w:themeColor="text1"/>
        </w:rPr>
        <w:t>QR</w:t>
      </w:r>
      <w:r w:rsidRPr="007E4696">
        <w:rPr>
          <w:rFonts w:ascii="Palatino Linotype" w:hAnsi="Palatino Linotype" w:cs="Arial"/>
          <w:color w:val="000000" w:themeColor="text1"/>
        </w:rPr>
        <w:t xml:space="preserve">, </w:t>
      </w:r>
      <w:r w:rsidRPr="007E4696">
        <w:rPr>
          <w:rFonts w:ascii="Palatino Linotype" w:hAnsi="Palatino Linotype" w:cs="Arial"/>
          <w:b/>
          <w:color w:val="000000" w:themeColor="text1"/>
        </w:rPr>
        <w:t>f</w:t>
      </w:r>
      <w:r w:rsidRPr="007E4696">
        <w:rPr>
          <w:rFonts w:ascii="Palatino Linotype" w:hAnsi="Palatino Linotype"/>
          <w:b/>
          <w:noProof/>
          <w:color w:val="000000" w:themeColor="text1"/>
        </w:rPr>
        <w:t xml:space="preserve">olio fiscal, número de serie del certificado del emisor, </w:t>
      </w:r>
      <w:r w:rsidRPr="007E4696">
        <w:rPr>
          <w:rFonts w:ascii="Palatino Linotype" w:eastAsia="Calibri" w:hAnsi="Palatino Linotype" w:cs="Arial"/>
          <w:b/>
          <w:color w:val="000000" w:themeColor="text1"/>
        </w:rPr>
        <w:t>sello digital Comprobante Fiscal Digital por Internet (CFDI)</w:t>
      </w:r>
      <w:r w:rsidRPr="007E4696">
        <w:rPr>
          <w:rFonts w:ascii="Palatino Linotype" w:hAnsi="Palatino Linotype"/>
          <w:b/>
          <w:noProof/>
          <w:color w:val="000000" w:themeColor="text1"/>
        </w:rPr>
        <w:t xml:space="preserve">, sello digital del SAT, Cadena Original del SAT, número de serie del certificado del SAT, </w:t>
      </w:r>
      <w:r w:rsidRPr="007E4696">
        <w:rPr>
          <w:rFonts w:ascii="Palatino Linotype" w:hAnsi="Palatino Linotype"/>
          <w:noProof/>
          <w:color w:val="000000" w:themeColor="text1"/>
        </w:rPr>
        <w:t xml:space="preserve">si de </w:t>
      </w:r>
      <w:r w:rsidRPr="007E4696">
        <w:rPr>
          <w:rFonts w:ascii="Palatino Linotype" w:eastAsia="Calibri" w:hAnsi="Palatino Linotype" w:cs="Tahoma"/>
          <w:bCs/>
          <w:color w:val="000000" w:themeColor="text1"/>
          <w:lang w:val="es-ES" w:eastAsia="en-US"/>
        </w:rPr>
        <w:t xml:space="preserve">la secuencia de números y letras, se advierte el Registro Federal de Contribuyentes o una Clave Única de Registro de Población, que pueda hacer </w:t>
      </w:r>
      <w:r w:rsidRPr="007E4696">
        <w:rPr>
          <w:rFonts w:ascii="Palatino Linotype" w:eastAsia="Calibri" w:hAnsi="Palatino Linotype" w:cs="Arial"/>
          <w:color w:val="000000" w:themeColor="text1"/>
        </w:rPr>
        <w:t>identificable</w:t>
      </w:r>
      <w:r w:rsidRPr="007E4696">
        <w:rPr>
          <w:rFonts w:ascii="Palatino Linotype" w:eastAsia="Calibri" w:hAnsi="Palatino Linotype" w:cs="Tahoma"/>
          <w:bCs/>
          <w:color w:val="000000" w:themeColor="text1"/>
          <w:lang w:val="es-ES" w:eastAsia="en-US"/>
        </w:rPr>
        <w:t xml:space="preserve"> al titular del dato personal, no puede tenerse como dato público y por ende es información considerada confidencial. Por el contrario, debe considerarse que 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w:t>
      </w:r>
      <w:r w:rsidR="00CC5B25" w:rsidRPr="007E4696">
        <w:rPr>
          <w:rFonts w:ascii="Palatino Linotype" w:eastAsia="Calibri" w:hAnsi="Palatino Linotype" w:cs="Tahoma"/>
          <w:bCs/>
          <w:color w:val="000000" w:themeColor="text1"/>
          <w:lang w:val="es-ES" w:eastAsia="en-US"/>
        </w:rPr>
        <w:t>a de Hacienda y Crédito Público.</w:t>
      </w:r>
    </w:p>
    <w:p w:rsidR="00FD622B" w:rsidRPr="007E4696" w:rsidRDefault="00FD622B"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9A37A1" w:rsidRPr="007E4696" w:rsidRDefault="00737648"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 De lo expuesto</w:t>
      </w:r>
      <w:r w:rsidR="002F5A77" w:rsidRPr="007E4696">
        <w:rPr>
          <w:rFonts w:ascii="Palatino Linotype" w:eastAsia="Palatino Linotype" w:hAnsi="Palatino Linotype" w:cs="Palatino Linotype"/>
          <w:color w:val="000000" w:themeColor="text1"/>
        </w:rPr>
        <w:t xml:space="preserve">, es viable </w:t>
      </w:r>
      <w:r w:rsidR="00392B5C" w:rsidRPr="007E4696">
        <w:rPr>
          <w:rFonts w:ascii="Palatino Linotype" w:eastAsia="Palatino Linotype" w:hAnsi="Palatino Linotype" w:cs="Palatino Linotype"/>
          <w:b/>
          <w:color w:val="000000" w:themeColor="text1"/>
        </w:rPr>
        <w:t>ORDENAR</w:t>
      </w:r>
      <w:r w:rsidR="00392B5C" w:rsidRPr="007E4696">
        <w:rPr>
          <w:rFonts w:ascii="Palatino Linotype" w:eastAsia="Palatino Linotype" w:hAnsi="Palatino Linotype" w:cs="Palatino Linotype"/>
          <w:color w:val="000000" w:themeColor="text1"/>
        </w:rPr>
        <w:t xml:space="preserve"> </w:t>
      </w:r>
      <w:r w:rsidR="002F5A77" w:rsidRPr="007E4696">
        <w:rPr>
          <w:rFonts w:ascii="Palatino Linotype" w:eastAsia="Palatino Linotype" w:hAnsi="Palatino Linotype" w:cs="Palatino Linotype"/>
          <w:color w:val="000000" w:themeColor="text1"/>
        </w:rPr>
        <w:t xml:space="preserve">al Sujeto Obligado que haga entrega </w:t>
      </w:r>
      <w:r w:rsidRPr="007E4696">
        <w:rPr>
          <w:rFonts w:ascii="Palatino Linotype" w:eastAsia="Palatino Linotype" w:hAnsi="Palatino Linotype" w:cs="Palatino Linotype"/>
          <w:color w:val="000000" w:themeColor="text1"/>
        </w:rPr>
        <w:t xml:space="preserve">vía Sistema de Acceso a la Información Mexiquense </w:t>
      </w:r>
      <w:r w:rsidRPr="007E4696">
        <w:rPr>
          <w:rFonts w:ascii="Palatino Linotype" w:eastAsia="Palatino Linotype" w:hAnsi="Palatino Linotype" w:cs="Palatino Linotype"/>
          <w:b/>
          <w:color w:val="000000" w:themeColor="text1"/>
        </w:rPr>
        <w:t>(SAIMEX),</w:t>
      </w:r>
      <w:r w:rsidRPr="007E4696">
        <w:rPr>
          <w:rFonts w:ascii="Palatino Linotype" w:eastAsia="Palatino Linotype" w:hAnsi="Palatino Linotype" w:cs="Palatino Linotype"/>
          <w:color w:val="000000" w:themeColor="text1"/>
        </w:rPr>
        <w:t xml:space="preserve"> de ser el caso en versión pública, los </w:t>
      </w:r>
      <w:r w:rsidRPr="007E4696">
        <w:rPr>
          <w:rFonts w:ascii="Palatino Linotype" w:eastAsia="Palatino Linotype" w:hAnsi="Palatino Linotype" w:cs="Palatino Linotype"/>
          <w:i/>
          <w:color w:val="000000" w:themeColor="text1"/>
        </w:rPr>
        <w:t>Comprobantes de todos los pagos correspondientes a las partidas presupuestales 3611 y 3612 realizados mediante cheque y/o transferencia electrónica a particulares, durante el mes de diciembre de 2024 y los Comprobantes de todos los pagos realizados mediante cheque y/o transferencia electrónica a particulares del 01 de marzo al 30 de abril de 2025.</w:t>
      </w:r>
    </w:p>
    <w:p w:rsidR="007F369E" w:rsidRPr="007E4696" w:rsidRDefault="007F369E" w:rsidP="009957ED">
      <w:pPr>
        <w:keepNext/>
        <w:keepLines/>
        <w:spacing w:after="160" w:line="360" w:lineRule="auto"/>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QUINTO. De la versión pública.</w:t>
      </w:r>
    </w:p>
    <w:p w:rsidR="007F369E" w:rsidRPr="007E4696" w:rsidRDefault="007F369E" w:rsidP="009957ED">
      <w:pPr>
        <w:keepNext/>
        <w:keepLines/>
        <w:numPr>
          <w:ilvl w:val="0"/>
          <w:numId w:val="3"/>
        </w:numPr>
        <w:tabs>
          <w:tab w:val="left" w:pos="284"/>
        </w:tabs>
        <w:spacing w:after="160" w:line="360" w:lineRule="auto"/>
        <w:ind w:left="0"/>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 xml:space="preserve">Nociones generales. </w:t>
      </w:r>
    </w:p>
    <w:p w:rsidR="007F369E" w:rsidRPr="007E4696" w:rsidRDefault="007F369E"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Debe destacarse que, </w:t>
      </w:r>
      <w:r w:rsidR="00E132CA" w:rsidRPr="007E4696">
        <w:rPr>
          <w:rFonts w:ascii="Palatino Linotype" w:eastAsia="Palatino Linotype" w:hAnsi="Palatino Linotype" w:cs="Palatino Linotype"/>
          <w:color w:val="000000" w:themeColor="text1"/>
        </w:rPr>
        <w:t xml:space="preserve">si </w:t>
      </w:r>
      <w:r w:rsidRPr="007E4696">
        <w:rPr>
          <w:rFonts w:ascii="Palatino Linotype" w:eastAsia="Palatino Linotype" w:hAnsi="Palatino Linotype" w:cs="Palatino Linotype"/>
          <w:color w:val="000000" w:themeColor="text1"/>
        </w:rPr>
        <w:t>debido a la naturaleza de la información solicitada</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eventualmente pudieran obrar datos personales susceptibles de protegerse, el </w:t>
      </w:r>
      <w:r w:rsidRPr="007E4696">
        <w:rPr>
          <w:rFonts w:ascii="Palatino Linotype" w:eastAsia="Palatino Linotype" w:hAnsi="Palatino Linotype" w:cs="Palatino Linotype"/>
          <w:b/>
          <w:color w:val="000000" w:themeColor="text1"/>
        </w:rPr>
        <w:t xml:space="preserve">SUJETO OBLIGADO </w:t>
      </w:r>
      <w:r w:rsidRPr="007E4696">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F369E" w:rsidRPr="007E4696" w:rsidRDefault="007F369E" w:rsidP="009957ED">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7F369E" w:rsidRPr="007E4696" w:rsidRDefault="007F369E"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No pasa desapercibido para este Órgano Garante que los Sujetos Obligados</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F369E" w:rsidRPr="007E4696" w:rsidRDefault="007F369E" w:rsidP="009957ED">
      <w:pPr>
        <w:tabs>
          <w:tab w:val="left" w:pos="284"/>
        </w:tabs>
        <w:spacing w:after="160" w:line="360" w:lineRule="auto"/>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9957ED" w:rsidRPr="007E4696" w:rsidTr="00FB6A73">
        <w:tc>
          <w:tcPr>
            <w:tcW w:w="2689" w:type="dxa"/>
          </w:tcPr>
          <w:p w:rsidR="007F369E" w:rsidRPr="007E4696" w:rsidRDefault="007F369E" w:rsidP="009957ED">
            <w:pPr>
              <w:tabs>
                <w:tab w:val="left" w:pos="284"/>
              </w:tabs>
              <w:spacing w:line="360" w:lineRule="auto"/>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a) Requisitos previos.</w:t>
            </w:r>
          </w:p>
        </w:tc>
        <w:tc>
          <w:tcPr>
            <w:tcW w:w="6520" w:type="dxa"/>
          </w:tcPr>
          <w:p w:rsidR="007F369E" w:rsidRPr="007E4696" w:rsidRDefault="007F369E" w:rsidP="009957ED">
            <w:pPr>
              <w:tabs>
                <w:tab w:val="left" w:pos="284"/>
              </w:tabs>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F369E" w:rsidRPr="007E4696" w:rsidRDefault="007F369E" w:rsidP="009957ED">
            <w:pPr>
              <w:tabs>
                <w:tab w:val="left" w:pos="284"/>
              </w:tabs>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Al hacerlo tienen que precisar de qué información se trata, señalando el supuesto de clasificación (confidencialidad o reserva).</w:t>
            </w:r>
          </w:p>
          <w:p w:rsidR="007F369E" w:rsidRPr="007E4696" w:rsidRDefault="007F369E" w:rsidP="009957ED">
            <w:pPr>
              <w:tabs>
                <w:tab w:val="left" w:pos="284"/>
              </w:tabs>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7F369E" w:rsidRPr="007E4696" w:rsidRDefault="007F369E" w:rsidP="009957ED">
            <w:pPr>
              <w:tabs>
                <w:tab w:val="left" w:pos="284"/>
              </w:tabs>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E4696">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7E4696">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9957ED" w:rsidRPr="007E4696" w:rsidTr="00FB6A73">
        <w:tc>
          <w:tcPr>
            <w:tcW w:w="2689" w:type="dxa"/>
          </w:tcPr>
          <w:p w:rsidR="007F369E" w:rsidRPr="007E4696" w:rsidRDefault="007F369E" w:rsidP="009957ED">
            <w:pPr>
              <w:tabs>
                <w:tab w:val="left" w:pos="284"/>
              </w:tabs>
              <w:spacing w:line="360" w:lineRule="auto"/>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b) Supuestos de clasificación.</w:t>
            </w:r>
          </w:p>
        </w:tc>
        <w:tc>
          <w:tcPr>
            <w:tcW w:w="6520" w:type="dxa"/>
          </w:tcPr>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w:t>
            </w:r>
            <w:r w:rsidRPr="007E4696">
              <w:rPr>
                <w:rFonts w:ascii="Palatino Linotype" w:eastAsia="Palatino Linotype" w:hAnsi="Palatino Linotype" w:cs="Palatino Linotype"/>
                <w:color w:val="000000" w:themeColor="text1"/>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El </w:t>
            </w:r>
            <w:r w:rsidRPr="007E4696">
              <w:rPr>
                <w:rFonts w:ascii="Palatino Linotype" w:eastAsia="Palatino Linotype" w:hAnsi="Palatino Linotype" w:cs="Palatino Linotype"/>
                <w:b/>
                <w:color w:val="000000" w:themeColor="text1"/>
              </w:rPr>
              <w:t>Sujeto Obligado</w:t>
            </w:r>
            <w:r w:rsidRPr="007E4696">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957ED" w:rsidRPr="007E4696" w:rsidTr="00FB6A73">
        <w:tc>
          <w:tcPr>
            <w:tcW w:w="2689" w:type="dxa"/>
          </w:tcPr>
          <w:p w:rsidR="007F369E" w:rsidRPr="007E4696" w:rsidRDefault="007F369E" w:rsidP="009957ED">
            <w:pPr>
              <w:tabs>
                <w:tab w:val="left" w:pos="284"/>
              </w:tabs>
              <w:spacing w:line="360" w:lineRule="auto"/>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Es necesario que </w:t>
            </w:r>
            <w:r w:rsidRPr="007E4696">
              <w:rPr>
                <w:rFonts w:ascii="Palatino Linotype" w:eastAsia="Palatino Linotype" w:hAnsi="Palatino Linotype" w:cs="Palatino Linotype"/>
                <w:b/>
                <w:color w:val="000000" w:themeColor="text1"/>
                <w:u w:val="single"/>
              </w:rPr>
              <w:t>el acto reúna con los requisitos elementales</w:t>
            </w:r>
            <w:r w:rsidRPr="007E4696">
              <w:rPr>
                <w:rFonts w:ascii="Palatino Linotype" w:eastAsia="Palatino Linotype" w:hAnsi="Palatino Linotype" w:cs="Palatino Linotype"/>
                <w:color w:val="000000" w:themeColor="text1"/>
              </w:rPr>
              <w:t>, entre ellos, que la autoridad que va a emitir el acto de autoridad sea la legalmente facultada para ello.</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7E4696">
              <w:rPr>
                <w:rFonts w:ascii="Palatino Linotype" w:eastAsia="Palatino Linotype" w:hAnsi="Palatino Linotype" w:cs="Palatino Linotype"/>
                <w:color w:val="000000" w:themeColor="text1"/>
              </w:rPr>
              <w:lastRenderedPageBreak/>
              <w:t>a partir de las decisiones adoptadas previamente por los titulares de áreas y que son sujetas a control, en primera instancia, por el Comité de Transparencia.</w:t>
            </w:r>
          </w:p>
        </w:tc>
      </w:tr>
      <w:tr w:rsidR="009957ED" w:rsidRPr="007E4696" w:rsidTr="00FB6A73">
        <w:tc>
          <w:tcPr>
            <w:tcW w:w="2689" w:type="dxa"/>
          </w:tcPr>
          <w:p w:rsidR="007F369E" w:rsidRPr="007E4696" w:rsidRDefault="007F369E" w:rsidP="009957ED">
            <w:pPr>
              <w:tabs>
                <w:tab w:val="left" w:pos="284"/>
              </w:tabs>
              <w:spacing w:line="360" w:lineRule="auto"/>
              <w:rPr>
                <w:rFonts w:ascii="Palatino Linotype" w:eastAsia="Palatino Linotype" w:hAnsi="Palatino Linotype" w:cs="Palatino Linotype"/>
                <w:b/>
                <w:color w:val="000000" w:themeColor="text1"/>
              </w:rPr>
            </w:pPr>
          </w:p>
          <w:p w:rsidR="007F369E" w:rsidRPr="007E4696" w:rsidRDefault="007F369E" w:rsidP="009957ED">
            <w:pPr>
              <w:tabs>
                <w:tab w:val="left" w:pos="284"/>
              </w:tabs>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 xml:space="preserve">d) Requisitos de fondo del acuerdo de clasificación. </w:t>
            </w:r>
          </w:p>
        </w:tc>
        <w:tc>
          <w:tcPr>
            <w:tcW w:w="6520" w:type="dxa"/>
          </w:tcPr>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E4696">
              <w:rPr>
                <w:rFonts w:ascii="Palatino Linotype" w:eastAsia="Palatino Linotype" w:hAnsi="Palatino Linotype" w:cs="Palatino Linotype"/>
                <w:b/>
                <w:color w:val="000000" w:themeColor="text1"/>
              </w:rPr>
              <w:t>Sujetos Obligados</w:t>
            </w:r>
            <w:r w:rsidRPr="007E4696">
              <w:rPr>
                <w:rFonts w:ascii="Palatino Linotype" w:eastAsia="Palatino Linotype" w:hAnsi="Palatino Linotype" w:cs="Palatino Linotype"/>
                <w:color w:val="000000" w:themeColor="text1"/>
              </w:rPr>
              <w:t xml:space="preserve">, por lo que deberán fundar y motivar debidamente la clasificación. </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De lo anterior, se desprende que para una correcta </w:t>
            </w:r>
            <w:r w:rsidRPr="007E4696">
              <w:rPr>
                <w:rFonts w:ascii="Palatino Linotype" w:eastAsia="Palatino Linotype" w:hAnsi="Palatino Linotype" w:cs="Palatino Linotype"/>
                <w:b/>
                <w:color w:val="000000" w:themeColor="text1"/>
              </w:rPr>
              <w:t>clasificación total o parcial</w:t>
            </w:r>
            <w:r w:rsidRPr="007E4696">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7E4696">
              <w:rPr>
                <w:rFonts w:ascii="Palatino Linotype" w:eastAsia="Palatino Linotype" w:hAnsi="Palatino Linotype" w:cs="Palatino Linotype"/>
                <w:color w:val="000000" w:themeColor="text1"/>
              </w:rPr>
              <w:lastRenderedPageBreak/>
              <w:t>derecho. De este modo, la persona que se sienta afectada pueda impugnar la decisión, permitiéndole una real y auténtica defensa.</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Ahora bien, </w:t>
            </w:r>
            <w:r w:rsidRPr="007E4696">
              <w:rPr>
                <w:rFonts w:ascii="Palatino Linotype" w:eastAsia="Palatino Linotype" w:hAnsi="Palatino Linotype" w:cs="Palatino Linotype"/>
                <w:b/>
                <w:color w:val="000000" w:themeColor="text1"/>
                <w:u w:val="single"/>
              </w:rPr>
              <w:t>para cada caso además de fundar y motivar</w:t>
            </w:r>
            <w:r w:rsidRPr="007E4696">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F369E" w:rsidRPr="007E4696" w:rsidTr="00FB6A73">
        <w:tc>
          <w:tcPr>
            <w:tcW w:w="2689" w:type="dxa"/>
          </w:tcPr>
          <w:p w:rsidR="007F369E" w:rsidRPr="007E4696" w:rsidRDefault="007F369E" w:rsidP="009957ED">
            <w:pPr>
              <w:tabs>
                <w:tab w:val="left" w:pos="284"/>
              </w:tabs>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w:t>
            </w:r>
            <w:r w:rsidRPr="007E4696">
              <w:rPr>
                <w:rFonts w:ascii="Palatino Linotype" w:eastAsia="Palatino Linotype" w:hAnsi="Palatino Linotype" w:cs="Palatino Linotype"/>
                <w:color w:val="000000" w:themeColor="text1"/>
              </w:rPr>
              <w:lastRenderedPageBreak/>
              <w:t xml:space="preserve">la Suprema Corte de Justicia de la Nación, los servidores públicos nos encontramos sujetos a un régimen menor de protección. </w:t>
            </w:r>
          </w:p>
          <w:p w:rsidR="007F369E" w:rsidRPr="007E4696" w:rsidRDefault="007F369E" w:rsidP="009957ED">
            <w:pPr>
              <w:tabs>
                <w:tab w:val="left" w:pos="284"/>
              </w:tabs>
              <w:spacing w:line="360" w:lineRule="auto"/>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F369E" w:rsidRPr="007E4696" w:rsidRDefault="007F369E" w:rsidP="009957E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F369E" w:rsidRPr="007E4696" w:rsidRDefault="007F369E"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En ese sentido, el </w:t>
      </w:r>
      <w:r w:rsidRPr="007E4696">
        <w:rPr>
          <w:rFonts w:ascii="Palatino Linotype" w:eastAsia="Palatino Linotype" w:hAnsi="Palatino Linotype" w:cs="Palatino Linotype"/>
          <w:b/>
          <w:color w:val="000000" w:themeColor="text1"/>
        </w:rPr>
        <w:t>SUJETO OBLIGADO</w:t>
      </w:r>
      <w:r w:rsidRPr="007E4696">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w:t>
      </w:r>
      <w:r w:rsidRPr="007E4696">
        <w:rPr>
          <w:rFonts w:ascii="Palatino Linotype" w:hAnsi="Palatino Linotype"/>
          <w:color w:val="000000" w:themeColor="text1"/>
        </w:rPr>
        <w:t>documental</w:t>
      </w:r>
      <w:r w:rsidRPr="007E4696">
        <w:rPr>
          <w:rFonts w:ascii="Palatino Linotype" w:eastAsia="Palatino Linotype" w:hAnsi="Palatino Linotype" w:cs="Palatino Linotype"/>
          <w:color w:val="000000" w:themeColor="text1"/>
        </w:rPr>
        <w:t>,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F369E" w:rsidRPr="007E4696" w:rsidRDefault="007F369E" w:rsidP="009957ED">
      <w:pPr>
        <w:tabs>
          <w:tab w:val="left" w:pos="284"/>
        </w:tabs>
        <w:spacing w:line="360" w:lineRule="auto"/>
        <w:jc w:val="both"/>
        <w:rPr>
          <w:rFonts w:ascii="Palatino Linotype" w:eastAsia="Palatino Linotype" w:hAnsi="Palatino Linotype" w:cs="Palatino Linotype"/>
          <w:color w:val="000000" w:themeColor="text1"/>
        </w:rPr>
      </w:pPr>
    </w:p>
    <w:p w:rsidR="007F369E" w:rsidRPr="007E4696" w:rsidRDefault="007F369E"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Derivado de lo establecido en párrafos anteriores, si el </w:t>
      </w:r>
      <w:r w:rsidRPr="007E4696">
        <w:rPr>
          <w:rFonts w:ascii="Palatino Linotype" w:eastAsia="Palatino Linotype" w:hAnsi="Palatino Linotype" w:cs="Palatino Linotype"/>
          <w:b/>
          <w:color w:val="000000" w:themeColor="text1"/>
        </w:rPr>
        <w:t>SUJETO OBLIGADO</w:t>
      </w:r>
      <w:r w:rsidRPr="007E4696">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w:t>
      </w:r>
      <w:r w:rsidRPr="007E4696">
        <w:rPr>
          <w:rFonts w:ascii="Palatino Linotype" w:eastAsia="Palatino Linotype" w:hAnsi="Palatino Linotype" w:cs="Palatino Linotype"/>
          <w:color w:val="000000" w:themeColor="text1"/>
        </w:rPr>
        <w:lastRenderedPageBreak/>
        <w:t>las disposiciones legales establecidas, asimismo que si entrega un documento testado sin el debido acuerdo de clasificación.</w:t>
      </w:r>
    </w:p>
    <w:p w:rsidR="00D06A2C" w:rsidRPr="007E4696" w:rsidRDefault="00D06A2C" w:rsidP="009957ED">
      <w:pPr>
        <w:rPr>
          <w:rFonts w:ascii="Palatino Linotype" w:eastAsia="Palatino Linotype" w:hAnsi="Palatino Linotype" w:cs="Palatino Linotype"/>
          <w:color w:val="000000" w:themeColor="text1"/>
        </w:rPr>
      </w:pPr>
    </w:p>
    <w:p w:rsidR="00662FD3" w:rsidRPr="007E4696" w:rsidRDefault="00662FD3" w:rsidP="009957E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 xml:space="preserve">Con fundamento en lo prescrito en los artículos </w:t>
      </w:r>
      <w:r w:rsidR="00900402" w:rsidRPr="007E4696">
        <w:rPr>
          <w:rFonts w:ascii="Palatino Linotype" w:eastAsia="Palatino Linotype" w:hAnsi="Palatino Linotype" w:cs="Palatino Linotype"/>
          <w:color w:val="000000" w:themeColor="text1"/>
        </w:rPr>
        <w:t xml:space="preserve">5°, </w:t>
      </w:r>
      <w:r w:rsidR="00900402" w:rsidRPr="007E4696">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7E4696">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p>
    <w:p w:rsidR="00662FD3" w:rsidRPr="007E4696" w:rsidRDefault="00662FD3" w:rsidP="009957ED">
      <w:pPr>
        <w:rPr>
          <w:rFonts w:ascii="Palatino Linotype" w:eastAsia="Palatino Linotype" w:hAnsi="Palatino Linotype" w:cs="Palatino Linotype"/>
          <w:color w:val="000000" w:themeColor="text1"/>
        </w:rPr>
      </w:pPr>
    </w:p>
    <w:p w:rsidR="00662FD3" w:rsidRPr="007E4696" w:rsidRDefault="00662FD3" w:rsidP="009957ED">
      <w:pPr>
        <w:spacing w:line="360" w:lineRule="auto"/>
        <w:jc w:val="center"/>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R E S U E L V E</w:t>
      </w:r>
    </w:p>
    <w:p w:rsidR="00662FD3" w:rsidRPr="007E4696" w:rsidRDefault="00662FD3" w:rsidP="009957ED">
      <w:pPr>
        <w:spacing w:line="360" w:lineRule="auto"/>
        <w:jc w:val="center"/>
        <w:rPr>
          <w:rFonts w:ascii="Palatino Linotype" w:eastAsia="Palatino Linotype" w:hAnsi="Palatino Linotype" w:cs="Palatino Linotype"/>
          <w:b/>
          <w:color w:val="000000" w:themeColor="text1"/>
        </w:rPr>
      </w:pPr>
    </w:p>
    <w:p w:rsidR="009D5127" w:rsidRPr="007E4696" w:rsidRDefault="009D5127" w:rsidP="009957ED">
      <w:pPr>
        <w:spacing w:line="360" w:lineRule="auto"/>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PRIMERO</w:t>
      </w:r>
      <w:r w:rsidRPr="007E4696">
        <w:rPr>
          <w:rFonts w:ascii="Palatino Linotype" w:eastAsia="Palatino Linotype" w:hAnsi="Palatino Linotype" w:cs="Palatino Linotype"/>
          <w:color w:val="000000" w:themeColor="text1"/>
        </w:rPr>
        <w:t xml:space="preserve">. Resultan </w:t>
      </w:r>
      <w:r w:rsidR="00E5576A" w:rsidRPr="007E4696">
        <w:rPr>
          <w:rFonts w:ascii="Palatino Linotype" w:eastAsia="Palatino Linotype" w:hAnsi="Palatino Linotype" w:cs="Palatino Linotype"/>
          <w:b/>
          <w:color w:val="000000" w:themeColor="text1"/>
        </w:rPr>
        <w:t>FUNDADAS</w:t>
      </w:r>
      <w:r w:rsidRPr="007E4696">
        <w:rPr>
          <w:rFonts w:ascii="Palatino Linotype" w:eastAsia="Palatino Linotype" w:hAnsi="Palatino Linotype" w:cs="Palatino Linotype"/>
          <w:color w:val="000000" w:themeColor="text1"/>
        </w:rPr>
        <w:t xml:space="preserve"> las razones o motivos de inconformidad hechos valer en </w:t>
      </w:r>
      <w:r w:rsidR="00870D8C" w:rsidRPr="007E4696">
        <w:rPr>
          <w:rFonts w:ascii="Palatino Linotype" w:eastAsia="Palatino Linotype" w:hAnsi="Palatino Linotype" w:cs="Palatino Linotype"/>
          <w:color w:val="000000" w:themeColor="text1"/>
        </w:rPr>
        <w:t>los</w:t>
      </w:r>
      <w:r w:rsidRPr="007E4696">
        <w:rPr>
          <w:rFonts w:ascii="Palatino Linotype" w:eastAsia="Palatino Linotype" w:hAnsi="Palatino Linotype" w:cs="Palatino Linotype"/>
          <w:color w:val="000000" w:themeColor="text1"/>
        </w:rPr>
        <w:t xml:space="preserve"> recurso</w:t>
      </w:r>
      <w:r w:rsidR="00870D8C" w:rsidRPr="007E4696">
        <w:rPr>
          <w:rFonts w:ascii="Palatino Linotype" w:eastAsia="Palatino Linotype" w:hAnsi="Palatino Linotype" w:cs="Palatino Linotype"/>
          <w:color w:val="000000" w:themeColor="text1"/>
        </w:rPr>
        <w:t>s</w:t>
      </w:r>
      <w:r w:rsidRPr="007E4696">
        <w:rPr>
          <w:rFonts w:ascii="Palatino Linotype" w:eastAsia="Palatino Linotype" w:hAnsi="Palatino Linotype" w:cs="Palatino Linotype"/>
          <w:color w:val="000000" w:themeColor="text1"/>
        </w:rPr>
        <w:t xml:space="preserve"> de revisión </w:t>
      </w:r>
      <w:r w:rsidR="00907E4E" w:rsidRPr="007E4696">
        <w:rPr>
          <w:rFonts w:ascii="Palatino Linotype" w:eastAsia="Palatino Linotype" w:hAnsi="Palatino Linotype" w:cs="Palatino Linotype"/>
          <w:b/>
          <w:color w:val="000000" w:themeColor="text1"/>
        </w:rPr>
        <w:t>06178/INFOEM/IP/RR/2025, 06185/INFOEM/IP/RR/2025 y 06282/INFOEM/IP/RR/2025</w:t>
      </w:r>
      <w:r w:rsidRPr="007E4696">
        <w:rPr>
          <w:rFonts w:ascii="Palatino Linotype" w:eastAsia="Palatino Linotype" w:hAnsi="Palatino Linotype" w:cs="Palatino Linotype"/>
          <w:color w:val="000000" w:themeColor="text1"/>
        </w:rPr>
        <w:t>,</w:t>
      </w:r>
      <w:r w:rsidRPr="007E4696">
        <w:rPr>
          <w:rFonts w:ascii="Palatino Linotype" w:eastAsia="Palatino Linotype" w:hAnsi="Palatino Linotype" w:cs="Palatino Linotype"/>
          <w:b/>
          <w:color w:val="000000" w:themeColor="text1"/>
        </w:rPr>
        <w:t xml:space="preserve"> </w:t>
      </w:r>
      <w:r w:rsidR="007930D3" w:rsidRPr="007E4696">
        <w:rPr>
          <w:rFonts w:ascii="Palatino Linotype" w:eastAsia="Palatino Linotype" w:hAnsi="Palatino Linotype" w:cs="Palatino Linotype"/>
          <w:color w:val="000000" w:themeColor="text1"/>
        </w:rPr>
        <w:t xml:space="preserve">en términos de los </w:t>
      </w:r>
      <w:r w:rsidR="007930D3" w:rsidRPr="007E4696">
        <w:rPr>
          <w:rFonts w:ascii="Palatino Linotype" w:eastAsia="Palatino Linotype" w:hAnsi="Palatino Linotype" w:cs="Palatino Linotype"/>
          <w:b/>
          <w:color w:val="000000" w:themeColor="text1"/>
        </w:rPr>
        <w:t xml:space="preserve">Considerandos CUARTO Y QUINTO </w:t>
      </w:r>
      <w:r w:rsidR="007930D3" w:rsidRPr="007E4696">
        <w:rPr>
          <w:rFonts w:ascii="Palatino Linotype" w:eastAsia="Palatino Linotype" w:hAnsi="Palatino Linotype" w:cs="Palatino Linotype"/>
          <w:color w:val="000000" w:themeColor="text1"/>
        </w:rPr>
        <w:t>de la presente resolución</w:t>
      </w:r>
      <w:r w:rsidRPr="007E4696">
        <w:rPr>
          <w:rFonts w:ascii="Palatino Linotype" w:eastAsia="Palatino Linotype" w:hAnsi="Palatino Linotype" w:cs="Palatino Linotype"/>
          <w:b/>
          <w:color w:val="000000" w:themeColor="text1"/>
        </w:rPr>
        <w:t>.</w:t>
      </w:r>
    </w:p>
    <w:p w:rsidR="009D5127" w:rsidRPr="007E4696" w:rsidRDefault="009D5127" w:rsidP="009957ED">
      <w:pPr>
        <w:spacing w:line="360" w:lineRule="auto"/>
        <w:jc w:val="both"/>
        <w:rPr>
          <w:rFonts w:ascii="Palatino Linotype" w:eastAsia="Palatino Linotype" w:hAnsi="Palatino Linotype" w:cs="Palatino Linotype"/>
          <w:b/>
          <w:color w:val="000000" w:themeColor="text1"/>
        </w:rPr>
      </w:pPr>
    </w:p>
    <w:p w:rsidR="009D5127" w:rsidRPr="007E4696" w:rsidRDefault="007930D3" w:rsidP="009957ED">
      <w:pPr>
        <w:spacing w:line="360" w:lineRule="auto"/>
        <w:jc w:val="both"/>
        <w:rPr>
          <w:rFonts w:ascii="Palatino Linotype" w:eastAsia="Palatino Linotype" w:hAnsi="Palatino Linotype" w:cs="Palatino Linotype"/>
          <w:color w:val="000000" w:themeColor="text1"/>
        </w:rPr>
      </w:pPr>
      <w:bookmarkStart w:id="9" w:name="_heading=h.1ksv4uv" w:colFirst="0" w:colLast="0"/>
      <w:bookmarkEnd w:id="9"/>
      <w:r w:rsidRPr="007E4696">
        <w:rPr>
          <w:rFonts w:ascii="Palatino Linotype" w:eastAsia="Palatino Linotype" w:hAnsi="Palatino Linotype" w:cs="Palatino Linotype"/>
          <w:b/>
          <w:color w:val="000000" w:themeColor="text1"/>
        </w:rPr>
        <w:t>SEGUNDO.</w:t>
      </w:r>
      <w:r w:rsidRPr="007E4696">
        <w:rPr>
          <w:rFonts w:ascii="Palatino Linotype" w:eastAsia="Palatino Linotype" w:hAnsi="Palatino Linotype" w:cs="Palatino Linotype"/>
          <w:color w:val="000000" w:themeColor="text1"/>
        </w:rPr>
        <w:t xml:space="preserve"> Se </w:t>
      </w:r>
      <w:r w:rsidR="00907E4E" w:rsidRPr="007E4696">
        <w:rPr>
          <w:rFonts w:ascii="Palatino Linotype" w:eastAsia="Palatino Linotype" w:hAnsi="Palatino Linotype" w:cs="Palatino Linotype"/>
          <w:b/>
          <w:color w:val="000000" w:themeColor="text1"/>
        </w:rPr>
        <w:t>REVOCAN</w:t>
      </w:r>
      <w:r w:rsidRPr="007E4696">
        <w:rPr>
          <w:rFonts w:ascii="Palatino Linotype" w:eastAsia="Palatino Linotype" w:hAnsi="Palatino Linotype" w:cs="Palatino Linotype"/>
          <w:b/>
          <w:color w:val="000000" w:themeColor="text1"/>
        </w:rPr>
        <w:t xml:space="preserve"> </w:t>
      </w:r>
      <w:r w:rsidRPr="007E4696">
        <w:rPr>
          <w:rFonts w:ascii="Palatino Linotype" w:eastAsia="Palatino Linotype" w:hAnsi="Palatino Linotype" w:cs="Palatino Linotype"/>
          <w:color w:val="000000" w:themeColor="text1"/>
        </w:rPr>
        <w:t xml:space="preserve">las respuestas emitidas por el </w:t>
      </w:r>
      <w:r w:rsidR="00984ABF" w:rsidRPr="007E4696">
        <w:rPr>
          <w:rFonts w:ascii="Palatino Linotype" w:eastAsia="Palatino Linotype" w:hAnsi="Palatino Linotype" w:cs="Palatino Linotype"/>
          <w:b/>
          <w:bCs/>
          <w:color w:val="000000" w:themeColor="text1"/>
        </w:rPr>
        <w:t xml:space="preserve">Poder Legislativo </w:t>
      </w:r>
      <w:r w:rsidRPr="007E4696">
        <w:rPr>
          <w:rFonts w:ascii="Palatino Linotype" w:eastAsia="Palatino Linotype" w:hAnsi="Palatino Linotype" w:cs="Palatino Linotype"/>
          <w:color w:val="000000" w:themeColor="text1"/>
        </w:rPr>
        <w:t xml:space="preserve">y se </w:t>
      </w:r>
      <w:r w:rsidRPr="007E4696">
        <w:rPr>
          <w:rFonts w:ascii="Palatino Linotype" w:eastAsia="Palatino Linotype" w:hAnsi="Palatino Linotype" w:cs="Palatino Linotype"/>
          <w:b/>
          <w:color w:val="000000" w:themeColor="text1"/>
        </w:rPr>
        <w:t>ORDENA</w:t>
      </w:r>
      <w:r w:rsidRPr="007E4696">
        <w:rPr>
          <w:rFonts w:ascii="Palatino Linotype" w:eastAsia="Palatino Linotype" w:hAnsi="Palatino Linotype" w:cs="Palatino Linotype"/>
          <w:color w:val="000000" w:themeColor="text1"/>
        </w:rPr>
        <w:t xml:space="preserve"> entregar, vía Sistema de Acceso a la Información Mexiquense </w:t>
      </w:r>
      <w:r w:rsidRPr="007E4696">
        <w:rPr>
          <w:rFonts w:ascii="Palatino Linotype" w:eastAsia="Palatino Linotype" w:hAnsi="Palatino Linotype" w:cs="Palatino Linotype"/>
          <w:b/>
          <w:color w:val="000000" w:themeColor="text1"/>
        </w:rPr>
        <w:t>(SAIMEX),</w:t>
      </w:r>
      <w:r w:rsidRPr="007E4696">
        <w:rPr>
          <w:rFonts w:ascii="Palatino Linotype" w:eastAsia="Palatino Linotype" w:hAnsi="Palatino Linotype" w:cs="Palatino Linotype"/>
          <w:color w:val="000000" w:themeColor="text1"/>
        </w:rPr>
        <w:t xml:space="preserve"> de ser el caso en versión pública, la siguiente información</w:t>
      </w:r>
      <w:r w:rsidR="00870D8C" w:rsidRPr="007E4696">
        <w:rPr>
          <w:rFonts w:ascii="Palatino Linotype" w:eastAsia="Palatino Linotype" w:hAnsi="Palatino Linotype" w:cs="Palatino Linotype"/>
          <w:color w:val="000000" w:themeColor="text1"/>
        </w:rPr>
        <w:t>:</w:t>
      </w:r>
    </w:p>
    <w:p w:rsidR="007930D3" w:rsidRPr="007E4696" w:rsidRDefault="007930D3" w:rsidP="009957ED">
      <w:pPr>
        <w:spacing w:line="360" w:lineRule="auto"/>
        <w:jc w:val="both"/>
        <w:rPr>
          <w:rFonts w:ascii="Palatino Linotype" w:eastAsia="Palatino Linotype" w:hAnsi="Palatino Linotype" w:cs="Palatino Linotype"/>
          <w:color w:val="000000" w:themeColor="text1"/>
        </w:rPr>
      </w:pPr>
    </w:p>
    <w:p w:rsidR="00984ABF" w:rsidRPr="007E4696" w:rsidRDefault="00984ABF" w:rsidP="009957ED">
      <w:pPr>
        <w:pStyle w:val="Prrafodelista"/>
        <w:numPr>
          <w:ilvl w:val="0"/>
          <w:numId w:val="40"/>
        </w:numPr>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Comprobantes de todos los pagos correspondientes a las partidas presupuestales 3611 y 3612 realizados mediante cheque y/o transferencia electrónica a particulares, durante el mes de diciembre de 2024.</w:t>
      </w:r>
    </w:p>
    <w:p w:rsidR="00984ABF" w:rsidRPr="007E4696" w:rsidRDefault="00984ABF" w:rsidP="009957ED">
      <w:pPr>
        <w:pStyle w:val="Prrafodelista"/>
        <w:numPr>
          <w:ilvl w:val="0"/>
          <w:numId w:val="40"/>
        </w:numPr>
        <w:ind w:left="0"/>
        <w:jc w:val="both"/>
        <w:rPr>
          <w:rFonts w:ascii="Palatino Linotype" w:eastAsia="Palatino Linotype" w:hAnsi="Palatino Linotype" w:cs="Palatino Linotype"/>
          <w:b/>
          <w:color w:val="000000" w:themeColor="text1"/>
        </w:rPr>
      </w:pPr>
      <w:r w:rsidRPr="007E4696">
        <w:rPr>
          <w:rFonts w:ascii="Palatino Linotype" w:eastAsia="Palatino Linotype" w:hAnsi="Palatino Linotype" w:cs="Palatino Linotype"/>
          <w:b/>
          <w:color w:val="000000" w:themeColor="text1"/>
        </w:rPr>
        <w:t>Comprobantes de todos los pagos realizados mediante cheque y/o transferencia electrónica a particulares del 01 de marzo al 30 de abril de 2025.</w:t>
      </w:r>
    </w:p>
    <w:p w:rsidR="00DE74BA" w:rsidRPr="007E4696" w:rsidRDefault="00DE74BA" w:rsidP="009957ED">
      <w:pPr>
        <w:pStyle w:val="Prrafodelista"/>
        <w:spacing w:line="360" w:lineRule="auto"/>
        <w:ind w:left="0"/>
        <w:jc w:val="both"/>
        <w:rPr>
          <w:rFonts w:ascii="Palatino Linotype" w:eastAsia="Palatino Linotype" w:hAnsi="Palatino Linotype" w:cs="Palatino Linotype"/>
          <w:b/>
          <w:color w:val="000000" w:themeColor="text1"/>
        </w:rPr>
      </w:pPr>
    </w:p>
    <w:p w:rsidR="009D5127" w:rsidRPr="007E4696" w:rsidRDefault="002F68CF" w:rsidP="009957ED">
      <w:pPr>
        <w:tabs>
          <w:tab w:val="left" w:pos="8080"/>
        </w:tabs>
        <w:spacing w:line="360" w:lineRule="auto"/>
        <w:jc w:val="both"/>
        <w:rPr>
          <w:rFonts w:ascii="Palatino Linotype" w:eastAsia="Calibri" w:hAnsi="Palatino Linotype" w:cs="Arial"/>
          <w:b/>
          <w:color w:val="000000" w:themeColor="text1"/>
        </w:rPr>
      </w:pPr>
      <w:r w:rsidRPr="007E4696">
        <w:rPr>
          <w:rFonts w:ascii="Palatino Linotype" w:eastAsia="Calibri" w:hAnsi="Palatino Linotype" w:cs="Arial"/>
          <w:color w:val="000000" w:themeColor="text1"/>
        </w:rPr>
        <w:lastRenderedPageBreak/>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E4696">
        <w:rPr>
          <w:rFonts w:ascii="Palatino Linotype" w:eastAsia="Calibri" w:hAnsi="Palatino Linotype" w:cs="Arial"/>
          <w:b/>
          <w:color w:val="000000" w:themeColor="text1"/>
        </w:rPr>
        <w:t>RECURRENTE.</w:t>
      </w:r>
    </w:p>
    <w:p w:rsidR="00D8737C" w:rsidRPr="007E4696" w:rsidRDefault="00D8737C" w:rsidP="009957ED">
      <w:pPr>
        <w:tabs>
          <w:tab w:val="left" w:pos="8080"/>
        </w:tabs>
        <w:spacing w:line="360" w:lineRule="auto"/>
        <w:jc w:val="both"/>
        <w:rPr>
          <w:rFonts w:ascii="Palatino Linotype" w:eastAsia="Calibri" w:hAnsi="Palatino Linotype" w:cs="Arial"/>
          <w:b/>
          <w:color w:val="000000" w:themeColor="text1"/>
        </w:rPr>
      </w:pPr>
    </w:p>
    <w:p w:rsidR="00D8737C" w:rsidRPr="007E4696" w:rsidRDefault="00D8737C" w:rsidP="009957ED">
      <w:pPr>
        <w:tabs>
          <w:tab w:val="left" w:pos="8080"/>
        </w:tabs>
        <w:spacing w:line="360" w:lineRule="auto"/>
        <w:jc w:val="both"/>
        <w:rPr>
          <w:rFonts w:ascii="Palatino Linotype" w:eastAsia="Calibri" w:hAnsi="Palatino Linotype" w:cs="Arial"/>
          <w:color w:val="000000" w:themeColor="text1"/>
        </w:rPr>
      </w:pPr>
      <w:r w:rsidRPr="007E4696">
        <w:rPr>
          <w:rFonts w:ascii="Palatino Linotype" w:eastAsia="Calibri" w:hAnsi="Palatino Linotype" w:cs="Arial"/>
          <w:color w:val="000000" w:themeColor="text1"/>
        </w:rPr>
        <w:t>Para el caso que el Sujeto Obligado no cuente con la información que se ordena su entrega en el inciso 2), de la partida presupuestal 3611, por no haberse generado, bastará con que lo haga del conocimiento de la Recurrente al momento de dar cumplimiento a la presente resolución, en términos del artículo 19 párrafo segundo de la Ley de Transparencia y Acceso a la Información Pública del Estado de México y Municipios.</w:t>
      </w:r>
    </w:p>
    <w:p w:rsidR="009D5127" w:rsidRPr="007E4696" w:rsidRDefault="009D5127" w:rsidP="009957ED">
      <w:pPr>
        <w:spacing w:line="360" w:lineRule="auto"/>
        <w:jc w:val="both"/>
        <w:rPr>
          <w:rFonts w:ascii="Palatino Linotype" w:eastAsia="Palatino Linotype" w:hAnsi="Palatino Linotype" w:cs="Palatino Linotype"/>
          <w:b/>
          <w:color w:val="000000" w:themeColor="text1"/>
        </w:rPr>
      </w:pPr>
    </w:p>
    <w:p w:rsidR="009D5127" w:rsidRPr="007E4696" w:rsidRDefault="001C4E30" w:rsidP="009957ED">
      <w:pPr>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b/>
          <w:color w:val="000000" w:themeColor="text1"/>
        </w:rPr>
        <w:t>TERCERO</w:t>
      </w:r>
      <w:r w:rsidR="009D5127" w:rsidRPr="007E4696">
        <w:rPr>
          <w:rFonts w:ascii="Palatino Linotype" w:eastAsia="Palatino Linotype" w:hAnsi="Palatino Linotype" w:cs="Palatino Linotype"/>
          <w:b/>
          <w:color w:val="000000" w:themeColor="text1"/>
        </w:rPr>
        <w:t>. NOTIFÍQUESE</w:t>
      </w:r>
      <w:r w:rsidR="009D5127" w:rsidRPr="007E4696">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009D5127" w:rsidRPr="007E4696">
        <w:rPr>
          <w:rFonts w:ascii="Palatino Linotype" w:eastAsia="Palatino Linotype" w:hAnsi="Palatino Linotype" w:cs="Palatino Linotype"/>
          <w:b/>
          <w:color w:val="000000" w:themeColor="text1"/>
        </w:rPr>
        <w:t xml:space="preserve">dé cumplimiento a lo ordenado dentro del plazo </w:t>
      </w:r>
      <w:r w:rsidR="009D5127" w:rsidRPr="007E4696">
        <w:rPr>
          <w:rFonts w:ascii="Palatino Linotype" w:eastAsia="Palatino Linotype" w:hAnsi="Palatino Linotype" w:cs="Palatino Linotype"/>
          <w:color w:val="000000" w:themeColor="text1"/>
        </w:rPr>
        <w:t>de</w:t>
      </w:r>
      <w:r w:rsidR="009D5127" w:rsidRPr="007E4696">
        <w:rPr>
          <w:rFonts w:ascii="Palatino Linotype" w:eastAsia="Palatino Linotype" w:hAnsi="Palatino Linotype" w:cs="Palatino Linotype"/>
          <w:b/>
          <w:color w:val="000000" w:themeColor="text1"/>
        </w:rPr>
        <w:t xml:space="preserve"> diez días hábiles, </w:t>
      </w:r>
      <w:r w:rsidR="009D5127" w:rsidRPr="007E4696">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D5127" w:rsidRPr="007E4696" w:rsidRDefault="009D5127" w:rsidP="009957ED">
      <w:pPr>
        <w:spacing w:line="360" w:lineRule="auto"/>
        <w:jc w:val="both"/>
        <w:rPr>
          <w:rFonts w:ascii="Palatino Linotype" w:eastAsia="Palatino Linotype" w:hAnsi="Palatino Linotype" w:cs="Palatino Linotype"/>
          <w:color w:val="000000" w:themeColor="text1"/>
        </w:rPr>
      </w:pPr>
    </w:p>
    <w:p w:rsidR="009D5127" w:rsidRPr="007E4696" w:rsidRDefault="001C4E30" w:rsidP="009957ED">
      <w:pPr>
        <w:spacing w:line="360" w:lineRule="auto"/>
        <w:jc w:val="both"/>
        <w:rPr>
          <w:rFonts w:ascii="Palatino Linotype" w:eastAsia="Palatino Linotype" w:hAnsi="Palatino Linotype" w:cs="Palatino Linotype"/>
          <w:color w:val="000000" w:themeColor="text1"/>
        </w:rPr>
      </w:pPr>
      <w:bookmarkStart w:id="10" w:name="_heading=h.3rdcrjn" w:colFirst="0" w:colLast="0"/>
      <w:bookmarkEnd w:id="10"/>
      <w:r w:rsidRPr="007E4696">
        <w:rPr>
          <w:rFonts w:ascii="Palatino Linotype" w:eastAsia="Palatino Linotype" w:hAnsi="Palatino Linotype" w:cs="Palatino Linotype"/>
          <w:b/>
          <w:color w:val="000000" w:themeColor="text1"/>
        </w:rPr>
        <w:lastRenderedPageBreak/>
        <w:t>CUARTO</w:t>
      </w:r>
      <w:r w:rsidR="009D5127" w:rsidRPr="007E4696">
        <w:rPr>
          <w:rFonts w:ascii="Palatino Linotype" w:eastAsia="Palatino Linotype" w:hAnsi="Palatino Linotype" w:cs="Palatino Linotype"/>
          <w:b/>
          <w:color w:val="000000" w:themeColor="text1"/>
        </w:rPr>
        <w:t xml:space="preserve">. </w:t>
      </w:r>
      <w:r w:rsidR="009D5127" w:rsidRPr="007E4696">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9D5127" w:rsidRPr="007E4696">
        <w:rPr>
          <w:rFonts w:ascii="Palatino Linotype" w:eastAsia="Palatino Linotype" w:hAnsi="Palatino Linotype" w:cs="Palatino Linotype"/>
          <w:b/>
          <w:color w:val="000000" w:themeColor="text1"/>
        </w:rPr>
        <w:t>SUJETO OBLIGADO</w:t>
      </w:r>
      <w:r w:rsidR="009D5127" w:rsidRPr="007E4696">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9D5127" w:rsidRPr="007E4696" w:rsidRDefault="009D5127" w:rsidP="009957ED">
      <w:pPr>
        <w:spacing w:line="360" w:lineRule="auto"/>
        <w:jc w:val="both"/>
        <w:rPr>
          <w:rFonts w:ascii="Palatino Linotype" w:eastAsia="Palatino Linotype" w:hAnsi="Palatino Linotype" w:cs="Palatino Linotype"/>
          <w:color w:val="000000" w:themeColor="text1"/>
        </w:rPr>
      </w:pPr>
    </w:p>
    <w:p w:rsidR="009D5127" w:rsidRPr="007E4696" w:rsidRDefault="001C4E30" w:rsidP="009957ED">
      <w:pPr>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b/>
          <w:color w:val="000000" w:themeColor="text1"/>
        </w:rPr>
        <w:t>QUINTO</w:t>
      </w:r>
      <w:r w:rsidR="009D5127" w:rsidRPr="007E4696">
        <w:rPr>
          <w:rFonts w:ascii="Palatino Linotype" w:eastAsia="Palatino Linotype" w:hAnsi="Palatino Linotype" w:cs="Palatino Linotype"/>
          <w:b/>
          <w:color w:val="000000" w:themeColor="text1"/>
        </w:rPr>
        <w:t xml:space="preserve">. </w:t>
      </w:r>
      <w:r w:rsidR="009D5127" w:rsidRPr="007E4696">
        <w:rPr>
          <w:rFonts w:ascii="Palatino Linotype" w:eastAsia="Palatino Linotype" w:hAnsi="Palatino Linotype" w:cs="Palatino Linotype"/>
          <w:color w:val="000000" w:themeColor="text1"/>
        </w:rPr>
        <w:t>Notifíquese</w:t>
      </w:r>
      <w:r w:rsidR="009D5127" w:rsidRPr="007E4696">
        <w:rPr>
          <w:rFonts w:ascii="Palatino Linotype" w:eastAsia="Palatino Linotype" w:hAnsi="Palatino Linotype" w:cs="Palatino Linotype"/>
          <w:b/>
          <w:color w:val="000000" w:themeColor="text1"/>
        </w:rPr>
        <w:t xml:space="preserve"> </w:t>
      </w:r>
      <w:r w:rsidR="009D5127" w:rsidRPr="007E4696">
        <w:rPr>
          <w:rFonts w:ascii="Palatino Linotype" w:eastAsia="Palatino Linotype" w:hAnsi="Palatino Linotype" w:cs="Palatino Linotype"/>
          <w:color w:val="000000" w:themeColor="text1"/>
        </w:rPr>
        <w:t xml:space="preserve">a </w:t>
      </w:r>
      <w:r w:rsidR="009D5127" w:rsidRPr="007E4696">
        <w:rPr>
          <w:rFonts w:ascii="Palatino Linotype" w:eastAsia="Palatino Linotype" w:hAnsi="Palatino Linotype" w:cs="Palatino Linotype"/>
          <w:b/>
          <w:color w:val="000000" w:themeColor="text1"/>
        </w:rPr>
        <w:t>EL RECURRENTE</w:t>
      </w:r>
      <w:r w:rsidR="009D5127" w:rsidRPr="007E4696">
        <w:rPr>
          <w:rFonts w:ascii="Palatino Linotype" w:eastAsia="Palatino Linotype" w:hAnsi="Palatino Linotype" w:cs="Palatino Linotype"/>
          <w:color w:val="000000" w:themeColor="text1"/>
        </w:rPr>
        <w:t xml:space="preserve"> la presente resolución vía SAIMEX.</w:t>
      </w:r>
    </w:p>
    <w:p w:rsidR="009D5127" w:rsidRPr="007E4696" w:rsidRDefault="009D5127" w:rsidP="009957ED">
      <w:pPr>
        <w:tabs>
          <w:tab w:val="left" w:pos="8080"/>
        </w:tabs>
        <w:spacing w:line="360" w:lineRule="auto"/>
        <w:jc w:val="both"/>
        <w:rPr>
          <w:rFonts w:ascii="Palatino Linotype" w:eastAsia="Palatino Linotype" w:hAnsi="Palatino Linotype" w:cs="Palatino Linotype"/>
          <w:color w:val="000000" w:themeColor="text1"/>
        </w:rPr>
      </w:pPr>
    </w:p>
    <w:p w:rsidR="004B0B6F" w:rsidRPr="007E4696" w:rsidRDefault="001C4E30" w:rsidP="009957ED">
      <w:pPr>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b/>
          <w:color w:val="000000" w:themeColor="text1"/>
        </w:rPr>
        <w:t>SEXTO</w:t>
      </w:r>
      <w:r w:rsidR="009D5127" w:rsidRPr="007E4696">
        <w:rPr>
          <w:rFonts w:ascii="Palatino Linotype" w:eastAsia="Palatino Linotype" w:hAnsi="Palatino Linotype" w:cs="Palatino Linotype"/>
          <w:b/>
          <w:color w:val="000000" w:themeColor="text1"/>
        </w:rPr>
        <w:t xml:space="preserve">. </w:t>
      </w:r>
      <w:r w:rsidR="009D5127" w:rsidRPr="007E4696">
        <w:rPr>
          <w:rFonts w:ascii="Palatino Linotype" w:eastAsia="Palatino Linotype" w:hAnsi="Palatino Linotype" w:cs="Palatino Linotype"/>
          <w:color w:val="000000" w:themeColor="text1"/>
        </w:rPr>
        <w:t xml:space="preserve">Se hace del conocimiento de </w:t>
      </w:r>
      <w:r w:rsidR="009D5127" w:rsidRPr="007E4696">
        <w:rPr>
          <w:rFonts w:ascii="Palatino Linotype" w:eastAsia="Palatino Linotype" w:hAnsi="Palatino Linotype" w:cs="Palatino Linotype"/>
          <w:b/>
          <w:color w:val="000000" w:themeColor="text1"/>
        </w:rPr>
        <w:t>EL RECURRENTE</w:t>
      </w:r>
      <w:r w:rsidR="009D5127" w:rsidRPr="007E4696">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7E4696" w:rsidRPr="007E4696" w:rsidRDefault="007E4696" w:rsidP="009957ED">
      <w:pPr>
        <w:spacing w:line="360" w:lineRule="auto"/>
        <w:jc w:val="both"/>
        <w:rPr>
          <w:rFonts w:ascii="Palatino Linotype" w:eastAsia="Palatino Linotype" w:hAnsi="Palatino Linotype" w:cs="Palatino Linotype"/>
          <w:color w:val="000000" w:themeColor="text1"/>
          <w:sz w:val="14"/>
        </w:rPr>
      </w:pPr>
    </w:p>
    <w:p w:rsidR="0072148B" w:rsidRPr="009957ED" w:rsidRDefault="007E4696" w:rsidP="004B0B6F">
      <w:pPr>
        <w:tabs>
          <w:tab w:val="left" w:pos="900"/>
        </w:tabs>
        <w:spacing w:line="360" w:lineRule="auto"/>
        <w:jc w:val="both"/>
        <w:rPr>
          <w:rFonts w:ascii="Palatino Linotype" w:eastAsia="Palatino Linotype" w:hAnsi="Palatino Linotype" w:cs="Palatino Linotype"/>
          <w:color w:val="000000" w:themeColor="text1"/>
        </w:rPr>
      </w:pPr>
      <w:r w:rsidRPr="007E4696">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DOS (02) DE JULIO DE DOS MIL VEINTICINCO, ANTE EL SECRETARIO TÉCNICO DEL PLENO ALEXIS TAPIA RAMÍREZ</w:t>
      </w:r>
      <w:r w:rsidR="00FE7970" w:rsidRPr="007E4696">
        <w:rPr>
          <w:rFonts w:ascii="Palatino Linotype" w:eastAsia="Palatino Linotype" w:hAnsi="Palatino Linotype" w:cs="Palatino Linotype"/>
          <w:color w:val="000000" w:themeColor="text1"/>
        </w:rPr>
        <w:t>.</w:t>
      </w:r>
      <w:r w:rsidR="004B0B6F">
        <w:rPr>
          <w:rFonts w:ascii="Palatino Linotype" w:eastAsia="Palatino Linotype" w:hAnsi="Palatino Linotype" w:cs="Palatino Linotype"/>
          <w:color w:val="000000" w:themeColor="text1"/>
        </w:rPr>
        <w:tab/>
      </w: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spacing w:line="360" w:lineRule="auto"/>
        <w:jc w:val="both"/>
        <w:rPr>
          <w:rFonts w:ascii="Palatino Linotype" w:eastAsia="Palatino Linotype" w:hAnsi="Palatino Linotype" w:cs="Palatino Linotype"/>
          <w:color w:val="000000" w:themeColor="text1"/>
        </w:rPr>
      </w:pPr>
    </w:p>
    <w:p w:rsidR="0072148B" w:rsidRDefault="0072148B" w:rsidP="009957ED">
      <w:pPr>
        <w:spacing w:line="360" w:lineRule="auto"/>
        <w:jc w:val="both"/>
        <w:rPr>
          <w:rFonts w:ascii="Palatino Linotype" w:eastAsia="Palatino Linotype" w:hAnsi="Palatino Linotype" w:cs="Palatino Linotype"/>
          <w:color w:val="000000" w:themeColor="text1"/>
        </w:rPr>
      </w:pPr>
    </w:p>
    <w:p w:rsidR="0072148B" w:rsidRPr="009957ED" w:rsidRDefault="0072148B" w:rsidP="009957ED">
      <w:pPr>
        <w:tabs>
          <w:tab w:val="left" w:pos="3374"/>
        </w:tabs>
        <w:spacing w:line="360" w:lineRule="auto"/>
        <w:rPr>
          <w:rFonts w:ascii="Palatino Linotype" w:eastAsia="Palatino Linotype" w:hAnsi="Palatino Linotype" w:cs="Palatino Linotype"/>
          <w:color w:val="000000" w:themeColor="text1"/>
        </w:rPr>
      </w:pPr>
      <w:bookmarkStart w:id="11" w:name="_heading=h.lnxbz9" w:colFirst="0" w:colLast="0"/>
      <w:bookmarkEnd w:id="11"/>
    </w:p>
    <w:sectPr w:rsidR="0072148B" w:rsidRPr="009957ED" w:rsidSect="009957ED">
      <w:headerReference w:type="even" r:id="rId16"/>
      <w:headerReference w:type="default" r:id="rId17"/>
      <w:footerReference w:type="default" r:id="rId18"/>
      <w:headerReference w:type="first" r:id="rId19"/>
      <w:footerReference w:type="first" r:id="rId20"/>
      <w:pgSz w:w="12240" w:h="15840"/>
      <w:pgMar w:top="2268" w:right="1325"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50E" w:rsidRDefault="008F650E">
      <w:r>
        <w:separator/>
      </w:r>
    </w:p>
  </w:endnote>
  <w:endnote w:type="continuationSeparator" w:id="0">
    <w:p w:rsidR="008F650E" w:rsidRDefault="008F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0DD" w:rsidRDefault="00AF00D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61C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61C7">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AF00DD" w:rsidRDefault="00AF00D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0DD" w:rsidRDefault="00AF00D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A61C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A61C7">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p>
  <w:p w:rsidR="00AF00DD" w:rsidRDefault="00AF00D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50E" w:rsidRDefault="008F650E">
      <w:r>
        <w:separator/>
      </w:r>
    </w:p>
  </w:footnote>
  <w:footnote w:type="continuationSeparator" w:id="0">
    <w:p w:rsidR="008F650E" w:rsidRDefault="008F650E">
      <w:r>
        <w:continuationSeparator/>
      </w:r>
    </w:p>
  </w:footnote>
  <w:footnote w:id="1">
    <w:p w:rsidR="00AF00DD" w:rsidRDefault="00AF00DD" w:rsidP="00E72D4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0DD" w:rsidRDefault="008F650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4" w:type="dxa"/>
      <w:tblInd w:w="2694" w:type="dxa"/>
      <w:tblLayout w:type="fixed"/>
      <w:tblLook w:val="0400" w:firstRow="0" w:lastRow="0" w:firstColumn="0" w:lastColumn="0" w:noHBand="0" w:noVBand="1"/>
    </w:tblPr>
    <w:tblGrid>
      <w:gridCol w:w="2693"/>
      <w:gridCol w:w="4961"/>
    </w:tblGrid>
    <w:tr w:rsidR="00AF00DD" w:rsidRPr="00427010" w:rsidTr="00427010">
      <w:trPr>
        <w:trHeight w:val="227"/>
      </w:trPr>
      <w:tc>
        <w:tcPr>
          <w:tcW w:w="2693" w:type="dxa"/>
        </w:tcPr>
        <w:p w:rsidR="00AF00DD" w:rsidRPr="00427010" w:rsidRDefault="00AF00DD" w:rsidP="00427010">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Recurso de Revisión:</w:t>
          </w:r>
        </w:p>
      </w:tc>
      <w:tc>
        <w:tcPr>
          <w:tcW w:w="4961" w:type="dxa"/>
        </w:tcPr>
        <w:p w:rsidR="00AF00DD" w:rsidRPr="00427010" w:rsidRDefault="00AF00DD" w:rsidP="00427010">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427010">
            <w:rPr>
              <w:rFonts w:ascii="Palatino Linotype" w:eastAsia="Palatino Linotype" w:hAnsi="Palatino Linotype" w:cs="Palatino Linotype"/>
              <w:color w:val="000000"/>
            </w:rPr>
            <w:t xml:space="preserve">06178/INFOEM/IP/RR/2025 y </w:t>
          </w:r>
          <w:r w:rsidRPr="00427010">
            <w:rPr>
              <w:rFonts w:ascii="Palatino Linotype" w:eastAsia="Palatino Linotype" w:hAnsi="Palatino Linotype" w:cs="Palatino Linotype"/>
            </w:rPr>
            <w:t>A</w:t>
          </w:r>
          <w:r w:rsidRPr="00427010">
            <w:rPr>
              <w:rFonts w:ascii="Palatino Linotype" w:eastAsia="Palatino Linotype" w:hAnsi="Palatino Linotype" w:cs="Palatino Linotype"/>
              <w:color w:val="000000"/>
            </w:rPr>
            <w:t>cumulados</w:t>
          </w:r>
        </w:p>
      </w:tc>
    </w:tr>
    <w:tr w:rsidR="00AF00DD" w:rsidRPr="00427010" w:rsidTr="00427010">
      <w:trPr>
        <w:trHeight w:val="342"/>
      </w:trPr>
      <w:tc>
        <w:tcPr>
          <w:tcW w:w="2693" w:type="dxa"/>
        </w:tcPr>
        <w:p w:rsidR="00AF00DD" w:rsidRPr="00427010" w:rsidRDefault="00AF00DD" w:rsidP="00427010">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Sujeto Obligado:</w:t>
          </w:r>
        </w:p>
      </w:tc>
      <w:tc>
        <w:tcPr>
          <w:tcW w:w="4961" w:type="dxa"/>
        </w:tcPr>
        <w:p w:rsidR="00AF00DD" w:rsidRPr="00427010" w:rsidRDefault="00AF00DD" w:rsidP="00427010">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427010">
            <w:rPr>
              <w:rFonts w:ascii="Palatino Linotype" w:eastAsia="Palatino Linotype" w:hAnsi="Palatino Linotype" w:cs="Palatino Linotype"/>
              <w:color w:val="000000"/>
            </w:rPr>
            <w:t>Poder Legislativo</w:t>
          </w:r>
        </w:p>
      </w:tc>
    </w:tr>
    <w:tr w:rsidR="00AF00DD" w:rsidRPr="00427010" w:rsidTr="00427010">
      <w:trPr>
        <w:trHeight w:val="342"/>
      </w:trPr>
      <w:tc>
        <w:tcPr>
          <w:tcW w:w="2693" w:type="dxa"/>
        </w:tcPr>
        <w:p w:rsidR="00AF00DD" w:rsidRPr="00427010" w:rsidRDefault="00AF00DD" w:rsidP="00427010">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Comisionada Ponente:</w:t>
          </w:r>
        </w:p>
      </w:tc>
      <w:tc>
        <w:tcPr>
          <w:tcW w:w="4961" w:type="dxa"/>
        </w:tcPr>
        <w:p w:rsidR="00AF00DD" w:rsidRPr="00427010" w:rsidRDefault="00AF00DD" w:rsidP="00427010">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27010">
            <w:rPr>
              <w:rFonts w:ascii="Palatino Linotype" w:eastAsia="Palatino Linotype" w:hAnsi="Palatino Linotype" w:cs="Palatino Linotype"/>
              <w:color w:val="000000"/>
            </w:rPr>
            <w:t>María del Rosario Mejía Ayala</w:t>
          </w:r>
        </w:p>
      </w:tc>
    </w:tr>
  </w:tbl>
  <w:p w:rsidR="00AF00DD" w:rsidRDefault="008F650E">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9pt;margin-top:-127.0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7655" w:type="dxa"/>
      <w:tblInd w:w="2835" w:type="dxa"/>
      <w:tblLayout w:type="fixed"/>
      <w:tblLook w:val="0400" w:firstRow="0" w:lastRow="0" w:firstColumn="0" w:lastColumn="0" w:noHBand="0" w:noVBand="1"/>
    </w:tblPr>
    <w:tblGrid>
      <w:gridCol w:w="2694"/>
      <w:gridCol w:w="4961"/>
    </w:tblGrid>
    <w:tr w:rsidR="00AF00DD" w:rsidRPr="00427010" w:rsidTr="00427010">
      <w:trPr>
        <w:trHeight w:val="227"/>
      </w:trPr>
      <w:tc>
        <w:tcPr>
          <w:tcW w:w="2694" w:type="dxa"/>
        </w:tcPr>
        <w:p w:rsidR="00AF00DD" w:rsidRPr="00427010" w:rsidRDefault="00AF00DD">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Recurso de Revisión:</w:t>
          </w:r>
        </w:p>
      </w:tc>
      <w:tc>
        <w:tcPr>
          <w:tcW w:w="4961" w:type="dxa"/>
        </w:tcPr>
        <w:p w:rsidR="00AF00DD" w:rsidRPr="00427010" w:rsidRDefault="00AF00DD" w:rsidP="00427010">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427010">
            <w:rPr>
              <w:rFonts w:ascii="Palatino Linotype" w:eastAsia="Palatino Linotype" w:hAnsi="Palatino Linotype" w:cs="Palatino Linotype"/>
              <w:color w:val="000000"/>
            </w:rPr>
            <w:t xml:space="preserve">06178/INFOEM/IP/RR/2025 y </w:t>
          </w:r>
          <w:r w:rsidRPr="00427010">
            <w:rPr>
              <w:rFonts w:ascii="Palatino Linotype" w:eastAsia="Palatino Linotype" w:hAnsi="Palatino Linotype" w:cs="Palatino Linotype"/>
            </w:rPr>
            <w:t>A</w:t>
          </w:r>
          <w:r w:rsidRPr="00427010">
            <w:rPr>
              <w:rFonts w:ascii="Palatino Linotype" w:eastAsia="Palatino Linotype" w:hAnsi="Palatino Linotype" w:cs="Palatino Linotype"/>
              <w:color w:val="000000"/>
            </w:rPr>
            <w:t>cumulados</w:t>
          </w:r>
        </w:p>
      </w:tc>
    </w:tr>
    <w:tr w:rsidR="00AF00DD" w:rsidRPr="00427010" w:rsidTr="00427010">
      <w:trPr>
        <w:trHeight w:val="242"/>
      </w:trPr>
      <w:tc>
        <w:tcPr>
          <w:tcW w:w="2694" w:type="dxa"/>
        </w:tcPr>
        <w:p w:rsidR="00AF00DD" w:rsidRPr="00427010" w:rsidRDefault="00AF00DD">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Recurrente:</w:t>
          </w:r>
        </w:p>
      </w:tc>
      <w:tc>
        <w:tcPr>
          <w:tcW w:w="4961" w:type="dxa"/>
        </w:tcPr>
        <w:p w:rsidR="00AF00DD" w:rsidRPr="00427010" w:rsidRDefault="00DA61C7" w:rsidP="00427010">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AF00DD" w:rsidRPr="00427010" w:rsidTr="00427010">
      <w:trPr>
        <w:trHeight w:val="342"/>
      </w:trPr>
      <w:tc>
        <w:tcPr>
          <w:tcW w:w="2694" w:type="dxa"/>
        </w:tcPr>
        <w:p w:rsidR="00AF00DD" w:rsidRPr="00427010" w:rsidRDefault="00AF00DD">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Sujeto Obligado:</w:t>
          </w:r>
        </w:p>
      </w:tc>
      <w:tc>
        <w:tcPr>
          <w:tcW w:w="4961" w:type="dxa"/>
        </w:tcPr>
        <w:p w:rsidR="00AF00DD" w:rsidRPr="00427010" w:rsidRDefault="00AF00DD" w:rsidP="00427010">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427010">
            <w:rPr>
              <w:rFonts w:ascii="Palatino Linotype" w:eastAsia="Palatino Linotype" w:hAnsi="Palatino Linotype" w:cs="Palatino Linotype"/>
              <w:color w:val="000000"/>
            </w:rPr>
            <w:t>Poder Legislativo</w:t>
          </w:r>
        </w:p>
      </w:tc>
    </w:tr>
    <w:tr w:rsidR="00AF00DD" w:rsidRPr="00427010" w:rsidTr="00427010">
      <w:trPr>
        <w:trHeight w:val="342"/>
      </w:trPr>
      <w:tc>
        <w:tcPr>
          <w:tcW w:w="2694" w:type="dxa"/>
        </w:tcPr>
        <w:p w:rsidR="00AF00DD" w:rsidRPr="00427010" w:rsidRDefault="00AF00DD">
          <w:pPr>
            <w:jc w:val="right"/>
            <w:rPr>
              <w:rFonts w:ascii="Palatino Linotype" w:eastAsia="Palatino Linotype" w:hAnsi="Palatino Linotype" w:cs="Palatino Linotype"/>
              <w:b/>
            </w:rPr>
          </w:pPr>
          <w:r w:rsidRPr="00427010">
            <w:rPr>
              <w:rFonts w:ascii="Palatino Linotype" w:eastAsia="Palatino Linotype" w:hAnsi="Palatino Linotype" w:cs="Palatino Linotype"/>
              <w:b/>
            </w:rPr>
            <w:t>Comisionada Ponente:</w:t>
          </w:r>
        </w:p>
      </w:tc>
      <w:tc>
        <w:tcPr>
          <w:tcW w:w="4961" w:type="dxa"/>
        </w:tcPr>
        <w:p w:rsidR="00AF00DD" w:rsidRPr="00427010" w:rsidRDefault="00AF00DD" w:rsidP="00427010">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27010">
            <w:rPr>
              <w:rFonts w:ascii="Palatino Linotype" w:eastAsia="Palatino Linotype" w:hAnsi="Palatino Linotype" w:cs="Palatino Linotype"/>
              <w:color w:val="000000"/>
            </w:rPr>
            <w:t>María del Rosario Mejía Ayala</w:t>
          </w:r>
        </w:p>
      </w:tc>
    </w:tr>
  </w:tbl>
  <w:p w:rsidR="00AF00DD" w:rsidRDefault="008F650E">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2D95E2F"/>
    <w:multiLevelType w:val="multilevel"/>
    <w:tmpl w:val="0FF0A7E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 w15:restartNumberingAfterBreak="0">
    <w:nsid w:val="03CF426A"/>
    <w:multiLevelType w:val="hybridMultilevel"/>
    <w:tmpl w:val="1D361E2A"/>
    <w:lvl w:ilvl="0" w:tplc="080A0011">
      <w:start w:val="1"/>
      <w:numFmt w:val="decimal"/>
      <w:lvlText w:val="%1)"/>
      <w:lvlJc w:val="left"/>
      <w:pPr>
        <w:ind w:left="2215" w:hanging="360"/>
      </w:pPr>
    </w:lvl>
    <w:lvl w:ilvl="1" w:tplc="080A0019" w:tentative="1">
      <w:start w:val="1"/>
      <w:numFmt w:val="lowerLetter"/>
      <w:lvlText w:val="%2."/>
      <w:lvlJc w:val="left"/>
      <w:pPr>
        <w:ind w:left="2935" w:hanging="360"/>
      </w:pPr>
    </w:lvl>
    <w:lvl w:ilvl="2" w:tplc="080A001B" w:tentative="1">
      <w:start w:val="1"/>
      <w:numFmt w:val="lowerRoman"/>
      <w:lvlText w:val="%3."/>
      <w:lvlJc w:val="right"/>
      <w:pPr>
        <w:ind w:left="3655" w:hanging="180"/>
      </w:pPr>
    </w:lvl>
    <w:lvl w:ilvl="3" w:tplc="080A000F" w:tentative="1">
      <w:start w:val="1"/>
      <w:numFmt w:val="decimal"/>
      <w:lvlText w:val="%4."/>
      <w:lvlJc w:val="left"/>
      <w:pPr>
        <w:ind w:left="4375" w:hanging="360"/>
      </w:pPr>
    </w:lvl>
    <w:lvl w:ilvl="4" w:tplc="080A0019" w:tentative="1">
      <w:start w:val="1"/>
      <w:numFmt w:val="lowerLetter"/>
      <w:lvlText w:val="%5."/>
      <w:lvlJc w:val="left"/>
      <w:pPr>
        <w:ind w:left="5095" w:hanging="360"/>
      </w:pPr>
    </w:lvl>
    <w:lvl w:ilvl="5" w:tplc="080A001B" w:tentative="1">
      <w:start w:val="1"/>
      <w:numFmt w:val="lowerRoman"/>
      <w:lvlText w:val="%6."/>
      <w:lvlJc w:val="right"/>
      <w:pPr>
        <w:ind w:left="5815" w:hanging="180"/>
      </w:pPr>
    </w:lvl>
    <w:lvl w:ilvl="6" w:tplc="080A000F" w:tentative="1">
      <w:start w:val="1"/>
      <w:numFmt w:val="decimal"/>
      <w:lvlText w:val="%7."/>
      <w:lvlJc w:val="left"/>
      <w:pPr>
        <w:ind w:left="6535" w:hanging="360"/>
      </w:pPr>
    </w:lvl>
    <w:lvl w:ilvl="7" w:tplc="080A0019" w:tentative="1">
      <w:start w:val="1"/>
      <w:numFmt w:val="lowerLetter"/>
      <w:lvlText w:val="%8."/>
      <w:lvlJc w:val="left"/>
      <w:pPr>
        <w:ind w:left="7255" w:hanging="360"/>
      </w:pPr>
    </w:lvl>
    <w:lvl w:ilvl="8" w:tplc="080A001B" w:tentative="1">
      <w:start w:val="1"/>
      <w:numFmt w:val="lowerRoman"/>
      <w:lvlText w:val="%9."/>
      <w:lvlJc w:val="right"/>
      <w:pPr>
        <w:ind w:left="7975" w:hanging="180"/>
      </w:pPr>
    </w:lvl>
  </w:abstractNum>
  <w:abstractNum w:abstractNumId="3" w15:restartNumberingAfterBreak="0">
    <w:nsid w:val="05A823CC"/>
    <w:multiLevelType w:val="hybridMultilevel"/>
    <w:tmpl w:val="1CC28CE6"/>
    <w:lvl w:ilvl="0" w:tplc="CCE05C7A">
      <w:start w:val="1"/>
      <w:numFmt w:val="lowerLetter"/>
      <w:lvlText w:val="%1."/>
      <w:lvlJc w:val="left"/>
      <w:pPr>
        <w:ind w:left="1080" w:hanging="360"/>
      </w:pPr>
      <w:rPr>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7857E1"/>
    <w:multiLevelType w:val="multilevel"/>
    <w:tmpl w:val="4DA418A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2D7EFA"/>
    <w:multiLevelType w:val="multilevel"/>
    <w:tmpl w:val="4FE8F5B6"/>
    <w:lvl w:ilvl="0">
      <w:start w:val="5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BFB48D5"/>
    <w:multiLevelType w:val="hybridMultilevel"/>
    <w:tmpl w:val="8DE06262"/>
    <w:lvl w:ilvl="0" w:tplc="701098CE">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125E4FB9"/>
    <w:multiLevelType w:val="hybridMultilevel"/>
    <w:tmpl w:val="316EC9E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960E38"/>
    <w:multiLevelType w:val="hybridMultilevel"/>
    <w:tmpl w:val="91504D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C73CA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22E31F7D"/>
    <w:multiLevelType w:val="hybridMultilevel"/>
    <w:tmpl w:val="4D80B9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9D73B67"/>
    <w:multiLevelType w:val="hybridMultilevel"/>
    <w:tmpl w:val="21700D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B0E5391"/>
    <w:multiLevelType w:val="hybridMultilevel"/>
    <w:tmpl w:val="E124E04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43460AAE"/>
    <w:multiLevelType w:val="multilevel"/>
    <w:tmpl w:val="B3AEAC7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D037EF"/>
    <w:multiLevelType w:val="hybridMultilevel"/>
    <w:tmpl w:val="123E3E34"/>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5" w15:restartNumberingAfterBreak="0">
    <w:nsid w:val="4FFF1F99"/>
    <w:multiLevelType w:val="multilevel"/>
    <w:tmpl w:val="CB261E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3193775"/>
    <w:multiLevelType w:val="hybridMultilevel"/>
    <w:tmpl w:val="23304B8A"/>
    <w:lvl w:ilvl="0" w:tplc="5E88E762">
      <w:start w:val="1"/>
      <w:numFmt w:val="lowerLetter"/>
      <w:lvlText w:val="%1."/>
      <w:lvlJc w:val="left"/>
      <w:pPr>
        <w:ind w:left="1080" w:hanging="360"/>
      </w:pPr>
      <w:rPr>
        <w:b w:val="0"/>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8" w15:restartNumberingAfterBreak="0">
    <w:nsid w:val="560839D1"/>
    <w:multiLevelType w:val="hybridMultilevel"/>
    <w:tmpl w:val="17DCB42A"/>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DE265A8"/>
    <w:multiLevelType w:val="hybridMultilevel"/>
    <w:tmpl w:val="43B4B326"/>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31" w15:restartNumberingAfterBreak="0">
    <w:nsid w:val="5E064666"/>
    <w:multiLevelType w:val="hybridMultilevel"/>
    <w:tmpl w:val="5524C8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953509"/>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5276729"/>
    <w:multiLevelType w:val="hybridMultilevel"/>
    <w:tmpl w:val="70F4E0A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15:restartNumberingAfterBreak="0">
    <w:nsid w:val="69DA272E"/>
    <w:multiLevelType w:val="hybridMultilevel"/>
    <w:tmpl w:val="D04466CC"/>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719D6587"/>
    <w:multiLevelType w:val="multilevel"/>
    <w:tmpl w:val="5B064CE0"/>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BB02B2"/>
    <w:multiLevelType w:val="multilevel"/>
    <w:tmpl w:val="0B40EC0C"/>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F0314A"/>
    <w:multiLevelType w:val="multilevel"/>
    <w:tmpl w:val="3A508B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435A25"/>
    <w:multiLevelType w:val="multilevel"/>
    <w:tmpl w:val="0C56AA58"/>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4"/>
  </w:num>
  <w:num w:numId="2">
    <w:abstractNumId w:val="38"/>
  </w:num>
  <w:num w:numId="3">
    <w:abstractNumId w:val="18"/>
  </w:num>
  <w:num w:numId="4">
    <w:abstractNumId w:val="27"/>
  </w:num>
  <w:num w:numId="5">
    <w:abstractNumId w:val="29"/>
  </w:num>
  <w:num w:numId="6">
    <w:abstractNumId w:val="31"/>
  </w:num>
  <w:num w:numId="7">
    <w:abstractNumId w:val="8"/>
  </w:num>
  <w:num w:numId="8">
    <w:abstractNumId w:val="12"/>
  </w:num>
  <w:num w:numId="9">
    <w:abstractNumId w:val="32"/>
  </w:num>
  <w:num w:numId="10">
    <w:abstractNumId w:val="9"/>
  </w:num>
  <w:num w:numId="11">
    <w:abstractNumId w:val="7"/>
  </w:num>
  <w:num w:numId="12">
    <w:abstractNumId w:val="0"/>
  </w:num>
  <w:num w:numId="13">
    <w:abstractNumId w:val="34"/>
  </w:num>
  <w:num w:numId="14">
    <w:abstractNumId w:val="13"/>
  </w:num>
  <w:num w:numId="15">
    <w:abstractNumId w:val="15"/>
  </w:num>
  <w:num w:numId="16">
    <w:abstractNumId w:val="19"/>
  </w:num>
  <w:num w:numId="17">
    <w:abstractNumId w:val="3"/>
  </w:num>
  <w:num w:numId="18">
    <w:abstractNumId w:val="26"/>
  </w:num>
  <w:num w:numId="19">
    <w:abstractNumId w:val="22"/>
  </w:num>
  <w:num w:numId="20">
    <w:abstractNumId w:val="35"/>
  </w:num>
  <w:num w:numId="21">
    <w:abstractNumId w:val="21"/>
  </w:num>
  <w:num w:numId="22">
    <w:abstractNumId w:val="39"/>
  </w:num>
  <w:num w:numId="23">
    <w:abstractNumId w:val="23"/>
  </w:num>
  <w:num w:numId="24">
    <w:abstractNumId w:val="6"/>
  </w:num>
  <w:num w:numId="25">
    <w:abstractNumId w:val="17"/>
  </w:num>
  <w:num w:numId="26">
    <w:abstractNumId w:val="10"/>
  </w:num>
  <w:num w:numId="27">
    <w:abstractNumId w:val="16"/>
  </w:num>
  <w:num w:numId="28">
    <w:abstractNumId w:val="37"/>
  </w:num>
  <w:num w:numId="29">
    <w:abstractNumId w:val="5"/>
  </w:num>
  <w:num w:numId="30">
    <w:abstractNumId w:val="4"/>
  </w:num>
  <w:num w:numId="31">
    <w:abstractNumId w:val="11"/>
  </w:num>
  <w:num w:numId="32">
    <w:abstractNumId w:val="33"/>
  </w:num>
  <w:num w:numId="33">
    <w:abstractNumId w:val="30"/>
  </w:num>
  <w:num w:numId="34">
    <w:abstractNumId w:val="28"/>
  </w:num>
  <w:num w:numId="35">
    <w:abstractNumId w:val="14"/>
  </w:num>
  <w:num w:numId="36">
    <w:abstractNumId w:val="20"/>
  </w:num>
  <w:num w:numId="37">
    <w:abstractNumId w:val="25"/>
  </w:num>
  <w:num w:numId="38">
    <w:abstractNumId w:val="36"/>
  </w:num>
  <w:num w:numId="39">
    <w:abstractNumId w:val="1"/>
  </w:num>
  <w:num w:numId="4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1E4F"/>
    <w:rsid w:val="0000331A"/>
    <w:rsid w:val="00003DD9"/>
    <w:rsid w:val="00003F4F"/>
    <w:rsid w:val="00011951"/>
    <w:rsid w:val="00017D12"/>
    <w:rsid w:val="0002056C"/>
    <w:rsid w:val="00024F93"/>
    <w:rsid w:val="00035D9D"/>
    <w:rsid w:val="00036F07"/>
    <w:rsid w:val="00037694"/>
    <w:rsid w:val="000378D9"/>
    <w:rsid w:val="000421FA"/>
    <w:rsid w:val="00043971"/>
    <w:rsid w:val="000455E0"/>
    <w:rsid w:val="00046966"/>
    <w:rsid w:val="000476E1"/>
    <w:rsid w:val="00047B71"/>
    <w:rsid w:val="000520F4"/>
    <w:rsid w:val="00053346"/>
    <w:rsid w:val="0005686E"/>
    <w:rsid w:val="0006046A"/>
    <w:rsid w:val="00060D88"/>
    <w:rsid w:val="00060E57"/>
    <w:rsid w:val="00062444"/>
    <w:rsid w:val="000625CC"/>
    <w:rsid w:val="0006322D"/>
    <w:rsid w:val="000637F9"/>
    <w:rsid w:val="0007021D"/>
    <w:rsid w:val="00070275"/>
    <w:rsid w:val="00070E1F"/>
    <w:rsid w:val="00071483"/>
    <w:rsid w:val="00073DB1"/>
    <w:rsid w:val="000746C9"/>
    <w:rsid w:val="000773D6"/>
    <w:rsid w:val="00077434"/>
    <w:rsid w:val="000922C9"/>
    <w:rsid w:val="00092660"/>
    <w:rsid w:val="000959FB"/>
    <w:rsid w:val="000A4A39"/>
    <w:rsid w:val="000A61EB"/>
    <w:rsid w:val="000A6C04"/>
    <w:rsid w:val="000B351A"/>
    <w:rsid w:val="000B6A4D"/>
    <w:rsid w:val="000C5A13"/>
    <w:rsid w:val="000D3698"/>
    <w:rsid w:val="000D4D94"/>
    <w:rsid w:val="000D50F3"/>
    <w:rsid w:val="000D6D93"/>
    <w:rsid w:val="000D7C84"/>
    <w:rsid w:val="000D7D28"/>
    <w:rsid w:val="000E0AA5"/>
    <w:rsid w:val="000E229A"/>
    <w:rsid w:val="000E249F"/>
    <w:rsid w:val="000E52AD"/>
    <w:rsid w:val="000E67B2"/>
    <w:rsid w:val="000E6B02"/>
    <w:rsid w:val="000E72D7"/>
    <w:rsid w:val="000F0E9C"/>
    <w:rsid w:val="000F0FC7"/>
    <w:rsid w:val="000F113E"/>
    <w:rsid w:val="000F1B99"/>
    <w:rsid w:val="000F405D"/>
    <w:rsid w:val="000F6F52"/>
    <w:rsid w:val="00102F1F"/>
    <w:rsid w:val="001111CA"/>
    <w:rsid w:val="001113FD"/>
    <w:rsid w:val="001126E5"/>
    <w:rsid w:val="001131A7"/>
    <w:rsid w:val="00113F30"/>
    <w:rsid w:val="00115E30"/>
    <w:rsid w:val="0012052F"/>
    <w:rsid w:val="0012168E"/>
    <w:rsid w:val="00124428"/>
    <w:rsid w:val="00126259"/>
    <w:rsid w:val="001274FA"/>
    <w:rsid w:val="00127517"/>
    <w:rsid w:val="001405CB"/>
    <w:rsid w:val="00146910"/>
    <w:rsid w:val="00150508"/>
    <w:rsid w:val="001510F9"/>
    <w:rsid w:val="001518A7"/>
    <w:rsid w:val="00154B8A"/>
    <w:rsid w:val="00161EAC"/>
    <w:rsid w:val="00163A0B"/>
    <w:rsid w:val="001668E1"/>
    <w:rsid w:val="0017183C"/>
    <w:rsid w:val="00172272"/>
    <w:rsid w:val="001732BA"/>
    <w:rsid w:val="001765AF"/>
    <w:rsid w:val="00177F8D"/>
    <w:rsid w:val="00181219"/>
    <w:rsid w:val="001812A6"/>
    <w:rsid w:val="00186184"/>
    <w:rsid w:val="001865E8"/>
    <w:rsid w:val="00196516"/>
    <w:rsid w:val="00196AA0"/>
    <w:rsid w:val="00196D9E"/>
    <w:rsid w:val="001A030B"/>
    <w:rsid w:val="001A066B"/>
    <w:rsid w:val="001A51BB"/>
    <w:rsid w:val="001A5BC3"/>
    <w:rsid w:val="001A78A1"/>
    <w:rsid w:val="001B09B2"/>
    <w:rsid w:val="001B10E1"/>
    <w:rsid w:val="001B1A41"/>
    <w:rsid w:val="001B631F"/>
    <w:rsid w:val="001C07C1"/>
    <w:rsid w:val="001C3FA6"/>
    <w:rsid w:val="001C4E30"/>
    <w:rsid w:val="001C5380"/>
    <w:rsid w:val="001C76DB"/>
    <w:rsid w:val="001C77A4"/>
    <w:rsid w:val="001D0F93"/>
    <w:rsid w:val="001D3B8D"/>
    <w:rsid w:val="001D651C"/>
    <w:rsid w:val="001D6B14"/>
    <w:rsid w:val="001E0E8C"/>
    <w:rsid w:val="001E0FFE"/>
    <w:rsid w:val="001E155D"/>
    <w:rsid w:val="001E1C9B"/>
    <w:rsid w:val="001E2CB9"/>
    <w:rsid w:val="001F159B"/>
    <w:rsid w:val="001F2A4E"/>
    <w:rsid w:val="001F77B3"/>
    <w:rsid w:val="00200B31"/>
    <w:rsid w:val="00205368"/>
    <w:rsid w:val="002061C6"/>
    <w:rsid w:val="00207157"/>
    <w:rsid w:val="00207883"/>
    <w:rsid w:val="002109CD"/>
    <w:rsid w:val="00216DCC"/>
    <w:rsid w:val="00221F2F"/>
    <w:rsid w:val="00223B24"/>
    <w:rsid w:val="00225BB0"/>
    <w:rsid w:val="00225CA8"/>
    <w:rsid w:val="002266B0"/>
    <w:rsid w:val="00232DAC"/>
    <w:rsid w:val="002339E2"/>
    <w:rsid w:val="00233A58"/>
    <w:rsid w:val="002358AE"/>
    <w:rsid w:val="00241B2C"/>
    <w:rsid w:val="00242CEA"/>
    <w:rsid w:val="002510AE"/>
    <w:rsid w:val="00251351"/>
    <w:rsid w:val="002555C1"/>
    <w:rsid w:val="00256A73"/>
    <w:rsid w:val="002606FC"/>
    <w:rsid w:val="00260E30"/>
    <w:rsid w:val="00261F0D"/>
    <w:rsid w:val="002629BB"/>
    <w:rsid w:val="00266BCC"/>
    <w:rsid w:val="00270982"/>
    <w:rsid w:val="00270B9D"/>
    <w:rsid w:val="0027567B"/>
    <w:rsid w:val="00277CE4"/>
    <w:rsid w:val="0028047F"/>
    <w:rsid w:val="00281481"/>
    <w:rsid w:val="00284285"/>
    <w:rsid w:val="00284B15"/>
    <w:rsid w:val="002859D5"/>
    <w:rsid w:val="00293093"/>
    <w:rsid w:val="002936A4"/>
    <w:rsid w:val="00296C6B"/>
    <w:rsid w:val="00297A5F"/>
    <w:rsid w:val="002A17A3"/>
    <w:rsid w:val="002A1D86"/>
    <w:rsid w:val="002A36AC"/>
    <w:rsid w:val="002A534D"/>
    <w:rsid w:val="002A5553"/>
    <w:rsid w:val="002A59E3"/>
    <w:rsid w:val="002A7D38"/>
    <w:rsid w:val="002B3955"/>
    <w:rsid w:val="002B4999"/>
    <w:rsid w:val="002B4DA2"/>
    <w:rsid w:val="002B5C39"/>
    <w:rsid w:val="002C0F60"/>
    <w:rsid w:val="002C2A8A"/>
    <w:rsid w:val="002C3F0B"/>
    <w:rsid w:val="002C4C13"/>
    <w:rsid w:val="002C5404"/>
    <w:rsid w:val="002C59FE"/>
    <w:rsid w:val="002C72F0"/>
    <w:rsid w:val="002D3628"/>
    <w:rsid w:val="002D36BB"/>
    <w:rsid w:val="002D5602"/>
    <w:rsid w:val="002D5A63"/>
    <w:rsid w:val="002D5C0D"/>
    <w:rsid w:val="002E0910"/>
    <w:rsid w:val="002E09D8"/>
    <w:rsid w:val="002E6E8F"/>
    <w:rsid w:val="002E7B8B"/>
    <w:rsid w:val="002F21A5"/>
    <w:rsid w:val="002F45BA"/>
    <w:rsid w:val="002F5A77"/>
    <w:rsid w:val="002F68CF"/>
    <w:rsid w:val="00301118"/>
    <w:rsid w:val="00306FA9"/>
    <w:rsid w:val="003075D7"/>
    <w:rsid w:val="003139D4"/>
    <w:rsid w:val="00317D45"/>
    <w:rsid w:val="0032282B"/>
    <w:rsid w:val="00326DFA"/>
    <w:rsid w:val="0033057E"/>
    <w:rsid w:val="00330BF2"/>
    <w:rsid w:val="00331DE1"/>
    <w:rsid w:val="00332259"/>
    <w:rsid w:val="00332617"/>
    <w:rsid w:val="0033282A"/>
    <w:rsid w:val="0033402D"/>
    <w:rsid w:val="003341D5"/>
    <w:rsid w:val="00337D94"/>
    <w:rsid w:val="003400CB"/>
    <w:rsid w:val="003403E0"/>
    <w:rsid w:val="003458E4"/>
    <w:rsid w:val="00346C31"/>
    <w:rsid w:val="00351275"/>
    <w:rsid w:val="00352CF0"/>
    <w:rsid w:val="003544AC"/>
    <w:rsid w:val="00357294"/>
    <w:rsid w:val="0036122E"/>
    <w:rsid w:val="0036207B"/>
    <w:rsid w:val="00362B4D"/>
    <w:rsid w:val="00363484"/>
    <w:rsid w:val="003644DE"/>
    <w:rsid w:val="00371253"/>
    <w:rsid w:val="0037286F"/>
    <w:rsid w:val="00385C23"/>
    <w:rsid w:val="00387341"/>
    <w:rsid w:val="00387785"/>
    <w:rsid w:val="00390B36"/>
    <w:rsid w:val="003924EB"/>
    <w:rsid w:val="00392B5C"/>
    <w:rsid w:val="00395456"/>
    <w:rsid w:val="00397C94"/>
    <w:rsid w:val="003A00EA"/>
    <w:rsid w:val="003A17E5"/>
    <w:rsid w:val="003A3F37"/>
    <w:rsid w:val="003A47EA"/>
    <w:rsid w:val="003A6672"/>
    <w:rsid w:val="003A7307"/>
    <w:rsid w:val="003B1473"/>
    <w:rsid w:val="003B4131"/>
    <w:rsid w:val="003B48E1"/>
    <w:rsid w:val="003B4C8D"/>
    <w:rsid w:val="003C18D9"/>
    <w:rsid w:val="003C2176"/>
    <w:rsid w:val="003C43D0"/>
    <w:rsid w:val="003C51F5"/>
    <w:rsid w:val="003D0E31"/>
    <w:rsid w:val="003D105F"/>
    <w:rsid w:val="003D2186"/>
    <w:rsid w:val="003D2691"/>
    <w:rsid w:val="003D288B"/>
    <w:rsid w:val="003D2D85"/>
    <w:rsid w:val="003E0A43"/>
    <w:rsid w:val="003E1C35"/>
    <w:rsid w:val="003E2B2A"/>
    <w:rsid w:val="003E2FB2"/>
    <w:rsid w:val="003E39C5"/>
    <w:rsid w:val="003E664D"/>
    <w:rsid w:val="003E6CA4"/>
    <w:rsid w:val="003F1E06"/>
    <w:rsid w:val="003F6DA2"/>
    <w:rsid w:val="0040233E"/>
    <w:rsid w:val="00407AD3"/>
    <w:rsid w:val="00410493"/>
    <w:rsid w:val="00413357"/>
    <w:rsid w:val="004216D4"/>
    <w:rsid w:val="0042360C"/>
    <w:rsid w:val="00424BDA"/>
    <w:rsid w:val="00425B35"/>
    <w:rsid w:val="00427010"/>
    <w:rsid w:val="004278B6"/>
    <w:rsid w:val="004305EE"/>
    <w:rsid w:val="00433200"/>
    <w:rsid w:val="00434E54"/>
    <w:rsid w:val="00434EE2"/>
    <w:rsid w:val="00437B2C"/>
    <w:rsid w:val="004401AC"/>
    <w:rsid w:val="00442770"/>
    <w:rsid w:val="00443C30"/>
    <w:rsid w:val="00444DD4"/>
    <w:rsid w:val="00444E76"/>
    <w:rsid w:val="004453B4"/>
    <w:rsid w:val="00450E28"/>
    <w:rsid w:val="00451CF4"/>
    <w:rsid w:val="00454070"/>
    <w:rsid w:val="00454C50"/>
    <w:rsid w:val="00455525"/>
    <w:rsid w:val="004602F0"/>
    <w:rsid w:val="00460DFA"/>
    <w:rsid w:val="0046190C"/>
    <w:rsid w:val="00463EAE"/>
    <w:rsid w:val="00470606"/>
    <w:rsid w:val="00471C55"/>
    <w:rsid w:val="00473911"/>
    <w:rsid w:val="00481FAC"/>
    <w:rsid w:val="004862CB"/>
    <w:rsid w:val="00486300"/>
    <w:rsid w:val="0048675C"/>
    <w:rsid w:val="00487EC7"/>
    <w:rsid w:val="00491452"/>
    <w:rsid w:val="00492000"/>
    <w:rsid w:val="004927E8"/>
    <w:rsid w:val="004A4399"/>
    <w:rsid w:val="004B0B6F"/>
    <w:rsid w:val="004B2F2F"/>
    <w:rsid w:val="004B55D1"/>
    <w:rsid w:val="004B623C"/>
    <w:rsid w:val="004B648F"/>
    <w:rsid w:val="004B75E6"/>
    <w:rsid w:val="004D0254"/>
    <w:rsid w:val="004D0415"/>
    <w:rsid w:val="004D2F61"/>
    <w:rsid w:val="004D3BF6"/>
    <w:rsid w:val="004D4435"/>
    <w:rsid w:val="004E0AFD"/>
    <w:rsid w:val="004E302F"/>
    <w:rsid w:val="004E3940"/>
    <w:rsid w:val="004E51E5"/>
    <w:rsid w:val="004E591D"/>
    <w:rsid w:val="004E658C"/>
    <w:rsid w:val="004E6B66"/>
    <w:rsid w:val="004E746E"/>
    <w:rsid w:val="004F5F97"/>
    <w:rsid w:val="00501EA6"/>
    <w:rsid w:val="00502727"/>
    <w:rsid w:val="005071A5"/>
    <w:rsid w:val="005107F7"/>
    <w:rsid w:val="0051643C"/>
    <w:rsid w:val="00523402"/>
    <w:rsid w:val="005236FE"/>
    <w:rsid w:val="0052393A"/>
    <w:rsid w:val="00532FEE"/>
    <w:rsid w:val="00533FB7"/>
    <w:rsid w:val="00536DC5"/>
    <w:rsid w:val="005378C6"/>
    <w:rsid w:val="0054201B"/>
    <w:rsid w:val="00543175"/>
    <w:rsid w:val="005544CA"/>
    <w:rsid w:val="005556B6"/>
    <w:rsid w:val="005565B6"/>
    <w:rsid w:val="00563F40"/>
    <w:rsid w:val="00564FF6"/>
    <w:rsid w:val="0056710D"/>
    <w:rsid w:val="005744D9"/>
    <w:rsid w:val="00575CCB"/>
    <w:rsid w:val="00580B43"/>
    <w:rsid w:val="005818AD"/>
    <w:rsid w:val="00582FFE"/>
    <w:rsid w:val="00584D8A"/>
    <w:rsid w:val="00591089"/>
    <w:rsid w:val="00596DC5"/>
    <w:rsid w:val="005A367B"/>
    <w:rsid w:val="005A4ED2"/>
    <w:rsid w:val="005A5B18"/>
    <w:rsid w:val="005B371F"/>
    <w:rsid w:val="005B4BC0"/>
    <w:rsid w:val="005C074F"/>
    <w:rsid w:val="005C2A72"/>
    <w:rsid w:val="005C4221"/>
    <w:rsid w:val="005C454A"/>
    <w:rsid w:val="005C4743"/>
    <w:rsid w:val="005C5493"/>
    <w:rsid w:val="005C7AB7"/>
    <w:rsid w:val="005D3B78"/>
    <w:rsid w:val="005D481A"/>
    <w:rsid w:val="005D59CE"/>
    <w:rsid w:val="005E1B4C"/>
    <w:rsid w:val="005E4C41"/>
    <w:rsid w:val="005E58C9"/>
    <w:rsid w:val="005E707E"/>
    <w:rsid w:val="005F0956"/>
    <w:rsid w:val="005F192C"/>
    <w:rsid w:val="005F1CCB"/>
    <w:rsid w:val="005F2E45"/>
    <w:rsid w:val="005F5122"/>
    <w:rsid w:val="005F7977"/>
    <w:rsid w:val="006000C2"/>
    <w:rsid w:val="00600D7C"/>
    <w:rsid w:val="0060227F"/>
    <w:rsid w:val="006023DE"/>
    <w:rsid w:val="00603833"/>
    <w:rsid w:val="00603864"/>
    <w:rsid w:val="00603BE7"/>
    <w:rsid w:val="0060432F"/>
    <w:rsid w:val="00606FF3"/>
    <w:rsid w:val="00616FE7"/>
    <w:rsid w:val="00621308"/>
    <w:rsid w:val="006226EE"/>
    <w:rsid w:val="0062680F"/>
    <w:rsid w:val="00631614"/>
    <w:rsid w:val="006319EA"/>
    <w:rsid w:val="00631CDB"/>
    <w:rsid w:val="00631D63"/>
    <w:rsid w:val="00633A2C"/>
    <w:rsid w:val="006350DA"/>
    <w:rsid w:val="00635948"/>
    <w:rsid w:val="00636A4F"/>
    <w:rsid w:val="0064188B"/>
    <w:rsid w:val="00643373"/>
    <w:rsid w:val="00644641"/>
    <w:rsid w:val="00651B30"/>
    <w:rsid w:val="00654033"/>
    <w:rsid w:val="0065458D"/>
    <w:rsid w:val="0065634A"/>
    <w:rsid w:val="00656F4A"/>
    <w:rsid w:val="00661E6D"/>
    <w:rsid w:val="0066225D"/>
    <w:rsid w:val="00662FD3"/>
    <w:rsid w:val="006664EC"/>
    <w:rsid w:val="00667C8E"/>
    <w:rsid w:val="006736CE"/>
    <w:rsid w:val="00673DC5"/>
    <w:rsid w:val="00676FAB"/>
    <w:rsid w:val="00680705"/>
    <w:rsid w:val="006816FB"/>
    <w:rsid w:val="0068314D"/>
    <w:rsid w:val="00684DE4"/>
    <w:rsid w:val="00686977"/>
    <w:rsid w:val="00687A41"/>
    <w:rsid w:val="0069076E"/>
    <w:rsid w:val="00690EBA"/>
    <w:rsid w:val="006913AF"/>
    <w:rsid w:val="00691E11"/>
    <w:rsid w:val="006920DE"/>
    <w:rsid w:val="00692422"/>
    <w:rsid w:val="00694BD3"/>
    <w:rsid w:val="00695220"/>
    <w:rsid w:val="00696CCE"/>
    <w:rsid w:val="00697A47"/>
    <w:rsid w:val="006A129D"/>
    <w:rsid w:val="006A2645"/>
    <w:rsid w:val="006A28FF"/>
    <w:rsid w:val="006A7954"/>
    <w:rsid w:val="006A7B58"/>
    <w:rsid w:val="006B0D8F"/>
    <w:rsid w:val="006B117E"/>
    <w:rsid w:val="006B1694"/>
    <w:rsid w:val="006B5D32"/>
    <w:rsid w:val="006C0748"/>
    <w:rsid w:val="006C0A3F"/>
    <w:rsid w:val="006C0A8A"/>
    <w:rsid w:val="006C4541"/>
    <w:rsid w:val="006C4A35"/>
    <w:rsid w:val="006C7BDD"/>
    <w:rsid w:val="006D0211"/>
    <w:rsid w:val="006D1845"/>
    <w:rsid w:val="006D2AD0"/>
    <w:rsid w:val="006D45A0"/>
    <w:rsid w:val="006D5225"/>
    <w:rsid w:val="006D6E88"/>
    <w:rsid w:val="006E06C4"/>
    <w:rsid w:val="006E0F69"/>
    <w:rsid w:val="006E16E5"/>
    <w:rsid w:val="006E28A1"/>
    <w:rsid w:val="006E295A"/>
    <w:rsid w:val="006F1C4A"/>
    <w:rsid w:val="006F2D70"/>
    <w:rsid w:val="006F47DF"/>
    <w:rsid w:val="006F49D1"/>
    <w:rsid w:val="006F4A68"/>
    <w:rsid w:val="006F6066"/>
    <w:rsid w:val="00701F9A"/>
    <w:rsid w:val="007069FD"/>
    <w:rsid w:val="00706C74"/>
    <w:rsid w:val="00711A66"/>
    <w:rsid w:val="00715BFD"/>
    <w:rsid w:val="007160CF"/>
    <w:rsid w:val="00720581"/>
    <w:rsid w:val="0072148B"/>
    <w:rsid w:val="007219AA"/>
    <w:rsid w:val="00723BC7"/>
    <w:rsid w:val="007260E0"/>
    <w:rsid w:val="007266C3"/>
    <w:rsid w:val="0072714D"/>
    <w:rsid w:val="00731DA3"/>
    <w:rsid w:val="007340F0"/>
    <w:rsid w:val="00734D78"/>
    <w:rsid w:val="00735424"/>
    <w:rsid w:val="00737648"/>
    <w:rsid w:val="00737C44"/>
    <w:rsid w:val="007406BD"/>
    <w:rsid w:val="00741053"/>
    <w:rsid w:val="007451CB"/>
    <w:rsid w:val="00746978"/>
    <w:rsid w:val="00747109"/>
    <w:rsid w:val="00751354"/>
    <w:rsid w:val="00751BDC"/>
    <w:rsid w:val="007523E0"/>
    <w:rsid w:val="0075562E"/>
    <w:rsid w:val="00764299"/>
    <w:rsid w:val="00764C47"/>
    <w:rsid w:val="00764DF2"/>
    <w:rsid w:val="00764F1D"/>
    <w:rsid w:val="00765C29"/>
    <w:rsid w:val="00770DF7"/>
    <w:rsid w:val="007715D9"/>
    <w:rsid w:val="00774D62"/>
    <w:rsid w:val="0077579C"/>
    <w:rsid w:val="00776874"/>
    <w:rsid w:val="00785B5E"/>
    <w:rsid w:val="00785E6C"/>
    <w:rsid w:val="00790D5C"/>
    <w:rsid w:val="00790F20"/>
    <w:rsid w:val="00791719"/>
    <w:rsid w:val="007930D3"/>
    <w:rsid w:val="00795F73"/>
    <w:rsid w:val="00796A13"/>
    <w:rsid w:val="0079778B"/>
    <w:rsid w:val="00797E27"/>
    <w:rsid w:val="007A5006"/>
    <w:rsid w:val="007A5DE4"/>
    <w:rsid w:val="007B0ABA"/>
    <w:rsid w:val="007B0FD0"/>
    <w:rsid w:val="007B51C1"/>
    <w:rsid w:val="007B6C06"/>
    <w:rsid w:val="007B6F99"/>
    <w:rsid w:val="007B7C68"/>
    <w:rsid w:val="007C2BD4"/>
    <w:rsid w:val="007C5583"/>
    <w:rsid w:val="007C76C2"/>
    <w:rsid w:val="007D0D82"/>
    <w:rsid w:val="007D7476"/>
    <w:rsid w:val="007E27AA"/>
    <w:rsid w:val="007E309B"/>
    <w:rsid w:val="007E4696"/>
    <w:rsid w:val="007E48D0"/>
    <w:rsid w:val="007E5560"/>
    <w:rsid w:val="007F139A"/>
    <w:rsid w:val="007F1775"/>
    <w:rsid w:val="007F1CC8"/>
    <w:rsid w:val="007F369E"/>
    <w:rsid w:val="007F61D8"/>
    <w:rsid w:val="00800DD3"/>
    <w:rsid w:val="008016DD"/>
    <w:rsid w:val="00802549"/>
    <w:rsid w:val="0080341F"/>
    <w:rsid w:val="0080418E"/>
    <w:rsid w:val="00806226"/>
    <w:rsid w:val="008238A5"/>
    <w:rsid w:val="0082506A"/>
    <w:rsid w:val="00826986"/>
    <w:rsid w:val="0082707E"/>
    <w:rsid w:val="00831106"/>
    <w:rsid w:val="00834A6A"/>
    <w:rsid w:val="00835ACA"/>
    <w:rsid w:val="00841FEE"/>
    <w:rsid w:val="0084208B"/>
    <w:rsid w:val="00850CC3"/>
    <w:rsid w:val="008516FD"/>
    <w:rsid w:val="00854EB7"/>
    <w:rsid w:val="0085755E"/>
    <w:rsid w:val="00864382"/>
    <w:rsid w:val="00865CA1"/>
    <w:rsid w:val="00865D41"/>
    <w:rsid w:val="00870C33"/>
    <w:rsid w:val="00870D8C"/>
    <w:rsid w:val="008715CD"/>
    <w:rsid w:val="008756A8"/>
    <w:rsid w:val="0088249E"/>
    <w:rsid w:val="00885A7B"/>
    <w:rsid w:val="00886316"/>
    <w:rsid w:val="00890BBB"/>
    <w:rsid w:val="008933C4"/>
    <w:rsid w:val="00893AEB"/>
    <w:rsid w:val="00895F43"/>
    <w:rsid w:val="008A2D0D"/>
    <w:rsid w:val="008A36C1"/>
    <w:rsid w:val="008A643F"/>
    <w:rsid w:val="008A6C8C"/>
    <w:rsid w:val="008B42B7"/>
    <w:rsid w:val="008B6204"/>
    <w:rsid w:val="008B6C1C"/>
    <w:rsid w:val="008B7761"/>
    <w:rsid w:val="008B7800"/>
    <w:rsid w:val="008C0E4F"/>
    <w:rsid w:val="008C5B34"/>
    <w:rsid w:val="008C6196"/>
    <w:rsid w:val="008C7F02"/>
    <w:rsid w:val="008D0050"/>
    <w:rsid w:val="008D12E0"/>
    <w:rsid w:val="008D4DFC"/>
    <w:rsid w:val="008D5396"/>
    <w:rsid w:val="008D7A23"/>
    <w:rsid w:val="008E1431"/>
    <w:rsid w:val="008E36DA"/>
    <w:rsid w:val="008F00A3"/>
    <w:rsid w:val="008F2DC7"/>
    <w:rsid w:val="008F409F"/>
    <w:rsid w:val="008F4572"/>
    <w:rsid w:val="008F4A76"/>
    <w:rsid w:val="008F650E"/>
    <w:rsid w:val="00900402"/>
    <w:rsid w:val="009022FF"/>
    <w:rsid w:val="00903B52"/>
    <w:rsid w:val="009069C6"/>
    <w:rsid w:val="009075A0"/>
    <w:rsid w:val="00907E4E"/>
    <w:rsid w:val="00911256"/>
    <w:rsid w:val="00913687"/>
    <w:rsid w:val="0091616A"/>
    <w:rsid w:val="00916687"/>
    <w:rsid w:val="00920AC7"/>
    <w:rsid w:val="00931ADB"/>
    <w:rsid w:val="009327E4"/>
    <w:rsid w:val="00932B26"/>
    <w:rsid w:val="009339B0"/>
    <w:rsid w:val="00936FC3"/>
    <w:rsid w:val="009461BF"/>
    <w:rsid w:val="0094792E"/>
    <w:rsid w:val="009549A1"/>
    <w:rsid w:val="0095583F"/>
    <w:rsid w:val="009608E0"/>
    <w:rsid w:val="00960ABF"/>
    <w:rsid w:val="00965F5C"/>
    <w:rsid w:val="00972439"/>
    <w:rsid w:val="00974103"/>
    <w:rsid w:val="00974B85"/>
    <w:rsid w:val="00975EDC"/>
    <w:rsid w:val="00976939"/>
    <w:rsid w:val="00976E62"/>
    <w:rsid w:val="00981FB0"/>
    <w:rsid w:val="0098267E"/>
    <w:rsid w:val="00984ABF"/>
    <w:rsid w:val="00985134"/>
    <w:rsid w:val="009927D7"/>
    <w:rsid w:val="00992975"/>
    <w:rsid w:val="009935A8"/>
    <w:rsid w:val="00993617"/>
    <w:rsid w:val="0099408A"/>
    <w:rsid w:val="00994B98"/>
    <w:rsid w:val="009957ED"/>
    <w:rsid w:val="009965CB"/>
    <w:rsid w:val="009A0992"/>
    <w:rsid w:val="009A21A0"/>
    <w:rsid w:val="009A2EC0"/>
    <w:rsid w:val="009A2F64"/>
    <w:rsid w:val="009A37A1"/>
    <w:rsid w:val="009A46CD"/>
    <w:rsid w:val="009A6040"/>
    <w:rsid w:val="009B018E"/>
    <w:rsid w:val="009B18E2"/>
    <w:rsid w:val="009B2185"/>
    <w:rsid w:val="009C254C"/>
    <w:rsid w:val="009C79B8"/>
    <w:rsid w:val="009D0E3A"/>
    <w:rsid w:val="009D160C"/>
    <w:rsid w:val="009D2822"/>
    <w:rsid w:val="009D3481"/>
    <w:rsid w:val="009D3C45"/>
    <w:rsid w:val="009D5127"/>
    <w:rsid w:val="009E6FFD"/>
    <w:rsid w:val="009F1AAA"/>
    <w:rsid w:val="009F2192"/>
    <w:rsid w:val="009F2579"/>
    <w:rsid w:val="009F597C"/>
    <w:rsid w:val="009F74E4"/>
    <w:rsid w:val="00A0119C"/>
    <w:rsid w:val="00A02349"/>
    <w:rsid w:val="00A04A1B"/>
    <w:rsid w:val="00A06C8F"/>
    <w:rsid w:val="00A077F4"/>
    <w:rsid w:val="00A07A67"/>
    <w:rsid w:val="00A14DD0"/>
    <w:rsid w:val="00A17B42"/>
    <w:rsid w:val="00A2655C"/>
    <w:rsid w:val="00A27E7A"/>
    <w:rsid w:val="00A362BA"/>
    <w:rsid w:val="00A460EB"/>
    <w:rsid w:val="00A51835"/>
    <w:rsid w:val="00A52E73"/>
    <w:rsid w:val="00A54F68"/>
    <w:rsid w:val="00A57006"/>
    <w:rsid w:val="00A60050"/>
    <w:rsid w:val="00A617DA"/>
    <w:rsid w:val="00A638D6"/>
    <w:rsid w:val="00A674EF"/>
    <w:rsid w:val="00A70E02"/>
    <w:rsid w:val="00A73F83"/>
    <w:rsid w:val="00A75BA6"/>
    <w:rsid w:val="00A77675"/>
    <w:rsid w:val="00A77D8D"/>
    <w:rsid w:val="00A80919"/>
    <w:rsid w:val="00A85892"/>
    <w:rsid w:val="00A864FC"/>
    <w:rsid w:val="00A90A2C"/>
    <w:rsid w:val="00A90EFE"/>
    <w:rsid w:val="00AA01C1"/>
    <w:rsid w:val="00AA07F1"/>
    <w:rsid w:val="00AA194B"/>
    <w:rsid w:val="00AA6AEE"/>
    <w:rsid w:val="00AA7F65"/>
    <w:rsid w:val="00AC0B18"/>
    <w:rsid w:val="00AC3814"/>
    <w:rsid w:val="00AC44C0"/>
    <w:rsid w:val="00AC76E6"/>
    <w:rsid w:val="00AD0816"/>
    <w:rsid w:val="00AD0A77"/>
    <w:rsid w:val="00AD29E4"/>
    <w:rsid w:val="00AD5F3D"/>
    <w:rsid w:val="00AE0DE1"/>
    <w:rsid w:val="00AE0F0F"/>
    <w:rsid w:val="00AE35FD"/>
    <w:rsid w:val="00AE3B69"/>
    <w:rsid w:val="00AF00DD"/>
    <w:rsid w:val="00AF0FE0"/>
    <w:rsid w:val="00AF65DD"/>
    <w:rsid w:val="00AF7688"/>
    <w:rsid w:val="00B00A17"/>
    <w:rsid w:val="00B00D79"/>
    <w:rsid w:val="00B01DBC"/>
    <w:rsid w:val="00B029E8"/>
    <w:rsid w:val="00B04D23"/>
    <w:rsid w:val="00B0554B"/>
    <w:rsid w:val="00B0679B"/>
    <w:rsid w:val="00B0726C"/>
    <w:rsid w:val="00B07870"/>
    <w:rsid w:val="00B109AA"/>
    <w:rsid w:val="00B152FD"/>
    <w:rsid w:val="00B17B2F"/>
    <w:rsid w:val="00B17CD5"/>
    <w:rsid w:val="00B229D0"/>
    <w:rsid w:val="00B2339D"/>
    <w:rsid w:val="00B23538"/>
    <w:rsid w:val="00B23619"/>
    <w:rsid w:val="00B24FDD"/>
    <w:rsid w:val="00B27884"/>
    <w:rsid w:val="00B27F6B"/>
    <w:rsid w:val="00B313B7"/>
    <w:rsid w:val="00B33168"/>
    <w:rsid w:val="00B344DA"/>
    <w:rsid w:val="00B4317F"/>
    <w:rsid w:val="00B50050"/>
    <w:rsid w:val="00B53C4D"/>
    <w:rsid w:val="00B54410"/>
    <w:rsid w:val="00B560FD"/>
    <w:rsid w:val="00B56A3F"/>
    <w:rsid w:val="00B607B0"/>
    <w:rsid w:val="00B626FF"/>
    <w:rsid w:val="00B6308B"/>
    <w:rsid w:val="00B64FBA"/>
    <w:rsid w:val="00B6599D"/>
    <w:rsid w:val="00B65F2F"/>
    <w:rsid w:val="00B70D04"/>
    <w:rsid w:val="00B71501"/>
    <w:rsid w:val="00B7425B"/>
    <w:rsid w:val="00B827BB"/>
    <w:rsid w:val="00B87828"/>
    <w:rsid w:val="00B90077"/>
    <w:rsid w:val="00B94993"/>
    <w:rsid w:val="00B95873"/>
    <w:rsid w:val="00B96D8B"/>
    <w:rsid w:val="00BA08B5"/>
    <w:rsid w:val="00BA5812"/>
    <w:rsid w:val="00BA7B0B"/>
    <w:rsid w:val="00BA7C15"/>
    <w:rsid w:val="00BB31ED"/>
    <w:rsid w:val="00BB634C"/>
    <w:rsid w:val="00BB7097"/>
    <w:rsid w:val="00BB7C43"/>
    <w:rsid w:val="00BC0CD7"/>
    <w:rsid w:val="00BD021C"/>
    <w:rsid w:val="00BD0E6F"/>
    <w:rsid w:val="00BD79EF"/>
    <w:rsid w:val="00BE00D3"/>
    <w:rsid w:val="00BE02BC"/>
    <w:rsid w:val="00BE4D2B"/>
    <w:rsid w:val="00BE7EBD"/>
    <w:rsid w:val="00BF4471"/>
    <w:rsid w:val="00BF488E"/>
    <w:rsid w:val="00BF6A8C"/>
    <w:rsid w:val="00C00CB7"/>
    <w:rsid w:val="00C014F6"/>
    <w:rsid w:val="00C01707"/>
    <w:rsid w:val="00C02929"/>
    <w:rsid w:val="00C0479D"/>
    <w:rsid w:val="00C06457"/>
    <w:rsid w:val="00C069E4"/>
    <w:rsid w:val="00C06FAB"/>
    <w:rsid w:val="00C07FBE"/>
    <w:rsid w:val="00C1016B"/>
    <w:rsid w:val="00C11AAC"/>
    <w:rsid w:val="00C15990"/>
    <w:rsid w:val="00C17AAF"/>
    <w:rsid w:val="00C23A2B"/>
    <w:rsid w:val="00C25501"/>
    <w:rsid w:val="00C27E0F"/>
    <w:rsid w:val="00C303F3"/>
    <w:rsid w:val="00C335E6"/>
    <w:rsid w:val="00C338BE"/>
    <w:rsid w:val="00C41343"/>
    <w:rsid w:val="00C4206E"/>
    <w:rsid w:val="00C468E0"/>
    <w:rsid w:val="00C46BA7"/>
    <w:rsid w:val="00C51275"/>
    <w:rsid w:val="00C52156"/>
    <w:rsid w:val="00C56704"/>
    <w:rsid w:val="00C578FD"/>
    <w:rsid w:val="00C602DC"/>
    <w:rsid w:val="00C648C7"/>
    <w:rsid w:val="00C64CE1"/>
    <w:rsid w:val="00C64D6F"/>
    <w:rsid w:val="00C705CB"/>
    <w:rsid w:val="00C707E8"/>
    <w:rsid w:val="00C709E9"/>
    <w:rsid w:val="00C71907"/>
    <w:rsid w:val="00C84B99"/>
    <w:rsid w:val="00C95053"/>
    <w:rsid w:val="00C9564A"/>
    <w:rsid w:val="00CA30E0"/>
    <w:rsid w:val="00CA457C"/>
    <w:rsid w:val="00CA78F2"/>
    <w:rsid w:val="00CC001B"/>
    <w:rsid w:val="00CC092C"/>
    <w:rsid w:val="00CC24F0"/>
    <w:rsid w:val="00CC4FCD"/>
    <w:rsid w:val="00CC5B25"/>
    <w:rsid w:val="00CC75D5"/>
    <w:rsid w:val="00CD00B5"/>
    <w:rsid w:val="00CD0B5F"/>
    <w:rsid w:val="00CD193A"/>
    <w:rsid w:val="00CD26C9"/>
    <w:rsid w:val="00CD3D3E"/>
    <w:rsid w:val="00CD7976"/>
    <w:rsid w:val="00CE0045"/>
    <w:rsid w:val="00CE2DDA"/>
    <w:rsid w:val="00CE719F"/>
    <w:rsid w:val="00CF0E68"/>
    <w:rsid w:val="00CF2C84"/>
    <w:rsid w:val="00CF5885"/>
    <w:rsid w:val="00D03862"/>
    <w:rsid w:val="00D04BFD"/>
    <w:rsid w:val="00D06A2C"/>
    <w:rsid w:val="00D13E7F"/>
    <w:rsid w:val="00D1551F"/>
    <w:rsid w:val="00D176E4"/>
    <w:rsid w:val="00D178BD"/>
    <w:rsid w:val="00D23234"/>
    <w:rsid w:val="00D238F9"/>
    <w:rsid w:val="00D30A12"/>
    <w:rsid w:val="00D324B8"/>
    <w:rsid w:val="00D36E34"/>
    <w:rsid w:val="00D37839"/>
    <w:rsid w:val="00D430F8"/>
    <w:rsid w:val="00D469CD"/>
    <w:rsid w:val="00D47A7F"/>
    <w:rsid w:val="00D50CF8"/>
    <w:rsid w:val="00D51467"/>
    <w:rsid w:val="00D515FC"/>
    <w:rsid w:val="00D51BED"/>
    <w:rsid w:val="00D53134"/>
    <w:rsid w:val="00D533FA"/>
    <w:rsid w:val="00D56E6D"/>
    <w:rsid w:val="00D57868"/>
    <w:rsid w:val="00D60793"/>
    <w:rsid w:val="00D60A35"/>
    <w:rsid w:val="00D60CC0"/>
    <w:rsid w:val="00D61F2E"/>
    <w:rsid w:val="00D63A96"/>
    <w:rsid w:val="00D71472"/>
    <w:rsid w:val="00D72719"/>
    <w:rsid w:val="00D755DA"/>
    <w:rsid w:val="00D84BF8"/>
    <w:rsid w:val="00D86EED"/>
    <w:rsid w:val="00D8737C"/>
    <w:rsid w:val="00D87648"/>
    <w:rsid w:val="00D87696"/>
    <w:rsid w:val="00D90100"/>
    <w:rsid w:val="00D91618"/>
    <w:rsid w:val="00DA2545"/>
    <w:rsid w:val="00DA61C7"/>
    <w:rsid w:val="00DA6EF9"/>
    <w:rsid w:val="00DB09FA"/>
    <w:rsid w:val="00DB10C9"/>
    <w:rsid w:val="00DB286E"/>
    <w:rsid w:val="00DB2B60"/>
    <w:rsid w:val="00DB41E5"/>
    <w:rsid w:val="00DC19D3"/>
    <w:rsid w:val="00DC4260"/>
    <w:rsid w:val="00DC7996"/>
    <w:rsid w:val="00DC7AF5"/>
    <w:rsid w:val="00DD44EE"/>
    <w:rsid w:val="00DE74BA"/>
    <w:rsid w:val="00DF2EAC"/>
    <w:rsid w:val="00DF3E1F"/>
    <w:rsid w:val="00DF678F"/>
    <w:rsid w:val="00DF7E60"/>
    <w:rsid w:val="00E0099C"/>
    <w:rsid w:val="00E04658"/>
    <w:rsid w:val="00E10CC5"/>
    <w:rsid w:val="00E132CA"/>
    <w:rsid w:val="00E13F84"/>
    <w:rsid w:val="00E14971"/>
    <w:rsid w:val="00E216B6"/>
    <w:rsid w:val="00E222E3"/>
    <w:rsid w:val="00E22C9E"/>
    <w:rsid w:val="00E25C90"/>
    <w:rsid w:val="00E34642"/>
    <w:rsid w:val="00E36C62"/>
    <w:rsid w:val="00E511FC"/>
    <w:rsid w:val="00E51B85"/>
    <w:rsid w:val="00E5272C"/>
    <w:rsid w:val="00E5576A"/>
    <w:rsid w:val="00E5746E"/>
    <w:rsid w:val="00E57DF5"/>
    <w:rsid w:val="00E60CF9"/>
    <w:rsid w:val="00E6247C"/>
    <w:rsid w:val="00E63A8F"/>
    <w:rsid w:val="00E64F96"/>
    <w:rsid w:val="00E6525F"/>
    <w:rsid w:val="00E6700A"/>
    <w:rsid w:val="00E67CD7"/>
    <w:rsid w:val="00E7220B"/>
    <w:rsid w:val="00E72D43"/>
    <w:rsid w:val="00E73B78"/>
    <w:rsid w:val="00E74208"/>
    <w:rsid w:val="00E75514"/>
    <w:rsid w:val="00E775D3"/>
    <w:rsid w:val="00E84268"/>
    <w:rsid w:val="00E871B6"/>
    <w:rsid w:val="00E87D3E"/>
    <w:rsid w:val="00E933B9"/>
    <w:rsid w:val="00E94626"/>
    <w:rsid w:val="00EA22AA"/>
    <w:rsid w:val="00EA4EB7"/>
    <w:rsid w:val="00EA5953"/>
    <w:rsid w:val="00EB466F"/>
    <w:rsid w:val="00EB54B2"/>
    <w:rsid w:val="00EC22BE"/>
    <w:rsid w:val="00EC3336"/>
    <w:rsid w:val="00EC5741"/>
    <w:rsid w:val="00EC5C49"/>
    <w:rsid w:val="00ED3382"/>
    <w:rsid w:val="00ED44B8"/>
    <w:rsid w:val="00ED51BB"/>
    <w:rsid w:val="00ED5E7F"/>
    <w:rsid w:val="00EE1146"/>
    <w:rsid w:val="00EE12EE"/>
    <w:rsid w:val="00EE1C25"/>
    <w:rsid w:val="00EE2700"/>
    <w:rsid w:val="00EE75AA"/>
    <w:rsid w:val="00EF0FAA"/>
    <w:rsid w:val="00EF110B"/>
    <w:rsid w:val="00EF2A1F"/>
    <w:rsid w:val="00EF430C"/>
    <w:rsid w:val="00EF7D08"/>
    <w:rsid w:val="00F00C9D"/>
    <w:rsid w:val="00F00ECB"/>
    <w:rsid w:val="00F00FE3"/>
    <w:rsid w:val="00F01203"/>
    <w:rsid w:val="00F013BA"/>
    <w:rsid w:val="00F0497A"/>
    <w:rsid w:val="00F05E70"/>
    <w:rsid w:val="00F0606C"/>
    <w:rsid w:val="00F060C8"/>
    <w:rsid w:val="00F11E00"/>
    <w:rsid w:val="00F1201D"/>
    <w:rsid w:val="00F1244F"/>
    <w:rsid w:val="00F12E64"/>
    <w:rsid w:val="00F13E55"/>
    <w:rsid w:val="00F14615"/>
    <w:rsid w:val="00F20E43"/>
    <w:rsid w:val="00F27EE0"/>
    <w:rsid w:val="00F30BC4"/>
    <w:rsid w:val="00F30F73"/>
    <w:rsid w:val="00F318AF"/>
    <w:rsid w:val="00F36173"/>
    <w:rsid w:val="00F36D84"/>
    <w:rsid w:val="00F37DE2"/>
    <w:rsid w:val="00F40125"/>
    <w:rsid w:val="00F418B2"/>
    <w:rsid w:val="00F4196E"/>
    <w:rsid w:val="00F4329C"/>
    <w:rsid w:val="00F4427D"/>
    <w:rsid w:val="00F4432A"/>
    <w:rsid w:val="00F47909"/>
    <w:rsid w:val="00F50728"/>
    <w:rsid w:val="00F51411"/>
    <w:rsid w:val="00F537D2"/>
    <w:rsid w:val="00F554C5"/>
    <w:rsid w:val="00F55E59"/>
    <w:rsid w:val="00F635F3"/>
    <w:rsid w:val="00F63D02"/>
    <w:rsid w:val="00F64EC2"/>
    <w:rsid w:val="00F65B25"/>
    <w:rsid w:val="00F67B3A"/>
    <w:rsid w:val="00F75447"/>
    <w:rsid w:val="00F756C1"/>
    <w:rsid w:val="00F85306"/>
    <w:rsid w:val="00F85F92"/>
    <w:rsid w:val="00F8636F"/>
    <w:rsid w:val="00F87236"/>
    <w:rsid w:val="00F87920"/>
    <w:rsid w:val="00F90F1E"/>
    <w:rsid w:val="00F91042"/>
    <w:rsid w:val="00F92AD0"/>
    <w:rsid w:val="00F959E0"/>
    <w:rsid w:val="00F966E8"/>
    <w:rsid w:val="00F96EEB"/>
    <w:rsid w:val="00FA533D"/>
    <w:rsid w:val="00FA5FC4"/>
    <w:rsid w:val="00FA6584"/>
    <w:rsid w:val="00FA6693"/>
    <w:rsid w:val="00FA67E2"/>
    <w:rsid w:val="00FB3BE9"/>
    <w:rsid w:val="00FB4887"/>
    <w:rsid w:val="00FB50A1"/>
    <w:rsid w:val="00FB778E"/>
    <w:rsid w:val="00FC0C33"/>
    <w:rsid w:val="00FC17E4"/>
    <w:rsid w:val="00FC2468"/>
    <w:rsid w:val="00FC2A51"/>
    <w:rsid w:val="00FC35EC"/>
    <w:rsid w:val="00FC52C8"/>
    <w:rsid w:val="00FC5A09"/>
    <w:rsid w:val="00FC62F9"/>
    <w:rsid w:val="00FD4128"/>
    <w:rsid w:val="00FD5BA7"/>
    <w:rsid w:val="00FD622B"/>
    <w:rsid w:val="00FE0BA4"/>
    <w:rsid w:val="00FE1FD0"/>
    <w:rsid w:val="00FE374C"/>
    <w:rsid w:val="00FE3BF2"/>
    <w:rsid w:val="00FE3D40"/>
    <w:rsid w:val="00FE7970"/>
    <w:rsid w:val="00FF1E8A"/>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30"/>
      </w:numPr>
      <w:contextualSpacing/>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85616715">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07430768">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293101727">
      <w:bodyDiv w:val="1"/>
      <w:marLeft w:val="0"/>
      <w:marRight w:val="0"/>
      <w:marTop w:val="0"/>
      <w:marBottom w:val="0"/>
      <w:divBdr>
        <w:top w:val="none" w:sz="0" w:space="0" w:color="auto"/>
        <w:left w:val="none" w:sz="0" w:space="0" w:color="auto"/>
        <w:bottom w:val="none" w:sz="0" w:space="0" w:color="auto"/>
        <w:right w:val="none" w:sz="0" w:space="0" w:color="auto"/>
      </w:divBdr>
    </w:div>
    <w:div w:id="421217682">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81851087">
      <w:bodyDiv w:val="1"/>
      <w:marLeft w:val="0"/>
      <w:marRight w:val="0"/>
      <w:marTop w:val="0"/>
      <w:marBottom w:val="0"/>
      <w:divBdr>
        <w:top w:val="none" w:sz="0" w:space="0" w:color="auto"/>
        <w:left w:val="none" w:sz="0" w:space="0" w:color="auto"/>
        <w:bottom w:val="none" w:sz="0" w:space="0" w:color="auto"/>
        <w:right w:val="none" w:sz="0" w:space="0" w:color="auto"/>
      </w:divBdr>
    </w:div>
    <w:div w:id="493188570">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70696491">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08702090">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689839375">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23022066">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892080924">
      <w:bodyDiv w:val="1"/>
      <w:marLeft w:val="0"/>
      <w:marRight w:val="0"/>
      <w:marTop w:val="0"/>
      <w:marBottom w:val="0"/>
      <w:divBdr>
        <w:top w:val="none" w:sz="0" w:space="0" w:color="auto"/>
        <w:left w:val="none" w:sz="0" w:space="0" w:color="auto"/>
        <w:bottom w:val="none" w:sz="0" w:space="0" w:color="auto"/>
        <w:right w:val="none" w:sz="0" w:space="0" w:color="auto"/>
      </w:divBdr>
    </w:div>
    <w:div w:id="913321751">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12489524">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48223829">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03091317">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79176156">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18260129">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894540199">
      <w:bodyDiv w:val="1"/>
      <w:marLeft w:val="0"/>
      <w:marRight w:val="0"/>
      <w:marTop w:val="0"/>
      <w:marBottom w:val="0"/>
      <w:divBdr>
        <w:top w:val="none" w:sz="0" w:space="0" w:color="auto"/>
        <w:left w:val="none" w:sz="0" w:space="0" w:color="auto"/>
        <w:bottom w:val="none" w:sz="0" w:space="0" w:color="auto"/>
        <w:right w:val="none" w:sz="0" w:space="0" w:color="auto"/>
      </w:divBdr>
    </w:div>
    <w:div w:id="1902868194">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1994681293">
      <w:bodyDiv w:val="1"/>
      <w:marLeft w:val="0"/>
      <w:marRight w:val="0"/>
      <w:marTop w:val="0"/>
      <w:marBottom w:val="0"/>
      <w:divBdr>
        <w:top w:val="none" w:sz="0" w:space="0" w:color="auto"/>
        <w:left w:val="none" w:sz="0" w:space="0" w:color="auto"/>
        <w:bottom w:val="none" w:sz="0" w:space="0" w:color="auto"/>
        <w:right w:val="none" w:sz="0" w:space="0" w:color="auto"/>
      </w:divBdr>
    </w:div>
    <w:div w:id="2007827823">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https://administracionyfinanzasplem.gob.mx/ece.html"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6662C4-8EF6-42AB-BA0D-7E9D8BA0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47</Pages>
  <Words>11226</Words>
  <Characters>61747</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86</cp:revision>
  <cp:lastPrinted>2025-07-04T16:45:00Z</cp:lastPrinted>
  <dcterms:created xsi:type="dcterms:W3CDTF">2025-06-25T22:53:00Z</dcterms:created>
  <dcterms:modified xsi:type="dcterms:W3CDTF">2025-07-08T18:41:00Z</dcterms:modified>
</cp:coreProperties>
</file>