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2F1" w:rsidRDefault="005E32CB" w:rsidP="0093218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93218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E29E7">
        <w:rPr>
          <w:rFonts w:ascii="Palatino Linotype" w:eastAsia="Palatino Linotype" w:hAnsi="Palatino Linotype" w:cs="Palatino Linotype"/>
          <w:b/>
          <w:color w:val="000000" w:themeColor="text1"/>
        </w:rPr>
        <w:t xml:space="preserve">de fecha doce (12) </w:t>
      </w:r>
      <w:r w:rsidR="00DE29E7" w:rsidRPr="00157555">
        <w:rPr>
          <w:rFonts w:ascii="Palatino Linotype" w:eastAsia="Palatino Linotype" w:hAnsi="Palatino Linotype" w:cs="Palatino Linotype"/>
          <w:b/>
          <w:color w:val="000000" w:themeColor="text1"/>
        </w:rPr>
        <w:t xml:space="preserve">de </w:t>
      </w:r>
      <w:r w:rsidR="00DE29E7">
        <w:rPr>
          <w:rFonts w:ascii="Palatino Linotype" w:eastAsia="Palatino Linotype" w:hAnsi="Palatino Linotype" w:cs="Palatino Linotype"/>
          <w:b/>
          <w:color w:val="000000" w:themeColor="text1"/>
        </w:rPr>
        <w:t xml:space="preserve">noviembre </w:t>
      </w:r>
      <w:r w:rsidR="00DE29E7" w:rsidRPr="00157555">
        <w:rPr>
          <w:rFonts w:ascii="Palatino Linotype" w:eastAsia="Palatino Linotype" w:hAnsi="Palatino Linotype" w:cs="Palatino Linotype"/>
          <w:b/>
          <w:color w:val="000000" w:themeColor="text1"/>
        </w:rPr>
        <w:t>de dos mil veinticinco</w:t>
      </w:r>
      <w:r w:rsidR="00653762">
        <w:rPr>
          <w:rFonts w:ascii="Palatino Linotype" w:eastAsia="Palatino Linotype" w:hAnsi="Palatino Linotype" w:cs="Palatino Linotype"/>
          <w:b/>
          <w:color w:val="000000" w:themeColor="text1"/>
        </w:rPr>
        <w:t>.</w:t>
      </w:r>
    </w:p>
    <w:p w:rsidR="00653762" w:rsidRPr="00932185" w:rsidRDefault="00653762"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kxg51q3ntvul" w:colFirst="0" w:colLast="0"/>
      <w:bookmarkEnd w:id="1"/>
      <w:r w:rsidRPr="00653762">
        <w:rPr>
          <w:rFonts w:ascii="Palatino Linotype" w:eastAsia="Palatino Linotype" w:hAnsi="Palatino Linotype" w:cs="Palatino Linotype"/>
          <w:b/>
          <w:color w:val="000000" w:themeColor="text1"/>
        </w:rPr>
        <w:t>VISTO</w:t>
      </w:r>
      <w:r w:rsidRPr="00932185">
        <w:rPr>
          <w:rFonts w:ascii="Palatino Linotype" w:eastAsia="Palatino Linotype" w:hAnsi="Palatino Linotype" w:cs="Palatino Linotype"/>
          <w:color w:val="000000" w:themeColor="text1"/>
        </w:rPr>
        <w:t xml:space="preserve"> el expediente electrónico formado con </w:t>
      </w:r>
      <w:r w:rsidR="00653762">
        <w:rPr>
          <w:rFonts w:ascii="Palatino Linotype" w:eastAsia="Palatino Linotype" w:hAnsi="Palatino Linotype" w:cs="Palatino Linotype"/>
          <w:color w:val="000000" w:themeColor="text1"/>
        </w:rPr>
        <w:t xml:space="preserve">motivo del Recurso de Revisión </w:t>
      </w:r>
      <w:r w:rsidR="00F755D9" w:rsidRPr="00932185">
        <w:rPr>
          <w:rFonts w:ascii="Palatino Linotype" w:eastAsia="Palatino Linotype" w:hAnsi="Palatino Linotype" w:cs="Palatino Linotype"/>
          <w:b/>
          <w:color w:val="000000" w:themeColor="text1"/>
        </w:rPr>
        <w:t>10368</w:t>
      </w:r>
      <w:r w:rsidRPr="00932185">
        <w:rPr>
          <w:rFonts w:ascii="Palatino Linotype" w:eastAsia="Palatino Linotype" w:hAnsi="Palatino Linotype" w:cs="Palatino Linotype"/>
          <w:b/>
          <w:color w:val="000000" w:themeColor="text1"/>
        </w:rPr>
        <w:t>/INFOEM/IP/RR/2025</w:t>
      </w:r>
      <w:r w:rsidRPr="00932185">
        <w:rPr>
          <w:rFonts w:ascii="Palatino Linotype" w:eastAsia="Palatino Linotype" w:hAnsi="Palatino Linotype" w:cs="Palatino Linotype"/>
          <w:color w:val="000000" w:themeColor="text1"/>
        </w:rPr>
        <w:t xml:space="preserve">, promovido por </w:t>
      </w:r>
      <w:r w:rsidRPr="00932185">
        <w:rPr>
          <w:rFonts w:ascii="Palatino Linotype" w:eastAsia="Palatino Linotype" w:hAnsi="Palatino Linotype" w:cs="Palatino Linotype"/>
          <w:b/>
          <w:color w:val="000000" w:themeColor="text1"/>
        </w:rPr>
        <w:t>una</w:t>
      </w:r>
      <w:r w:rsidRPr="00932185">
        <w:rPr>
          <w:rFonts w:ascii="Palatino Linotype" w:eastAsia="Palatino Linotype" w:hAnsi="Palatino Linotype" w:cs="Palatino Linotype"/>
          <w:color w:val="000000" w:themeColor="text1"/>
        </w:rPr>
        <w:t xml:space="preserve"> </w:t>
      </w:r>
      <w:r w:rsidRPr="00932185">
        <w:rPr>
          <w:rFonts w:ascii="Palatino Linotype" w:eastAsia="Palatino Linotype" w:hAnsi="Palatino Linotype" w:cs="Palatino Linotype"/>
          <w:b/>
          <w:color w:val="000000" w:themeColor="text1"/>
        </w:rPr>
        <w:t>persona que no proporciona datos de identificación</w:t>
      </w:r>
      <w:r w:rsidRPr="00932185">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932185">
        <w:rPr>
          <w:rFonts w:ascii="Palatino Linotype" w:eastAsia="Palatino Linotype" w:hAnsi="Palatino Linotype" w:cs="Palatino Linotype"/>
          <w:b/>
          <w:color w:val="000000" w:themeColor="text1"/>
        </w:rPr>
        <w:t>EL RECURRENTE</w:t>
      </w:r>
      <w:r w:rsidRPr="00932185">
        <w:rPr>
          <w:rFonts w:ascii="Palatino Linotype" w:eastAsia="Palatino Linotype" w:hAnsi="Palatino Linotype" w:cs="Palatino Linotype"/>
          <w:color w:val="000000" w:themeColor="text1"/>
        </w:rPr>
        <w:t xml:space="preserve">, en contra de la respuesta del </w:t>
      </w:r>
      <w:r w:rsidRPr="00932185">
        <w:rPr>
          <w:rFonts w:ascii="Palatino Linotype" w:eastAsia="Palatino Linotype" w:hAnsi="Palatino Linotype" w:cs="Palatino Linotype"/>
          <w:b/>
          <w:color w:val="000000" w:themeColor="text1"/>
        </w:rPr>
        <w:t>Ayuntamiento de Jocotitlán</w:t>
      </w:r>
      <w:r w:rsidRPr="00932185">
        <w:rPr>
          <w:rFonts w:ascii="Palatino Linotype" w:eastAsia="Palatino Linotype" w:hAnsi="Palatino Linotype" w:cs="Palatino Linotype"/>
          <w:color w:val="000000" w:themeColor="text1"/>
        </w:rPr>
        <w:t xml:space="preserve">, en </w:t>
      </w:r>
      <w:r w:rsidR="00492CDB">
        <w:rPr>
          <w:rFonts w:ascii="Palatino Linotype" w:eastAsia="Palatino Linotype" w:hAnsi="Palatino Linotype" w:cs="Palatino Linotype"/>
          <w:color w:val="000000" w:themeColor="text1"/>
        </w:rPr>
        <w:t>adelante</w:t>
      </w:r>
      <w:r w:rsidRPr="00932185">
        <w:rPr>
          <w:rFonts w:ascii="Palatino Linotype" w:eastAsia="Palatino Linotype" w:hAnsi="Palatino Linotype" w:cs="Palatino Linotype"/>
          <w:color w:val="000000" w:themeColor="text1"/>
        </w:rPr>
        <w:t xml:space="preserve"> </w:t>
      </w:r>
      <w:r w:rsidRPr="00932185">
        <w:rPr>
          <w:rFonts w:ascii="Palatino Linotype" w:eastAsia="Palatino Linotype" w:hAnsi="Palatino Linotype" w:cs="Palatino Linotype"/>
          <w:b/>
          <w:color w:val="000000" w:themeColor="text1"/>
        </w:rPr>
        <w:t>EL SUJETO OBLIGADO</w:t>
      </w:r>
      <w:r w:rsidRPr="00932185">
        <w:rPr>
          <w:rFonts w:ascii="Palatino Linotype" w:eastAsia="Palatino Linotype" w:hAnsi="Palatino Linotype" w:cs="Palatino Linotype"/>
          <w:color w:val="000000" w:themeColor="text1"/>
        </w:rPr>
        <w:t>, se procede a dictar la presente resolución, con base en los siguientes:</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b/>
          <w:color w:val="000000" w:themeColor="text1"/>
        </w:rPr>
        <w:t>A N T E C E D E N T E S</w:t>
      </w: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 xml:space="preserve">cuatro de agosto de dos mil veinticinco, </w:t>
      </w:r>
      <w:r w:rsidRPr="00932185">
        <w:rPr>
          <w:rFonts w:ascii="Palatino Linotype" w:eastAsia="Palatino Linotype" w:hAnsi="Palatino Linotype" w:cs="Palatino Linotype"/>
          <w:color w:val="000000" w:themeColor="text1"/>
        </w:rPr>
        <w:t xml:space="preserve">se presentó ante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vía </w:t>
      </w:r>
      <w:r w:rsidRPr="00932185">
        <w:rPr>
          <w:rFonts w:ascii="Palatino Linotype" w:eastAsia="Palatino Linotype" w:hAnsi="Palatino Linotype" w:cs="Palatino Linotype"/>
          <w:b/>
          <w:color w:val="000000" w:themeColor="text1"/>
        </w:rPr>
        <w:t>SAIMEX</w:t>
      </w:r>
      <w:r w:rsidRPr="00932185">
        <w:rPr>
          <w:rFonts w:ascii="Palatino Linotype" w:eastAsia="Palatino Linotype" w:hAnsi="Palatino Linotype" w:cs="Palatino Linotype"/>
          <w:color w:val="000000" w:themeColor="text1"/>
        </w:rPr>
        <w:t>, la solicitud de información pública registrada con el número</w:t>
      </w:r>
      <w:r w:rsidRPr="00932185">
        <w:rPr>
          <w:rFonts w:ascii="Palatino Linotype" w:eastAsia="Palatino Linotype" w:hAnsi="Palatino Linotype" w:cs="Palatino Linotype"/>
          <w:b/>
          <w:color w:val="000000" w:themeColor="text1"/>
        </w:rPr>
        <w:t xml:space="preserve"> 00185/JOCOTIT/IP/2025, </w:t>
      </w:r>
      <w:r w:rsidRPr="00932185">
        <w:rPr>
          <w:rFonts w:ascii="Palatino Linotype" w:eastAsia="Palatino Linotype" w:hAnsi="Palatino Linotype" w:cs="Palatino Linotype"/>
          <w:color w:val="000000" w:themeColor="text1"/>
        </w:rPr>
        <w:t>mediante el cual se solicitó la siguiente información:</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strike/>
          <w:color w:val="000000" w:themeColor="text1"/>
        </w:rPr>
      </w:pP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“Solicito los contratos firmados para la prestación de los diferentes servicios de la feria como son: para la exhibición de lucha libre, box que se están presentando en la feria de jocotitlán 2025.”. (Sic.)</w:t>
      </w:r>
    </w:p>
    <w:p w:rsidR="00E172F1" w:rsidRDefault="00E172F1"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492CDB" w:rsidRPr="00932185" w:rsidRDefault="00492CD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E172F1" w:rsidRPr="00932185" w:rsidRDefault="005E32CB" w:rsidP="00492CDB">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color w:val="000000" w:themeColor="text1"/>
        </w:rPr>
        <w:t>Modalidad de entrega</w:t>
      </w:r>
      <w:r w:rsidRPr="00932185">
        <w:rPr>
          <w:rFonts w:ascii="Palatino Linotype" w:eastAsia="Palatino Linotype" w:hAnsi="Palatino Linotype" w:cs="Palatino Linotype"/>
          <w:color w:val="000000" w:themeColor="text1"/>
        </w:rPr>
        <w:t>: Vía SAIMEX.</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 xml:space="preserve">veinticinco de agosto de dos mil veinticinco, </w:t>
      </w: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 xml:space="preserve">SUJETO OBLIGADO </w:t>
      </w:r>
      <w:r w:rsidRPr="00932185">
        <w:rPr>
          <w:rFonts w:ascii="Palatino Linotype" w:eastAsia="Palatino Linotype" w:hAnsi="Palatino Linotype" w:cs="Palatino Linotype"/>
          <w:color w:val="000000" w:themeColor="text1"/>
        </w:rPr>
        <w:t>dio respuesta, en los siguientes términos:</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E172F1" w:rsidRPr="00932185" w:rsidRDefault="00E172F1" w:rsidP="00932185">
      <w:pPr>
        <w:jc w:val="both"/>
        <w:rPr>
          <w:rFonts w:ascii="Palatino Linotype" w:eastAsia="Palatino Linotype" w:hAnsi="Palatino Linotype" w:cs="Palatino Linotype"/>
          <w:i/>
          <w:color w:val="000000" w:themeColor="text1"/>
        </w:rPr>
      </w:pP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En atención a su solicitud con numero de folio 00185/JOCOTIT/IP/2025 donde solicita: solicito los contratos firmados para la prestación de los diferentes servicios de la feria como son: para la exhibición de lucha libre, box que se están presentando en la feria de jocotitlán 2025. Me permito adjuntar la información solicitada.” (Sic)</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color w:val="000000" w:themeColor="text1"/>
        </w:rPr>
      </w:pP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Se adjuntaron los siguientes archivos electrónicos:</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color w:val="000000" w:themeColor="text1"/>
        </w:rPr>
      </w:pPr>
    </w:p>
    <w:p w:rsidR="005E32CB" w:rsidRDefault="00976DE0" w:rsidP="0093218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hyperlink r:id="rId8" w:tgtFrame="_blank" w:history="1">
        <w:r w:rsidR="005E32CB" w:rsidRPr="00932185">
          <w:rPr>
            <w:rFonts w:ascii="Palatino Linotype" w:eastAsia="Palatino Linotype" w:hAnsi="Palatino Linotype" w:cs="Palatino Linotype"/>
            <w:b/>
            <w:color w:val="000000" w:themeColor="text1"/>
          </w:rPr>
          <w:t>00185 ADM.pdf</w:t>
        </w:r>
      </w:hyperlink>
      <w:r w:rsidR="005E32CB" w:rsidRPr="00932185">
        <w:rPr>
          <w:rFonts w:ascii="Palatino Linotype" w:eastAsia="Palatino Linotype" w:hAnsi="Palatino Linotype" w:cs="Palatino Linotype"/>
          <w:b/>
          <w:color w:val="000000" w:themeColor="text1"/>
        </w:rPr>
        <w:t xml:space="preserve">: </w:t>
      </w:r>
      <w:r w:rsidR="005E32CB" w:rsidRPr="00932185">
        <w:rPr>
          <w:rFonts w:ascii="Palatino Linotype" w:eastAsia="Palatino Linotype" w:hAnsi="Palatino Linotype" w:cs="Palatino Linotype"/>
          <w:color w:val="000000" w:themeColor="text1"/>
        </w:rPr>
        <w:t>Oficio ADM/0407/2025 de fecha veinticinco de agosto de dos mil veinticinco, suscrito por la Directora de Administración, mediante el cual informa que la exhibición de box se llevó de manera voluntaria con el propósito de darse a conocer ante la ciudadanía y con respecto a</w:t>
      </w:r>
      <w:r w:rsidR="00492CDB">
        <w:rPr>
          <w:rFonts w:ascii="Palatino Linotype" w:eastAsia="Palatino Linotype" w:hAnsi="Palatino Linotype" w:cs="Palatino Linotype"/>
          <w:color w:val="000000" w:themeColor="text1"/>
        </w:rPr>
        <w:t xml:space="preserve"> </w:t>
      </w:r>
      <w:r w:rsidR="005E32CB" w:rsidRPr="00932185">
        <w:rPr>
          <w:rFonts w:ascii="Palatino Linotype" w:eastAsia="Palatino Linotype" w:hAnsi="Palatino Linotype" w:cs="Palatino Linotype"/>
          <w:color w:val="000000" w:themeColor="text1"/>
        </w:rPr>
        <w:t xml:space="preserve">la lucha libre, envía contrato en versión pública </w:t>
      </w:r>
      <w:r w:rsidR="005E32CB" w:rsidRPr="00932185">
        <w:rPr>
          <w:rFonts w:ascii="Palatino Linotype" w:eastAsia="Palatino Linotype" w:hAnsi="Palatino Linotype" w:cs="Palatino Linotype"/>
          <w:b/>
          <w:color w:val="000000" w:themeColor="text1"/>
        </w:rPr>
        <w:t xml:space="preserve"> </w:t>
      </w:r>
    </w:p>
    <w:p w:rsidR="00653762" w:rsidRPr="00932185" w:rsidRDefault="00653762" w:rsidP="00653762">
      <w:pPr>
        <w:pBdr>
          <w:top w:val="nil"/>
          <w:left w:val="nil"/>
          <w:bottom w:val="nil"/>
          <w:right w:val="nil"/>
          <w:between w:val="nil"/>
        </w:pBdr>
        <w:jc w:val="both"/>
        <w:rPr>
          <w:rFonts w:ascii="Palatino Linotype" w:eastAsia="Palatino Linotype" w:hAnsi="Palatino Linotype" w:cs="Palatino Linotype"/>
          <w:b/>
          <w:color w:val="000000" w:themeColor="text1"/>
        </w:rPr>
      </w:pPr>
    </w:p>
    <w:p w:rsidR="005E32CB" w:rsidRPr="00932185" w:rsidRDefault="005E32CB" w:rsidP="0093218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b/>
          <w:color w:val="000000" w:themeColor="text1"/>
        </w:rPr>
        <w:t xml:space="preserve">CONTRATO.pdf: </w:t>
      </w:r>
      <w:r w:rsidRPr="00932185">
        <w:rPr>
          <w:rFonts w:ascii="Palatino Linotype" w:eastAsia="Palatino Linotype" w:hAnsi="Palatino Linotype" w:cs="Palatino Linotype"/>
          <w:color w:val="000000" w:themeColor="text1"/>
        </w:rPr>
        <w:t xml:space="preserve">Documento constante de una página en la que se observa la primera parte de un contrato de prestación de servicios artísticos, para el evento de la feria de Jocotitlán 2025, que celebra el Ayuntamiento </w:t>
      </w:r>
      <w:r w:rsidR="00D46113" w:rsidRPr="00932185">
        <w:rPr>
          <w:rFonts w:ascii="Palatino Linotype" w:eastAsia="Palatino Linotype" w:hAnsi="Palatino Linotype" w:cs="Palatino Linotype"/>
          <w:color w:val="000000" w:themeColor="text1"/>
        </w:rPr>
        <w:t>con un particular.</w:t>
      </w:r>
    </w:p>
    <w:p w:rsidR="00E172F1" w:rsidRDefault="00E172F1" w:rsidP="00932185">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492CDB" w:rsidRPr="00932185" w:rsidRDefault="00492CDB" w:rsidP="00932185">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E172F1"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00D46113" w:rsidRPr="00932185">
        <w:rPr>
          <w:rFonts w:ascii="Palatino Linotype" w:eastAsia="Palatino Linotype" w:hAnsi="Palatino Linotype" w:cs="Palatino Linotype"/>
          <w:b/>
          <w:color w:val="000000" w:themeColor="text1"/>
        </w:rPr>
        <w:t xml:space="preserve">dos de septiembre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xml:space="preserve">, el Solicitante interpuso </w:t>
      </w:r>
      <w:r w:rsidRPr="00932185">
        <w:rPr>
          <w:rFonts w:ascii="Palatino Linotype" w:eastAsia="Palatino Linotype" w:hAnsi="Palatino Linotype" w:cs="Palatino Linotype"/>
          <w:b/>
          <w:color w:val="000000" w:themeColor="text1"/>
        </w:rPr>
        <w:t xml:space="preserve">RECURSO DE REVISIÓN </w:t>
      </w:r>
      <w:r w:rsidR="00F755D9" w:rsidRPr="00932185">
        <w:rPr>
          <w:rFonts w:ascii="Palatino Linotype" w:eastAsia="Palatino Linotype" w:hAnsi="Palatino Linotype" w:cs="Palatino Linotype"/>
          <w:b/>
          <w:color w:val="000000" w:themeColor="text1"/>
        </w:rPr>
        <w:t>10368</w:t>
      </w:r>
      <w:r w:rsidRPr="00932185">
        <w:rPr>
          <w:rFonts w:ascii="Palatino Linotype" w:eastAsia="Palatino Linotype" w:hAnsi="Palatino Linotype" w:cs="Palatino Linotype"/>
          <w:b/>
          <w:color w:val="000000" w:themeColor="text1"/>
        </w:rPr>
        <w:t xml:space="preserve">/INFOEM/IP/RR/2025, </w:t>
      </w:r>
      <w:r w:rsidRPr="00932185">
        <w:rPr>
          <w:rFonts w:ascii="Palatino Linotype" w:eastAsia="Palatino Linotype" w:hAnsi="Palatino Linotype" w:cs="Palatino Linotype"/>
          <w:color w:val="000000" w:themeColor="text1"/>
        </w:rPr>
        <w:t xml:space="preserve">en contra de la respuesta emitida por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señalando las siguientes razones o motivos de inconformidad:</w:t>
      </w:r>
    </w:p>
    <w:p w:rsidR="00653762" w:rsidRPr="00932185" w:rsidRDefault="00653762" w:rsidP="0065376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492CDB" w:rsidRDefault="00492CDB" w:rsidP="00492CD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492CDB">
        <w:rPr>
          <w:rFonts w:ascii="Palatino Linotype" w:eastAsia="Palatino Linotype" w:hAnsi="Palatino Linotype" w:cs="Palatino Linotype"/>
          <w:b/>
          <w:color w:val="000000" w:themeColor="text1"/>
          <w:sz w:val="24"/>
        </w:rPr>
        <w:t>ACTO IMPUGNADO</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00D46113" w:rsidRPr="00932185">
        <w:rPr>
          <w:rFonts w:ascii="Palatino Linotype" w:eastAsia="Palatino Linotype" w:hAnsi="Palatino Linotype" w:cs="Palatino Linotype"/>
          <w:i/>
          <w:color w:val="000000" w:themeColor="text1"/>
        </w:rPr>
        <w:t>La información no está completa</w:t>
      </w:r>
      <w:r w:rsidRPr="00932185">
        <w:rPr>
          <w:rFonts w:ascii="Palatino Linotype" w:eastAsia="Palatino Linotype" w:hAnsi="Palatino Linotype" w:cs="Palatino Linotype"/>
          <w:i/>
          <w:color w:val="000000" w:themeColor="text1"/>
        </w:rPr>
        <w:t>”</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E172F1" w:rsidRPr="00492CDB" w:rsidRDefault="00492CDB" w:rsidP="00492CD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492CDB">
        <w:rPr>
          <w:rFonts w:ascii="Palatino Linotype" w:eastAsia="Palatino Linotype" w:hAnsi="Palatino Linotype" w:cs="Palatino Linotype"/>
          <w:b/>
          <w:color w:val="000000" w:themeColor="text1"/>
          <w:sz w:val="24"/>
        </w:rPr>
        <w:t>RAZONES O MOTIVOS DE LA INCONFORMIDAD</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00D46113" w:rsidRPr="00932185">
        <w:rPr>
          <w:rFonts w:ascii="Palatino Linotype" w:eastAsia="Palatino Linotype" w:hAnsi="Palatino Linotype" w:cs="Palatino Linotype"/>
          <w:i/>
          <w:color w:val="000000" w:themeColor="text1"/>
        </w:rPr>
        <w:t>No se entregó lo que se solicito está incompleto</w:t>
      </w:r>
      <w:r w:rsidRPr="00932185">
        <w:rPr>
          <w:rFonts w:ascii="Palatino Linotype" w:eastAsia="Palatino Linotype" w:hAnsi="Palatino Linotype" w:cs="Palatino Linotype"/>
          <w:i/>
          <w:color w:val="000000" w:themeColor="text1"/>
        </w:rPr>
        <w:t>”</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Consecutivamente</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932185">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color w:val="000000" w:themeColor="text1"/>
        </w:rPr>
        <w:t xml:space="preserve">a la Comisionada </w:t>
      </w:r>
      <w:r w:rsidRPr="00932185">
        <w:rPr>
          <w:rFonts w:ascii="Palatino Linotype" w:eastAsia="Palatino Linotype" w:hAnsi="Palatino Linotype" w:cs="Palatino Linotype"/>
          <w:b/>
          <w:color w:val="000000" w:themeColor="text1"/>
        </w:rPr>
        <w:t>María del Rosario Mejía Ayala,</w:t>
      </w:r>
      <w:r w:rsidRPr="00932185">
        <w:rPr>
          <w:rFonts w:ascii="Palatino Linotype" w:eastAsia="Palatino Linotype" w:hAnsi="Palatino Linotype" w:cs="Palatino Linotype"/>
          <w:color w:val="000000" w:themeColor="text1"/>
        </w:rPr>
        <w:t xml:space="preserve"> </w:t>
      </w:r>
      <w:r w:rsidR="00492CDB">
        <w:rPr>
          <w:rFonts w:ascii="Palatino Linotype" w:eastAsia="Palatino Linotype" w:hAnsi="Palatino Linotype" w:cs="Palatino Linotype"/>
          <w:color w:val="000000" w:themeColor="text1"/>
        </w:rPr>
        <w:t>para</w:t>
      </w:r>
      <w:r w:rsidRPr="00932185">
        <w:rPr>
          <w:rFonts w:ascii="Palatino Linotype" w:eastAsia="Palatino Linotype" w:hAnsi="Palatino Linotype" w:cs="Palatino Linotype"/>
          <w:color w:val="000000" w:themeColor="text1"/>
        </w:rPr>
        <w:t xml:space="preserve"> su análisis.</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932185">
        <w:rPr>
          <w:rFonts w:ascii="Palatino Linotype" w:eastAsia="Palatino Linotype" w:hAnsi="Palatino Linotype" w:cs="Palatino Linotype"/>
          <w:b/>
          <w:color w:val="000000" w:themeColor="text1"/>
        </w:rPr>
        <w:t xml:space="preserve">acuerdo de admisión </w:t>
      </w:r>
      <w:r w:rsidRPr="00932185">
        <w:rPr>
          <w:rFonts w:ascii="Palatino Linotype" w:eastAsia="Palatino Linotype" w:hAnsi="Palatino Linotype" w:cs="Palatino Linotype"/>
          <w:color w:val="000000" w:themeColor="text1"/>
        </w:rPr>
        <w:t xml:space="preserve">de fecha </w:t>
      </w:r>
      <w:r w:rsidR="00D46113" w:rsidRPr="00932185">
        <w:rPr>
          <w:rFonts w:ascii="Palatino Linotype" w:eastAsia="Palatino Linotype" w:hAnsi="Palatino Linotype" w:cs="Palatino Linotype"/>
          <w:b/>
          <w:color w:val="000000" w:themeColor="text1"/>
        </w:rPr>
        <w:t xml:space="preserve">cuatro de septiembre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932185">
        <w:rPr>
          <w:rFonts w:ascii="Palatino Linotype" w:eastAsia="Palatino Linotype" w:hAnsi="Palatino Linotype" w:cs="Palatino Linotype"/>
          <w:b/>
          <w:color w:val="000000" w:themeColor="text1"/>
        </w:rPr>
        <w:t xml:space="preserve">SUJETO OBLIGADO </w:t>
      </w:r>
      <w:r w:rsidRPr="00932185">
        <w:rPr>
          <w:rFonts w:ascii="Palatino Linotype" w:eastAsia="Palatino Linotype" w:hAnsi="Palatino Linotype" w:cs="Palatino Linotype"/>
          <w:color w:val="000000" w:themeColor="text1"/>
        </w:rPr>
        <w:t>presentara el Informe Justificado procedente.</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 xml:space="preserve">SUJETO OBLIGADO </w:t>
      </w:r>
      <w:r w:rsidRPr="00932185">
        <w:rPr>
          <w:rFonts w:ascii="Palatino Linotype" w:eastAsia="Palatino Linotype" w:hAnsi="Palatino Linotype" w:cs="Palatino Linotype"/>
          <w:color w:val="000000" w:themeColor="text1"/>
        </w:rPr>
        <w:t xml:space="preserve">en fecha </w:t>
      </w:r>
      <w:r w:rsidR="00D46113" w:rsidRPr="00932185">
        <w:rPr>
          <w:rFonts w:ascii="Palatino Linotype" w:eastAsia="Palatino Linotype" w:hAnsi="Palatino Linotype" w:cs="Palatino Linotype"/>
          <w:b/>
          <w:color w:val="000000" w:themeColor="text1"/>
        </w:rPr>
        <w:t xml:space="preserve">diecisiete de septiembre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rindió el informe justificado correspondiente, por medio de</w:t>
      </w:r>
      <w:r w:rsidR="00D46113" w:rsidRPr="00932185">
        <w:rPr>
          <w:rFonts w:ascii="Palatino Linotype" w:eastAsia="Palatino Linotype" w:hAnsi="Palatino Linotype" w:cs="Palatino Linotype"/>
          <w:color w:val="000000" w:themeColor="text1"/>
        </w:rPr>
        <w:t>l</w:t>
      </w:r>
      <w:r w:rsidRPr="00932185">
        <w:rPr>
          <w:rFonts w:ascii="Palatino Linotype" w:eastAsia="Palatino Linotype" w:hAnsi="Palatino Linotype" w:cs="Palatino Linotype"/>
          <w:color w:val="000000" w:themeColor="text1"/>
        </w:rPr>
        <w:t xml:space="preserve"> archivo electrónico en formato pdf, </w:t>
      </w:r>
      <w:r w:rsidR="00D46113" w:rsidRPr="00932185">
        <w:rPr>
          <w:rFonts w:ascii="Palatino Linotype" w:eastAsia="Palatino Linotype" w:hAnsi="Palatino Linotype" w:cs="Palatino Linotype"/>
          <w:color w:val="000000" w:themeColor="text1"/>
        </w:rPr>
        <w:t xml:space="preserve">donde ratifica sus respuesta, </w:t>
      </w:r>
      <w:r w:rsidRPr="00932185">
        <w:rPr>
          <w:rFonts w:ascii="Palatino Linotype" w:eastAsia="Palatino Linotype" w:hAnsi="Palatino Linotype" w:cs="Palatino Linotype"/>
          <w:color w:val="000000" w:themeColor="text1"/>
        </w:rPr>
        <w:t>mismo</w:t>
      </w:r>
      <w:r w:rsidR="00D46113" w:rsidRPr="00932185">
        <w:rPr>
          <w:rFonts w:ascii="Palatino Linotype" w:eastAsia="Palatino Linotype" w:hAnsi="Palatino Linotype" w:cs="Palatino Linotype"/>
          <w:color w:val="000000" w:themeColor="text1"/>
        </w:rPr>
        <w:t xml:space="preserve"> que fue</w:t>
      </w:r>
      <w:r w:rsidRPr="00932185">
        <w:rPr>
          <w:rFonts w:ascii="Palatino Linotype" w:eastAsia="Palatino Linotype" w:hAnsi="Palatino Linotype" w:cs="Palatino Linotype"/>
          <w:color w:val="000000" w:themeColor="text1"/>
        </w:rPr>
        <w:t xml:space="preserve"> puestos a la vista del particular el </w:t>
      </w:r>
      <w:r w:rsidR="00D46113" w:rsidRPr="00932185">
        <w:rPr>
          <w:rFonts w:ascii="Palatino Linotype" w:eastAsia="Palatino Linotype" w:hAnsi="Palatino Linotype" w:cs="Palatino Linotype"/>
          <w:b/>
          <w:color w:val="000000" w:themeColor="text1"/>
        </w:rPr>
        <w:t xml:space="preserve">veintitrés de octubre de dos mil veinticinco. </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932185">
        <w:rPr>
          <w:rFonts w:ascii="Palatino Linotype" w:eastAsia="Palatino Linotype" w:hAnsi="Palatino Linotype" w:cs="Palatino Linotype"/>
          <w:color w:val="000000" w:themeColor="text1"/>
        </w:rPr>
        <w:t xml:space="preserve">Por su parte, el </w:t>
      </w:r>
      <w:r w:rsidRPr="00932185">
        <w:rPr>
          <w:rFonts w:ascii="Palatino Linotype" w:eastAsia="Palatino Linotype" w:hAnsi="Palatino Linotype" w:cs="Palatino Linotype"/>
          <w:b/>
          <w:color w:val="000000" w:themeColor="text1"/>
        </w:rPr>
        <w:t>RECURRENTE</w:t>
      </w:r>
      <w:r w:rsidRPr="00932185">
        <w:rPr>
          <w:rFonts w:ascii="Palatino Linotype" w:eastAsia="Palatino Linotype" w:hAnsi="Palatino Linotype" w:cs="Palatino Linotype"/>
          <w:color w:val="000000" w:themeColor="text1"/>
        </w:rPr>
        <w:t xml:space="preserve"> dejó de realizar manifestaciones que a su derecho conviniera y asistiera. </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6113" w:rsidRPr="00932185" w:rsidRDefault="00D46113"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3" w:name="_heading=h.79xlxmnfsdgy" w:colFirst="0" w:colLast="0"/>
      <w:bookmarkEnd w:id="3"/>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veintitrés de octubre de dos mil veinticinco</w:t>
      </w:r>
      <w:r w:rsidRPr="00932185">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D46113" w:rsidRPr="00932185" w:rsidRDefault="00D46113" w:rsidP="00932185">
      <w:pPr>
        <w:pStyle w:val="Prrafodelista"/>
        <w:ind w:left="0"/>
        <w:rPr>
          <w:rFonts w:ascii="Palatino Linotype" w:eastAsia="Palatino Linotype" w:hAnsi="Palatino Linotype" w:cs="Palatino Linotype"/>
          <w:color w:val="000000" w:themeColor="text1"/>
          <w:sz w:val="24"/>
          <w:szCs w:val="24"/>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color w:val="000000" w:themeColor="text1"/>
        </w:rPr>
        <w:lastRenderedPageBreak/>
        <w:t xml:space="preserve">La Comisionada Ponente mediante acuerdo del </w:t>
      </w:r>
      <w:r w:rsidR="00D46113" w:rsidRPr="00932185">
        <w:rPr>
          <w:rFonts w:ascii="Palatino Linotype" w:eastAsia="Palatino Linotype" w:hAnsi="Palatino Linotype" w:cs="Palatino Linotype"/>
          <w:b/>
          <w:color w:val="000000" w:themeColor="text1"/>
        </w:rPr>
        <w:t xml:space="preserve">veintinueve de octubre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decretó el cierre de instrucción del expediente, por lo que no habie</w:t>
      </w:r>
      <w:r w:rsidR="00653762">
        <w:rPr>
          <w:rFonts w:ascii="Palatino Linotype" w:eastAsia="Palatino Linotype" w:hAnsi="Palatino Linotype" w:cs="Palatino Linotype"/>
          <w:color w:val="000000" w:themeColor="text1"/>
        </w:rPr>
        <w:t xml:space="preserve">ndo más que hacer constar, y </w:t>
      </w:r>
    </w:p>
    <w:p w:rsidR="00E172F1" w:rsidRPr="00932185" w:rsidRDefault="00E172F1" w:rsidP="00932185">
      <w:pPr>
        <w:spacing w:line="360" w:lineRule="auto"/>
        <w:rPr>
          <w:rFonts w:ascii="Palatino Linotype" w:eastAsia="Palatino Linotype" w:hAnsi="Palatino Linotype" w:cs="Palatino Linotype"/>
          <w:b/>
          <w:color w:val="000000" w:themeColor="text1"/>
        </w:rPr>
      </w:pPr>
    </w:p>
    <w:p w:rsidR="00E172F1" w:rsidRDefault="005E32CB" w:rsidP="0093218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b/>
          <w:color w:val="000000" w:themeColor="text1"/>
        </w:rPr>
        <w:t>C</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O</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N</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S</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I</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D</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E</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R</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A</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N</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D</w:t>
      </w:r>
      <w:r w:rsidR="00492CDB">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b/>
          <w:color w:val="000000" w:themeColor="text1"/>
        </w:rPr>
        <w:t>O</w:t>
      </w:r>
    </w:p>
    <w:p w:rsidR="00653762" w:rsidRPr="00932185" w:rsidRDefault="00653762" w:rsidP="0093218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172F1" w:rsidRPr="00932185" w:rsidRDefault="005E32CB" w:rsidP="00932185">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9n1gij20no7v" w:colFirst="0" w:colLast="0"/>
      <w:bookmarkEnd w:id="4"/>
      <w:r w:rsidRPr="00932185">
        <w:rPr>
          <w:rFonts w:ascii="Palatino Linotype" w:eastAsia="Palatino Linotype" w:hAnsi="Palatino Linotype" w:cs="Palatino Linotype"/>
          <w:b/>
          <w:color w:val="000000" w:themeColor="text1"/>
          <w:sz w:val="24"/>
          <w:szCs w:val="24"/>
        </w:rPr>
        <w:t>PRIMERO. De la competencia</w:t>
      </w: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t xml:space="preserve"> </w:t>
      </w:r>
      <w:r w:rsidR="00D46113" w:rsidRPr="00932185">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00D46113" w:rsidRPr="00932185">
        <w:rPr>
          <w:rFonts w:ascii="Palatino Linotype" w:hAnsi="Palatino Linotype"/>
          <w:b/>
          <w:bCs/>
          <w:color w:val="000000" w:themeColor="text1"/>
          <w:shd w:val="clear" w:color="auto" w:fill="FFFFFF"/>
        </w:rPr>
        <w:t>Constitución Política de los Estados Unidos Mexicanos</w:t>
      </w:r>
      <w:r w:rsidR="00D46113" w:rsidRPr="00932185">
        <w:rPr>
          <w:rFonts w:ascii="Palatino Linotype" w:hAnsi="Palatino Linotype"/>
          <w:color w:val="000000" w:themeColor="text1"/>
          <w:shd w:val="clear" w:color="auto" w:fill="FFFFFF"/>
        </w:rPr>
        <w:t>; 5, párrafos trigésimo segundo, trigésimo tercero y trigésimo cuarto fracciones IV y V de la </w:t>
      </w:r>
      <w:r w:rsidR="00D46113" w:rsidRPr="00932185">
        <w:rPr>
          <w:rFonts w:ascii="Palatino Linotype" w:hAnsi="Palatino Linotype"/>
          <w:b/>
          <w:bCs/>
          <w:color w:val="000000" w:themeColor="text1"/>
          <w:shd w:val="clear" w:color="auto" w:fill="FFFFFF"/>
        </w:rPr>
        <w:t>Constitución Política del Estado Libre y Soberano de México</w:t>
      </w:r>
      <w:r w:rsidR="00D46113" w:rsidRPr="00932185">
        <w:rPr>
          <w:rFonts w:ascii="Palatino Linotype" w:hAnsi="Palatino Linotype"/>
          <w:color w:val="000000" w:themeColor="text1"/>
          <w:shd w:val="clear" w:color="auto" w:fill="FFFFFF"/>
        </w:rPr>
        <w:t>; artículos 1, 2 fracción II, 13, 29, 36 fracciones I y II, 176, 178, 179, 181 párrafo tercero y 185 de la </w:t>
      </w:r>
      <w:r w:rsidR="00D46113" w:rsidRPr="00932185">
        <w:rPr>
          <w:rFonts w:ascii="Palatino Linotype" w:hAnsi="Palatino Linotype"/>
          <w:b/>
          <w:bCs/>
          <w:color w:val="000000" w:themeColor="text1"/>
          <w:shd w:val="clear" w:color="auto" w:fill="FFFFFF"/>
        </w:rPr>
        <w:t>Ley de Transparencia y Acceso a la Información Pública del Estado de México y Municipios</w:t>
      </w:r>
      <w:r w:rsidR="00D46113" w:rsidRPr="00932185">
        <w:rPr>
          <w:rFonts w:ascii="Palatino Linotype" w:hAnsi="Palatino Linotype"/>
          <w:color w:val="000000" w:themeColor="text1"/>
          <w:shd w:val="clear" w:color="auto" w:fill="FFFFFF"/>
        </w:rPr>
        <w:t>; y 7, 9 fracciones I y XXIII, y 11 del </w:t>
      </w:r>
      <w:r w:rsidR="00D46113" w:rsidRPr="00932185">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00D46113" w:rsidRPr="00932185">
        <w:rPr>
          <w:rFonts w:ascii="Palatino Linotype" w:hAnsi="Palatino Linotype"/>
          <w:color w:val="000000" w:themeColor="text1"/>
          <w:shd w:val="clear" w:color="auto" w:fill="FFFFFF"/>
        </w:rPr>
        <w:t>.</w:t>
      </w:r>
    </w:p>
    <w:p w:rsidR="00653762" w:rsidRPr="00932185" w:rsidRDefault="00653762" w:rsidP="009321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gbjjuufidzjy" w:colFirst="0" w:colLast="0"/>
      <w:bookmarkEnd w:id="5"/>
    </w:p>
    <w:p w:rsidR="00E172F1" w:rsidRPr="00932185" w:rsidRDefault="005E32CB" w:rsidP="009321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wxjzemg6q56z" w:colFirst="0" w:colLast="0"/>
      <w:bookmarkEnd w:id="6"/>
      <w:r w:rsidRPr="00932185">
        <w:rPr>
          <w:rFonts w:ascii="Palatino Linotype" w:eastAsia="Palatino Linotype" w:hAnsi="Palatino Linotype" w:cs="Palatino Linotype"/>
          <w:b/>
          <w:color w:val="000000" w:themeColor="text1"/>
        </w:rPr>
        <w:t>SEGUNDO. De la oportunidad y procedencia.</w:t>
      </w: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64cel3qzb92h" w:colFirst="0" w:colLast="0"/>
      <w:bookmarkEnd w:id="7"/>
      <w:r w:rsidRPr="00932185">
        <w:rPr>
          <w:rFonts w:ascii="Palatino Linotype" w:eastAsia="Palatino Linotype" w:hAnsi="Palatino Linotype" w:cs="Palatino Linotype"/>
          <w:color w:val="000000" w:themeColor="text1"/>
        </w:rPr>
        <w:t xml:space="preserve">Los medios de impugnación fueron presentados a través del </w:t>
      </w:r>
      <w:r w:rsidRPr="00932185">
        <w:rPr>
          <w:rFonts w:ascii="Palatino Linotype" w:eastAsia="Palatino Linotype" w:hAnsi="Palatino Linotype" w:cs="Palatino Linotype"/>
          <w:b/>
          <w:color w:val="000000" w:themeColor="text1"/>
        </w:rPr>
        <w:t>SAIMEX,</w:t>
      </w:r>
      <w:r w:rsidRPr="0093218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entregó su respuesta el </w:t>
      </w:r>
      <w:r w:rsidR="00D46113" w:rsidRPr="00932185">
        <w:rPr>
          <w:rFonts w:ascii="Palatino Linotype" w:eastAsia="Palatino Linotype" w:hAnsi="Palatino Linotype" w:cs="Palatino Linotype"/>
          <w:b/>
          <w:color w:val="000000" w:themeColor="text1"/>
        </w:rPr>
        <w:t xml:space="preserve">veinticinco de agosto </w:t>
      </w:r>
      <w:r w:rsidRPr="00932185">
        <w:rPr>
          <w:rFonts w:ascii="Palatino Linotype" w:eastAsia="Palatino Linotype" w:hAnsi="Palatino Linotype" w:cs="Palatino Linotype"/>
          <w:b/>
          <w:color w:val="000000" w:themeColor="text1"/>
        </w:rPr>
        <w:t xml:space="preserve">de dos mil veinticinco </w:t>
      </w:r>
      <w:r w:rsidRPr="00932185">
        <w:rPr>
          <w:rFonts w:ascii="Palatino Linotype" w:eastAsia="Palatino Linotype" w:hAnsi="Palatino Linotype" w:cs="Palatino Linotype"/>
          <w:color w:val="000000" w:themeColor="text1"/>
        </w:rPr>
        <w:t xml:space="preserve">de tal forma que el plazo para </w:t>
      </w:r>
      <w:r w:rsidRPr="00932185">
        <w:rPr>
          <w:rFonts w:ascii="Palatino Linotype" w:eastAsia="Palatino Linotype" w:hAnsi="Palatino Linotype" w:cs="Palatino Linotype"/>
          <w:color w:val="000000" w:themeColor="text1"/>
        </w:rPr>
        <w:lastRenderedPageBreak/>
        <w:t xml:space="preserve">interponer el recurso de revisión transcurrió del día </w:t>
      </w:r>
      <w:r w:rsidR="00D46113" w:rsidRPr="00932185">
        <w:rPr>
          <w:rFonts w:ascii="Palatino Linotype" w:eastAsia="Palatino Linotype" w:hAnsi="Palatino Linotype" w:cs="Palatino Linotype"/>
          <w:b/>
          <w:color w:val="000000" w:themeColor="text1"/>
        </w:rPr>
        <w:t xml:space="preserve">veintiséis de agosto </w:t>
      </w:r>
      <w:r w:rsidRPr="00932185">
        <w:rPr>
          <w:rFonts w:ascii="Palatino Linotype" w:eastAsia="Palatino Linotype" w:hAnsi="Palatino Linotype" w:cs="Palatino Linotype"/>
          <w:b/>
          <w:color w:val="000000" w:themeColor="text1"/>
        </w:rPr>
        <w:t xml:space="preserve">al </w:t>
      </w:r>
      <w:r w:rsidR="00D46113" w:rsidRPr="00932185">
        <w:rPr>
          <w:rFonts w:ascii="Palatino Linotype" w:eastAsia="Palatino Linotype" w:hAnsi="Palatino Linotype" w:cs="Palatino Linotype"/>
          <w:b/>
          <w:color w:val="000000" w:themeColor="text1"/>
        </w:rPr>
        <w:t xml:space="preserve">quince de septiembre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xml:space="preserve">; en consecuencia, el ahora </w:t>
      </w:r>
      <w:r w:rsidRPr="00932185">
        <w:rPr>
          <w:rFonts w:ascii="Palatino Linotype" w:eastAsia="Palatino Linotype" w:hAnsi="Palatino Linotype" w:cs="Palatino Linotype"/>
          <w:b/>
          <w:color w:val="000000" w:themeColor="text1"/>
        </w:rPr>
        <w:t>RECURRENTE</w:t>
      </w:r>
      <w:r w:rsidRPr="00932185">
        <w:rPr>
          <w:rFonts w:ascii="Palatino Linotype" w:eastAsia="Palatino Linotype" w:hAnsi="Palatino Linotype" w:cs="Palatino Linotype"/>
          <w:color w:val="000000" w:themeColor="text1"/>
        </w:rPr>
        <w:t xml:space="preserve"> presentó su inconformidad el </w:t>
      </w:r>
      <w:r w:rsidR="00D46113" w:rsidRPr="00932185">
        <w:rPr>
          <w:rFonts w:ascii="Palatino Linotype" w:eastAsia="Palatino Linotype" w:hAnsi="Palatino Linotype" w:cs="Palatino Linotype"/>
          <w:b/>
          <w:color w:val="000000" w:themeColor="text1"/>
        </w:rPr>
        <w:t xml:space="preserve">dos de septiembre </w:t>
      </w:r>
      <w:r w:rsidRPr="00932185">
        <w:rPr>
          <w:rFonts w:ascii="Palatino Linotype" w:eastAsia="Palatino Linotype" w:hAnsi="Palatino Linotype" w:cs="Palatino Linotype"/>
          <w:b/>
          <w:color w:val="000000" w:themeColor="text1"/>
        </w:rPr>
        <w:t>de dos mil veinticinco,</w:t>
      </w:r>
      <w:r w:rsidRPr="00932185">
        <w:rPr>
          <w:rFonts w:ascii="Palatino Linotype" w:eastAsia="Palatino Linotype" w:hAnsi="Palatino Linotype" w:cs="Palatino Linotype"/>
          <w:color w:val="000000" w:themeColor="text1"/>
        </w:rPr>
        <w:t xml:space="preserve"> es decir dentro del lapso legalmente establecido para tal efecto.</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172F1" w:rsidRPr="00932185" w:rsidRDefault="005E32CB" w:rsidP="00932185">
      <w:pPr>
        <w:tabs>
          <w:tab w:val="left" w:pos="7655"/>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Las solicitudes anónimas</w:t>
      </w:r>
      <w:r w:rsidRPr="00932185">
        <w:rPr>
          <w:rFonts w:ascii="Palatino Linotype" w:eastAsia="Palatino Linotype" w:hAnsi="Palatino Linotype" w:cs="Palatino Linotype"/>
          <w:i/>
          <w:color w:val="000000" w:themeColor="text1"/>
        </w:rPr>
        <w:t xml:space="preserve">, con nombre incompleto o seudónimo </w:t>
      </w:r>
      <w:r w:rsidRPr="00932185">
        <w:rPr>
          <w:rFonts w:ascii="Palatino Linotype" w:eastAsia="Palatino Linotype" w:hAnsi="Palatino Linotype" w:cs="Palatino Linotype"/>
          <w:b/>
          <w:i/>
          <w:color w:val="000000" w:themeColor="text1"/>
        </w:rPr>
        <w:t>serán procedentes para su trámite por parte del sujeto obligado ante quien se presente</w:t>
      </w:r>
      <w:r w:rsidRPr="00932185">
        <w:rPr>
          <w:rFonts w:ascii="Palatino Linotype" w:eastAsia="Palatino Linotype" w:hAnsi="Palatino Linotype" w:cs="Palatino Linotype"/>
          <w:i/>
          <w:color w:val="000000" w:themeColor="text1"/>
        </w:rPr>
        <w:t>. No podrá requerirse información adicional con motivo del nombre proporcionado por el solicitante."</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6.-</w:t>
      </w:r>
      <w:r w:rsidRPr="00932185">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Para efectos de lo dispuesto en el presente artículo se observará lo siguiente:</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172F1" w:rsidRPr="00932185" w:rsidRDefault="00E172F1" w:rsidP="00932185">
      <w:pPr>
        <w:jc w:val="both"/>
        <w:rPr>
          <w:rFonts w:ascii="Palatino Linotype" w:eastAsia="Palatino Linotype" w:hAnsi="Palatino Linotype" w:cs="Palatino Linotype"/>
          <w:i/>
          <w:color w:val="000000" w:themeColor="text1"/>
        </w:rPr>
      </w:pP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932185">
        <w:rPr>
          <w:rFonts w:ascii="Palatino Linotype" w:eastAsia="Palatino Linotype" w:hAnsi="Palatino Linotype" w:cs="Palatino Linotype"/>
          <w:color w:val="000000" w:themeColor="text1"/>
        </w:rPr>
        <w:t>(Sic)</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5.-</w:t>
      </w:r>
      <w:r w:rsidRPr="00932185">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32185">
        <w:rPr>
          <w:rFonts w:ascii="Palatino Linotype" w:eastAsia="Palatino Linotype" w:hAnsi="Palatino Linotype" w:cs="Palatino Linotype"/>
          <w:color w:val="000000" w:themeColor="text1"/>
        </w:rPr>
        <w:t>(Sic)</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1</w:t>
      </w:r>
      <w:r w:rsidRPr="00932185">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932185">
        <w:rPr>
          <w:rFonts w:ascii="Palatino Linotype" w:eastAsia="Palatino Linotype" w:hAnsi="Palatino Linotype" w:cs="Palatino Linotype"/>
          <w:i/>
          <w:color w:val="000000" w:themeColor="text1"/>
        </w:rPr>
        <w:t>derecho fundamental exime a quien lo ejerce</w:t>
      </w:r>
      <w:r w:rsidRPr="00932185">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932185">
        <w:rPr>
          <w:rFonts w:ascii="Palatino Linotype" w:eastAsia="Palatino Linotype" w:hAnsi="Palatino Linotype" w:cs="Palatino Linotype"/>
          <w:b/>
          <w:color w:val="000000" w:themeColor="text1"/>
        </w:rPr>
        <w:t>RECURRENTE</w:t>
      </w:r>
      <w:r w:rsidRPr="00932185">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w:t>
      </w:r>
      <w:r w:rsidRPr="00932185">
        <w:rPr>
          <w:rFonts w:ascii="Palatino Linotype" w:eastAsia="Palatino Linotype" w:hAnsi="Palatino Linotype" w:cs="Palatino Linotype"/>
          <w:color w:val="000000" w:themeColor="text1"/>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tll1cxvcqvxe" w:colFirst="0" w:colLast="0"/>
      <w:bookmarkEnd w:id="8"/>
      <w:r w:rsidRPr="00932185">
        <w:rPr>
          <w:rFonts w:ascii="Palatino Linotype" w:eastAsia="Palatino Linotype" w:hAnsi="Palatino Linotype" w:cs="Palatino Linotype"/>
          <w:b/>
          <w:color w:val="000000" w:themeColor="text1"/>
          <w:sz w:val="24"/>
          <w:szCs w:val="24"/>
        </w:rPr>
        <w:t xml:space="preserve">TERCERO. Del planteamiento de la </w:t>
      </w:r>
      <w:r w:rsidRPr="00932185">
        <w:rPr>
          <w:rFonts w:ascii="Palatino Linotype" w:eastAsia="Palatino Linotype" w:hAnsi="Palatino Linotype" w:cs="Palatino Linotype"/>
          <w:b/>
          <w:i/>
          <w:color w:val="000000" w:themeColor="text1"/>
          <w:sz w:val="24"/>
          <w:szCs w:val="24"/>
        </w:rPr>
        <w:t>Litis</w:t>
      </w:r>
      <w:r w:rsidRPr="00932185">
        <w:rPr>
          <w:rFonts w:ascii="Palatino Linotype" w:eastAsia="Palatino Linotype" w:hAnsi="Palatino Linotype" w:cs="Palatino Linotype"/>
          <w:b/>
          <w:color w:val="000000" w:themeColor="text1"/>
          <w:sz w:val="24"/>
          <w:szCs w:val="24"/>
        </w:rPr>
        <w:t>.</w:t>
      </w: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RECURRENTE</w:t>
      </w:r>
      <w:r w:rsidRPr="00932185">
        <w:rPr>
          <w:rFonts w:ascii="Palatino Linotype" w:eastAsia="Palatino Linotype" w:hAnsi="Palatino Linotype" w:cs="Palatino Linotype"/>
          <w:color w:val="000000" w:themeColor="text1"/>
        </w:rPr>
        <w:t xml:space="preserve"> solicitó los  </w:t>
      </w:r>
      <w:r w:rsidR="00D46113" w:rsidRPr="00932185">
        <w:rPr>
          <w:rFonts w:ascii="Palatino Linotype" w:eastAsia="Palatino Linotype" w:hAnsi="Palatino Linotype" w:cs="Palatino Linotype"/>
          <w:b/>
          <w:color w:val="000000" w:themeColor="text1"/>
        </w:rPr>
        <w:t>contratos firmados para la prestación de los diferentes servicios de la feria como son la exhibición de lucha libre y box que se están presentando en la feria de Jocotitlán 2025.</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46113"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 respuesta, el </w:t>
      </w:r>
      <w:r w:rsidRPr="00932185">
        <w:rPr>
          <w:rFonts w:ascii="Palatino Linotype" w:eastAsia="Palatino Linotype" w:hAnsi="Palatino Linotype" w:cs="Palatino Linotype"/>
          <w:b/>
          <w:color w:val="000000" w:themeColor="text1"/>
        </w:rPr>
        <w:t>SUJETO OBLIGADO</w:t>
      </w:r>
      <w:r w:rsidR="000D33D2" w:rsidRPr="00932185">
        <w:rPr>
          <w:rFonts w:ascii="Palatino Linotype" w:eastAsia="Palatino Linotype" w:hAnsi="Palatino Linotype" w:cs="Palatino Linotype"/>
          <w:color w:val="000000" w:themeColor="text1"/>
        </w:rPr>
        <w:t xml:space="preserve"> en términos del párrafo segundo.</w:t>
      </w:r>
    </w:p>
    <w:p w:rsidR="00D46113" w:rsidRPr="00932185" w:rsidRDefault="00D46113" w:rsidP="00932185">
      <w:pPr>
        <w:pStyle w:val="Prrafodelista"/>
        <w:ind w:left="0"/>
        <w:rPr>
          <w:rFonts w:ascii="Palatino Linotype" w:eastAsia="Palatino Linotype" w:hAnsi="Palatino Linotype" w:cs="Palatino Linotype"/>
          <w:color w:val="000000" w:themeColor="text1"/>
          <w:sz w:val="24"/>
          <w:szCs w:val="24"/>
        </w:rPr>
      </w:pP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RECURRENTE</w:t>
      </w:r>
      <w:r w:rsidRPr="00932185">
        <w:rPr>
          <w:rFonts w:ascii="Palatino Linotype" w:eastAsia="Palatino Linotype" w:hAnsi="Palatino Linotype" w:cs="Palatino Linotype"/>
          <w:color w:val="000000" w:themeColor="text1"/>
        </w:rPr>
        <w:t xml:space="preserve">, se inconformó por </w:t>
      </w:r>
      <w:r w:rsidRPr="00932185">
        <w:rPr>
          <w:rFonts w:ascii="Palatino Linotype" w:eastAsia="Palatino Linotype" w:hAnsi="Palatino Linotype" w:cs="Palatino Linotype"/>
          <w:b/>
          <w:color w:val="000000" w:themeColor="text1"/>
        </w:rPr>
        <w:t>la entrega de información incompleta</w:t>
      </w:r>
      <w:r w:rsidRPr="00932185">
        <w:rPr>
          <w:rFonts w:ascii="Palatino Linotype" w:eastAsia="Palatino Linotype" w:hAnsi="Palatino Linotype" w:cs="Palatino Linotype"/>
          <w:color w:val="000000" w:themeColor="text1"/>
        </w:rPr>
        <w:t xml:space="preserve">, en los siguientes términos: </w:t>
      </w:r>
      <w:r w:rsidRPr="00932185">
        <w:rPr>
          <w:rFonts w:ascii="Palatino Linotype" w:eastAsia="Palatino Linotype" w:hAnsi="Palatino Linotype" w:cs="Palatino Linotype"/>
          <w:i/>
          <w:color w:val="000000" w:themeColor="text1"/>
        </w:rPr>
        <w:t>“</w:t>
      </w:r>
      <w:r w:rsidR="000D33D2" w:rsidRPr="00932185">
        <w:rPr>
          <w:rFonts w:ascii="Palatino Linotype" w:eastAsia="Palatino Linotype" w:hAnsi="Palatino Linotype" w:cs="Palatino Linotype"/>
          <w:i/>
          <w:color w:val="000000" w:themeColor="text1"/>
        </w:rPr>
        <w:t>No se entregó lo que se solicito está incompleto</w:t>
      </w:r>
      <w:r w:rsidRPr="00932185">
        <w:rPr>
          <w:rFonts w:ascii="Palatino Linotype" w:eastAsia="Palatino Linotype" w:hAnsi="Palatino Linotype" w:cs="Palatino Linotype"/>
          <w:i/>
          <w:color w:val="000000" w:themeColor="text1"/>
        </w:rPr>
        <w:t>.” (Sic)</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 xml:space="preserve">En dichas condiciones, la </w:t>
      </w:r>
      <w:r w:rsidRPr="00932185">
        <w:rPr>
          <w:rFonts w:ascii="Palatino Linotype" w:eastAsia="Palatino Linotype" w:hAnsi="Palatino Linotype" w:cs="Palatino Linotype"/>
          <w:i/>
          <w:color w:val="000000" w:themeColor="text1"/>
        </w:rPr>
        <w:t>Litis</w:t>
      </w:r>
      <w:r w:rsidRPr="0093218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932185">
        <w:rPr>
          <w:rFonts w:ascii="Palatino Linotype" w:eastAsia="Palatino Linotype" w:hAnsi="Palatino Linotype" w:cs="Palatino Linotype"/>
          <w:b/>
          <w:color w:val="000000" w:themeColor="text1"/>
        </w:rPr>
        <w:t xml:space="preserve">fracción V </w:t>
      </w:r>
      <w:r w:rsidRPr="00932185">
        <w:rPr>
          <w:rFonts w:ascii="Palatino Linotype" w:eastAsia="Palatino Linotype" w:hAnsi="Palatino Linotype" w:cs="Palatino Linotype"/>
          <w:color w:val="000000" w:themeColor="text1"/>
        </w:rPr>
        <w:t>de la Ley</w:t>
      </w:r>
      <w:r w:rsidRPr="00932185">
        <w:rPr>
          <w:rFonts w:ascii="Palatino Linotype" w:eastAsia="Palatino Linotype" w:hAnsi="Palatino Linotype" w:cs="Palatino Linotype"/>
          <w:b/>
          <w:color w:val="000000" w:themeColor="text1"/>
        </w:rPr>
        <w:t xml:space="preserve"> de Transparencia y Acceso a la Información Pública del Estado de </w:t>
      </w:r>
      <w:r w:rsidRPr="00932185">
        <w:rPr>
          <w:rFonts w:ascii="Palatino Linotype" w:eastAsia="Palatino Linotype" w:hAnsi="Palatino Linotype" w:cs="Palatino Linotype"/>
          <w:color w:val="000000" w:themeColor="text1"/>
        </w:rPr>
        <w:t>México</w:t>
      </w:r>
      <w:r w:rsidRPr="00932185">
        <w:rPr>
          <w:rFonts w:ascii="Palatino Linotype" w:eastAsia="Palatino Linotype" w:hAnsi="Palatino Linotype" w:cs="Palatino Linotype"/>
          <w:b/>
          <w:color w:val="000000" w:themeColor="text1"/>
        </w:rPr>
        <w:t xml:space="preserve"> y Municipios</w:t>
      </w:r>
      <w:r w:rsidRPr="00932185">
        <w:rPr>
          <w:rFonts w:ascii="Palatino Linotype" w:eastAsia="Palatino Linotype" w:hAnsi="Palatino Linotype" w:cs="Palatino Linotype"/>
          <w:color w:val="000000" w:themeColor="text1"/>
        </w:rPr>
        <w:t xml:space="preserve">; fracción que determina la hipótesis jurídica relativa a </w:t>
      </w:r>
      <w:r w:rsidRPr="00932185">
        <w:rPr>
          <w:rFonts w:ascii="Palatino Linotype" w:eastAsia="Palatino Linotype" w:hAnsi="Palatino Linotype" w:cs="Palatino Linotype"/>
          <w:b/>
          <w:color w:val="000000" w:themeColor="text1"/>
        </w:rPr>
        <w:t xml:space="preserve">la entrega de información incompleta </w:t>
      </w:r>
      <w:r w:rsidRPr="00932185">
        <w:rPr>
          <w:rFonts w:ascii="Palatino Linotype" w:eastAsia="Palatino Linotype" w:hAnsi="Palatino Linotype" w:cs="Palatino Linotype"/>
          <w:color w:val="000000" w:themeColor="text1"/>
        </w:rPr>
        <w:t xml:space="preserve">por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contexto del cual se dolió </w:t>
      </w:r>
      <w:r w:rsidRPr="00932185">
        <w:rPr>
          <w:rFonts w:ascii="Palatino Linotype" w:eastAsia="Palatino Linotype" w:hAnsi="Palatino Linotype" w:cs="Palatino Linotype"/>
          <w:b/>
          <w:color w:val="000000" w:themeColor="text1"/>
        </w:rPr>
        <w:t xml:space="preserve">EL RECURRENTE </w:t>
      </w:r>
      <w:r w:rsidRPr="00932185">
        <w:rPr>
          <w:rFonts w:ascii="Palatino Linotype" w:eastAsia="Palatino Linotype" w:hAnsi="Palatino Linotype" w:cs="Palatino Linotype"/>
          <w:color w:val="000000" w:themeColor="text1"/>
        </w:rPr>
        <w:t>al momento de interponer su inconformidad.</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De modo tal que los recursos de revisión se abocaran en determinar si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con su respuesta ciertamente actualiza la causal de procedencia</w:t>
      </w:r>
      <w:r w:rsidRPr="00932185">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keepNext/>
        <w:keepLines/>
        <w:spacing w:line="360" w:lineRule="auto"/>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b/>
          <w:color w:val="000000" w:themeColor="text1"/>
        </w:rPr>
        <w:t>CUARTO. Del estudio y resolución del asunto</w:t>
      </w:r>
    </w:p>
    <w:p w:rsidR="00E172F1" w:rsidRPr="00932185" w:rsidRDefault="005E32CB" w:rsidP="00492CDB">
      <w:pPr>
        <w:keepNext/>
        <w:keepLines/>
        <w:numPr>
          <w:ilvl w:val="0"/>
          <w:numId w:val="6"/>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932185">
        <w:rPr>
          <w:rFonts w:ascii="Palatino Linotype" w:eastAsia="Palatino Linotype" w:hAnsi="Palatino Linotype" w:cs="Palatino Linotype"/>
          <w:b/>
          <w:color w:val="000000" w:themeColor="text1"/>
        </w:rPr>
        <w:t>Del derecho de acceso a la información.</w:t>
      </w: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 xml:space="preserve">Definiendo el Derecho de Acceso a la Información Pública como: </w:t>
      </w:r>
      <w:r w:rsidRPr="00932185">
        <w:rPr>
          <w:rFonts w:ascii="Palatino Linotype" w:eastAsia="Palatino Linotype" w:hAnsi="Palatino Linotype" w:cs="Palatino Linotype"/>
          <w:i/>
          <w:color w:val="000000" w:themeColor="text1"/>
        </w:rPr>
        <w:t>La igualdad de oportunidades para recibir, buscar e impartir información</w:t>
      </w:r>
      <w:r w:rsidRPr="00932185">
        <w:rPr>
          <w:rFonts w:ascii="Palatino Linotype" w:eastAsia="Palatino Linotype" w:hAnsi="Palatino Linotype" w:cs="Palatino Linotype"/>
          <w:i/>
          <w:color w:val="000000" w:themeColor="text1"/>
          <w:vertAlign w:val="superscript"/>
        </w:rPr>
        <w:footnoteReference w:id="1"/>
      </w:r>
      <w:r w:rsidRPr="0093218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2185">
        <w:rPr>
          <w:rFonts w:ascii="Palatino Linotype" w:eastAsia="Palatino Linotype" w:hAnsi="Palatino Linotype" w:cs="Palatino Linotype"/>
          <w:i/>
          <w:color w:val="000000" w:themeColor="text1"/>
          <w:vertAlign w:val="superscript"/>
        </w:rPr>
        <w:footnoteReference w:id="2"/>
      </w:r>
      <w:r w:rsidRPr="00932185">
        <w:rPr>
          <w:rFonts w:ascii="Palatino Linotype" w:eastAsia="Palatino Linotype" w:hAnsi="Palatino Linotype" w:cs="Palatino Linotype"/>
          <w:color w:val="000000" w:themeColor="text1"/>
        </w:rPr>
        <w:t>que se constituye como una herramienta fundamental para ejercer</w:t>
      </w:r>
      <w:r w:rsidRPr="0093218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32185">
        <w:rPr>
          <w:rFonts w:ascii="Palatino Linotype" w:eastAsia="Palatino Linotype" w:hAnsi="Palatino Linotype" w:cs="Palatino Linotype"/>
          <w:i/>
          <w:color w:val="000000" w:themeColor="text1"/>
          <w:vertAlign w:val="superscript"/>
        </w:rPr>
        <w:footnoteReference w:id="3"/>
      </w:r>
      <w:r w:rsidRPr="00932185">
        <w:rPr>
          <w:rFonts w:ascii="Palatino Linotype" w:eastAsia="Palatino Linotype" w:hAnsi="Palatino Linotype" w:cs="Palatino Linotype"/>
          <w:color w:val="000000" w:themeColor="text1"/>
        </w:rPr>
        <w:t>fomentando</w:t>
      </w:r>
      <w:r w:rsidRPr="00932185">
        <w:rPr>
          <w:rFonts w:ascii="Palatino Linotype" w:eastAsia="Palatino Linotype" w:hAnsi="Palatino Linotype" w:cs="Palatino Linotype"/>
          <w:i/>
          <w:color w:val="000000" w:themeColor="text1"/>
        </w:rPr>
        <w:t xml:space="preserve"> la transparencia de las actividades estatales y </w:t>
      </w:r>
      <w:r w:rsidRPr="00932185">
        <w:rPr>
          <w:rFonts w:ascii="Palatino Linotype" w:eastAsia="Palatino Linotype" w:hAnsi="Palatino Linotype" w:cs="Palatino Linotype"/>
          <w:color w:val="000000" w:themeColor="text1"/>
        </w:rPr>
        <w:t>promoviendo</w:t>
      </w:r>
      <w:r w:rsidRPr="00932185">
        <w:rPr>
          <w:rFonts w:ascii="Palatino Linotype" w:eastAsia="Palatino Linotype" w:hAnsi="Palatino Linotype" w:cs="Palatino Linotype"/>
          <w:i/>
          <w:color w:val="000000" w:themeColor="text1"/>
        </w:rPr>
        <w:t xml:space="preserve"> la responsabilidad de los funcionarios sobre su gestión pública,</w:t>
      </w:r>
      <w:r w:rsidRPr="00932185">
        <w:rPr>
          <w:rFonts w:ascii="Palatino Linotype" w:eastAsia="Palatino Linotype" w:hAnsi="Palatino Linotype" w:cs="Palatino Linotype"/>
          <w:i/>
          <w:color w:val="000000" w:themeColor="text1"/>
          <w:vertAlign w:val="superscript"/>
        </w:rPr>
        <w:footnoteReference w:id="4"/>
      </w:r>
      <w:r w:rsidRPr="00932185">
        <w:rPr>
          <w:rFonts w:ascii="Palatino Linotype" w:eastAsia="Palatino Linotype" w:hAnsi="Palatino Linotype" w:cs="Palatino Linotype"/>
          <w:color w:val="000000" w:themeColor="text1"/>
        </w:rPr>
        <w:t>que permite</w:t>
      </w:r>
      <w:r w:rsidRPr="0093218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172F1" w:rsidRPr="00932185" w:rsidRDefault="005E32CB" w:rsidP="00932185">
      <w:pPr>
        <w:tabs>
          <w:tab w:val="left" w:pos="7655"/>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1.-</w:t>
      </w:r>
      <w:r w:rsidRPr="00932185">
        <w:rPr>
          <w:rFonts w:ascii="Palatino Linotype" w:eastAsia="Palatino Linotype" w:hAnsi="Palatino Linotype" w:cs="Palatino Linotype"/>
          <w:i/>
          <w:color w:val="000000" w:themeColor="text1"/>
        </w:rPr>
        <w:t xml:space="preserve"> </w:t>
      </w:r>
    </w:p>
    <w:p w:rsidR="00E172F1" w:rsidRPr="00932185" w:rsidRDefault="005E32CB" w:rsidP="00932185">
      <w:pPr>
        <w:tabs>
          <w:tab w:val="left" w:pos="7655"/>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tabs>
          <w:tab w:val="left" w:pos="7655"/>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Todas las</w:t>
      </w:r>
      <w:r w:rsidRPr="00932185">
        <w:rPr>
          <w:rFonts w:ascii="Palatino Linotype" w:eastAsia="Palatino Linotype" w:hAnsi="Palatino Linotype" w:cs="Palatino Linotype"/>
          <w:color w:val="000000" w:themeColor="text1"/>
        </w:rPr>
        <w:t xml:space="preserve"> </w:t>
      </w:r>
      <w:r w:rsidRPr="0093218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72F1" w:rsidRPr="00932185" w:rsidRDefault="005E32CB" w:rsidP="00932185">
      <w:pPr>
        <w:tabs>
          <w:tab w:val="left" w:pos="7655"/>
        </w:tabs>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i/>
          <w:color w:val="000000" w:themeColor="text1"/>
        </w:rPr>
        <w:lastRenderedPageBreak/>
        <w:t>(…)</w:t>
      </w:r>
      <w:r w:rsidRPr="00932185">
        <w:rPr>
          <w:rFonts w:ascii="Palatino Linotype" w:eastAsia="Palatino Linotype" w:hAnsi="Palatino Linotype" w:cs="Palatino Linotype"/>
          <w:color w:val="000000" w:themeColor="text1"/>
        </w:rPr>
        <w:t>”.</w:t>
      </w:r>
    </w:p>
    <w:p w:rsidR="00E172F1" w:rsidRPr="00932185" w:rsidRDefault="00E172F1" w:rsidP="00932185">
      <w:pPr>
        <w:jc w:val="both"/>
        <w:rPr>
          <w:rFonts w:ascii="Palatino Linotype" w:eastAsia="Palatino Linotype" w:hAnsi="Palatino Linotype" w:cs="Palatino Linotype"/>
          <w:b/>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172F1" w:rsidRPr="00932185" w:rsidRDefault="005E32CB" w:rsidP="00932185">
      <w:pPr>
        <w:spacing w:after="240"/>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Constitución Política de los Estados Unidos Mexicanos</w:t>
      </w:r>
    </w:p>
    <w:p w:rsidR="00E172F1" w:rsidRPr="00932185" w:rsidRDefault="005E32CB" w:rsidP="00932185">
      <w:pPr>
        <w:spacing w:before="240" w:after="240"/>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“Artículo 6.</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Para efectos de lo dispuesto en el presente artículo se observará lo siguiente:</w:t>
      </w:r>
    </w:p>
    <w:p w:rsidR="00E172F1" w:rsidRPr="00932185" w:rsidRDefault="005E32CB" w:rsidP="00932185">
      <w:pPr>
        <w:spacing w:before="240" w:after="240"/>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A</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Para el ejercicio del derecho de acceso a la información</w:t>
      </w:r>
      <w:r w:rsidRPr="00932185">
        <w:rPr>
          <w:rFonts w:ascii="Palatino Linotype" w:eastAsia="Palatino Linotype" w:hAnsi="Palatino Linotype" w:cs="Palatino Linotype"/>
          <w:i/>
          <w:color w:val="000000" w:themeColor="text1"/>
        </w:rPr>
        <w:t xml:space="preserve">, la Federación y </w:t>
      </w:r>
      <w:r w:rsidRPr="0093218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I. Toda la información en posesión de cualquier</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autoridad</w:t>
      </w:r>
      <w:r w:rsidRPr="0093218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32185">
        <w:rPr>
          <w:rFonts w:ascii="Palatino Linotype" w:eastAsia="Palatino Linotype" w:hAnsi="Palatino Linotype" w:cs="Palatino Linotype"/>
          <w:b/>
          <w:i/>
          <w:color w:val="000000" w:themeColor="text1"/>
        </w:rPr>
        <w:t>municipal</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es pública</w:t>
      </w:r>
      <w:r w:rsidRPr="0093218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32185">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todo acto que derive del </w:t>
      </w:r>
      <w:r w:rsidRPr="00932185">
        <w:rPr>
          <w:rFonts w:ascii="Palatino Linotype" w:eastAsia="Palatino Linotype" w:hAnsi="Palatino Linotype" w:cs="Palatino Linotype"/>
          <w:b/>
          <w:i/>
          <w:color w:val="000000" w:themeColor="text1"/>
        </w:rPr>
        <w:lastRenderedPageBreak/>
        <w:t>ejercicio de sus facultades, competencias o funciones</w:t>
      </w:r>
      <w:r w:rsidRPr="009321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172F1" w:rsidRPr="00932185" w:rsidRDefault="00E172F1" w:rsidP="00932185">
      <w:pPr>
        <w:tabs>
          <w:tab w:val="left" w:pos="567"/>
        </w:tabs>
        <w:spacing w:before="240"/>
        <w:jc w:val="both"/>
        <w:rPr>
          <w:rFonts w:ascii="Palatino Linotype" w:eastAsia="Palatino Linotype" w:hAnsi="Palatino Linotype" w:cs="Palatino Linotype"/>
          <w:b/>
          <w:i/>
          <w:color w:val="000000" w:themeColor="text1"/>
        </w:rPr>
      </w:pPr>
    </w:p>
    <w:p w:rsidR="00E172F1" w:rsidRPr="00932185" w:rsidRDefault="005E32CB" w:rsidP="00932185">
      <w:pPr>
        <w:spacing w:after="240"/>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Constitución Política del Estado Libre y Soberano de México</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“Artículo 5</w:t>
      </w:r>
      <w:r w:rsidRPr="00932185">
        <w:rPr>
          <w:rFonts w:ascii="Palatino Linotype" w:eastAsia="Palatino Linotype" w:hAnsi="Palatino Linotype" w:cs="Palatino Linotype"/>
          <w:i/>
          <w:color w:val="000000" w:themeColor="text1"/>
        </w:rPr>
        <w:t xml:space="preserve">.- </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932185">
        <w:rPr>
          <w:rFonts w:ascii="Palatino Linotype" w:eastAsia="Palatino Linotype" w:hAnsi="Palatino Linotype" w:cs="Palatino Linotype"/>
          <w:i/>
          <w:color w:val="000000" w:themeColor="text1"/>
        </w:rPr>
        <w:t>.</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Este derecho se regirá por los principios y bases siguientes</w:t>
      </w:r>
      <w:r w:rsidRPr="00932185">
        <w:rPr>
          <w:rFonts w:ascii="Palatino Linotype" w:eastAsia="Palatino Linotype" w:hAnsi="Palatino Linotype" w:cs="Palatino Linotype"/>
          <w:i/>
          <w:color w:val="000000" w:themeColor="text1"/>
        </w:rPr>
        <w:t>:</w:t>
      </w:r>
    </w:p>
    <w:p w:rsidR="00E172F1" w:rsidRPr="00932185" w:rsidRDefault="005E32CB" w:rsidP="00932185">
      <w:pPr>
        <w:spacing w:before="240"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I. Toda la información en posesión de cualquier autoridad, entidad, órgano y organismos de los</w:t>
      </w:r>
      <w:r w:rsidRPr="0093218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32185">
        <w:rPr>
          <w:rFonts w:ascii="Palatino Linotype" w:eastAsia="Palatino Linotype" w:hAnsi="Palatino Linotype" w:cs="Palatino Linotype"/>
          <w:b/>
          <w:i/>
          <w:color w:val="000000" w:themeColor="text1"/>
        </w:rPr>
        <w:t>municipales</w:t>
      </w:r>
      <w:r w:rsidRPr="0093218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32185">
        <w:rPr>
          <w:rFonts w:ascii="Palatino Linotype" w:eastAsia="Palatino Linotype" w:hAnsi="Palatino Linotype" w:cs="Palatino Linotype"/>
          <w:b/>
          <w:i/>
          <w:color w:val="000000" w:themeColor="text1"/>
        </w:rPr>
        <w:t>es pública</w:t>
      </w:r>
      <w:r w:rsidRPr="0093218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32185">
        <w:rPr>
          <w:rFonts w:ascii="Palatino Linotype" w:eastAsia="Palatino Linotype" w:hAnsi="Palatino Linotype" w:cs="Palatino Linotype"/>
          <w:b/>
          <w:i/>
          <w:color w:val="000000" w:themeColor="text1"/>
        </w:rPr>
        <w:t>En la interpretación de este derecho deberá prevalecer el principio de máxima publicidad</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321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172F1" w:rsidRPr="00932185" w:rsidRDefault="00E172F1" w:rsidP="00932185">
      <w:pPr>
        <w:tabs>
          <w:tab w:val="left" w:pos="567"/>
        </w:tabs>
        <w:spacing w:before="240" w:after="240"/>
        <w:jc w:val="both"/>
        <w:rPr>
          <w:rFonts w:ascii="Palatino Linotype" w:eastAsia="Palatino Linotype" w:hAnsi="Palatino Linotype" w:cs="Palatino Linotype"/>
          <w:b/>
          <w:i/>
          <w:color w:val="000000" w:themeColor="text1"/>
        </w:rPr>
      </w:pPr>
    </w:p>
    <w:p w:rsidR="00E172F1" w:rsidRPr="00932185" w:rsidRDefault="005E32CB" w:rsidP="00932185">
      <w:pPr>
        <w:numPr>
          <w:ilvl w:val="0"/>
          <w:numId w:val="2"/>
        </w:numPr>
        <w:spacing w:before="240"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32185">
        <w:rPr>
          <w:rFonts w:ascii="Palatino Linotype" w:eastAsia="Palatino Linotype" w:hAnsi="Palatino Linotype" w:cs="Palatino Linotype"/>
          <w:i/>
          <w:color w:val="000000" w:themeColor="text1"/>
        </w:rPr>
        <w:lastRenderedPageBreak/>
        <w:t>por los principios de simplicidad, rapidez gratuidad del procedimiento, auxilio y orientación a los particulares</w:t>
      </w:r>
      <w:r w:rsidRPr="00932185">
        <w:rPr>
          <w:rFonts w:ascii="Palatino Linotype" w:eastAsia="Palatino Linotype" w:hAnsi="Palatino Linotype" w:cs="Palatino Linotype"/>
          <w:color w:val="000000" w:themeColor="text1"/>
        </w:rPr>
        <w:t>, contemplando el derecho de las personas con discapacidad y hablantes de lengua indígena.</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32185">
        <w:rPr>
          <w:rFonts w:ascii="Palatino Linotype" w:eastAsia="Palatino Linotype" w:hAnsi="Palatino Linotype" w:cs="Palatino Linotype"/>
          <w:i/>
          <w:color w:val="000000" w:themeColor="text1"/>
        </w:rPr>
        <w:t>solicitudes de acceso a la información</w:t>
      </w:r>
      <w:r w:rsidRPr="00932185">
        <w:rPr>
          <w:rFonts w:ascii="Palatino Linotype" w:eastAsia="Palatino Linotype" w:hAnsi="Palatino Linotype" w:cs="Palatino Linotype"/>
          <w:color w:val="000000" w:themeColor="text1"/>
        </w:rPr>
        <w:t>.</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932185">
        <w:rPr>
          <w:rFonts w:ascii="Palatino Linotype" w:eastAsia="Palatino Linotype" w:hAnsi="Palatino Linotype" w:cs="Palatino Linotype"/>
          <w:color w:val="000000" w:themeColor="text1"/>
        </w:rPr>
        <w:t xml:space="preserve">Así entonces, se procede analizar, en primer lugar, si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932185">
        <w:rPr>
          <w:rFonts w:ascii="Palatino Linotype" w:eastAsia="Palatino Linotype" w:hAnsi="Palatino Linotype" w:cs="Palatino Linotype"/>
          <w:b/>
          <w:color w:val="000000" w:themeColor="text1"/>
        </w:rPr>
        <w:t>II. De la información solicitada y la respuesta del SUJETO OBLIGADO</w:t>
      </w: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E172F1" w:rsidRPr="00932185" w:rsidRDefault="00E172F1"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D33D2"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Ahora bien , recapitulando las constancias que integran el expediente electrónico en que se actúa, se tiene que el particular solicitó </w:t>
      </w:r>
      <w:r w:rsidR="000D33D2" w:rsidRPr="00932185">
        <w:rPr>
          <w:rFonts w:ascii="Palatino Linotype" w:eastAsia="Palatino Linotype" w:hAnsi="Palatino Linotype" w:cs="Palatino Linotype"/>
          <w:b/>
          <w:color w:val="000000" w:themeColor="text1"/>
        </w:rPr>
        <w:t xml:space="preserve">los contratos firmados para la prestación </w:t>
      </w:r>
      <w:r w:rsidR="000D33D2" w:rsidRPr="00932185">
        <w:rPr>
          <w:rFonts w:ascii="Palatino Linotype" w:eastAsia="Palatino Linotype" w:hAnsi="Palatino Linotype" w:cs="Palatino Linotype"/>
          <w:b/>
          <w:color w:val="000000" w:themeColor="text1"/>
        </w:rPr>
        <w:lastRenderedPageBreak/>
        <w:t>de los diferentes servicios de la feria como son para la exhibición de lucha libre y box presentado en la feria de Jocotitlán 2025.</w:t>
      </w:r>
    </w:p>
    <w:p w:rsidR="000D33D2" w:rsidRPr="00932185" w:rsidRDefault="000D33D2" w:rsidP="00932185">
      <w:pPr>
        <w:pStyle w:val="Prrafodelista"/>
        <w:ind w:left="0"/>
        <w:rPr>
          <w:rFonts w:ascii="Palatino Linotype" w:eastAsia="Palatino Linotype" w:hAnsi="Palatino Linotype" w:cs="Palatino Linotype"/>
          <w:color w:val="000000" w:themeColor="text1"/>
          <w:sz w:val="24"/>
          <w:szCs w:val="24"/>
        </w:rPr>
      </w:pPr>
    </w:p>
    <w:p w:rsidR="000D33D2" w:rsidRPr="00932185" w:rsidRDefault="000D33D2"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 respuesta, el </w:t>
      </w:r>
      <w:r w:rsidRPr="00932185">
        <w:rPr>
          <w:rFonts w:ascii="Palatino Linotype" w:eastAsia="Palatino Linotype" w:hAnsi="Palatino Linotype" w:cs="Palatino Linotype"/>
          <w:b/>
          <w:color w:val="000000" w:themeColor="text1"/>
        </w:rPr>
        <w:t xml:space="preserve">SUJETO OBLIGADO </w:t>
      </w:r>
      <w:r w:rsidRPr="00932185">
        <w:rPr>
          <w:rFonts w:ascii="Palatino Linotype" w:eastAsia="Palatino Linotype" w:hAnsi="Palatino Linotype" w:cs="Palatino Linotype"/>
          <w:color w:val="000000" w:themeColor="text1"/>
        </w:rPr>
        <w:t>a través de la Directora de Administración y servidora pública habilitada,</w:t>
      </w:r>
      <w:r w:rsidRPr="00932185">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color w:val="000000" w:themeColor="text1"/>
        </w:rPr>
        <w:t>remite el oficio mediante el cual informan que la exhibición de box se llevó a cabo de manera voluntaria con el propósito de darse a conocer a la ciudadanía y con respecto a la lucha libre envío contrato en versión pública, precisando que la firma es un dato personal, no obstante del contrato remitido se observa que no fue adjuntado el documento completo, toda vez que solo se observa la primera parte del contrato, situación de la que se duele el impetrante.</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 consecuencia, el </w:t>
      </w:r>
      <w:r w:rsidRPr="00932185">
        <w:rPr>
          <w:rFonts w:ascii="Palatino Linotype" w:eastAsia="Palatino Linotype" w:hAnsi="Palatino Linotype" w:cs="Palatino Linotype"/>
          <w:b/>
          <w:color w:val="000000" w:themeColor="text1"/>
        </w:rPr>
        <w:t xml:space="preserve">RECURRENTE, </w:t>
      </w:r>
      <w:r w:rsidRPr="00932185">
        <w:rPr>
          <w:rFonts w:ascii="Palatino Linotype" w:eastAsia="Palatino Linotype" w:hAnsi="Palatino Linotype" w:cs="Palatino Linotype"/>
          <w:color w:val="000000" w:themeColor="text1"/>
        </w:rPr>
        <w:t xml:space="preserve">se inconformó </w:t>
      </w:r>
      <w:r w:rsidRPr="00932185">
        <w:rPr>
          <w:rFonts w:ascii="Palatino Linotype" w:eastAsia="Palatino Linotype" w:hAnsi="Palatino Linotype" w:cs="Palatino Linotype"/>
          <w:b/>
          <w:color w:val="000000" w:themeColor="text1"/>
        </w:rPr>
        <w:t xml:space="preserve">por la </w:t>
      </w:r>
      <w:r w:rsidR="000D33D2" w:rsidRPr="00932185">
        <w:rPr>
          <w:rFonts w:ascii="Palatino Linotype" w:eastAsia="Palatino Linotype" w:hAnsi="Palatino Linotype" w:cs="Palatino Linotype"/>
          <w:b/>
          <w:color w:val="000000" w:themeColor="text1"/>
        </w:rPr>
        <w:t>entrega de la información incompleta</w:t>
      </w:r>
      <w:r w:rsidRPr="00932185">
        <w:rPr>
          <w:rFonts w:ascii="Palatino Linotype" w:eastAsia="Palatino Linotype" w:hAnsi="Palatino Linotype" w:cs="Palatino Linotype"/>
          <w:color w:val="000000" w:themeColor="text1"/>
        </w:rPr>
        <w:t xml:space="preserve"> por el </w:t>
      </w:r>
      <w:r w:rsidRPr="00932185">
        <w:rPr>
          <w:rFonts w:ascii="Palatino Linotype" w:eastAsia="Palatino Linotype" w:hAnsi="Palatino Linotype" w:cs="Palatino Linotype"/>
          <w:b/>
          <w:color w:val="000000" w:themeColor="text1"/>
        </w:rPr>
        <w:t xml:space="preserve">SUJETO OBLIGADO. </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t xml:space="preserve">En este sentido, resulta necesario señalar que, el </w:t>
      </w:r>
      <w:r w:rsidRPr="00932185">
        <w:rPr>
          <w:rFonts w:ascii="Palatino Linotype" w:eastAsia="Palatino Linotype" w:hAnsi="Palatino Linotype" w:cs="Palatino Linotype"/>
          <w:b/>
          <w:color w:val="000000" w:themeColor="text1"/>
          <w:highlight w:val="white"/>
        </w:rPr>
        <w:t xml:space="preserve">RECURRENTE </w:t>
      </w:r>
      <w:r w:rsidRPr="00932185">
        <w:rPr>
          <w:rFonts w:ascii="Palatino Linotype" w:eastAsia="Palatino Linotype" w:hAnsi="Palatino Linotype" w:cs="Palatino Linotype"/>
          <w:color w:val="000000" w:themeColor="text1"/>
          <w:highlight w:val="white"/>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932185">
        <w:rPr>
          <w:rFonts w:ascii="Palatino Linotype" w:eastAsia="Palatino Linotype" w:hAnsi="Palatino Linotype" w:cs="Palatino Linotype"/>
          <w:b/>
          <w:color w:val="000000" w:themeColor="text1"/>
          <w:highlight w:val="white"/>
        </w:rPr>
        <w:t>SUJETO OBLIGADO</w:t>
      </w:r>
      <w:r w:rsidRPr="00932185">
        <w:rPr>
          <w:rFonts w:ascii="Palatino Linotype" w:eastAsia="Palatino Linotype" w:hAnsi="Palatino Linotype" w:cs="Palatino Linotype"/>
          <w:color w:val="000000" w:themeColor="text1"/>
          <w:highlight w:val="white"/>
        </w:rPr>
        <w:t xml:space="preserve"> satisface este punto de la solicitud presentada.</w:t>
      </w:r>
    </w:p>
    <w:p w:rsidR="00157104" w:rsidRPr="00932185" w:rsidRDefault="00157104" w:rsidP="00932185">
      <w:pPr>
        <w:pStyle w:val="Prrafodelista"/>
        <w:ind w:left="0"/>
        <w:rPr>
          <w:rFonts w:ascii="Palatino Linotype" w:eastAsia="Palatino Linotype" w:hAnsi="Palatino Linotype" w:cs="Palatino Linotype"/>
          <w:color w:val="000000" w:themeColor="text1"/>
          <w:sz w:val="24"/>
          <w:szCs w:val="24"/>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t xml:space="preserve">Lo anterior es así, debido a que cuando un Recurrente impugna la respuesta del </w:t>
      </w:r>
      <w:r w:rsidRPr="00932185">
        <w:rPr>
          <w:rFonts w:ascii="Palatino Linotype" w:eastAsia="Palatino Linotype" w:hAnsi="Palatino Linotype" w:cs="Palatino Linotype"/>
          <w:b/>
          <w:color w:val="000000" w:themeColor="text1"/>
          <w:highlight w:val="white"/>
        </w:rPr>
        <w:t>SUJETO OBLIGADO</w:t>
      </w:r>
      <w:r w:rsidRPr="00932185">
        <w:rPr>
          <w:rFonts w:ascii="Palatino Linotype" w:eastAsia="Palatino Linotype" w:hAnsi="Palatino Linotype" w:cs="Palatino Linotype"/>
          <w:color w:val="000000" w:themeColor="text1"/>
          <w:highlight w:val="white"/>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w:t>
      </w:r>
      <w:r w:rsidRPr="00932185">
        <w:rPr>
          <w:rFonts w:ascii="Palatino Linotype" w:eastAsia="Palatino Linotype" w:hAnsi="Palatino Linotype" w:cs="Palatino Linotype"/>
          <w:color w:val="000000" w:themeColor="text1"/>
          <w:highlight w:val="white"/>
        </w:rPr>
        <w:lastRenderedPageBreak/>
        <w:t>Publicada en el Semanario Judicial de la Federación y su Gaceta bajo el número de registro 174,177, que establece lo siguiente: </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color w:val="000000" w:themeColor="text1"/>
          <w:highlight w:val="white"/>
        </w:rPr>
      </w:pPr>
      <w:r w:rsidRPr="00932185">
        <w:rPr>
          <w:rFonts w:ascii="Palatino Linotype" w:eastAsia="Palatino Linotype" w:hAnsi="Palatino Linotype" w:cs="Palatino Linotype"/>
          <w:b/>
          <w:i/>
          <w:color w:val="000000" w:themeColor="text1"/>
          <w:highlight w:val="white"/>
        </w:rPr>
        <w:t xml:space="preserve">“REVISIÓN EN AMPARO. LOS RESOLUTIVOS NO COMBATIDOS DEBEN DECLARARSE FIRMES. </w:t>
      </w:r>
      <w:r w:rsidRPr="00932185">
        <w:rPr>
          <w:rFonts w:ascii="Palatino Linotype" w:eastAsia="Palatino Linotype" w:hAnsi="Palatino Linotype" w:cs="Palatino Linotype"/>
          <w:i/>
          <w:color w:val="000000" w:themeColor="text1"/>
          <w:highlight w:val="white"/>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932185">
        <w:rPr>
          <w:rFonts w:ascii="Palatino Linotype" w:eastAsia="Palatino Linotype" w:hAnsi="Palatino Linotype" w:cs="Palatino Linotype"/>
          <w:color w:val="000000" w:themeColor="text1"/>
          <w:highlight w:val="white"/>
        </w:rPr>
        <w:t> </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 </w:t>
      </w:r>
      <w:r w:rsidRPr="00932185">
        <w:rPr>
          <w:rFonts w:ascii="Palatino Linotype" w:eastAsia="Palatino Linotype" w:hAnsi="Palatino Linotype" w:cs="Palatino Linotype"/>
          <w:color w:val="000000" w:themeColor="text1"/>
          <w:highlight w:val="white"/>
        </w:rPr>
        <w:t xml:space="preserve">Consecuentemente, se reitera que la parte de la solicitud que no fue impugnada debe declararse consentida por el </w:t>
      </w:r>
      <w:r w:rsidRPr="00932185">
        <w:rPr>
          <w:rFonts w:ascii="Palatino Linotype" w:eastAsia="Palatino Linotype" w:hAnsi="Palatino Linotype" w:cs="Palatino Linotype"/>
          <w:b/>
          <w:color w:val="000000" w:themeColor="text1"/>
          <w:highlight w:val="white"/>
        </w:rPr>
        <w:t>RECURRENTE</w:t>
      </w:r>
      <w:r w:rsidRPr="00932185">
        <w:rPr>
          <w:rFonts w:ascii="Palatino Linotype" w:eastAsia="Palatino Linotype" w:hAnsi="Palatino Linotype" w:cs="Palatino Linotype"/>
          <w:color w:val="000000" w:themeColor="text1"/>
          <w:highlight w:val="white"/>
        </w:rPr>
        <w:t>, debido a que no se realizaron manifestaciones de inconformidad, por lo que no pueden producirse efectos jurídicos tendentes a revocar, confirmar o modificar el acto reclamado ya que se infiere un consentimiento del Recurrente</w:t>
      </w:r>
      <w:r w:rsidRPr="00932185">
        <w:rPr>
          <w:rFonts w:ascii="Palatino Linotype" w:eastAsia="Palatino Linotype" w:hAnsi="Palatino Linotype" w:cs="Palatino Linotype"/>
          <w:b/>
          <w:color w:val="000000" w:themeColor="text1"/>
          <w:highlight w:val="white"/>
        </w:rPr>
        <w:t xml:space="preserve"> </w:t>
      </w:r>
      <w:r w:rsidRPr="00932185">
        <w:rPr>
          <w:rFonts w:ascii="Palatino Linotype" w:eastAsia="Palatino Linotype" w:hAnsi="Palatino Linotype" w:cs="Palatino Linotype"/>
          <w:color w:val="000000" w:themeColor="text1"/>
          <w:highlight w:val="white"/>
        </w:rPr>
        <w:t>ante la falta de impugnación eficaz.</w:t>
      </w:r>
    </w:p>
    <w:p w:rsidR="00E172F1" w:rsidRPr="00932185" w:rsidRDefault="00E172F1"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t>Sirve de sustento a lo anterior por analogía la tesis jurisprudencial número VI.3o.C. J/60, publicada en el Semanario Judicial de la Federación y su Gaceta bajo el número de registro 176,608 que a la letra dice:</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i/>
          <w:smallCaps/>
          <w:color w:val="000000" w:themeColor="text1"/>
          <w:highlight w:val="white"/>
        </w:rPr>
        <w:t xml:space="preserve">ACTOS CONSENTIDOS. SON LOS QUE NO SE IMPUGNAN MEDIANTE EL RECURSO IDÓNEO. </w:t>
      </w:r>
      <w:r w:rsidRPr="00932185">
        <w:rPr>
          <w:rFonts w:ascii="Palatino Linotype" w:eastAsia="Palatino Linotype" w:hAnsi="Palatino Linotype" w:cs="Palatino Linotype"/>
          <w:i/>
          <w:color w:val="000000" w:themeColor="text1"/>
          <w:highlight w:val="white"/>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932185">
        <w:rPr>
          <w:rFonts w:ascii="Palatino Linotype" w:eastAsia="Palatino Linotype" w:hAnsi="Palatino Linotype" w:cs="Palatino Linotype"/>
          <w:color w:val="000000" w:themeColor="text1"/>
          <w:highlight w:val="white"/>
        </w:rPr>
        <w:t> </w:t>
      </w:r>
    </w:p>
    <w:p w:rsidR="00E172F1" w:rsidRPr="00932185" w:rsidRDefault="00E172F1"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lastRenderedPageBreak/>
        <w:t>Para mayor abundamiento, también resulta aplicable el criterio 01/20 emitido por el Instituto Nacional de Transparencia, Acceso a la Información Pública y Protección de Datos Personales, que a la letra estipula lo siguiente: </w:t>
      </w:r>
    </w:p>
    <w:p w:rsidR="00E172F1" w:rsidRPr="00932185" w:rsidRDefault="005E32CB" w:rsidP="00932185">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i/>
          <w:color w:val="000000" w:themeColor="text1"/>
          <w:highlight w:val="white"/>
        </w:rPr>
        <w:t>Actos consentidos tácitamente. Improcedencia de su análisis.</w:t>
      </w:r>
      <w:r w:rsidRPr="00932185">
        <w:rPr>
          <w:rFonts w:ascii="Palatino Linotype" w:eastAsia="Palatino Linotype" w:hAnsi="Palatino Linotype" w:cs="Palatino Linotype"/>
          <w:i/>
          <w:color w:val="000000" w:themeColor="text1"/>
          <w:highlight w:val="whit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932185">
        <w:rPr>
          <w:rFonts w:ascii="Palatino Linotype" w:eastAsia="Palatino Linotype" w:hAnsi="Palatino Linotype" w:cs="Palatino Linotype"/>
          <w:color w:val="000000" w:themeColor="text1"/>
          <w:highlight w:val="white"/>
        </w:rPr>
        <w:t> </w:t>
      </w:r>
    </w:p>
    <w:p w:rsidR="00E172F1" w:rsidRPr="00932185" w:rsidRDefault="00E172F1"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72F1" w:rsidRPr="00492CDB"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highlight w:val="white"/>
        </w:rPr>
        <w:t xml:space="preserve">De lo referido, y a efecto de garantizar el efectivo ejercicio del derecho de acceso a la información pública que asiste al </w:t>
      </w:r>
      <w:r w:rsidRPr="00932185">
        <w:rPr>
          <w:rFonts w:ascii="Palatino Linotype" w:eastAsia="Palatino Linotype" w:hAnsi="Palatino Linotype" w:cs="Palatino Linotype"/>
          <w:b/>
          <w:color w:val="000000" w:themeColor="text1"/>
          <w:highlight w:val="white"/>
        </w:rPr>
        <w:t>RECURRENTE</w:t>
      </w:r>
      <w:r w:rsidRPr="00932185">
        <w:rPr>
          <w:rFonts w:ascii="Palatino Linotype" w:eastAsia="Palatino Linotype" w:hAnsi="Palatino Linotype" w:cs="Palatino Linotype"/>
          <w:color w:val="000000" w:themeColor="text1"/>
          <w:highlight w:val="white"/>
        </w:rPr>
        <w:t>, resulta conveniente precisar que el presente análisis versará únicamente sobre lo relativo</w:t>
      </w:r>
      <w:r w:rsidR="00157104" w:rsidRPr="00932185">
        <w:rPr>
          <w:rFonts w:ascii="Palatino Linotype" w:eastAsia="Palatino Linotype" w:hAnsi="Palatino Linotype" w:cs="Palatino Linotype"/>
          <w:color w:val="000000" w:themeColor="text1"/>
          <w:highlight w:val="white"/>
        </w:rPr>
        <w:t xml:space="preserve"> </w:t>
      </w:r>
      <w:r w:rsidR="00157104" w:rsidRPr="00932185">
        <w:rPr>
          <w:rFonts w:ascii="Palatino Linotype" w:eastAsia="Palatino Linotype" w:hAnsi="Palatino Linotype" w:cs="Palatino Linotype"/>
          <w:b/>
          <w:color w:val="000000" w:themeColor="text1"/>
          <w:highlight w:val="white"/>
        </w:rPr>
        <w:t>al contrato por la exhibición de lucha libre remitido en respuesta</w:t>
      </w:r>
      <w:r w:rsidRPr="00932185">
        <w:rPr>
          <w:rFonts w:ascii="Palatino Linotype" w:eastAsia="Palatino Linotype" w:hAnsi="Palatino Linotype" w:cs="Palatino Linotype"/>
          <w:b/>
          <w:color w:val="000000" w:themeColor="text1"/>
          <w:highlight w:val="white"/>
        </w:rPr>
        <w:t>.</w:t>
      </w:r>
    </w:p>
    <w:p w:rsidR="00492CDB" w:rsidRPr="00932185" w:rsidRDefault="00492CDB" w:rsidP="00492C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Al respecto, resulta necesario traer al estudio los señalado en la Ley Orgánica Municipal que nos establece en su artículo 31, fracción XVIII y 95, fracciones I y IV lo siguiente:</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31.-</w:t>
      </w:r>
      <w:r w:rsidRPr="00932185">
        <w:rPr>
          <w:rFonts w:ascii="Palatino Linotype" w:eastAsia="Palatino Linotype" w:hAnsi="Palatino Linotype" w:cs="Palatino Linotype"/>
          <w:i/>
          <w:color w:val="000000" w:themeColor="text1"/>
        </w:rPr>
        <w:t xml:space="preserve"> Son atribuciones de los ayuntamientos:</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XVIII.</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Administrar su hacienda</w:t>
      </w:r>
      <w:r w:rsidRPr="00932185">
        <w:rPr>
          <w:rFonts w:ascii="Palatino Linotype" w:eastAsia="Palatino Linotype" w:hAnsi="Palatino Linotype" w:cs="Palatino Linotype"/>
          <w:i/>
          <w:color w:val="000000" w:themeColor="text1"/>
        </w:rPr>
        <w:t xml:space="preserve"> en términos de ley, y controlar a través del presidente y síndico la aplicación del presupuesto de egresos del municipio;</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Artículo 95.-</w:t>
      </w:r>
      <w:r w:rsidRPr="00932185">
        <w:rPr>
          <w:rFonts w:ascii="Palatino Linotype" w:eastAsia="Palatino Linotype" w:hAnsi="Palatino Linotype" w:cs="Palatino Linotype"/>
          <w:i/>
          <w:color w:val="000000" w:themeColor="text1"/>
        </w:rPr>
        <w:t xml:space="preserve"> Son atribuciones del tesorero municipal:</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I.</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Administrar la hacienda pública municipal</w:t>
      </w:r>
      <w:r w:rsidRPr="00932185">
        <w:rPr>
          <w:rFonts w:ascii="Palatino Linotype" w:eastAsia="Palatino Linotype" w:hAnsi="Palatino Linotype" w:cs="Palatino Linotype"/>
          <w:i/>
          <w:color w:val="000000" w:themeColor="text1"/>
        </w:rPr>
        <w:t>, de conformidad con las disposiciones legales aplicables;</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jc w:val="both"/>
        <w:rPr>
          <w:rFonts w:ascii="Palatino Linotype" w:eastAsia="Palatino Linotype" w:hAnsi="Palatino Linotype" w:cs="Palatino Linotype"/>
          <w:b/>
          <w:i/>
          <w:color w:val="000000" w:themeColor="text1"/>
          <w:u w:val="single"/>
        </w:rPr>
      </w:pPr>
      <w:r w:rsidRPr="00932185">
        <w:rPr>
          <w:rFonts w:ascii="Palatino Linotype" w:eastAsia="Palatino Linotype" w:hAnsi="Palatino Linotype" w:cs="Palatino Linotype"/>
          <w:b/>
          <w:i/>
          <w:color w:val="000000" w:themeColor="text1"/>
        </w:rPr>
        <w:t>IV.</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u w:val="single"/>
        </w:rPr>
        <w:t>Llevar los registros contables, financieros y administrativos de los ingresos, egresos, e inventarios;”</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(Énfasis añadido)</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Con lo antes descrito, se advierte que los Ayuntamientos, tienen la atribución de administrar de manera libre su hacienda; así como controlar la aplicación de sus presupuesto de egresos aprobado, siendo una atribución del Tesorero Municipal llevar los registros financieros, contables y administrativos de los ingresos, egresos e inventarios.</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En ese orden de ideas el Código Reglamentario Municipal de Toluca, nos establece en su artículo 3.20 las atribuciones del Tesorero Municipal, que a la literalidad refiere:</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I. Coordinar la orientación técnica a los contribuyentes en el cumplimiento de sus obligaciones fiscales, el calendario de aplicación de las disposiciones tributarias y los procedimientos para su debida observancia;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VIII. 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XV. Enunciar la política financiera y crediticia del Municipio;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XVI. </w:t>
      </w:r>
      <w:r w:rsidRPr="00932185">
        <w:rPr>
          <w:rFonts w:ascii="Palatino Linotype" w:eastAsia="Palatino Linotype" w:hAnsi="Palatino Linotype" w:cs="Palatino Linotype"/>
          <w:b/>
          <w:i/>
          <w:color w:val="000000" w:themeColor="text1"/>
        </w:rPr>
        <w:t>Proponer al Ayuntamiento los presupuestos de ingresos y egresos</w:t>
      </w:r>
      <w:r w:rsidRPr="00932185">
        <w:rPr>
          <w:rFonts w:ascii="Palatino Linotype" w:eastAsia="Palatino Linotype" w:hAnsi="Palatino Linotype" w:cs="Palatino Linotype"/>
          <w:i/>
          <w:color w:val="000000" w:themeColor="text1"/>
        </w:rPr>
        <w:t xml:space="preserve"> los cuales deberán ser elaborados y etiquetados con perspectiva de género, informar de su ejercicio y sugerir las modificaciones, en caso necesario;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XXIV. Presentar ante el Ayuntamiento el informe anual de las finanzas públicas;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XXV. </w:t>
      </w:r>
      <w:r w:rsidRPr="00932185">
        <w:rPr>
          <w:rFonts w:ascii="Palatino Linotype" w:eastAsia="Palatino Linotype" w:hAnsi="Palatino Linotype" w:cs="Palatino Linotype"/>
          <w:b/>
          <w:i/>
          <w:color w:val="000000" w:themeColor="text1"/>
          <w:u w:val="single"/>
        </w:rPr>
        <w:t xml:space="preserve">Expedir copias certificadas de los documentos que corroboren el pago de las obligaciones fiscales y documentación presentada ante el Órgano Superior de Fiscalización del Estado de México; </w:t>
      </w:r>
      <w:r w:rsidRPr="00932185">
        <w:rPr>
          <w:rFonts w:ascii="Palatino Linotype" w:eastAsia="Palatino Linotype" w:hAnsi="Palatino Linotype" w:cs="Palatino Linotype"/>
          <w:i/>
          <w:color w:val="000000" w:themeColor="text1"/>
        </w:rPr>
        <w:t xml:space="preserve">y </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XXVI. Las demás que le confieran otros ordenamientos jurídicos, el H. Ayuntamiento y el presidente municipal.</w:t>
      </w:r>
    </w:p>
    <w:p w:rsidR="00E172F1" w:rsidRPr="00932185" w:rsidRDefault="005E32CB" w:rsidP="00932185">
      <w:pPr>
        <w:pBdr>
          <w:top w:val="nil"/>
          <w:left w:val="nil"/>
          <w:bottom w:val="nil"/>
          <w:right w:val="nil"/>
          <w:between w:val="nil"/>
        </w:pBdr>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lastRenderedPageBreak/>
        <w:t>Artículo 3.21.</w:t>
      </w:r>
      <w:r w:rsidRPr="00932185">
        <w:rPr>
          <w:rFonts w:ascii="Palatino Linotype" w:eastAsia="Palatino Linotype" w:hAnsi="Palatino Linotype" w:cs="Palatino Linotype"/>
          <w:i/>
          <w:color w:val="000000" w:themeColor="text1"/>
        </w:rPr>
        <w:t xml:space="preserve"> </w:t>
      </w:r>
      <w:r w:rsidRPr="00932185">
        <w:rPr>
          <w:rFonts w:ascii="Palatino Linotype" w:eastAsia="Palatino Linotype" w:hAnsi="Palatino Linotype" w:cs="Palatino Linotype"/>
          <w:b/>
          <w:i/>
          <w:color w:val="000000" w:themeColor="text1"/>
        </w:rPr>
        <w:t xml:space="preserve">Para el cumplimiento de sus atribuciones la Tesorería Municipal se auxiliará de la </w:t>
      </w:r>
      <w:r w:rsidRPr="00932185">
        <w:rPr>
          <w:rFonts w:ascii="Palatino Linotype" w:eastAsia="Palatino Linotype" w:hAnsi="Palatino Linotype" w:cs="Palatino Linotype"/>
          <w:i/>
          <w:color w:val="000000" w:themeColor="text1"/>
        </w:rPr>
        <w:t xml:space="preserve">Dirección de Ingresos, de la </w:t>
      </w:r>
      <w:r w:rsidRPr="00932185">
        <w:rPr>
          <w:rFonts w:ascii="Palatino Linotype" w:eastAsia="Palatino Linotype" w:hAnsi="Palatino Linotype" w:cs="Palatino Linotype"/>
          <w:b/>
          <w:i/>
          <w:color w:val="000000" w:themeColor="text1"/>
          <w:u w:val="single"/>
        </w:rPr>
        <w:t>Dirección de Egresos</w:t>
      </w:r>
      <w:r w:rsidRPr="00932185">
        <w:rPr>
          <w:rFonts w:ascii="Palatino Linotype" w:eastAsia="Palatino Linotype" w:hAnsi="Palatino Linotype" w:cs="Palatino Linotype"/>
          <w:i/>
          <w:color w:val="000000" w:themeColor="text1"/>
        </w:rPr>
        <w:t>, de la Dirección de Contaduría y la Unidad de Catastro.</w:t>
      </w:r>
    </w:p>
    <w:p w:rsidR="00E172F1" w:rsidRPr="00932185" w:rsidRDefault="00E172F1" w:rsidP="00932185">
      <w:pPr>
        <w:jc w:val="both"/>
        <w:rPr>
          <w:rFonts w:ascii="Palatino Linotype" w:eastAsia="Palatino Linotype" w:hAnsi="Palatino Linotype" w:cs="Palatino Linotype"/>
          <w:i/>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De igual manera, el ordenamiento legal invocado en el párrafo que antecede, nos establece las atribuciones de la Dirección General de Administración que a la letra señalan:</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hAnsi="Palatino Linotype"/>
          <w:b/>
          <w:i/>
          <w:color w:val="000000" w:themeColor="text1"/>
        </w:rPr>
        <w:t>Artículo 3.43.</w:t>
      </w:r>
      <w:r w:rsidRPr="00932185">
        <w:rPr>
          <w:rFonts w:ascii="Palatino Linotype" w:hAnsi="Palatino Linotype"/>
          <w:i/>
          <w:color w:val="000000" w:themeColor="text1"/>
        </w:rPr>
        <w:t xml:space="preserve"> La o el titular de la Dirección General de Administración, tiene las siguientes atribuciones:</w:t>
      </w:r>
    </w:p>
    <w:p w:rsidR="00E172F1" w:rsidRPr="00932185" w:rsidRDefault="00E172F1" w:rsidP="00932185">
      <w:pPr>
        <w:jc w:val="both"/>
        <w:rPr>
          <w:rFonts w:ascii="Palatino Linotype" w:eastAsia="Palatino Linotype" w:hAnsi="Palatino Linotype" w:cs="Palatino Linotype"/>
          <w:color w:val="000000" w:themeColor="text1"/>
        </w:rPr>
      </w:pP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 </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VII. </w:t>
      </w:r>
      <w:r w:rsidRPr="00932185">
        <w:rPr>
          <w:rFonts w:ascii="Palatino Linotype" w:eastAsia="Palatino Linotype" w:hAnsi="Palatino Linotype" w:cs="Palatino Linotype"/>
          <w:b/>
          <w:i/>
          <w:color w:val="000000" w:themeColor="text1"/>
          <w:u w:val="single"/>
        </w:rPr>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VIII. Coordinar la elaboración del programa anual de adquisiciones del Ayuntamiento, con base en los montos establecidos para cada partida por objeto de gasto en el presupuesto, con el fin de ponerlo a disposición de los comités para su debida aprobación;</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IX. </w:t>
      </w:r>
      <w:r w:rsidRPr="00932185">
        <w:rPr>
          <w:rFonts w:ascii="Palatino Linotype" w:eastAsia="Palatino Linotype" w:hAnsi="Palatino Linotype" w:cs="Palatino Linotype"/>
          <w:b/>
          <w:i/>
          <w:color w:val="000000" w:themeColor="text1"/>
        </w:rPr>
        <w:t>Integrar el catálogo general de proveedores que permita identificar d</w:t>
      </w:r>
      <w:r w:rsidRPr="00932185">
        <w:rPr>
          <w:rFonts w:ascii="Palatino Linotype" w:eastAsia="Palatino Linotype" w:hAnsi="Palatino Linotype" w:cs="Palatino Linotype"/>
          <w:i/>
          <w:color w:val="000000" w:themeColor="text1"/>
        </w:rPr>
        <w:t xml:space="preserve">e manera ágil a quienes, con base en el giro comercial principal, cumplan y cuenten con los documentos y requisitos que establece la ley, </w:t>
      </w:r>
      <w:r w:rsidRPr="00932185">
        <w:rPr>
          <w:rFonts w:ascii="Palatino Linotype" w:eastAsia="Palatino Linotype" w:hAnsi="Palatino Linotype" w:cs="Palatino Linotype"/>
          <w:b/>
          <w:i/>
          <w:color w:val="000000" w:themeColor="text1"/>
        </w:rPr>
        <w:t>con el propósito de considerarlos en los procesos de compra, prestación de servicios</w:t>
      </w:r>
      <w:r w:rsidRPr="00932185">
        <w:rPr>
          <w:rFonts w:ascii="Palatino Linotype" w:eastAsia="Palatino Linotype" w:hAnsi="Palatino Linotype" w:cs="Palatino Linotype"/>
          <w:i/>
          <w:color w:val="000000" w:themeColor="text1"/>
        </w:rPr>
        <w:t xml:space="preserve"> y arrendamientos de inmuebles, en la búsqueda de las mejores condiciones a favor del municipio; </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XII. Revisar, suscribir y vigilar todos aquellos contratos que se formalicen con proveedores, así como su ejecución y ejercicio,</w:t>
      </w:r>
      <w:r w:rsidRPr="00932185">
        <w:rPr>
          <w:rFonts w:ascii="Palatino Linotype" w:eastAsia="Palatino Linotype" w:hAnsi="Palatino Linotype" w:cs="Palatino Linotype"/>
          <w:i/>
          <w:color w:val="000000" w:themeColor="text1"/>
        </w:rPr>
        <w:t xml:space="preserve"> relativos a fallos de adjudicación de procesos de licitación pública o de sus excepciones, mismos que deberán cumplir con la normatividad en la materia; </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p>
    <w:p w:rsidR="00E172F1" w:rsidRPr="00932185" w:rsidRDefault="005E32CB" w:rsidP="00932185">
      <w:pP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XXVIII.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highlight w:val="white"/>
        </w:rPr>
      </w:pPr>
      <w:r w:rsidRPr="00932185">
        <w:rPr>
          <w:rFonts w:ascii="Palatino Linotype" w:eastAsia="Palatino Linotype" w:hAnsi="Palatino Linotype" w:cs="Palatino Linotype"/>
          <w:color w:val="000000" w:themeColor="text1"/>
          <w:highlight w:val="white"/>
        </w:rPr>
        <w:lastRenderedPageBreak/>
        <w:t xml:space="preserve">Por lo antes descrito y tomando en consideración que el informe remitido por el </w:t>
      </w:r>
      <w:r w:rsidRPr="00932185">
        <w:rPr>
          <w:rFonts w:ascii="Palatino Linotype" w:eastAsia="Palatino Linotype" w:hAnsi="Palatino Linotype" w:cs="Palatino Linotype"/>
          <w:b/>
          <w:color w:val="000000" w:themeColor="text1"/>
          <w:highlight w:val="white"/>
        </w:rPr>
        <w:t xml:space="preserve">SUJETO OBLIGADO, </w:t>
      </w:r>
      <w:r w:rsidRPr="00932185">
        <w:rPr>
          <w:rFonts w:ascii="Palatino Linotype" w:eastAsia="Palatino Linotype" w:hAnsi="Palatino Linotype" w:cs="Palatino Linotype"/>
          <w:color w:val="000000" w:themeColor="text1"/>
          <w:highlight w:val="white"/>
        </w:rPr>
        <w:t>fue suscrito por la Dirección Gen</w:t>
      </w:r>
      <w:r w:rsidR="00157104" w:rsidRPr="00932185">
        <w:rPr>
          <w:rFonts w:ascii="Palatino Linotype" w:eastAsia="Palatino Linotype" w:hAnsi="Palatino Linotype" w:cs="Palatino Linotype"/>
          <w:color w:val="000000" w:themeColor="text1"/>
          <w:highlight w:val="white"/>
        </w:rPr>
        <w:t xml:space="preserve">eral de Administración; </w:t>
      </w:r>
      <w:r w:rsidRPr="00932185">
        <w:rPr>
          <w:rFonts w:ascii="Palatino Linotype" w:eastAsia="Palatino Linotype" w:hAnsi="Palatino Linotype" w:cs="Palatino Linotype"/>
          <w:color w:val="000000" w:themeColor="text1"/>
          <w:highlight w:val="white"/>
        </w:rPr>
        <w:t>se evidencia que el sujeto obligado cumplimento la búsqueda exhaustiva exigida por la Ley de la Materia.</w:t>
      </w:r>
    </w:p>
    <w:p w:rsidR="00E172F1" w:rsidRPr="00932185"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yellow"/>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932185">
        <w:rPr>
          <w:rFonts w:ascii="Palatino Linotype" w:hAnsi="Palatino Linotype"/>
          <w:color w:val="000000" w:themeColor="text1"/>
          <w:vertAlign w:val="superscript"/>
        </w:rPr>
        <w:footnoteReference w:id="5"/>
      </w:r>
      <w:r w:rsidRPr="00932185">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932185">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932185">
        <w:rPr>
          <w:rFonts w:ascii="Palatino Linotype" w:hAnsi="Palatino Linotype"/>
          <w:color w:val="000000" w:themeColor="text1"/>
          <w:vertAlign w:val="superscript"/>
        </w:rPr>
        <w:footnoteReference w:id="6"/>
      </w:r>
      <w:r w:rsidRPr="00932185">
        <w:rPr>
          <w:rFonts w:ascii="Palatino Linotype" w:eastAsia="Palatino Linotype" w:hAnsi="Palatino Linotype" w:cs="Palatino Linotype"/>
          <w:color w:val="000000" w:themeColor="text1"/>
        </w:rPr>
        <w:t>.</w:t>
      </w:r>
    </w:p>
    <w:p w:rsidR="00E172F1" w:rsidRPr="00932185" w:rsidRDefault="00E172F1" w:rsidP="00932185">
      <w:pPr>
        <w:pBdr>
          <w:top w:val="nil"/>
          <w:left w:val="nil"/>
          <w:bottom w:val="nil"/>
          <w:right w:val="nil"/>
          <w:between w:val="nil"/>
        </w:pBd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De conformidad con lo dispuesto en la Ley de Transparencia y Acceso a la Información Pública del Estado de México y Municipios, las Unidades de Transparencia tendrán, entre sus atribuciones, las siguientes:</w:t>
      </w:r>
    </w:p>
    <w:p w:rsidR="00E172F1" w:rsidRPr="00932185" w:rsidRDefault="005E32CB" w:rsidP="00492CDB">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Recibir, tramitar y dar respuesta a las solicitudes de acceso a la información;</w:t>
      </w:r>
    </w:p>
    <w:p w:rsidR="00E172F1" w:rsidRPr="00932185" w:rsidRDefault="005E32CB" w:rsidP="00492CDB">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E172F1" w:rsidRPr="00932185" w:rsidRDefault="005E32CB" w:rsidP="00492CDB">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Entregar, en su caso, a los particulares la información solicitada; y </w:t>
      </w:r>
    </w:p>
    <w:p w:rsidR="00E172F1" w:rsidRPr="00932185" w:rsidRDefault="005E32CB" w:rsidP="00492CDB">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Efectuar las notificaciones a los solicitantes.</w:t>
      </w:r>
    </w:p>
    <w:p w:rsidR="00E172F1" w:rsidRPr="00932185" w:rsidRDefault="00E172F1" w:rsidP="00932185">
      <w:pPr>
        <w:spacing w:before="240" w:after="240"/>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932185">
        <w:rPr>
          <w:rFonts w:ascii="Palatino Linotype" w:eastAsia="Palatino Linotype" w:hAnsi="Palatino Linotype" w:cs="Palatino Linotype"/>
          <w:b/>
          <w:color w:val="000000" w:themeColor="text1"/>
        </w:rPr>
        <w:t xml:space="preserve">SUJETO OBLIGADO </w:t>
      </w:r>
      <w:r w:rsidRPr="00932185">
        <w:rPr>
          <w:rFonts w:ascii="Palatino Linotype" w:eastAsia="Palatino Linotype" w:hAnsi="Palatino Linotype" w:cs="Palatino Linotype"/>
          <w:color w:val="000000" w:themeColor="text1"/>
        </w:rPr>
        <w:t>a propuesta del responsable de la Unidad de Transparencia</w:t>
      </w:r>
      <w:r w:rsidRPr="00932185">
        <w:rPr>
          <w:rFonts w:ascii="Palatino Linotype" w:hAnsi="Palatino Linotype"/>
          <w:color w:val="000000" w:themeColor="text1"/>
          <w:vertAlign w:val="superscript"/>
        </w:rPr>
        <w:footnoteReference w:id="7"/>
      </w:r>
      <w:r w:rsidRPr="00932185">
        <w:rPr>
          <w:rFonts w:ascii="Palatino Linotype" w:eastAsia="Palatino Linotype" w:hAnsi="Palatino Linotype" w:cs="Palatino Linotype"/>
          <w:color w:val="000000" w:themeColor="text1"/>
        </w:rPr>
        <w:t xml:space="preserve"> y tendrán, entre sus atribuciones, las siguientes</w:t>
      </w:r>
      <w:r w:rsidRPr="00932185">
        <w:rPr>
          <w:rFonts w:ascii="Palatino Linotype" w:hAnsi="Palatino Linotype"/>
          <w:color w:val="000000" w:themeColor="text1"/>
          <w:vertAlign w:val="superscript"/>
        </w:rPr>
        <w:footnoteReference w:id="8"/>
      </w:r>
      <w:r w:rsidRPr="00932185">
        <w:rPr>
          <w:rFonts w:ascii="Palatino Linotype" w:eastAsia="Palatino Linotype" w:hAnsi="Palatino Linotype" w:cs="Palatino Linotype"/>
          <w:color w:val="000000" w:themeColor="text1"/>
        </w:rPr>
        <w:t>:</w:t>
      </w:r>
    </w:p>
    <w:p w:rsidR="00E172F1" w:rsidRPr="00932185" w:rsidRDefault="005E32CB" w:rsidP="00492CDB">
      <w:pPr>
        <w:numPr>
          <w:ilvl w:val="1"/>
          <w:numId w:val="4"/>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Localizar la información que le solicite la Unidad de Transparencia; y</w:t>
      </w:r>
    </w:p>
    <w:p w:rsidR="00E172F1" w:rsidRPr="00932185" w:rsidRDefault="005E32CB" w:rsidP="00492CDB">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E172F1" w:rsidRPr="00932185" w:rsidRDefault="00E172F1" w:rsidP="00932185">
      <w:pPr>
        <w:tabs>
          <w:tab w:val="left" w:pos="426"/>
          <w:tab w:val="left" w:pos="567"/>
        </w:tabs>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De tal manera que cada una de las áreas administrativas del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E172F1" w:rsidRPr="00932185" w:rsidRDefault="00E172F1" w:rsidP="00932185">
      <w:pPr>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b/>
          <w:i/>
          <w:color w:val="000000" w:themeColor="text1"/>
        </w:rPr>
        <w:t>“Artículo 53</w:t>
      </w:r>
      <w:r w:rsidRPr="00932185">
        <w:rPr>
          <w:rFonts w:ascii="Palatino Linotype" w:eastAsia="Palatino Linotype" w:hAnsi="Palatino Linotype" w:cs="Palatino Linotype"/>
          <w:i/>
          <w:color w:val="000000" w:themeColor="text1"/>
        </w:rPr>
        <w:t xml:space="preserve">. Las Unidades de Transparencia tendrán las siguientes funciones: </w:t>
      </w:r>
    </w:p>
    <w:p w:rsidR="00E172F1" w:rsidRPr="00932185" w:rsidRDefault="00E172F1"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 xml:space="preserve">II. Recibir, tramitar y dar respuesta a las solicitudes de acceso a la información;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 Entregar, en su caso, a los particulares la información solicitada;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VI. Efectuar las notificaciones a los solicitantes;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32185">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 Presentar ante el Comité, el proyecto de clasificación de información;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XII. Fomentar la transparencia y accesibilidad al interior del sujeto obligado; </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E172F1" w:rsidRPr="00932185" w:rsidRDefault="005E32CB" w:rsidP="00932185">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E172F1" w:rsidRPr="00932185" w:rsidRDefault="005E32CB" w:rsidP="00932185">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w:t>
      </w:r>
      <w:r w:rsidRPr="00932185">
        <w:rPr>
          <w:rFonts w:ascii="Palatino Linotype" w:eastAsia="Palatino Linotype" w:hAnsi="Palatino Linotype" w:cs="Palatino Linotype"/>
          <w:i/>
          <w:color w:val="000000" w:themeColor="text1"/>
        </w:rPr>
        <w:lastRenderedPageBreak/>
        <w:t xml:space="preserve">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E172F1" w:rsidRPr="00932185" w:rsidRDefault="00E172F1" w:rsidP="00932185">
      <w:pPr>
        <w:tabs>
          <w:tab w:val="left" w:pos="426"/>
        </w:tabs>
        <w:spacing w:before="240" w:after="240"/>
        <w:jc w:val="both"/>
        <w:rPr>
          <w:rFonts w:ascii="Palatino Linotype" w:eastAsia="Palatino Linotype" w:hAnsi="Palatino Linotype" w:cs="Palatino Linotype"/>
          <w:i/>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E172F1" w:rsidRPr="00932185" w:rsidRDefault="00E172F1"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12" w:name="_heading=h.iqcos1dk4hfk" w:colFirst="0" w:colLast="0"/>
      <w:bookmarkEnd w:id="12"/>
      <w:r w:rsidRPr="00932185">
        <w:rPr>
          <w:rFonts w:ascii="Palatino Linotype" w:eastAsia="Palatino Linotype" w:hAnsi="Palatino Linotype" w:cs="Palatino Linotype"/>
          <w:color w:val="000000" w:themeColor="text1"/>
        </w:rPr>
        <w:t xml:space="preserve">En este sentido, se advierte que,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en donde </w:t>
      </w:r>
      <w:r w:rsidRPr="00932185">
        <w:rPr>
          <w:rFonts w:ascii="Palatino Linotype" w:eastAsia="Palatino Linotype" w:hAnsi="Palatino Linotype" w:cs="Palatino Linotype"/>
          <w:color w:val="000000" w:themeColor="text1"/>
          <w:u w:val="single"/>
        </w:rPr>
        <w:t>pudiera</w:t>
      </w:r>
      <w:r w:rsidRPr="00932185">
        <w:rPr>
          <w:rFonts w:ascii="Palatino Linotype" w:eastAsia="Palatino Linotype" w:hAnsi="Palatino Linotype" w:cs="Palatino Linotype"/>
          <w:color w:val="000000" w:themeColor="text1"/>
        </w:rPr>
        <w:t xml:space="preserve"> obrar la citada información, siendo estas: </w:t>
      </w:r>
      <w:r w:rsidRPr="00932185">
        <w:rPr>
          <w:rFonts w:ascii="Palatino Linotype" w:eastAsia="Palatino Linotype" w:hAnsi="Palatino Linotype" w:cs="Palatino Linotype"/>
          <w:b/>
          <w:color w:val="000000" w:themeColor="text1"/>
        </w:rPr>
        <w:t xml:space="preserve">la Dirección General de Administración, </w:t>
      </w:r>
      <w:r w:rsidRPr="00932185">
        <w:rPr>
          <w:rFonts w:ascii="Palatino Linotype" w:eastAsia="Palatino Linotype" w:hAnsi="Palatino Linotype" w:cs="Palatino Linotype"/>
          <w:color w:val="000000" w:themeColor="text1"/>
        </w:rPr>
        <w:t xml:space="preserve">no obstante a ello, omitieron remitir </w:t>
      </w:r>
      <w:r w:rsidR="00157104" w:rsidRPr="00932185">
        <w:rPr>
          <w:rFonts w:ascii="Palatino Linotype" w:eastAsia="Palatino Linotype" w:hAnsi="Palatino Linotype" w:cs="Palatino Linotype"/>
          <w:color w:val="000000" w:themeColor="text1"/>
        </w:rPr>
        <w:t>el Contrato completo,</w:t>
      </w:r>
      <w:r w:rsidRPr="00932185">
        <w:rPr>
          <w:rFonts w:ascii="Palatino Linotype" w:eastAsia="Palatino Linotype" w:hAnsi="Palatino Linotype" w:cs="Palatino Linotype"/>
          <w:color w:val="000000" w:themeColor="text1"/>
        </w:rPr>
        <w:t xml:space="preserve"> </w:t>
      </w:r>
      <w:r w:rsidR="00157104" w:rsidRPr="00932185">
        <w:rPr>
          <w:rFonts w:ascii="Palatino Linotype" w:eastAsia="Palatino Linotype" w:hAnsi="Palatino Linotype" w:cs="Palatino Linotype"/>
          <w:color w:val="000000" w:themeColor="text1"/>
        </w:rPr>
        <w:t xml:space="preserve">toda vez que solo remiten la primera parte del documento, </w:t>
      </w:r>
      <w:r w:rsidRPr="00932185">
        <w:rPr>
          <w:rFonts w:ascii="Palatino Linotype" w:eastAsia="Palatino Linotype" w:hAnsi="Palatino Linotype" w:cs="Palatino Linotype"/>
          <w:color w:val="000000" w:themeColor="text1"/>
        </w:rPr>
        <w:t>situación de la que se duele el solicitante, dando origen al expediente en que se actúa.</w:t>
      </w:r>
    </w:p>
    <w:p w:rsidR="00B26699" w:rsidRPr="00932185" w:rsidRDefault="00B26699" w:rsidP="0093218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932185">
        <w:rPr>
          <w:rFonts w:ascii="Palatino Linotype" w:eastAsia="Palatino Linotype" w:hAnsi="Palatino Linotype" w:cs="Palatino Linotype"/>
          <w:color w:val="000000" w:themeColor="text1"/>
          <w:highlight w:val="white"/>
        </w:rPr>
        <w:t xml:space="preserve">Es así que, </w:t>
      </w:r>
      <w:r w:rsidRPr="00932185">
        <w:rPr>
          <w:rFonts w:ascii="Palatino Linotype" w:eastAsia="Palatino Linotype" w:hAnsi="Palatino Linotype" w:cs="Palatino Linotype"/>
          <w:b/>
          <w:color w:val="000000" w:themeColor="text1"/>
        </w:rPr>
        <w:t>EL SUJETO OBLIGADO</w:t>
      </w:r>
      <w:r w:rsidRPr="00932185">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t>“</w:t>
      </w:r>
      <w:r w:rsidRPr="00932185">
        <w:rPr>
          <w:rFonts w:ascii="Palatino Linotype" w:eastAsia="Palatino Linotype" w:hAnsi="Palatino Linotype" w:cs="Palatino Linotype"/>
          <w:b/>
          <w:i/>
          <w:color w:val="000000" w:themeColor="text1"/>
        </w:rPr>
        <w:t>Artículo 12.</w:t>
      </w:r>
      <w:r w:rsidRPr="0093218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E172F1" w:rsidRPr="00932185" w:rsidRDefault="005E32CB" w:rsidP="00932185">
      <w:pPr>
        <w:pBdr>
          <w:top w:val="nil"/>
          <w:left w:val="nil"/>
          <w:bottom w:val="nil"/>
          <w:right w:val="nil"/>
          <w:between w:val="nil"/>
        </w:pBdr>
        <w:jc w:val="both"/>
        <w:rPr>
          <w:rFonts w:ascii="Palatino Linotype" w:eastAsia="Palatino Linotype" w:hAnsi="Palatino Linotype" w:cs="Palatino Linotype"/>
          <w:i/>
          <w:color w:val="000000" w:themeColor="text1"/>
        </w:rPr>
      </w:pPr>
      <w:r w:rsidRPr="00932185">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172F1" w:rsidRPr="00932185" w:rsidRDefault="00E172F1" w:rsidP="00932185">
      <w:pPr>
        <w:pBdr>
          <w:top w:val="nil"/>
          <w:left w:val="nil"/>
          <w:bottom w:val="nil"/>
          <w:right w:val="nil"/>
          <w:between w:val="nil"/>
        </w:pBdr>
        <w:jc w:val="both"/>
        <w:rPr>
          <w:rFonts w:ascii="Palatino Linotype" w:eastAsia="Palatino Linotype" w:hAnsi="Palatino Linotype" w:cs="Palatino Linotype"/>
          <w:i/>
          <w:color w:val="000000" w:themeColor="text1"/>
        </w:rPr>
      </w:pPr>
    </w:p>
    <w:p w:rsidR="00E172F1" w:rsidRPr="00932185" w:rsidRDefault="005E32CB" w:rsidP="0093218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E172F1" w:rsidRPr="00932185" w:rsidRDefault="00E172F1" w:rsidP="009321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172F1" w:rsidRDefault="005E32CB" w:rsidP="0093218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92CDB" w:rsidRPr="00932185" w:rsidRDefault="00492CDB" w:rsidP="00492CD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3" w:name="_heading=h.j2nwvx4eayor" w:colFirst="0" w:colLast="0"/>
      <w:bookmarkEnd w:id="13"/>
      <w:r w:rsidRPr="00932185">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932185">
        <w:rPr>
          <w:rFonts w:ascii="Palatino Linotype" w:eastAsia="Palatino Linotype" w:hAnsi="Palatino Linotype" w:cs="Palatino Linotype"/>
          <w:b/>
          <w:color w:val="000000" w:themeColor="text1"/>
        </w:rPr>
        <w:t xml:space="preserve"> RECURRENTE</w:t>
      </w:r>
      <w:r w:rsidRPr="00932185">
        <w:rPr>
          <w:rFonts w:ascii="Palatino Linotype" w:eastAsia="Palatino Linotype" w:hAnsi="Palatino Linotype" w:cs="Palatino Linotype"/>
          <w:color w:val="000000" w:themeColor="text1"/>
        </w:rPr>
        <w:t xml:space="preserve">, determinando </w:t>
      </w:r>
      <w:r w:rsidRPr="00932185">
        <w:rPr>
          <w:rFonts w:ascii="Palatino Linotype" w:eastAsia="Palatino Linotype" w:hAnsi="Palatino Linotype" w:cs="Palatino Linotype"/>
          <w:b/>
          <w:color w:val="000000" w:themeColor="text1"/>
        </w:rPr>
        <w:t xml:space="preserve">MODIFICAR </w:t>
      </w:r>
      <w:r w:rsidRPr="00932185">
        <w:rPr>
          <w:rFonts w:ascii="Palatino Linotype" w:eastAsia="Palatino Linotype" w:hAnsi="Palatino Linotype" w:cs="Palatino Linotype"/>
          <w:color w:val="000000" w:themeColor="text1"/>
        </w:rPr>
        <w:t xml:space="preserve">la respuesta del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32185">
        <w:rPr>
          <w:rFonts w:ascii="Palatino Linotype" w:eastAsia="Palatino Linotype" w:hAnsi="Palatino Linotype" w:cs="Palatino Linotype"/>
          <w:b/>
          <w:color w:val="000000" w:themeColor="text1"/>
        </w:rPr>
        <w:t>ÓRGANO GARANTE</w:t>
      </w:r>
      <w:r w:rsidRPr="00932185">
        <w:rPr>
          <w:rFonts w:ascii="Palatino Linotype" w:eastAsia="Palatino Linotype" w:hAnsi="Palatino Linotype" w:cs="Palatino Linotype"/>
          <w:color w:val="000000" w:themeColor="text1"/>
        </w:rPr>
        <w:t xml:space="preserve"> emite los siguientes.</w:t>
      </w:r>
    </w:p>
    <w:p w:rsidR="00E172F1" w:rsidRDefault="00E172F1" w:rsidP="009321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CDB" w:rsidRDefault="00492CDB" w:rsidP="009321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CDB" w:rsidRPr="00932185" w:rsidRDefault="00492CDB" w:rsidP="009321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4" w:name="_heading=h.lnxbz9" w:colFirst="0" w:colLast="0"/>
      <w:bookmarkEnd w:id="14"/>
      <w:r w:rsidRPr="00932185">
        <w:rPr>
          <w:rFonts w:ascii="Palatino Linotype" w:eastAsia="Palatino Linotype" w:hAnsi="Palatino Linotype" w:cs="Palatino Linotype"/>
          <w:b/>
          <w:color w:val="000000" w:themeColor="text1"/>
        </w:rPr>
        <w:lastRenderedPageBreak/>
        <w:t>QUINTO. De la versión pública.</w:t>
      </w:r>
    </w:p>
    <w:p w:rsidR="00E172F1" w:rsidRPr="00932185" w:rsidRDefault="005E32CB" w:rsidP="00932185">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Debe destacarse que, debido a la naturaleza de la información solicitada</w:t>
      </w:r>
      <w:r w:rsidRPr="00932185">
        <w:rPr>
          <w:rFonts w:ascii="Palatino Linotype" w:eastAsia="Palatino Linotype" w:hAnsi="Palatino Linotype" w:cs="Palatino Linotype"/>
          <w:b/>
          <w:color w:val="000000" w:themeColor="text1"/>
        </w:rPr>
        <w:t xml:space="preserve"> </w:t>
      </w:r>
      <w:r w:rsidRPr="00932185">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172F1" w:rsidRPr="00932185" w:rsidRDefault="00E172F1" w:rsidP="009321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E172F1" w:rsidRPr="00932185" w:rsidRDefault="00E172F1" w:rsidP="009321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087"/>
      </w:tblGrid>
      <w:tr w:rsidR="00932185" w:rsidRPr="00932185" w:rsidTr="00492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172F1" w:rsidRPr="00932185" w:rsidRDefault="005E32CB" w:rsidP="00932185">
            <w:pPr>
              <w:spacing w:line="276" w:lineRule="auto"/>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val="0"/>
                <w:color w:val="000000" w:themeColor="text1"/>
              </w:rPr>
              <w:t>a) Requisitos previos.</w:t>
            </w:r>
          </w:p>
        </w:tc>
        <w:tc>
          <w:tcPr>
            <w:tcW w:w="7087" w:type="dxa"/>
          </w:tcPr>
          <w:p w:rsidR="00E172F1" w:rsidRPr="00932185" w:rsidRDefault="005E32CB" w:rsidP="00932185">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932185">
              <w:rPr>
                <w:rFonts w:ascii="Palatino Linotype" w:eastAsia="Palatino Linotype" w:hAnsi="Palatino Linotype" w:cs="Palatino Linotype"/>
                <w:b w:val="0"/>
                <w:color w:val="000000" w:themeColor="text1"/>
              </w:rPr>
              <w:t>Sujetos Obligados</w:t>
            </w:r>
            <w:r w:rsidRPr="00932185">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E172F1" w:rsidRPr="00932185" w:rsidRDefault="005E32CB" w:rsidP="00932185">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172F1" w:rsidRPr="00932185" w:rsidRDefault="005E32CB" w:rsidP="00932185">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172F1" w:rsidRPr="00932185" w:rsidRDefault="005E32CB" w:rsidP="00932185">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32185">
              <w:rPr>
                <w:rFonts w:ascii="Palatino Linotype" w:eastAsia="Palatino Linotype" w:hAnsi="Palatino Linotype" w:cs="Palatino Linotype"/>
                <w:b w:val="0"/>
                <w:color w:val="000000" w:themeColor="text1"/>
                <w:u w:val="single"/>
              </w:rPr>
              <w:t xml:space="preserve">no se puede hacer un acuerdo para clasificar de manera </w:t>
            </w:r>
            <w:r w:rsidRPr="00932185">
              <w:rPr>
                <w:rFonts w:ascii="Palatino Linotype" w:eastAsia="Palatino Linotype" w:hAnsi="Palatino Linotype" w:cs="Palatino Linotype"/>
                <w:b w:val="0"/>
                <w:color w:val="000000" w:themeColor="text1"/>
                <w:u w:val="single"/>
              </w:rPr>
              <w:lastRenderedPageBreak/>
              <w:t xml:space="preserve">general todos los documentos de un expediente o área,  </w:t>
            </w:r>
            <w:r w:rsidRPr="00932185">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932185" w:rsidRPr="00932185" w:rsidTr="00492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172F1" w:rsidRPr="00932185" w:rsidRDefault="005E32CB" w:rsidP="00932185">
            <w:pPr>
              <w:spacing w:line="276" w:lineRule="auto"/>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val="0"/>
                <w:color w:val="000000" w:themeColor="text1"/>
              </w:rPr>
              <w:lastRenderedPageBreak/>
              <w:t>b) Supuestos de clasificación.</w:t>
            </w:r>
          </w:p>
        </w:tc>
        <w:tc>
          <w:tcPr>
            <w:tcW w:w="7087" w:type="dxa"/>
          </w:tcPr>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32185" w:rsidRPr="00932185" w:rsidTr="00492CDB">
        <w:tc>
          <w:tcPr>
            <w:cnfStyle w:val="001000000000" w:firstRow="0" w:lastRow="0" w:firstColumn="1" w:lastColumn="0" w:oddVBand="0" w:evenVBand="0" w:oddHBand="0" w:evenHBand="0" w:firstRowFirstColumn="0" w:firstRowLastColumn="0" w:lastRowFirstColumn="0" w:lastRowLastColumn="0"/>
            <w:tcW w:w="2547" w:type="dxa"/>
          </w:tcPr>
          <w:p w:rsidR="00E172F1" w:rsidRPr="00932185" w:rsidRDefault="005E32CB" w:rsidP="00932185">
            <w:pPr>
              <w:spacing w:line="276" w:lineRule="auto"/>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val="0"/>
                <w:color w:val="000000" w:themeColor="text1"/>
              </w:rPr>
              <w:t>c) Formalidades para emitir el acuerdo de clasificación.</w:t>
            </w:r>
          </w:p>
        </w:tc>
        <w:tc>
          <w:tcPr>
            <w:tcW w:w="7087" w:type="dxa"/>
          </w:tcPr>
          <w:p w:rsidR="00E172F1" w:rsidRPr="00932185" w:rsidRDefault="005E32CB" w:rsidP="0093218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172F1" w:rsidRPr="00932185" w:rsidRDefault="005E32CB" w:rsidP="0093218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Es necesario que </w:t>
            </w:r>
            <w:r w:rsidRPr="00932185">
              <w:rPr>
                <w:rFonts w:ascii="Palatino Linotype" w:eastAsia="Palatino Linotype" w:hAnsi="Palatino Linotype" w:cs="Palatino Linotype"/>
                <w:b/>
                <w:color w:val="000000" w:themeColor="text1"/>
                <w:u w:val="single"/>
              </w:rPr>
              <w:t>el acto reúna con los requisitos elementales</w:t>
            </w:r>
            <w:r w:rsidRPr="00932185">
              <w:rPr>
                <w:rFonts w:ascii="Palatino Linotype" w:eastAsia="Palatino Linotype" w:hAnsi="Palatino Linotype" w:cs="Palatino Linotype"/>
                <w:color w:val="000000" w:themeColor="text1"/>
              </w:rPr>
              <w:t>, entre ellos, que la autoridad que va a emitir el acto de autoridad sea la legalmente facultada para ello.</w:t>
            </w:r>
          </w:p>
          <w:p w:rsidR="00E172F1" w:rsidRPr="00932185" w:rsidRDefault="005E32CB" w:rsidP="0093218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932185">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32185" w:rsidRPr="00932185" w:rsidTr="00492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172F1" w:rsidRPr="00932185" w:rsidRDefault="00E172F1" w:rsidP="00932185">
            <w:pPr>
              <w:spacing w:line="276" w:lineRule="auto"/>
              <w:rPr>
                <w:rFonts w:ascii="Palatino Linotype" w:eastAsia="Palatino Linotype" w:hAnsi="Palatino Linotype" w:cs="Palatino Linotype"/>
                <w:color w:val="000000" w:themeColor="text1"/>
              </w:rPr>
            </w:pPr>
          </w:p>
          <w:p w:rsidR="00E172F1" w:rsidRPr="00932185" w:rsidRDefault="005E32CB" w:rsidP="00932185">
            <w:pPr>
              <w:spacing w:line="276" w:lineRule="auto"/>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val="0"/>
                <w:color w:val="000000" w:themeColor="text1"/>
              </w:rPr>
              <w:t xml:space="preserve">d) Requisitos de fondo del acuerdo de clasificación. </w:t>
            </w:r>
          </w:p>
        </w:tc>
        <w:tc>
          <w:tcPr>
            <w:tcW w:w="7087" w:type="dxa"/>
          </w:tcPr>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32185">
              <w:rPr>
                <w:rFonts w:ascii="Palatino Linotype" w:eastAsia="Palatino Linotype" w:hAnsi="Palatino Linotype" w:cs="Palatino Linotype"/>
                <w:b/>
                <w:color w:val="000000" w:themeColor="text1"/>
              </w:rPr>
              <w:t>Sujetos Obligados</w:t>
            </w:r>
            <w:r w:rsidRPr="00932185">
              <w:rPr>
                <w:rFonts w:ascii="Palatino Linotype" w:eastAsia="Palatino Linotype" w:hAnsi="Palatino Linotype" w:cs="Palatino Linotype"/>
                <w:color w:val="000000" w:themeColor="text1"/>
              </w:rPr>
              <w:t xml:space="preserve">, por lo que deberán fundar y motivar debidamente la clasificación. </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De lo anterior, se desprende que para una correcta </w:t>
            </w:r>
            <w:r w:rsidRPr="00932185">
              <w:rPr>
                <w:rFonts w:ascii="Palatino Linotype" w:eastAsia="Palatino Linotype" w:hAnsi="Palatino Linotype" w:cs="Palatino Linotype"/>
                <w:b/>
                <w:color w:val="000000" w:themeColor="text1"/>
              </w:rPr>
              <w:t>clasificación total o parcial</w:t>
            </w:r>
            <w:r w:rsidRPr="0093218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E172F1" w:rsidRPr="00932185" w:rsidRDefault="005E32CB" w:rsidP="0093218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Ahora bien, </w:t>
            </w:r>
            <w:r w:rsidRPr="00932185">
              <w:rPr>
                <w:rFonts w:ascii="Palatino Linotype" w:eastAsia="Palatino Linotype" w:hAnsi="Palatino Linotype" w:cs="Palatino Linotype"/>
                <w:b/>
                <w:color w:val="000000" w:themeColor="text1"/>
                <w:u w:val="single"/>
              </w:rPr>
              <w:t>para cada caso además de fundar y motivar</w:t>
            </w:r>
            <w:r w:rsidRPr="0093218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32185" w:rsidRPr="00932185" w:rsidTr="00492CDB">
        <w:tc>
          <w:tcPr>
            <w:cnfStyle w:val="001000000000" w:firstRow="0" w:lastRow="0" w:firstColumn="1" w:lastColumn="0" w:oddVBand="0" w:evenVBand="0" w:oddHBand="0" w:evenHBand="0" w:firstRowFirstColumn="0" w:firstRowLastColumn="0" w:lastRowFirstColumn="0" w:lastRowLastColumn="0"/>
            <w:tcW w:w="2547" w:type="dxa"/>
          </w:tcPr>
          <w:p w:rsidR="00E172F1" w:rsidRPr="00932185" w:rsidRDefault="005E32CB" w:rsidP="00932185">
            <w:pPr>
              <w:spacing w:line="276" w:lineRule="auto"/>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E172F1" w:rsidRPr="00932185" w:rsidRDefault="00E172F1" w:rsidP="00932185">
            <w:pPr>
              <w:spacing w:line="276" w:lineRule="auto"/>
              <w:rPr>
                <w:rFonts w:ascii="Palatino Linotype" w:eastAsia="Palatino Linotype" w:hAnsi="Palatino Linotype" w:cs="Palatino Linotype"/>
                <w:color w:val="000000" w:themeColor="text1"/>
              </w:rPr>
            </w:pPr>
          </w:p>
        </w:tc>
        <w:tc>
          <w:tcPr>
            <w:tcW w:w="7087" w:type="dxa"/>
          </w:tcPr>
          <w:p w:rsidR="00E172F1" w:rsidRPr="00932185" w:rsidRDefault="005E32CB" w:rsidP="0093218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172F1" w:rsidRPr="00932185" w:rsidRDefault="005E32CB" w:rsidP="0093218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172F1" w:rsidRPr="00932185" w:rsidRDefault="005E32CB" w:rsidP="00932185">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172F1" w:rsidRPr="00932185" w:rsidRDefault="00E172F1" w:rsidP="00932185">
      <w:pPr>
        <w:tabs>
          <w:tab w:val="left" w:pos="284"/>
        </w:tabs>
        <w:spacing w:before="240" w:line="360" w:lineRule="auto"/>
        <w:jc w:val="both"/>
        <w:rPr>
          <w:rFonts w:ascii="Palatino Linotype" w:eastAsia="Palatino Linotype" w:hAnsi="Palatino Linotype" w:cs="Palatino Linotype"/>
          <w:color w:val="000000" w:themeColor="text1"/>
        </w:rPr>
      </w:pPr>
    </w:p>
    <w:p w:rsidR="00B26699" w:rsidRPr="00492CDB" w:rsidRDefault="00B26699" w:rsidP="00932185">
      <w:pPr>
        <w:pStyle w:val="Prrafodelista"/>
        <w:numPr>
          <w:ilvl w:val="0"/>
          <w:numId w:val="2"/>
        </w:numPr>
        <w:spacing w:line="360" w:lineRule="auto"/>
        <w:ind w:left="0" w:firstLine="0"/>
        <w:jc w:val="both"/>
        <w:rPr>
          <w:rFonts w:ascii="Palatino Linotype" w:hAnsi="Palatino Linotype" w:cs="Tahoma"/>
          <w:bCs/>
          <w:iCs/>
          <w:color w:val="000000" w:themeColor="text1"/>
          <w:sz w:val="24"/>
          <w:szCs w:val="24"/>
        </w:rPr>
      </w:pPr>
      <w:r w:rsidRPr="00492CDB">
        <w:rPr>
          <w:rFonts w:ascii="Palatino Linotype" w:hAnsi="Palatino Linotype" w:cs="Tahoma"/>
          <w:bCs/>
          <w:iCs/>
          <w:color w:val="000000" w:themeColor="text1"/>
          <w:sz w:val="24"/>
          <w:szCs w:val="24"/>
        </w:rPr>
        <w:t xml:space="preserve">Dada la </w:t>
      </w:r>
      <w:r w:rsidRPr="00492CDB">
        <w:rPr>
          <w:rFonts w:ascii="Palatino Linotype" w:eastAsia="Palatino Linotype" w:hAnsi="Palatino Linotype" w:cs="Palatino Linotype"/>
          <w:color w:val="000000" w:themeColor="text1"/>
          <w:sz w:val="24"/>
          <w:szCs w:val="24"/>
        </w:rPr>
        <w:t>complejidad</w:t>
      </w:r>
      <w:r w:rsidRPr="00492CDB">
        <w:rPr>
          <w:rFonts w:ascii="Palatino Linotype" w:hAnsi="Palatino Linotype" w:cs="Tahoma"/>
          <w:bCs/>
          <w:iCs/>
          <w:color w:val="000000" w:themeColor="text1"/>
          <w:sz w:val="24"/>
          <w:szCs w:val="24"/>
        </w:rPr>
        <w:t xml:space="preserve"> de la información cuando involucra datos personales, pudiera pensarse que se trata de dos derechos en colisión; por un lado, la garantía individual de </w:t>
      </w:r>
      <w:r w:rsidRPr="00492CDB">
        <w:rPr>
          <w:rFonts w:ascii="Palatino Linotype" w:hAnsi="Palatino Linotype" w:cs="Tahoma"/>
          <w:bCs/>
          <w:iCs/>
          <w:color w:val="000000" w:themeColor="text1"/>
          <w:sz w:val="24"/>
          <w:szCs w:val="24"/>
        </w:rPr>
        <w:lastRenderedPageBreak/>
        <w:t>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26699" w:rsidRPr="00492CDB" w:rsidRDefault="00B26699" w:rsidP="00932185">
      <w:pPr>
        <w:spacing w:line="360" w:lineRule="auto"/>
        <w:jc w:val="both"/>
        <w:rPr>
          <w:rFonts w:ascii="Palatino Linotype" w:hAnsi="Palatino Linotype" w:cs="Tahoma"/>
          <w:bCs/>
          <w:iCs/>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s="Tahoma"/>
          <w:bCs/>
          <w:iCs/>
          <w:color w:val="000000" w:themeColor="text1"/>
        </w:rPr>
      </w:pPr>
      <w:r w:rsidRPr="00492CDB">
        <w:rPr>
          <w:rFonts w:ascii="Palatino Linotype" w:hAnsi="Palatino Linotype" w:cs="Tahoma"/>
          <w:bCs/>
          <w:iCs/>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26699" w:rsidRPr="00492CDB" w:rsidRDefault="00B26699" w:rsidP="00932185">
      <w:pPr>
        <w:spacing w:line="360" w:lineRule="auto"/>
        <w:jc w:val="both"/>
        <w:rPr>
          <w:rFonts w:ascii="Palatino Linotype" w:hAnsi="Palatino Linotype" w:cs="Tahoma"/>
          <w:bCs/>
          <w:iCs/>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s="Tahoma"/>
          <w:bCs/>
          <w:iCs/>
          <w:color w:val="000000" w:themeColor="text1"/>
        </w:rPr>
      </w:pPr>
      <w:r w:rsidRPr="00492CDB">
        <w:rPr>
          <w:rFonts w:ascii="Palatino Linotype" w:hAnsi="Palatino Linotype" w:cs="Tahoma"/>
          <w:bCs/>
          <w:iCs/>
          <w:color w:val="000000" w:themeColor="text1"/>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w:t>
      </w:r>
      <w:r w:rsidRPr="00492CDB">
        <w:rPr>
          <w:rFonts w:ascii="Palatino Linotype" w:hAnsi="Palatino Linotype" w:cs="Tahoma"/>
          <w:bCs/>
          <w:iCs/>
          <w:color w:val="000000" w:themeColor="text1"/>
        </w:rPr>
        <w:lastRenderedPageBreak/>
        <w:t>persona jurídico colectiva; entre otros, ya que son datos que obran en los documentos solicitados</w:t>
      </w:r>
      <w:r w:rsidRPr="00492CDB">
        <w:rPr>
          <w:rFonts w:ascii="Palatino Linotype" w:eastAsia="Calibri" w:hAnsi="Palatino Linotype" w:cs="Tahoma"/>
          <w:bCs/>
          <w:color w:val="000000" w:themeColor="text1"/>
          <w:lang w:eastAsia="en-US"/>
        </w:rPr>
        <w:t>.</w:t>
      </w:r>
    </w:p>
    <w:p w:rsidR="00B26699" w:rsidRPr="00492CDB" w:rsidRDefault="00B26699" w:rsidP="00932185">
      <w:pPr>
        <w:jc w:val="both"/>
        <w:rPr>
          <w:rFonts w:ascii="Palatino Linotype" w:hAnsi="Palatino Linotype" w:cs="Tahoma"/>
          <w:b/>
          <w:color w:val="000000" w:themeColor="text1"/>
        </w:rPr>
      </w:pPr>
    </w:p>
    <w:p w:rsidR="00B26699" w:rsidRPr="00492CDB" w:rsidRDefault="00B26699" w:rsidP="00492CDB">
      <w:pPr>
        <w:numPr>
          <w:ilvl w:val="0"/>
          <w:numId w:val="9"/>
        </w:numPr>
        <w:spacing w:line="360" w:lineRule="auto"/>
        <w:ind w:left="0" w:firstLine="0"/>
        <w:jc w:val="both"/>
        <w:rPr>
          <w:rFonts w:ascii="Palatino Linotype" w:eastAsia="Calibri" w:hAnsi="Palatino Linotype" w:cs="Tahoma"/>
          <w:b/>
          <w:bCs/>
          <w:color w:val="000000" w:themeColor="text1"/>
          <w:lang w:eastAsia="en-US"/>
        </w:rPr>
      </w:pPr>
      <w:r w:rsidRPr="00492CDB">
        <w:rPr>
          <w:rFonts w:ascii="Palatino Linotype" w:eastAsia="Calibri" w:hAnsi="Palatino Linotype" w:cs="Tahoma"/>
          <w:b/>
          <w:bCs/>
          <w:color w:val="000000" w:themeColor="text1"/>
          <w:lang w:eastAsia="en-US"/>
        </w:rPr>
        <w:t>Registro Federal de Contribuyentes (RFC)</w:t>
      </w:r>
      <w:r w:rsidR="00666AC8" w:rsidRPr="00492CDB">
        <w:rPr>
          <w:rFonts w:ascii="Palatino Linotype" w:eastAsia="Calibri" w:hAnsi="Palatino Linotype" w:cs="Tahoma"/>
          <w:b/>
          <w:bCs/>
          <w:color w:val="000000" w:themeColor="text1"/>
          <w:lang w:eastAsia="en-US"/>
        </w:rPr>
        <w:t xml:space="preserve"> </w:t>
      </w:r>
      <w:r w:rsidRPr="00492CDB">
        <w:rPr>
          <w:rFonts w:ascii="Palatino Linotype" w:eastAsia="Calibri" w:hAnsi="Palatino Linotype" w:cs="Tahoma"/>
          <w:b/>
          <w:bCs/>
          <w:color w:val="000000" w:themeColor="text1"/>
          <w:lang w:eastAsia="en-US"/>
        </w:rPr>
        <w:t>Persona física.</w:t>
      </w: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rPr>
      </w:pPr>
      <w:r w:rsidRPr="00492CDB">
        <w:rPr>
          <w:rFonts w:ascii="Palatino Linotype" w:hAnsi="Palatino Linotype" w:cs="Tahoma"/>
          <w:color w:val="000000" w:themeColor="text1"/>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26699" w:rsidRPr="00492CDB" w:rsidRDefault="00B26699" w:rsidP="00932185">
      <w:pPr>
        <w:jc w:val="both"/>
        <w:rPr>
          <w:rFonts w:ascii="Palatino Linotype" w:hAnsi="Palatino Linotype" w:cs="Tahoma"/>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rPr>
      </w:pPr>
      <w:r w:rsidRPr="00492CDB">
        <w:rPr>
          <w:rFonts w:ascii="Palatino Linotype" w:hAnsi="Palatino Linotype" w:cs="Tahoma"/>
          <w:color w:val="000000" w:themeColor="text1"/>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B26699" w:rsidRPr="00492CDB" w:rsidRDefault="00B26699" w:rsidP="00932185">
      <w:pPr>
        <w:jc w:val="both"/>
        <w:rPr>
          <w:rFonts w:ascii="Palatino Linotype" w:hAnsi="Palatino Linotype" w:cs="Tahoma"/>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rPr>
      </w:pPr>
      <w:r w:rsidRPr="00492CDB">
        <w:rPr>
          <w:rFonts w:ascii="Palatino Linotype" w:hAnsi="Palatino Linotype" w:cs="Tahoma"/>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26699" w:rsidRPr="00492CDB" w:rsidRDefault="00B26699" w:rsidP="00932185">
      <w:pPr>
        <w:jc w:val="both"/>
        <w:rPr>
          <w:rFonts w:ascii="Palatino Linotype" w:hAnsi="Palatino Linotype" w:cs="Tahoma"/>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rPr>
      </w:pPr>
      <w:r w:rsidRPr="00492CDB">
        <w:rPr>
          <w:rFonts w:ascii="Palatino Linotype" w:hAnsi="Palatino Linotype" w:cs="Tahoma"/>
          <w:color w:val="000000" w:themeColor="text1"/>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B26699" w:rsidRPr="00492CDB" w:rsidRDefault="00B26699" w:rsidP="00932185">
      <w:pPr>
        <w:spacing w:line="360" w:lineRule="auto"/>
        <w:jc w:val="both"/>
        <w:rPr>
          <w:rFonts w:ascii="Palatino Linotype" w:hAnsi="Palatino Linotype" w:cs="Tahoma"/>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rPr>
      </w:pPr>
      <w:r w:rsidRPr="00492CDB">
        <w:rPr>
          <w:rFonts w:ascii="Palatino Linotype" w:eastAsia="Calibri" w:hAnsi="Palatino Linotype" w:cs="Tahoma"/>
          <w:bCs/>
          <w:color w:val="000000" w:themeColor="text1"/>
        </w:rPr>
        <w:t xml:space="preserve">Lo </w:t>
      </w:r>
      <w:r w:rsidRPr="00492CDB">
        <w:rPr>
          <w:rFonts w:ascii="Palatino Linotype" w:hAnsi="Palatino Linotype" w:cs="Tahoma"/>
          <w:color w:val="000000" w:themeColor="text1"/>
        </w:rPr>
        <w:t>anterior</w:t>
      </w:r>
      <w:r w:rsidRPr="00492CDB">
        <w:rPr>
          <w:rFonts w:ascii="Palatino Linotype" w:eastAsia="Calibri" w:hAnsi="Palatino Linotype" w:cs="Tahoma"/>
          <w:bCs/>
          <w:color w:val="000000" w:themeColor="text1"/>
        </w:rPr>
        <w:t>, resulta congruente con el Criterio orientador 19/17 emitido por el Instituto Nacional de Transparencia, Acceso a la Información y Protección de Datos Personales, en el cual se señala lo siguiente:</w:t>
      </w:r>
    </w:p>
    <w:p w:rsidR="00B26699" w:rsidRPr="00492CDB" w:rsidRDefault="00B26699" w:rsidP="00932185">
      <w:pPr>
        <w:spacing w:line="360" w:lineRule="auto"/>
        <w:jc w:val="both"/>
        <w:rPr>
          <w:rFonts w:ascii="Palatino Linotype" w:eastAsia="Calibri" w:hAnsi="Palatino Linotype" w:cs="Tahoma"/>
          <w:bCs/>
          <w:color w:val="000000" w:themeColor="text1"/>
        </w:rPr>
      </w:pPr>
    </w:p>
    <w:p w:rsidR="00B26699" w:rsidRPr="00492CDB" w:rsidRDefault="00B26699" w:rsidP="00932185">
      <w:pPr>
        <w:contextualSpacing/>
        <w:jc w:val="both"/>
        <w:rPr>
          <w:rFonts w:ascii="Palatino Linotype" w:hAnsi="Palatino Linotype" w:cs="Tahoma"/>
          <w:i/>
          <w:color w:val="000000" w:themeColor="text1"/>
        </w:rPr>
      </w:pPr>
      <w:r w:rsidRPr="00492CDB">
        <w:rPr>
          <w:rFonts w:ascii="Palatino Linotype" w:hAnsi="Palatino Linotype" w:cs="Tahoma"/>
          <w:b/>
          <w:i/>
          <w:color w:val="000000" w:themeColor="text1"/>
        </w:rPr>
        <w:t>Registro Federal de Contribuyentes (RFC) de personas físicas.</w:t>
      </w:r>
      <w:r w:rsidRPr="00492CDB">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rsidR="00B26699" w:rsidRPr="00492CDB" w:rsidRDefault="00B26699" w:rsidP="00932185">
      <w:pPr>
        <w:spacing w:line="360" w:lineRule="auto"/>
        <w:contextualSpacing/>
        <w:jc w:val="both"/>
        <w:rPr>
          <w:rFonts w:ascii="Palatino Linotype" w:hAnsi="Palatino Linotype" w:cs="Tahoma"/>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492CDB">
        <w:rPr>
          <w:rFonts w:ascii="Palatino Linotype" w:hAnsi="Palatino Linotype" w:cs="Tahoma"/>
          <w:color w:val="000000" w:themeColor="text1"/>
        </w:rPr>
        <w:t xml:space="preserve">De tal suerte, el Registro Federal de Contribuyentes de persona físicas no guarda relación con la transparencia de los recursos públicos, por lo que constituye un dato personal </w:t>
      </w:r>
      <w:r w:rsidRPr="00492CDB">
        <w:rPr>
          <w:rFonts w:ascii="Palatino Linotype" w:eastAsia="Calibri" w:hAnsi="Palatino Linotype" w:cs="Tahoma"/>
          <w:bCs/>
          <w:color w:val="000000" w:themeColor="text1"/>
        </w:rPr>
        <w:t>confidencial</w:t>
      </w:r>
      <w:r w:rsidRPr="00492CDB">
        <w:rPr>
          <w:rFonts w:ascii="Palatino Linotype" w:hAnsi="Palatino Linotype" w:cs="Tahoma"/>
          <w:color w:val="000000" w:themeColor="text1"/>
        </w:rPr>
        <w:t xml:space="preserve"> al actualizar el supuesto normativo del artículo 143, fracción I, de la Ley de Transparencia y Acceso a la Información Pública del Estado de México y Municipios.</w:t>
      </w:r>
    </w:p>
    <w:p w:rsidR="00B26699" w:rsidRPr="00492CDB" w:rsidRDefault="00B26699" w:rsidP="00932185">
      <w:pPr>
        <w:jc w:val="both"/>
        <w:rPr>
          <w:rFonts w:ascii="Palatino Linotype" w:eastAsia="Calibri" w:hAnsi="Palatino Linotype" w:cs="Tahoma"/>
          <w:bCs/>
          <w:color w:val="000000" w:themeColor="text1"/>
          <w:lang w:val="es-ES" w:eastAsia="en-US"/>
        </w:rPr>
      </w:pPr>
    </w:p>
    <w:p w:rsidR="00B26699" w:rsidRPr="00492CDB" w:rsidRDefault="00B26699" w:rsidP="00492CDB">
      <w:pPr>
        <w:pStyle w:val="Prrafodelista"/>
        <w:numPr>
          <w:ilvl w:val="0"/>
          <w:numId w:val="9"/>
        </w:numPr>
        <w:spacing w:line="360" w:lineRule="auto"/>
        <w:ind w:left="0" w:firstLine="0"/>
        <w:contextualSpacing/>
        <w:jc w:val="both"/>
        <w:rPr>
          <w:rFonts w:ascii="Palatino Linotype" w:eastAsia="Calibri" w:hAnsi="Palatino Linotype" w:cs="Tahoma"/>
          <w:b/>
          <w:color w:val="000000" w:themeColor="text1"/>
          <w:sz w:val="24"/>
          <w:szCs w:val="24"/>
        </w:rPr>
      </w:pPr>
      <w:r w:rsidRPr="00492CDB">
        <w:rPr>
          <w:rFonts w:ascii="Palatino Linotype" w:eastAsia="Calibri" w:hAnsi="Palatino Linotype" w:cs="Tahoma"/>
          <w:b/>
          <w:color w:val="000000" w:themeColor="text1"/>
          <w:sz w:val="24"/>
          <w:szCs w:val="24"/>
        </w:rPr>
        <w:t>Persona Jurídico-colectiva.</w:t>
      </w: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492CDB">
        <w:rPr>
          <w:rFonts w:ascii="Palatino Linotype" w:eastAsia="Calibri" w:hAnsi="Palatino Linotype" w:cs="Tahoma"/>
          <w:bCs/>
          <w:color w:val="000000" w:themeColor="text1"/>
          <w:lang w:val="es-ES" w:eastAsia="en-U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w:t>
      </w:r>
      <w:r w:rsidRPr="00492CDB">
        <w:rPr>
          <w:rFonts w:ascii="Palatino Linotype" w:eastAsia="Calibri" w:hAnsi="Palatino Linotype" w:cs="Tahoma"/>
          <w:bCs/>
          <w:color w:val="000000" w:themeColor="text1"/>
          <w:lang w:val="es-ES" w:eastAsia="en-US"/>
        </w:rPr>
        <w:lastRenderedPageBreak/>
        <w:t>ciertos documentos, que para las personas jurídico colectivas, serán, entre otros, la copia</w:t>
      </w:r>
      <w:r w:rsidRPr="00492CDB">
        <w:rPr>
          <w:rFonts w:ascii="Palatino Linotype" w:eastAsia="Calibri" w:hAnsi="Palatino Linotype" w:cs="Tahoma"/>
          <w:bCs/>
          <w:color w:val="000000" w:themeColor="text1"/>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B26699" w:rsidRPr="00492CDB" w:rsidRDefault="00B26699" w:rsidP="00932185">
      <w:pPr>
        <w:spacing w:line="360" w:lineRule="auto"/>
        <w:jc w:val="both"/>
        <w:rPr>
          <w:rFonts w:ascii="Palatino Linotype" w:eastAsia="Calibri" w:hAnsi="Palatino Linotype" w:cs="Tahoma"/>
          <w:b/>
          <w:bCs/>
          <w:color w:val="000000" w:themeColor="text1"/>
          <w:lang w:eastAsia="en-US"/>
        </w:rPr>
      </w:pPr>
      <w:r w:rsidRPr="00492CDB">
        <w:rPr>
          <w:rFonts w:ascii="Palatino Linotype" w:eastAsia="Calibri" w:hAnsi="Palatino Linotype" w:cs="Tahoma"/>
          <w:bCs/>
          <w:color w:val="000000" w:themeColor="text1"/>
          <w:lang w:eastAsia="en-US"/>
        </w:rPr>
        <w:t xml:space="preserve">Derivado del trámite se obtiene, entre otros, la </w:t>
      </w:r>
      <w:r w:rsidRPr="00492CDB">
        <w:rPr>
          <w:rFonts w:ascii="Palatino Linotype" w:eastAsia="Calibri" w:hAnsi="Palatino Linotype" w:cs="Tahoma"/>
          <w:b/>
          <w:bCs/>
          <w:color w:val="000000" w:themeColor="text1"/>
          <w:lang w:eastAsia="en-US"/>
        </w:rPr>
        <w:t>cédula de identificación fiscal o constancia de registro.</w:t>
      </w:r>
    </w:p>
    <w:p w:rsidR="00B26699" w:rsidRPr="00492CDB" w:rsidRDefault="00B26699" w:rsidP="00932185">
      <w:pPr>
        <w:jc w:val="both"/>
        <w:rPr>
          <w:rFonts w:ascii="Palatino Linotype" w:eastAsia="Calibri" w:hAnsi="Palatino Linotype" w:cs="Tahoma"/>
          <w:bCs/>
          <w:color w:val="000000" w:themeColor="text1"/>
          <w:lang w:val="es-ES" w:eastAsia="en-US"/>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492CDB">
        <w:rPr>
          <w:rFonts w:ascii="Palatino Linotype" w:eastAsia="Calibri" w:hAnsi="Palatino Linotype" w:cs="Tahoma"/>
          <w:bCs/>
          <w:color w:val="000000" w:themeColor="text1"/>
          <w:lang w:val="es-ES" w:eastAsia="en-US"/>
        </w:rPr>
        <w:t>Por ende, la información correspondiente al Registro Federal de Contribuyentes de una persona moral da cuenta del cumplimiento o no en sus obligaciones fiscales; por tanto, no se actualiza su clasificación como confidencial.</w:t>
      </w:r>
    </w:p>
    <w:p w:rsidR="00B26699" w:rsidRPr="00492CDB" w:rsidRDefault="00B26699" w:rsidP="00932185">
      <w:pPr>
        <w:jc w:val="both"/>
        <w:rPr>
          <w:rFonts w:ascii="Palatino Linotype" w:eastAsia="Calibri" w:hAnsi="Palatino Linotype" w:cs="Tahoma"/>
          <w:b/>
          <w:bCs/>
          <w:color w:val="000000" w:themeColor="text1"/>
          <w:lang w:eastAsia="en-US"/>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492CDB">
        <w:rPr>
          <w:rFonts w:ascii="Palatino Linotype" w:eastAsia="Calibri" w:hAnsi="Palatino Linotype" w:cs="Tahoma"/>
          <w:bCs/>
          <w:color w:val="000000" w:themeColor="text1"/>
          <w:lang w:val="es-ES" w:eastAsia="en-US"/>
        </w:rPr>
        <w:t>Además, resulta aplicable el Criterio orientador 08/19 emitido por el Instituto Nacional de Transparencia, Acceso a la Información y Protección de Datos Personales, que señala lo siguiente:</w:t>
      </w:r>
    </w:p>
    <w:p w:rsidR="00B26699" w:rsidRPr="00492CDB" w:rsidRDefault="00B26699" w:rsidP="00932185">
      <w:pPr>
        <w:jc w:val="both"/>
        <w:rPr>
          <w:rFonts w:ascii="Palatino Linotype" w:eastAsia="Calibri" w:hAnsi="Palatino Linotype" w:cs="Tahoma"/>
          <w:bCs/>
          <w:i/>
          <w:color w:val="000000" w:themeColor="text1"/>
          <w:lang w:eastAsia="en-US"/>
        </w:rPr>
      </w:pPr>
      <w:r w:rsidRPr="00492CDB">
        <w:rPr>
          <w:rFonts w:ascii="Palatino Linotype" w:eastAsia="Calibri" w:hAnsi="Palatino Linotype" w:cs="Tahoma"/>
          <w:b/>
          <w:bCs/>
          <w:i/>
          <w:color w:val="000000" w:themeColor="text1"/>
          <w:lang w:eastAsia="en-US"/>
        </w:rPr>
        <w:t xml:space="preserve">Razón social y RFC de personas morales. </w:t>
      </w:r>
      <w:r w:rsidRPr="00492CDB">
        <w:rPr>
          <w:rFonts w:ascii="Palatino Linotype" w:eastAsia="Calibri" w:hAnsi="Palatino Linotype" w:cs="Tahoma"/>
          <w:bCs/>
          <w:i/>
          <w:color w:val="000000" w:themeColor="text1"/>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B26699" w:rsidRPr="00492CDB" w:rsidRDefault="00B26699" w:rsidP="00932185">
      <w:pPr>
        <w:spacing w:line="360" w:lineRule="auto"/>
        <w:jc w:val="both"/>
        <w:rPr>
          <w:rFonts w:ascii="Palatino Linotype" w:eastAsia="Calibri" w:hAnsi="Palatino Linotype" w:cs="Tahoma"/>
          <w:bCs/>
          <w:color w:val="000000" w:themeColor="text1"/>
          <w:lang w:val="es-ES" w:eastAsia="en-US"/>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492CDB">
        <w:rPr>
          <w:rFonts w:ascii="Palatino Linotype" w:eastAsia="Calibri" w:hAnsi="Palatino Linotype" w:cs="Tahoma"/>
          <w:bCs/>
          <w:color w:val="000000" w:themeColor="text1"/>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B26699" w:rsidRPr="00492CDB" w:rsidRDefault="00B26699" w:rsidP="00932185">
      <w:pPr>
        <w:spacing w:line="360" w:lineRule="auto"/>
        <w:jc w:val="both"/>
        <w:rPr>
          <w:rFonts w:ascii="Palatino Linotype" w:eastAsia="Calibri" w:hAnsi="Palatino Linotype" w:cs="Tahoma"/>
          <w:bCs/>
          <w:color w:val="000000" w:themeColor="text1"/>
          <w:lang w:val="es-ES" w:eastAsia="en-US"/>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492CDB">
        <w:rPr>
          <w:rFonts w:ascii="Palatino Linotype" w:eastAsia="Calibri" w:hAnsi="Palatino Linotype" w:cs="Tahoma"/>
          <w:bCs/>
          <w:color w:val="000000" w:themeColor="text1"/>
          <w:lang w:val="es-ES" w:eastAsia="en-US"/>
        </w:rPr>
        <w:lastRenderedPageBreak/>
        <w:t>De tales circunstancias, el Registro Federal de Contribuyentes de personas</w:t>
      </w:r>
      <w:r w:rsidRPr="00492CDB">
        <w:rPr>
          <w:rFonts w:ascii="Palatino Linotype" w:eastAsia="Calibri" w:hAnsi="Palatino Linotype" w:cs="Tahoma"/>
          <w:bCs/>
          <w:color w:val="000000" w:themeColor="text1"/>
          <w:lang w:eastAsia="en-US"/>
        </w:rPr>
        <w:t xml:space="preserve"> morales, no actualizan la causal de clasificación, prevista en el artículo 143, fracción I de la Ley de Transparencia y Acceso a la Información Pública del Estado de México y Municipios, al ser de naturaleza pública.</w:t>
      </w:r>
    </w:p>
    <w:p w:rsidR="00B26699" w:rsidRPr="00492CDB" w:rsidRDefault="00B26699" w:rsidP="00932185">
      <w:pPr>
        <w:spacing w:line="360" w:lineRule="auto"/>
        <w:jc w:val="both"/>
        <w:rPr>
          <w:rFonts w:ascii="Palatino Linotype" w:eastAsia="Calibri" w:hAnsi="Palatino Linotype" w:cs="Tahoma"/>
          <w:bCs/>
          <w:color w:val="000000" w:themeColor="text1"/>
          <w:lang w:eastAsia="en-US"/>
        </w:rPr>
      </w:pPr>
    </w:p>
    <w:p w:rsidR="00B26699" w:rsidRPr="00492CDB" w:rsidRDefault="00B26699" w:rsidP="00932185">
      <w:pPr>
        <w:numPr>
          <w:ilvl w:val="0"/>
          <w:numId w:val="2"/>
        </w:numPr>
        <w:spacing w:line="360" w:lineRule="auto"/>
        <w:ind w:left="0" w:firstLine="0"/>
        <w:jc w:val="both"/>
        <w:rPr>
          <w:rFonts w:ascii="Palatino Linotype" w:hAnsi="Palatino Linotype"/>
          <w:color w:val="000000" w:themeColor="text1"/>
        </w:rPr>
      </w:pPr>
      <w:r w:rsidRPr="00492CDB">
        <w:rPr>
          <w:rFonts w:ascii="Palatino Linotype" w:hAnsi="Palatino Linotype"/>
          <w:color w:val="000000" w:themeColor="text1"/>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B26699" w:rsidRPr="00492CDB" w:rsidRDefault="00B26699" w:rsidP="00932185">
      <w:pPr>
        <w:spacing w:line="360" w:lineRule="auto"/>
        <w:jc w:val="both"/>
        <w:rPr>
          <w:rFonts w:ascii="Palatino Linotype" w:hAnsi="Palatino Linotype"/>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olor w:val="000000" w:themeColor="text1"/>
        </w:rPr>
      </w:pPr>
      <w:r w:rsidRPr="00492CDB">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B26699" w:rsidRPr="00492CDB" w:rsidRDefault="00B26699" w:rsidP="00932185">
      <w:pPr>
        <w:jc w:val="both"/>
        <w:rPr>
          <w:rFonts w:ascii="Palatino Linotype" w:hAnsi="Palatino Linotype"/>
          <w:i/>
          <w:iCs/>
          <w:color w:val="000000" w:themeColor="text1"/>
        </w:rPr>
      </w:pPr>
      <w:r w:rsidRPr="00492CDB">
        <w:rPr>
          <w:rFonts w:ascii="Palatino Linotype" w:hAnsi="Palatino Linotype"/>
          <w:b/>
          <w:bCs/>
          <w:i/>
          <w:iCs/>
          <w:color w:val="000000" w:themeColor="text1"/>
        </w:rPr>
        <w:t xml:space="preserve">“Registro Federal de Contribuyentes (RFC) de personas físicas proveedoras o contratistas. </w:t>
      </w:r>
      <w:r w:rsidRPr="00492CDB">
        <w:rPr>
          <w:rFonts w:ascii="Palatino Linotype" w:hAnsi="Palatino Linotype"/>
          <w:i/>
          <w:iCs/>
          <w:color w:val="000000" w:themeColor="text1"/>
        </w:rPr>
        <w:t xml:space="preserve">El RFC de contratistas o proveedores de los sujetos obligados debe ser público, ya que al tratarse de personas con contrataciones públicas, su difusión favorece la </w:t>
      </w:r>
      <w:r w:rsidRPr="00492CDB">
        <w:rPr>
          <w:rFonts w:ascii="Palatino Linotype" w:eastAsia="Calibri" w:hAnsi="Palatino Linotype" w:cs="Tahoma"/>
          <w:bCs/>
          <w:i/>
          <w:color w:val="000000" w:themeColor="text1"/>
          <w:lang w:eastAsia="en-US"/>
        </w:rPr>
        <w:t>transparencia</w:t>
      </w:r>
      <w:r w:rsidRPr="00492CDB">
        <w:rPr>
          <w:rFonts w:ascii="Palatino Linotype" w:hAnsi="Palatino Linotype"/>
          <w:i/>
          <w:iCs/>
          <w:color w:val="000000" w:themeColor="text1"/>
        </w:rPr>
        <w:t xml:space="preserve"> con la que deben administrarse los recursos públicos, en términos del artículo 134 de la Constitución Política de los Estados Unidos Mexicanos.”</w:t>
      </w:r>
    </w:p>
    <w:p w:rsidR="00B26699" w:rsidRPr="00492CDB" w:rsidRDefault="00B26699" w:rsidP="00932185">
      <w:pPr>
        <w:jc w:val="both"/>
        <w:rPr>
          <w:rFonts w:ascii="Palatino Linotype" w:hAnsi="Palatino Linotype" w:cs="Tahoma"/>
          <w:bCs/>
          <w:iCs/>
          <w:color w:val="000000" w:themeColor="text1"/>
        </w:rPr>
      </w:pPr>
    </w:p>
    <w:p w:rsidR="00B26699" w:rsidRPr="00492CDB" w:rsidRDefault="00B26699" w:rsidP="00492CDB">
      <w:pPr>
        <w:numPr>
          <w:ilvl w:val="0"/>
          <w:numId w:val="10"/>
        </w:numPr>
        <w:spacing w:line="360" w:lineRule="auto"/>
        <w:ind w:left="0" w:firstLine="0"/>
        <w:jc w:val="both"/>
        <w:rPr>
          <w:rFonts w:ascii="Palatino Linotype" w:hAnsi="Palatino Linotype" w:cs="Tahoma"/>
          <w:b/>
          <w:color w:val="000000" w:themeColor="text1"/>
        </w:rPr>
      </w:pPr>
      <w:r w:rsidRPr="00492CDB">
        <w:rPr>
          <w:rFonts w:ascii="Palatino Linotype" w:hAnsi="Palatino Linotype" w:cs="Tahoma"/>
          <w:b/>
          <w:color w:val="000000" w:themeColor="text1"/>
        </w:rPr>
        <w:t>Clave Única de Registro de Población (CURP).</w:t>
      </w:r>
    </w:p>
    <w:p w:rsidR="00B26699" w:rsidRPr="00492CDB" w:rsidRDefault="00B26699"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De igual manera la </w:t>
      </w:r>
      <w:r w:rsidRPr="00492CDB">
        <w:rPr>
          <w:rFonts w:ascii="Palatino Linotype" w:eastAsia="Palatino Linotype" w:hAnsi="Palatino Linotype" w:cs="Palatino Linotype"/>
          <w:b/>
          <w:color w:val="000000" w:themeColor="text1"/>
        </w:rPr>
        <w:t>Clave Única de Registro de Población (CURP),</w:t>
      </w:r>
      <w:r w:rsidRPr="00492CDB">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w:t>
      </w:r>
      <w:r w:rsidRPr="00492CDB">
        <w:rPr>
          <w:rFonts w:ascii="Palatino Linotype" w:eastAsia="Palatino Linotype" w:hAnsi="Palatino Linotype" w:cs="Palatino Linotype"/>
          <w:color w:val="000000" w:themeColor="text1"/>
        </w:rPr>
        <w:lastRenderedPageBreak/>
        <w:t>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B26699" w:rsidRPr="00492CDB" w:rsidRDefault="00B26699" w:rsidP="00932185">
      <w:pPr>
        <w:tabs>
          <w:tab w:val="left" w:pos="284"/>
        </w:tabs>
        <w:spacing w:line="360" w:lineRule="auto"/>
        <w:jc w:val="both"/>
        <w:rPr>
          <w:rFonts w:ascii="Palatino Linotype" w:eastAsia="Palatino Linotype" w:hAnsi="Palatino Linotype" w:cs="Palatino Linotype"/>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B26699" w:rsidRPr="00492CDB" w:rsidRDefault="00B26699" w:rsidP="00932185">
      <w:pPr>
        <w:jc w:val="both"/>
        <w:rPr>
          <w:rFonts w:ascii="Palatino Linotype" w:eastAsia="Palatino Linotype" w:hAnsi="Palatino Linotype" w:cs="Palatino Linotype"/>
          <w:i/>
          <w:color w:val="000000" w:themeColor="text1"/>
        </w:rPr>
      </w:pPr>
      <w:r w:rsidRPr="00492CDB">
        <w:rPr>
          <w:rFonts w:ascii="Palatino Linotype" w:eastAsia="Palatino Linotype" w:hAnsi="Palatino Linotype" w:cs="Palatino Linotype"/>
          <w:b/>
          <w:i/>
          <w:color w:val="000000" w:themeColor="text1"/>
        </w:rPr>
        <w:t xml:space="preserve">“Clave Única de Registro de Población (CURP). </w:t>
      </w:r>
      <w:r w:rsidRPr="00492CDB">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26699" w:rsidRPr="00492CDB" w:rsidRDefault="00B26699" w:rsidP="00932185">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B26699" w:rsidRPr="00492CDB" w:rsidRDefault="00B26699" w:rsidP="00492CDB">
      <w:pPr>
        <w:pStyle w:val="Prrafodelista"/>
        <w:numPr>
          <w:ilvl w:val="0"/>
          <w:numId w:val="12"/>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b/>
          <w:bCs/>
          <w:color w:val="000000" w:themeColor="text1"/>
          <w:sz w:val="24"/>
          <w:szCs w:val="24"/>
        </w:rPr>
      </w:pPr>
      <w:r w:rsidRPr="00492CDB">
        <w:rPr>
          <w:rFonts w:ascii="Palatino Linotype" w:hAnsi="Palatino Linotype"/>
          <w:b/>
          <w:color w:val="000000" w:themeColor="text1"/>
          <w:sz w:val="24"/>
          <w:szCs w:val="24"/>
        </w:rPr>
        <w:t>Cuentas bancarias o clabes interbancarias</w:t>
      </w:r>
    </w:p>
    <w:p w:rsidR="00B26699" w:rsidRPr="00492CDB" w:rsidRDefault="00B26699" w:rsidP="00932185">
      <w:pPr>
        <w:numPr>
          <w:ilvl w:val="0"/>
          <w:numId w:val="2"/>
        </w:numPr>
        <w:spacing w:line="360" w:lineRule="auto"/>
        <w:ind w:left="0" w:firstLine="0"/>
        <w:jc w:val="both"/>
        <w:rPr>
          <w:rFonts w:ascii="Palatino Linotype" w:hAnsi="Palatino Linotype"/>
          <w:color w:val="000000" w:themeColor="text1"/>
        </w:rPr>
      </w:pPr>
      <w:r w:rsidRPr="00492CDB">
        <w:rPr>
          <w:rFonts w:ascii="Palatino Linotype" w:eastAsia="Palatino Linotype" w:hAnsi="Palatino Linotype" w:cs="Palatino Linotype"/>
          <w:color w:val="000000" w:themeColor="text1"/>
        </w:rPr>
        <w:t xml:space="preserve">Resulta importante señalar que </w:t>
      </w:r>
      <w:r w:rsidRPr="00492CDB">
        <w:rPr>
          <w:rFonts w:ascii="Palatino Linotype" w:hAnsi="Palatino Linotype"/>
          <w:color w:val="000000" w:themeColor="text1"/>
        </w:rPr>
        <w:t>tratándose de las cuentas bancarias o clabes interbancarias de los Sujetos Obligados ya que su publicidad cede a la rendición de cuentas al transparentar la forma en que son administrados los recursos públicos.</w:t>
      </w:r>
    </w:p>
    <w:p w:rsidR="00B26699" w:rsidRPr="00492CDB" w:rsidRDefault="00B26699" w:rsidP="00932185">
      <w:pPr>
        <w:spacing w:line="360" w:lineRule="auto"/>
        <w:jc w:val="both"/>
        <w:rPr>
          <w:rFonts w:ascii="Palatino Linotype" w:hAnsi="Palatino Linotype"/>
          <w:color w:val="000000" w:themeColor="text1"/>
        </w:rPr>
      </w:pPr>
    </w:p>
    <w:p w:rsidR="00B26699" w:rsidRPr="00492CDB" w:rsidRDefault="00B26699" w:rsidP="00932185">
      <w:pPr>
        <w:numPr>
          <w:ilvl w:val="0"/>
          <w:numId w:val="2"/>
        </w:numPr>
        <w:spacing w:line="360" w:lineRule="auto"/>
        <w:ind w:left="0" w:firstLine="0"/>
        <w:jc w:val="both"/>
        <w:rPr>
          <w:rFonts w:ascii="Palatino Linotype" w:hAnsi="Palatino Linotype"/>
          <w:color w:val="000000" w:themeColor="text1"/>
        </w:rPr>
      </w:pPr>
      <w:r w:rsidRPr="00492CDB">
        <w:rPr>
          <w:rFonts w:ascii="Palatino Linotype" w:hAnsi="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B26699" w:rsidRPr="00492CDB" w:rsidRDefault="00B26699" w:rsidP="00932185">
      <w:pPr>
        <w:pStyle w:val="NormalWeb"/>
        <w:spacing w:before="240" w:beforeAutospacing="0" w:after="240" w:afterAutospacing="0"/>
        <w:jc w:val="both"/>
        <w:rPr>
          <w:rFonts w:ascii="Palatino Linotype" w:hAnsi="Palatino Linotype"/>
          <w:color w:val="000000" w:themeColor="text1"/>
        </w:rPr>
      </w:pPr>
      <w:r w:rsidRPr="00492CDB">
        <w:rPr>
          <w:rFonts w:ascii="Palatino Linotype" w:hAnsi="Palatino Linotype"/>
          <w:b/>
          <w:bCs/>
          <w:i/>
          <w:iCs/>
          <w:color w:val="000000" w:themeColor="text1"/>
        </w:rPr>
        <w:t>“Cuentas bancarias y/o CLABE interbancaria de personas físicas y morales privadas.</w:t>
      </w:r>
      <w:r w:rsidRPr="00492CDB">
        <w:rPr>
          <w:rFonts w:ascii="Palatino Linotype" w:hAnsi="Palatino Linotype"/>
          <w:i/>
          <w:iCs/>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w:t>
      </w:r>
      <w:r w:rsidRPr="00492CDB">
        <w:rPr>
          <w:rFonts w:ascii="Palatino Linotype" w:hAnsi="Palatino Linotype"/>
          <w:i/>
          <w:iCs/>
          <w:color w:val="000000" w:themeColor="text1"/>
        </w:rPr>
        <w:lastRenderedPageBreak/>
        <w:t>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26699" w:rsidRPr="00492CDB" w:rsidRDefault="00B26699" w:rsidP="00932185">
      <w:pPr>
        <w:pStyle w:val="NormalWeb"/>
        <w:spacing w:before="240" w:beforeAutospacing="0" w:after="240" w:afterAutospacing="0"/>
        <w:jc w:val="both"/>
        <w:rPr>
          <w:rFonts w:ascii="Palatino Linotype" w:hAnsi="Palatino Linotype"/>
          <w:i/>
          <w:iCs/>
          <w:color w:val="000000" w:themeColor="text1"/>
        </w:rPr>
      </w:pPr>
      <w:r w:rsidRPr="00492CDB">
        <w:rPr>
          <w:rFonts w:ascii="Palatino Linotype" w:hAnsi="Palatino Linotype"/>
          <w:b/>
          <w:bCs/>
          <w:i/>
          <w:iCs/>
          <w:color w:val="000000" w:themeColor="text1"/>
        </w:rPr>
        <w:t>Cuentas bancarias y/o CLABE interbancaria de sujetos obligados que reciben y/o transfieren recursos públicos, son información pública</w:t>
      </w:r>
      <w:r w:rsidRPr="00492CDB">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B26699" w:rsidRPr="00492CDB" w:rsidRDefault="00B26699" w:rsidP="00932185">
      <w:pPr>
        <w:pStyle w:val="NormalWeb"/>
        <w:spacing w:before="240" w:beforeAutospacing="0" w:after="240" w:afterAutospacing="0"/>
        <w:jc w:val="both"/>
        <w:rPr>
          <w:rFonts w:ascii="Palatino Linotype" w:hAnsi="Palatino Linotype"/>
          <w:i/>
          <w:iCs/>
          <w:color w:val="000000" w:themeColor="text1"/>
        </w:rPr>
      </w:pPr>
    </w:p>
    <w:p w:rsidR="00B26699" w:rsidRPr="00492CDB" w:rsidRDefault="00B26699" w:rsidP="0093218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492CDB">
        <w:rPr>
          <w:rFonts w:ascii="Palatino Linotype" w:eastAsia="Palatino Linotype" w:hAnsi="Palatino Linotype" w:cs="Palatino Linotype"/>
          <w:color w:val="000000" w:themeColor="text1"/>
        </w:rPr>
        <w:t xml:space="preserve">Si bien las cuentas bancarias y/o CLABE de personas que </w:t>
      </w:r>
      <w:r w:rsidRPr="00492CDB">
        <w:rPr>
          <w:rFonts w:ascii="Palatino Linotype" w:eastAsia="Palatino Linotype" w:hAnsi="Palatino Linotype" w:cs="Palatino Linotype"/>
          <w:bCs/>
          <w:iCs/>
          <w:color w:val="000000" w:themeColor="text1"/>
        </w:rPr>
        <w:t>reciben y/o transfieren recursos públicos</w:t>
      </w:r>
      <w:r w:rsidRPr="00492CDB">
        <w:rPr>
          <w:rFonts w:ascii="Palatino Linotype" w:eastAsia="Palatino Linotype" w:hAnsi="Palatino Linotype" w:cs="Palatino Linotype"/>
          <w:color w:val="000000" w:themeColor="text1"/>
        </w:rPr>
        <w:t xml:space="preserve"> corresponden a datos personales, </w:t>
      </w:r>
      <w:r w:rsidRPr="00492CDB">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rsidR="00B26699" w:rsidRPr="00492CDB" w:rsidRDefault="00B26699" w:rsidP="00932185">
      <w:pPr>
        <w:spacing w:line="360" w:lineRule="auto"/>
        <w:jc w:val="both"/>
        <w:rPr>
          <w:rFonts w:ascii="Palatino Linotype" w:eastAsia="Calibri" w:hAnsi="Palatino Linotype" w:cs="Tahoma"/>
          <w:bCs/>
          <w:color w:val="000000" w:themeColor="text1"/>
          <w:lang w:val="es-ES" w:eastAsia="en-US"/>
        </w:rPr>
      </w:pPr>
    </w:p>
    <w:p w:rsidR="00B26699" w:rsidRPr="00492CDB" w:rsidRDefault="00B26699" w:rsidP="00492CDB">
      <w:pPr>
        <w:pStyle w:val="Prrafodelista"/>
        <w:numPr>
          <w:ilvl w:val="0"/>
          <w:numId w:val="11"/>
        </w:numPr>
        <w:spacing w:line="360" w:lineRule="auto"/>
        <w:ind w:left="0" w:firstLine="0"/>
        <w:contextualSpacing/>
        <w:jc w:val="both"/>
        <w:rPr>
          <w:rFonts w:ascii="Palatino Linotype" w:eastAsia="Calibri" w:hAnsi="Palatino Linotype" w:cs="Tahoma"/>
          <w:b/>
          <w:color w:val="000000" w:themeColor="text1"/>
          <w:sz w:val="24"/>
          <w:szCs w:val="24"/>
        </w:rPr>
      </w:pPr>
      <w:r w:rsidRPr="00492CDB">
        <w:rPr>
          <w:rFonts w:ascii="Palatino Linotype" w:eastAsia="Calibri" w:hAnsi="Palatino Linotype" w:cs="Tahoma"/>
          <w:b/>
          <w:color w:val="000000" w:themeColor="text1"/>
          <w:sz w:val="24"/>
          <w:szCs w:val="24"/>
        </w:rPr>
        <w:t>Nombre, firma y rúbrica de representante legal.</w:t>
      </w: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492CDB">
        <w:rPr>
          <w:rFonts w:ascii="Palatino Linotype" w:eastAsia="Palatino Linotype" w:hAnsi="Palatino Linotype" w:cs="Palatino Linotype"/>
          <w:color w:val="000000" w:themeColor="text1"/>
        </w:rPr>
        <w:t>puede</w:t>
      </w:r>
      <w:r w:rsidRPr="00492CDB">
        <w:rPr>
          <w:rFonts w:ascii="Palatino Linotype" w:hAnsi="Palatino Linotype" w:cs="Tahoma"/>
          <w:color w:val="000000" w:themeColor="text1"/>
          <w:lang w:val="es-ES"/>
        </w:rPr>
        <w:t xml:space="preserve"> ser objeto de clasificación, en virtud de que la representación persigue la finalidad de dar certeza jurídica a los actos que realiza, en el presente caso, solicitar y recibir diversas Licencias de Funcionamiento.</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 xml:space="preserve">En ese sentido, el artículo 10 de la Ley General de Sociedades Mercantiles, establece que la representación de toda sociedad mercantil corresponderá a su administrador o administradores, quiénes podrán realizar todas las operaciones inherentes al objeto de la </w:t>
      </w:r>
      <w:r w:rsidRPr="00492CDB">
        <w:rPr>
          <w:rFonts w:ascii="Palatino Linotype" w:hAnsi="Palatino Linotype" w:cs="Tahoma"/>
          <w:color w:val="000000" w:themeColor="text1"/>
          <w:lang w:val="es-ES"/>
        </w:rPr>
        <w:lastRenderedPageBreak/>
        <w:t>sociedad; por lo que, para que surtan efectos los poderes que otorgue dicha empresa bastará su protocolización ante notario público.</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En esa tesitura, la representación de las personas morales se realizará por medio de representantes o apoderados, y en el caso específico de las sociedades mercantiles, dicha representación se otorgará mediante instrumento público.</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492CDB">
        <w:rPr>
          <w:rFonts w:ascii="Palatino Linotype" w:hAnsi="Palatino Linotype" w:cs="Tahoma"/>
          <w:b/>
          <w:color w:val="000000" w:themeColor="text1"/>
          <w:lang w:val="es-ES"/>
        </w:rPr>
        <w:t>nombre, la firma y la rúbrica del apoderado legal de una empresa</w:t>
      </w:r>
      <w:r w:rsidRPr="00492CDB">
        <w:rPr>
          <w:rFonts w:ascii="Palatino Linotype" w:hAnsi="Palatino Linotype" w:cs="Tahoma"/>
          <w:color w:val="000000" w:themeColor="text1"/>
          <w:lang w:val="es-ES"/>
        </w:rPr>
        <w:t xml:space="preserve">, </w:t>
      </w:r>
      <w:r w:rsidRPr="00492CDB">
        <w:rPr>
          <w:rFonts w:ascii="Palatino Linotype" w:hAnsi="Palatino Linotype" w:cs="Tahoma"/>
          <w:b/>
          <w:color w:val="000000" w:themeColor="text1"/>
          <w:lang w:val="es-ES"/>
        </w:rPr>
        <w:t xml:space="preserve">es público, </w:t>
      </w:r>
      <w:r w:rsidRPr="00492CDB">
        <w:rPr>
          <w:rFonts w:ascii="Palatino Linotype" w:hAnsi="Palatino Linotype" w:cs="Tahoma"/>
          <w:color w:val="000000" w:themeColor="text1"/>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lastRenderedPageBreak/>
        <w:t>Lo anterior, se robustece con el criterio orientador 01/19, emitido por el Instituto Nacional de Transparencia, Acceso a la Información Pública y Protección de Datos Personales, que establece lo siguiente:</w:t>
      </w:r>
    </w:p>
    <w:p w:rsidR="00B26699" w:rsidRPr="00492CDB" w:rsidRDefault="00B26699" w:rsidP="00932185">
      <w:pPr>
        <w:jc w:val="both"/>
        <w:rPr>
          <w:rFonts w:ascii="Palatino Linotype" w:hAnsi="Palatino Linotype" w:cs="Tahoma"/>
          <w:color w:val="000000" w:themeColor="text1"/>
          <w:lang w:val="es-ES"/>
        </w:rPr>
      </w:pPr>
    </w:p>
    <w:p w:rsidR="00B26699" w:rsidRPr="00492CDB" w:rsidRDefault="00B26699" w:rsidP="00932185">
      <w:pPr>
        <w:tabs>
          <w:tab w:val="left" w:pos="8080"/>
        </w:tabs>
        <w:jc w:val="both"/>
        <w:rPr>
          <w:rFonts w:ascii="Palatino Linotype" w:hAnsi="Palatino Linotype" w:cs="Tahoma"/>
          <w:i/>
          <w:color w:val="000000" w:themeColor="text1"/>
          <w:lang w:val="es-ES"/>
        </w:rPr>
      </w:pPr>
      <w:r w:rsidRPr="00492CDB">
        <w:rPr>
          <w:rFonts w:ascii="Palatino Linotype" w:hAnsi="Palatino Linotype" w:cs="Tahoma"/>
          <w:b/>
          <w:i/>
          <w:color w:val="000000" w:themeColor="text1"/>
        </w:rPr>
        <w:t>Datos de identificación del representante o apoderado legal.</w:t>
      </w:r>
      <w:r w:rsidRPr="00492CDB">
        <w:rPr>
          <w:rFonts w:ascii="Palatino Linotype" w:hAnsi="Palatino Linotype" w:cs="Tahoma"/>
          <w:i/>
          <w:color w:val="000000" w:themeColor="text1"/>
        </w:rPr>
        <w:t xml:space="preserve"> </w:t>
      </w:r>
      <w:r w:rsidRPr="00492CDB">
        <w:rPr>
          <w:rFonts w:ascii="Palatino Linotype" w:hAnsi="Palatino Linotype" w:cs="Tahoma"/>
          <w:b/>
          <w:i/>
          <w:color w:val="000000" w:themeColor="text1"/>
        </w:rPr>
        <w:t xml:space="preserve">Naturaleza jurídica. </w:t>
      </w:r>
      <w:r w:rsidRPr="00492CDB">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hAnsi="Palatino Linotype" w:cs="Tahoma"/>
          <w:color w:val="000000" w:themeColor="text1"/>
          <w:lang w:val="es-ES"/>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B26699" w:rsidRPr="00492CDB" w:rsidRDefault="00B26699" w:rsidP="00932185">
      <w:pPr>
        <w:spacing w:line="360" w:lineRule="auto"/>
        <w:jc w:val="both"/>
        <w:rPr>
          <w:rFonts w:ascii="Palatino Linotype" w:hAnsi="Palatino Linotype" w:cs="Tahoma"/>
          <w:color w:val="000000" w:themeColor="text1"/>
          <w:lang w:val="es-ES"/>
        </w:rPr>
      </w:pPr>
    </w:p>
    <w:p w:rsidR="00B26699" w:rsidRPr="00492CDB" w:rsidRDefault="00B26699" w:rsidP="00492CDB">
      <w:pPr>
        <w:pStyle w:val="Prrafodelista"/>
        <w:numPr>
          <w:ilvl w:val="0"/>
          <w:numId w:val="12"/>
        </w:numPr>
        <w:shd w:val="clear" w:color="auto" w:fill="FFFFFF" w:themeFill="background1"/>
        <w:spacing w:line="360" w:lineRule="auto"/>
        <w:ind w:left="0" w:firstLine="0"/>
        <w:contextualSpacing/>
        <w:jc w:val="both"/>
        <w:rPr>
          <w:rFonts w:ascii="Palatino Linotype" w:hAnsi="Palatino Linotype" w:cs="Tahoma"/>
          <w:b/>
          <w:color w:val="000000" w:themeColor="text1"/>
          <w:sz w:val="24"/>
          <w:szCs w:val="24"/>
          <w:lang w:eastAsia="es-MX"/>
        </w:rPr>
      </w:pPr>
      <w:r w:rsidRPr="00492CDB">
        <w:rPr>
          <w:rFonts w:ascii="Palatino Linotype" w:hAnsi="Palatino Linotype" w:cs="Tahoma"/>
          <w:b/>
          <w:color w:val="000000" w:themeColor="text1"/>
          <w:sz w:val="24"/>
          <w:szCs w:val="24"/>
          <w:lang w:eastAsia="es-MX"/>
        </w:rPr>
        <w:t>Domicilio Fiscal o legal (proveedor persona física o moral)</w:t>
      </w:r>
    </w:p>
    <w:p w:rsidR="00B26699" w:rsidRPr="00492CDB" w:rsidRDefault="00B26699" w:rsidP="00932185">
      <w:pPr>
        <w:numPr>
          <w:ilvl w:val="0"/>
          <w:numId w:val="2"/>
        </w:numPr>
        <w:spacing w:line="360" w:lineRule="auto"/>
        <w:ind w:left="0" w:firstLine="0"/>
        <w:jc w:val="both"/>
        <w:rPr>
          <w:rFonts w:ascii="Palatino Linotype" w:hAnsi="Palatino Linotype" w:cs="Tahoma"/>
          <w:color w:val="000000" w:themeColor="text1"/>
          <w:lang w:val="es-ES"/>
        </w:rPr>
      </w:pPr>
      <w:r w:rsidRPr="00492CDB">
        <w:rPr>
          <w:rFonts w:ascii="Palatino Linotype" w:eastAsia="Palatino Linotype" w:hAnsi="Palatino Linotype" w:cs="Palatino Linotype"/>
          <w:color w:val="000000" w:themeColor="text1"/>
        </w:rPr>
        <w:t>De</w:t>
      </w:r>
      <w:r w:rsidRPr="00492CDB">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B26699" w:rsidRPr="00492CDB" w:rsidRDefault="00B26699" w:rsidP="00932185">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492CDB">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rsidR="00B26699" w:rsidRPr="00492CDB" w:rsidRDefault="00B26699" w:rsidP="00932185">
      <w:pPr>
        <w:tabs>
          <w:tab w:val="left" w:pos="8080"/>
        </w:tabs>
        <w:jc w:val="both"/>
        <w:rPr>
          <w:rFonts w:ascii="Palatino Linotype" w:eastAsia="Calibri" w:hAnsi="Palatino Linotype" w:cs="Tahoma"/>
          <w:b/>
          <w:bCs/>
          <w:i/>
          <w:iCs/>
          <w:color w:val="000000" w:themeColor="text1"/>
        </w:rPr>
      </w:pPr>
      <w:r w:rsidRPr="00492CDB">
        <w:rPr>
          <w:rFonts w:ascii="Palatino Linotype" w:eastAsia="Calibri" w:hAnsi="Palatino Linotype" w:cs="Tahoma"/>
          <w:b/>
          <w:bCs/>
          <w:i/>
          <w:iCs/>
          <w:color w:val="000000" w:themeColor="text1"/>
        </w:rPr>
        <w:lastRenderedPageBreak/>
        <w:t xml:space="preserve">Artículo 22.- Se considera domicilio fiscal de las personas físicas y </w:t>
      </w:r>
      <w:r w:rsidRPr="00492CDB">
        <w:rPr>
          <w:rFonts w:ascii="Palatino Linotype" w:hAnsi="Palatino Linotype" w:cs="Tahoma"/>
          <w:i/>
          <w:color w:val="000000" w:themeColor="text1"/>
        </w:rPr>
        <w:t>jurídicas</w:t>
      </w:r>
      <w:r w:rsidRPr="00492CDB">
        <w:rPr>
          <w:rFonts w:ascii="Palatino Linotype" w:eastAsia="Calibri" w:hAnsi="Palatino Linotype" w:cs="Tahoma"/>
          <w:b/>
          <w:bCs/>
          <w:i/>
          <w:iCs/>
          <w:color w:val="000000" w:themeColor="text1"/>
        </w:rPr>
        <w:t xml:space="preserve"> colectivas: </w:t>
      </w:r>
    </w:p>
    <w:p w:rsidR="00B26699" w:rsidRPr="00492CDB" w:rsidRDefault="00B26699" w:rsidP="00932185">
      <w:pPr>
        <w:shd w:val="clear" w:color="auto" w:fill="FFFFFF" w:themeFill="background1"/>
        <w:jc w:val="both"/>
        <w:rPr>
          <w:rFonts w:ascii="Palatino Linotype" w:eastAsia="Calibri" w:hAnsi="Palatino Linotype" w:cs="Tahoma"/>
          <w:bCs/>
          <w:i/>
          <w:iCs/>
          <w:color w:val="000000" w:themeColor="text1"/>
        </w:rPr>
      </w:pP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 xml:space="preserve">I. El lugar o establecimiento donde se realicen actividades que generen obligaciones fiscales. </w:t>
      </w:r>
    </w:p>
    <w:p w:rsidR="00B26699" w:rsidRPr="00492CDB" w:rsidRDefault="00B26699" w:rsidP="00932185">
      <w:pPr>
        <w:tabs>
          <w:tab w:val="left" w:pos="8080"/>
        </w:tabs>
        <w:jc w:val="both"/>
        <w:rPr>
          <w:rFonts w:ascii="Palatino Linotype" w:eastAsia="Calibri" w:hAnsi="Palatino Linotype" w:cs="Tahoma"/>
          <w:bCs/>
          <w:i/>
          <w:iCs/>
          <w:color w:val="000000" w:themeColor="text1"/>
        </w:rPr>
      </w:pP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 xml:space="preserve">II. El lugar o establecimiento en que se realice el hecho generador de la obligación fiscal, cuando las actividades no se realicen en forma habitual. </w:t>
      </w:r>
    </w:p>
    <w:p w:rsidR="00B26699" w:rsidRPr="00492CDB" w:rsidRDefault="00B26699" w:rsidP="00932185">
      <w:pPr>
        <w:tabs>
          <w:tab w:val="left" w:pos="8080"/>
        </w:tabs>
        <w:jc w:val="both"/>
        <w:rPr>
          <w:rFonts w:ascii="Palatino Linotype" w:eastAsia="Calibri" w:hAnsi="Palatino Linotype" w:cs="Tahoma"/>
          <w:bCs/>
          <w:i/>
          <w:iCs/>
          <w:color w:val="000000" w:themeColor="text1"/>
        </w:rPr>
      </w:pP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rsidR="00B26699" w:rsidRPr="00492CDB" w:rsidRDefault="00B26699" w:rsidP="00932185">
      <w:pPr>
        <w:tabs>
          <w:tab w:val="left" w:pos="8080"/>
        </w:tabs>
        <w:jc w:val="both"/>
        <w:rPr>
          <w:rFonts w:ascii="Palatino Linotype" w:eastAsia="Calibri" w:hAnsi="Palatino Linotype" w:cs="Tahoma"/>
          <w:bCs/>
          <w:i/>
          <w:iCs/>
          <w:color w:val="000000" w:themeColor="text1"/>
        </w:rPr>
      </w:pP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rsidR="00B26699" w:rsidRPr="00492CDB" w:rsidRDefault="00B26699" w:rsidP="00932185">
      <w:pPr>
        <w:tabs>
          <w:tab w:val="left" w:pos="8080"/>
        </w:tabs>
        <w:jc w:val="both"/>
        <w:rPr>
          <w:rFonts w:ascii="Palatino Linotype" w:eastAsia="Calibri" w:hAnsi="Palatino Linotype" w:cs="Tahoma"/>
          <w:bCs/>
          <w:i/>
          <w:iCs/>
          <w:color w:val="000000" w:themeColor="text1"/>
        </w:rPr>
      </w:pP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B26699" w:rsidRPr="00492CDB" w:rsidRDefault="00B26699" w:rsidP="00932185">
      <w:pPr>
        <w:tabs>
          <w:tab w:val="left" w:pos="8080"/>
        </w:tabs>
        <w:jc w:val="both"/>
        <w:rPr>
          <w:rFonts w:ascii="Palatino Linotype" w:eastAsia="Calibri" w:hAnsi="Palatino Linotype" w:cs="Tahoma"/>
          <w:bCs/>
          <w:i/>
          <w:iCs/>
          <w:color w:val="000000" w:themeColor="text1"/>
        </w:rPr>
      </w:pPr>
      <w:r w:rsidRPr="00492CDB">
        <w:rPr>
          <w:rFonts w:ascii="Palatino Linotype" w:eastAsia="Calibri" w:hAnsi="Palatino Linotype" w:cs="Tahoma"/>
          <w:bCs/>
          <w:i/>
          <w:iCs/>
          <w:color w:val="000000" w:themeColor="text1"/>
        </w:rPr>
        <w:t>…</w:t>
      </w:r>
    </w:p>
    <w:p w:rsidR="00B26699" w:rsidRPr="00492CDB" w:rsidRDefault="00B26699" w:rsidP="00932185">
      <w:pPr>
        <w:jc w:val="both"/>
        <w:rPr>
          <w:rFonts w:ascii="Palatino Linotype" w:eastAsia="Calibri" w:hAnsi="Palatino Linotype" w:cs="Tahoma"/>
          <w:bCs/>
          <w:iCs/>
          <w:color w:val="000000" w:themeColor="text1"/>
          <w:lang w:val="es-ES"/>
        </w:rPr>
      </w:pPr>
    </w:p>
    <w:p w:rsidR="00B26699" w:rsidRPr="00492CDB" w:rsidRDefault="00B26699" w:rsidP="00492CDB">
      <w:pPr>
        <w:pStyle w:val="Prrafodelista"/>
        <w:numPr>
          <w:ilvl w:val="0"/>
          <w:numId w:val="12"/>
        </w:numPr>
        <w:spacing w:line="360" w:lineRule="auto"/>
        <w:ind w:left="0" w:firstLine="0"/>
        <w:contextualSpacing/>
        <w:jc w:val="both"/>
        <w:rPr>
          <w:rFonts w:ascii="Palatino Linotype" w:eastAsia="Calibri" w:hAnsi="Palatino Linotype" w:cs="Tahoma"/>
          <w:b/>
          <w:bCs/>
          <w:color w:val="000000" w:themeColor="text1"/>
          <w:sz w:val="24"/>
          <w:szCs w:val="24"/>
        </w:rPr>
      </w:pPr>
      <w:r w:rsidRPr="00492CDB">
        <w:rPr>
          <w:rFonts w:ascii="Palatino Linotype" w:eastAsia="Calibri" w:hAnsi="Palatino Linotype" w:cs="Tahoma"/>
          <w:b/>
          <w:bCs/>
          <w:color w:val="000000" w:themeColor="text1"/>
          <w:sz w:val="24"/>
          <w:szCs w:val="24"/>
        </w:rPr>
        <w:t>Número telefónico</w:t>
      </w: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rPr>
      </w:pPr>
      <w:r w:rsidRPr="00492CDB">
        <w:rPr>
          <w:rFonts w:ascii="Palatino Linotype" w:eastAsia="Calibri" w:hAnsi="Palatino Linotype" w:cs="Tahoma"/>
          <w:b/>
          <w:bCs/>
          <w:color w:val="000000" w:themeColor="text1"/>
        </w:rPr>
        <w:t>Un</w:t>
      </w:r>
      <w:r w:rsidRPr="00492CDB">
        <w:rPr>
          <w:rFonts w:ascii="Palatino Linotype" w:eastAsia="Calibri" w:hAnsi="Palatino Linotype" w:cs="Tahoma"/>
          <w:bCs/>
          <w:color w:val="000000" w:themeColor="text1"/>
        </w:rPr>
        <w:t> </w:t>
      </w:r>
      <w:r w:rsidRPr="00492CDB">
        <w:rPr>
          <w:rFonts w:ascii="Palatino Linotype" w:eastAsia="Calibri" w:hAnsi="Palatino Linotype" w:cs="Tahoma"/>
          <w:b/>
          <w:bCs/>
          <w:color w:val="000000" w:themeColor="text1"/>
        </w:rPr>
        <w:t>número de teléfono</w:t>
      </w:r>
      <w:r w:rsidRPr="00492CDB">
        <w:rPr>
          <w:rFonts w:ascii="Palatino Linotype" w:eastAsia="Calibri" w:hAnsi="Palatino Linotype" w:cs="Tahoma"/>
          <w:bCs/>
          <w:color w:val="000000" w:themeColor="text1"/>
        </w:rPr>
        <w:t> es una secuencia de </w:t>
      </w:r>
      <w:r w:rsidRPr="00492CDB">
        <w:rPr>
          <w:rStyle w:val="Hipervnculo"/>
          <w:rFonts w:ascii="Palatino Linotype" w:eastAsia="Calibri" w:hAnsi="Palatino Linotype" w:cs="Tahoma"/>
          <w:bCs/>
          <w:color w:val="000000" w:themeColor="text1"/>
        </w:rPr>
        <w:t>dígitos</w:t>
      </w:r>
      <w:r w:rsidRPr="00492CDB">
        <w:rPr>
          <w:rFonts w:ascii="Palatino Linotype" w:eastAsia="Calibri" w:hAnsi="Palatino Linotype" w:cs="Tahoma"/>
          <w:bCs/>
          <w:color w:val="000000" w:themeColor="text1"/>
        </w:rPr>
        <w:t> utilizada para identificar una </w:t>
      </w:r>
      <w:r w:rsidRPr="00492CDB">
        <w:rPr>
          <w:rStyle w:val="Hipervnculo"/>
          <w:rFonts w:ascii="Palatino Linotype" w:eastAsia="Calibri" w:hAnsi="Palatino Linotype" w:cs="Tahoma"/>
          <w:bCs/>
          <w:color w:val="000000" w:themeColor="text1"/>
        </w:rPr>
        <w:t>línea telefónica</w:t>
      </w:r>
      <w:r w:rsidRPr="00492CDB">
        <w:rPr>
          <w:rFonts w:ascii="Palatino Linotype" w:eastAsia="Calibri" w:hAnsi="Palatino Linotype" w:cs="Tahoma"/>
          <w:bCs/>
          <w:color w:val="000000" w:themeColor="text1"/>
        </w:rPr>
        <w:t> dentro de una </w:t>
      </w:r>
      <w:r w:rsidRPr="00492CDB">
        <w:rPr>
          <w:rStyle w:val="Hipervnculo"/>
          <w:rFonts w:ascii="Palatino Linotype" w:eastAsia="Calibri" w:hAnsi="Palatino Linotype" w:cs="Tahoma"/>
          <w:bCs/>
          <w:color w:val="000000" w:themeColor="text1"/>
        </w:rPr>
        <w:t>Red Telefónica Conmutada</w:t>
      </w:r>
      <w:r w:rsidRPr="00492CDB">
        <w:rPr>
          <w:rFonts w:ascii="Palatino Linotype" w:eastAsia="Calibri" w:hAnsi="Palatino Linotype" w:cs="Tahoma"/>
          <w:bCs/>
          <w:color w:val="000000" w:themeColor="text1"/>
        </w:rPr>
        <w:t>, el número contiene la información necesaria para identificar el punto final de la llamada. Los números de teléfono están a menudo asignados a líneas que tienen conectados dispositivos distintos de un </w:t>
      </w:r>
      <w:r w:rsidRPr="00492CDB">
        <w:rPr>
          <w:rStyle w:val="Hipervnculo"/>
          <w:rFonts w:ascii="Palatino Linotype" w:eastAsia="Calibri" w:hAnsi="Palatino Linotype" w:cs="Tahoma"/>
          <w:bCs/>
          <w:color w:val="000000" w:themeColor="text1"/>
        </w:rPr>
        <w:t>teléfono</w:t>
      </w:r>
      <w:r w:rsidRPr="00492CDB">
        <w:rPr>
          <w:rFonts w:ascii="Palatino Linotype" w:eastAsia="Calibri" w:hAnsi="Palatino Linotype" w:cs="Tahoma"/>
          <w:bCs/>
          <w:color w:val="000000" w:themeColor="text1"/>
        </w:rPr>
        <w:t>, tales como </w:t>
      </w:r>
      <w:r w:rsidRPr="00492CDB">
        <w:rPr>
          <w:rStyle w:val="Hipervnculo"/>
          <w:rFonts w:ascii="Palatino Linotype" w:eastAsia="Calibri" w:hAnsi="Palatino Linotype" w:cs="Tahoma"/>
          <w:bCs/>
          <w:color w:val="000000" w:themeColor="text1"/>
        </w:rPr>
        <w:t>faxes</w:t>
      </w:r>
      <w:r w:rsidRPr="00492CDB">
        <w:rPr>
          <w:rFonts w:ascii="Palatino Linotype" w:eastAsia="Calibri" w:hAnsi="Palatino Linotype" w:cs="Tahoma"/>
          <w:bCs/>
          <w:color w:val="000000" w:themeColor="text1"/>
        </w:rPr>
        <w:t> y </w:t>
      </w:r>
      <w:r w:rsidRPr="00492CDB">
        <w:rPr>
          <w:rStyle w:val="Hipervnculo"/>
          <w:rFonts w:ascii="Palatino Linotype" w:eastAsia="Calibri" w:hAnsi="Palatino Linotype" w:cs="Tahoma"/>
          <w:bCs/>
          <w:color w:val="000000" w:themeColor="text1"/>
        </w:rPr>
        <w:t>módems</w:t>
      </w:r>
      <w:r w:rsidRPr="00492CDB">
        <w:rPr>
          <w:rFonts w:ascii="Palatino Linotype" w:eastAsia="Calibri" w:hAnsi="Palatino Linotype" w:cs="Tahoma"/>
          <w:bCs/>
          <w:color w:val="000000" w:themeColor="text1"/>
        </w:rPr>
        <w:t>. Cada uno de esos </w:t>
      </w:r>
      <w:r w:rsidRPr="00492CDB">
        <w:rPr>
          <w:rStyle w:val="Hipervnculo"/>
          <w:rFonts w:ascii="Palatino Linotype" w:eastAsia="Calibri" w:hAnsi="Palatino Linotype" w:cs="Tahoma"/>
          <w:bCs/>
          <w:color w:val="000000" w:themeColor="text1"/>
        </w:rPr>
        <w:t>puntos de terminación de red</w:t>
      </w:r>
      <w:r w:rsidRPr="00492CDB">
        <w:rPr>
          <w:rFonts w:ascii="Palatino Linotype" w:eastAsia="Calibri" w:hAnsi="Palatino Linotype" w:cs="Tahoma"/>
          <w:bCs/>
          <w:color w:val="000000" w:themeColor="text1"/>
        </w:rPr>
        <w:t> deben de tener un número único en la red para poder realizar una </w:t>
      </w:r>
      <w:r w:rsidRPr="00492CDB">
        <w:rPr>
          <w:rStyle w:val="Hipervnculo"/>
          <w:rFonts w:ascii="Palatino Linotype" w:eastAsia="Calibri" w:hAnsi="Palatino Linotype" w:cs="Tahoma"/>
          <w:bCs/>
          <w:color w:val="000000" w:themeColor="text1"/>
        </w:rPr>
        <w:t>llamada telefónica</w:t>
      </w:r>
      <w:r w:rsidRPr="00492CDB">
        <w:rPr>
          <w:rFonts w:ascii="Palatino Linotype" w:eastAsia="Calibri" w:hAnsi="Palatino Linotype" w:cs="Tahoma"/>
          <w:bCs/>
          <w:color w:val="000000" w:themeColor="text1"/>
        </w:rPr>
        <w:t>.</w:t>
      </w:r>
    </w:p>
    <w:p w:rsidR="00B26699" w:rsidRPr="00492CDB" w:rsidRDefault="00B26699" w:rsidP="00932185">
      <w:pPr>
        <w:spacing w:line="360" w:lineRule="auto"/>
        <w:jc w:val="both"/>
        <w:rPr>
          <w:rFonts w:ascii="Palatino Linotype" w:eastAsia="Calibri" w:hAnsi="Palatino Linotype" w:cs="Tahoma"/>
          <w:bCs/>
          <w:color w:val="000000" w:themeColor="text1"/>
        </w:rPr>
      </w:pPr>
    </w:p>
    <w:p w:rsidR="00B26699" w:rsidRPr="00492CDB" w:rsidRDefault="00B26699" w:rsidP="00492CDB">
      <w:pPr>
        <w:pStyle w:val="Prrafodelista"/>
        <w:numPr>
          <w:ilvl w:val="0"/>
          <w:numId w:val="12"/>
        </w:numPr>
        <w:spacing w:line="360" w:lineRule="auto"/>
        <w:ind w:left="0" w:firstLine="0"/>
        <w:contextualSpacing/>
        <w:jc w:val="both"/>
        <w:rPr>
          <w:rFonts w:ascii="Palatino Linotype" w:hAnsi="Palatino Linotype" w:cs="Tahoma"/>
          <w:color w:val="000000" w:themeColor="text1"/>
          <w:sz w:val="24"/>
          <w:szCs w:val="24"/>
        </w:rPr>
      </w:pPr>
      <w:r w:rsidRPr="00492CDB">
        <w:rPr>
          <w:rFonts w:ascii="Palatino Linotype" w:hAnsi="Palatino Linotype" w:cs="Tahoma"/>
          <w:b/>
          <w:color w:val="000000" w:themeColor="text1"/>
          <w:sz w:val="24"/>
          <w:szCs w:val="24"/>
        </w:rPr>
        <w:t>Correo electrónico</w:t>
      </w: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492CDB">
        <w:rPr>
          <w:rFonts w:ascii="Palatino Linotype" w:eastAsia="Calibri" w:hAnsi="Palatino Linotype" w:cs="Tahoma"/>
          <w:bCs/>
          <w:color w:val="000000" w:themeColor="text1"/>
        </w:rPr>
        <w:t>El</w:t>
      </w:r>
      <w:r w:rsidRPr="00492CDB">
        <w:rPr>
          <w:rFonts w:ascii="Palatino Linotype" w:eastAsia="Calibri" w:hAnsi="Palatino Linotype" w:cs="Tahoma"/>
          <w:bCs/>
          <w:color w:val="000000" w:themeColor="text1"/>
          <w:lang w:eastAsia="en-US"/>
        </w:rPr>
        <w:t xml:space="preserve"> </w:t>
      </w:r>
      <w:r w:rsidRPr="00492CDB">
        <w:rPr>
          <w:rFonts w:ascii="Palatino Linotype" w:eastAsia="Calibri" w:hAnsi="Palatino Linotype" w:cs="Tahoma"/>
          <w:b/>
          <w:bCs/>
          <w:color w:val="000000" w:themeColor="text1"/>
          <w:lang w:eastAsia="en-US"/>
        </w:rPr>
        <w:t>correo electrónico</w:t>
      </w:r>
      <w:r w:rsidRPr="00492CDB">
        <w:rPr>
          <w:rFonts w:ascii="Palatino Linotype" w:eastAsia="Calibri" w:hAnsi="Palatino Linotype" w:cs="Tahoma"/>
          <w:bCs/>
          <w:color w:val="000000" w:themeColor="text1"/>
          <w:lang w:eastAsia="en-US"/>
        </w:rPr>
        <w:t xml:space="preserve"> es un sistema de transmisión de mensajes a través de internet. Dicho dato se puede asimilar al teléfono o domicilio particular, cuya nomenclatura, se </w:t>
      </w:r>
      <w:r w:rsidRPr="00492CDB">
        <w:rPr>
          <w:rFonts w:ascii="Palatino Linotype" w:eastAsia="Calibri" w:hAnsi="Palatino Linotype" w:cs="Tahoma"/>
          <w:bCs/>
          <w:color w:val="000000" w:themeColor="text1"/>
          <w:lang w:eastAsia="en-US"/>
        </w:rPr>
        <w:lastRenderedPageBreak/>
        <w:t>considera como un dato personal, toda vez que es un medio para comunicarse con la persona titular del mismo, la hace localizable e incluso identificable, al poder estar conformado por parte de su nombre o bien, fecha de nacimiento.</w:t>
      </w:r>
    </w:p>
    <w:p w:rsidR="00B26699" w:rsidRPr="00492CDB" w:rsidRDefault="00B26699" w:rsidP="00932185">
      <w:pPr>
        <w:spacing w:line="360" w:lineRule="auto"/>
        <w:jc w:val="both"/>
        <w:rPr>
          <w:rFonts w:ascii="Palatino Linotype" w:hAnsi="Palatino Linotype"/>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Calibri" w:hAnsi="Palatino Linotype" w:cs="Tahoma"/>
          <w:bCs/>
          <w:color w:val="000000" w:themeColor="text1"/>
        </w:rPr>
      </w:pPr>
      <w:r w:rsidRPr="00492CDB">
        <w:rPr>
          <w:rFonts w:ascii="Palatino Linotype" w:eastAsia="Calibri" w:hAnsi="Palatino Linotype" w:cs="Tahoma"/>
          <w:bCs/>
          <w:color w:val="000000" w:themeColor="text1"/>
        </w:rPr>
        <w:t xml:space="preserve">Al respecto debe mencionarse que </w:t>
      </w:r>
      <w:r w:rsidRPr="00492CDB">
        <w:rPr>
          <w:rFonts w:ascii="Palatino Linotype" w:eastAsia="Calibri" w:hAnsi="Palatino Linotype" w:cs="Tahoma"/>
          <w:bCs/>
          <w:iCs/>
          <w:color w:val="000000" w:themeColor="text1"/>
          <w:lang w:val="es-ES"/>
        </w:rPr>
        <w:t xml:space="preserve">conforme a lo establecido en los criterios números 16, 18 y 19 de </w:t>
      </w:r>
      <w:r w:rsidRPr="00492CDB">
        <w:rPr>
          <w:rFonts w:ascii="Palatino Linotype" w:eastAsia="Calibri" w:hAnsi="Palatino Linotype" w:cs="Tahoma"/>
          <w:bCs/>
          <w:color w:val="000000" w:themeColor="text1"/>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492CDB">
        <w:rPr>
          <w:rFonts w:ascii="Palatino Linotype" w:eastAsia="Calibri" w:hAnsi="Palatino Linotype" w:cs="Tahoma"/>
          <w:b/>
          <w:bCs/>
          <w:color w:val="000000" w:themeColor="text1"/>
        </w:rPr>
        <w:t>el domicilio fiscal, y datos de contacto como teléfono y correo electrónico de los proveedores y contratistas, es un dato que debe ser público, motivo por el cual no es procedente que se realice su clasificación como confidencial.</w:t>
      </w:r>
    </w:p>
    <w:p w:rsidR="00B26699" w:rsidRPr="00492CDB" w:rsidRDefault="00B26699" w:rsidP="00932185">
      <w:pPr>
        <w:spacing w:line="360" w:lineRule="auto"/>
        <w:jc w:val="both"/>
        <w:rPr>
          <w:rFonts w:ascii="Palatino Linotype" w:eastAsia="Palatino Linotype" w:hAnsi="Palatino Linotype" w:cs="Palatino Linotype"/>
          <w:b/>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En ese sentido, el </w:t>
      </w:r>
      <w:r w:rsidRPr="00492CDB">
        <w:rPr>
          <w:rFonts w:ascii="Palatino Linotype" w:eastAsia="Palatino Linotype" w:hAnsi="Palatino Linotype" w:cs="Palatino Linotype"/>
          <w:b/>
          <w:color w:val="000000" w:themeColor="text1"/>
        </w:rPr>
        <w:t>SUJETO OBLIGADO</w:t>
      </w:r>
      <w:r w:rsidRPr="00492CDB">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B26699" w:rsidRPr="00492CDB" w:rsidRDefault="00B26699" w:rsidP="00932185">
      <w:pPr>
        <w:tabs>
          <w:tab w:val="left" w:pos="284"/>
        </w:tabs>
        <w:spacing w:line="360" w:lineRule="auto"/>
        <w:jc w:val="both"/>
        <w:rPr>
          <w:rFonts w:ascii="Palatino Linotype" w:eastAsia="Palatino Linotype" w:hAnsi="Palatino Linotype" w:cs="Palatino Linotype"/>
          <w:color w:val="000000" w:themeColor="text1"/>
        </w:rPr>
      </w:pPr>
    </w:p>
    <w:p w:rsidR="00B26699" w:rsidRPr="00492CDB" w:rsidRDefault="00B26699"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Derivado de lo establecido en párrafos anteriores, si el </w:t>
      </w:r>
      <w:r w:rsidRPr="00492CDB">
        <w:rPr>
          <w:rFonts w:ascii="Palatino Linotype" w:eastAsia="Palatino Linotype" w:hAnsi="Palatino Linotype" w:cs="Palatino Linotype"/>
          <w:b/>
          <w:color w:val="000000" w:themeColor="text1"/>
        </w:rPr>
        <w:t>SUJETO OBLIGADO</w:t>
      </w:r>
      <w:r w:rsidRPr="00492CDB">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w:t>
      </w:r>
      <w:r w:rsidRPr="00492CDB">
        <w:rPr>
          <w:rFonts w:ascii="Palatino Linotype" w:eastAsia="Palatino Linotype" w:hAnsi="Palatino Linotype" w:cs="Palatino Linotype"/>
          <w:color w:val="000000" w:themeColor="text1"/>
        </w:rPr>
        <w:lastRenderedPageBreak/>
        <w:t>disposiciones legales establecidas, asimismo que si entrega un documento testado sin el debido acuerdo de clasificación.</w:t>
      </w:r>
    </w:p>
    <w:p w:rsidR="009B4F59" w:rsidRPr="00492CDB" w:rsidRDefault="009B4F59" w:rsidP="00932185">
      <w:pPr>
        <w:pStyle w:val="Prrafodelista"/>
        <w:ind w:left="0"/>
        <w:rPr>
          <w:rFonts w:ascii="Palatino Linotype" w:eastAsia="Palatino Linotype" w:hAnsi="Palatino Linotype" w:cs="Palatino Linotype"/>
          <w:color w:val="000000" w:themeColor="text1"/>
          <w:sz w:val="24"/>
          <w:szCs w:val="24"/>
        </w:rPr>
      </w:pPr>
    </w:p>
    <w:p w:rsidR="009B4F59" w:rsidRPr="00492CDB" w:rsidRDefault="009B4F59" w:rsidP="00492CDB">
      <w:pPr>
        <w:pStyle w:val="Prrafodelista"/>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492CDB">
        <w:rPr>
          <w:rFonts w:ascii="Palatino Linotype" w:eastAsia="Palatino Linotype" w:hAnsi="Palatino Linotype" w:cs="Palatino Linotype"/>
          <w:b/>
          <w:color w:val="000000" w:themeColor="text1"/>
          <w:sz w:val="24"/>
          <w:szCs w:val="24"/>
        </w:rPr>
        <w:t>Firma</w:t>
      </w:r>
    </w:p>
    <w:p w:rsidR="009B4F59" w:rsidRPr="00492CDB" w:rsidRDefault="009B4F59" w:rsidP="0093218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92CDB">
        <w:rPr>
          <w:rFonts w:ascii="Palatino Linotype" w:eastAsia="Palatino Linotype" w:hAnsi="Palatino Linotype" w:cs="Palatino Linotype"/>
          <w:color w:val="000000" w:themeColor="text1"/>
          <w:sz w:val="24"/>
          <w:szCs w:val="24"/>
        </w:rPr>
        <w:t xml:space="preserve">En relación a la firma de representante o apoderado legal, se debe señalar que en el </w:t>
      </w:r>
      <w:r w:rsidRPr="00492CDB">
        <w:rPr>
          <w:rFonts w:ascii="Palatino Linotype" w:eastAsia="Palatino Linotype" w:hAnsi="Palatino Linotype" w:cs="Palatino Linotype"/>
          <w:i/>
          <w:color w:val="000000" w:themeColor="text1"/>
          <w:sz w:val="24"/>
          <w:szCs w:val="24"/>
        </w:rPr>
        <w:t>Criterio 01/09</w:t>
      </w:r>
      <w:r w:rsidRPr="00492CDB">
        <w:rPr>
          <w:rFonts w:ascii="Palatino Linotype" w:eastAsia="Palatino Linotype" w:hAnsi="Palatino Linotype" w:cs="Palatino Linotype"/>
          <w:color w:val="000000" w:themeColor="text1"/>
          <w:sz w:val="24"/>
          <w:szCs w:val="24"/>
        </w:rPr>
        <w:t xml:space="preserve"> el INAI estableció que los datos de identificación del representante o apoderado legal, es decir,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 y como se observa a continuación: </w:t>
      </w:r>
    </w:p>
    <w:p w:rsidR="009B4F59" w:rsidRPr="00492CDB" w:rsidRDefault="009B4F59" w:rsidP="00932185">
      <w:pPr>
        <w:pStyle w:val="Prrafodelista"/>
        <w:ind w:left="0"/>
        <w:jc w:val="both"/>
        <w:rPr>
          <w:rFonts w:ascii="Palatino Linotype" w:eastAsia="Palatino Linotype" w:hAnsi="Palatino Linotype" w:cs="Palatino Linotype"/>
          <w:b/>
          <w:i/>
          <w:color w:val="000000" w:themeColor="text1"/>
          <w:sz w:val="24"/>
          <w:szCs w:val="24"/>
        </w:rPr>
      </w:pPr>
      <w:r w:rsidRPr="00492CDB">
        <w:rPr>
          <w:rFonts w:ascii="Palatino Linotype" w:eastAsia="Palatino Linotype" w:hAnsi="Palatino Linotype" w:cs="Palatino Linotype"/>
          <w:b/>
          <w:i/>
          <w:color w:val="000000" w:themeColor="text1"/>
          <w:sz w:val="24"/>
          <w:szCs w:val="24"/>
        </w:rPr>
        <w:t>01/19 Datos de identificación del representante o apoderado legal. Naturaleza jurídica.</w:t>
      </w:r>
    </w:p>
    <w:p w:rsidR="009B4F59" w:rsidRPr="00492CDB" w:rsidRDefault="009B4F59" w:rsidP="00932185">
      <w:pPr>
        <w:pStyle w:val="Prrafodelista"/>
        <w:ind w:left="0"/>
        <w:jc w:val="both"/>
        <w:rPr>
          <w:rFonts w:ascii="Palatino Linotype" w:eastAsia="Palatino Linotype" w:hAnsi="Palatino Linotype" w:cs="Palatino Linotype"/>
          <w:b/>
          <w:i/>
          <w:color w:val="000000" w:themeColor="text1"/>
          <w:sz w:val="24"/>
          <w:szCs w:val="24"/>
        </w:rPr>
      </w:pPr>
    </w:p>
    <w:p w:rsidR="009B4F59" w:rsidRPr="00492CDB" w:rsidRDefault="009B4F59" w:rsidP="00932185">
      <w:pPr>
        <w:pStyle w:val="Prrafodelista"/>
        <w:ind w:left="0"/>
        <w:jc w:val="both"/>
        <w:rPr>
          <w:rFonts w:ascii="Palatino Linotype" w:eastAsia="Palatino Linotype" w:hAnsi="Palatino Linotype" w:cs="Palatino Linotype"/>
          <w:color w:val="000000" w:themeColor="text1"/>
          <w:sz w:val="24"/>
          <w:szCs w:val="24"/>
        </w:rPr>
      </w:pPr>
      <w:r w:rsidRPr="00492CDB">
        <w:rPr>
          <w:rFonts w:ascii="Palatino Linotype" w:eastAsia="Palatino Linotype" w:hAnsi="Palatino Linotype" w:cs="Palatino Linotype"/>
          <w:i/>
          <w:color w:val="000000" w:themeColor="text1"/>
          <w:sz w:val="24"/>
          <w:szCs w:val="24"/>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r w:rsidRPr="00492CDB">
        <w:rPr>
          <w:rFonts w:ascii="Palatino Linotype" w:eastAsia="Palatino Linotype" w:hAnsi="Palatino Linotype" w:cs="Palatino Linotype"/>
          <w:color w:val="000000" w:themeColor="text1"/>
          <w:sz w:val="24"/>
          <w:szCs w:val="24"/>
        </w:rPr>
        <w:t>.</w:t>
      </w:r>
    </w:p>
    <w:p w:rsidR="009B4F59" w:rsidRPr="00492CDB" w:rsidRDefault="009B4F59" w:rsidP="00932185">
      <w:pPr>
        <w:pStyle w:val="Prrafodelista"/>
        <w:ind w:left="0"/>
        <w:rPr>
          <w:rFonts w:ascii="Palatino Linotype" w:eastAsia="Palatino Linotype" w:hAnsi="Palatino Linotype" w:cs="Palatino Linotype"/>
          <w:color w:val="000000" w:themeColor="text1"/>
          <w:sz w:val="24"/>
          <w:szCs w:val="24"/>
        </w:rPr>
      </w:pPr>
    </w:p>
    <w:p w:rsidR="00E172F1" w:rsidRDefault="005E32CB" w:rsidP="0093218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Por lo anteriormente expuesto y fundado, este </w:t>
      </w:r>
      <w:r w:rsidRPr="00492CDB">
        <w:rPr>
          <w:rFonts w:ascii="Palatino Linotype" w:eastAsia="Palatino Linotype" w:hAnsi="Palatino Linotype" w:cs="Palatino Linotype"/>
          <w:b/>
          <w:color w:val="000000" w:themeColor="text1"/>
        </w:rPr>
        <w:t>ÓRGANO GARANTE</w:t>
      </w:r>
      <w:r w:rsidRPr="00492CDB">
        <w:rPr>
          <w:rFonts w:ascii="Palatino Linotype" w:eastAsia="Palatino Linotype" w:hAnsi="Palatino Linotype" w:cs="Palatino Linotype"/>
          <w:color w:val="000000" w:themeColor="text1"/>
        </w:rPr>
        <w:t xml:space="preserve"> emite los siguientes:</w:t>
      </w:r>
    </w:p>
    <w:p w:rsidR="00492CDB" w:rsidRPr="00492CDB" w:rsidRDefault="00492CDB" w:rsidP="00492CDB">
      <w:pPr>
        <w:spacing w:line="360" w:lineRule="auto"/>
        <w:jc w:val="both"/>
        <w:rPr>
          <w:rFonts w:ascii="Palatino Linotype" w:eastAsia="Palatino Linotype" w:hAnsi="Palatino Linotype" w:cs="Palatino Linotype"/>
          <w:color w:val="000000" w:themeColor="text1"/>
        </w:rPr>
      </w:pPr>
    </w:p>
    <w:p w:rsidR="00E172F1" w:rsidRPr="00492CDB" w:rsidRDefault="005E32CB" w:rsidP="00932185">
      <w:pPr>
        <w:keepNext/>
        <w:keepLines/>
        <w:spacing w:line="360" w:lineRule="auto"/>
        <w:jc w:val="center"/>
        <w:rPr>
          <w:rFonts w:ascii="Palatino Linotype" w:eastAsia="Palatino Linotype" w:hAnsi="Palatino Linotype" w:cs="Palatino Linotype"/>
          <w:b/>
          <w:color w:val="000000" w:themeColor="text1"/>
        </w:rPr>
      </w:pPr>
      <w:bookmarkStart w:id="15" w:name="_heading=h.35nkun2" w:colFirst="0" w:colLast="0"/>
      <w:bookmarkEnd w:id="15"/>
      <w:r w:rsidRPr="00492CDB">
        <w:rPr>
          <w:rFonts w:ascii="Palatino Linotype" w:eastAsia="Palatino Linotype" w:hAnsi="Palatino Linotype" w:cs="Palatino Linotype"/>
          <w:b/>
          <w:color w:val="000000" w:themeColor="text1"/>
        </w:rPr>
        <w:t xml:space="preserve">R E S O L U T I V O S </w:t>
      </w:r>
    </w:p>
    <w:p w:rsidR="00E172F1" w:rsidRPr="00492CDB" w:rsidRDefault="00E172F1" w:rsidP="00932185">
      <w:pPr>
        <w:spacing w:line="360" w:lineRule="auto"/>
        <w:rPr>
          <w:rFonts w:ascii="Palatino Linotype" w:eastAsia="Palatino Linotype" w:hAnsi="Palatino Linotype" w:cs="Palatino Linotype"/>
          <w:color w:val="000000" w:themeColor="text1"/>
        </w:rPr>
      </w:pPr>
    </w:p>
    <w:p w:rsidR="00E172F1" w:rsidRPr="00492CDB" w:rsidRDefault="005E32CB" w:rsidP="00932185">
      <w:pPr>
        <w:spacing w:line="360" w:lineRule="auto"/>
        <w:jc w:val="both"/>
        <w:rPr>
          <w:rFonts w:ascii="Palatino Linotype" w:eastAsia="Palatino Linotype" w:hAnsi="Palatino Linotype" w:cs="Palatino Linotype"/>
          <w:color w:val="000000" w:themeColor="text1"/>
        </w:rPr>
      </w:pPr>
      <w:bookmarkStart w:id="16" w:name="_heading=h.1ksv4uv" w:colFirst="0" w:colLast="0"/>
      <w:bookmarkEnd w:id="16"/>
      <w:r w:rsidRPr="00492CDB">
        <w:rPr>
          <w:rFonts w:ascii="Palatino Linotype" w:eastAsia="Palatino Linotype" w:hAnsi="Palatino Linotype" w:cs="Palatino Linotype"/>
          <w:b/>
          <w:color w:val="000000" w:themeColor="text1"/>
        </w:rPr>
        <w:t>PRIMERO</w:t>
      </w:r>
      <w:r w:rsidRPr="00492CDB">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1B3B67" w:rsidRPr="00492CDB">
        <w:rPr>
          <w:rFonts w:ascii="Palatino Linotype" w:eastAsia="Palatino Linotype" w:hAnsi="Palatino Linotype" w:cs="Palatino Linotype"/>
          <w:b/>
          <w:color w:val="000000" w:themeColor="text1"/>
        </w:rPr>
        <w:t>10</w:t>
      </w:r>
      <w:r w:rsidR="00F755D9" w:rsidRPr="00492CDB">
        <w:rPr>
          <w:rFonts w:ascii="Palatino Linotype" w:eastAsia="Palatino Linotype" w:hAnsi="Palatino Linotype" w:cs="Palatino Linotype"/>
          <w:b/>
          <w:color w:val="000000" w:themeColor="text1"/>
        </w:rPr>
        <w:t>368</w:t>
      </w:r>
      <w:r w:rsidRPr="00492CDB">
        <w:rPr>
          <w:rFonts w:ascii="Palatino Linotype" w:eastAsia="Palatino Linotype" w:hAnsi="Palatino Linotype" w:cs="Palatino Linotype"/>
          <w:b/>
          <w:color w:val="000000" w:themeColor="text1"/>
        </w:rPr>
        <w:t>/INFOEM/IP/RR/2025</w:t>
      </w:r>
      <w:r w:rsidRPr="00492CDB">
        <w:rPr>
          <w:rFonts w:ascii="Palatino Linotype" w:eastAsia="Palatino Linotype" w:hAnsi="Palatino Linotype" w:cs="Palatino Linotype"/>
          <w:color w:val="000000" w:themeColor="text1"/>
        </w:rPr>
        <w:t xml:space="preserve"> en términos de los Considerandos </w:t>
      </w:r>
      <w:r w:rsidRPr="00492CDB">
        <w:rPr>
          <w:rFonts w:ascii="Palatino Linotype" w:eastAsia="Palatino Linotype" w:hAnsi="Palatino Linotype" w:cs="Palatino Linotype"/>
          <w:b/>
          <w:color w:val="000000" w:themeColor="text1"/>
        </w:rPr>
        <w:t>CUARTO</w:t>
      </w:r>
      <w:r w:rsidRPr="00492CDB">
        <w:rPr>
          <w:rFonts w:ascii="Palatino Linotype" w:eastAsia="Palatino Linotype" w:hAnsi="Palatino Linotype" w:cs="Palatino Linotype"/>
          <w:color w:val="000000" w:themeColor="text1"/>
        </w:rPr>
        <w:t xml:space="preserve"> de la presente resolución.</w:t>
      </w:r>
    </w:p>
    <w:p w:rsidR="00E172F1" w:rsidRPr="00492CDB" w:rsidRDefault="005E32CB" w:rsidP="00932185">
      <w:pPr>
        <w:spacing w:line="360" w:lineRule="auto"/>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b/>
          <w:color w:val="000000" w:themeColor="text1"/>
        </w:rPr>
        <w:lastRenderedPageBreak/>
        <w:t xml:space="preserve">SEGUNDO. </w:t>
      </w:r>
      <w:r w:rsidRPr="00492CDB">
        <w:rPr>
          <w:rFonts w:ascii="Palatino Linotype" w:eastAsia="Palatino Linotype" w:hAnsi="Palatino Linotype" w:cs="Palatino Linotype"/>
          <w:color w:val="000000" w:themeColor="text1"/>
        </w:rPr>
        <w:t xml:space="preserve">Se </w:t>
      </w:r>
      <w:r w:rsidRPr="00492CDB">
        <w:rPr>
          <w:rFonts w:ascii="Palatino Linotype" w:eastAsia="Palatino Linotype" w:hAnsi="Palatino Linotype" w:cs="Palatino Linotype"/>
          <w:b/>
          <w:color w:val="000000" w:themeColor="text1"/>
        </w:rPr>
        <w:t xml:space="preserve">MODIFICA </w:t>
      </w:r>
      <w:r w:rsidRPr="00492CDB">
        <w:rPr>
          <w:rFonts w:ascii="Palatino Linotype" w:eastAsia="Palatino Linotype" w:hAnsi="Palatino Linotype" w:cs="Palatino Linotype"/>
          <w:color w:val="000000" w:themeColor="text1"/>
        </w:rPr>
        <w:t xml:space="preserve">la respuesta del </w:t>
      </w:r>
      <w:r w:rsidRPr="00492CDB">
        <w:rPr>
          <w:rFonts w:ascii="Palatino Linotype" w:eastAsia="Palatino Linotype" w:hAnsi="Palatino Linotype" w:cs="Palatino Linotype"/>
          <w:b/>
          <w:color w:val="000000" w:themeColor="text1"/>
        </w:rPr>
        <w:t xml:space="preserve">Ayuntamiento de </w:t>
      </w:r>
      <w:r w:rsidR="001B3B67" w:rsidRPr="00492CDB">
        <w:rPr>
          <w:rFonts w:ascii="Palatino Linotype" w:eastAsia="Palatino Linotype" w:hAnsi="Palatino Linotype" w:cs="Palatino Linotype"/>
          <w:b/>
          <w:color w:val="000000" w:themeColor="text1"/>
        </w:rPr>
        <w:t>Jocotitlán</w:t>
      </w:r>
      <w:r w:rsidRPr="00492CDB">
        <w:rPr>
          <w:rFonts w:ascii="Palatino Linotype" w:eastAsia="Palatino Linotype" w:hAnsi="Palatino Linotype" w:cs="Palatino Linotype"/>
          <w:color w:val="000000" w:themeColor="text1"/>
        </w:rPr>
        <w:t>, a la solicitud de información</w:t>
      </w:r>
      <w:r w:rsidRPr="00492CDB">
        <w:rPr>
          <w:rFonts w:ascii="Palatino Linotype" w:eastAsia="Palatino Linotype" w:hAnsi="Palatino Linotype" w:cs="Palatino Linotype"/>
          <w:b/>
          <w:color w:val="000000" w:themeColor="text1"/>
        </w:rPr>
        <w:t xml:space="preserve"> </w:t>
      </w:r>
      <w:r w:rsidR="001B3B67" w:rsidRPr="00492CDB">
        <w:rPr>
          <w:rFonts w:ascii="Palatino Linotype" w:eastAsia="Palatino Linotype" w:hAnsi="Palatino Linotype" w:cs="Palatino Linotype"/>
          <w:b/>
          <w:color w:val="000000" w:themeColor="text1"/>
        </w:rPr>
        <w:t>00185</w:t>
      </w:r>
      <w:r w:rsidRPr="00492CDB">
        <w:rPr>
          <w:rFonts w:ascii="Palatino Linotype" w:eastAsia="Palatino Linotype" w:hAnsi="Palatino Linotype" w:cs="Palatino Linotype"/>
          <w:b/>
          <w:color w:val="000000" w:themeColor="text1"/>
        </w:rPr>
        <w:t>/</w:t>
      </w:r>
      <w:r w:rsidR="001B3B67" w:rsidRPr="00492CDB">
        <w:rPr>
          <w:rFonts w:ascii="Palatino Linotype" w:eastAsia="Palatino Linotype" w:hAnsi="Palatino Linotype" w:cs="Palatino Linotype"/>
          <w:b/>
          <w:color w:val="000000" w:themeColor="text1"/>
        </w:rPr>
        <w:t>JOCOTIT</w:t>
      </w:r>
      <w:r w:rsidRPr="00492CDB">
        <w:rPr>
          <w:rFonts w:ascii="Palatino Linotype" w:eastAsia="Palatino Linotype" w:hAnsi="Palatino Linotype" w:cs="Palatino Linotype"/>
          <w:b/>
          <w:color w:val="000000" w:themeColor="text1"/>
        </w:rPr>
        <w:t xml:space="preserve">/IP/2025 </w:t>
      </w:r>
      <w:r w:rsidRPr="00492CDB">
        <w:rPr>
          <w:rFonts w:ascii="Palatino Linotype" w:eastAsia="Palatino Linotype" w:hAnsi="Palatino Linotype" w:cs="Palatino Linotype"/>
          <w:color w:val="000000" w:themeColor="text1"/>
        </w:rPr>
        <w:t>y</w:t>
      </w:r>
      <w:r w:rsidRPr="00492CDB">
        <w:rPr>
          <w:rFonts w:ascii="Palatino Linotype" w:eastAsia="Palatino Linotype" w:hAnsi="Palatino Linotype" w:cs="Palatino Linotype"/>
          <w:b/>
          <w:color w:val="000000" w:themeColor="text1"/>
        </w:rPr>
        <w:t xml:space="preserve"> </w:t>
      </w:r>
      <w:r w:rsidRPr="00492CDB">
        <w:rPr>
          <w:rFonts w:ascii="Palatino Linotype" w:eastAsia="Palatino Linotype" w:hAnsi="Palatino Linotype" w:cs="Palatino Linotype"/>
          <w:color w:val="000000" w:themeColor="text1"/>
        </w:rPr>
        <w:t xml:space="preserve">se </w:t>
      </w:r>
      <w:r w:rsidRPr="00492CDB">
        <w:rPr>
          <w:rFonts w:ascii="Palatino Linotype" w:eastAsia="Palatino Linotype" w:hAnsi="Palatino Linotype" w:cs="Palatino Linotype"/>
          <w:b/>
          <w:color w:val="000000" w:themeColor="text1"/>
        </w:rPr>
        <w:t>ORDENA</w:t>
      </w:r>
      <w:r w:rsidRPr="00492CDB">
        <w:rPr>
          <w:rFonts w:ascii="Palatino Linotype" w:eastAsia="Palatino Linotype" w:hAnsi="Palatino Linotype" w:cs="Palatino Linotype"/>
          <w:color w:val="000000" w:themeColor="text1"/>
        </w:rPr>
        <w:t xml:space="preserve"> entregar vía Sistema de Acceso a la Información Mexiquense </w:t>
      </w:r>
      <w:r w:rsidRPr="00492CDB">
        <w:rPr>
          <w:rFonts w:ascii="Palatino Linotype" w:eastAsia="Palatino Linotype" w:hAnsi="Palatino Linotype" w:cs="Palatino Linotype"/>
          <w:b/>
          <w:color w:val="000000" w:themeColor="text1"/>
        </w:rPr>
        <w:t>(SAIMEX)</w:t>
      </w:r>
      <w:r w:rsidRPr="00492CDB">
        <w:rPr>
          <w:rFonts w:ascii="Palatino Linotype" w:eastAsia="Palatino Linotype" w:hAnsi="Palatino Linotype" w:cs="Palatino Linotype"/>
          <w:color w:val="000000" w:themeColor="text1"/>
        </w:rPr>
        <w:t xml:space="preserve">, en versión pública, lo siguiente: </w:t>
      </w:r>
    </w:p>
    <w:p w:rsidR="00E172F1" w:rsidRPr="00492CDB" w:rsidRDefault="00E172F1" w:rsidP="00932185">
      <w:pPr>
        <w:spacing w:line="360" w:lineRule="auto"/>
        <w:jc w:val="both"/>
        <w:rPr>
          <w:rFonts w:ascii="Palatino Linotype" w:eastAsia="Palatino Linotype" w:hAnsi="Palatino Linotype" w:cs="Palatino Linotype"/>
          <w:color w:val="000000" w:themeColor="text1"/>
        </w:rPr>
      </w:pPr>
    </w:p>
    <w:p w:rsidR="001B3B67" w:rsidRPr="00492CDB" w:rsidRDefault="00010680" w:rsidP="00492CDB">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92CDB">
        <w:rPr>
          <w:rFonts w:ascii="Palatino Linotype" w:eastAsia="Palatino Linotype" w:hAnsi="Palatino Linotype" w:cs="Palatino Linotype"/>
          <w:b/>
          <w:color w:val="000000" w:themeColor="text1"/>
        </w:rPr>
        <w:t>El c</w:t>
      </w:r>
      <w:r w:rsidR="001B3B67" w:rsidRPr="00492CDB">
        <w:rPr>
          <w:rFonts w:ascii="Palatino Linotype" w:eastAsia="Palatino Linotype" w:hAnsi="Palatino Linotype" w:cs="Palatino Linotype"/>
          <w:b/>
          <w:color w:val="000000" w:themeColor="text1"/>
        </w:rPr>
        <w:t>ontrato completo de Prestación de Servicios Artísticos remitido en respuesta.</w:t>
      </w:r>
    </w:p>
    <w:p w:rsidR="00E172F1" w:rsidRPr="00492CDB" w:rsidRDefault="00E172F1" w:rsidP="0093218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172F1" w:rsidRPr="00492CDB" w:rsidRDefault="005E32CB" w:rsidP="00932185">
      <w:pPr>
        <w:spacing w:line="360" w:lineRule="auto"/>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492CDB">
        <w:rPr>
          <w:rFonts w:ascii="Palatino Linotype" w:eastAsia="Palatino Linotype" w:hAnsi="Palatino Linotype" w:cs="Palatino Linotype"/>
          <w:b/>
          <w:color w:val="000000" w:themeColor="text1"/>
        </w:rPr>
        <w:t>del RECURRENTE</w:t>
      </w:r>
      <w:r w:rsidRPr="00492CDB">
        <w:rPr>
          <w:rFonts w:ascii="Palatino Linotype" w:eastAsia="Palatino Linotype" w:hAnsi="Palatino Linotype" w:cs="Palatino Linotype"/>
          <w:color w:val="000000" w:themeColor="text1"/>
        </w:rPr>
        <w:t>.</w:t>
      </w:r>
    </w:p>
    <w:p w:rsidR="00E172F1" w:rsidRPr="00492CDB"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spacing w:line="360" w:lineRule="auto"/>
        <w:jc w:val="both"/>
        <w:rPr>
          <w:rFonts w:ascii="Palatino Linotype" w:eastAsia="Palatino Linotype" w:hAnsi="Palatino Linotype" w:cs="Palatino Linotype"/>
          <w:color w:val="000000" w:themeColor="text1"/>
        </w:rPr>
      </w:pPr>
      <w:r w:rsidRPr="00492CDB">
        <w:rPr>
          <w:rFonts w:ascii="Palatino Linotype" w:eastAsia="Palatino Linotype" w:hAnsi="Palatino Linotype" w:cs="Palatino Linotype"/>
          <w:b/>
          <w:color w:val="000000" w:themeColor="text1"/>
        </w:rPr>
        <w:t xml:space="preserve">TERCERO. </w:t>
      </w:r>
      <w:r w:rsidRPr="00492CDB">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92CDB">
        <w:rPr>
          <w:rFonts w:ascii="Palatino Linotype" w:eastAsia="Palatino Linotype" w:hAnsi="Palatino Linotype" w:cs="Palatino Linotype"/>
          <w:b/>
          <w:color w:val="000000" w:themeColor="text1"/>
        </w:rPr>
        <w:t>dé cumplimiento a lo ordenado dentro del pla</w:t>
      </w:r>
      <w:r w:rsidRPr="00932185">
        <w:rPr>
          <w:rFonts w:ascii="Palatino Linotype" w:eastAsia="Palatino Linotype" w:hAnsi="Palatino Linotype" w:cs="Palatino Linotype"/>
          <w:b/>
          <w:color w:val="000000" w:themeColor="text1"/>
        </w:rPr>
        <w:t xml:space="preserve">zo de diez días hábiles, </w:t>
      </w:r>
      <w:r w:rsidRPr="0093218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172F1" w:rsidRPr="00932185" w:rsidRDefault="005E32CB" w:rsidP="00932185">
      <w:pPr>
        <w:spacing w:line="360" w:lineRule="auto"/>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color w:val="000000" w:themeColor="text1"/>
        </w:rPr>
        <w:lastRenderedPageBreak/>
        <w:t xml:space="preserve">CUARTO. </w:t>
      </w:r>
      <w:r w:rsidRPr="0093218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32185">
        <w:rPr>
          <w:rFonts w:ascii="Palatino Linotype" w:eastAsia="Palatino Linotype" w:hAnsi="Palatino Linotype" w:cs="Palatino Linotype"/>
          <w:b/>
          <w:color w:val="000000" w:themeColor="text1"/>
        </w:rPr>
        <w:t>SUJETO OBLIGADO</w:t>
      </w:r>
      <w:r w:rsidRPr="0093218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172F1" w:rsidRPr="00932185" w:rsidRDefault="00E172F1" w:rsidP="00932185">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E172F1" w:rsidRPr="00932185" w:rsidRDefault="005E32CB" w:rsidP="0093218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color w:val="000000" w:themeColor="text1"/>
        </w:rPr>
        <w:t xml:space="preserve">QUINTO. Notifíquese </w:t>
      </w:r>
      <w:r w:rsidRPr="00932185">
        <w:rPr>
          <w:rFonts w:ascii="Palatino Linotype" w:eastAsia="Palatino Linotype" w:hAnsi="Palatino Linotype" w:cs="Palatino Linotype"/>
          <w:color w:val="000000" w:themeColor="text1"/>
        </w:rPr>
        <w:t xml:space="preserve">al </w:t>
      </w:r>
      <w:r w:rsidRPr="00932185">
        <w:rPr>
          <w:rFonts w:ascii="Palatino Linotype" w:eastAsia="Palatino Linotype" w:hAnsi="Palatino Linotype" w:cs="Palatino Linotype"/>
          <w:b/>
          <w:color w:val="000000" w:themeColor="text1"/>
        </w:rPr>
        <w:t xml:space="preserve">RECURRENTE </w:t>
      </w:r>
      <w:r w:rsidRPr="00932185">
        <w:rPr>
          <w:rFonts w:ascii="Palatino Linotype" w:eastAsia="Palatino Linotype" w:hAnsi="Palatino Linotype" w:cs="Palatino Linotype"/>
          <w:color w:val="000000" w:themeColor="text1"/>
        </w:rPr>
        <w:t>la presente resolución a través del Sistema de Acceso a la Información Mexiquense (SAIMEX).</w:t>
      </w:r>
    </w:p>
    <w:p w:rsidR="00E172F1" w:rsidRPr="00932185" w:rsidRDefault="00E172F1" w:rsidP="00932185">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E172F1" w:rsidRPr="00932185" w:rsidRDefault="005E32CB" w:rsidP="0093218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932185">
        <w:rPr>
          <w:rFonts w:ascii="Palatino Linotype" w:eastAsia="Palatino Linotype" w:hAnsi="Palatino Linotype" w:cs="Palatino Linotype"/>
          <w:b/>
          <w:color w:val="000000" w:themeColor="text1"/>
        </w:rPr>
        <w:t xml:space="preserve">SEXTO. </w:t>
      </w:r>
      <w:r w:rsidRPr="00932185">
        <w:rPr>
          <w:rFonts w:ascii="Palatino Linotype" w:eastAsia="Palatino Linotype" w:hAnsi="Palatino Linotype" w:cs="Palatino Linotype"/>
          <w:color w:val="000000" w:themeColor="text1"/>
        </w:rPr>
        <w:t xml:space="preserve"> Se hace del conocimiento del</w:t>
      </w:r>
      <w:r w:rsidRPr="00932185">
        <w:rPr>
          <w:rFonts w:ascii="Palatino Linotype" w:eastAsia="Palatino Linotype" w:hAnsi="Palatino Linotype" w:cs="Palatino Linotype"/>
          <w:b/>
          <w:color w:val="000000" w:themeColor="text1"/>
        </w:rPr>
        <w:t xml:space="preserve"> RECURRENTE </w:t>
      </w:r>
      <w:r w:rsidRPr="0093218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172F1" w:rsidRPr="00932185" w:rsidRDefault="00E172F1" w:rsidP="00932185">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653762" w:rsidRPr="00444783" w:rsidRDefault="00653762" w:rsidP="0065376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413840" w:rsidRPr="00575AE2">
        <w:rPr>
          <w:rFonts w:ascii="Palatino Linotype" w:eastAsia="Palatino Linotype" w:hAnsi="Palatino Linotype" w:cs="Palatino Linotype"/>
        </w:rPr>
        <w:t xml:space="preserve">EN LA </w:t>
      </w:r>
      <w:r w:rsidR="00413840">
        <w:rPr>
          <w:rFonts w:ascii="Palatino Linotype" w:eastAsia="Palatino Linotype" w:hAnsi="Palatino Linotype" w:cs="Palatino Linotype"/>
        </w:rPr>
        <w:t xml:space="preserve">CUADRAGÉSIMA </w:t>
      </w:r>
      <w:r w:rsidR="00413840" w:rsidRPr="00575AE2">
        <w:rPr>
          <w:rFonts w:ascii="Palatino Linotype" w:eastAsia="Palatino Linotype" w:hAnsi="Palatino Linotype" w:cs="Palatino Linotype"/>
        </w:rPr>
        <w:t>SESIÓN ORDINARIA, CELEBRADA EL</w:t>
      </w:r>
      <w:r w:rsidR="00413840">
        <w:rPr>
          <w:rFonts w:ascii="Palatino Linotype" w:eastAsia="Palatino Linotype" w:hAnsi="Palatino Linotype" w:cs="Palatino Linotype"/>
        </w:rPr>
        <w:t xml:space="preserve"> DOCE (12</w:t>
      </w:r>
      <w:r w:rsidR="00413840" w:rsidRPr="00575AE2">
        <w:rPr>
          <w:rFonts w:ascii="Palatino Linotype" w:eastAsia="Palatino Linotype" w:hAnsi="Palatino Linotype" w:cs="Palatino Linotype"/>
        </w:rPr>
        <w:t xml:space="preserve">) DE </w:t>
      </w:r>
      <w:r w:rsidR="0041384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E172F1" w:rsidP="00932185">
      <w:pPr>
        <w:spacing w:line="360" w:lineRule="auto"/>
        <w:jc w:val="both"/>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p w:rsidR="00E172F1" w:rsidRPr="00932185" w:rsidRDefault="00E172F1" w:rsidP="00932185">
      <w:pPr>
        <w:spacing w:line="360" w:lineRule="auto"/>
        <w:rPr>
          <w:rFonts w:ascii="Palatino Linotype" w:eastAsia="Palatino Linotype" w:hAnsi="Palatino Linotype" w:cs="Palatino Linotype"/>
          <w:color w:val="000000" w:themeColor="text1"/>
        </w:rPr>
      </w:pPr>
    </w:p>
    <w:sectPr w:rsidR="00E172F1" w:rsidRPr="00932185" w:rsidSect="00492CDB">
      <w:headerReference w:type="default" r:id="rId9"/>
      <w:footerReference w:type="default" r:id="rId10"/>
      <w:headerReference w:type="first" r:id="rId11"/>
      <w:footerReference w:type="first" r:id="rId12"/>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E0" w:rsidRDefault="00976DE0">
      <w:r>
        <w:separator/>
      </w:r>
    </w:p>
  </w:endnote>
  <w:endnote w:type="continuationSeparator" w:id="0">
    <w:p w:rsidR="00976DE0" w:rsidRDefault="0097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Pr="00492CDB" w:rsidRDefault="000D33D2">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492CDB">
      <w:rPr>
        <w:rFonts w:ascii="Palatino Linotype" w:eastAsia="Arial" w:hAnsi="Palatino Linotype" w:cs="Arial"/>
        <w:color w:val="000000"/>
        <w:sz w:val="22"/>
        <w:szCs w:val="20"/>
      </w:rPr>
      <w:t xml:space="preserve">Página </w:t>
    </w:r>
    <w:r w:rsidRPr="00492CDB">
      <w:rPr>
        <w:rFonts w:ascii="Palatino Linotype" w:eastAsia="Arial" w:hAnsi="Palatino Linotype" w:cs="Arial"/>
        <w:color w:val="000000"/>
        <w:sz w:val="22"/>
        <w:szCs w:val="20"/>
      </w:rPr>
      <w:fldChar w:fldCharType="begin"/>
    </w:r>
    <w:r w:rsidRPr="00492CDB">
      <w:rPr>
        <w:rFonts w:ascii="Palatino Linotype" w:eastAsia="Arial" w:hAnsi="Palatino Linotype" w:cs="Arial"/>
        <w:color w:val="000000"/>
        <w:sz w:val="22"/>
        <w:szCs w:val="20"/>
      </w:rPr>
      <w:instrText>PAGE</w:instrText>
    </w:r>
    <w:r w:rsidRPr="00492CDB">
      <w:rPr>
        <w:rFonts w:ascii="Palatino Linotype" w:eastAsia="Arial" w:hAnsi="Palatino Linotype" w:cs="Arial"/>
        <w:color w:val="000000"/>
        <w:sz w:val="22"/>
        <w:szCs w:val="20"/>
      </w:rPr>
      <w:fldChar w:fldCharType="separate"/>
    </w:r>
    <w:r w:rsidR="00492CDB">
      <w:rPr>
        <w:rFonts w:ascii="Palatino Linotype" w:eastAsia="Arial" w:hAnsi="Palatino Linotype" w:cs="Arial"/>
        <w:noProof/>
        <w:color w:val="000000"/>
        <w:sz w:val="22"/>
        <w:szCs w:val="20"/>
      </w:rPr>
      <w:t>21</w:t>
    </w:r>
    <w:r w:rsidRPr="00492CDB">
      <w:rPr>
        <w:rFonts w:ascii="Palatino Linotype" w:eastAsia="Arial" w:hAnsi="Palatino Linotype" w:cs="Arial"/>
        <w:color w:val="000000"/>
        <w:sz w:val="22"/>
        <w:szCs w:val="20"/>
      </w:rPr>
      <w:fldChar w:fldCharType="end"/>
    </w:r>
    <w:r w:rsidRPr="00492CDB">
      <w:rPr>
        <w:rFonts w:ascii="Palatino Linotype" w:eastAsia="Arial" w:hAnsi="Palatino Linotype" w:cs="Arial"/>
        <w:color w:val="000000"/>
        <w:sz w:val="22"/>
        <w:szCs w:val="20"/>
      </w:rPr>
      <w:t xml:space="preserve"> de </w:t>
    </w:r>
    <w:r w:rsidRPr="00492CDB">
      <w:rPr>
        <w:rFonts w:ascii="Palatino Linotype" w:eastAsia="Arial" w:hAnsi="Palatino Linotype" w:cs="Arial"/>
        <w:color w:val="000000"/>
        <w:sz w:val="22"/>
        <w:szCs w:val="20"/>
      </w:rPr>
      <w:fldChar w:fldCharType="begin"/>
    </w:r>
    <w:r w:rsidRPr="00492CDB">
      <w:rPr>
        <w:rFonts w:ascii="Palatino Linotype" w:eastAsia="Arial" w:hAnsi="Palatino Linotype" w:cs="Arial"/>
        <w:color w:val="000000"/>
        <w:sz w:val="22"/>
        <w:szCs w:val="20"/>
      </w:rPr>
      <w:instrText>NUMPAGES</w:instrText>
    </w:r>
    <w:r w:rsidRPr="00492CDB">
      <w:rPr>
        <w:rFonts w:ascii="Palatino Linotype" w:eastAsia="Arial" w:hAnsi="Palatino Linotype" w:cs="Arial"/>
        <w:color w:val="000000"/>
        <w:sz w:val="22"/>
        <w:szCs w:val="20"/>
      </w:rPr>
      <w:fldChar w:fldCharType="separate"/>
    </w:r>
    <w:r w:rsidR="00492CDB">
      <w:rPr>
        <w:rFonts w:ascii="Palatino Linotype" w:eastAsia="Arial" w:hAnsi="Palatino Linotype" w:cs="Arial"/>
        <w:noProof/>
        <w:color w:val="000000"/>
        <w:sz w:val="22"/>
        <w:szCs w:val="20"/>
      </w:rPr>
      <w:t>42</w:t>
    </w:r>
    <w:r w:rsidRPr="00492CDB">
      <w:rPr>
        <w:rFonts w:ascii="Palatino Linotype" w:eastAsia="Arial" w:hAnsi="Palatino Linotype" w:cs="Arial"/>
        <w:color w:val="000000"/>
        <w:sz w:val="22"/>
        <w:szCs w:val="20"/>
      </w:rPr>
      <w:fldChar w:fldCharType="end"/>
    </w:r>
  </w:p>
  <w:p w:rsidR="000D33D2" w:rsidRDefault="000D33D2">
    <w:pPr>
      <w:pBdr>
        <w:top w:val="nil"/>
        <w:left w:val="nil"/>
        <w:bottom w:val="nil"/>
        <w:right w:val="nil"/>
        <w:between w:val="nil"/>
      </w:pBdr>
      <w:tabs>
        <w:tab w:val="center" w:pos="4252"/>
        <w:tab w:val="right" w:pos="8504"/>
      </w:tabs>
      <w:rPr>
        <w:color w:val="000000"/>
      </w:rPr>
    </w:pPr>
  </w:p>
  <w:p w:rsidR="000D33D2" w:rsidRDefault="000D33D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Pr="00492CDB" w:rsidRDefault="000D33D2">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492CDB">
      <w:rPr>
        <w:rFonts w:ascii="Palatino Linotype" w:eastAsia="Arial" w:hAnsi="Palatino Linotype" w:cs="Arial"/>
        <w:color w:val="000000"/>
        <w:sz w:val="22"/>
        <w:szCs w:val="20"/>
      </w:rPr>
      <w:t xml:space="preserve">Página </w:t>
    </w:r>
    <w:r w:rsidRPr="00492CDB">
      <w:rPr>
        <w:rFonts w:ascii="Palatino Linotype" w:eastAsia="Arial" w:hAnsi="Palatino Linotype" w:cs="Arial"/>
        <w:color w:val="000000"/>
        <w:sz w:val="22"/>
        <w:szCs w:val="20"/>
      </w:rPr>
      <w:fldChar w:fldCharType="begin"/>
    </w:r>
    <w:r w:rsidRPr="00492CDB">
      <w:rPr>
        <w:rFonts w:ascii="Palatino Linotype" w:eastAsia="Arial" w:hAnsi="Palatino Linotype" w:cs="Arial"/>
        <w:color w:val="000000"/>
        <w:sz w:val="22"/>
        <w:szCs w:val="20"/>
      </w:rPr>
      <w:instrText>PAGE</w:instrText>
    </w:r>
    <w:r w:rsidRPr="00492CDB">
      <w:rPr>
        <w:rFonts w:ascii="Palatino Linotype" w:eastAsia="Arial" w:hAnsi="Palatino Linotype" w:cs="Arial"/>
        <w:color w:val="000000"/>
        <w:sz w:val="22"/>
        <w:szCs w:val="20"/>
      </w:rPr>
      <w:fldChar w:fldCharType="separate"/>
    </w:r>
    <w:r w:rsidR="00492CDB">
      <w:rPr>
        <w:rFonts w:ascii="Palatino Linotype" w:eastAsia="Arial" w:hAnsi="Palatino Linotype" w:cs="Arial"/>
        <w:noProof/>
        <w:color w:val="000000"/>
        <w:sz w:val="22"/>
        <w:szCs w:val="20"/>
      </w:rPr>
      <w:t>1</w:t>
    </w:r>
    <w:r w:rsidRPr="00492CDB">
      <w:rPr>
        <w:rFonts w:ascii="Palatino Linotype" w:eastAsia="Arial" w:hAnsi="Palatino Linotype" w:cs="Arial"/>
        <w:color w:val="000000"/>
        <w:sz w:val="22"/>
        <w:szCs w:val="20"/>
      </w:rPr>
      <w:fldChar w:fldCharType="end"/>
    </w:r>
    <w:r w:rsidRPr="00492CDB">
      <w:rPr>
        <w:rFonts w:ascii="Palatino Linotype" w:eastAsia="Arial" w:hAnsi="Palatino Linotype" w:cs="Arial"/>
        <w:color w:val="000000"/>
        <w:sz w:val="22"/>
        <w:szCs w:val="20"/>
      </w:rPr>
      <w:t xml:space="preserve"> de </w:t>
    </w:r>
    <w:r w:rsidRPr="00492CDB">
      <w:rPr>
        <w:rFonts w:ascii="Palatino Linotype" w:eastAsia="Arial" w:hAnsi="Palatino Linotype" w:cs="Arial"/>
        <w:color w:val="000000"/>
        <w:sz w:val="22"/>
        <w:szCs w:val="20"/>
      </w:rPr>
      <w:fldChar w:fldCharType="begin"/>
    </w:r>
    <w:r w:rsidRPr="00492CDB">
      <w:rPr>
        <w:rFonts w:ascii="Palatino Linotype" w:eastAsia="Arial" w:hAnsi="Palatino Linotype" w:cs="Arial"/>
        <w:color w:val="000000"/>
        <w:sz w:val="22"/>
        <w:szCs w:val="20"/>
      </w:rPr>
      <w:instrText>NUMPAGES</w:instrText>
    </w:r>
    <w:r w:rsidRPr="00492CDB">
      <w:rPr>
        <w:rFonts w:ascii="Palatino Linotype" w:eastAsia="Arial" w:hAnsi="Palatino Linotype" w:cs="Arial"/>
        <w:color w:val="000000"/>
        <w:sz w:val="22"/>
        <w:szCs w:val="20"/>
      </w:rPr>
      <w:fldChar w:fldCharType="separate"/>
    </w:r>
    <w:r w:rsidR="00492CDB">
      <w:rPr>
        <w:rFonts w:ascii="Palatino Linotype" w:eastAsia="Arial" w:hAnsi="Palatino Linotype" w:cs="Arial"/>
        <w:noProof/>
        <w:color w:val="000000"/>
        <w:sz w:val="22"/>
        <w:szCs w:val="20"/>
      </w:rPr>
      <w:t>42</w:t>
    </w:r>
    <w:r w:rsidRPr="00492CDB">
      <w:rPr>
        <w:rFonts w:ascii="Palatino Linotype" w:eastAsia="Arial" w:hAnsi="Palatino Linotype" w:cs="Arial"/>
        <w:color w:val="000000"/>
        <w:sz w:val="22"/>
        <w:szCs w:val="20"/>
      </w:rPr>
      <w:fldChar w:fldCharType="end"/>
    </w:r>
  </w:p>
  <w:p w:rsidR="000D33D2" w:rsidRDefault="000D33D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E0" w:rsidRDefault="00976DE0">
      <w:r>
        <w:separator/>
      </w:r>
    </w:p>
  </w:footnote>
  <w:footnote w:type="continuationSeparator" w:id="0">
    <w:p w:rsidR="00976DE0" w:rsidRDefault="00976DE0">
      <w:r>
        <w:continuationSeparator/>
      </w:r>
    </w:p>
  </w:footnote>
  <w:footnote w:id="1">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0D33D2" w:rsidRDefault="000D33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2" w:type="dxa"/>
      <w:tblInd w:w="3544" w:type="dxa"/>
      <w:tblLayout w:type="fixed"/>
      <w:tblLook w:val="0400" w:firstRow="0" w:lastRow="0" w:firstColumn="0" w:lastColumn="0" w:noHBand="0" w:noVBand="1"/>
    </w:tblPr>
    <w:tblGrid>
      <w:gridCol w:w="2693"/>
      <w:gridCol w:w="3969"/>
    </w:tblGrid>
    <w:tr w:rsidR="000D33D2" w:rsidTr="00492CDB">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Recurso de Revisión:</w:t>
          </w:r>
        </w:p>
      </w:tc>
      <w:tc>
        <w:tcPr>
          <w:tcW w:w="3969" w:type="dxa"/>
          <w:vAlign w:val="center"/>
        </w:tcPr>
        <w:p w:rsidR="000D33D2" w:rsidRPr="00932185" w:rsidRDefault="00F755D9" w:rsidP="00932185">
          <w:pPr>
            <w:ind w:left="-115"/>
            <w:jc w:val="both"/>
            <w:rPr>
              <w:rFonts w:ascii="Palatino Linotype" w:eastAsia="Palatino Linotype" w:hAnsi="Palatino Linotype" w:cs="Palatino Linotype"/>
            </w:rPr>
          </w:pPr>
          <w:r w:rsidRPr="00932185">
            <w:rPr>
              <w:rFonts w:ascii="Palatino Linotype" w:eastAsia="Palatino Linotype" w:hAnsi="Palatino Linotype" w:cs="Palatino Linotype"/>
            </w:rPr>
            <w:t>10368</w:t>
          </w:r>
          <w:r w:rsidR="000D33D2" w:rsidRPr="00932185">
            <w:rPr>
              <w:rFonts w:ascii="Palatino Linotype" w:eastAsia="Palatino Linotype" w:hAnsi="Palatino Linotype" w:cs="Palatino Linotype"/>
            </w:rPr>
            <w:t>/INFOEM/IP/RR/2025</w:t>
          </w:r>
        </w:p>
      </w:tc>
    </w:tr>
    <w:tr w:rsidR="000D33D2" w:rsidTr="00492CDB">
      <w:trPr>
        <w:trHeight w:val="228"/>
      </w:trPr>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Sujeto Obligado:</w:t>
          </w:r>
        </w:p>
      </w:tc>
      <w:tc>
        <w:tcPr>
          <w:tcW w:w="3969" w:type="dxa"/>
          <w:vAlign w:val="center"/>
        </w:tcPr>
        <w:p w:rsidR="000D33D2" w:rsidRPr="00932185" w:rsidRDefault="000D33D2" w:rsidP="00932185">
          <w:pPr>
            <w:ind w:left="-115"/>
            <w:rPr>
              <w:rFonts w:ascii="Palatino Linotype" w:eastAsia="Palatino Linotype" w:hAnsi="Palatino Linotype" w:cs="Palatino Linotype"/>
            </w:rPr>
          </w:pPr>
          <w:r w:rsidRPr="00932185">
            <w:rPr>
              <w:rFonts w:ascii="Palatino Linotype" w:eastAsia="Palatino Linotype" w:hAnsi="Palatino Linotype" w:cs="Palatino Linotype"/>
              <w:color w:val="000000"/>
            </w:rPr>
            <w:t>Ayuntamiento de Jocotitlán</w:t>
          </w:r>
        </w:p>
      </w:tc>
    </w:tr>
    <w:tr w:rsidR="000D33D2" w:rsidTr="00492CDB">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Comisionada Ponente:</w:t>
          </w:r>
        </w:p>
      </w:tc>
      <w:tc>
        <w:tcPr>
          <w:tcW w:w="3969" w:type="dxa"/>
          <w:vAlign w:val="center"/>
        </w:tcPr>
        <w:p w:rsidR="000D33D2" w:rsidRPr="00932185" w:rsidRDefault="000D33D2" w:rsidP="00932185">
          <w:pPr>
            <w:ind w:left="-115" w:right="-533"/>
            <w:jc w:val="both"/>
            <w:rPr>
              <w:rFonts w:ascii="Palatino Linotype" w:eastAsia="Palatino Linotype" w:hAnsi="Palatino Linotype" w:cs="Palatino Linotype"/>
            </w:rPr>
          </w:pPr>
          <w:r w:rsidRPr="00932185">
            <w:rPr>
              <w:rFonts w:ascii="Palatino Linotype" w:eastAsia="Palatino Linotype" w:hAnsi="Palatino Linotype" w:cs="Palatino Linotype"/>
            </w:rPr>
            <w:t>María del Rosario Mejía Ayala</w:t>
          </w:r>
        </w:p>
      </w:tc>
    </w:tr>
  </w:tbl>
  <w:p w:rsidR="000D33D2" w:rsidRDefault="00492CD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4E845C9D" wp14:editId="46E1C7A1">
          <wp:simplePos x="0" y="0"/>
          <wp:positionH relativeFrom="page">
            <wp:align>left</wp:align>
          </wp:positionH>
          <wp:positionV relativeFrom="paragraph">
            <wp:posOffset>-1055370</wp:posOffset>
          </wp:positionV>
          <wp:extent cx="7813085" cy="10170000"/>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0D33D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2" w:type="dxa"/>
      <w:tblInd w:w="3402" w:type="dxa"/>
      <w:tblLayout w:type="fixed"/>
      <w:tblLook w:val="0400" w:firstRow="0" w:lastRow="0" w:firstColumn="0" w:lastColumn="0" w:noHBand="0" w:noVBand="1"/>
    </w:tblPr>
    <w:tblGrid>
      <w:gridCol w:w="2693"/>
      <w:gridCol w:w="3969"/>
    </w:tblGrid>
    <w:tr w:rsidR="000D33D2" w:rsidRPr="00932185" w:rsidTr="00492CDB">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Recurso de Revisión:</w:t>
          </w:r>
        </w:p>
      </w:tc>
      <w:tc>
        <w:tcPr>
          <w:tcW w:w="3969" w:type="dxa"/>
          <w:vAlign w:val="center"/>
        </w:tcPr>
        <w:p w:rsidR="000D33D2" w:rsidRPr="00932185" w:rsidRDefault="00F755D9" w:rsidP="00932185">
          <w:pPr>
            <w:jc w:val="both"/>
            <w:rPr>
              <w:rFonts w:ascii="Palatino Linotype" w:eastAsia="Palatino Linotype" w:hAnsi="Palatino Linotype" w:cs="Palatino Linotype"/>
            </w:rPr>
          </w:pPr>
          <w:r w:rsidRPr="00932185">
            <w:rPr>
              <w:rFonts w:ascii="Palatino Linotype" w:eastAsia="Palatino Linotype" w:hAnsi="Palatino Linotype" w:cs="Palatino Linotype"/>
            </w:rPr>
            <w:t>10368</w:t>
          </w:r>
          <w:r w:rsidR="000D33D2" w:rsidRPr="00932185">
            <w:rPr>
              <w:rFonts w:ascii="Palatino Linotype" w:eastAsia="Palatino Linotype" w:hAnsi="Palatino Linotype" w:cs="Palatino Linotype"/>
            </w:rPr>
            <w:t xml:space="preserve">/INFOEM/IP/RR/2025 </w:t>
          </w:r>
        </w:p>
      </w:tc>
    </w:tr>
    <w:tr w:rsidR="000D33D2" w:rsidRPr="00932185" w:rsidTr="00492CDB">
      <w:tc>
        <w:tcPr>
          <w:tcW w:w="2693" w:type="dxa"/>
          <w:vAlign w:val="center"/>
        </w:tcPr>
        <w:p w:rsidR="000D33D2" w:rsidRPr="00932185" w:rsidRDefault="000D33D2" w:rsidP="00932185">
          <w:pPr>
            <w:ind w:left="35" w:right="-115" w:hanging="35"/>
            <w:rPr>
              <w:rFonts w:ascii="Palatino Linotype" w:eastAsia="Palatino Linotype" w:hAnsi="Palatino Linotype" w:cs="Palatino Linotype"/>
              <w:b/>
            </w:rPr>
          </w:pPr>
          <w:r w:rsidRPr="00932185">
            <w:rPr>
              <w:rFonts w:ascii="Palatino Linotype" w:eastAsia="Palatino Linotype" w:hAnsi="Palatino Linotype" w:cs="Palatino Linotype"/>
              <w:b/>
            </w:rPr>
            <w:t>Recurrente:</w:t>
          </w:r>
        </w:p>
      </w:tc>
      <w:tc>
        <w:tcPr>
          <w:tcW w:w="3969" w:type="dxa"/>
          <w:vAlign w:val="center"/>
        </w:tcPr>
        <w:p w:rsidR="000D33D2" w:rsidRPr="00932185" w:rsidRDefault="000D33D2" w:rsidP="00932185">
          <w:pPr>
            <w:rPr>
              <w:rFonts w:ascii="Palatino Linotype" w:eastAsia="Palatino Linotype" w:hAnsi="Palatino Linotype" w:cs="Palatino Linotype"/>
            </w:rPr>
          </w:pPr>
        </w:p>
      </w:tc>
    </w:tr>
    <w:tr w:rsidR="000D33D2" w:rsidRPr="00932185" w:rsidTr="00492CDB">
      <w:trPr>
        <w:trHeight w:val="228"/>
      </w:trPr>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Sujeto Obligado:</w:t>
          </w:r>
        </w:p>
      </w:tc>
      <w:tc>
        <w:tcPr>
          <w:tcW w:w="3969" w:type="dxa"/>
          <w:vAlign w:val="center"/>
        </w:tcPr>
        <w:p w:rsidR="000D33D2" w:rsidRPr="00932185" w:rsidRDefault="000D33D2" w:rsidP="00932185">
          <w:pPr>
            <w:ind w:hanging="35"/>
            <w:jc w:val="both"/>
            <w:rPr>
              <w:rFonts w:ascii="Palatino Linotype" w:eastAsia="Palatino Linotype" w:hAnsi="Palatino Linotype" w:cs="Palatino Linotype"/>
            </w:rPr>
          </w:pPr>
          <w:r w:rsidRPr="00932185">
            <w:rPr>
              <w:rFonts w:ascii="Palatino Linotype" w:eastAsia="Palatino Linotype" w:hAnsi="Palatino Linotype" w:cs="Palatino Linotype"/>
              <w:color w:val="000000"/>
            </w:rPr>
            <w:t>Ayuntamiento de Jocotitlán</w:t>
          </w:r>
        </w:p>
      </w:tc>
    </w:tr>
    <w:tr w:rsidR="000D33D2" w:rsidRPr="00932185" w:rsidTr="00492CDB">
      <w:tc>
        <w:tcPr>
          <w:tcW w:w="2693" w:type="dxa"/>
          <w:vAlign w:val="center"/>
        </w:tcPr>
        <w:p w:rsidR="000D33D2" w:rsidRPr="00932185" w:rsidRDefault="000D33D2" w:rsidP="00932185">
          <w:pPr>
            <w:ind w:right="-115"/>
            <w:rPr>
              <w:rFonts w:ascii="Palatino Linotype" w:eastAsia="Palatino Linotype" w:hAnsi="Palatino Linotype" w:cs="Palatino Linotype"/>
              <w:b/>
            </w:rPr>
          </w:pPr>
          <w:r w:rsidRPr="00932185">
            <w:rPr>
              <w:rFonts w:ascii="Palatino Linotype" w:eastAsia="Palatino Linotype" w:hAnsi="Palatino Linotype" w:cs="Palatino Linotype"/>
              <w:b/>
            </w:rPr>
            <w:t>Comisionada Ponente:</w:t>
          </w:r>
        </w:p>
      </w:tc>
      <w:tc>
        <w:tcPr>
          <w:tcW w:w="3969" w:type="dxa"/>
          <w:vAlign w:val="center"/>
        </w:tcPr>
        <w:p w:rsidR="000D33D2" w:rsidRPr="00932185" w:rsidRDefault="000D33D2" w:rsidP="00932185">
          <w:pPr>
            <w:ind w:right="-533"/>
            <w:jc w:val="both"/>
            <w:rPr>
              <w:rFonts w:ascii="Palatino Linotype" w:eastAsia="Palatino Linotype" w:hAnsi="Palatino Linotype" w:cs="Palatino Linotype"/>
            </w:rPr>
          </w:pPr>
          <w:r w:rsidRPr="00932185">
            <w:rPr>
              <w:rFonts w:ascii="Palatino Linotype" w:eastAsia="Palatino Linotype" w:hAnsi="Palatino Linotype" w:cs="Palatino Linotype"/>
            </w:rPr>
            <w:t>María del Rosario Mejía Ayala</w:t>
          </w:r>
        </w:p>
      </w:tc>
    </w:tr>
  </w:tbl>
  <w:p w:rsidR="000D33D2" w:rsidRDefault="00492CDB">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-1276302</wp:posOffset>
          </wp:positionV>
          <wp:extent cx="7813085" cy="10170000"/>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634D0"/>
    <w:multiLevelType w:val="hybridMultilevel"/>
    <w:tmpl w:val="D946C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3633645"/>
    <w:multiLevelType w:val="multilevel"/>
    <w:tmpl w:val="65B081F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444E75"/>
    <w:multiLevelType w:val="multilevel"/>
    <w:tmpl w:val="4198EA6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5E064666"/>
    <w:multiLevelType w:val="hybridMultilevel"/>
    <w:tmpl w:val="84B2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C54B38"/>
    <w:multiLevelType w:val="multilevel"/>
    <w:tmpl w:val="D3CE444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B918DF"/>
    <w:multiLevelType w:val="multilevel"/>
    <w:tmpl w:val="C194D3F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7C3A20F0"/>
    <w:multiLevelType w:val="multilevel"/>
    <w:tmpl w:val="BACE0826"/>
    <w:lvl w:ilvl="0">
      <w:start w:val="1"/>
      <w:numFmt w:val="decimal"/>
      <w:lvlText w:val="%1."/>
      <w:lvlJc w:val="left"/>
      <w:pPr>
        <w:ind w:left="6740"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EB5A7B"/>
    <w:multiLevelType w:val="multilevel"/>
    <w:tmpl w:val="DC8472D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9"/>
  </w:num>
  <w:num w:numId="2">
    <w:abstractNumId w:val="10"/>
  </w:num>
  <w:num w:numId="3">
    <w:abstractNumId w:val="8"/>
  </w:num>
  <w:num w:numId="4">
    <w:abstractNumId w:val="5"/>
  </w:num>
  <w:num w:numId="5">
    <w:abstractNumId w:val="6"/>
  </w:num>
  <w:num w:numId="6">
    <w:abstractNumId w:val="12"/>
  </w:num>
  <w:num w:numId="7">
    <w:abstractNumId w:val="1"/>
  </w:num>
  <w:num w:numId="8">
    <w:abstractNumId w:val="11"/>
  </w:num>
  <w:num w:numId="9">
    <w:abstractNumId w:val="4"/>
  </w:num>
  <w:num w:numId="10">
    <w:abstractNumId w:val="3"/>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F1"/>
    <w:rsid w:val="00010680"/>
    <w:rsid w:val="000D33D2"/>
    <w:rsid w:val="00157104"/>
    <w:rsid w:val="001A76FA"/>
    <w:rsid w:val="001B3B67"/>
    <w:rsid w:val="003B7523"/>
    <w:rsid w:val="003C247B"/>
    <w:rsid w:val="00413840"/>
    <w:rsid w:val="00420BE2"/>
    <w:rsid w:val="00492CDB"/>
    <w:rsid w:val="004D2831"/>
    <w:rsid w:val="004D5C83"/>
    <w:rsid w:val="005E32CB"/>
    <w:rsid w:val="00623F7A"/>
    <w:rsid w:val="00653762"/>
    <w:rsid w:val="00666AC8"/>
    <w:rsid w:val="007730D0"/>
    <w:rsid w:val="008D25DD"/>
    <w:rsid w:val="00932185"/>
    <w:rsid w:val="00976DE0"/>
    <w:rsid w:val="009B4F59"/>
    <w:rsid w:val="00B26699"/>
    <w:rsid w:val="00BD41C6"/>
    <w:rsid w:val="00BF2035"/>
    <w:rsid w:val="00C46065"/>
    <w:rsid w:val="00D46113"/>
    <w:rsid w:val="00DE29E7"/>
    <w:rsid w:val="00E172F1"/>
    <w:rsid w:val="00F755D9"/>
    <w:rsid w:val="00FD28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707E32-A4BA-4286-A6F2-46EA028A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4216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XF+tya3i2cweRFoGlFsdsX5A==">CgMxLjAyDmgua3hnNTFxM250dnVsMgloLjN6bnlzaDcyDmguNzl4bHhtbmZzZGd5Mg5oLjluMWdpajIwbm83djIOaC5nYmpqdXVmaWR6ankyDmgud3hqemVtZzZxNTZ6Mg5oLjY0Y2VsM3F6YjkyaDIOaC50bGwxY3h2Y3F2eGUyCWguMXQzaDVzZjIJaC40ZDM0b2c4MgloLjJzOGV5bzEyDmguaXFjb3MxZGs0aGZrMg5oLmoybnd2eDRlYXlvcjIIaC5sbnhiejkyCWguMzVua3VuMjIJaC4xa3N2NHV2OAByITFuMTVwNExlR2hGTFJJWmFEcHRCZV80WkNQQm5YLVR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10623</Words>
  <Characters>58432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cp:revision>
  <dcterms:created xsi:type="dcterms:W3CDTF">2025-10-23T18:58:00Z</dcterms:created>
  <dcterms:modified xsi:type="dcterms:W3CDTF">2026-01-12T20:46:00Z</dcterms:modified>
</cp:coreProperties>
</file>