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69F66" w14:textId="00CC2F32" w:rsidR="00D95418" w:rsidRDefault="00D95418" w:rsidP="003F41FB">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w:t>
      </w:r>
      <w:bookmarkStart w:id="0" w:name="_GoBack"/>
      <w:bookmarkEnd w:id="0"/>
      <w:r>
        <w:rPr>
          <w:rFonts w:ascii="Palatino Linotype" w:eastAsia="Palatino Linotype" w:hAnsi="Palatino Linotype" w:cs="Palatino Linotype"/>
          <w:color w:val="000000"/>
          <w:sz w:val="24"/>
          <w:szCs w:val="24"/>
        </w:rPr>
        <w:t xml:space="preserve"> a la Información Pública y Protección de Datos Personales del Estado de México y Municipios, con domicilio en Metepec, Estado de México, a </w:t>
      </w:r>
      <w:r w:rsidR="00262B78">
        <w:rPr>
          <w:rFonts w:ascii="Palatino Linotype" w:eastAsia="Palatino Linotype" w:hAnsi="Palatino Linotype" w:cs="Palatino Linotype"/>
          <w:color w:val="000000"/>
          <w:sz w:val="24"/>
          <w:szCs w:val="24"/>
        </w:rPr>
        <w:t>seis de marzo</w:t>
      </w:r>
      <w:r>
        <w:rPr>
          <w:rFonts w:ascii="Palatino Linotype" w:eastAsia="Palatino Linotype" w:hAnsi="Palatino Linotype" w:cs="Palatino Linotype"/>
          <w:color w:val="000000"/>
          <w:sz w:val="24"/>
          <w:szCs w:val="24"/>
        </w:rPr>
        <w:t xml:space="preserve"> de dos mil veinticinco.</w:t>
      </w:r>
    </w:p>
    <w:p w14:paraId="1ECDFAA7" w14:textId="77777777" w:rsidR="00D95418" w:rsidRDefault="00D95418" w:rsidP="003F41FB">
      <w:pPr>
        <w:shd w:val="clear" w:color="auto" w:fill="FFFFFF"/>
        <w:spacing w:after="0" w:line="360" w:lineRule="auto"/>
        <w:jc w:val="both"/>
        <w:rPr>
          <w:rFonts w:ascii="Palatino Linotype" w:eastAsia="Palatino Linotype" w:hAnsi="Palatino Linotype" w:cs="Palatino Linotype"/>
          <w:color w:val="000000"/>
          <w:sz w:val="24"/>
          <w:szCs w:val="24"/>
        </w:rPr>
      </w:pPr>
    </w:p>
    <w:p w14:paraId="5F15900A" w14:textId="77777777" w:rsidR="00D95418" w:rsidRDefault="00D95418" w:rsidP="003F41FB">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3F41FB">
        <w:rPr>
          <w:rFonts w:ascii="Palatino Linotype" w:eastAsia="Palatino Linotype" w:hAnsi="Palatino Linotype" w:cs="Palatino Linotype"/>
          <w:b/>
          <w:sz w:val="24"/>
          <w:szCs w:val="24"/>
        </w:rPr>
        <w:t>495</w:t>
      </w:r>
      <w:r>
        <w:rPr>
          <w:rFonts w:ascii="Palatino Linotype" w:eastAsia="Palatino Linotype" w:hAnsi="Palatino Linotype" w:cs="Palatino Linotype"/>
          <w:b/>
          <w:sz w:val="24"/>
          <w:szCs w:val="24"/>
        </w:rPr>
        <w:t>/INFOEM/IP/RR/2025</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interpuesto por </w:t>
      </w:r>
      <w:r w:rsidR="003F41FB">
        <w:rPr>
          <w:rFonts w:ascii="Palatino Linotype" w:eastAsia="Palatino Linotype" w:hAnsi="Palatino Linotype" w:cs="Palatino Linotype"/>
          <w:color w:val="000000"/>
          <w:sz w:val="24"/>
          <w:szCs w:val="24"/>
        </w:rPr>
        <w:t>un ciudadano</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Pr="00D95418">
        <w:rPr>
          <w:rFonts w:ascii="Palatino Linotype" w:eastAsia="Palatino Linotype" w:hAnsi="Palatino Linotype" w:cs="Palatino Linotype"/>
          <w:b/>
          <w:color w:val="000000"/>
          <w:sz w:val="24"/>
          <w:szCs w:val="24"/>
        </w:rPr>
        <w:t>Ayuntamiento de Tepotzotlán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5943B263" w14:textId="77777777" w:rsidR="00D95418" w:rsidRDefault="00D95418" w:rsidP="003F41FB">
      <w:pPr>
        <w:tabs>
          <w:tab w:val="left" w:pos="6960"/>
        </w:tabs>
        <w:spacing w:after="0" w:line="360" w:lineRule="auto"/>
        <w:jc w:val="both"/>
        <w:rPr>
          <w:rFonts w:ascii="Palatino Linotype" w:eastAsia="Palatino Linotype" w:hAnsi="Palatino Linotype" w:cs="Palatino Linotype"/>
          <w:sz w:val="24"/>
          <w:szCs w:val="24"/>
        </w:rPr>
      </w:pPr>
    </w:p>
    <w:p w14:paraId="151F693E" w14:textId="77777777" w:rsidR="00D95418" w:rsidRDefault="00D95418" w:rsidP="003F41FB">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71152ADD" w14:textId="77777777" w:rsidR="00D95418" w:rsidRDefault="00D95418" w:rsidP="003F41FB">
      <w:pPr>
        <w:spacing w:after="0" w:line="360" w:lineRule="auto"/>
        <w:rPr>
          <w:rFonts w:ascii="Palatino Linotype" w:eastAsia="Palatino Linotype" w:hAnsi="Palatino Linotype" w:cs="Palatino Linotype"/>
          <w:b/>
          <w:sz w:val="24"/>
          <w:szCs w:val="24"/>
        </w:rPr>
      </w:pPr>
    </w:p>
    <w:p w14:paraId="541A5B17" w14:textId="77777777" w:rsidR="00D95418" w:rsidRPr="00782BD1" w:rsidRDefault="00D95418" w:rsidP="003F41FB">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12257679" w14:textId="77777777"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En fecha cinco de diciembre de dos mil veinticuatro,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3F41FB" w:rsidRPr="003F41FB">
        <w:rPr>
          <w:rFonts w:ascii="Palatino Linotype" w:eastAsia="Palatino Linotype" w:hAnsi="Palatino Linotype" w:cs="Palatino Linotype"/>
          <w:b/>
          <w:sz w:val="24"/>
          <w:szCs w:val="24"/>
        </w:rPr>
        <w:t>00333/TEPOTZOT/IP/2024</w:t>
      </w:r>
      <w:r>
        <w:rPr>
          <w:rFonts w:ascii="Palatino Linotype" w:eastAsia="Palatino Linotype" w:hAnsi="Palatino Linotype" w:cs="Palatino Linotype"/>
          <w:sz w:val="24"/>
          <w:szCs w:val="24"/>
        </w:rPr>
        <w:t xml:space="preserve">, de lo siguiente: </w:t>
      </w:r>
    </w:p>
    <w:p w14:paraId="423EAFC3" w14:textId="77777777" w:rsidR="00D95418" w:rsidRPr="001C7F6F" w:rsidRDefault="00D95418" w:rsidP="003F41FB">
      <w:pPr>
        <w:pStyle w:val="INFOEM"/>
        <w:spacing w:before="0" w:after="0"/>
        <w:rPr>
          <w:lang w:val="es-ES_tradnl" w:eastAsia="es-ES"/>
        </w:rPr>
      </w:pPr>
      <w:r w:rsidRPr="00D705FF">
        <w:rPr>
          <w:lang w:val="es-ES_tradnl" w:eastAsia="es-ES"/>
        </w:rPr>
        <w:t>“</w:t>
      </w:r>
      <w:r w:rsidR="003F41FB" w:rsidRPr="003F41FB">
        <w:rPr>
          <w:lang w:val="es-ES" w:eastAsia="es-ES"/>
        </w:rPr>
        <w:t xml:space="preserve">A la Presidencia Municipal de TEPOTZOTLAN se le solicita copia simple de la </w:t>
      </w:r>
      <w:proofErr w:type="gramStart"/>
      <w:r w:rsidR="003F41FB" w:rsidRPr="003F41FB">
        <w:rPr>
          <w:lang w:val="es-ES" w:eastAsia="es-ES"/>
        </w:rPr>
        <w:t>versión</w:t>
      </w:r>
      <w:proofErr w:type="gramEnd"/>
      <w:r w:rsidR="003F41FB" w:rsidRPr="003F41FB">
        <w:rPr>
          <w:lang w:val="es-ES" w:eastAsia="es-ES"/>
        </w:rPr>
        <w:t xml:space="preserve"> pública (testada de datos personales) del formato denominado CEDULA DE TRANSICIÓN con el que se instaló el Grupo de Trabajo y Comité de Enlace, para la transición de Gobierno del periodo 2022-2024 y 2025-2027. Específicamente el interés es conocer los nombres de los participantes en la primera mesa del proceso de transición de Gobierno,</w:t>
      </w:r>
      <w:r w:rsidRPr="00D705FF">
        <w:rPr>
          <w:lang w:val="es-ES_tradnl" w:eastAsia="es-ES"/>
        </w:rPr>
        <w:t>” (Sic)</w:t>
      </w:r>
    </w:p>
    <w:p w14:paraId="3423981D" w14:textId="77777777" w:rsidR="001E37B2" w:rsidRDefault="001E37B2" w:rsidP="003F41FB">
      <w:pPr>
        <w:spacing w:after="0" w:line="360" w:lineRule="auto"/>
        <w:jc w:val="both"/>
        <w:rPr>
          <w:rFonts w:ascii="Palatino Linotype" w:hAnsi="Palatino Linotype"/>
          <w:b/>
          <w:lang w:val="es-ES_tradnl"/>
        </w:rPr>
      </w:pPr>
    </w:p>
    <w:p w14:paraId="79E9A154" w14:textId="54CF6A08" w:rsidR="00D95418" w:rsidRPr="00782BD1" w:rsidRDefault="00D95418" w:rsidP="003F41FB">
      <w:pPr>
        <w:spacing w:after="0" w:line="360" w:lineRule="auto"/>
        <w:jc w:val="both"/>
        <w:rPr>
          <w:rFonts w:ascii="Palatino Linotype" w:hAnsi="Palatino Linotype"/>
          <w:lang w:val="es-ES_tradnl"/>
        </w:rPr>
      </w:pPr>
      <w:r w:rsidRPr="002C3EC8">
        <w:rPr>
          <w:rFonts w:ascii="Palatino Linotype" w:hAnsi="Palatino Linotype"/>
          <w:b/>
          <w:lang w:val="es-ES_tradnl"/>
        </w:rPr>
        <w:lastRenderedPageBreak/>
        <w:t>Modalidad de entrega:</w:t>
      </w:r>
      <w:r w:rsidRPr="002C3EC8">
        <w:rPr>
          <w:rFonts w:ascii="Palatino Linotype" w:hAnsi="Palatino Linotype"/>
          <w:lang w:val="es-ES_tradnl"/>
        </w:rPr>
        <w:t xml:space="preserve"> A través del SAIMEX.</w:t>
      </w:r>
    </w:p>
    <w:p w14:paraId="12DF1D63" w14:textId="77777777"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14771AD6" w14:textId="77777777"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14:paraId="384D3C3D" w14:textId="77777777"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060CC85B" w14:textId="77777777"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336EF685" w14:textId="77777777"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42F40D48" w14:textId="77777777"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veinte de enero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3F41FB">
        <w:rPr>
          <w:rFonts w:ascii="Palatino Linotype" w:eastAsia="Palatino Linotype" w:hAnsi="Palatino Linotype" w:cs="Palatino Linotype"/>
          <w:b/>
          <w:sz w:val="24"/>
          <w:szCs w:val="24"/>
        </w:rPr>
        <w:t>495</w:t>
      </w:r>
      <w:r>
        <w:rPr>
          <w:rFonts w:ascii="Palatino Linotype" w:eastAsia="Palatino Linotype" w:hAnsi="Palatino Linotype" w:cs="Palatino Linotype"/>
          <w:b/>
          <w:sz w:val="24"/>
          <w:szCs w:val="24"/>
        </w:rPr>
        <w:t>/INFOEM/IP/RR/2025</w:t>
      </w:r>
      <w:r>
        <w:rPr>
          <w:rFonts w:ascii="Palatino Linotype" w:eastAsia="Palatino Linotype" w:hAnsi="Palatino Linotype" w:cs="Palatino Linotype"/>
          <w:sz w:val="24"/>
          <w:szCs w:val="24"/>
        </w:rPr>
        <w:t>, y señaló como acto impugnado y razones o motivos de inconformidad, lo siguiente:</w:t>
      </w:r>
    </w:p>
    <w:p w14:paraId="27AE4924" w14:textId="77777777"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6438B694" w14:textId="77777777" w:rsidR="00D95418" w:rsidRPr="0038340D" w:rsidRDefault="00D95418" w:rsidP="003F41FB">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6EC1370F" w14:textId="77777777" w:rsidR="00D95418" w:rsidRDefault="00D95418" w:rsidP="003F41FB">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3F41FB" w:rsidRPr="003F41FB">
        <w:rPr>
          <w:rFonts w:ascii="Palatino Linotype" w:eastAsia="Palatino Linotype" w:hAnsi="Palatino Linotype" w:cs="Palatino Linotype"/>
          <w:i/>
          <w:color w:val="000000"/>
        </w:rPr>
        <w:t>No respondieron a mi solicitud</w:t>
      </w:r>
      <w:r>
        <w:rPr>
          <w:rFonts w:ascii="Palatino Linotype" w:eastAsia="Palatino Linotype" w:hAnsi="Palatino Linotype" w:cs="Palatino Linotype"/>
          <w:i/>
          <w:color w:val="000000"/>
        </w:rPr>
        <w:t xml:space="preserve">” (Sic) </w:t>
      </w:r>
    </w:p>
    <w:p w14:paraId="056A3EDA" w14:textId="77777777" w:rsidR="00D95418" w:rsidRDefault="00D95418" w:rsidP="003F41FB">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57F9E32C" w14:textId="77777777" w:rsidR="00D95418" w:rsidRPr="0038340D" w:rsidRDefault="00D95418" w:rsidP="003F41FB">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288CEEBF" w14:textId="77777777" w:rsidR="00D95418" w:rsidRDefault="00D95418" w:rsidP="003F41FB">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3F41FB" w:rsidRPr="003F41FB">
        <w:rPr>
          <w:rFonts w:ascii="Palatino Linotype" w:eastAsia="Palatino Linotype" w:hAnsi="Palatino Linotype" w:cs="Palatino Linotype"/>
          <w:i/>
          <w:color w:val="000000"/>
        </w:rPr>
        <w:t>No respondieron a mi solicitud</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41AFCE1C" w14:textId="77777777" w:rsidR="00D95418" w:rsidRDefault="00D95418" w:rsidP="003F41FB">
      <w:pPr>
        <w:spacing w:after="0" w:line="360" w:lineRule="auto"/>
        <w:jc w:val="both"/>
        <w:rPr>
          <w:rFonts w:ascii="Palatino Linotype" w:eastAsia="Palatino Linotype" w:hAnsi="Palatino Linotype" w:cs="Palatino Linotype"/>
          <w:b/>
          <w:sz w:val="28"/>
          <w:szCs w:val="28"/>
        </w:rPr>
      </w:pPr>
    </w:p>
    <w:p w14:paraId="1082CEE8" w14:textId="77777777" w:rsidR="00D95418" w:rsidRPr="002C3EC8" w:rsidRDefault="00D95418" w:rsidP="003F41FB">
      <w:pPr>
        <w:spacing w:after="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05485FBE" w14:textId="77777777" w:rsidR="00D95418" w:rsidRPr="00EB21AC" w:rsidRDefault="00D95418" w:rsidP="003F41FB">
      <w:pPr>
        <w:spacing w:after="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3F41FB">
        <w:rPr>
          <w:rFonts w:ascii="Palatino Linotype" w:hAnsi="Palatino Linotype"/>
          <w:b/>
          <w:sz w:val="24"/>
        </w:rPr>
        <w:t xml:space="preserve">diez de febrero </w:t>
      </w:r>
      <w:r w:rsidR="003F41FB">
        <w:rPr>
          <w:rFonts w:ascii="Palatino Linotype" w:hAnsi="Palatino Linotype"/>
          <w:b/>
          <w:sz w:val="24"/>
        </w:rPr>
        <w:lastRenderedPageBreak/>
        <w:t xml:space="preserve">de </w:t>
      </w:r>
      <w:r>
        <w:rPr>
          <w:rFonts w:ascii="Palatino Linotype" w:hAnsi="Palatino Linotype"/>
          <w:b/>
          <w:sz w:val="24"/>
        </w:rPr>
        <w:t>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448DBE1C" w14:textId="77777777" w:rsidR="00D95418" w:rsidRDefault="00D95418" w:rsidP="003F41FB">
      <w:pPr>
        <w:spacing w:after="0" w:line="360" w:lineRule="auto"/>
        <w:jc w:val="both"/>
        <w:rPr>
          <w:rFonts w:ascii="Palatino Linotype" w:eastAsia="Palatino Linotype" w:hAnsi="Palatino Linotype" w:cs="Palatino Linotype"/>
          <w:b/>
          <w:sz w:val="28"/>
          <w:szCs w:val="28"/>
        </w:rPr>
      </w:pPr>
    </w:p>
    <w:p w14:paraId="0CC319F5" w14:textId="77777777" w:rsidR="00D95418" w:rsidRPr="00E52C83" w:rsidRDefault="00D95418" w:rsidP="003F41FB">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14:paraId="33C7810E" w14:textId="77777777" w:rsidR="00D95418" w:rsidRDefault="00D95418" w:rsidP="003F41FB">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14:paraId="07AEC0A5" w14:textId="77777777" w:rsidR="00D95418" w:rsidRPr="00DD2E32" w:rsidRDefault="00D95418" w:rsidP="003F41FB">
      <w:pPr>
        <w:spacing w:after="0" w:line="360" w:lineRule="auto"/>
        <w:jc w:val="both"/>
        <w:rPr>
          <w:rFonts w:ascii="Palatino Linotype" w:hAnsi="Palatino Linotype" w:cs="Arial"/>
          <w:sz w:val="24"/>
          <w:szCs w:val="24"/>
        </w:rPr>
      </w:pPr>
    </w:p>
    <w:p w14:paraId="56212327" w14:textId="77777777" w:rsidR="00D95418" w:rsidRDefault="00D95418" w:rsidP="003F41FB">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504E6543" w14:textId="77777777" w:rsidR="00D95418" w:rsidRDefault="00D95418" w:rsidP="003F41FB">
      <w:pPr>
        <w:spacing w:after="0" w:line="360" w:lineRule="auto"/>
        <w:jc w:val="both"/>
        <w:rPr>
          <w:rFonts w:ascii="Palatino Linotype" w:hAnsi="Palatino Linotype" w:cs="Arial"/>
          <w:b/>
          <w:sz w:val="28"/>
          <w:szCs w:val="28"/>
        </w:rPr>
      </w:pPr>
    </w:p>
    <w:p w14:paraId="6A8F89DD" w14:textId="77777777" w:rsidR="00D95418" w:rsidRPr="002C3EC8" w:rsidRDefault="00D95418" w:rsidP="003F41FB">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1FA8CAEA" w14:textId="77777777" w:rsidR="00D95418" w:rsidRDefault="00D95418" w:rsidP="003F41FB">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3F41FB">
        <w:rPr>
          <w:rFonts w:ascii="Palatino Linotype" w:hAnsi="Palatino Linotype" w:cs="Arial"/>
          <w:b/>
          <w:sz w:val="24"/>
          <w:szCs w:val="24"/>
        </w:rPr>
        <w:t>veinte de febrero de dos mil veinticinco</w:t>
      </w:r>
      <w:r>
        <w:rPr>
          <w:rFonts w:ascii="Palatino Linotype" w:hAnsi="Palatino Linotype" w:cs="Arial"/>
          <w:b/>
          <w:sz w:val="24"/>
          <w:szCs w:val="24"/>
        </w:rPr>
        <w:t xml:space="preserve">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297D2E81"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426DC6E2" w14:textId="77777777" w:rsidR="00D95418" w:rsidRDefault="00D95418" w:rsidP="003F41FB">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0873928A"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54C961B8" w14:textId="77777777" w:rsidR="00D95418" w:rsidRPr="00EB21AC" w:rsidRDefault="00D95418" w:rsidP="003F41FB">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4CB6A26A"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5819CCB"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2868DAE2" w14:textId="77777777" w:rsidR="00D95418" w:rsidRPr="00EB21AC" w:rsidRDefault="00D95418" w:rsidP="003F41FB">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14:paraId="59A1E059" w14:textId="77777777"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w:t>
      </w:r>
      <w:r>
        <w:rPr>
          <w:rFonts w:ascii="Palatino Linotype" w:eastAsia="Palatino Linotype" w:hAnsi="Palatino Linotype" w:cs="Palatino Linotype"/>
          <w:sz w:val="24"/>
          <w:szCs w:val="24"/>
        </w:rPr>
        <w:lastRenderedPageBreak/>
        <w:t>información pública, el recurso podrá ser interpuesto en cualquier momento, por lo que la interposición del presente recurso de revisión resulta oportuna.</w:t>
      </w:r>
    </w:p>
    <w:p w14:paraId="3228A4C7"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5C463617"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0C95FB5B"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70D89438" w14:textId="77777777" w:rsidR="00D95418" w:rsidRDefault="00D95418" w:rsidP="003F41FB">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3FBB1118"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068B9D2A"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351906C3"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1C252AA7" w14:textId="77777777" w:rsidR="00D95418" w:rsidRDefault="00D95418" w:rsidP="003F41FB">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58E20AE7" w14:textId="77777777" w:rsidR="00D95418" w:rsidRDefault="00D95418" w:rsidP="003F41F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72C92FA2"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2B355363"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37CCC86B"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46318757"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 xml:space="preserve">en la fracción VII del artículo 179 de la Ley de Transparencia y Acceso a la Información Pública del Estado </w:t>
      </w:r>
      <w:r>
        <w:rPr>
          <w:rFonts w:ascii="Palatino Linotype" w:eastAsia="Palatino Linotype" w:hAnsi="Palatino Linotype" w:cs="Palatino Linotype"/>
          <w:color w:val="000000"/>
          <w:sz w:val="24"/>
          <w:szCs w:val="24"/>
        </w:rPr>
        <w:lastRenderedPageBreak/>
        <w:t>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7521DF9B"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2F8C36B2"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311B0808"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750FEBAD" w14:textId="77777777"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7ED144B4" w14:textId="77777777"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p>
    <w:p w14:paraId="3D45AD25" w14:textId="77777777"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w:t>
      </w:r>
      <w:r>
        <w:rPr>
          <w:rFonts w:ascii="Palatino Linotype" w:eastAsia="Palatino Linotype" w:hAnsi="Palatino Linotype" w:cs="Palatino Linotype"/>
          <w:sz w:val="24"/>
          <w:szCs w:val="24"/>
        </w:rPr>
        <w:lastRenderedPageBreak/>
        <w:t>trámites internos necesarios para la atención de las solicitudes de acceso a la información; así como, entregar, en su caso, a los particulares la información solicitada.</w:t>
      </w:r>
    </w:p>
    <w:p w14:paraId="351032BE" w14:textId="77777777"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p>
    <w:p w14:paraId="497775BE"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6ECE83F"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499673C8" w14:textId="77777777" w:rsidR="00D95418" w:rsidRDefault="00D95418" w:rsidP="003F41FB">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2BE490A8"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7A8E3E11"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deberá dar atención a la solicitud de información, puesto que el silencio administrativo que hizo patente al omitir dar respuesta trae como consecuencia que se le ordene dar atención a la </w:t>
      </w:r>
      <w:r>
        <w:rPr>
          <w:rFonts w:ascii="Palatino Linotype" w:eastAsia="Palatino Linotype" w:hAnsi="Palatino Linotype" w:cs="Palatino Linotype"/>
          <w:sz w:val="24"/>
          <w:szCs w:val="24"/>
        </w:rPr>
        <w:lastRenderedPageBreak/>
        <w:t>solicitud entregando la información solicitada, lo cual deberá llevar a cabo en ejercicio de sus atribuciones y con arreglo a lo dispuesto por la ley de la materia.</w:t>
      </w:r>
    </w:p>
    <w:p w14:paraId="3DF0057E"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C0F7B3B"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8F752B6" w14:textId="77777777" w:rsidR="00D95418" w:rsidRDefault="00D95418" w:rsidP="003F41FB">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14:paraId="032CE683"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6C93F39F"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2F61846"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60DE310"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4DCCA80B"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3F578690" w14:textId="77777777" w:rsidR="00D95418" w:rsidRDefault="00D95418" w:rsidP="003F41FB">
      <w:pPr>
        <w:spacing w:after="0"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w:t>
      </w:r>
      <w:r>
        <w:rPr>
          <w:rFonts w:ascii="Palatino Linotype" w:eastAsia="Palatino Linotype" w:hAnsi="Palatino Linotype" w:cs="Palatino Linotype"/>
          <w:sz w:val="24"/>
          <w:szCs w:val="24"/>
        </w:rPr>
        <w:lastRenderedPageBreak/>
        <w:t xml:space="preserve">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BD2109D"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64D429C1"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A52BF55"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13830124"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3CF6CB7"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678A6984"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Pr>
          <w:rFonts w:ascii="Palatino Linotype" w:eastAsia="Palatino Linotype" w:hAnsi="Palatino Linotype" w:cs="Palatino Linotype"/>
          <w:sz w:val="24"/>
          <w:szCs w:val="24"/>
        </w:rPr>
        <w:lastRenderedPageBreak/>
        <w:t>de la información lesiona el interés debidamente protegido por la Ley y que el menoscabo o daño que puede producirse con la publicidad de la información, es mayor que el interés de conocerla; debiendo clasificarse como reservada.</w:t>
      </w:r>
    </w:p>
    <w:p w14:paraId="43FEE045" w14:textId="77777777" w:rsidR="00D95418" w:rsidRDefault="00D95418" w:rsidP="003F41FB">
      <w:pPr>
        <w:spacing w:after="0" w:line="360" w:lineRule="auto"/>
        <w:ind w:right="51"/>
        <w:jc w:val="both"/>
        <w:rPr>
          <w:rFonts w:ascii="Palatino Linotype" w:eastAsia="Palatino Linotype" w:hAnsi="Palatino Linotype" w:cs="Palatino Linotype"/>
          <w:sz w:val="24"/>
          <w:szCs w:val="24"/>
        </w:rPr>
      </w:pPr>
    </w:p>
    <w:p w14:paraId="23EE7F73"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F9C2417"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4213A81"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39CE50E3"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3B01EF34"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14:paraId="54427674"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14C734CF" w14:textId="77777777" w:rsidR="00D95418" w:rsidRDefault="00D95418" w:rsidP="003F41FB">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3941958F" w14:textId="77777777" w:rsidR="00D95418" w:rsidRDefault="00D95418" w:rsidP="003F41F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241356CF" w14:textId="77777777" w:rsidR="00D95418" w:rsidRDefault="00D95418" w:rsidP="003F41FB">
      <w:pPr>
        <w:spacing w:after="0" w:line="360" w:lineRule="auto"/>
        <w:ind w:right="49"/>
        <w:jc w:val="both"/>
        <w:rPr>
          <w:rFonts w:ascii="Palatino Linotype" w:eastAsia="Palatino Linotype" w:hAnsi="Palatino Linotype" w:cs="Palatino Linotype"/>
          <w:sz w:val="24"/>
          <w:szCs w:val="24"/>
        </w:rPr>
      </w:pPr>
    </w:p>
    <w:p w14:paraId="14F5FE19"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3F41FB" w:rsidRPr="003F41FB">
        <w:rPr>
          <w:rFonts w:ascii="Palatino Linotype" w:eastAsia="Palatino Linotype" w:hAnsi="Palatino Linotype" w:cs="Palatino Linotype"/>
          <w:b/>
          <w:sz w:val="24"/>
          <w:szCs w:val="24"/>
        </w:rPr>
        <w:t>00333/TEPOTZOT/IP/2024</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w:t>
      </w:r>
      <w:r w:rsidR="00CB0774">
        <w:rPr>
          <w:rFonts w:ascii="Palatino Linotype" w:eastAsia="Palatino Linotype" w:hAnsi="Palatino Linotype" w:cs="Palatino Linotype"/>
          <w:sz w:val="24"/>
          <w:szCs w:val="24"/>
        </w:rPr>
        <w:t>sido materia del presente fallo</w:t>
      </w:r>
    </w:p>
    <w:p w14:paraId="3C21AFB7"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735EE6E1"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1ACC390E" w14:textId="77777777" w:rsidR="00D95418" w:rsidRDefault="00D95418" w:rsidP="003F41FB">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27B5968B"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7C5D1EC5"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1B726853"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3F41FB" w:rsidRPr="003F41FB">
        <w:rPr>
          <w:rFonts w:ascii="Palatino Linotype" w:eastAsia="Palatino Linotype" w:hAnsi="Palatino Linotype" w:cs="Palatino Linotype"/>
          <w:b/>
          <w:sz w:val="24"/>
          <w:szCs w:val="24"/>
        </w:rPr>
        <w:t>00333/TEPOTZOT/IP/2024</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14:paraId="0F18FC44"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4C927473" w14:textId="77777777" w:rsidR="00D95418" w:rsidRPr="00DF23DA" w:rsidRDefault="00D95418" w:rsidP="003F41FB">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8A3F03" w14:textId="77777777" w:rsidR="00D95418" w:rsidRPr="00DF23DA" w:rsidRDefault="00D95418" w:rsidP="003F41FB">
      <w:pPr>
        <w:tabs>
          <w:tab w:val="left" w:pos="8647"/>
        </w:tabs>
        <w:spacing w:after="0" w:line="360" w:lineRule="auto"/>
        <w:ind w:right="51"/>
        <w:jc w:val="both"/>
        <w:rPr>
          <w:rFonts w:ascii="Palatino Linotype" w:hAnsi="Palatino Linotype" w:cs="Arial"/>
          <w:sz w:val="24"/>
          <w:szCs w:val="24"/>
        </w:rPr>
      </w:pPr>
    </w:p>
    <w:p w14:paraId="37A02AC2" w14:textId="77777777" w:rsidR="00D95418" w:rsidRPr="00DF23DA" w:rsidRDefault="00D95418" w:rsidP="003F41FB">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695380F" w14:textId="77777777" w:rsidR="00D95418" w:rsidRPr="00DF23DA" w:rsidRDefault="00D95418" w:rsidP="003F41FB">
      <w:pPr>
        <w:spacing w:after="0" w:line="360" w:lineRule="auto"/>
        <w:jc w:val="both"/>
        <w:rPr>
          <w:rFonts w:ascii="Palatino Linotype" w:hAnsi="Palatino Linotype"/>
          <w:sz w:val="24"/>
          <w:szCs w:val="24"/>
          <w:lang w:eastAsia="es-ES_tradnl"/>
        </w:rPr>
      </w:pPr>
    </w:p>
    <w:p w14:paraId="75945A48" w14:textId="77777777" w:rsidR="00D95418" w:rsidRPr="00DF23DA" w:rsidRDefault="00D95418" w:rsidP="003F41FB">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w:t>
      </w:r>
      <w:r w:rsidRPr="008239ED">
        <w:rPr>
          <w:rFonts w:ascii="Palatino Linotype" w:hAnsi="Palatino Linotype" w:cs="Times New Roman"/>
          <w:sz w:val="24"/>
          <w:szCs w:val="24"/>
          <w:lang w:eastAsia="es-ES_tradnl"/>
        </w:rPr>
        <w:lastRenderedPageBreak/>
        <w:t xml:space="preserve">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14:paraId="57587D42" w14:textId="77777777" w:rsidR="00D95418" w:rsidRPr="00DF23DA" w:rsidRDefault="00D95418" w:rsidP="003F41FB">
      <w:pPr>
        <w:spacing w:after="0" w:line="360" w:lineRule="auto"/>
        <w:jc w:val="both"/>
        <w:rPr>
          <w:rFonts w:ascii="Palatino Linotype" w:hAnsi="Palatino Linotype" w:cs="Times New Roman"/>
          <w:sz w:val="24"/>
          <w:szCs w:val="24"/>
          <w:lang w:eastAsia="es-ES_tradnl"/>
        </w:rPr>
      </w:pPr>
    </w:p>
    <w:p w14:paraId="78CA259D" w14:textId="77777777" w:rsidR="00D95418" w:rsidRDefault="001B20A7" w:rsidP="003F41FB">
      <w:pPr>
        <w:spacing w:after="0" w:line="360" w:lineRule="auto"/>
        <w:jc w:val="both"/>
        <w:rPr>
          <w:rFonts w:ascii="Palatino Linotype" w:hAnsi="Palatino Linotype"/>
          <w:sz w:val="24"/>
          <w:szCs w:val="24"/>
          <w:lang w:eastAsia="es-ES_tradnl"/>
        </w:rPr>
      </w:pPr>
      <w:r>
        <w:rPr>
          <w:rFonts w:ascii="Palatino Linotype" w:hAnsi="Palatino Linotype" w:cs="Times New Roman"/>
          <w:b/>
          <w:noProof/>
          <w:sz w:val="28"/>
          <w:szCs w:val="24"/>
        </w:rPr>
        <mc:AlternateContent>
          <mc:Choice Requires="wps">
            <w:drawing>
              <wp:anchor distT="0" distB="0" distL="114300" distR="114300" simplePos="0" relativeHeight="251659264" behindDoc="0" locked="0" layoutInCell="1" allowOverlap="1" wp14:anchorId="20EAF2C6" wp14:editId="0E88C5EF">
                <wp:simplePos x="0" y="0"/>
                <wp:positionH relativeFrom="margin">
                  <wp:align>left</wp:align>
                </wp:positionH>
                <wp:positionV relativeFrom="paragraph">
                  <wp:posOffset>1579245</wp:posOffset>
                </wp:positionV>
                <wp:extent cx="5686108" cy="4686300"/>
                <wp:effectExtent l="0" t="0" r="29210" b="19050"/>
                <wp:wrapNone/>
                <wp:docPr id="3" name="Conector recto 3"/>
                <wp:cNvGraphicFramePr/>
                <a:graphic xmlns:a="http://schemas.openxmlformats.org/drawingml/2006/main">
                  <a:graphicData uri="http://schemas.microsoft.com/office/word/2010/wordprocessingShape">
                    <wps:wsp>
                      <wps:cNvCnPr/>
                      <wps:spPr>
                        <a:xfrm>
                          <a:off x="0" y="0"/>
                          <a:ext cx="5686108" cy="468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18446B" id="Conector recto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4.35pt" to="447.75pt,4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" strokecolor="#5b9bd5 [3204]" strokeweight=".5pt">
                <v:stroke joinstyle="miter"/>
                <w10:wrap anchorx="margin"/>
              </v:line>
            </w:pict>
          </mc:Fallback>
        </mc:AlternateContent>
      </w:r>
      <w:r w:rsidR="00D95418">
        <w:rPr>
          <w:rFonts w:ascii="Palatino Linotype" w:hAnsi="Palatino Linotype" w:cs="Times New Roman"/>
          <w:b/>
          <w:sz w:val="28"/>
          <w:szCs w:val="24"/>
          <w:lang w:eastAsia="es-ES_tradnl"/>
        </w:rPr>
        <w:t>SEXTO</w:t>
      </w:r>
      <w:r w:rsidR="00D95418">
        <w:rPr>
          <w:rFonts w:ascii="Palatino Linotype" w:hAnsi="Palatino Linotype" w:cs="Times New Roman"/>
          <w:b/>
          <w:sz w:val="24"/>
          <w:szCs w:val="24"/>
          <w:lang w:eastAsia="es-ES_tradnl"/>
        </w:rPr>
        <w:t xml:space="preserve">. - </w:t>
      </w:r>
      <w:r w:rsidR="00D95418" w:rsidRPr="00354C36">
        <w:rPr>
          <w:rFonts w:ascii="Palatino Linotype" w:hAnsi="Palatino Linotype"/>
          <w:b/>
          <w:sz w:val="24"/>
          <w:szCs w:val="24"/>
          <w:lang w:eastAsia="es-ES_tradnl"/>
        </w:rPr>
        <w:t xml:space="preserve">Gírese </w:t>
      </w:r>
      <w:r w:rsidR="00D95418" w:rsidRPr="00354C36">
        <w:rPr>
          <w:rFonts w:ascii="Palatino Linotype" w:hAnsi="Palatino Linotype"/>
          <w:sz w:val="24"/>
          <w:szCs w:val="24"/>
          <w:lang w:eastAsia="es-ES_tradnl"/>
        </w:rPr>
        <w:t xml:space="preserve">oficio a </w:t>
      </w:r>
      <w:r w:rsidR="00D95418" w:rsidRPr="000115A8">
        <w:rPr>
          <w:rFonts w:ascii="Palatino Linotype" w:hAnsi="Palatino Linotype"/>
          <w:sz w:val="24"/>
          <w:szCs w:val="24"/>
          <w:lang w:eastAsia="es-ES_tradnl"/>
        </w:rPr>
        <w:t>la Secretaría Técnica del Pleno</w:t>
      </w:r>
      <w:r w:rsidR="00D95418" w:rsidRPr="00354C36">
        <w:rPr>
          <w:rFonts w:ascii="Palatino Linotype" w:hAnsi="Palatino Linotype"/>
          <w:sz w:val="24"/>
          <w:szCs w:val="24"/>
          <w:lang w:eastAsia="es-ES_tradnl"/>
        </w:rPr>
        <w:t xml:space="preserve"> de este Instituto para hacer del conocimiento del Órgano de Control</w:t>
      </w:r>
      <w:r w:rsidR="00D95418">
        <w:rPr>
          <w:rFonts w:ascii="Palatino Linotype" w:hAnsi="Palatino Linotype"/>
          <w:sz w:val="24"/>
          <w:szCs w:val="24"/>
          <w:lang w:eastAsia="es-ES_tradnl"/>
        </w:rPr>
        <w:t xml:space="preserve"> Interno</w:t>
      </w:r>
      <w:r w:rsidR="00D95418"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sidR="00D95418">
        <w:rPr>
          <w:rFonts w:ascii="Palatino Linotype" w:hAnsi="Palatino Linotype"/>
          <w:b/>
          <w:bCs/>
          <w:sz w:val="24"/>
          <w:szCs w:val="24"/>
          <w:lang w:eastAsia="es-ES_tradnl"/>
        </w:rPr>
        <w:t>TERCERO</w:t>
      </w:r>
      <w:r w:rsidR="00D95418" w:rsidRPr="00354C36">
        <w:rPr>
          <w:rFonts w:ascii="Palatino Linotype" w:hAnsi="Palatino Linotype"/>
          <w:sz w:val="24"/>
          <w:szCs w:val="24"/>
          <w:lang w:eastAsia="es-ES_tradnl"/>
        </w:rPr>
        <w:t xml:space="preserve"> de la presente resolución.</w:t>
      </w:r>
    </w:p>
    <w:p w14:paraId="7E11F3AA"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11BDB5E0"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35F70241"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601E5413"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068C3C4A"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4CF19F20"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6C7269F6"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7C57EC50"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5411B345"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461741CC"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0543FFE3"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1CBC539A"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7FDFEDE5"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4CB657D0"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0A539684"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0273EF2E"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34AB7AD9"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3194A715" w14:textId="12C6F781"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62B78">
        <w:rPr>
          <w:rFonts w:ascii="Palatino Linotype" w:eastAsia="Palatino Linotype" w:hAnsi="Palatino Linotype" w:cs="Palatino Linotype"/>
          <w:sz w:val="24"/>
          <w:szCs w:val="24"/>
        </w:rPr>
        <w:t>OCTAVA</w:t>
      </w:r>
      <w:r>
        <w:rPr>
          <w:rFonts w:ascii="Palatino Linotype" w:eastAsia="Palatino Linotype" w:hAnsi="Palatino Linotype" w:cs="Palatino Linotype"/>
          <w:sz w:val="24"/>
          <w:szCs w:val="24"/>
        </w:rPr>
        <w:t xml:space="preserve"> SESIÓN ORDINARIA CELEBRADA EL </w:t>
      </w:r>
      <w:r w:rsidR="00262B78">
        <w:rPr>
          <w:rFonts w:ascii="Palatino Linotype" w:eastAsia="Palatino Linotype" w:hAnsi="Palatino Linotype" w:cs="Palatino Linotype"/>
          <w:sz w:val="24"/>
          <w:szCs w:val="24"/>
        </w:rPr>
        <w:t>SEIS DE MARZO</w:t>
      </w:r>
      <w:r>
        <w:rPr>
          <w:rFonts w:ascii="Palatino Linotype" w:eastAsia="Palatino Linotype" w:hAnsi="Palatino Linotype" w:cs="Palatino Linotype"/>
          <w:sz w:val="24"/>
          <w:szCs w:val="24"/>
        </w:rPr>
        <w:t xml:space="preserve"> DE DOS MIL VEINTICINCO, ANTE EL SECRETARIO TÉCNICO DEL PLENO, ALEXIS TAPIA RAMÍREZ. --------------------------------------------------------------------------------------------------</w:t>
      </w:r>
      <w:r w:rsidR="001B20A7">
        <w:rPr>
          <w:rFonts w:ascii="Palatino Linotype" w:eastAsia="Palatino Linotype" w:hAnsi="Palatino Linotype" w:cs="Palatino Linotype"/>
          <w:sz w:val="24"/>
          <w:szCs w:val="24"/>
        </w:rPr>
        <w:t>------------------------------------------------------------------------------------------------------------------------------------------------------------------------------------------------------------------------------------------------------------------------------------------------------------------------------------------------------------------------------------------------------------------------------------------------------------------------------------------------------------------------------------------------------------------------------------------------------------------------------------------------------------------------------------------------------------------------------------------------------------------------------------------------------------------------------------------------------------------------------------------------------------------------------------------------------------------------------------------------------------------------------------------------------------------------------------------------------------------------------------------------------------------------------------------------------------------------------------------------------------------------------------------------------------------------------------------------------------------------------------------------------------</w:t>
      </w:r>
    </w:p>
    <w:p w14:paraId="2EDAAFB7" w14:textId="70AC60B9" w:rsidR="00D95418" w:rsidRPr="0038340D" w:rsidRDefault="003F41FB" w:rsidP="003F41FB">
      <w:pPr>
        <w:spacing w:after="0" w:line="360" w:lineRule="auto"/>
        <w:jc w:val="both"/>
        <w:rPr>
          <w:rFonts w:ascii="Palatino Linotype" w:eastAsia="Palatino Linotype" w:hAnsi="Palatino Linotype" w:cs="Palatino Linotype"/>
          <w:sz w:val="18"/>
          <w:szCs w:val="20"/>
        </w:rPr>
      </w:pPr>
      <w:r>
        <w:rPr>
          <w:rFonts w:ascii="Palatino Linotype" w:eastAsia="Palatino Linotype" w:hAnsi="Palatino Linotype" w:cs="Palatino Linotype"/>
          <w:sz w:val="18"/>
          <w:szCs w:val="20"/>
        </w:rPr>
        <w:t>JMV/CCR/</w:t>
      </w:r>
      <w:r w:rsidR="00262B78">
        <w:rPr>
          <w:rFonts w:ascii="Palatino Linotype" w:eastAsia="Palatino Linotype" w:hAnsi="Palatino Linotype" w:cs="Palatino Linotype"/>
          <w:sz w:val="18"/>
          <w:szCs w:val="20"/>
        </w:rPr>
        <w:t>FJJC</w:t>
      </w:r>
    </w:p>
    <w:p w14:paraId="1693C637"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E27F170"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1D663E24"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766AA67E" w14:textId="77777777" w:rsidR="00D95418" w:rsidRDefault="00D95418" w:rsidP="003F41FB">
      <w:pPr>
        <w:spacing w:after="0"/>
        <w:rPr>
          <w:rFonts w:ascii="Palatino Linotype" w:eastAsia="Palatino Linotype" w:hAnsi="Palatino Linotype" w:cs="Palatino Linotype"/>
        </w:rPr>
      </w:pPr>
    </w:p>
    <w:p w14:paraId="7482318C" w14:textId="77777777" w:rsidR="00D95418" w:rsidRDefault="00D95418" w:rsidP="003F41FB">
      <w:pPr>
        <w:spacing w:after="0"/>
        <w:rPr>
          <w:rFonts w:ascii="Palatino Linotype" w:eastAsia="Palatino Linotype" w:hAnsi="Palatino Linotype" w:cs="Palatino Linotype"/>
        </w:rPr>
      </w:pPr>
    </w:p>
    <w:p w14:paraId="41B3B8C7" w14:textId="77777777" w:rsidR="00D95418" w:rsidRDefault="00D95418" w:rsidP="003F41FB">
      <w:pPr>
        <w:spacing w:after="0"/>
        <w:rPr>
          <w:rFonts w:ascii="Palatino Linotype" w:eastAsia="Palatino Linotype" w:hAnsi="Palatino Linotype" w:cs="Palatino Linotype"/>
        </w:rPr>
      </w:pPr>
    </w:p>
    <w:p w14:paraId="26C479F2" w14:textId="77777777" w:rsidR="00D95418" w:rsidRDefault="00D95418" w:rsidP="003F41FB">
      <w:pPr>
        <w:spacing w:after="0"/>
        <w:rPr>
          <w:rFonts w:ascii="Palatino Linotype" w:eastAsia="Palatino Linotype" w:hAnsi="Palatino Linotype" w:cs="Palatino Linotype"/>
        </w:rPr>
      </w:pPr>
    </w:p>
    <w:p w14:paraId="5A86EF9C" w14:textId="77777777" w:rsidR="00D95418" w:rsidRDefault="00D95418" w:rsidP="003F41FB">
      <w:pPr>
        <w:spacing w:after="0"/>
        <w:rPr>
          <w:rFonts w:ascii="Palatino Linotype" w:eastAsia="Palatino Linotype" w:hAnsi="Palatino Linotype" w:cs="Palatino Linotype"/>
        </w:rPr>
      </w:pPr>
    </w:p>
    <w:p w14:paraId="05A32471" w14:textId="77777777" w:rsidR="00D95418" w:rsidRDefault="00D95418" w:rsidP="003F41FB">
      <w:pPr>
        <w:spacing w:after="0"/>
        <w:rPr>
          <w:rFonts w:ascii="Palatino Linotype" w:eastAsia="Palatino Linotype" w:hAnsi="Palatino Linotype" w:cs="Palatino Linotype"/>
        </w:rPr>
      </w:pPr>
    </w:p>
    <w:p w14:paraId="5EB9C4B0" w14:textId="77777777" w:rsidR="00D95418" w:rsidRDefault="00D95418" w:rsidP="003F41FB">
      <w:pPr>
        <w:spacing w:after="0"/>
        <w:rPr>
          <w:rFonts w:ascii="Palatino Linotype" w:eastAsia="Palatino Linotype" w:hAnsi="Palatino Linotype" w:cs="Palatino Linotype"/>
        </w:rPr>
      </w:pPr>
    </w:p>
    <w:p w14:paraId="17BB7246" w14:textId="77777777" w:rsidR="00D95418" w:rsidRDefault="00D95418" w:rsidP="003F41FB">
      <w:pPr>
        <w:spacing w:after="0"/>
        <w:rPr>
          <w:rFonts w:ascii="Palatino Linotype" w:eastAsia="Palatino Linotype" w:hAnsi="Palatino Linotype" w:cs="Palatino Linotype"/>
        </w:rPr>
      </w:pPr>
    </w:p>
    <w:p w14:paraId="0D1BB535" w14:textId="77777777" w:rsidR="00D95418" w:rsidRDefault="00D95418" w:rsidP="003F41FB">
      <w:pPr>
        <w:spacing w:after="0"/>
      </w:pPr>
    </w:p>
    <w:p w14:paraId="7B037A8E" w14:textId="77777777" w:rsidR="00D95418" w:rsidRDefault="00D95418" w:rsidP="003F41FB">
      <w:pPr>
        <w:spacing w:after="0"/>
      </w:pPr>
    </w:p>
    <w:p w14:paraId="4F81A4A7" w14:textId="77777777" w:rsidR="00D95418" w:rsidRDefault="00D95418" w:rsidP="003F41FB">
      <w:pPr>
        <w:spacing w:after="0"/>
      </w:pPr>
    </w:p>
    <w:p w14:paraId="3B96794E" w14:textId="77777777" w:rsidR="00D95418" w:rsidRDefault="00D95418" w:rsidP="003F41FB">
      <w:pPr>
        <w:spacing w:after="0"/>
      </w:pPr>
    </w:p>
    <w:p w14:paraId="16B868A0" w14:textId="77777777" w:rsidR="00D95418" w:rsidRDefault="00D95418" w:rsidP="003F41FB">
      <w:pPr>
        <w:spacing w:after="0"/>
      </w:pPr>
    </w:p>
    <w:p w14:paraId="3B9279F2" w14:textId="77777777" w:rsidR="00D95418" w:rsidRDefault="00D95418" w:rsidP="003F41FB">
      <w:pPr>
        <w:spacing w:after="0"/>
      </w:pPr>
    </w:p>
    <w:p w14:paraId="7D5D1F1D" w14:textId="77777777" w:rsidR="00D95418" w:rsidRDefault="00D95418" w:rsidP="003F41FB">
      <w:pPr>
        <w:spacing w:after="0"/>
      </w:pPr>
    </w:p>
    <w:p w14:paraId="787F9271" w14:textId="77777777" w:rsidR="00D95418" w:rsidRDefault="00D95418" w:rsidP="003F41FB">
      <w:pPr>
        <w:spacing w:after="0"/>
      </w:pPr>
    </w:p>
    <w:p w14:paraId="51220371" w14:textId="77777777" w:rsidR="00D95418" w:rsidRDefault="00D95418" w:rsidP="003F41FB">
      <w:pPr>
        <w:spacing w:after="0"/>
      </w:pPr>
    </w:p>
    <w:sectPr w:rsidR="00D95418">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AF719" w14:textId="77777777" w:rsidR="00D95418" w:rsidRDefault="00D95418" w:rsidP="00D95418">
      <w:pPr>
        <w:spacing w:after="0" w:line="240" w:lineRule="auto"/>
      </w:pPr>
      <w:r>
        <w:separator/>
      </w:r>
    </w:p>
  </w:endnote>
  <w:endnote w:type="continuationSeparator" w:id="0">
    <w:p w14:paraId="4AFB0EF6" w14:textId="77777777" w:rsidR="00D95418" w:rsidRDefault="00D95418" w:rsidP="00D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ED25" w14:textId="77777777" w:rsidR="001E37B2"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D6E16">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D6E16">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32268D6B" w14:textId="77777777" w:rsidR="001E37B2" w:rsidRDefault="001E37B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EA266" w14:textId="77777777" w:rsidR="001E37B2"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D6E1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D6E16">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1688FCE6" w14:textId="77777777" w:rsidR="001E37B2" w:rsidRDefault="001E37B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AE39" w14:textId="77777777" w:rsidR="00D95418" w:rsidRDefault="00D95418" w:rsidP="00D95418">
      <w:pPr>
        <w:spacing w:after="0" w:line="240" w:lineRule="auto"/>
      </w:pPr>
      <w:r>
        <w:separator/>
      </w:r>
    </w:p>
  </w:footnote>
  <w:footnote w:type="continuationSeparator" w:id="0">
    <w:p w14:paraId="1720F166" w14:textId="77777777" w:rsidR="00D95418" w:rsidRDefault="00D95418" w:rsidP="00D9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CCD0F" w14:textId="77777777" w:rsidR="001E37B2" w:rsidRDefault="001E37B2">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14:paraId="14B5E968" w14:textId="77777777">
      <w:trPr>
        <w:trHeight w:val="227"/>
      </w:trPr>
      <w:tc>
        <w:tcPr>
          <w:tcW w:w="5246" w:type="dxa"/>
        </w:tcPr>
        <w:p w14:paraId="4B235DEA" w14:textId="77777777" w:rsidR="001E37B2"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26D6ACF5" w14:textId="77777777" w:rsidR="001E37B2" w:rsidRDefault="00CB0774" w:rsidP="0057073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3F41FB">
            <w:rPr>
              <w:rFonts w:ascii="Palatino Linotype" w:eastAsia="Palatino Linotype" w:hAnsi="Palatino Linotype" w:cs="Palatino Linotype"/>
              <w:b/>
              <w:sz w:val="24"/>
              <w:szCs w:val="24"/>
            </w:rPr>
            <w:t>49</w:t>
          </w:r>
          <w:r w:rsidR="00D95418">
            <w:rPr>
              <w:rFonts w:ascii="Palatino Linotype" w:eastAsia="Palatino Linotype" w:hAnsi="Palatino Linotype" w:cs="Palatino Linotype"/>
              <w:b/>
              <w:sz w:val="24"/>
              <w:szCs w:val="24"/>
            </w:rPr>
            <w:t>5/INFOEM/IP/RR/2025</w:t>
          </w:r>
        </w:p>
      </w:tc>
    </w:tr>
    <w:tr w:rsidR="0069244D" w14:paraId="15CC0BEA" w14:textId="77777777">
      <w:trPr>
        <w:trHeight w:val="242"/>
      </w:trPr>
      <w:tc>
        <w:tcPr>
          <w:tcW w:w="5246" w:type="dxa"/>
        </w:tcPr>
        <w:p w14:paraId="21C7E950" w14:textId="77777777" w:rsidR="001E37B2"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0D4E7430" w14:textId="77777777" w:rsidR="001E37B2" w:rsidRDefault="00D95418">
          <w:pPr>
            <w:spacing w:after="120" w:line="256" w:lineRule="auto"/>
            <w:ind w:left="-486" w:right="214" w:firstLine="284"/>
            <w:jc w:val="right"/>
            <w:rPr>
              <w:rFonts w:ascii="Palatino Linotype" w:eastAsia="Palatino Linotype" w:hAnsi="Palatino Linotype" w:cs="Palatino Linotype"/>
              <w:b/>
              <w:sz w:val="24"/>
              <w:szCs w:val="24"/>
            </w:rPr>
          </w:pPr>
          <w:r w:rsidRPr="00D95418">
            <w:rPr>
              <w:rFonts w:ascii="Palatino Linotype" w:eastAsia="Palatino Linotype" w:hAnsi="Palatino Linotype" w:cs="Palatino Linotype"/>
              <w:b/>
              <w:color w:val="000000"/>
              <w:sz w:val="24"/>
              <w:szCs w:val="24"/>
            </w:rPr>
            <w:t>Ayuntamiento de Tepotzotlán</w:t>
          </w:r>
        </w:p>
      </w:tc>
    </w:tr>
    <w:tr w:rsidR="0069244D" w14:paraId="7EEAC047" w14:textId="77777777">
      <w:trPr>
        <w:trHeight w:val="342"/>
      </w:trPr>
      <w:tc>
        <w:tcPr>
          <w:tcW w:w="5246" w:type="dxa"/>
        </w:tcPr>
        <w:p w14:paraId="4FF1C582" w14:textId="77777777" w:rsidR="001E37B2"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0932DA3B" w14:textId="77777777" w:rsidR="001E37B2"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0EDF6280" w14:textId="77777777" w:rsidR="001E37B2" w:rsidRDefault="00CB0774">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792C1412" wp14:editId="2B0AE8A8">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06952" w14:textId="77777777" w:rsidR="001E37B2" w:rsidRDefault="001E37B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14:paraId="4D5C88D6" w14:textId="77777777">
      <w:trPr>
        <w:trHeight w:val="227"/>
      </w:trPr>
      <w:tc>
        <w:tcPr>
          <w:tcW w:w="5104" w:type="dxa"/>
        </w:tcPr>
        <w:p w14:paraId="73253BF6" w14:textId="77777777" w:rsidR="001E37B2" w:rsidRDefault="00CB0774">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14:paraId="767A5003" w14:textId="77777777" w:rsidR="001E37B2" w:rsidRDefault="00CB0774" w:rsidP="00D95418">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3F41FB">
            <w:rPr>
              <w:rFonts w:ascii="Palatino Linotype" w:eastAsia="Palatino Linotype" w:hAnsi="Palatino Linotype" w:cs="Palatino Linotype"/>
              <w:b/>
              <w:sz w:val="24"/>
              <w:szCs w:val="24"/>
            </w:rPr>
            <w:t>49</w:t>
          </w:r>
          <w:r w:rsidR="00D95418">
            <w:rPr>
              <w:rFonts w:ascii="Palatino Linotype" w:eastAsia="Palatino Linotype" w:hAnsi="Palatino Linotype" w:cs="Palatino Linotype"/>
              <w:b/>
              <w:sz w:val="24"/>
              <w:szCs w:val="24"/>
            </w:rPr>
            <w:t>5/INFOEM/IP/RR/2025</w:t>
          </w:r>
        </w:p>
      </w:tc>
    </w:tr>
    <w:tr w:rsidR="0069244D" w14:paraId="3CB4FCF6" w14:textId="77777777">
      <w:trPr>
        <w:trHeight w:val="242"/>
      </w:trPr>
      <w:tc>
        <w:tcPr>
          <w:tcW w:w="5104" w:type="dxa"/>
        </w:tcPr>
        <w:p w14:paraId="71FA5C6C" w14:textId="77777777" w:rsidR="001E37B2"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2CB87D8B" w14:textId="77777777" w:rsidR="001E37B2" w:rsidRDefault="00D95418">
          <w:pPr>
            <w:spacing w:after="120" w:line="256" w:lineRule="auto"/>
            <w:ind w:left="-486" w:right="214" w:firstLine="284"/>
            <w:jc w:val="right"/>
            <w:rPr>
              <w:rFonts w:ascii="Palatino Linotype" w:eastAsia="Palatino Linotype" w:hAnsi="Palatino Linotype" w:cs="Palatino Linotype"/>
              <w:b/>
            </w:rPr>
          </w:pPr>
          <w:r w:rsidRPr="00D95418">
            <w:rPr>
              <w:rFonts w:ascii="Palatino Linotype" w:eastAsia="Palatino Linotype" w:hAnsi="Palatino Linotype" w:cs="Palatino Linotype"/>
              <w:b/>
              <w:color w:val="000000"/>
              <w:sz w:val="24"/>
              <w:szCs w:val="24"/>
            </w:rPr>
            <w:t>Ayuntamiento de Tepotzotlán</w:t>
          </w:r>
        </w:p>
      </w:tc>
    </w:tr>
    <w:tr w:rsidR="0069244D" w14:paraId="3AE598E8" w14:textId="77777777">
      <w:trPr>
        <w:trHeight w:val="342"/>
      </w:trPr>
      <w:tc>
        <w:tcPr>
          <w:tcW w:w="5104" w:type="dxa"/>
        </w:tcPr>
        <w:p w14:paraId="06593D71" w14:textId="77777777" w:rsidR="001E37B2"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2896C3E3" w14:textId="6228CE30" w:rsidR="001E37B2" w:rsidRDefault="00CB0774">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60288" behindDoc="1" locked="0" layoutInCell="1" hidden="0" allowOverlap="1" wp14:anchorId="5C8C4115" wp14:editId="0BA9AA7C">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4D6E16">
            <w:rPr>
              <w:rFonts w:ascii="Palatino Linotype" w:eastAsia="Palatino Linotype" w:hAnsi="Palatino Linotype" w:cs="Palatino Linotype"/>
              <w:b/>
            </w:rPr>
            <w:t>XXXX</w:t>
          </w:r>
        </w:p>
      </w:tc>
    </w:tr>
    <w:tr w:rsidR="0069244D" w14:paraId="279DF947" w14:textId="77777777">
      <w:trPr>
        <w:trHeight w:val="342"/>
      </w:trPr>
      <w:tc>
        <w:tcPr>
          <w:tcW w:w="5104" w:type="dxa"/>
        </w:tcPr>
        <w:p w14:paraId="1527D406" w14:textId="77777777" w:rsidR="001E37B2"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33FDB88E" w14:textId="77777777" w:rsidR="001E37B2"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7270DC87" w14:textId="77777777" w:rsidR="001E37B2" w:rsidRDefault="001E37B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8"/>
    <w:rsid w:val="00070735"/>
    <w:rsid w:val="001B20A7"/>
    <w:rsid w:val="001E37B2"/>
    <w:rsid w:val="0025066A"/>
    <w:rsid w:val="00262B78"/>
    <w:rsid w:val="003F41FB"/>
    <w:rsid w:val="004D6E16"/>
    <w:rsid w:val="00802553"/>
    <w:rsid w:val="009F4E1E"/>
    <w:rsid w:val="00CB0774"/>
    <w:rsid w:val="00D95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58A5"/>
  <w15:chartTrackingRefBased/>
  <w15:docId w15:val="{07329FF9-3F19-4F66-B110-AA428B9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18"/>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95418"/>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9541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9541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9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418"/>
    <w:rPr>
      <w:rFonts w:ascii="Calibri" w:eastAsia="Calibri" w:hAnsi="Calibri" w:cs="Calibri"/>
      <w:lang w:eastAsia="es-MX"/>
    </w:rPr>
  </w:style>
  <w:style w:type="paragraph" w:styleId="Piedepgina">
    <w:name w:val="footer"/>
    <w:basedOn w:val="Normal"/>
    <w:link w:val="PiedepginaCar"/>
    <w:uiPriority w:val="99"/>
    <w:unhideWhenUsed/>
    <w:rsid w:val="00D9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418"/>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3444</Words>
  <Characters>18944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5</cp:revision>
  <dcterms:created xsi:type="dcterms:W3CDTF">2025-02-18T22:48:00Z</dcterms:created>
  <dcterms:modified xsi:type="dcterms:W3CDTF">2025-03-26T17:21:00Z</dcterms:modified>
</cp:coreProperties>
</file>