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17" w:rsidRPr="00EA6E01" w:rsidRDefault="00207D17" w:rsidP="00AD3CCC">
      <w:pPr>
        <w:tabs>
          <w:tab w:val="left" w:pos="3465"/>
        </w:tabs>
        <w:spacing w:line="360" w:lineRule="auto"/>
        <w:jc w:val="both"/>
        <w:rPr>
          <w:rFonts w:ascii="Palatino Linotype" w:hAnsi="Palatino Linotype"/>
        </w:rPr>
      </w:pPr>
      <w:r w:rsidRPr="00EA6E01">
        <w:rPr>
          <w:rFonts w:ascii="Palatino Linotype" w:hAnsi="Palatino Linotype"/>
        </w:rPr>
        <w:t>Re</w:t>
      </w:r>
      <w:bookmarkStart w:id="0" w:name="_GoBack"/>
      <w:bookmarkEnd w:id="0"/>
      <w:r w:rsidRPr="00EA6E01">
        <w:rPr>
          <w:rFonts w:ascii="Palatino Linotype" w:hAnsi="Palatino Linotype"/>
        </w:rPr>
        <w:t>solución del Pleno del Instituto de Transparencia, Acceso a la Información Pública y Protección de Datos Personales del Estado de México y Municipios, con domicilio en Metepec, Estado de Méx</w:t>
      </w:r>
      <w:r w:rsidR="005023FA" w:rsidRPr="00EA6E01">
        <w:rPr>
          <w:rFonts w:ascii="Palatino Linotype" w:hAnsi="Palatino Linotype"/>
        </w:rPr>
        <w:t xml:space="preserve">ico; </w:t>
      </w:r>
      <w:r w:rsidR="005023FA" w:rsidRPr="00EA6E01">
        <w:rPr>
          <w:rFonts w:ascii="Palatino Linotype" w:hAnsi="Palatino Linotype"/>
          <w:b/>
        </w:rPr>
        <w:t>de</w:t>
      </w:r>
      <w:r w:rsidR="00694676">
        <w:rPr>
          <w:rFonts w:ascii="Palatino Linotype" w:hAnsi="Palatino Linotype"/>
          <w:b/>
        </w:rPr>
        <w:t xml:space="preserve"> fecha </w:t>
      </w:r>
      <w:r w:rsidR="00A37303" w:rsidRPr="00EA6E01">
        <w:rPr>
          <w:rFonts w:ascii="Palatino Linotype" w:hAnsi="Palatino Linotype"/>
          <w:b/>
        </w:rPr>
        <w:t>once</w:t>
      </w:r>
      <w:r w:rsidR="00694676">
        <w:rPr>
          <w:rFonts w:ascii="Palatino Linotype" w:hAnsi="Palatino Linotype"/>
          <w:b/>
        </w:rPr>
        <w:t xml:space="preserve"> (11)</w:t>
      </w:r>
      <w:r w:rsidR="00A37303" w:rsidRPr="00EA6E01">
        <w:rPr>
          <w:rFonts w:ascii="Palatino Linotype" w:hAnsi="Palatino Linotype"/>
          <w:b/>
        </w:rPr>
        <w:t xml:space="preserve"> </w:t>
      </w:r>
      <w:r w:rsidR="005023FA" w:rsidRPr="00EA6E01">
        <w:rPr>
          <w:rFonts w:ascii="Palatino Linotype" w:hAnsi="Palatino Linotype"/>
          <w:b/>
        </w:rPr>
        <w:t>de junio</w:t>
      </w:r>
      <w:r w:rsidRPr="00EA6E01">
        <w:rPr>
          <w:rFonts w:ascii="Palatino Linotype" w:hAnsi="Palatino Linotype"/>
          <w:b/>
        </w:rPr>
        <w:t xml:space="preserve"> de dos mil </w:t>
      </w:r>
      <w:r w:rsidR="00A37303" w:rsidRPr="00EA6E01">
        <w:rPr>
          <w:rFonts w:ascii="Palatino Linotype" w:hAnsi="Palatino Linotype"/>
          <w:b/>
        </w:rPr>
        <w:t>veinticinco</w:t>
      </w:r>
      <w:r w:rsidRPr="00EA6E01">
        <w:rPr>
          <w:rFonts w:ascii="Palatino Linotype" w:hAnsi="Palatino Linotype"/>
        </w:rPr>
        <w:t>.</w:t>
      </w:r>
    </w:p>
    <w:p w:rsidR="00C673EE" w:rsidRPr="00EA6E01" w:rsidRDefault="00C673EE" w:rsidP="00AD3CCC">
      <w:pPr>
        <w:tabs>
          <w:tab w:val="left" w:pos="3465"/>
        </w:tabs>
        <w:spacing w:line="360" w:lineRule="auto"/>
        <w:jc w:val="both"/>
        <w:rPr>
          <w:rFonts w:ascii="Palatino Linotype" w:hAnsi="Palatino Linotype"/>
        </w:rPr>
      </w:pPr>
    </w:p>
    <w:p w:rsidR="00207D17" w:rsidRPr="00EA6E01" w:rsidRDefault="00207D17" w:rsidP="00AD3CCC">
      <w:pPr>
        <w:spacing w:line="360" w:lineRule="auto"/>
        <w:jc w:val="both"/>
        <w:rPr>
          <w:rFonts w:ascii="Palatino Linotype" w:hAnsi="Palatino Linotype"/>
        </w:rPr>
      </w:pPr>
      <w:r w:rsidRPr="00EA6E01">
        <w:rPr>
          <w:rFonts w:ascii="Palatino Linotype" w:hAnsi="Palatino Linotype"/>
          <w:b/>
        </w:rPr>
        <w:t>VISTO</w:t>
      </w:r>
      <w:r w:rsidRPr="00EA6E01">
        <w:rPr>
          <w:rFonts w:ascii="Palatino Linotype" w:hAnsi="Palatino Linotype"/>
        </w:rPr>
        <w:t xml:space="preserve"> el expediente electrónico formado con motivo del </w:t>
      </w:r>
      <w:r w:rsidR="00A37303" w:rsidRPr="00EA6E01">
        <w:rPr>
          <w:rFonts w:ascii="Palatino Linotype" w:hAnsi="Palatino Linotype"/>
        </w:rPr>
        <w:t>Recurso de R</w:t>
      </w:r>
      <w:r w:rsidRPr="00EA6E01">
        <w:rPr>
          <w:rFonts w:ascii="Palatino Linotype" w:hAnsi="Palatino Linotype"/>
        </w:rPr>
        <w:t xml:space="preserve">evisión </w:t>
      </w:r>
      <w:r w:rsidR="00A37303" w:rsidRPr="00EA6E01">
        <w:rPr>
          <w:rFonts w:ascii="Palatino Linotype" w:hAnsi="Palatino Linotype"/>
          <w:b/>
        </w:rPr>
        <w:t>01848/INFOEM/IP/RR/2025</w:t>
      </w:r>
      <w:r w:rsidRPr="00EA6E01">
        <w:rPr>
          <w:rFonts w:ascii="Palatino Linotype" w:hAnsi="Palatino Linotype" w:cs="Arial"/>
          <w:b/>
          <w:bCs/>
        </w:rPr>
        <w:t xml:space="preserve">; </w:t>
      </w:r>
      <w:r w:rsidRPr="00EA6E01">
        <w:rPr>
          <w:rFonts w:ascii="Palatino Linotype" w:hAnsi="Palatino Linotype"/>
        </w:rPr>
        <w:t xml:space="preserve">promovido por </w:t>
      </w:r>
      <w:r w:rsidR="00694676">
        <w:rPr>
          <w:rFonts w:ascii="Palatino Linotype" w:hAnsi="Palatino Linotype"/>
          <w:b/>
        </w:rPr>
        <w:t>XXXX</w:t>
      </w:r>
      <w:r w:rsidRPr="00EA6E01">
        <w:rPr>
          <w:rFonts w:ascii="Palatino Linotype" w:hAnsi="Palatino Linotype"/>
        </w:rPr>
        <w:t xml:space="preserve">, quien en lo sucesivo se le identificará </w:t>
      </w:r>
      <w:r w:rsidRPr="00EA6E01">
        <w:rPr>
          <w:rFonts w:ascii="Palatino Linotype" w:hAnsi="Palatino Linotype" w:cs="Arial"/>
        </w:rPr>
        <w:t xml:space="preserve">como </w:t>
      </w:r>
      <w:r w:rsidR="00C55DB6" w:rsidRPr="00EA6E01">
        <w:rPr>
          <w:rFonts w:ascii="Palatino Linotype" w:hAnsi="Palatino Linotype" w:cs="Arial"/>
        </w:rPr>
        <w:t>el</w:t>
      </w:r>
      <w:r w:rsidRPr="00EA6E01">
        <w:rPr>
          <w:rFonts w:ascii="Palatino Linotype" w:hAnsi="Palatino Linotype" w:cs="Arial"/>
        </w:rPr>
        <w:t xml:space="preserve"> </w:t>
      </w:r>
      <w:r w:rsidRPr="00EA6E01">
        <w:rPr>
          <w:rFonts w:ascii="Palatino Linotype" w:hAnsi="Palatino Linotype" w:cs="Arial"/>
          <w:b/>
        </w:rPr>
        <w:t>RECURRENTE</w:t>
      </w:r>
      <w:r w:rsidRPr="00EA6E01">
        <w:rPr>
          <w:rFonts w:ascii="Palatino Linotype" w:hAnsi="Palatino Linotype" w:cs="Arial"/>
        </w:rPr>
        <w:t>, en contra de la respuesta del</w:t>
      </w:r>
      <w:r w:rsidRPr="00EA6E01">
        <w:rPr>
          <w:rFonts w:ascii="Palatino Linotype" w:hAnsi="Palatino Linotype"/>
        </w:rPr>
        <w:t xml:space="preserve"> </w:t>
      </w:r>
      <w:r w:rsidR="00A37303" w:rsidRPr="00EA6E01">
        <w:rPr>
          <w:rFonts w:ascii="Palatino Linotype" w:eastAsia="Calibri" w:hAnsi="Palatino Linotype" w:cs="Tahoma"/>
          <w:b/>
          <w:lang w:eastAsia="en-US"/>
        </w:rPr>
        <w:t>Ayuntamiento de Temoaya</w:t>
      </w:r>
      <w:r w:rsidRPr="00EA6E01">
        <w:rPr>
          <w:rFonts w:ascii="Palatino Linotype" w:hAnsi="Palatino Linotype"/>
          <w:b/>
        </w:rPr>
        <w:t xml:space="preserve">, </w:t>
      </w:r>
      <w:r w:rsidRPr="00EA6E01">
        <w:rPr>
          <w:rFonts w:ascii="Palatino Linotype" w:hAnsi="Palatino Linotype"/>
        </w:rPr>
        <w:t>en lo sucesivo el</w:t>
      </w:r>
      <w:r w:rsidRPr="00EA6E01">
        <w:rPr>
          <w:rFonts w:ascii="Palatino Linotype" w:hAnsi="Palatino Linotype"/>
          <w:b/>
        </w:rPr>
        <w:t xml:space="preserve"> SUJETO OBLIGADO, </w:t>
      </w:r>
      <w:r w:rsidRPr="00EA6E01">
        <w:rPr>
          <w:rFonts w:ascii="Palatino Linotype" w:hAnsi="Palatino Linotype"/>
        </w:rPr>
        <w:t xml:space="preserve">se procede a dictar la presente </w:t>
      </w:r>
      <w:r w:rsidR="00C55DB6" w:rsidRPr="00EA6E01">
        <w:rPr>
          <w:rFonts w:ascii="Palatino Linotype" w:hAnsi="Palatino Linotype"/>
        </w:rPr>
        <w:t>R</w:t>
      </w:r>
      <w:r w:rsidRPr="00EA6E01">
        <w:rPr>
          <w:rFonts w:ascii="Palatino Linotype" w:hAnsi="Palatino Linotype"/>
        </w:rPr>
        <w:t>esolución, con base en los siguientes:</w:t>
      </w:r>
    </w:p>
    <w:p w:rsidR="00C673EE" w:rsidRPr="00EA6E01" w:rsidRDefault="00C673EE" w:rsidP="00AD3CCC">
      <w:pPr>
        <w:spacing w:line="360" w:lineRule="auto"/>
        <w:jc w:val="both"/>
        <w:rPr>
          <w:rFonts w:ascii="Palatino Linotype" w:hAnsi="Palatino Linotype"/>
          <w:b/>
        </w:rPr>
      </w:pPr>
    </w:p>
    <w:p w:rsidR="00207D17" w:rsidRPr="00EA6E01" w:rsidRDefault="00207D17" w:rsidP="00AD3CCC">
      <w:pPr>
        <w:pStyle w:val="Ttulo1"/>
        <w:spacing w:before="0" w:line="360" w:lineRule="auto"/>
        <w:jc w:val="center"/>
        <w:rPr>
          <w:rFonts w:ascii="Palatino Linotype" w:hAnsi="Palatino Linotype"/>
          <w:b/>
          <w:color w:val="auto"/>
          <w:sz w:val="24"/>
          <w:szCs w:val="24"/>
        </w:rPr>
      </w:pPr>
      <w:bookmarkStart w:id="1" w:name="_Toc461555884"/>
      <w:bookmarkStart w:id="2" w:name="_Toc466371847"/>
      <w:bookmarkStart w:id="3" w:name="_Toc81233123"/>
      <w:r w:rsidRPr="00EA6E01">
        <w:rPr>
          <w:rFonts w:ascii="Palatino Linotype" w:hAnsi="Palatino Linotype"/>
          <w:b/>
          <w:color w:val="auto"/>
          <w:sz w:val="24"/>
          <w:szCs w:val="24"/>
        </w:rPr>
        <w:t>A</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N</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T</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E</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C</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E</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D</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E</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N</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T</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E</w:t>
      </w:r>
      <w:r w:rsidR="003B154C" w:rsidRPr="00EA6E01">
        <w:rPr>
          <w:rFonts w:ascii="Palatino Linotype" w:hAnsi="Palatino Linotype"/>
          <w:b/>
          <w:color w:val="auto"/>
          <w:sz w:val="24"/>
          <w:szCs w:val="24"/>
        </w:rPr>
        <w:t xml:space="preserve"> </w:t>
      </w:r>
      <w:r w:rsidRPr="00EA6E01">
        <w:rPr>
          <w:rFonts w:ascii="Palatino Linotype" w:hAnsi="Palatino Linotype"/>
          <w:b/>
          <w:color w:val="auto"/>
          <w:sz w:val="24"/>
          <w:szCs w:val="24"/>
        </w:rPr>
        <w:t>S</w:t>
      </w:r>
      <w:bookmarkEnd w:id="1"/>
      <w:bookmarkEnd w:id="2"/>
      <w:bookmarkEnd w:id="3"/>
    </w:p>
    <w:p w:rsidR="00C673EE" w:rsidRPr="00EA6E01" w:rsidRDefault="00C673EE" w:rsidP="00AD3CCC">
      <w:pPr>
        <w:spacing w:line="360" w:lineRule="auto"/>
        <w:rPr>
          <w:rFonts w:ascii="Palatino Linotype" w:hAnsi="Palatino Linotype"/>
        </w:rPr>
      </w:pPr>
    </w:p>
    <w:p w:rsidR="00207D17" w:rsidRPr="00EA6E01" w:rsidRDefault="005023FA" w:rsidP="00AD3CCC">
      <w:pPr>
        <w:pStyle w:val="Prrafodelista"/>
        <w:numPr>
          <w:ilvl w:val="0"/>
          <w:numId w:val="2"/>
        </w:numPr>
        <w:tabs>
          <w:tab w:val="left" w:pos="284"/>
        </w:tabs>
        <w:spacing w:line="360" w:lineRule="auto"/>
        <w:ind w:left="0" w:firstLine="0"/>
        <w:jc w:val="both"/>
        <w:rPr>
          <w:rFonts w:ascii="Palatino Linotype" w:eastAsia="Calibri" w:hAnsi="Palatino Linotype" w:cs="Arial"/>
          <w:sz w:val="24"/>
          <w:lang w:val="es-ES"/>
        </w:rPr>
      </w:pPr>
      <w:r w:rsidRPr="00EA6E01">
        <w:rPr>
          <w:rFonts w:ascii="Palatino Linotype" w:eastAsia="Calibri" w:hAnsi="Palatino Linotype" w:cs="Arial"/>
          <w:sz w:val="24"/>
          <w:lang w:val="es-ES"/>
        </w:rPr>
        <w:t xml:space="preserve">El </w:t>
      </w:r>
      <w:r w:rsidR="00A37303" w:rsidRPr="00EA6E01">
        <w:rPr>
          <w:rFonts w:ascii="Palatino Linotype" w:eastAsia="Calibri" w:hAnsi="Palatino Linotype" w:cs="Arial"/>
          <w:sz w:val="24"/>
          <w:lang w:val="es-ES"/>
        </w:rPr>
        <w:t>dieciséis</w:t>
      </w:r>
      <w:r w:rsidRPr="00EA6E01">
        <w:rPr>
          <w:rFonts w:ascii="Palatino Linotype" w:eastAsia="Calibri" w:hAnsi="Palatino Linotype" w:cs="Arial"/>
          <w:sz w:val="24"/>
          <w:lang w:val="es-ES"/>
        </w:rPr>
        <w:t xml:space="preserve"> de </w:t>
      </w:r>
      <w:r w:rsidR="00A37303" w:rsidRPr="00EA6E01">
        <w:rPr>
          <w:rFonts w:ascii="Palatino Linotype" w:eastAsia="Calibri" w:hAnsi="Palatino Linotype" w:cs="Arial"/>
          <w:sz w:val="24"/>
          <w:lang w:val="es-ES"/>
        </w:rPr>
        <w:t xml:space="preserve">enero </w:t>
      </w:r>
      <w:r w:rsidRPr="00EA6E01">
        <w:rPr>
          <w:rFonts w:ascii="Palatino Linotype" w:eastAsia="Calibri" w:hAnsi="Palatino Linotype" w:cs="Arial"/>
          <w:sz w:val="24"/>
          <w:lang w:val="es-ES"/>
        </w:rPr>
        <w:t xml:space="preserve">dos mil </w:t>
      </w:r>
      <w:r w:rsidR="00A37303" w:rsidRPr="00EA6E01">
        <w:rPr>
          <w:rFonts w:ascii="Palatino Linotype" w:eastAsia="Calibri" w:hAnsi="Palatino Linotype" w:cs="Arial"/>
          <w:sz w:val="24"/>
          <w:lang w:val="es-ES"/>
        </w:rPr>
        <w:t>veinticinco</w:t>
      </w:r>
      <w:r w:rsidR="00207D17" w:rsidRPr="00EA6E01">
        <w:rPr>
          <w:rFonts w:ascii="Palatino Linotype" w:hAnsi="Palatino Linotype"/>
          <w:b/>
          <w:sz w:val="24"/>
        </w:rPr>
        <w:t xml:space="preserve">, </w:t>
      </w:r>
      <w:r w:rsidR="00207D17" w:rsidRPr="00EA6E01">
        <w:rPr>
          <w:rFonts w:ascii="Palatino Linotype" w:eastAsia="Calibri" w:hAnsi="Palatino Linotype" w:cs="Arial"/>
          <w:sz w:val="24"/>
          <w:lang w:val="es-ES"/>
        </w:rPr>
        <w:t xml:space="preserve">se presentó ante el </w:t>
      </w:r>
      <w:r w:rsidR="00207D17" w:rsidRPr="00EA6E01">
        <w:rPr>
          <w:rFonts w:ascii="Palatino Linotype" w:eastAsia="Calibri" w:hAnsi="Palatino Linotype" w:cs="Arial"/>
          <w:b/>
          <w:sz w:val="24"/>
          <w:lang w:val="es-ES"/>
        </w:rPr>
        <w:t>SUJETO OBLIGADO</w:t>
      </w:r>
      <w:r w:rsidR="00207D17" w:rsidRPr="00EA6E01">
        <w:rPr>
          <w:rFonts w:ascii="Palatino Linotype" w:eastAsia="Calibri" w:hAnsi="Palatino Linotype" w:cs="Arial"/>
          <w:sz w:val="24"/>
        </w:rPr>
        <w:t xml:space="preserve"> vía </w:t>
      </w:r>
      <w:r w:rsidR="00207D17" w:rsidRPr="00EA6E01">
        <w:rPr>
          <w:rFonts w:ascii="Palatino Linotype" w:eastAsia="Calibri" w:hAnsi="Palatino Linotype" w:cs="Arial"/>
          <w:sz w:val="24"/>
          <w:lang w:val="es-ES"/>
        </w:rPr>
        <w:t xml:space="preserve">Sistema de Acceso a la Información Mexiquense </w:t>
      </w:r>
      <w:r w:rsidR="00207D17" w:rsidRPr="00EA6E01">
        <w:rPr>
          <w:rFonts w:ascii="Palatino Linotype" w:eastAsia="Calibri" w:hAnsi="Palatino Linotype" w:cs="Arial"/>
          <w:b/>
          <w:sz w:val="24"/>
          <w:lang w:val="es-ES"/>
        </w:rPr>
        <w:t>SAIMEX</w:t>
      </w:r>
      <w:r w:rsidR="00207D17" w:rsidRPr="00EA6E01">
        <w:rPr>
          <w:rFonts w:ascii="Palatino Linotype" w:eastAsia="Calibri" w:hAnsi="Palatino Linotype" w:cs="Arial"/>
          <w:sz w:val="24"/>
          <w:lang w:val="es-ES"/>
        </w:rPr>
        <w:t xml:space="preserve">, la solicitud de información pública registrada con el número </w:t>
      </w:r>
      <w:r w:rsidR="00A37303" w:rsidRPr="00EA6E01">
        <w:rPr>
          <w:rFonts w:ascii="Palatino Linotype" w:hAnsi="Palatino Linotype"/>
          <w:b/>
          <w:bCs/>
          <w:color w:val="000000" w:themeColor="text1"/>
          <w:sz w:val="24"/>
        </w:rPr>
        <w:t>00019/TEMOAYA/IP/2025</w:t>
      </w:r>
      <w:r w:rsidRPr="00EA6E01">
        <w:rPr>
          <w:rFonts w:ascii="Palatino Linotype" w:hAnsi="Palatino Linotype"/>
          <w:b/>
          <w:bCs/>
          <w:color w:val="000000" w:themeColor="text1"/>
          <w:sz w:val="24"/>
        </w:rPr>
        <w:t xml:space="preserve"> </w:t>
      </w:r>
      <w:r w:rsidR="00207D17" w:rsidRPr="00EA6E01">
        <w:rPr>
          <w:rFonts w:ascii="Palatino Linotype" w:eastAsia="Calibri" w:hAnsi="Palatino Linotype" w:cs="Arial"/>
          <w:sz w:val="24"/>
          <w:lang w:val="es-ES"/>
        </w:rPr>
        <w:t>mediante la cual solicitó:</w:t>
      </w:r>
    </w:p>
    <w:p w:rsidR="00C55DB6" w:rsidRPr="00EA6E01" w:rsidRDefault="00C55DB6" w:rsidP="00AD3CCC">
      <w:pPr>
        <w:pStyle w:val="Prrafodelista"/>
        <w:tabs>
          <w:tab w:val="left" w:pos="284"/>
        </w:tabs>
        <w:spacing w:line="360" w:lineRule="auto"/>
        <w:ind w:left="0"/>
        <w:jc w:val="both"/>
        <w:rPr>
          <w:rFonts w:ascii="Palatino Linotype" w:eastAsia="Calibri" w:hAnsi="Palatino Linotype" w:cs="Arial"/>
          <w:sz w:val="24"/>
          <w:lang w:val="es-ES"/>
        </w:rPr>
      </w:pPr>
    </w:p>
    <w:p w:rsidR="003B154C" w:rsidRPr="00EA6E01" w:rsidRDefault="00207D17" w:rsidP="00AD3CCC">
      <w:pPr>
        <w:pStyle w:val="Prrafodelista"/>
        <w:spacing w:line="360" w:lineRule="auto"/>
        <w:ind w:left="0"/>
        <w:jc w:val="both"/>
        <w:rPr>
          <w:rFonts w:ascii="Palatino Linotype" w:hAnsi="Palatino Linotype"/>
          <w:color w:val="000000"/>
          <w:sz w:val="24"/>
        </w:rPr>
      </w:pPr>
      <w:r w:rsidRPr="00EA6E01">
        <w:rPr>
          <w:rFonts w:ascii="Palatino Linotype" w:hAnsi="Palatino Linotype"/>
          <w:i/>
          <w:color w:val="000000"/>
          <w:sz w:val="24"/>
        </w:rPr>
        <w:t>“</w:t>
      </w:r>
      <w:r w:rsidR="00A37303" w:rsidRPr="00EA6E01">
        <w:rPr>
          <w:rFonts w:ascii="Palatino Linotype" w:hAnsi="Palatino Linotype"/>
          <w:i/>
          <w:color w:val="000000"/>
          <w:sz w:val="24"/>
        </w:rPr>
        <w:t>solicito el nombramiento de Mónica adscrita a presidencia y quien asume el cargo de secretaria particular de la Maestra Berenice carrillo, al igual que el interinato por dejar su plaza sindicalizados y ocupar este cargo de confianza, si ni fuera el caso, informar bajo que fundamento legal y los motivos con el que justifiquen que se hizo ese movimiento o si se dejo en interinato su plaza sindicalizada por parte de Recursos humanos y el SUTEYM, además del los recibos de nomina de la primera y segunda quincena de enero 2025 de la misma.</w:t>
      </w:r>
      <w:r w:rsidRPr="00EA6E01">
        <w:rPr>
          <w:rFonts w:ascii="Palatino Linotype" w:hAnsi="Palatino Linotype"/>
          <w:i/>
          <w:color w:val="000000"/>
          <w:sz w:val="24"/>
        </w:rPr>
        <w:t>”</w:t>
      </w:r>
      <w:r w:rsidRPr="00EA6E01">
        <w:rPr>
          <w:rFonts w:ascii="Palatino Linotype" w:hAnsi="Palatino Linotype"/>
          <w:color w:val="000000"/>
          <w:sz w:val="24"/>
        </w:rPr>
        <w:t xml:space="preserve"> (Sic)</w:t>
      </w:r>
    </w:p>
    <w:p w:rsidR="003B154C" w:rsidRPr="00EA6E01" w:rsidRDefault="003B154C" w:rsidP="00AD3CCC">
      <w:pPr>
        <w:pStyle w:val="Prrafodelista"/>
        <w:spacing w:line="360" w:lineRule="auto"/>
        <w:ind w:left="0"/>
        <w:jc w:val="both"/>
        <w:rPr>
          <w:rFonts w:ascii="Palatino Linotype" w:hAnsi="Palatino Linotype"/>
          <w:color w:val="000000"/>
          <w:sz w:val="24"/>
        </w:rPr>
      </w:pPr>
    </w:p>
    <w:p w:rsidR="00207D17" w:rsidRPr="00EA6E01" w:rsidRDefault="00207D17" w:rsidP="00AD3CCC">
      <w:pPr>
        <w:pStyle w:val="Prrafodelista"/>
        <w:numPr>
          <w:ilvl w:val="0"/>
          <w:numId w:val="2"/>
        </w:numPr>
        <w:tabs>
          <w:tab w:val="left" w:pos="284"/>
        </w:tabs>
        <w:spacing w:line="360" w:lineRule="auto"/>
        <w:ind w:left="0" w:firstLine="0"/>
        <w:jc w:val="both"/>
        <w:rPr>
          <w:rFonts w:ascii="Palatino Linotype" w:eastAsia="MS Mincho" w:hAnsi="Palatino Linotype"/>
          <w:sz w:val="24"/>
        </w:rPr>
      </w:pPr>
      <w:r w:rsidRPr="00EA6E01">
        <w:rPr>
          <w:rFonts w:ascii="Palatino Linotype" w:eastAsia="Calibri" w:hAnsi="Palatino Linotype" w:cs="Arial"/>
          <w:sz w:val="24"/>
          <w:lang w:val="es-AR"/>
        </w:rPr>
        <w:t>Se señaló</w:t>
      </w:r>
      <w:r w:rsidRPr="00EA6E01">
        <w:rPr>
          <w:rFonts w:ascii="Palatino Linotype" w:hAnsi="Palatino Linotype" w:cs="Arial"/>
          <w:sz w:val="24"/>
          <w:lang w:val="es-ES"/>
        </w:rPr>
        <w:t xml:space="preserve"> como modalidad de entrega de la información a través de </w:t>
      </w:r>
      <w:r w:rsidRPr="00EA6E01">
        <w:rPr>
          <w:rFonts w:ascii="Palatino Linotype" w:hAnsi="Palatino Linotype" w:cs="Arial"/>
          <w:b/>
          <w:sz w:val="24"/>
          <w:lang w:val="es-ES"/>
        </w:rPr>
        <w:t>SAIMEX</w:t>
      </w:r>
      <w:r w:rsidRPr="00EA6E01">
        <w:rPr>
          <w:rFonts w:ascii="Palatino Linotype" w:hAnsi="Palatino Linotype" w:cs="Arial"/>
          <w:sz w:val="24"/>
          <w:lang w:val="es-ES"/>
        </w:rPr>
        <w:t>.</w:t>
      </w:r>
    </w:p>
    <w:p w:rsidR="005023FA" w:rsidRPr="00EA6E01" w:rsidRDefault="005023FA" w:rsidP="00AD3CCC">
      <w:pPr>
        <w:pStyle w:val="Prrafodelista"/>
        <w:numPr>
          <w:ilvl w:val="0"/>
          <w:numId w:val="2"/>
        </w:numPr>
        <w:tabs>
          <w:tab w:val="left" w:pos="284"/>
        </w:tabs>
        <w:spacing w:line="360" w:lineRule="auto"/>
        <w:ind w:left="0" w:firstLine="0"/>
        <w:jc w:val="both"/>
        <w:rPr>
          <w:rFonts w:ascii="Palatino Linotype" w:hAnsi="Palatino Linotype" w:cs="Arial"/>
          <w:i/>
          <w:sz w:val="24"/>
        </w:rPr>
      </w:pPr>
      <w:r w:rsidRPr="00EA6E01">
        <w:rPr>
          <w:rFonts w:ascii="Palatino Linotype" w:hAnsi="Palatino Linotype" w:cs="Arial"/>
          <w:sz w:val="24"/>
        </w:rPr>
        <w:lastRenderedPageBreak/>
        <w:t xml:space="preserve">El </w:t>
      </w:r>
      <w:r w:rsidR="00A37303" w:rsidRPr="00EA6E01">
        <w:rPr>
          <w:rFonts w:ascii="Palatino Linotype" w:hAnsi="Palatino Linotype" w:cs="Arial"/>
          <w:sz w:val="24"/>
        </w:rPr>
        <w:t>siete</w:t>
      </w:r>
      <w:r w:rsidRPr="00EA6E01">
        <w:rPr>
          <w:rFonts w:ascii="Palatino Linotype" w:hAnsi="Palatino Linotype" w:cs="Arial"/>
          <w:sz w:val="24"/>
        </w:rPr>
        <w:t xml:space="preserve"> de </w:t>
      </w:r>
      <w:r w:rsidR="00A37303" w:rsidRPr="00EA6E01">
        <w:rPr>
          <w:rFonts w:ascii="Palatino Linotype" w:hAnsi="Palatino Linotype" w:cs="Arial"/>
          <w:sz w:val="24"/>
        </w:rPr>
        <w:t>febrero</w:t>
      </w:r>
      <w:r w:rsidRPr="00EA6E01">
        <w:rPr>
          <w:rFonts w:ascii="Palatino Linotype" w:hAnsi="Palatino Linotype" w:cs="Arial"/>
          <w:sz w:val="24"/>
        </w:rPr>
        <w:t xml:space="preserve"> de dos mil </w:t>
      </w:r>
      <w:r w:rsidR="00A37303" w:rsidRPr="00EA6E01">
        <w:rPr>
          <w:rFonts w:ascii="Palatino Linotype" w:hAnsi="Palatino Linotype" w:cs="Arial"/>
          <w:sz w:val="24"/>
        </w:rPr>
        <w:t>veinticinco</w:t>
      </w:r>
      <w:r w:rsidRPr="00EA6E01">
        <w:rPr>
          <w:rFonts w:ascii="Palatino Linotype" w:hAnsi="Palatino Linotype" w:cs="Arial"/>
          <w:sz w:val="24"/>
        </w:rPr>
        <w:t xml:space="preserve">, el Sujeto obligado </w:t>
      </w:r>
      <w:r w:rsidR="002C0527" w:rsidRPr="00EA6E01">
        <w:rPr>
          <w:rFonts w:ascii="Palatino Linotype" w:hAnsi="Palatino Linotype" w:cs="Arial"/>
          <w:sz w:val="24"/>
        </w:rPr>
        <w:t>emitió su respuesta a través de los siguientes dos archivos electrónicos</w:t>
      </w:r>
      <w:r w:rsidRPr="00EA6E01">
        <w:rPr>
          <w:rFonts w:ascii="Palatino Linotype" w:hAnsi="Palatino Linotype" w:cs="Arial"/>
          <w:sz w:val="24"/>
        </w:rPr>
        <w:t>:</w:t>
      </w:r>
    </w:p>
    <w:p w:rsidR="00A37303" w:rsidRPr="00EA6E01" w:rsidRDefault="00A37303" w:rsidP="00AD3CCC">
      <w:pPr>
        <w:pStyle w:val="Prrafodelista"/>
        <w:numPr>
          <w:ilvl w:val="0"/>
          <w:numId w:val="9"/>
        </w:numPr>
        <w:spacing w:line="360" w:lineRule="auto"/>
        <w:ind w:left="0"/>
        <w:jc w:val="both"/>
        <w:rPr>
          <w:rFonts w:ascii="Palatino Linotype" w:eastAsia="Calibri" w:hAnsi="Palatino Linotype" w:cs="Arial"/>
          <w:b/>
          <w:sz w:val="24"/>
          <w:lang w:val="es-AR"/>
        </w:rPr>
      </w:pPr>
      <w:r w:rsidRPr="00EA6E01">
        <w:rPr>
          <w:rFonts w:ascii="Palatino Linotype" w:eastAsia="Calibri" w:hAnsi="Palatino Linotype" w:cs="Arial"/>
          <w:b/>
          <w:sz w:val="24"/>
          <w:lang w:val="es-AR"/>
        </w:rPr>
        <w:t xml:space="preserve">RECURSOS HUMANOS SOL. 19.pdf, </w:t>
      </w:r>
      <w:r w:rsidRPr="00EA6E01">
        <w:rPr>
          <w:rFonts w:ascii="Palatino Linotype" w:eastAsia="Calibri" w:hAnsi="Palatino Linotype" w:cs="Arial"/>
          <w:sz w:val="24"/>
          <w:lang w:val="es-AR"/>
        </w:rPr>
        <w:t>que corresponde a un oficio signado por la Encargada de la Jefatura de Recursos Humanos a través del cual informa que se remite el nombramiento de la C. Mónica Gonzáles Ruiz y la licencia laboral sin goce de sueldo.</w:t>
      </w:r>
    </w:p>
    <w:p w:rsidR="00A37303" w:rsidRPr="00EA6E01" w:rsidRDefault="00A37303" w:rsidP="00AD3CCC">
      <w:pPr>
        <w:pStyle w:val="Prrafodelista"/>
        <w:spacing w:line="360" w:lineRule="auto"/>
        <w:ind w:left="0"/>
        <w:rPr>
          <w:rFonts w:ascii="Palatino Linotype" w:eastAsia="Calibri" w:hAnsi="Palatino Linotype" w:cs="Arial"/>
          <w:b/>
          <w:sz w:val="24"/>
          <w:lang w:val="es-AR"/>
        </w:rPr>
      </w:pPr>
    </w:p>
    <w:p w:rsidR="00A37303" w:rsidRPr="00EA6E01" w:rsidRDefault="00A37303" w:rsidP="00AD3CCC">
      <w:pPr>
        <w:pStyle w:val="Prrafodelista"/>
        <w:numPr>
          <w:ilvl w:val="0"/>
          <w:numId w:val="9"/>
        </w:numPr>
        <w:spacing w:line="360" w:lineRule="auto"/>
        <w:ind w:left="0"/>
        <w:jc w:val="both"/>
        <w:rPr>
          <w:rFonts w:ascii="Palatino Linotype" w:eastAsia="Calibri" w:hAnsi="Palatino Linotype" w:cs="Arial"/>
          <w:b/>
          <w:sz w:val="24"/>
          <w:lang w:val="es-AR"/>
        </w:rPr>
      </w:pPr>
      <w:r w:rsidRPr="00EA6E01">
        <w:rPr>
          <w:rFonts w:ascii="Palatino Linotype" w:eastAsia="Calibri" w:hAnsi="Palatino Linotype" w:cs="Arial"/>
          <w:b/>
          <w:sz w:val="24"/>
          <w:lang w:val="es-AR"/>
        </w:rPr>
        <w:t xml:space="preserve">anexo 019.pdf,  </w:t>
      </w:r>
      <w:r w:rsidRPr="00EA6E01">
        <w:rPr>
          <w:rFonts w:ascii="Palatino Linotype" w:eastAsia="Calibri" w:hAnsi="Palatino Linotype" w:cs="Arial"/>
          <w:sz w:val="24"/>
          <w:lang w:val="es-AR"/>
        </w:rPr>
        <w:t xml:space="preserve">que contiene el nombramiento de la </w:t>
      </w:r>
      <w:r w:rsidR="002C0527" w:rsidRPr="00EA6E01">
        <w:rPr>
          <w:rFonts w:ascii="Palatino Linotype" w:eastAsia="Calibri" w:hAnsi="Palatino Linotype" w:cs="Arial"/>
          <w:sz w:val="24"/>
          <w:lang w:val="es-AR"/>
        </w:rPr>
        <w:t xml:space="preserve">de la C. Mónica Gonzáles Ruiz como </w:t>
      </w:r>
      <w:r w:rsidRPr="00EA6E01">
        <w:rPr>
          <w:rFonts w:ascii="Palatino Linotype" w:eastAsia="Calibri" w:hAnsi="Palatino Linotype" w:cs="Arial"/>
          <w:sz w:val="24"/>
          <w:lang w:val="es-AR"/>
        </w:rPr>
        <w:t>Secreta</w:t>
      </w:r>
      <w:r w:rsidR="002C0527" w:rsidRPr="00EA6E01">
        <w:rPr>
          <w:rFonts w:ascii="Palatino Linotype" w:eastAsia="Calibri" w:hAnsi="Palatino Linotype" w:cs="Arial"/>
          <w:sz w:val="24"/>
          <w:lang w:val="es-AR"/>
        </w:rPr>
        <w:t xml:space="preserve">ria Particular; solicitud de </w:t>
      </w:r>
      <w:r w:rsidRPr="00EA6E01">
        <w:rPr>
          <w:rFonts w:ascii="Palatino Linotype" w:eastAsia="Calibri" w:hAnsi="Palatino Linotype" w:cs="Arial"/>
          <w:sz w:val="24"/>
          <w:lang w:val="es-AR"/>
        </w:rPr>
        <w:t>autorización para conceder licencia laboral</w:t>
      </w:r>
      <w:r w:rsidR="002C0527" w:rsidRPr="00EA6E01">
        <w:rPr>
          <w:rFonts w:ascii="Palatino Linotype" w:eastAsia="Calibri" w:hAnsi="Palatino Linotype" w:cs="Arial"/>
          <w:sz w:val="24"/>
          <w:lang w:val="es-AR"/>
        </w:rPr>
        <w:t xml:space="preserve"> signado por la C. Mónica Gonzáles Ruiz</w:t>
      </w:r>
      <w:r w:rsidRPr="00EA6E01">
        <w:rPr>
          <w:rFonts w:ascii="Palatino Linotype" w:eastAsia="Calibri" w:hAnsi="Palatino Linotype" w:cs="Arial"/>
          <w:sz w:val="24"/>
          <w:lang w:val="es-AR"/>
        </w:rPr>
        <w:t>; autorización de licencia laboral sin goce de sueldo emitida por la Presidenta Municipal; autorización de licencia laboral sindical emitida por el Delegado Sindical en el Ayuntamiento de Temoaya; autorización de licencia laboral sindical emitida por el Secretario General del SUTEYM</w:t>
      </w:r>
      <w:r w:rsidR="002C0527" w:rsidRPr="00EA6E01">
        <w:rPr>
          <w:rFonts w:ascii="Palatino Linotype" w:eastAsia="Calibri" w:hAnsi="Palatino Linotype" w:cs="Arial"/>
          <w:sz w:val="24"/>
          <w:lang w:val="es-AR"/>
        </w:rPr>
        <w:t>.</w:t>
      </w:r>
    </w:p>
    <w:p w:rsidR="00A37303" w:rsidRPr="00EA6E01" w:rsidRDefault="00A37303" w:rsidP="00AD3CCC">
      <w:pPr>
        <w:pStyle w:val="Prrafodelista"/>
        <w:spacing w:line="360" w:lineRule="auto"/>
        <w:ind w:left="0"/>
        <w:rPr>
          <w:rFonts w:ascii="Palatino Linotype" w:eastAsia="Calibri" w:hAnsi="Palatino Linotype" w:cs="Arial"/>
          <w:sz w:val="24"/>
          <w:lang w:val="es-AR"/>
        </w:rPr>
      </w:pPr>
    </w:p>
    <w:p w:rsidR="00207D17" w:rsidRPr="00EA6E01" w:rsidRDefault="00207D17" w:rsidP="00AD3CCC">
      <w:pPr>
        <w:pStyle w:val="Prrafodelista"/>
        <w:numPr>
          <w:ilvl w:val="0"/>
          <w:numId w:val="2"/>
        </w:numPr>
        <w:tabs>
          <w:tab w:val="left" w:pos="284"/>
        </w:tabs>
        <w:spacing w:line="360" w:lineRule="auto"/>
        <w:ind w:left="0" w:firstLine="0"/>
        <w:jc w:val="both"/>
        <w:rPr>
          <w:rFonts w:ascii="Palatino Linotype" w:hAnsi="Palatino Linotype"/>
          <w:b/>
          <w:i/>
          <w:sz w:val="24"/>
        </w:rPr>
      </w:pPr>
      <w:r w:rsidRPr="00EA6E01">
        <w:rPr>
          <w:rFonts w:ascii="Palatino Linotype" w:hAnsi="Palatino Linotype" w:cs="Arial"/>
          <w:sz w:val="24"/>
        </w:rPr>
        <w:t>Derivado de la respuesta, el</w:t>
      </w:r>
      <w:r w:rsidRPr="00EA6E01">
        <w:rPr>
          <w:rFonts w:ascii="Palatino Linotype" w:hAnsi="Palatino Linotype" w:cs="Arial"/>
          <w:sz w:val="24"/>
          <w:lang w:val="es-ES"/>
        </w:rPr>
        <w:t xml:space="preserve"> </w:t>
      </w:r>
      <w:r w:rsidR="001641A3" w:rsidRPr="00EA6E01">
        <w:rPr>
          <w:rFonts w:ascii="Palatino Linotype" w:hAnsi="Palatino Linotype" w:cs="Arial"/>
          <w:sz w:val="24"/>
          <w:lang w:val="es-ES"/>
        </w:rPr>
        <w:t>veinti</w:t>
      </w:r>
      <w:r w:rsidR="002C0527" w:rsidRPr="00EA6E01">
        <w:rPr>
          <w:rFonts w:ascii="Palatino Linotype" w:hAnsi="Palatino Linotype" w:cs="Arial"/>
          <w:sz w:val="24"/>
          <w:lang w:val="es-ES"/>
        </w:rPr>
        <w:t>uno de febrero</w:t>
      </w:r>
      <w:r w:rsidR="001641A3" w:rsidRPr="00EA6E01">
        <w:rPr>
          <w:rFonts w:ascii="Palatino Linotype" w:hAnsi="Palatino Linotype" w:cs="Arial"/>
          <w:sz w:val="24"/>
          <w:lang w:val="es-ES"/>
        </w:rPr>
        <w:t xml:space="preserve"> de dos mil </w:t>
      </w:r>
      <w:r w:rsidR="00A37303" w:rsidRPr="00EA6E01">
        <w:rPr>
          <w:rFonts w:ascii="Palatino Linotype" w:hAnsi="Palatino Linotype" w:cs="Arial"/>
          <w:sz w:val="24"/>
          <w:lang w:val="es-ES"/>
        </w:rPr>
        <w:t>veinticinco</w:t>
      </w:r>
      <w:r w:rsidR="002C0527" w:rsidRPr="00EA6E01">
        <w:rPr>
          <w:rFonts w:ascii="Palatino Linotype" w:hAnsi="Palatino Linotype" w:cs="Arial"/>
          <w:sz w:val="24"/>
          <w:lang w:val="es-ES"/>
        </w:rPr>
        <w:t xml:space="preserve">, </w:t>
      </w:r>
      <w:r w:rsidRPr="00EA6E01">
        <w:rPr>
          <w:rFonts w:ascii="Palatino Linotype" w:hAnsi="Palatino Linotype" w:cs="Arial"/>
          <w:sz w:val="24"/>
          <w:lang w:val="es-ES"/>
        </w:rPr>
        <w:t>l</w:t>
      </w:r>
      <w:r w:rsidR="002C0527" w:rsidRPr="00EA6E01">
        <w:rPr>
          <w:rFonts w:ascii="Palatino Linotype" w:hAnsi="Palatino Linotype" w:cs="Arial"/>
          <w:sz w:val="24"/>
          <w:lang w:val="es-ES"/>
        </w:rPr>
        <w:t>a</w:t>
      </w:r>
      <w:r w:rsidRPr="00EA6E01">
        <w:rPr>
          <w:rFonts w:ascii="Palatino Linotype" w:hAnsi="Palatino Linotype" w:cs="Arial"/>
          <w:sz w:val="24"/>
          <w:lang w:val="es-ES"/>
        </w:rPr>
        <w:t xml:space="preserve"> particular interpuso el recurso de revisión señalando como:</w:t>
      </w:r>
    </w:p>
    <w:p w:rsidR="00207D17" w:rsidRPr="00EA6E01" w:rsidRDefault="00207D17" w:rsidP="00AD3CCC">
      <w:pPr>
        <w:pStyle w:val="Prrafodelista"/>
        <w:tabs>
          <w:tab w:val="left" w:pos="284"/>
        </w:tabs>
        <w:spacing w:line="360" w:lineRule="auto"/>
        <w:ind w:left="0"/>
        <w:jc w:val="both"/>
        <w:rPr>
          <w:rFonts w:ascii="Palatino Linotype" w:hAnsi="Palatino Linotype"/>
          <w:b/>
          <w:i/>
          <w:sz w:val="24"/>
        </w:rPr>
      </w:pPr>
    </w:p>
    <w:p w:rsidR="00207D17" w:rsidRPr="00EA6E01" w:rsidRDefault="00207D17" w:rsidP="00694676">
      <w:pPr>
        <w:pStyle w:val="Prrafodelista"/>
        <w:numPr>
          <w:ilvl w:val="0"/>
          <w:numId w:val="13"/>
        </w:numPr>
        <w:tabs>
          <w:tab w:val="left" w:pos="426"/>
          <w:tab w:val="left" w:pos="993"/>
        </w:tabs>
        <w:spacing w:line="360" w:lineRule="auto"/>
        <w:jc w:val="both"/>
        <w:rPr>
          <w:rFonts w:ascii="Palatino Linotype" w:hAnsi="Palatino Linotype" w:cs="Arial"/>
          <w:sz w:val="24"/>
          <w:lang w:val="es-ES"/>
        </w:rPr>
      </w:pPr>
      <w:r w:rsidRPr="00EA6E01">
        <w:rPr>
          <w:rFonts w:ascii="Palatino Linotype" w:hAnsi="Palatino Linotype" w:cs="Arial"/>
          <w:b/>
          <w:sz w:val="24"/>
          <w:lang w:val="es-ES"/>
        </w:rPr>
        <w:t>Acto impugnado:</w:t>
      </w:r>
      <w:r w:rsidRPr="00EA6E01">
        <w:rPr>
          <w:rFonts w:ascii="Palatino Linotype" w:hAnsi="Palatino Linotype" w:cs="Arial"/>
          <w:sz w:val="24"/>
          <w:lang w:val="es-ES"/>
        </w:rPr>
        <w:t xml:space="preserve"> “</w:t>
      </w:r>
      <w:r w:rsidR="002C0527" w:rsidRPr="00EA6E01">
        <w:rPr>
          <w:rFonts w:ascii="Palatino Linotype" w:hAnsi="Palatino Linotype" w:cs="Arial"/>
          <w:i/>
          <w:sz w:val="24"/>
        </w:rPr>
        <w:t>DE LA RESPUESTA</w:t>
      </w:r>
      <w:r w:rsidRPr="00EA6E01">
        <w:rPr>
          <w:rFonts w:ascii="Palatino Linotype" w:hAnsi="Palatino Linotype" w:cs="Arial"/>
          <w:i/>
          <w:sz w:val="24"/>
          <w:lang w:val="es-ES"/>
        </w:rPr>
        <w:t>”</w:t>
      </w:r>
    </w:p>
    <w:p w:rsidR="00207D17" w:rsidRPr="00EA6E01" w:rsidRDefault="00207D17" w:rsidP="00694676">
      <w:pPr>
        <w:pStyle w:val="Prrafodelista"/>
        <w:numPr>
          <w:ilvl w:val="0"/>
          <w:numId w:val="13"/>
        </w:numPr>
        <w:tabs>
          <w:tab w:val="left" w:pos="426"/>
          <w:tab w:val="left" w:pos="3750"/>
        </w:tabs>
        <w:spacing w:line="360" w:lineRule="auto"/>
        <w:jc w:val="both"/>
        <w:rPr>
          <w:rFonts w:ascii="Palatino Linotype" w:hAnsi="Palatino Linotype" w:cs="Arial"/>
          <w:sz w:val="24"/>
          <w:lang w:val="es-ES"/>
        </w:rPr>
      </w:pPr>
      <w:r w:rsidRPr="00EA6E01">
        <w:rPr>
          <w:rFonts w:ascii="Palatino Linotype" w:hAnsi="Palatino Linotype" w:cs="Arial"/>
          <w:b/>
          <w:sz w:val="24"/>
          <w:lang w:val="es-ES"/>
        </w:rPr>
        <w:t>Razones o motivos de inconformidad:</w:t>
      </w:r>
      <w:r w:rsidRPr="00EA6E01">
        <w:rPr>
          <w:rFonts w:ascii="Palatino Linotype" w:hAnsi="Palatino Linotype" w:cs="Arial"/>
          <w:sz w:val="24"/>
          <w:lang w:val="es-ES"/>
        </w:rPr>
        <w:t xml:space="preserve"> “</w:t>
      </w:r>
      <w:r w:rsidR="002C0527" w:rsidRPr="00EA6E01">
        <w:rPr>
          <w:rFonts w:ascii="Palatino Linotype" w:hAnsi="Palatino Linotype" w:cs="Arial"/>
          <w:i/>
          <w:sz w:val="24"/>
        </w:rPr>
        <w:t>HACEN CASO OMISO DE ENTRGAR INFORMACION DE CARACTER PÚBLICO Y NO ADJUNTA ACTA DEL COMITE DE TRANSPARENCIA DONDE TESTEN DATOS PERSONALES ADEMAS DE QUE LOS FROMATOS FUMPO ESTAN INCOMPLETOS,</w:t>
      </w:r>
      <w:r w:rsidRPr="00EA6E01">
        <w:rPr>
          <w:rFonts w:ascii="Palatino Linotype" w:hAnsi="Palatino Linotype" w:cs="Arial"/>
          <w:i/>
          <w:sz w:val="24"/>
          <w:lang w:val="es-ES"/>
        </w:rPr>
        <w:t>”</w:t>
      </w:r>
      <w:r w:rsidRPr="00EA6E01">
        <w:rPr>
          <w:rFonts w:ascii="Palatino Linotype" w:hAnsi="Palatino Linotype" w:cs="Arial"/>
          <w:sz w:val="24"/>
          <w:lang w:val="es-ES"/>
        </w:rPr>
        <w:t xml:space="preserve"> (Sic).</w:t>
      </w:r>
    </w:p>
    <w:p w:rsidR="00207D17" w:rsidRPr="00EA6E01" w:rsidRDefault="00207D17" w:rsidP="00AD3CCC">
      <w:pPr>
        <w:spacing w:line="360" w:lineRule="auto"/>
        <w:jc w:val="both"/>
        <w:rPr>
          <w:rStyle w:val="Ttulo2Car"/>
          <w:rFonts w:ascii="Palatino Linotype" w:hAnsi="Palatino Linotype"/>
          <w:b/>
          <w:sz w:val="24"/>
          <w:szCs w:val="24"/>
          <w:lang w:val="es-ES"/>
        </w:rPr>
      </w:pPr>
    </w:p>
    <w:p w:rsidR="00207D17" w:rsidRPr="00EA6E01" w:rsidRDefault="002C0527" w:rsidP="00AD3CCC">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A6E01">
        <w:rPr>
          <w:rFonts w:ascii="Palatino Linotype" w:eastAsia="Calibri" w:hAnsi="Palatino Linotype" w:cs="Arial"/>
          <w:sz w:val="24"/>
          <w:lang w:val="es-ES"/>
        </w:rPr>
        <w:t>Se registró el Recurso de R</w:t>
      </w:r>
      <w:r w:rsidR="00207D17" w:rsidRPr="00EA6E01">
        <w:rPr>
          <w:rFonts w:ascii="Palatino Linotype" w:eastAsia="Calibri" w:hAnsi="Palatino Linotype" w:cs="Arial"/>
          <w:sz w:val="24"/>
          <w:lang w:val="es-ES"/>
        </w:rPr>
        <w:t xml:space="preserve">evisión bajo el número de expediente al rubro indicado, asimismo, con fundamento en lo dispuesto por el artículo 185 fracción I de la </w:t>
      </w:r>
      <w:r w:rsidR="00207D17" w:rsidRPr="00EA6E01">
        <w:rPr>
          <w:rFonts w:ascii="Palatino Linotype" w:eastAsia="Calibri" w:hAnsi="Palatino Linotype" w:cs="Arial"/>
          <w:b/>
          <w:sz w:val="24"/>
          <w:lang w:val="es-ES"/>
        </w:rPr>
        <w:t xml:space="preserve">Ley de </w:t>
      </w:r>
      <w:r w:rsidR="00207D17" w:rsidRPr="00EA6E01">
        <w:rPr>
          <w:rFonts w:ascii="Palatino Linotype" w:eastAsia="Calibri" w:hAnsi="Palatino Linotype" w:cs="Arial"/>
          <w:b/>
          <w:sz w:val="24"/>
          <w:lang w:val="es-ES"/>
        </w:rPr>
        <w:lastRenderedPageBreak/>
        <w:t>Transparencia y Acceso a la Información Pública del Estado de México y Municipios</w:t>
      </w:r>
      <w:r w:rsidR="00207D17" w:rsidRPr="00EA6E01">
        <w:rPr>
          <w:rFonts w:ascii="Palatino Linotype" w:eastAsia="Calibri" w:hAnsi="Palatino Linotype" w:cs="Arial"/>
          <w:sz w:val="24"/>
          <w:lang w:val="es-ES"/>
        </w:rPr>
        <w:t xml:space="preserve">, se turnó a la </w:t>
      </w:r>
      <w:r w:rsidR="00207D17" w:rsidRPr="00EA6E01">
        <w:rPr>
          <w:rFonts w:ascii="Palatino Linotype" w:eastAsia="Calibri" w:hAnsi="Palatino Linotype" w:cs="Arial"/>
          <w:b/>
          <w:sz w:val="24"/>
          <w:lang w:val="es-ES"/>
        </w:rPr>
        <w:t xml:space="preserve">Comisionada </w:t>
      </w:r>
      <w:r w:rsidR="007A668C" w:rsidRPr="00EA6E01">
        <w:rPr>
          <w:rFonts w:ascii="Palatino Linotype" w:eastAsia="Calibri" w:hAnsi="Palatino Linotype" w:cs="Arial"/>
          <w:b/>
          <w:sz w:val="24"/>
          <w:lang w:val="es-ES"/>
        </w:rPr>
        <w:t>María del Rosario Mejía Ayala</w:t>
      </w:r>
      <w:r w:rsidR="00207D17" w:rsidRPr="00EA6E01">
        <w:rPr>
          <w:rFonts w:ascii="Palatino Linotype" w:eastAsia="Calibri" w:hAnsi="Palatino Linotype" w:cs="Arial"/>
          <w:sz w:val="24"/>
          <w:lang w:val="es-ES"/>
        </w:rPr>
        <w:t xml:space="preserve">, </w:t>
      </w:r>
      <w:r w:rsidR="00D30F1D">
        <w:rPr>
          <w:rFonts w:ascii="Palatino Linotype" w:eastAsia="Calibri" w:hAnsi="Palatino Linotype" w:cs="Arial"/>
          <w:sz w:val="24"/>
          <w:lang w:val="es-ES"/>
        </w:rPr>
        <w:t>para</w:t>
      </w:r>
      <w:r w:rsidR="00207D17" w:rsidRPr="00EA6E01">
        <w:rPr>
          <w:rFonts w:ascii="Palatino Linotype" w:eastAsia="Calibri" w:hAnsi="Palatino Linotype" w:cs="Arial"/>
          <w:sz w:val="24"/>
          <w:lang w:val="es-ES"/>
        </w:rPr>
        <w:t xml:space="preserve"> su análisis.</w:t>
      </w:r>
    </w:p>
    <w:p w:rsidR="00207D17" w:rsidRPr="00EA6E01" w:rsidRDefault="00207D17" w:rsidP="00AD3CCC">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207D17" w:rsidRPr="00EA6E01" w:rsidRDefault="002C0527" w:rsidP="00AD3CCC">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A6E01">
        <w:rPr>
          <w:rFonts w:ascii="Palatino Linotype" w:eastAsia="Calibri" w:hAnsi="Palatino Linotype" w:cs="Arial"/>
          <w:sz w:val="24"/>
          <w:lang w:val="es-ES"/>
        </w:rPr>
        <w:t>La</w:t>
      </w:r>
      <w:r w:rsidR="00207D17" w:rsidRPr="00EA6E01">
        <w:rPr>
          <w:rFonts w:ascii="Palatino Linotype" w:eastAsia="Calibri" w:hAnsi="Palatino Linotype" w:cs="Arial"/>
          <w:sz w:val="24"/>
          <w:lang w:val="es-ES"/>
        </w:rPr>
        <w:t xml:space="preserve"> Comisionad</w:t>
      </w:r>
      <w:r w:rsidRPr="00EA6E01">
        <w:rPr>
          <w:rFonts w:ascii="Palatino Linotype" w:eastAsia="Calibri" w:hAnsi="Palatino Linotype" w:cs="Arial"/>
          <w:sz w:val="24"/>
          <w:lang w:val="es-ES"/>
        </w:rPr>
        <w:t>a</w:t>
      </w:r>
      <w:r w:rsidR="00207D17" w:rsidRPr="00EA6E01">
        <w:rPr>
          <w:rFonts w:ascii="Palatino Linotype" w:eastAsia="Calibri" w:hAnsi="Palatino Linotype" w:cs="Arial"/>
          <w:sz w:val="24"/>
          <w:lang w:val="es-ES"/>
        </w:rPr>
        <w:t xml:space="preserve"> Ponente, con fundamento en lo dispuesto por el artículo 185 fracción II de la ley de la materia, a través del acuerdo de admisión de </w:t>
      </w:r>
      <w:r w:rsidR="009730F2" w:rsidRPr="00EA6E01">
        <w:rPr>
          <w:rFonts w:ascii="Palatino Linotype" w:eastAsia="Calibri" w:hAnsi="Palatino Linotype" w:cs="Arial"/>
          <w:sz w:val="24"/>
          <w:lang w:val="es-ES"/>
        </w:rPr>
        <w:t>veinticuatro</w:t>
      </w:r>
      <w:r w:rsidR="001641A3" w:rsidRPr="00EA6E01">
        <w:rPr>
          <w:rFonts w:ascii="Palatino Linotype" w:eastAsia="Calibri" w:hAnsi="Palatino Linotype" w:cs="Arial"/>
          <w:sz w:val="24"/>
          <w:lang w:val="es-ES"/>
        </w:rPr>
        <w:t xml:space="preserve"> de </w:t>
      </w:r>
      <w:r w:rsidR="009730F2" w:rsidRPr="00EA6E01">
        <w:rPr>
          <w:rFonts w:ascii="Palatino Linotype" w:eastAsia="Calibri" w:hAnsi="Palatino Linotype" w:cs="Arial"/>
          <w:sz w:val="24"/>
          <w:lang w:val="es-ES"/>
        </w:rPr>
        <w:t>febrero</w:t>
      </w:r>
      <w:r w:rsidR="001641A3" w:rsidRPr="00EA6E01">
        <w:rPr>
          <w:rFonts w:ascii="Palatino Linotype" w:eastAsia="Calibri" w:hAnsi="Palatino Linotype" w:cs="Arial"/>
          <w:sz w:val="24"/>
          <w:lang w:val="es-ES"/>
        </w:rPr>
        <w:t xml:space="preserve"> de dos mil </w:t>
      </w:r>
      <w:r w:rsidR="00A37303" w:rsidRPr="00EA6E01">
        <w:rPr>
          <w:rFonts w:ascii="Palatino Linotype" w:eastAsia="Calibri" w:hAnsi="Palatino Linotype" w:cs="Arial"/>
          <w:sz w:val="24"/>
          <w:lang w:val="es-ES"/>
        </w:rPr>
        <w:t>veinticinco</w:t>
      </w:r>
      <w:r w:rsidR="00207D17" w:rsidRPr="00EA6E01">
        <w:rPr>
          <w:rFonts w:ascii="Palatino Linotype" w:eastAsia="Calibri" w:hAnsi="Palatino Linotype" w:cs="Arial"/>
          <w:sz w:val="24"/>
          <w:lang w:val="es-ES"/>
        </w:rPr>
        <w:t xml:space="preserve">, puso a disposición de las partes el expediente electrónico </w:t>
      </w:r>
      <w:r w:rsidR="00207D17" w:rsidRPr="00EA6E01">
        <w:rPr>
          <w:rFonts w:ascii="Palatino Linotype" w:eastAsia="Calibri" w:hAnsi="Palatino Linotype" w:cs="Arial"/>
          <w:sz w:val="24"/>
        </w:rPr>
        <w:t xml:space="preserve">vía </w:t>
      </w:r>
      <w:r w:rsidR="00207D17" w:rsidRPr="00EA6E01">
        <w:rPr>
          <w:rFonts w:ascii="Palatino Linotype" w:eastAsia="Calibri" w:hAnsi="Palatino Linotype" w:cs="Arial"/>
          <w:sz w:val="24"/>
          <w:lang w:val="es-ES"/>
        </w:rPr>
        <w:t xml:space="preserve">Sistema de Acceso a la Información Mexiquense </w:t>
      </w:r>
      <w:r w:rsidR="00207D17" w:rsidRPr="00EA6E01">
        <w:rPr>
          <w:rFonts w:ascii="Palatino Linotype" w:eastAsia="Calibri" w:hAnsi="Palatino Linotype" w:cs="Arial"/>
          <w:b/>
          <w:sz w:val="24"/>
          <w:lang w:val="es-ES"/>
        </w:rPr>
        <w:t xml:space="preserve">SAIMEX </w:t>
      </w:r>
      <w:r w:rsidR="00207D17" w:rsidRPr="00EA6E01">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00207D17" w:rsidRPr="00EA6E01">
        <w:rPr>
          <w:rFonts w:ascii="Palatino Linotype" w:eastAsia="Calibri" w:hAnsi="Palatino Linotype" w:cs="Arial"/>
          <w:b/>
          <w:sz w:val="24"/>
          <w:lang w:val="es-ES"/>
        </w:rPr>
        <w:t>SUJETO OBLIGADO</w:t>
      </w:r>
      <w:r w:rsidR="00207D17" w:rsidRPr="00EA6E01">
        <w:rPr>
          <w:rFonts w:ascii="Palatino Linotype" w:eastAsia="Calibri" w:hAnsi="Palatino Linotype" w:cs="Arial"/>
          <w:sz w:val="24"/>
          <w:lang w:val="es-ES"/>
        </w:rPr>
        <w:t xml:space="preserve"> presentara el Informe Justificado procedente.</w:t>
      </w:r>
      <w:bookmarkStart w:id="4" w:name="_Toc461555889"/>
      <w:bookmarkStart w:id="5" w:name="_Toc466371858"/>
    </w:p>
    <w:p w:rsidR="001641A3" w:rsidRPr="00EA6E01" w:rsidRDefault="001641A3" w:rsidP="00AD3CCC">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7A668C" w:rsidRPr="00EA6E01" w:rsidRDefault="007A668C" w:rsidP="00AD3CCC">
      <w:pPr>
        <w:pStyle w:val="Prrafodelista"/>
        <w:numPr>
          <w:ilvl w:val="0"/>
          <w:numId w:val="2"/>
        </w:numPr>
        <w:tabs>
          <w:tab w:val="left" w:pos="426"/>
        </w:tabs>
        <w:spacing w:line="360" w:lineRule="auto"/>
        <w:ind w:left="0" w:firstLine="0"/>
        <w:jc w:val="both"/>
        <w:rPr>
          <w:rFonts w:ascii="Palatino Linotype" w:hAnsi="Palatino Linotype"/>
          <w:sz w:val="24"/>
        </w:rPr>
      </w:pPr>
      <w:r w:rsidRPr="00EA6E01">
        <w:rPr>
          <w:rFonts w:ascii="Palatino Linotype" w:hAnsi="Palatino Linotype"/>
          <w:sz w:val="24"/>
        </w:rPr>
        <w:t xml:space="preserve">De las constancias que obran en el expediente electrónico SAIMEX, </w:t>
      </w:r>
      <w:r w:rsidR="001641A3" w:rsidRPr="00EA6E01">
        <w:rPr>
          <w:rFonts w:ascii="Palatino Linotype" w:hAnsi="Palatino Linotype"/>
          <w:sz w:val="24"/>
        </w:rPr>
        <w:t>de advierte que el particular no realizó manifestaciones</w:t>
      </w:r>
      <w:r w:rsidR="009730F2" w:rsidRPr="00EA6E01">
        <w:rPr>
          <w:rFonts w:ascii="Palatino Linotype" w:hAnsi="Palatino Linotype"/>
          <w:sz w:val="24"/>
        </w:rPr>
        <w:t xml:space="preserve"> que a su derecho conviniera y asistiera</w:t>
      </w:r>
      <w:r w:rsidR="001641A3" w:rsidRPr="00EA6E01">
        <w:rPr>
          <w:rFonts w:ascii="Palatino Linotype" w:hAnsi="Palatino Linotype"/>
          <w:sz w:val="24"/>
        </w:rPr>
        <w:t xml:space="preserve">; por su parte el Sujeto Obligado </w:t>
      </w:r>
      <w:r w:rsidR="009730F2" w:rsidRPr="00EA6E01">
        <w:rPr>
          <w:rFonts w:ascii="Palatino Linotype" w:hAnsi="Palatino Linotype"/>
          <w:sz w:val="24"/>
        </w:rPr>
        <w:t xml:space="preserve">dejó de rendir el informe justificado correspondiente. </w:t>
      </w:r>
    </w:p>
    <w:p w:rsidR="003B154C" w:rsidRPr="00EA6E01" w:rsidRDefault="003B154C" w:rsidP="003B154C">
      <w:pPr>
        <w:pStyle w:val="Prrafodelista"/>
        <w:tabs>
          <w:tab w:val="left" w:pos="426"/>
        </w:tabs>
        <w:spacing w:line="360" w:lineRule="auto"/>
        <w:ind w:left="0"/>
        <w:jc w:val="both"/>
        <w:rPr>
          <w:rFonts w:ascii="Palatino Linotype" w:hAnsi="Palatino Linotype"/>
          <w:sz w:val="24"/>
        </w:rPr>
      </w:pPr>
    </w:p>
    <w:bookmarkEnd w:id="4"/>
    <w:bookmarkEnd w:id="5"/>
    <w:p w:rsidR="009730F2" w:rsidRPr="00EA6E01" w:rsidRDefault="009730F2" w:rsidP="00AD3CCC">
      <w:pPr>
        <w:numPr>
          <w:ilvl w:val="0"/>
          <w:numId w:val="2"/>
        </w:numPr>
        <w:spacing w:line="360" w:lineRule="auto"/>
        <w:ind w:left="0" w:firstLine="0"/>
        <w:jc w:val="both"/>
        <w:rPr>
          <w:rFonts w:ascii="Palatino Linotype" w:eastAsia="Palatino Linotype" w:hAnsi="Palatino Linotype" w:cs="Palatino Linotype"/>
          <w:b/>
          <w:color w:val="000000"/>
        </w:rPr>
      </w:pPr>
      <w:r w:rsidRPr="00EA6E01">
        <w:rPr>
          <w:rFonts w:ascii="Palatino Linotype" w:eastAsia="Palatino Linotype" w:hAnsi="Palatino Linotype" w:cs="Palatino Linotype"/>
          <w:color w:val="000000"/>
        </w:rPr>
        <w:t xml:space="preserve">En fecha cuatro de junio de dos mil veinticinco, se acordó ampliar el término para resolver. Finalmente, al no existir diligencia o pendiente por desahogar, mediante Acuerdo de misma fecha, la Comisionada Ponente dictó el cierre del periodo de instrucción y, ordenó emitir la resolución que conforme a Derecho proceda, de acuerdo a las siguientes: </w:t>
      </w:r>
    </w:p>
    <w:p w:rsidR="003B154C" w:rsidRDefault="00694676" w:rsidP="003B154C">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w:t>
      </w:r>
    </w:p>
    <w:p w:rsidR="00694676" w:rsidRDefault="00694676" w:rsidP="003B154C">
      <w:pPr>
        <w:spacing w:line="360" w:lineRule="auto"/>
        <w:jc w:val="both"/>
        <w:rPr>
          <w:rFonts w:ascii="Palatino Linotype" w:eastAsia="Palatino Linotype" w:hAnsi="Palatino Linotype" w:cs="Palatino Linotype"/>
          <w:color w:val="000000"/>
        </w:rPr>
      </w:pPr>
    </w:p>
    <w:p w:rsidR="00694676" w:rsidRDefault="00694676" w:rsidP="003B154C">
      <w:pPr>
        <w:spacing w:line="360" w:lineRule="auto"/>
        <w:jc w:val="both"/>
        <w:rPr>
          <w:rFonts w:ascii="Palatino Linotype" w:eastAsia="Palatino Linotype" w:hAnsi="Palatino Linotype" w:cs="Palatino Linotype"/>
          <w:color w:val="000000"/>
        </w:rPr>
      </w:pPr>
    </w:p>
    <w:p w:rsidR="00694676" w:rsidRDefault="00694676" w:rsidP="003B154C">
      <w:pPr>
        <w:spacing w:line="360" w:lineRule="auto"/>
        <w:jc w:val="both"/>
        <w:rPr>
          <w:rFonts w:ascii="Palatino Linotype" w:eastAsia="Palatino Linotype" w:hAnsi="Palatino Linotype" w:cs="Palatino Linotype"/>
          <w:color w:val="000000"/>
        </w:rPr>
      </w:pPr>
    </w:p>
    <w:p w:rsidR="00694676" w:rsidRPr="00EA6E01" w:rsidRDefault="00694676" w:rsidP="003B154C">
      <w:pPr>
        <w:spacing w:line="360" w:lineRule="auto"/>
        <w:jc w:val="both"/>
        <w:rPr>
          <w:rFonts w:ascii="Palatino Linotype" w:eastAsia="Palatino Linotype" w:hAnsi="Palatino Linotype" w:cs="Palatino Linotype"/>
          <w:color w:val="000000"/>
        </w:rPr>
      </w:pPr>
    </w:p>
    <w:p w:rsidR="009730F2" w:rsidRDefault="009730F2" w:rsidP="00AD3CCC">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EA6E01">
        <w:rPr>
          <w:rFonts w:ascii="Palatino Linotype" w:eastAsia="Palatino Linotype" w:hAnsi="Palatino Linotype" w:cs="Palatino Linotype"/>
          <w:b/>
          <w:color w:val="000000"/>
        </w:rPr>
        <w:lastRenderedPageBreak/>
        <w:t>C O N S I D E R A C I O N E S</w:t>
      </w:r>
    </w:p>
    <w:p w:rsidR="00694676" w:rsidRPr="00EA6E01" w:rsidRDefault="00694676" w:rsidP="00AD3CCC">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rsidR="009730F2" w:rsidRPr="00EA6E01" w:rsidRDefault="009730F2" w:rsidP="00AD3CCC">
      <w:pPr>
        <w:pStyle w:val="Ttulo2"/>
        <w:spacing w:before="0" w:line="360" w:lineRule="auto"/>
        <w:rPr>
          <w:rFonts w:ascii="Palatino Linotype" w:eastAsia="Palatino Linotype" w:hAnsi="Palatino Linotype" w:cs="Palatino Linotype"/>
          <w:b/>
          <w:color w:val="000000"/>
          <w:sz w:val="24"/>
          <w:szCs w:val="24"/>
        </w:rPr>
      </w:pPr>
      <w:bookmarkStart w:id="6" w:name="_heading=h.2et92p0" w:colFirst="0" w:colLast="0"/>
      <w:bookmarkEnd w:id="6"/>
      <w:r w:rsidRPr="00EA6E01">
        <w:rPr>
          <w:rFonts w:ascii="Palatino Linotype" w:eastAsia="Palatino Linotype" w:hAnsi="Palatino Linotype" w:cs="Palatino Linotype"/>
          <w:b/>
          <w:color w:val="000000"/>
          <w:sz w:val="24"/>
          <w:szCs w:val="24"/>
        </w:rPr>
        <w:t>PRIMERA. Competencia</w:t>
      </w:r>
    </w:p>
    <w:p w:rsidR="00812CDC" w:rsidRPr="00EA6E01" w:rsidRDefault="009730F2" w:rsidP="00AD3CCC">
      <w:pPr>
        <w:numPr>
          <w:ilvl w:val="0"/>
          <w:numId w:val="2"/>
        </w:numPr>
        <w:spacing w:line="360" w:lineRule="auto"/>
        <w:ind w:left="0" w:firstLine="0"/>
        <w:jc w:val="both"/>
        <w:rPr>
          <w:rFonts w:ascii="Palatino Linotype" w:eastAsia="Calibri" w:hAnsi="Palatino Linotype"/>
          <w:b/>
          <w:lang w:val="es-ES"/>
        </w:rPr>
      </w:pPr>
      <w:r w:rsidRPr="00EA6E01">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207D17" w:rsidRPr="00EA6E01" w:rsidRDefault="00207D17" w:rsidP="00AD3CCC">
      <w:pPr>
        <w:pStyle w:val="Prrafodelista"/>
        <w:tabs>
          <w:tab w:val="left" w:pos="284"/>
          <w:tab w:val="left" w:pos="426"/>
        </w:tabs>
        <w:spacing w:line="360" w:lineRule="auto"/>
        <w:ind w:left="0"/>
        <w:jc w:val="both"/>
        <w:rPr>
          <w:rFonts w:ascii="Palatino Linotype" w:eastAsia="Calibri" w:hAnsi="Palatino Linotype"/>
          <w:b/>
          <w:sz w:val="24"/>
          <w:lang w:val="es-ES"/>
        </w:rPr>
      </w:pPr>
    </w:p>
    <w:p w:rsidR="00207D17" w:rsidRPr="00EA6E01" w:rsidRDefault="00207D17" w:rsidP="00AD3CCC">
      <w:pPr>
        <w:pStyle w:val="Ttulo2"/>
        <w:tabs>
          <w:tab w:val="left" w:pos="284"/>
          <w:tab w:val="left" w:pos="426"/>
        </w:tabs>
        <w:spacing w:before="0" w:line="360" w:lineRule="auto"/>
        <w:rPr>
          <w:rFonts w:ascii="Palatino Linotype" w:hAnsi="Palatino Linotype"/>
          <w:b/>
          <w:color w:val="auto"/>
          <w:sz w:val="24"/>
          <w:szCs w:val="24"/>
        </w:rPr>
      </w:pPr>
      <w:bookmarkStart w:id="7" w:name="_Toc461555891"/>
      <w:bookmarkStart w:id="8" w:name="_Toc466371860"/>
      <w:bookmarkStart w:id="9" w:name="_Toc81233126"/>
      <w:r w:rsidRPr="00EA6E01">
        <w:rPr>
          <w:rFonts w:ascii="Palatino Linotype" w:hAnsi="Palatino Linotype"/>
          <w:b/>
          <w:color w:val="auto"/>
          <w:sz w:val="24"/>
          <w:szCs w:val="24"/>
        </w:rPr>
        <w:t>SEGUNDO. De la oportunidad y procedencia.</w:t>
      </w:r>
      <w:bookmarkEnd w:id="7"/>
      <w:bookmarkEnd w:id="8"/>
      <w:bookmarkEnd w:id="9"/>
    </w:p>
    <w:p w:rsidR="009730F2" w:rsidRPr="00EA6E01" w:rsidRDefault="009730F2" w:rsidP="00AD3CCC">
      <w:pPr>
        <w:numPr>
          <w:ilvl w:val="0"/>
          <w:numId w:val="2"/>
        </w:numPr>
        <w:spacing w:line="360" w:lineRule="auto"/>
        <w:ind w:left="0" w:firstLine="0"/>
        <w:jc w:val="both"/>
        <w:rPr>
          <w:rFonts w:ascii="Palatino Linotype" w:eastAsia="Palatino Linotype" w:hAnsi="Palatino Linotype" w:cs="Palatino Linotype"/>
        </w:rPr>
      </w:pPr>
      <w:r w:rsidRPr="00EA6E01">
        <w:rPr>
          <w:rFonts w:ascii="Palatino Linotype" w:eastAsia="Palatino Linotype" w:hAnsi="Palatino Linotype" w:cs="Palatino Linotype"/>
        </w:rPr>
        <w:t xml:space="preserve">Este Órgano Garante considera que el medio de impugnación reúne los requisitos de </w:t>
      </w:r>
      <w:r w:rsidRPr="00EA6E01">
        <w:rPr>
          <w:rFonts w:ascii="Palatino Linotype" w:eastAsia="Palatino Linotype" w:hAnsi="Palatino Linotype" w:cs="Palatino Linotype"/>
          <w:color w:val="000000"/>
        </w:rPr>
        <w:t>procedencia</w:t>
      </w:r>
      <w:r w:rsidRPr="00EA6E01">
        <w:rPr>
          <w:rFonts w:ascii="Palatino Linotype" w:eastAsia="Palatino Linotype" w:hAnsi="Palatino Linotype" w:cs="Palatino Linotype"/>
        </w:rPr>
        <w:t xml:space="preserve"> </w:t>
      </w:r>
      <w:r w:rsidRPr="00EA6E01">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9730F2" w:rsidRPr="00EA6E01" w:rsidRDefault="009730F2" w:rsidP="00AD3CCC">
      <w:pPr>
        <w:spacing w:line="360" w:lineRule="auto"/>
        <w:jc w:val="both"/>
        <w:rPr>
          <w:rFonts w:ascii="Palatino Linotype" w:eastAsia="Palatino Linotype" w:hAnsi="Palatino Linotype" w:cs="Palatino Linotype"/>
        </w:rPr>
      </w:pPr>
    </w:p>
    <w:p w:rsidR="009730F2" w:rsidRPr="00EA6E01" w:rsidRDefault="009730F2" w:rsidP="00AD3CCC">
      <w:pPr>
        <w:numPr>
          <w:ilvl w:val="0"/>
          <w:numId w:val="2"/>
        </w:numPr>
        <w:spacing w:line="360" w:lineRule="auto"/>
        <w:ind w:left="0" w:firstLine="0"/>
        <w:jc w:val="both"/>
        <w:rPr>
          <w:rFonts w:ascii="Palatino Linotype" w:eastAsia="Palatino Linotype" w:hAnsi="Palatino Linotype" w:cs="Palatino Linotype"/>
        </w:rPr>
      </w:pPr>
      <w:r w:rsidRPr="00EA6E01">
        <w:rPr>
          <w:rFonts w:ascii="Palatino Linotype" w:eastAsia="Palatino Linotype" w:hAnsi="Palatino Linotype" w:cs="Palatino Linotype"/>
        </w:rPr>
        <w:lastRenderedPageBreak/>
        <w:t xml:space="preserve">Por otro lado, es de suma importancia señalar que la parte recurrente no proporciona un nombre o datos de identificación como se advierte en el detalle de seguimiento del SAIMEX, no </w:t>
      </w:r>
      <w:r w:rsidRPr="00EA6E01">
        <w:rPr>
          <w:rFonts w:ascii="Palatino Linotype" w:eastAsia="Palatino Linotype" w:hAnsi="Palatino Linotype" w:cs="Palatino Linotype"/>
          <w:color w:val="000000"/>
        </w:rPr>
        <w:t>obstante</w:t>
      </w:r>
      <w:r w:rsidRPr="00EA6E01">
        <w:rPr>
          <w:rFonts w:ascii="Palatino Linotype" w:eastAsia="Palatino Linotype" w:hAnsi="Palatino Linotype" w:cs="Palatino Linotype"/>
        </w:rPr>
        <w:t xml:space="preserv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730F2" w:rsidRPr="00EA6E01" w:rsidRDefault="009730F2" w:rsidP="00AD3CCC">
      <w:pPr>
        <w:spacing w:line="360" w:lineRule="auto"/>
        <w:jc w:val="both"/>
        <w:rPr>
          <w:rFonts w:ascii="Palatino Linotype" w:eastAsia="Palatino Linotype" w:hAnsi="Palatino Linotype" w:cs="Palatino Linotype"/>
          <w:i/>
        </w:rPr>
      </w:pPr>
      <w:r w:rsidRPr="00EA6E01">
        <w:rPr>
          <w:rFonts w:ascii="Palatino Linotype" w:eastAsia="Palatino Linotype" w:hAnsi="Palatino Linotype" w:cs="Palatino Linotype"/>
          <w:i/>
        </w:rPr>
        <w:t>"</w:t>
      </w:r>
      <w:r w:rsidRPr="00EA6E01">
        <w:rPr>
          <w:rFonts w:ascii="Palatino Linotype" w:eastAsia="Palatino Linotype" w:hAnsi="Palatino Linotype" w:cs="Palatino Linotype"/>
          <w:b/>
          <w:i/>
        </w:rPr>
        <w:t>Las solicitudes anónimas</w:t>
      </w:r>
      <w:r w:rsidRPr="00EA6E01">
        <w:rPr>
          <w:rFonts w:ascii="Palatino Linotype" w:eastAsia="Palatino Linotype" w:hAnsi="Palatino Linotype" w:cs="Palatino Linotype"/>
          <w:i/>
        </w:rPr>
        <w:t xml:space="preserve">, con nombre incompleto o seudónimo </w:t>
      </w:r>
      <w:r w:rsidRPr="00EA6E01">
        <w:rPr>
          <w:rFonts w:ascii="Palatino Linotype" w:eastAsia="Palatino Linotype" w:hAnsi="Palatino Linotype" w:cs="Palatino Linotype"/>
          <w:b/>
          <w:i/>
        </w:rPr>
        <w:t>serán procedentes para su trámite por parte del sujeto obligado ante quien se presente</w:t>
      </w:r>
      <w:r w:rsidRPr="00EA6E01">
        <w:rPr>
          <w:rFonts w:ascii="Palatino Linotype" w:eastAsia="Palatino Linotype" w:hAnsi="Palatino Linotype" w:cs="Palatino Linotype"/>
          <w:i/>
        </w:rPr>
        <w:t>. No podrá requerirse información adicional con motivo del nombre proporcionado por el solicitante."</w:t>
      </w:r>
    </w:p>
    <w:p w:rsidR="009730F2" w:rsidRPr="00EA6E01" w:rsidRDefault="009730F2" w:rsidP="00AD3CCC">
      <w:pPr>
        <w:spacing w:line="360" w:lineRule="auto"/>
        <w:jc w:val="both"/>
        <w:rPr>
          <w:rFonts w:ascii="Palatino Linotype" w:eastAsia="Palatino Linotype" w:hAnsi="Palatino Linotype" w:cs="Palatino Linotype"/>
        </w:rPr>
      </w:pPr>
    </w:p>
    <w:p w:rsidR="009730F2" w:rsidRPr="00EA6E01" w:rsidRDefault="009730F2" w:rsidP="00AD3CCC">
      <w:pPr>
        <w:numPr>
          <w:ilvl w:val="0"/>
          <w:numId w:val="2"/>
        </w:numPr>
        <w:spacing w:line="360" w:lineRule="auto"/>
        <w:ind w:left="0" w:firstLine="0"/>
        <w:jc w:val="both"/>
        <w:rPr>
          <w:rFonts w:ascii="Palatino Linotype" w:eastAsia="Palatino Linotype" w:hAnsi="Palatino Linotype" w:cs="Palatino Linotype"/>
        </w:rPr>
      </w:pPr>
      <w:r w:rsidRPr="00EA6E01">
        <w:rPr>
          <w:rFonts w:ascii="Palatino Linotype" w:eastAsia="Palatino Linotype" w:hAnsi="Palatino Linotype" w:cs="Palatino Linotype"/>
        </w:rPr>
        <w:t xml:space="preserve">Asimismo, el escrito contiene las formalidades previstas por el artículo 180 último párrafo de la citada Ley de la materia, por lo que es procedente que este Instituto </w:t>
      </w:r>
      <w:r w:rsidR="00FE33B7" w:rsidRPr="00EA6E01">
        <w:rPr>
          <w:rFonts w:ascii="Palatino Linotype" w:eastAsia="Palatino Linotype" w:hAnsi="Palatino Linotype" w:cs="Palatino Linotype"/>
        </w:rPr>
        <w:t>conozca y resuelva el presente R</w:t>
      </w:r>
      <w:r w:rsidRPr="00EA6E01">
        <w:rPr>
          <w:rFonts w:ascii="Palatino Linotype" w:eastAsia="Palatino Linotype" w:hAnsi="Palatino Linotype" w:cs="Palatino Linotype"/>
        </w:rPr>
        <w:t>ecurso.</w:t>
      </w:r>
    </w:p>
    <w:p w:rsidR="00C55DB6" w:rsidRPr="00EA6E01" w:rsidRDefault="00C55DB6" w:rsidP="00AD3CCC">
      <w:pPr>
        <w:spacing w:line="360" w:lineRule="auto"/>
        <w:jc w:val="both"/>
        <w:rPr>
          <w:rFonts w:ascii="Palatino Linotype" w:eastAsia="Palatino Linotype" w:hAnsi="Palatino Linotype" w:cs="Palatino Linotype"/>
        </w:rPr>
      </w:pPr>
    </w:p>
    <w:p w:rsidR="00207D17" w:rsidRPr="00EA6E01" w:rsidRDefault="00207D17" w:rsidP="00AD3CCC">
      <w:pPr>
        <w:pStyle w:val="Ttulo1"/>
        <w:tabs>
          <w:tab w:val="left" w:pos="284"/>
          <w:tab w:val="left" w:pos="426"/>
        </w:tabs>
        <w:spacing w:before="0" w:line="360" w:lineRule="auto"/>
        <w:rPr>
          <w:rFonts w:ascii="Palatino Linotype" w:hAnsi="Palatino Linotype"/>
          <w:b/>
          <w:color w:val="auto"/>
          <w:sz w:val="24"/>
          <w:szCs w:val="24"/>
        </w:rPr>
      </w:pPr>
      <w:bookmarkStart w:id="10" w:name="_Toc500360400"/>
      <w:bookmarkStart w:id="11" w:name="_Toc81233127"/>
      <w:bookmarkStart w:id="12" w:name="_Toc459174366"/>
      <w:bookmarkStart w:id="13" w:name="_Toc459659884"/>
      <w:bookmarkStart w:id="14" w:name="_Toc461687280"/>
      <w:bookmarkStart w:id="15" w:name="_Toc462771051"/>
      <w:bookmarkStart w:id="16" w:name="_Toc464139201"/>
      <w:bookmarkStart w:id="17" w:name="_Toc495427545"/>
      <w:bookmarkStart w:id="18" w:name="_Toc499296549"/>
      <w:r w:rsidRPr="00EA6E01">
        <w:rPr>
          <w:rFonts w:ascii="Palatino Linotype" w:hAnsi="Palatino Linotype"/>
          <w:b/>
          <w:color w:val="auto"/>
          <w:sz w:val="24"/>
          <w:szCs w:val="24"/>
        </w:rPr>
        <w:t>TERCERO. De las causales del sobreseimiento.</w:t>
      </w:r>
      <w:bookmarkEnd w:id="10"/>
      <w:bookmarkEnd w:id="11"/>
    </w:p>
    <w:p w:rsidR="00302FA6" w:rsidRPr="00EA6E01" w:rsidRDefault="00FE33B7" w:rsidP="00AD3CCC">
      <w:pPr>
        <w:pStyle w:val="Prrafodelista"/>
        <w:numPr>
          <w:ilvl w:val="0"/>
          <w:numId w:val="2"/>
        </w:numPr>
        <w:tabs>
          <w:tab w:val="left" w:pos="284"/>
          <w:tab w:val="left" w:pos="426"/>
        </w:tabs>
        <w:spacing w:line="360" w:lineRule="auto"/>
        <w:ind w:left="0" w:firstLine="0"/>
        <w:jc w:val="both"/>
        <w:rPr>
          <w:rFonts w:ascii="Palatino Linotype" w:hAnsi="Palatino Linotype" w:cs="Arial"/>
          <w:sz w:val="24"/>
        </w:rPr>
      </w:pPr>
      <w:bookmarkStart w:id="19" w:name="_Toc455991148"/>
      <w:bookmarkStart w:id="20" w:name="_Toc450120669"/>
      <w:bookmarkStart w:id="21" w:name="_Toc461555896"/>
      <w:bookmarkStart w:id="22" w:name="_Toc462154385"/>
      <w:bookmarkStart w:id="23" w:name="_Toc462660376"/>
      <w:bookmarkStart w:id="24" w:name="_Toc462660687"/>
      <w:bookmarkStart w:id="25" w:name="_Toc462660766"/>
      <w:bookmarkStart w:id="26" w:name="_Toc465264624"/>
      <w:bookmarkStart w:id="27" w:name="_Toc465264870"/>
      <w:bookmarkStart w:id="28" w:name="_Toc465266520"/>
      <w:bookmarkStart w:id="29" w:name="_Toc466302258"/>
      <w:bookmarkStart w:id="30" w:name="_Toc466371866"/>
      <w:bookmarkStart w:id="31" w:name="_Toc466371925"/>
      <w:bookmarkStart w:id="32" w:name="_Toc466377654"/>
      <w:bookmarkStart w:id="33" w:name="_Toc478549736"/>
      <w:bookmarkStart w:id="34" w:name="_Toc478572850"/>
      <w:bookmarkStart w:id="35" w:name="_Toc479238537"/>
      <w:bookmarkEnd w:id="12"/>
      <w:bookmarkEnd w:id="13"/>
      <w:bookmarkEnd w:id="14"/>
      <w:bookmarkEnd w:id="15"/>
      <w:bookmarkEnd w:id="16"/>
      <w:bookmarkEnd w:id="17"/>
      <w:bookmarkEnd w:id="18"/>
      <w:r w:rsidRPr="00EA6E01">
        <w:rPr>
          <w:rFonts w:ascii="Palatino Linotype" w:hAnsi="Palatino Linotype" w:cs="Arial"/>
          <w:sz w:val="24"/>
        </w:rPr>
        <w:t>El Recurso R</w:t>
      </w:r>
      <w:r w:rsidR="00207D17" w:rsidRPr="00EA6E01">
        <w:rPr>
          <w:rFonts w:ascii="Palatino Linotype" w:hAnsi="Palatino Linotype" w:cs="Arial"/>
          <w:sz w:val="24"/>
        </w:rPr>
        <w:t xml:space="preserve">evisión tiene como finalidad reparar cualquier posible afectación al Derecho de Acceso a la Información Pública en términos del Título Octavo de la Ley de </w:t>
      </w:r>
      <w:r w:rsidR="00207D17" w:rsidRPr="00EA6E01">
        <w:rPr>
          <w:rFonts w:ascii="Palatino Linotype" w:eastAsia="Calibri" w:hAnsi="Palatino Linotype" w:cs="Arial"/>
          <w:sz w:val="24"/>
        </w:rPr>
        <w:t>Transparencia, Acceso a la Información Pública del Estado de México y Municipios</w:t>
      </w:r>
      <w:r w:rsidR="00207D17" w:rsidRPr="00EA6E01">
        <w:rPr>
          <w:rFonts w:ascii="Palatino Linotype" w:hAnsi="Palatino Linotype" w:cs="Arial"/>
          <w:sz w:val="24"/>
        </w:rPr>
        <w:t xml:space="preserve">, y determinar la confirmación; revocación o modificación; desechamiento o </w:t>
      </w:r>
      <w:r w:rsidR="00207D17" w:rsidRPr="00EA6E01">
        <w:rPr>
          <w:rFonts w:ascii="Palatino Linotype" w:hAnsi="Palatino Linotype" w:cs="Arial"/>
          <w:b/>
          <w:sz w:val="24"/>
          <w:u w:val="single"/>
        </w:rPr>
        <w:t>sobreseimiento</w:t>
      </w:r>
      <w:r w:rsidR="00207D17" w:rsidRPr="00EA6E01">
        <w:rPr>
          <w:rFonts w:ascii="Palatino Linotype" w:hAnsi="Palatino Linotype" w:cs="Arial"/>
          <w:sz w:val="24"/>
        </w:rPr>
        <w:t xml:space="preserve">; y, en su caso, ordenar la entrega de la información respecto a la falta de respuesta por parte del </w:t>
      </w:r>
      <w:r w:rsidR="00207D17" w:rsidRPr="00EA6E01">
        <w:rPr>
          <w:rFonts w:ascii="Palatino Linotype" w:hAnsi="Palatino Linotype" w:cs="Arial"/>
          <w:b/>
          <w:sz w:val="24"/>
        </w:rPr>
        <w:t>SUJETO</w:t>
      </w:r>
      <w:r w:rsidR="00207D17" w:rsidRPr="00EA6E01">
        <w:rPr>
          <w:rFonts w:ascii="Palatino Linotype" w:hAnsi="Palatino Linotype" w:cs="Arial"/>
          <w:sz w:val="24"/>
        </w:rPr>
        <w:t xml:space="preserve"> </w:t>
      </w:r>
      <w:r w:rsidR="00207D17" w:rsidRPr="00EA6E01">
        <w:rPr>
          <w:rFonts w:ascii="Palatino Linotype" w:hAnsi="Palatino Linotype" w:cs="Arial"/>
          <w:b/>
          <w:sz w:val="24"/>
        </w:rPr>
        <w:t>OBLIGADO</w:t>
      </w:r>
      <w:r w:rsidR="00207D17" w:rsidRPr="00EA6E01">
        <w:rPr>
          <w:rFonts w:ascii="Palatino Linotype" w:hAnsi="Palatino Linotype" w:cs="Arial"/>
          <w:sz w:val="24"/>
        </w:rPr>
        <w:t>.</w:t>
      </w:r>
    </w:p>
    <w:p w:rsidR="000967D3" w:rsidRPr="00EA6E01" w:rsidRDefault="000967D3" w:rsidP="00AD3CCC">
      <w:pPr>
        <w:pStyle w:val="Prrafodelista"/>
        <w:tabs>
          <w:tab w:val="left" w:pos="284"/>
          <w:tab w:val="left" w:pos="426"/>
        </w:tabs>
        <w:spacing w:line="360" w:lineRule="auto"/>
        <w:ind w:left="0"/>
        <w:jc w:val="both"/>
        <w:rPr>
          <w:rFonts w:ascii="Palatino Linotype" w:hAnsi="Palatino Linotype" w:cs="Arial"/>
          <w:sz w:val="24"/>
        </w:rPr>
      </w:pPr>
    </w:p>
    <w:p w:rsidR="005A630D" w:rsidRPr="00EA6E01" w:rsidRDefault="00C55DB6" w:rsidP="00AD3CCC">
      <w:pPr>
        <w:pStyle w:val="Prrafodelista"/>
        <w:numPr>
          <w:ilvl w:val="0"/>
          <w:numId w:val="2"/>
        </w:numPr>
        <w:tabs>
          <w:tab w:val="left" w:pos="284"/>
          <w:tab w:val="left" w:pos="426"/>
        </w:tabs>
        <w:spacing w:line="360" w:lineRule="auto"/>
        <w:ind w:left="0" w:firstLine="0"/>
        <w:jc w:val="both"/>
        <w:rPr>
          <w:rFonts w:ascii="Palatino Linotype" w:hAnsi="Palatino Linotype" w:cs="Arial"/>
          <w:sz w:val="24"/>
        </w:rPr>
      </w:pPr>
      <w:r w:rsidRPr="00EA6E01">
        <w:rPr>
          <w:rFonts w:ascii="Palatino Linotype" w:hAnsi="Palatino Linotype" w:cs="Arial"/>
          <w:sz w:val="24"/>
        </w:rPr>
        <w:lastRenderedPageBreak/>
        <w:t>Dicho lo anterior, p</w:t>
      </w:r>
      <w:r w:rsidR="00037E34" w:rsidRPr="00EA6E01">
        <w:rPr>
          <w:rFonts w:ascii="Palatino Linotype" w:hAnsi="Palatino Linotype" w:cs="Arial"/>
          <w:sz w:val="24"/>
        </w:rPr>
        <w:t xml:space="preserve">rimeramente debemos recordar que la particular solicitó </w:t>
      </w:r>
      <w:r w:rsidR="00471AD6" w:rsidRPr="00EA6E01">
        <w:rPr>
          <w:rFonts w:ascii="Palatino Linotype" w:hAnsi="Palatino Linotype"/>
          <w:i/>
          <w:color w:val="000000"/>
          <w:sz w:val="24"/>
        </w:rPr>
        <w:t>“</w:t>
      </w:r>
      <w:r w:rsidR="005E692D" w:rsidRPr="00EA6E01">
        <w:rPr>
          <w:rFonts w:ascii="Palatino Linotype" w:hAnsi="Palatino Linotype"/>
          <w:i/>
          <w:color w:val="000000"/>
          <w:sz w:val="24"/>
        </w:rPr>
        <w:t>…</w:t>
      </w:r>
      <w:r w:rsidR="00FE33B7" w:rsidRPr="00EA6E01">
        <w:rPr>
          <w:rFonts w:ascii="Palatino Linotype" w:hAnsi="Palatino Linotype"/>
          <w:i/>
          <w:color w:val="000000"/>
          <w:sz w:val="24"/>
        </w:rPr>
        <w:t xml:space="preserve">el </w:t>
      </w:r>
      <w:r w:rsidR="00FE33B7" w:rsidRPr="00EA6E01">
        <w:rPr>
          <w:rFonts w:ascii="Palatino Linotype" w:hAnsi="Palatino Linotype"/>
          <w:b/>
          <w:i/>
          <w:color w:val="000000"/>
          <w:sz w:val="24"/>
        </w:rPr>
        <w:t>nombramiento de Mónica adscrita a presidencia y quien asume el cargo de secretaria particular</w:t>
      </w:r>
      <w:r w:rsidR="00FE33B7" w:rsidRPr="00EA6E01">
        <w:rPr>
          <w:rFonts w:ascii="Palatino Linotype" w:hAnsi="Palatino Linotype"/>
          <w:i/>
          <w:color w:val="000000"/>
          <w:sz w:val="24"/>
        </w:rPr>
        <w:t xml:space="preserve"> de la Maestra Berenice carrillo, al igual que </w:t>
      </w:r>
      <w:r w:rsidR="00FE33B7" w:rsidRPr="00EA6E01">
        <w:rPr>
          <w:rFonts w:ascii="Palatino Linotype" w:hAnsi="Palatino Linotype"/>
          <w:b/>
          <w:i/>
          <w:color w:val="000000"/>
          <w:sz w:val="24"/>
        </w:rPr>
        <w:t>el interinato por dejar su plaza sindicalizados y ocupar este cargo de confianza</w:t>
      </w:r>
      <w:r w:rsidR="00FE33B7" w:rsidRPr="00EA6E01">
        <w:rPr>
          <w:rFonts w:ascii="Palatino Linotype" w:hAnsi="Palatino Linotype"/>
          <w:i/>
          <w:color w:val="000000"/>
          <w:sz w:val="24"/>
        </w:rPr>
        <w:t xml:space="preserve">, si ni fuera el caso, informar </w:t>
      </w:r>
      <w:r w:rsidR="00FE33B7" w:rsidRPr="00EA6E01">
        <w:rPr>
          <w:rFonts w:ascii="Palatino Linotype" w:hAnsi="Palatino Linotype"/>
          <w:b/>
          <w:i/>
          <w:color w:val="000000"/>
          <w:sz w:val="24"/>
        </w:rPr>
        <w:t>bajo que fundamento legal y los motivos con el que justifiquen que se hizo ese movimiento</w:t>
      </w:r>
      <w:r w:rsidR="00FE33B7" w:rsidRPr="00EA6E01">
        <w:rPr>
          <w:rFonts w:ascii="Palatino Linotype" w:hAnsi="Palatino Linotype"/>
          <w:i/>
          <w:color w:val="000000"/>
          <w:sz w:val="24"/>
        </w:rPr>
        <w:t xml:space="preserve"> o si se dejo en interinato su plaza sindicalizada por parte de Recursos humanos y el SUTEYM, además del los </w:t>
      </w:r>
      <w:r w:rsidR="00FE33B7" w:rsidRPr="00EA6E01">
        <w:rPr>
          <w:rFonts w:ascii="Palatino Linotype" w:hAnsi="Palatino Linotype"/>
          <w:b/>
          <w:i/>
          <w:color w:val="000000"/>
          <w:sz w:val="24"/>
        </w:rPr>
        <w:t>recibos de nomina de la primera y segunda quincena de enero 2025</w:t>
      </w:r>
      <w:r w:rsidR="00FE33B7" w:rsidRPr="00EA6E01">
        <w:rPr>
          <w:rFonts w:ascii="Palatino Linotype" w:hAnsi="Palatino Linotype"/>
          <w:i/>
          <w:color w:val="000000"/>
          <w:sz w:val="24"/>
        </w:rPr>
        <w:t xml:space="preserve"> de la misma.</w:t>
      </w:r>
      <w:r w:rsidR="005E692D" w:rsidRPr="00EA6E01">
        <w:rPr>
          <w:rFonts w:ascii="Palatino Linotype" w:hAnsi="Palatino Linotype"/>
          <w:i/>
          <w:color w:val="000000"/>
          <w:sz w:val="24"/>
        </w:rPr>
        <w:t>”.</w:t>
      </w:r>
      <w:r w:rsidRPr="00EA6E01">
        <w:rPr>
          <w:rFonts w:ascii="Palatino Linotype" w:hAnsi="Palatino Linotype"/>
          <w:i/>
          <w:color w:val="000000"/>
          <w:sz w:val="24"/>
        </w:rPr>
        <w:t xml:space="preserve"> </w:t>
      </w:r>
      <w:r w:rsidRPr="00EA6E01">
        <w:rPr>
          <w:rFonts w:ascii="Palatino Linotype" w:hAnsi="Palatino Linotype"/>
          <w:color w:val="000000"/>
          <w:sz w:val="24"/>
        </w:rPr>
        <w:t>Énfasis añadido</w:t>
      </w:r>
    </w:p>
    <w:p w:rsidR="005E692D" w:rsidRPr="00EA6E01" w:rsidRDefault="005E692D" w:rsidP="00AD3CCC">
      <w:pPr>
        <w:pStyle w:val="Prrafodelista"/>
        <w:tabs>
          <w:tab w:val="left" w:pos="284"/>
          <w:tab w:val="left" w:pos="426"/>
        </w:tabs>
        <w:spacing w:line="360" w:lineRule="auto"/>
        <w:ind w:left="0"/>
        <w:jc w:val="both"/>
        <w:rPr>
          <w:rFonts w:ascii="Palatino Linotype" w:hAnsi="Palatino Linotype" w:cs="Arial"/>
          <w:sz w:val="24"/>
        </w:rPr>
      </w:pPr>
    </w:p>
    <w:p w:rsidR="00266345" w:rsidRPr="00EA6E01" w:rsidRDefault="005A630D" w:rsidP="00AD3CCC">
      <w:pPr>
        <w:pStyle w:val="Prrafodelista"/>
        <w:numPr>
          <w:ilvl w:val="0"/>
          <w:numId w:val="2"/>
        </w:numPr>
        <w:tabs>
          <w:tab w:val="left" w:pos="284"/>
          <w:tab w:val="left" w:pos="426"/>
        </w:tabs>
        <w:spacing w:line="360" w:lineRule="auto"/>
        <w:ind w:left="0" w:firstLine="0"/>
        <w:jc w:val="both"/>
        <w:rPr>
          <w:rFonts w:ascii="Palatino Linotype" w:hAnsi="Palatino Linotype" w:cs="Arial"/>
          <w:i/>
          <w:sz w:val="24"/>
        </w:rPr>
      </w:pPr>
      <w:r w:rsidRPr="00EA6E01">
        <w:rPr>
          <w:rFonts w:ascii="Palatino Linotype" w:hAnsi="Palatino Linotype" w:cs="Arial"/>
          <w:sz w:val="24"/>
        </w:rPr>
        <w:t xml:space="preserve">En respuesta, el Sujeto Obligado </w:t>
      </w:r>
      <w:r w:rsidR="00FE33B7" w:rsidRPr="00EA6E01">
        <w:rPr>
          <w:rFonts w:ascii="Palatino Linotype" w:hAnsi="Palatino Linotype" w:cs="Arial"/>
          <w:sz w:val="24"/>
        </w:rPr>
        <w:t xml:space="preserve">remitió </w:t>
      </w:r>
      <w:r w:rsidR="005E692D" w:rsidRPr="00EA6E01">
        <w:rPr>
          <w:rFonts w:ascii="Palatino Linotype" w:hAnsi="Palatino Linotype" w:cs="Arial"/>
          <w:sz w:val="24"/>
        </w:rPr>
        <w:t xml:space="preserve">la información </w:t>
      </w:r>
      <w:r w:rsidR="00FE33B7" w:rsidRPr="00EA6E01">
        <w:rPr>
          <w:rFonts w:ascii="Palatino Linotype" w:hAnsi="Palatino Linotype" w:cs="Arial"/>
          <w:sz w:val="24"/>
        </w:rPr>
        <w:t>ya descrita en el anterior Párrafo 2; c</w:t>
      </w:r>
      <w:r w:rsidR="005E692D" w:rsidRPr="00EA6E01">
        <w:rPr>
          <w:rFonts w:ascii="Palatino Linotype" w:hAnsi="Palatino Linotype" w:cs="Arial"/>
          <w:sz w:val="24"/>
        </w:rPr>
        <w:t>onsecuentemente, el</w:t>
      </w:r>
      <w:r w:rsidRPr="00EA6E01">
        <w:rPr>
          <w:rFonts w:ascii="Palatino Linotype" w:hAnsi="Palatino Linotype" w:cs="Arial"/>
          <w:sz w:val="24"/>
        </w:rPr>
        <w:t xml:space="preserve"> particular interpuso recurso de revisión</w:t>
      </w:r>
      <w:r w:rsidR="00FE33B7" w:rsidRPr="00EA6E01">
        <w:rPr>
          <w:rFonts w:ascii="Palatino Linotype" w:hAnsi="Palatino Linotype" w:cs="Arial"/>
          <w:sz w:val="24"/>
        </w:rPr>
        <w:t>, inconformándose por la falta de acuerdo por los datos testados y por la entrega del FUMP incompleto, dejando de impugnar el resto de rubros que integraron la solicitud de información.</w:t>
      </w:r>
    </w:p>
    <w:p w:rsidR="00FE33B7" w:rsidRPr="00EA6E01" w:rsidRDefault="00FE33B7" w:rsidP="00AD3CCC">
      <w:pPr>
        <w:pStyle w:val="Prrafodelista"/>
        <w:spacing w:line="360" w:lineRule="auto"/>
        <w:ind w:left="0"/>
        <w:rPr>
          <w:rFonts w:ascii="Palatino Linotype" w:hAnsi="Palatino Linotype" w:cs="Arial"/>
          <w:i/>
          <w:sz w:val="24"/>
        </w:rPr>
      </w:pPr>
    </w:p>
    <w:p w:rsidR="00F749E9" w:rsidRPr="00EA6E01" w:rsidRDefault="00F749E9" w:rsidP="00AD3CCC">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sz w:val="24"/>
        </w:rPr>
      </w:pPr>
      <w:r w:rsidRPr="00EA6E01">
        <w:rPr>
          <w:rFonts w:ascii="Palatino Linotype" w:eastAsia="Palatino Linotype" w:hAnsi="Palatino Linotype" w:cs="Palatino Linotype"/>
          <w:sz w:val="24"/>
        </w:rPr>
        <w:t xml:space="preserve">De tal forma que, la parte de la solicitud que no fue impugnada debe declararse consentida, toda vez que al no realizar manifestaciones de inconformidad; no pueden producirse efectos jurídicos tendentes a revocar, confirmar o modificar el acto reclamado, ya que no realizó manifestación alguna al respecto. </w:t>
      </w:r>
    </w:p>
    <w:p w:rsidR="00F749E9" w:rsidRPr="00EA6E01" w:rsidRDefault="00F749E9" w:rsidP="00AD3CCC">
      <w:pPr>
        <w:pStyle w:val="Prrafodelista"/>
        <w:spacing w:line="360" w:lineRule="auto"/>
        <w:ind w:left="0"/>
        <w:jc w:val="both"/>
        <w:rPr>
          <w:rFonts w:ascii="Palatino Linotype" w:eastAsia="Palatino Linotype" w:hAnsi="Palatino Linotype" w:cs="Palatino Linotype"/>
          <w:sz w:val="24"/>
        </w:rPr>
      </w:pPr>
    </w:p>
    <w:p w:rsidR="00F749E9" w:rsidRPr="00EA6E01" w:rsidRDefault="00F749E9" w:rsidP="00AD3CCC">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sz w:val="24"/>
        </w:rPr>
      </w:pPr>
      <w:r w:rsidRPr="00EA6E01">
        <w:rPr>
          <w:rFonts w:ascii="Palatino Linotype" w:eastAsia="Palatino Linotype" w:hAnsi="Palatino Linotype" w:cs="Palatino Linotype"/>
          <w:sz w:val="24"/>
        </w:rPr>
        <w:t>Sirve de sustento, la tesis jurisprudencial número VI.3o.C. J/60, publicada en el Semanario Judicial de la Federación y su Gaceta bajo el número de registro 176,608 que a la letra dice:</w:t>
      </w:r>
    </w:p>
    <w:p w:rsidR="00F749E9" w:rsidRPr="00EA6E01" w:rsidRDefault="00F749E9" w:rsidP="00AD3CCC">
      <w:pPr>
        <w:tabs>
          <w:tab w:val="left" w:pos="851"/>
        </w:tabs>
        <w:spacing w:line="360" w:lineRule="auto"/>
        <w:jc w:val="both"/>
        <w:rPr>
          <w:rFonts w:ascii="Palatino Linotype" w:eastAsia="Palatino Linotype" w:hAnsi="Palatino Linotype" w:cs="Palatino Linotype"/>
          <w:i/>
        </w:rPr>
      </w:pPr>
      <w:r w:rsidRPr="00EA6E01">
        <w:rPr>
          <w:rFonts w:ascii="Palatino Linotype" w:eastAsia="Palatino Linotype" w:hAnsi="Palatino Linotype" w:cs="Palatino Linotype"/>
          <w:b/>
          <w:i/>
        </w:rPr>
        <w:t xml:space="preserve">“ACTOS CONSENTIDOS. SON LOS QUE NO SE IMPUGNAN MEDIANTE EL RECURSO IDÓNEO. </w:t>
      </w:r>
      <w:r w:rsidRPr="00EA6E01">
        <w:rPr>
          <w:rFonts w:ascii="Palatino Linotype" w:eastAsia="Palatino Linotype" w:hAnsi="Palatino Linotype" w:cs="Palatino Linotype"/>
          <w:i/>
        </w:rPr>
        <w:t xml:space="preserve">Debe reputarse como consentido el acto que no se impugnó por el medio </w:t>
      </w:r>
      <w:r w:rsidRPr="00EA6E01">
        <w:rPr>
          <w:rFonts w:ascii="Palatino Linotype" w:eastAsia="Palatino Linotype" w:hAnsi="Palatino Linotype" w:cs="Palatino Linotype"/>
          <w:i/>
        </w:rPr>
        <w:lastRenderedPageBreak/>
        <w:t>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F749E9" w:rsidRPr="00EA6E01" w:rsidRDefault="00F749E9" w:rsidP="00AD3CCC">
      <w:pPr>
        <w:tabs>
          <w:tab w:val="left" w:pos="851"/>
        </w:tabs>
        <w:spacing w:line="360" w:lineRule="auto"/>
        <w:jc w:val="both"/>
        <w:rPr>
          <w:rFonts w:ascii="Palatino Linotype" w:eastAsia="Palatino Linotype" w:hAnsi="Palatino Linotype" w:cs="Palatino Linotype"/>
          <w:i/>
        </w:rPr>
      </w:pPr>
    </w:p>
    <w:p w:rsidR="00F749E9" w:rsidRPr="00EA6E01" w:rsidRDefault="00F749E9" w:rsidP="00AD3CCC">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sz w:val="24"/>
        </w:rPr>
      </w:pPr>
      <w:r w:rsidRPr="00EA6E01">
        <w:rPr>
          <w:rFonts w:ascii="Palatino Linotype" w:eastAsia="Palatino Linotype" w:hAnsi="Palatino Linotype" w:cs="Palatino Linotype"/>
          <w:sz w:val="24"/>
        </w:rPr>
        <w:t xml:space="preserve">De la interpretación del criterio antes citado, se advierte que cuando el particular impugnó la respuesta del </w:t>
      </w:r>
      <w:r w:rsidRPr="00EA6E01">
        <w:rPr>
          <w:rFonts w:ascii="Palatino Linotype" w:eastAsia="Palatino Linotype" w:hAnsi="Palatino Linotype" w:cs="Palatino Linotype"/>
          <w:b/>
          <w:sz w:val="24"/>
        </w:rPr>
        <w:t>SUJETO OBLIGADO</w:t>
      </w:r>
      <w:r w:rsidRPr="00EA6E01">
        <w:rPr>
          <w:rFonts w:ascii="Palatino Linotype" w:eastAsia="Palatino Linotype" w:hAnsi="Palatino Linotype" w:cs="Palatino Linotype"/>
          <w:sz w:val="24"/>
        </w:rPr>
        <w:t xml:space="preserve">, no expresó razón o motivo de inconformidad en contra de todos los rubros solicitados, por tanto estos deben declararse atendidos, pues se entiende que </w:t>
      </w:r>
      <w:r w:rsidRPr="00EA6E01">
        <w:rPr>
          <w:rFonts w:ascii="Palatino Linotype" w:eastAsia="Palatino Linotype" w:hAnsi="Palatino Linotype" w:cs="Palatino Linotype"/>
          <w:b/>
          <w:sz w:val="24"/>
        </w:rPr>
        <w:t>EL RECURRENTE</w:t>
      </w:r>
      <w:r w:rsidRPr="00EA6E01">
        <w:rPr>
          <w:rFonts w:ascii="Palatino Linotype" w:eastAsia="Palatino Linotype" w:hAnsi="Palatino Linotype" w:cs="Palatino Linotype"/>
          <w:sz w:val="24"/>
        </w:rPr>
        <w:t xml:space="preserve"> está conforme con la respuesta proporcionada por </w:t>
      </w:r>
      <w:r w:rsidRPr="00EA6E01">
        <w:rPr>
          <w:rFonts w:ascii="Palatino Linotype" w:eastAsia="Palatino Linotype" w:hAnsi="Palatino Linotype" w:cs="Palatino Linotype"/>
          <w:b/>
          <w:sz w:val="24"/>
        </w:rPr>
        <w:t>EL SUJETO OBLIGADO,</w:t>
      </w:r>
      <w:r w:rsidRPr="00EA6E01">
        <w:rPr>
          <w:rFonts w:ascii="Palatino Linotype" w:eastAsia="Palatino Linotype" w:hAnsi="Palatino Linotype" w:cs="Palatino Linotype"/>
          <w:sz w:val="24"/>
        </w:rPr>
        <w:t xml:space="preserve"> al no contravenir la misma. </w:t>
      </w:r>
    </w:p>
    <w:p w:rsidR="00F749E9" w:rsidRPr="00EA6E01" w:rsidRDefault="00F749E9" w:rsidP="00AD3CCC">
      <w:pPr>
        <w:pStyle w:val="Prrafodelista"/>
        <w:spacing w:line="360" w:lineRule="auto"/>
        <w:ind w:left="0"/>
        <w:jc w:val="both"/>
        <w:rPr>
          <w:rFonts w:ascii="Palatino Linotype" w:eastAsia="Palatino Linotype" w:hAnsi="Palatino Linotype" w:cs="Palatino Linotype"/>
          <w:sz w:val="24"/>
        </w:rPr>
      </w:pPr>
    </w:p>
    <w:p w:rsidR="00F749E9" w:rsidRPr="00EA6E01" w:rsidRDefault="00F749E9" w:rsidP="00AD3CCC">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sz w:val="24"/>
        </w:rPr>
      </w:pPr>
      <w:r w:rsidRPr="00EA6E01">
        <w:rPr>
          <w:rFonts w:ascii="Palatino Linotype" w:eastAsia="Palatino Linotype" w:hAnsi="Palatino Linotype" w:cs="Palatino Linotype"/>
          <w:sz w:val="24"/>
        </w:rPr>
        <w:t>Atento a ello, es importante traer a contexto la Tesis Jurisprudencial Número 3ª./J.7/91, Publicada en el Semanario Judicial de la Federación y su Gaceta bajo el número de registro 174,177, que establece lo siguiente:</w:t>
      </w:r>
    </w:p>
    <w:p w:rsidR="00F749E9" w:rsidRPr="00EA6E01" w:rsidRDefault="00F749E9" w:rsidP="00AD3CCC">
      <w:pPr>
        <w:tabs>
          <w:tab w:val="left" w:pos="7937"/>
          <w:tab w:val="left" w:pos="8222"/>
        </w:tabs>
        <w:spacing w:line="360" w:lineRule="auto"/>
        <w:jc w:val="both"/>
        <w:rPr>
          <w:rFonts w:ascii="Palatino Linotype" w:eastAsia="Palatino Linotype" w:hAnsi="Palatino Linotype" w:cs="Palatino Linotype"/>
          <w:i/>
        </w:rPr>
      </w:pPr>
      <w:r w:rsidRPr="00EA6E01">
        <w:rPr>
          <w:rFonts w:ascii="Palatino Linotype" w:eastAsia="Palatino Linotype" w:hAnsi="Palatino Linotype" w:cs="Palatino Linotype"/>
          <w:b/>
          <w:i/>
        </w:rPr>
        <w:t xml:space="preserve">“REVISIÓN EN AMPARO. LOS RESOLUTIVOS NO COMBATIDOS DEBEN DECLARARSE FIRMES. </w:t>
      </w:r>
      <w:r w:rsidRPr="00EA6E01">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F749E9" w:rsidRPr="00EA6E01" w:rsidRDefault="00F749E9" w:rsidP="00AD3CCC">
      <w:pPr>
        <w:pStyle w:val="Prrafodelista"/>
        <w:numPr>
          <w:ilvl w:val="0"/>
          <w:numId w:val="2"/>
        </w:numPr>
        <w:tabs>
          <w:tab w:val="left" w:pos="284"/>
          <w:tab w:val="left" w:pos="426"/>
        </w:tabs>
        <w:spacing w:line="360" w:lineRule="auto"/>
        <w:ind w:left="0" w:firstLine="0"/>
        <w:jc w:val="both"/>
        <w:rPr>
          <w:rFonts w:ascii="Palatino Linotype" w:eastAsia="Palatino Linotype" w:hAnsi="Palatino Linotype" w:cs="Palatino Linotype"/>
          <w:sz w:val="24"/>
        </w:rPr>
      </w:pPr>
      <w:r w:rsidRPr="00EA6E01">
        <w:rPr>
          <w:rFonts w:ascii="Palatino Linotype" w:eastAsia="Palatino Linotype" w:hAnsi="Palatino Linotype" w:cs="Palatino Linotype"/>
          <w:sz w:val="24"/>
        </w:rPr>
        <w:lastRenderedPageBreak/>
        <w:t xml:space="preserve">En consecuencia que los demás fundamentos remitidos en respuesta. Se consideran un acto consentido y, en consecuencia, este Órgano Resolutor no entrará al estudio del mismo por las razones hasta aquí expuestas. </w:t>
      </w:r>
    </w:p>
    <w:p w:rsidR="00F749E9" w:rsidRPr="00EA6E01" w:rsidRDefault="00F749E9" w:rsidP="00AD3CCC">
      <w:pPr>
        <w:pStyle w:val="Prrafodelista"/>
        <w:tabs>
          <w:tab w:val="left" w:pos="284"/>
          <w:tab w:val="left" w:pos="426"/>
        </w:tabs>
        <w:spacing w:line="360" w:lineRule="auto"/>
        <w:ind w:left="0"/>
        <w:jc w:val="both"/>
        <w:rPr>
          <w:rFonts w:ascii="Palatino Linotype" w:eastAsia="Palatino Linotype" w:hAnsi="Palatino Linotype" w:cs="Palatino Linotype"/>
          <w:sz w:val="24"/>
        </w:rPr>
      </w:pPr>
    </w:p>
    <w:p w:rsidR="00FE33B7" w:rsidRPr="00EA6E01" w:rsidRDefault="00F749E9" w:rsidP="00AD3CCC">
      <w:pPr>
        <w:pStyle w:val="Prrafodelista"/>
        <w:numPr>
          <w:ilvl w:val="0"/>
          <w:numId w:val="2"/>
        </w:numPr>
        <w:tabs>
          <w:tab w:val="left" w:pos="284"/>
          <w:tab w:val="left" w:pos="426"/>
        </w:tabs>
        <w:spacing w:line="360" w:lineRule="auto"/>
        <w:ind w:left="0" w:firstLine="0"/>
        <w:jc w:val="both"/>
        <w:rPr>
          <w:rFonts w:ascii="Palatino Linotype" w:hAnsi="Palatino Linotype" w:cs="Arial"/>
          <w:i/>
          <w:sz w:val="24"/>
        </w:rPr>
      </w:pPr>
      <w:r w:rsidRPr="00EA6E01">
        <w:rPr>
          <w:rFonts w:ascii="Palatino Linotype" w:hAnsi="Palatino Linotype" w:cs="Arial"/>
          <w:sz w:val="24"/>
        </w:rPr>
        <w:t xml:space="preserve">Ahora bien respecto de los dos rubros impugnados, </w:t>
      </w:r>
      <w:r w:rsidR="000D3835" w:rsidRPr="00EA6E01">
        <w:rPr>
          <w:rFonts w:ascii="Palatino Linotype" w:hAnsi="Palatino Linotype" w:cs="Arial"/>
          <w:sz w:val="24"/>
        </w:rPr>
        <w:t>corresponden a dos contextos que no obran en las constancias del expediente electrónico en que se actúa, toda vez que no se hizo entrega de ningún documento testado, por lo que no existen razones para que se emita un acuerdo del Comité de Transparencia que de manera fundada y motivada sustente la clasificación de datos personales y, al sentido contrario, tampoco se advierte de lo entregado información susceptible de haber sido clasificada y que se haya dejado a la vista, para que este Órgano Garante lo analice y en su caso ordene un acuerdo de clasificación, de tal manera que se reitera que dicho contexto no guarda relación con la respuesta emitida por el Ayuntamiento de Temoaya.</w:t>
      </w:r>
    </w:p>
    <w:p w:rsidR="000D3835" w:rsidRPr="00EA6E01" w:rsidRDefault="000D3835" w:rsidP="00AD3CCC">
      <w:pPr>
        <w:pStyle w:val="Prrafodelista"/>
        <w:spacing w:line="360" w:lineRule="auto"/>
        <w:ind w:left="0"/>
        <w:rPr>
          <w:rFonts w:ascii="Palatino Linotype" w:hAnsi="Palatino Linotype" w:cs="Arial"/>
          <w:i/>
          <w:sz w:val="24"/>
        </w:rPr>
      </w:pPr>
    </w:p>
    <w:p w:rsidR="000D3835" w:rsidRPr="00EA6E01" w:rsidRDefault="000D3835" w:rsidP="00AD3CCC">
      <w:pPr>
        <w:pStyle w:val="Prrafodelista"/>
        <w:numPr>
          <w:ilvl w:val="0"/>
          <w:numId w:val="2"/>
        </w:numPr>
        <w:tabs>
          <w:tab w:val="left" w:pos="284"/>
          <w:tab w:val="left" w:pos="426"/>
        </w:tabs>
        <w:spacing w:line="360" w:lineRule="auto"/>
        <w:ind w:left="0" w:firstLine="0"/>
        <w:jc w:val="both"/>
        <w:rPr>
          <w:rFonts w:ascii="Palatino Linotype" w:hAnsi="Palatino Linotype" w:cs="Arial"/>
          <w:i/>
          <w:sz w:val="24"/>
        </w:rPr>
      </w:pPr>
      <w:r w:rsidRPr="00EA6E01">
        <w:rPr>
          <w:rFonts w:ascii="Palatino Linotype" w:hAnsi="Palatino Linotype" w:cs="Arial"/>
          <w:sz w:val="24"/>
        </w:rPr>
        <w:t xml:space="preserve">Por otro lado, respecto del Formato Único de Movimiento de Personal (FUMP) a que se hace referencia, es un contexto que </w:t>
      </w:r>
      <w:r w:rsidR="00C55DB6" w:rsidRPr="00EA6E01">
        <w:rPr>
          <w:rFonts w:ascii="Palatino Linotype" w:hAnsi="Palatino Linotype" w:cs="Arial"/>
          <w:sz w:val="24"/>
        </w:rPr>
        <w:t xml:space="preserve">tampoco </w:t>
      </w:r>
      <w:r w:rsidRPr="00EA6E01">
        <w:rPr>
          <w:rFonts w:ascii="Palatino Linotype" w:hAnsi="Palatino Linotype" w:cs="Arial"/>
          <w:sz w:val="24"/>
        </w:rPr>
        <w:t>guarda relación con el asunto de mérito, en virtud que no fue una documental solicitada de manera inicial; asimismo porque en la respuesta no se advierte ningún FUMP, completo o incompleto.</w:t>
      </w:r>
    </w:p>
    <w:p w:rsidR="00266345" w:rsidRPr="00EA6E01" w:rsidRDefault="00266345" w:rsidP="00AD3CCC">
      <w:pPr>
        <w:pStyle w:val="Prrafodelista"/>
        <w:tabs>
          <w:tab w:val="left" w:pos="284"/>
          <w:tab w:val="left" w:pos="426"/>
        </w:tabs>
        <w:spacing w:line="360" w:lineRule="auto"/>
        <w:ind w:left="0"/>
        <w:jc w:val="both"/>
        <w:rPr>
          <w:rFonts w:ascii="Palatino Linotype" w:hAnsi="Palatino Linotype" w:cs="Arial"/>
          <w:i/>
          <w:sz w:val="24"/>
        </w:rPr>
      </w:pPr>
    </w:p>
    <w:p w:rsidR="00266345" w:rsidRPr="00EA6E01" w:rsidRDefault="00266345" w:rsidP="00AD3CCC">
      <w:pPr>
        <w:pStyle w:val="Prrafodelista"/>
        <w:numPr>
          <w:ilvl w:val="0"/>
          <w:numId w:val="2"/>
        </w:numPr>
        <w:spacing w:line="360" w:lineRule="auto"/>
        <w:ind w:left="0" w:firstLine="0"/>
        <w:jc w:val="both"/>
        <w:rPr>
          <w:rFonts w:ascii="Palatino Linotype" w:hAnsi="Palatino Linotype" w:cs="Arial"/>
          <w:color w:val="000000"/>
          <w:sz w:val="24"/>
        </w:rPr>
      </w:pPr>
      <w:r w:rsidRPr="00EA6E01">
        <w:rPr>
          <w:rFonts w:ascii="Palatino Linotype" w:hAnsi="Palatino Linotype" w:cs="Arial"/>
          <w:color w:val="000000"/>
          <w:sz w:val="24"/>
        </w:rPr>
        <w:t xml:space="preserve">De lo anterior, se </w:t>
      </w:r>
      <w:r w:rsidR="000D3835" w:rsidRPr="00EA6E01">
        <w:rPr>
          <w:rFonts w:ascii="Palatino Linotype" w:hAnsi="Palatino Linotype" w:cs="Arial"/>
          <w:color w:val="000000"/>
          <w:sz w:val="24"/>
        </w:rPr>
        <w:t>arriba a la conclusión</w:t>
      </w:r>
      <w:r w:rsidRPr="00EA6E01">
        <w:rPr>
          <w:rFonts w:ascii="Palatino Linotype" w:hAnsi="Palatino Linotype" w:cs="Arial"/>
          <w:color w:val="000000"/>
          <w:sz w:val="24"/>
        </w:rPr>
        <w:t xml:space="preserve"> que los motivos o razones de inconformidad no guardan relación ni con la solicitud de acceso a la información, ni con la respuesta emitida por el Sujeto Obligado. Si bien, el particular interpuso recurso de revisión, también se advierte que los motivos de inconformidad son </w:t>
      </w:r>
      <w:r w:rsidR="007F22B4" w:rsidRPr="00EA6E01">
        <w:rPr>
          <w:rFonts w:ascii="Palatino Linotype" w:hAnsi="Palatino Linotype" w:cs="Arial"/>
          <w:color w:val="000000"/>
          <w:sz w:val="24"/>
        </w:rPr>
        <w:t>respecto de dos circunstancias que no guardan relación con las constancias del presente asunto</w:t>
      </w:r>
      <w:r w:rsidRPr="00EA6E01">
        <w:rPr>
          <w:rFonts w:ascii="Palatino Linotype" w:hAnsi="Palatino Linotype" w:cs="Arial"/>
          <w:color w:val="000000"/>
          <w:sz w:val="24"/>
        </w:rPr>
        <w:t>.</w:t>
      </w:r>
    </w:p>
    <w:p w:rsidR="00266345" w:rsidRPr="00EA6E01" w:rsidRDefault="00266345" w:rsidP="00AD3CCC">
      <w:pPr>
        <w:pStyle w:val="Prrafodelista"/>
        <w:numPr>
          <w:ilvl w:val="0"/>
          <w:numId w:val="2"/>
        </w:numPr>
        <w:spacing w:line="360" w:lineRule="auto"/>
        <w:ind w:left="0" w:firstLine="0"/>
        <w:jc w:val="both"/>
        <w:rPr>
          <w:rFonts w:ascii="Palatino Linotype" w:hAnsi="Palatino Linotype" w:cs="Arial"/>
          <w:color w:val="000000"/>
          <w:sz w:val="24"/>
        </w:rPr>
      </w:pPr>
      <w:r w:rsidRPr="00EA6E01">
        <w:rPr>
          <w:rFonts w:ascii="Palatino Linotype" w:hAnsi="Palatino Linotype" w:cs="Arial"/>
          <w:color w:val="000000"/>
          <w:sz w:val="24"/>
        </w:rPr>
        <w:lastRenderedPageBreak/>
        <w:t xml:space="preserve">Sirve de sustento </w:t>
      </w:r>
      <w:r w:rsidRPr="00EA6E01">
        <w:rPr>
          <w:rFonts w:ascii="Palatino Linotype" w:hAnsi="Palatino Linotype"/>
          <w:color w:val="000000"/>
          <w:sz w:val="24"/>
        </w:rPr>
        <w:t>la Jurisprudencia No. 29 visible a foja 19 del Apéndice al Semanario Judicial de la Federación 1917-1995, Torno VI, Materia Común, Primera Parte, Tesis de la Suprema Corte de Justicia, que contiene:</w:t>
      </w:r>
    </w:p>
    <w:p w:rsidR="00471AD6" w:rsidRPr="00EA6E01" w:rsidRDefault="00266345" w:rsidP="00AD3CCC">
      <w:pPr>
        <w:shd w:val="clear" w:color="auto" w:fill="FFFFFF"/>
        <w:spacing w:line="360" w:lineRule="auto"/>
        <w:jc w:val="both"/>
        <w:rPr>
          <w:rFonts w:ascii="Palatino Linotype" w:hAnsi="Palatino Linotype"/>
          <w:i/>
          <w:iCs/>
          <w:color w:val="000000"/>
        </w:rPr>
      </w:pPr>
      <w:r w:rsidRPr="00EA6E01">
        <w:rPr>
          <w:rFonts w:ascii="Palatino Linotype" w:hAnsi="Palatino Linotype"/>
          <w:b/>
          <w:bCs/>
          <w:i/>
          <w:iCs/>
          <w:color w:val="000000"/>
        </w:rPr>
        <w:t>AGRAVIOS EN LA REVISION. DEBEN ESTAR EN RELACION DIRECTA CON LOS FUNDAMENTOS Y CONSIDERACIONES DE LA SENTENCIA</w:t>
      </w:r>
      <w:r w:rsidRPr="00EA6E01">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C55DB6" w:rsidRPr="00EA6E01" w:rsidRDefault="00C55DB6" w:rsidP="00AD3CCC">
      <w:pPr>
        <w:shd w:val="clear" w:color="auto" w:fill="FFFFFF"/>
        <w:spacing w:line="360" w:lineRule="auto"/>
        <w:jc w:val="both"/>
        <w:rPr>
          <w:rFonts w:ascii="Palatino Linotype" w:hAnsi="Palatino Linotype"/>
          <w:i/>
          <w:iCs/>
          <w:color w:val="000000"/>
        </w:rPr>
      </w:pPr>
    </w:p>
    <w:p w:rsidR="005E692D" w:rsidRPr="00EA6E01" w:rsidRDefault="00471AD6" w:rsidP="00AD3CCC">
      <w:pPr>
        <w:pStyle w:val="Prrafodelista"/>
        <w:numPr>
          <w:ilvl w:val="0"/>
          <w:numId w:val="2"/>
        </w:numPr>
        <w:tabs>
          <w:tab w:val="left" w:pos="284"/>
          <w:tab w:val="left" w:pos="426"/>
        </w:tabs>
        <w:spacing w:line="360" w:lineRule="auto"/>
        <w:ind w:left="0" w:firstLine="0"/>
        <w:jc w:val="both"/>
        <w:rPr>
          <w:rFonts w:ascii="Palatino Linotype" w:hAnsi="Palatino Linotype" w:cs="Arial"/>
          <w:sz w:val="24"/>
        </w:rPr>
      </w:pPr>
      <w:r w:rsidRPr="00EA6E01">
        <w:rPr>
          <w:rFonts w:ascii="Palatino Linotype" w:hAnsi="Palatino Linotype" w:cs="Arial"/>
          <w:sz w:val="24"/>
        </w:rPr>
        <w:t>En este caso, este Órgano Garante</w:t>
      </w:r>
      <w:r w:rsidRPr="00EA6E01">
        <w:rPr>
          <w:rFonts w:ascii="Palatino Linotype" w:hAnsi="Palatino Linotype"/>
          <w:color w:val="000000" w:themeColor="text1"/>
          <w:sz w:val="24"/>
        </w:rPr>
        <w:t xml:space="preserve"> advierte que </w:t>
      </w:r>
      <w:r w:rsidR="005A630D" w:rsidRPr="00EA6E01">
        <w:rPr>
          <w:rFonts w:ascii="Palatino Linotype" w:hAnsi="Palatino Linotype"/>
          <w:color w:val="000000" w:themeColor="text1"/>
          <w:sz w:val="24"/>
        </w:rPr>
        <w:t xml:space="preserve">las </w:t>
      </w:r>
      <w:r w:rsidRPr="00EA6E01">
        <w:rPr>
          <w:rFonts w:ascii="Palatino Linotype" w:hAnsi="Palatino Linotype"/>
          <w:bCs/>
          <w:sz w:val="24"/>
        </w:rPr>
        <w:t xml:space="preserve">manifestaciones </w:t>
      </w:r>
      <w:r w:rsidR="005A630D" w:rsidRPr="00EA6E01">
        <w:rPr>
          <w:rFonts w:ascii="Palatino Linotype" w:hAnsi="Palatino Linotype"/>
          <w:bCs/>
          <w:sz w:val="24"/>
        </w:rPr>
        <w:t>vertidas por l</w:t>
      </w:r>
      <w:r w:rsidR="000D3835" w:rsidRPr="00EA6E01">
        <w:rPr>
          <w:rFonts w:ascii="Palatino Linotype" w:hAnsi="Palatino Linotype"/>
          <w:bCs/>
          <w:sz w:val="24"/>
        </w:rPr>
        <w:t>a</w:t>
      </w:r>
      <w:r w:rsidR="005A630D" w:rsidRPr="00EA6E01">
        <w:rPr>
          <w:rFonts w:ascii="Palatino Linotype" w:hAnsi="Palatino Linotype"/>
          <w:bCs/>
          <w:sz w:val="24"/>
        </w:rPr>
        <w:t xml:space="preserve"> </w:t>
      </w:r>
      <w:r w:rsidR="005A630D" w:rsidRPr="00EA6E01">
        <w:rPr>
          <w:rFonts w:ascii="Palatino Linotype" w:hAnsi="Palatino Linotype"/>
          <w:b/>
          <w:bCs/>
          <w:sz w:val="24"/>
        </w:rPr>
        <w:t>RECURRENTE</w:t>
      </w:r>
      <w:r w:rsidR="005A630D" w:rsidRPr="00EA6E01">
        <w:rPr>
          <w:rFonts w:ascii="Palatino Linotype" w:hAnsi="Palatino Linotype"/>
          <w:bCs/>
          <w:sz w:val="24"/>
        </w:rPr>
        <w:t xml:space="preserve"> </w:t>
      </w:r>
      <w:r w:rsidRPr="00EA6E01">
        <w:rPr>
          <w:rFonts w:ascii="Palatino Linotype" w:hAnsi="Palatino Linotype"/>
          <w:bCs/>
          <w:sz w:val="24"/>
        </w:rPr>
        <w:t>resultan inoperantes en e</w:t>
      </w:r>
      <w:r w:rsidR="000D3835" w:rsidRPr="00EA6E01">
        <w:rPr>
          <w:rFonts w:ascii="Palatino Linotype" w:hAnsi="Palatino Linotype"/>
          <w:bCs/>
          <w:sz w:val="24"/>
        </w:rPr>
        <w:t>l presente R</w:t>
      </w:r>
      <w:r w:rsidR="005E692D" w:rsidRPr="00EA6E01">
        <w:rPr>
          <w:rFonts w:ascii="Palatino Linotype" w:hAnsi="Palatino Linotype"/>
          <w:bCs/>
          <w:sz w:val="24"/>
        </w:rPr>
        <w:t xml:space="preserve">ecurso de </w:t>
      </w:r>
      <w:r w:rsidR="000D3835" w:rsidRPr="00EA6E01">
        <w:rPr>
          <w:rFonts w:ascii="Palatino Linotype" w:hAnsi="Palatino Linotype"/>
          <w:bCs/>
          <w:sz w:val="24"/>
        </w:rPr>
        <w:t>R</w:t>
      </w:r>
      <w:r w:rsidR="005E692D" w:rsidRPr="00EA6E01">
        <w:rPr>
          <w:rFonts w:ascii="Palatino Linotype" w:hAnsi="Palatino Linotype"/>
          <w:bCs/>
          <w:sz w:val="24"/>
        </w:rPr>
        <w:t>evisión.</w:t>
      </w:r>
    </w:p>
    <w:p w:rsidR="005E692D" w:rsidRPr="00EA6E01" w:rsidRDefault="005E692D" w:rsidP="00AD3CCC">
      <w:pPr>
        <w:pStyle w:val="Prrafodelista"/>
        <w:spacing w:line="360" w:lineRule="auto"/>
        <w:ind w:left="0"/>
        <w:rPr>
          <w:rFonts w:ascii="Palatino Linotype" w:eastAsia="MS Mincho" w:hAnsi="Palatino Linotype" w:cs="Arial"/>
          <w:sz w:val="24"/>
          <w:lang w:val="es-ES_tradnl" w:eastAsia="es-ES"/>
        </w:rPr>
      </w:pPr>
    </w:p>
    <w:p w:rsidR="004342F1" w:rsidRPr="00EA6E01" w:rsidRDefault="00A51DE7" w:rsidP="00AD3CCC">
      <w:pPr>
        <w:pStyle w:val="Prrafodelista"/>
        <w:numPr>
          <w:ilvl w:val="0"/>
          <w:numId w:val="2"/>
        </w:numPr>
        <w:tabs>
          <w:tab w:val="left" w:pos="284"/>
          <w:tab w:val="left" w:pos="426"/>
        </w:tabs>
        <w:spacing w:line="360" w:lineRule="auto"/>
        <w:ind w:left="0" w:firstLine="0"/>
        <w:jc w:val="both"/>
        <w:rPr>
          <w:rFonts w:ascii="Palatino Linotype" w:hAnsi="Palatino Linotype" w:cs="Arial"/>
          <w:sz w:val="24"/>
        </w:rPr>
      </w:pPr>
      <w:r w:rsidRPr="00EA6E01">
        <w:rPr>
          <w:rFonts w:ascii="Palatino Linotype" w:eastAsia="MS Mincho" w:hAnsi="Palatino Linotype" w:cs="Arial"/>
          <w:sz w:val="24"/>
          <w:lang w:val="es-ES_tradnl" w:eastAsia="es-ES"/>
        </w:rPr>
        <w:t>Bajo ese contexto</w:t>
      </w:r>
      <w:r w:rsidR="004342F1" w:rsidRPr="00EA6E01">
        <w:rPr>
          <w:rFonts w:ascii="Palatino Linotype" w:hAnsi="Palatino Linotype" w:cs="Arial"/>
          <w:sz w:val="24"/>
        </w:rPr>
        <w:t>,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rsidR="004342F1" w:rsidRPr="00EA6E01" w:rsidRDefault="004342F1" w:rsidP="00AD3CCC">
      <w:pPr>
        <w:pStyle w:val="Prrafodelista"/>
        <w:spacing w:line="360" w:lineRule="auto"/>
        <w:ind w:left="0"/>
        <w:jc w:val="both"/>
        <w:rPr>
          <w:rFonts w:ascii="Palatino Linotype" w:hAnsi="Palatino Linotype"/>
          <w:bCs/>
          <w:sz w:val="24"/>
        </w:rPr>
      </w:pP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lastRenderedPageBreak/>
        <w:t>“</w:t>
      </w:r>
      <w:r w:rsidRPr="00EA6E01">
        <w:rPr>
          <w:rFonts w:ascii="Palatino Linotype" w:hAnsi="Palatino Linotype" w:cs="Arial"/>
          <w:b/>
          <w:i/>
          <w:sz w:val="24"/>
        </w:rPr>
        <w:t>Artículo 179</w:t>
      </w:r>
      <w:r w:rsidRPr="00EA6E01">
        <w:rPr>
          <w:rFonts w:ascii="Palatino Linotype" w:hAnsi="Palatino Linotype" w:cs="Arial"/>
          <w:i/>
          <w:sz w:val="24"/>
        </w:rPr>
        <w:t>. El recurso de revisión es un medio de protección que la Ley otorga a los particulares, para hacer valer su derecho de acceso a la información pública, y procederá en contra de las siguientes causas:</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I. La negativa a la información solicitada;</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II. La clasificación de la información;</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III. La declaración de inexistencia de la información;</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IV. La declaración de incompetencia por el sujeto obligado;</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V. La entrega de información incompleta;</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VI. La entrega de información que no corresponda con lo solicitado;</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VII. La falta de respuesta a una solicitud de acceso a la información;</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VIII. La notificación, entrega o puesta a disposición de información en una modalidad o formato distinto al solicitado;</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IX. La entrega o puesta a disposición de información en un formato incomprensible y/o no accesible para el solicitante;</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X. Los costos o tiempos de entrega de la información;</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XI. La falta de trámite a una solicitud;</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XII. La negativa a permitir la consulta directa de la información;</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XIII. La falta, deficiencia o insuficiencia de la fundamentación y/o motivación en la respuesta; y</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XIV. La orientación a un trámite específico.</w:t>
      </w:r>
    </w:p>
    <w:p w:rsidR="004342F1" w:rsidRPr="00EA6E01" w:rsidRDefault="004342F1" w:rsidP="00AD3CCC">
      <w:pPr>
        <w:pStyle w:val="Prrafodelista"/>
        <w:spacing w:line="360" w:lineRule="auto"/>
        <w:ind w:left="0"/>
        <w:jc w:val="both"/>
        <w:rPr>
          <w:rFonts w:ascii="Palatino Linotype" w:hAnsi="Palatino Linotype" w:cs="Arial"/>
          <w:i/>
          <w:sz w:val="24"/>
        </w:rPr>
      </w:pPr>
      <w:r w:rsidRPr="00EA6E01">
        <w:rPr>
          <w:rFonts w:ascii="Palatino Linotype" w:hAnsi="Palatino Linotype" w:cs="Arial"/>
          <w:i/>
          <w:sz w:val="24"/>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4342F1" w:rsidRPr="00EA6E01" w:rsidRDefault="004342F1" w:rsidP="00AD3CCC">
      <w:pPr>
        <w:pStyle w:val="Prrafodelista"/>
        <w:spacing w:line="360" w:lineRule="auto"/>
        <w:ind w:left="0"/>
        <w:jc w:val="both"/>
        <w:rPr>
          <w:rFonts w:ascii="Palatino Linotype" w:hAnsi="Palatino Linotype" w:cs="Arial"/>
          <w:i/>
          <w:sz w:val="24"/>
        </w:rPr>
      </w:pPr>
    </w:p>
    <w:p w:rsidR="00794522" w:rsidRPr="00EA6E01" w:rsidRDefault="004342F1" w:rsidP="00AD3CCC">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A6E01">
        <w:rPr>
          <w:rFonts w:ascii="Palatino Linotype" w:hAnsi="Palatino Linotype" w:cs="Arial"/>
          <w:sz w:val="24"/>
        </w:rPr>
        <w:lastRenderedPageBreak/>
        <w:t xml:space="preserve">En tal virtud, al no actualizarse ninguno de los supuestos aludidos, </w:t>
      </w:r>
      <w:r w:rsidR="00794522" w:rsidRPr="00EA6E01">
        <w:rPr>
          <w:rFonts w:ascii="Palatino Linotype" w:eastAsia="Calibri" w:hAnsi="Palatino Linotype" w:cs="Arial"/>
          <w:sz w:val="24"/>
        </w:rPr>
        <w:t xml:space="preserve">el </w:t>
      </w:r>
      <w:r w:rsidR="000D3835" w:rsidRPr="00EA6E01">
        <w:rPr>
          <w:rFonts w:ascii="Palatino Linotype" w:eastAsia="Calibri" w:hAnsi="Palatino Linotype" w:cs="Arial"/>
          <w:sz w:val="24"/>
        </w:rPr>
        <w:t>R</w:t>
      </w:r>
      <w:r w:rsidR="00794522" w:rsidRPr="00EA6E01">
        <w:rPr>
          <w:rFonts w:ascii="Palatino Linotype" w:eastAsia="Calibri" w:hAnsi="Palatino Linotype" w:cs="Arial"/>
          <w:sz w:val="24"/>
        </w:rPr>
        <w:t xml:space="preserve">ecurso de </w:t>
      </w:r>
      <w:r w:rsidR="000D3835" w:rsidRPr="00EA6E01">
        <w:rPr>
          <w:rFonts w:ascii="Palatino Linotype" w:eastAsia="Calibri" w:hAnsi="Palatino Linotype" w:cs="Arial"/>
          <w:sz w:val="24"/>
        </w:rPr>
        <w:t>R</w:t>
      </w:r>
      <w:r w:rsidR="00794522" w:rsidRPr="00EA6E01">
        <w:rPr>
          <w:rFonts w:ascii="Palatino Linotype" w:eastAsia="Calibri" w:hAnsi="Palatino Linotype" w:cs="Arial"/>
          <w:sz w:val="24"/>
        </w:rPr>
        <w:t xml:space="preserve">evisión deben ser desechados por improcedentes; </w:t>
      </w:r>
      <w:r w:rsidR="00BD13E0" w:rsidRPr="00EA6E01">
        <w:rPr>
          <w:rFonts w:ascii="Palatino Linotype" w:eastAsia="Calibri" w:hAnsi="Palatino Linotype" w:cs="Arial"/>
          <w:sz w:val="24"/>
        </w:rPr>
        <w:t xml:space="preserve">ello de conformidad con el artículo 191 fracción III, por lo que </w:t>
      </w:r>
      <w:r w:rsidR="00794522" w:rsidRPr="00EA6E01">
        <w:rPr>
          <w:rFonts w:ascii="Palatino Linotype" w:eastAsia="Calibri" w:hAnsi="Palatino Linotype" w:cs="Arial"/>
          <w:sz w:val="24"/>
        </w:rPr>
        <w:t xml:space="preserve"> una vez admitido, procederá el sobreseimiento de acuerdo a lo que establece el artículo 192 fracción IV, de la multicitada Ley de Transparencia:</w:t>
      </w:r>
    </w:p>
    <w:p w:rsidR="004342F1" w:rsidRPr="00EA6E01" w:rsidRDefault="004342F1" w:rsidP="00AD3CCC">
      <w:pPr>
        <w:pStyle w:val="Prrafodelista"/>
        <w:spacing w:line="360" w:lineRule="auto"/>
        <w:ind w:left="0"/>
        <w:jc w:val="both"/>
        <w:rPr>
          <w:rFonts w:ascii="Palatino Linotype" w:hAnsi="Palatino Linotype"/>
          <w:i/>
          <w:sz w:val="24"/>
        </w:rPr>
      </w:pPr>
      <w:r w:rsidRPr="00EA6E01">
        <w:rPr>
          <w:rFonts w:ascii="Palatino Linotype" w:hAnsi="Palatino Linotype" w:cs="Arial"/>
          <w:i/>
          <w:sz w:val="24"/>
        </w:rPr>
        <w:t>“</w:t>
      </w:r>
      <w:r w:rsidRPr="00EA6E01">
        <w:rPr>
          <w:rFonts w:ascii="Palatino Linotype" w:hAnsi="Palatino Linotype"/>
          <w:i/>
          <w:sz w:val="24"/>
        </w:rPr>
        <w:t xml:space="preserve">Artículo 192. El recurso será sobreseído, en todo o en parte, cuando una vez admitido, se actualicen alguno de los siguientes supuestos: </w:t>
      </w:r>
    </w:p>
    <w:p w:rsidR="004342F1" w:rsidRPr="00EA6E01" w:rsidRDefault="004342F1" w:rsidP="00AD3CCC">
      <w:pPr>
        <w:pStyle w:val="Prrafodelista"/>
        <w:spacing w:line="360" w:lineRule="auto"/>
        <w:ind w:left="0"/>
        <w:jc w:val="both"/>
        <w:rPr>
          <w:rFonts w:ascii="Palatino Linotype" w:hAnsi="Palatino Linotype"/>
          <w:i/>
          <w:sz w:val="24"/>
        </w:rPr>
      </w:pPr>
      <w:r w:rsidRPr="00EA6E01">
        <w:rPr>
          <w:rFonts w:ascii="Palatino Linotype" w:hAnsi="Palatino Linotype"/>
          <w:i/>
          <w:sz w:val="24"/>
        </w:rPr>
        <w:t xml:space="preserve">I. El recurrente se desista expresamente del recurso; </w:t>
      </w:r>
    </w:p>
    <w:p w:rsidR="004342F1" w:rsidRPr="00EA6E01" w:rsidRDefault="004342F1" w:rsidP="00AD3CCC">
      <w:pPr>
        <w:pStyle w:val="Prrafodelista"/>
        <w:spacing w:line="360" w:lineRule="auto"/>
        <w:ind w:left="0"/>
        <w:rPr>
          <w:rFonts w:ascii="Palatino Linotype" w:hAnsi="Palatino Linotype"/>
          <w:i/>
          <w:sz w:val="24"/>
        </w:rPr>
      </w:pPr>
      <w:r w:rsidRPr="00EA6E01">
        <w:rPr>
          <w:rFonts w:ascii="Palatino Linotype" w:hAnsi="Palatino Linotype"/>
          <w:i/>
          <w:sz w:val="24"/>
        </w:rPr>
        <w:t xml:space="preserve">II. El recurrente fallezca o, tratándose de personas jurídicas colectivas, se disuelva; </w:t>
      </w:r>
    </w:p>
    <w:p w:rsidR="004342F1" w:rsidRPr="00EA6E01" w:rsidRDefault="004342F1" w:rsidP="00AD3CCC">
      <w:pPr>
        <w:pStyle w:val="Prrafodelista"/>
        <w:spacing w:line="360" w:lineRule="auto"/>
        <w:ind w:left="0"/>
        <w:rPr>
          <w:rFonts w:ascii="Palatino Linotype" w:hAnsi="Palatino Linotype"/>
          <w:i/>
          <w:sz w:val="24"/>
        </w:rPr>
      </w:pPr>
      <w:r w:rsidRPr="00EA6E01">
        <w:rPr>
          <w:rFonts w:ascii="Palatino Linotype" w:hAnsi="Palatino Linotype"/>
          <w:i/>
          <w:sz w:val="24"/>
        </w:rPr>
        <w:t xml:space="preserve">III. El sujeto obligado responsable del acto lo modifique o revoque de tal manera que el recurso de revisión quede sin materia; </w:t>
      </w:r>
    </w:p>
    <w:p w:rsidR="004342F1" w:rsidRPr="00EA6E01" w:rsidRDefault="004342F1" w:rsidP="00AD3CCC">
      <w:pPr>
        <w:pStyle w:val="Prrafodelista"/>
        <w:spacing w:line="360" w:lineRule="auto"/>
        <w:ind w:left="0"/>
        <w:jc w:val="both"/>
        <w:rPr>
          <w:rFonts w:ascii="Palatino Linotype" w:hAnsi="Palatino Linotype"/>
          <w:i/>
          <w:sz w:val="24"/>
        </w:rPr>
      </w:pPr>
      <w:r w:rsidRPr="00EA6E01">
        <w:rPr>
          <w:rFonts w:ascii="Palatino Linotype" w:hAnsi="Palatino Linotype"/>
          <w:i/>
          <w:sz w:val="24"/>
        </w:rPr>
        <w:t xml:space="preserve">IV. </w:t>
      </w:r>
      <w:r w:rsidRPr="00EA6E01">
        <w:rPr>
          <w:rFonts w:ascii="Palatino Linotype" w:hAnsi="Palatino Linotype"/>
          <w:b/>
          <w:i/>
          <w:sz w:val="24"/>
        </w:rPr>
        <w:t>Admitido el recurso de revisión, aparezca alguna causal de improcedencia en los términos de la presente Ley; y</w:t>
      </w:r>
      <w:r w:rsidRPr="00EA6E01">
        <w:rPr>
          <w:rFonts w:ascii="Palatino Linotype" w:hAnsi="Palatino Linotype"/>
          <w:i/>
          <w:sz w:val="24"/>
        </w:rPr>
        <w:t xml:space="preserve"> </w:t>
      </w:r>
    </w:p>
    <w:p w:rsidR="004342F1" w:rsidRPr="00EA6E01" w:rsidRDefault="004342F1" w:rsidP="00AD3CCC">
      <w:pPr>
        <w:pStyle w:val="Prrafodelista"/>
        <w:spacing w:line="360" w:lineRule="auto"/>
        <w:ind w:left="0"/>
        <w:rPr>
          <w:rFonts w:ascii="Palatino Linotype" w:hAnsi="Palatino Linotype" w:cs="Arial"/>
          <w:b/>
          <w:i/>
          <w:sz w:val="24"/>
        </w:rPr>
      </w:pPr>
      <w:r w:rsidRPr="00EA6E01">
        <w:rPr>
          <w:rFonts w:ascii="Palatino Linotype" w:hAnsi="Palatino Linotype"/>
          <w:i/>
          <w:sz w:val="24"/>
        </w:rPr>
        <w:t>V. Cuando por cualquier motivo quede sin materia el recurso.</w:t>
      </w:r>
      <w:r w:rsidRPr="00EA6E01">
        <w:rPr>
          <w:rFonts w:ascii="Palatino Linotype" w:hAnsi="Palatino Linotype" w:cs="Arial"/>
          <w:i/>
          <w:sz w:val="24"/>
        </w:rPr>
        <w:t>”</w:t>
      </w:r>
    </w:p>
    <w:p w:rsidR="004342F1" w:rsidRPr="00EA6E01" w:rsidRDefault="004342F1" w:rsidP="00AD3CCC">
      <w:pPr>
        <w:pStyle w:val="Prrafodelista"/>
        <w:spacing w:line="360" w:lineRule="auto"/>
        <w:ind w:left="0"/>
        <w:jc w:val="both"/>
        <w:rPr>
          <w:rFonts w:ascii="Palatino Linotype" w:hAnsi="Palatino Linotype" w:cs="Arial"/>
          <w:sz w:val="24"/>
        </w:rPr>
      </w:pPr>
      <w:r w:rsidRPr="00EA6E01">
        <w:rPr>
          <w:rFonts w:ascii="Palatino Linotype" w:hAnsi="Palatino Linotype" w:cs="Arial"/>
          <w:sz w:val="24"/>
        </w:rPr>
        <w:t>(Énfasis añadido)</w:t>
      </w:r>
    </w:p>
    <w:p w:rsidR="003C7587" w:rsidRPr="00EA6E01" w:rsidRDefault="003C7587" w:rsidP="00AD3CCC">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rsidR="00C673EE" w:rsidRPr="00EA6E01" w:rsidRDefault="004342F1" w:rsidP="00AD3CCC">
      <w:pPr>
        <w:pStyle w:val="Prrafodelista"/>
        <w:widowControl w:val="0"/>
        <w:numPr>
          <w:ilvl w:val="0"/>
          <w:numId w:val="2"/>
        </w:numPr>
        <w:autoSpaceDE w:val="0"/>
        <w:autoSpaceDN w:val="0"/>
        <w:adjustRightInd w:val="0"/>
        <w:spacing w:line="360" w:lineRule="auto"/>
        <w:ind w:left="0" w:firstLine="0"/>
        <w:jc w:val="both"/>
        <w:rPr>
          <w:rFonts w:ascii="Palatino Linotype" w:eastAsia="Calibri" w:hAnsi="Palatino Linotype" w:cs="Arial"/>
          <w:sz w:val="24"/>
        </w:rPr>
      </w:pPr>
      <w:r w:rsidRPr="00EA6E01">
        <w:rPr>
          <w:rFonts w:ascii="Palatino Linotype" w:hAnsi="Palatino Linotype"/>
          <w:color w:val="000000"/>
          <w:sz w:val="24"/>
        </w:rPr>
        <w:t xml:space="preserve">En consecuencia, </w:t>
      </w:r>
      <w:r w:rsidRPr="00EA6E01">
        <w:rPr>
          <w:rFonts w:ascii="Palatino Linotype" w:hAnsi="Palatino Linotype"/>
          <w:sz w:val="24"/>
        </w:rPr>
        <w:t xml:space="preserve">se </w:t>
      </w:r>
      <w:r w:rsidRPr="00EA6E01">
        <w:rPr>
          <w:rFonts w:ascii="Palatino Linotype" w:hAnsi="Palatino Linotype" w:cs="Arial"/>
          <w:sz w:val="24"/>
          <w:lang w:val="es-ES_tradnl"/>
        </w:rPr>
        <w:t xml:space="preserve">determina </w:t>
      </w:r>
      <w:r w:rsidRPr="00EA6E01">
        <w:rPr>
          <w:rFonts w:ascii="Palatino Linotype" w:hAnsi="Palatino Linotype" w:cs="Arial"/>
          <w:b/>
          <w:sz w:val="24"/>
          <w:lang w:val="es-ES_tradnl"/>
        </w:rPr>
        <w:t>SOBRESEER</w:t>
      </w:r>
      <w:r w:rsidR="000D3835" w:rsidRPr="00EA6E01">
        <w:rPr>
          <w:rFonts w:ascii="Palatino Linotype" w:hAnsi="Palatino Linotype" w:cs="Arial"/>
          <w:sz w:val="24"/>
          <w:lang w:val="es-ES_tradnl"/>
        </w:rPr>
        <w:t xml:space="preserve"> el presente R</w:t>
      </w:r>
      <w:r w:rsidRPr="00EA6E01">
        <w:rPr>
          <w:rFonts w:ascii="Palatino Linotype" w:hAnsi="Palatino Linotype" w:cs="Arial"/>
          <w:sz w:val="24"/>
          <w:lang w:val="es-ES_tradnl"/>
        </w:rPr>
        <w:t xml:space="preserve">ecurso de </w:t>
      </w:r>
      <w:r w:rsidR="000D3835" w:rsidRPr="00EA6E01">
        <w:rPr>
          <w:rFonts w:ascii="Palatino Linotype" w:hAnsi="Palatino Linotype" w:cs="Arial"/>
          <w:sz w:val="24"/>
          <w:lang w:val="es-ES_tradnl"/>
        </w:rPr>
        <w:t>R</w:t>
      </w:r>
      <w:r w:rsidRPr="00EA6E01">
        <w:rPr>
          <w:rFonts w:ascii="Palatino Linotype" w:hAnsi="Palatino Linotype" w:cs="Arial"/>
          <w:sz w:val="24"/>
          <w:lang w:val="es-ES_tradnl"/>
        </w:rPr>
        <w:t xml:space="preserve">evisión, en </w:t>
      </w:r>
      <w:r w:rsidRPr="00EA6E01">
        <w:rPr>
          <w:rFonts w:ascii="Palatino Linotype" w:hAnsi="Palatino Linotype"/>
          <w:bCs/>
          <w:sz w:val="24"/>
        </w:rPr>
        <w:t>términos</w:t>
      </w:r>
      <w:r w:rsidR="00AE4B12" w:rsidRPr="00EA6E01">
        <w:rPr>
          <w:rFonts w:ascii="Palatino Linotype" w:hAnsi="Palatino Linotype" w:cs="Arial"/>
          <w:sz w:val="24"/>
          <w:lang w:val="es-ES_tradnl"/>
        </w:rPr>
        <w:t xml:space="preserve"> del artículo 192</w:t>
      </w:r>
      <w:r w:rsidRPr="00EA6E01">
        <w:rPr>
          <w:rFonts w:ascii="Palatino Linotype" w:hAnsi="Palatino Linotype" w:cs="Arial"/>
          <w:sz w:val="24"/>
          <w:lang w:val="es-ES_tradnl"/>
        </w:rPr>
        <w:t>, fracción I</w:t>
      </w:r>
      <w:r w:rsidR="00AE4B12" w:rsidRPr="00EA6E01">
        <w:rPr>
          <w:rFonts w:ascii="Palatino Linotype" w:hAnsi="Palatino Linotype" w:cs="Arial"/>
          <w:sz w:val="24"/>
          <w:lang w:val="es-ES_tradnl"/>
        </w:rPr>
        <w:t>V en relación con el artículo 191 fracción III -</w:t>
      </w:r>
      <w:r w:rsidR="00AE4B12" w:rsidRPr="00EA6E01">
        <w:rPr>
          <w:rFonts w:ascii="Palatino Linotype" w:hAnsi="Palatino Linotype"/>
          <w:sz w:val="24"/>
        </w:rPr>
        <w:t xml:space="preserve"> No actualice alguno de los supuestos previstos en la presente Ley-</w:t>
      </w:r>
      <w:r w:rsidRPr="00EA6E01">
        <w:rPr>
          <w:rFonts w:ascii="Palatino Linotype" w:hAnsi="Palatino Linotype" w:cs="Arial"/>
          <w:sz w:val="24"/>
          <w:lang w:val="es-ES_tradnl"/>
        </w:rPr>
        <w:t xml:space="preserve">, </w:t>
      </w:r>
      <w:r w:rsidR="00AE4B12" w:rsidRPr="00EA6E01">
        <w:rPr>
          <w:rFonts w:ascii="Palatino Linotype" w:hAnsi="Palatino Linotype" w:cs="Arial"/>
          <w:sz w:val="24"/>
          <w:lang w:val="es-ES_tradnl"/>
        </w:rPr>
        <w:t xml:space="preserve">ambos </w:t>
      </w:r>
      <w:r w:rsidRPr="00EA6E01">
        <w:rPr>
          <w:rFonts w:ascii="Palatino Linotype" w:hAnsi="Palatino Linotype" w:cs="Arial"/>
          <w:sz w:val="24"/>
          <w:lang w:val="es-ES_tradnl"/>
        </w:rPr>
        <w:t xml:space="preserve">de la </w:t>
      </w:r>
      <w:r w:rsidRPr="00EA6E01">
        <w:rPr>
          <w:rFonts w:ascii="Palatino Linotype" w:eastAsia="Calibri" w:hAnsi="Palatino Linotype" w:cs="Arial"/>
          <w:sz w:val="24"/>
        </w:rPr>
        <w:t xml:space="preserve">Ley de Transparencia y Acceso a la Información Pública del Estado de México y Municipios dado a que la solicitud de mérito no constituye el Derecho de </w:t>
      </w:r>
      <w:r w:rsidR="00C673EE" w:rsidRPr="00EA6E01">
        <w:rPr>
          <w:rFonts w:ascii="Palatino Linotype" w:eastAsia="Calibri" w:hAnsi="Palatino Linotype" w:cs="Arial"/>
          <w:sz w:val="24"/>
        </w:rPr>
        <w:t>Acceso a la Información Pública.</w:t>
      </w:r>
      <w:bookmarkStart w:id="36" w:name="_Toc466371865"/>
      <w:bookmarkStart w:id="37" w:name="_Toc466377653"/>
      <w:bookmarkStart w:id="38" w:name="_Toc495427547"/>
      <w:bookmarkStart w:id="39" w:name="_Toc49790536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C673EE" w:rsidRPr="00EA6E01" w:rsidRDefault="00C673EE" w:rsidP="00AD3CCC">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rsidR="00AE4B12" w:rsidRPr="00EA6E01" w:rsidRDefault="00AE4B12" w:rsidP="00AD3CCC">
      <w:pPr>
        <w:numPr>
          <w:ilvl w:val="0"/>
          <w:numId w:val="2"/>
        </w:numPr>
        <w:spacing w:line="360" w:lineRule="auto"/>
        <w:ind w:left="0" w:firstLine="0"/>
        <w:contextualSpacing/>
        <w:jc w:val="both"/>
        <w:rPr>
          <w:rFonts w:ascii="Palatino Linotype" w:eastAsia="Palatino Linotype" w:hAnsi="Palatino Linotype" w:cs="Palatino Linotype"/>
          <w:i/>
        </w:rPr>
      </w:pPr>
      <w:r w:rsidRPr="00EA6E01">
        <w:rPr>
          <w:rFonts w:ascii="Palatino Linotype" w:eastAsia="Palatino Linotype" w:hAnsi="Palatino Linotype" w:cs="Palatino Linotype"/>
        </w:rPr>
        <w:t xml:space="preserve">Al respecto, de acuerdo con el procesalista Niceto Alcalá-Zamora y Castillo en su obra </w:t>
      </w:r>
      <w:r w:rsidRPr="00EA6E01">
        <w:rPr>
          <w:rFonts w:ascii="Palatino Linotype" w:eastAsia="Palatino Linotype" w:hAnsi="Palatino Linotype" w:cs="Palatino Linotype"/>
          <w:i/>
        </w:rPr>
        <w:t>“Cuestiones de Terminología Procesal”</w:t>
      </w:r>
      <w:r w:rsidRPr="00EA6E01">
        <w:rPr>
          <w:rFonts w:ascii="Palatino Linotype" w:eastAsia="Palatino Linotype" w:hAnsi="Palatino Linotype" w:cs="Palatino Linotype"/>
        </w:rPr>
        <w:t xml:space="preserve">, el sobreseimiento es </w:t>
      </w:r>
      <w:r w:rsidRPr="00EA6E01">
        <w:rPr>
          <w:rFonts w:ascii="Palatino Linotype" w:eastAsia="Palatino Linotype" w:hAnsi="Palatino Linotype" w:cs="Palatino Linotype"/>
          <w:i/>
        </w:rPr>
        <w:t xml:space="preserve">“...una resolución en forma de auto, que produce la suspensión indefinida del procedimiento penal, o que pone fin al proceso, </w:t>
      </w:r>
      <w:r w:rsidRPr="00EA6E01">
        <w:rPr>
          <w:rFonts w:ascii="Palatino Linotype" w:eastAsia="Palatino Linotype" w:hAnsi="Palatino Linotype" w:cs="Palatino Linotype"/>
          <w:i/>
        </w:rPr>
        <w:lastRenderedPageBreak/>
        <w:t>impidiendo en ambos casos, mientras subsista, la apertura del plenario o que en él se pronuncie sentencia...”</w:t>
      </w:r>
    </w:p>
    <w:p w:rsidR="00AE4B12" w:rsidRPr="00EA6E01" w:rsidRDefault="00AE4B12" w:rsidP="00AD3CCC">
      <w:pPr>
        <w:pStyle w:val="Prrafodelista"/>
        <w:spacing w:line="360" w:lineRule="auto"/>
        <w:ind w:left="0"/>
        <w:rPr>
          <w:rFonts w:ascii="Palatino Linotype" w:eastAsia="Palatino Linotype" w:hAnsi="Palatino Linotype" w:cs="Palatino Linotype"/>
          <w:i/>
          <w:sz w:val="24"/>
        </w:rPr>
      </w:pPr>
    </w:p>
    <w:p w:rsidR="00AE4B12" w:rsidRPr="00EA6E01" w:rsidRDefault="00AE4B12" w:rsidP="00AD3CCC">
      <w:pPr>
        <w:numPr>
          <w:ilvl w:val="0"/>
          <w:numId w:val="2"/>
        </w:numPr>
        <w:spacing w:line="360" w:lineRule="auto"/>
        <w:ind w:left="0" w:firstLine="0"/>
        <w:contextualSpacing/>
        <w:jc w:val="both"/>
        <w:rPr>
          <w:rFonts w:ascii="Palatino Linotype" w:eastAsia="Palatino Linotype" w:hAnsi="Palatino Linotype" w:cs="Palatino Linotype"/>
          <w:i/>
        </w:rPr>
      </w:pPr>
      <w:r w:rsidRPr="00EA6E01">
        <w:rPr>
          <w:rFonts w:ascii="Palatino Linotype" w:eastAsia="Palatino Linotype" w:hAnsi="Palatino Linotype" w:cs="Palatino Linotype"/>
        </w:rPr>
        <w:t xml:space="preserve">Por su parte, Eduardo Pallares, en su artículo </w:t>
      </w:r>
      <w:r w:rsidRPr="00EA6E01">
        <w:rPr>
          <w:rFonts w:ascii="Palatino Linotype" w:eastAsia="Palatino Linotype" w:hAnsi="Palatino Linotype" w:cs="Palatino Linotype"/>
          <w:i/>
        </w:rPr>
        <w:t>“La caducidad y el sobreseimiento en el amparo”</w:t>
      </w:r>
      <w:r w:rsidRPr="00EA6E01">
        <w:rPr>
          <w:rFonts w:ascii="Palatino Linotype" w:eastAsia="Palatino Linotype" w:hAnsi="Palatino Linotype" w:cs="Palatino Linotype"/>
        </w:rPr>
        <w:t xml:space="preserve">, cita la definición de Aguilera Paz, aduciendo que se </w:t>
      </w:r>
      <w:r w:rsidRPr="00EA6E01">
        <w:rPr>
          <w:rFonts w:ascii="Palatino Linotype" w:eastAsia="Palatino Linotype" w:hAnsi="Palatino Linotype" w:cs="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EA6E01">
        <w:rPr>
          <w:rFonts w:ascii="Palatino Linotype" w:eastAsia="Palatino Linotype" w:hAnsi="Palatino Linotype" w:cs="Palatino Linotype"/>
        </w:rPr>
        <w:t>. Asimismo señala que existe el sobreseimiento provisional y el definitivo</w:t>
      </w:r>
      <w:r w:rsidRPr="00EA6E01">
        <w:rPr>
          <w:rFonts w:ascii="Palatino Linotype" w:eastAsia="Palatino Linotype" w:hAnsi="Palatino Linotype" w:cs="Palatino Linotype"/>
          <w:i/>
        </w:rPr>
        <w:t>: “...el definitivo es una verdadera sentencia que pone fin al juicio, y que una vez dictada, produce cosa juzgada, mientras que el provisorio tiene por efectos suspender la prosecución de la causa...”</w:t>
      </w:r>
    </w:p>
    <w:p w:rsidR="00AE4B12" w:rsidRPr="00EA6E01" w:rsidRDefault="00AE4B12" w:rsidP="00AD3CCC">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rsidR="00AE4B12" w:rsidRPr="00EA6E01" w:rsidRDefault="00AE4B12" w:rsidP="00AD3CCC">
      <w:pPr>
        <w:numPr>
          <w:ilvl w:val="0"/>
          <w:numId w:val="2"/>
        </w:numPr>
        <w:spacing w:line="360" w:lineRule="auto"/>
        <w:ind w:left="0" w:firstLine="0"/>
        <w:contextualSpacing/>
        <w:jc w:val="both"/>
        <w:rPr>
          <w:rFonts w:ascii="Palatino Linotype" w:eastAsia="Palatino Linotype" w:hAnsi="Palatino Linotype" w:cs="Palatino Linotype"/>
        </w:rPr>
      </w:pPr>
      <w:r w:rsidRPr="00EA6E01">
        <w:rPr>
          <w:rFonts w:ascii="Palatino Linotype" w:eastAsia="Palatino Linotype" w:hAnsi="Palatino Linotype" w:cs="Palatino Linotype"/>
        </w:rPr>
        <w:t>Así, para la doctrina el sobreseimiento provoca que un procedimiento se suspenda o se resuelva en definitiva sin que se entre al estudio de los agravios o motivos de inconformidad.</w:t>
      </w:r>
      <w:r w:rsidRPr="00EA6E01">
        <w:rPr>
          <w:rFonts w:ascii="Palatino Linotype" w:eastAsia="Palatino Linotype" w:hAnsi="Palatino Linotype" w:cs="Palatino Linotype"/>
          <w:b/>
        </w:rPr>
        <w:t xml:space="preserve"> </w:t>
      </w:r>
      <w:r w:rsidRPr="00EA6E01">
        <w:rPr>
          <w:rFonts w:ascii="Palatino Linotype" w:eastAsia="Palatino Linotype" w:hAnsi="Palatino Linotype" w:cs="Palatino Linotype"/>
        </w:rPr>
        <w:t>Este mismo criterio es compartido por el más alto tribunal del país en múltiples jurisprudencias, por lo que a continuación se agrega una de ellas que sirve como orientador en esta resolución:</w:t>
      </w:r>
    </w:p>
    <w:p w:rsidR="00AE4B12" w:rsidRPr="00EA6E01" w:rsidRDefault="00AE4B12" w:rsidP="00AD3CC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i/>
        </w:rPr>
      </w:pPr>
      <w:r w:rsidRPr="00EA6E01">
        <w:rPr>
          <w:rFonts w:ascii="Palatino Linotype" w:eastAsia="Palatino Linotype" w:hAnsi="Palatino Linotype" w:cs="Palatino Linotype"/>
          <w:b/>
          <w:i/>
        </w:rPr>
        <w:t>“SOBRESEIMIENTO EN EL JUICIO DE AMPARO DIRECTO. IMPIDE EL ESTUDIO DE LAS VIOLACIONES PROCESALES PLANTEADAS EN LOS CONCEPTOS DE VIOLACIÓN. El sobreseimiento</w:t>
      </w:r>
      <w:r w:rsidRPr="00EA6E01">
        <w:rPr>
          <w:rFonts w:ascii="Palatino Linotype" w:eastAsia="Palatino Linotype" w:hAnsi="Palatino Linotype" w:cs="Palatino Linotype"/>
          <w:i/>
        </w:rPr>
        <w:t xml:space="preserve"> en el juicio de amparo directo </w:t>
      </w:r>
      <w:r w:rsidRPr="00EA6E01">
        <w:rPr>
          <w:rFonts w:ascii="Palatino Linotype" w:eastAsia="Palatino Linotype" w:hAnsi="Palatino Linotype" w:cs="Palatino Linotype"/>
          <w:b/>
          <w:i/>
        </w:rPr>
        <w:t>provoca la terminación de la controversia planteada</w:t>
      </w:r>
      <w:r w:rsidRPr="00EA6E01">
        <w:rPr>
          <w:rFonts w:ascii="Palatino Linotype" w:eastAsia="Palatino Linotype" w:hAnsi="Palatino Linotype" w:cs="Palatino Linotype"/>
          <w:i/>
        </w:rPr>
        <w:t xml:space="preserve"> por el quejoso en la demanda de amparo</w:t>
      </w:r>
      <w:r w:rsidRPr="00EA6E01">
        <w:rPr>
          <w:rFonts w:ascii="Palatino Linotype" w:eastAsia="Palatino Linotype" w:hAnsi="Palatino Linotype" w:cs="Palatino Linotype"/>
          <w:b/>
          <w:i/>
        </w:rPr>
        <w:t>, sin hacer un pronunciamiento de fondo sobre la legalidad o ilegalidad de la sentencia reclamada</w:t>
      </w:r>
      <w:r w:rsidRPr="00EA6E01">
        <w:rPr>
          <w:rFonts w:ascii="Palatino Linotype" w:eastAsia="Palatino Linotype" w:hAnsi="Palatino Linotype" w:cs="Palatino Linotype"/>
          <w:i/>
        </w:rPr>
        <w:t xml:space="preserve">. </w:t>
      </w:r>
      <w:r w:rsidRPr="00EA6E01">
        <w:rPr>
          <w:rFonts w:ascii="Palatino Linotype" w:eastAsia="Palatino Linotype" w:hAnsi="Palatino Linotype" w:cs="Palatino Linotype"/>
          <w:b/>
          <w:i/>
        </w:rPr>
        <w:t xml:space="preserve">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w:t>
      </w:r>
      <w:r w:rsidRPr="00EA6E01">
        <w:rPr>
          <w:rFonts w:ascii="Palatino Linotype" w:eastAsia="Palatino Linotype" w:hAnsi="Palatino Linotype" w:cs="Palatino Linotype"/>
          <w:b/>
          <w:i/>
        </w:rPr>
        <w:lastRenderedPageBreak/>
        <w:t>sobreseimiento es poner fin al juicio de amparo sin resolver la controversia en sus méritos</w:t>
      </w:r>
      <w:r w:rsidRPr="00EA6E01">
        <w:rPr>
          <w:rFonts w:ascii="Palatino Linotype" w:eastAsia="Palatino Linotype" w:hAnsi="Palatino Linotype" w:cs="Palatino Linotype"/>
          <w:i/>
        </w:rPr>
        <w:t>.”</w:t>
      </w:r>
    </w:p>
    <w:p w:rsidR="00AE4B12" w:rsidRPr="00EA6E01" w:rsidRDefault="00AE4B12" w:rsidP="00AD3CC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b/>
        </w:rPr>
      </w:pPr>
      <w:r w:rsidRPr="00EA6E01">
        <w:rPr>
          <w:rFonts w:ascii="Palatino Linotype" w:eastAsia="Palatino Linotype" w:hAnsi="Palatino Linotype" w:cs="Palatino Linotype"/>
          <w:b/>
        </w:rPr>
        <w:t>Énfasis añadido</w:t>
      </w:r>
    </w:p>
    <w:p w:rsidR="00AE4B12" w:rsidRPr="00EA6E01" w:rsidRDefault="00AE4B12" w:rsidP="00AD3CCC">
      <w:pPr>
        <w:pBdr>
          <w:top w:val="nil"/>
          <w:left w:val="nil"/>
          <w:bottom w:val="nil"/>
          <w:right w:val="nil"/>
          <w:between w:val="nil"/>
        </w:pBdr>
        <w:tabs>
          <w:tab w:val="left" w:pos="7938"/>
        </w:tabs>
        <w:spacing w:line="360" w:lineRule="auto"/>
        <w:jc w:val="both"/>
        <w:rPr>
          <w:rFonts w:ascii="Palatino Linotype" w:eastAsia="Palatino Linotype" w:hAnsi="Palatino Linotype" w:cs="Palatino Linotype"/>
        </w:rPr>
      </w:pPr>
    </w:p>
    <w:p w:rsidR="00AE4B12" w:rsidRPr="00EA6E01" w:rsidRDefault="00AE4B12" w:rsidP="00AD3CCC">
      <w:pPr>
        <w:numPr>
          <w:ilvl w:val="0"/>
          <w:numId w:val="2"/>
        </w:numPr>
        <w:spacing w:line="360" w:lineRule="auto"/>
        <w:ind w:left="0" w:firstLine="0"/>
        <w:contextualSpacing/>
        <w:jc w:val="both"/>
        <w:rPr>
          <w:rFonts w:ascii="Palatino Linotype" w:eastAsia="Calibri" w:hAnsi="Palatino Linotype" w:cs="Arial"/>
        </w:rPr>
      </w:pPr>
      <w:r w:rsidRPr="00EA6E01">
        <w:rPr>
          <w:rFonts w:ascii="Palatino Linotype" w:eastAsia="Palatino Linotype" w:hAnsi="Palatino Linotype" w:cs="Palatino Linotype"/>
        </w:rPr>
        <w:t>No obstante, se dejan a salvo los derechos de la persona solicitante para presentar nuevas solicitudes de acceso a la información que a sus intereses convenga ante los sujetos obligados que considere.</w:t>
      </w:r>
    </w:p>
    <w:p w:rsidR="00AE4B12" w:rsidRPr="00EA6E01" w:rsidRDefault="00AE4B12" w:rsidP="00AD3CCC">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rsidR="00C673EE" w:rsidRPr="00EA6E01" w:rsidRDefault="00207D17" w:rsidP="00AD3CCC">
      <w:pPr>
        <w:pStyle w:val="Prrafodelista"/>
        <w:widowControl w:val="0"/>
        <w:numPr>
          <w:ilvl w:val="0"/>
          <w:numId w:val="2"/>
        </w:numPr>
        <w:autoSpaceDE w:val="0"/>
        <w:autoSpaceDN w:val="0"/>
        <w:adjustRightInd w:val="0"/>
        <w:spacing w:line="360" w:lineRule="auto"/>
        <w:ind w:left="0" w:firstLine="0"/>
        <w:jc w:val="both"/>
        <w:rPr>
          <w:rFonts w:ascii="Palatino Linotype" w:eastAsia="Calibri" w:hAnsi="Palatino Linotype" w:cs="Arial"/>
          <w:sz w:val="24"/>
        </w:rPr>
      </w:pPr>
      <w:r w:rsidRPr="00EA6E01">
        <w:rPr>
          <w:rFonts w:ascii="Palatino Linotype" w:eastAsia="MS Mincho" w:hAnsi="Palatino Linotype"/>
          <w:color w:val="000000"/>
          <w:sz w:val="24"/>
        </w:rPr>
        <w:t xml:space="preserve">Por lo anteriormente expuesto y fundado, este Órgano Garante emite los siguientes: </w:t>
      </w:r>
    </w:p>
    <w:p w:rsidR="00C673EE" w:rsidRPr="00EA6E01" w:rsidRDefault="00C673EE" w:rsidP="00AD3CCC">
      <w:pPr>
        <w:spacing w:line="360" w:lineRule="auto"/>
        <w:rPr>
          <w:rFonts w:ascii="Palatino Linotype" w:eastAsia="MS Mincho" w:hAnsi="Palatino Linotype"/>
          <w:color w:val="000000"/>
        </w:rPr>
      </w:pPr>
    </w:p>
    <w:p w:rsidR="00207D17" w:rsidRPr="00EA6E01" w:rsidRDefault="00207D17" w:rsidP="00AD3CCC">
      <w:pPr>
        <w:pStyle w:val="Ttulo1"/>
        <w:spacing w:before="0" w:line="360" w:lineRule="auto"/>
        <w:jc w:val="center"/>
        <w:rPr>
          <w:rFonts w:ascii="Palatino Linotype" w:hAnsi="Palatino Linotype"/>
          <w:b/>
          <w:color w:val="000000" w:themeColor="text1"/>
          <w:sz w:val="24"/>
          <w:szCs w:val="24"/>
        </w:rPr>
      </w:pPr>
      <w:bookmarkStart w:id="40" w:name="_Toc81233128"/>
      <w:r w:rsidRPr="00EA6E01">
        <w:rPr>
          <w:rFonts w:ascii="Palatino Linotype" w:hAnsi="Palatino Linotype"/>
          <w:b/>
          <w:color w:val="000000" w:themeColor="text1"/>
          <w:sz w:val="24"/>
          <w:szCs w:val="24"/>
        </w:rPr>
        <w:t>R E S O L U T I V O S</w:t>
      </w:r>
      <w:bookmarkEnd w:id="36"/>
      <w:bookmarkEnd w:id="37"/>
      <w:bookmarkEnd w:id="38"/>
      <w:bookmarkEnd w:id="39"/>
      <w:bookmarkEnd w:id="40"/>
    </w:p>
    <w:p w:rsidR="00207D17" w:rsidRPr="00EA6E01" w:rsidRDefault="00207D17" w:rsidP="00AD3CCC">
      <w:pPr>
        <w:spacing w:line="360" w:lineRule="auto"/>
        <w:rPr>
          <w:rFonts w:ascii="Palatino Linotype" w:hAnsi="Palatino Linotype"/>
        </w:rPr>
      </w:pPr>
    </w:p>
    <w:p w:rsidR="000967D3" w:rsidRDefault="000967D3" w:rsidP="00AD3CCC">
      <w:pPr>
        <w:pStyle w:val="Sinespaciado"/>
        <w:spacing w:line="360" w:lineRule="auto"/>
        <w:jc w:val="both"/>
        <w:rPr>
          <w:rFonts w:ascii="Palatino Linotype" w:hAnsi="Palatino Linotype"/>
          <w:sz w:val="24"/>
          <w:szCs w:val="24"/>
        </w:rPr>
      </w:pPr>
      <w:r w:rsidRPr="00EA6E01">
        <w:rPr>
          <w:rFonts w:ascii="Palatino Linotype" w:hAnsi="Palatino Linotype"/>
          <w:b/>
          <w:sz w:val="24"/>
          <w:szCs w:val="24"/>
        </w:rPr>
        <w:t>PRIMERO</w:t>
      </w:r>
      <w:r w:rsidRPr="00EA6E01">
        <w:rPr>
          <w:rFonts w:ascii="Palatino Linotype" w:hAnsi="Palatino Linotype"/>
          <w:sz w:val="24"/>
          <w:szCs w:val="24"/>
        </w:rPr>
        <w:t xml:space="preserve">. </w:t>
      </w:r>
      <w:r w:rsidR="00BD13E0" w:rsidRPr="00EA6E01">
        <w:rPr>
          <w:rFonts w:ascii="Palatino Linotype" w:hAnsi="Palatino Linotype"/>
          <w:sz w:val="24"/>
          <w:szCs w:val="24"/>
        </w:rPr>
        <w:t xml:space="preserve">Se </w:t>
      </w:r>
      <w:r w:rsidR="00BD13E0" w:rsidRPr="00EA6E01">
        <w:rPr>
          <w:rFonts w:ascii="Palatino Linotype" w:eastAsia="Calibri" w:hAnsi="Palatino Linotype" w:cs="Arial"/>
          <w:b/>
          <w:bCs/>
          <w:sz w:val="24"/>
          <w:szCs w:val="24"/>
          <w:lang w:val="es-ES"/>
        </w:rPr>
        <w:t>SOBRESEE</w:t>
      </w:r>
      <w:r w:rsidR="00C55DB6" w:rsidRPr="00EA6E01">
        <w:rPr>
          <w:rFonts w:ascii="Palatino Linotype" w:eastAsia="Calibri" w:hAnsi="Palatino Linotype" w:cs="Arial"/>
          <w:bCs/>
          <w:sz w:val="24"/>
          <w:szCs w:val="24"/>
          <w:lang w:val="es-ES"/>
        </w:rPr>
        <w:t xml:space="preserve"> el R</w:t>
      </w:r>
      <w:r w:rsidR="00BD13E0" w:rsidRPr="00EA6E01">
        <w:rPr>
          <w:rFonts w:ascii="Palatino Linotype" w:eastAsia="Calibri" w:hAnsi="Palatino Linotype" w:cs="Arial"/>
          <w:bCs/>
          <w:sz w:val="24"/>
          <w:szCs w:val="24"/>
          <w:lang w:val="es-ES"/>
        </w:rPr>
        <w:t xml:space="preserve">ecurso de </w:t>
      </w:r>
      <w:r w:rsidR="00C55DB6" w:rsidRPr="00EA6E01">
        <w:rPr>
          <w:rFonts w:ascii="Palatino Linotype" w:eastAsia="Calibri" w:hAnsi="Palatino Linotype" w:cs="Arial"/>
          <w:bCs/>
          <w:sz w:val="24"/>
          <w:szCs w:val="24"/>
          <w:lang w:val="es-ES"/>
        </w:rPr>
        <w:t>R</w:t>
      </w:r>
      <w:r w:rsidR="00BD13E0" w:rsidRPr="00EA6E01">
        <w:rPr>
          <w:rFonts w:ascii="Palatino Linotype" w:eastAsia="Calibri" w:hAnsi="Palatino Linotype" w:cs="Arial"/>
          <w:bCs/>
          <w:sz w:val="24"/>
          <w:szCs w:val="24"/>
          <w:lang w:val="es-ES"/>
        </w:rPr>
        <w:t xml:space="preserve">evisión número </w:t>
      </w:r>
      <w:r w:rsidR="00A37303" w:rsidRPr="00EA6E01">
        <w:rPr>
          <w:rFonts w:ascii="Palatino Linotype" w:eastAsia="Calibri" w:hAnsi="Palatino Linotype" w:cs="Arial"/>
          <w:b/>
          <w:bCs/>
          <w:sz w:val="24"/>
          <w:szCs w:val="24"/>
          <w:lang w:val="es-ES"/>
        </w:rPr>
        <w:t>01848/INFOEM/IP/RR/2025</w:t>
      </w:r>
      <w:r w:rsidR="00BD13E0" w:rsidRPr="00EA6E01">
        <w:rPr>
          <w:rFonts w:ascii="Palatino Linotype" w:eastAsia="Calibri" w:hAnsi="Palatino Linotype" w:cs="Arial"/>
          <w:bCs/>
          <w:sz w:val="24"/>
          <w:szCs w:val="24"/>
          <w:lang w:val="es-ES"/>
        </w:rPr>
        <w:t xml:space="preserve"> conforme al artículo 192 fracción IV de la Ley de Transparencia y Acceso a la Información Pública del Estado de México y Municipios, en términos del Considerando </w:t>
      </w:r>
      <w:r w:rsidR="00BD13E0" w:rsidRPr="00EA6E01">
        <w:rPr>
          <w:rFonts w:ascii="Palatino Linotype" w:eastAsia="Calibri" w:hAnsi="Palatino Linotype" w:cs="Arial"/>
          <w:b/>
          <w:bCs/>
          <w:sz w:val="24"/>
          <w:szCs w:val="24"/>
          <w:lang w:val="es-ES"/>
        </w:rPr>
        <w:t>TERCERO</w:t>
      </w:r>
      <w:r w:rsidR="00BD13E0" w:rsidRPr="00EA6E01">
        <w:rPr>
          <w:rFonts w:ascii="Palatino Linotype" w:eastAsia="Calibri" w:hAnsi="Palatino Linotype" w:cs="Arial"/>
          <w:bCs/>
          <w:sz w:val="24"/>
          <w:szCs w:val="24"/>
          <w:lang w:val="es-ES"/>
        </w:rPr>
        <w:t xml:space="preserve"> de la presente </w:t>
      </w:r>
      <w:r w:rsidR="00AE4B12" w:rsidRPr="00EA6E01">
        <w:rPr>
          <w:rFonts w:ascii="Palatino Linotype" w:eastAsia="Calibri" w:hAnsi="Palatino Linotype" w:cs="Arial"/>
          <w:bCs/>
          <w:sz w:val="24"/>
          <w:szCs w:val="24"/>
          <w:lang w:val="es-ES"/>
        </w:rPr>
        <w:t>R</w:t>
      </w:r>
      <w:r w:rsidR="00BD13E0" w:rsidRPr="00EA6E01">
        <w:rPr>
          <w:rFonts w:ascii="Palatino Linotype" w:eastAsia="Calibri" w:hAnsi="Palatino Linotype" w:cs="Arial"/>
          <w:bCs/>
          <w:sz w:val="24"/>
          <w:szCs w:val="24"/>
          <w:lang w:val="es-ES"/>
        </w:rPr>
        <w:t>esolución.</w:t>
      </w:r>
      <w:r w:rsidR="00BD13E0" w:rsidRPr="00EA6E01">
        <w:rPr>
          <w:rFonts w:ascii="Palatino Linotype" w:hAnsi="Palatino Linotype"/>
          <w:sz w:val="24"/>
          <w:szCs w:val="24"/>
        </w:rPr>
        <w:t xml:space="preserve"> </w:t>
      </w:r>
    </w:p>
    <w:p w:rsidR="00694676" w:rsidRPr="00EA6E01" w:rsidRDefault="00694676" w:rsidP="00AD3CCC">
      <w:pPr>
        <w:pStyle w:val="Sinespaciado"/>
        <w:spacing w:line="360" w:lineRule="auto"/>
        <w:jc w:val="both"/>
        <w:rPr>
          <w:rFonts w:ascii="Palatino Linotype" w:hAnsi="Palatino Linotype"/>
          <w:sz w:val="24"/>
          <w:szCs w:val="24"/>
        </w:rPr>
      </w:pPr>
    </w:p>
    <w:p w:rsidR="000967D3" w:rsidRPr="00EA6E01" w:rsidRDefault="003B154C" w:rsidP="00AD3CCC">
      <w:pPr>
        <w:pStyle w:val="Sinespaciado"/>
        <w:spacing w:line="360" w:lineRule="auto"/>
        <w:jc w:val="both"/>
        <w:rPr>
          <w:rFonts w:ascii="Palatino Linotype" w:eastAsia="Calibri" w:hAnsi="Palatino Linotype" w:cs="Arial"/>
          <w:bCs/>
          <w:sz w:val="24"/>
          <w:szCs w:val="24"/>
          <w:lang w:val="es-ES"/>
        </w:rPr>
      </w:pPr>
      <w:r w:rsidRPr="00EA6E01">
        <w:rPr>
          <w:rFonts w:ascii="Palatino Linotype" w:eastAsia="Calibri" w:hAnsi="Palatino Linotype" w:cs="Arial"/>
          <w:b/>
          <w:bCs/>
          <w:sz w:val="24"/>
          <w:szCs w:val="24"/>
          <w:lang w:val="es-ES"/>
        </w:rPr>
        <w:t>SEGUNDO. NOTIFÍQUESE</w:t>
      </w:r>
      <w:r w:rsidR="000967D3" w:rsidRPr="00EA6E01">
        <w:rPr>
          <w:rFonts w:ascii="Palatino Linotype" w:eastAsia="Calibri" w:hAnsi="Palatino Linotype" w:cs="Arial"/>
          <w:b/>
          <w:bCs/>
          <w:sz w:val="24"/>
          <w:szCs w:val="24"/>
          <w:lang w:val="es-ES"/>
        </w:rPr>
        <w:t xml:space="preserve"> </w:t>
      </w:r>
      <w:r w:rsidR="000967D3" w:rsidRPr="00EA6E01">
        <w:rPr>
          <w:rFonts w:ascii="Palatino Linotype" w:eastAsia="Calibri" w:hAnsi="Palatino Linotype" w:cs="Arial"/>
          <w:bCs/>
          <w:sz w:val="24"/>
          <w:szCs w:val="24"/>
          <w:lang w:val="es-ES"/>
        </w:rPr>
        <w:t xml:space="preserve">a través del Sistema de Acceso a la Información Mexiquense </w:t>
      </w:r>
      <w:r w:rsidR="000967D3" w:rsidRPr="00EA6E01">
        <w:rPr>
          <w:rFonts w:ascii="Palatino Linotype" w:eastAsia="Calibri" w:hAnsi="Palatino Linotype" w:cs="Arial"/>
          <w:b/>
          <w:bCs/>
          <w:sz w:val="24"/>
          <w:szCs w:val="24"/>
          <w:lang w:val="es-ES"/>
        </w:rPr>
        <w:t xml:space="preserve">(SAIMEX) </w:t>
      </w:r>
      <w:r w:rsidR="000D3835" w:rsidRPr="00EA6E01">
        <w:rPr>
          <w:rFonts w:ascii="Palatino Linotype" w:eastAsia="Calibri" w:hAnsi="Palatino Linotype" w:cs="Arial"/>
          <w:bCs/>
          <w:sz w:val="24"/>
          <w:szCs w:val="24"/>
          <w:lang w:val="es-ES"/>
        </w:rPr>
        <w:t>la presente R</w:t>
      </w:r>
      <w:r w:rsidR="000967D3" w:rsidRPr="00EA6E01">
        <w:rPr>
          <w:rFonts w:ascii="Palatino Linotype" w:eastAsia="Calibri" w:hAnsi="Palatino Linotype" w:cs="Arial"/>
          <w:bCs/>
          <w:sz w:val="24"/>
          <w:szCs w:val="24"/>
          <w:lang w:val="es-ES"/>
        </w:rPr>
        <w:t>esolución al Titular de la Unidad de Transparencia del</w:t>
      </w:r>
      <w:r w:rsidR="00C55DB6" w:rsidRPr="00EA6E01">
        <w:rPr>
          <w:rFonts w:ascii="Palatino Linotype" w:eastAsia="Calibri" w:hAnsi="Palatino Linotype" w:cs="Arial"/>
          <w:b/>
          <w:bCs/>
          <w:sz w:val="24"/>
          <w:szCs w:val="24"/>
          <w:lang w:val="es-ES"/>
        </w:rPr>
        <w:t xml:space="preserve"> SUJETO OBLIGADO</w:t>
      </w:r>
      <w:r w:rsidR="00C55DB6" w:rsidRPr="00EA6E01">
        <w:rPr>
          <w:rFonts w:ascii="Palatino Linotype" w:eastAsia="Calibri" w:hAnsi="Palatino Linotype" w:cs="Arial"/>
          <w:bCs/>
          <w:sz w:val="24"/>
          <w:szCs w:val="24"/>
          <w:lang w:val="es-ES"/>
        </w:rPr>
        <w:t>, para su conocimiento.</w:t>
      </w:r>
    </w:p>
    <w:p w:rsidR="000967D3" w:rsidRPr="00EA6E01" w:rsidRDefault="000967D3" w:rsidP="00AD3CCC">
      <w:pPr>
        <w:pStyle w:val="Sinespaciado"/>
        <w:spacing w:line="360" w:lineRule="auto"/>
        <w:jc w:val="both"/>
        <w:rPr>
          <w:rFonts w:ascii="Palatino Linotype" w:eastAsia="Palatino Linotype" w:hAnsi="Palatino Linotype" w:cs="Palatino Linotype"/>
          <w:b/>
          <w:sz w:val="24"/>
          <w:szCs w:val="24"/>
        </w:rPr>
      </w:pPr>
    </w:p>
    <w:p w:rsidR="000967D3" w:rsidRPr="00EA6E01" w:rsidRDefault="000967D3" w:rsidP="00AD3CCC">
      <w:pPr>
        <w:pStyle w:val="Sinespaciado"/>
        <w:spacing w:line="360" w:lineRule="auto"/>
        <w:jc w:val="both"/>
        <w:rPr>
          <w:rFonts w:ascii="Palatino Linotype" w:eastAsia="Times New Roman" w:hAnsi="Palatino Linotype" w:cs="Times New Roman"/>
          <w:color w:val="222222"/>
          <w:sz w:val="24"/>
          <w:szCs w:val="24"/>
          <w:lang w:val="es-ES" w:eastAsia="es-MX"/>
        </w:rPr>
      </w:pPr>
      <w:r w:rsidRPr="00EA6E01">
        <w:rPr>
          <w:rFonts w:ascii="Palatino Linotype" w:eastAsia="Times New Roman" w:hAnsi="Palatino Linotype" w:cs="Arial"/>
          <w:b/>
          <w:sz w:val="24"/>
          <w:szCs w:val="24"/>
        </w:rPr>
        <w:t xml:space="preserve">TERCERO. </w:t>
      </w:r>
      <w:r w:rsidRPr="00EA6E01">
        <w:rPr>
          <w:rFonts w:ascii="Palatino Linotype" w:eastAsia="Times New Roman" w:hAnsi="Palatino Linotype" w:cs="Times New Roman"/>
          <w:b/>
          <w:bCs/>
          <w:color w:val="222222"/>
          <w:sz w:val="24"/>
          <w:szCs w:val="24"/>
          <w:lang w:val="es-ES"/>
        </w:rPr>
        <w:t xml:space="preserve">Notifíquese </w:t>
      </w:r>
      <w:r w:rsidR="00C55DB6" w:rsidRPr="00EA6E01">
        <w:rPr>
          <w:rFonts w:ascii="Palatino Linotype" w:eastAsia="Times New Roman" w:hAnsi="Palatino Linotype" w:cs="Times New Roman"/>
          <w:bCs/>
          <w:color w:val="222222"/>
          <w:sz w:val="24"/>
          <w:szCs w:val="24"/>
          <w:lang w:val="es-ES"/>
        </w:rPr>
        <w:t>al</w:t>
      </w:r>
      <w:r w:rsidRPr="00EA6E01">
        <w:rPr>
          <w:rFonts w:ascii="Palatino Linotype" w:eastAsia="Times New Roman" w:hAnsi="Palatino Linotype" w:cs="Times New Roman"/>
          <w:bCs/>
          <w:color w:val="222222"/>
          <w:sz w:val="24"/>
          <w:szCs w:val="24"/>
          <w:lang w:val="es-ES"/>
        </w:rPr>
        <w:t xml:space="preserve"> </w:t>
      </w:r>
      <w:r w:rsidRPr="00EA6E01">
        <w:rPr>
          <w:rFonts w:ascii="Palatino Linotype" w:hAnsi="Palatino Linotype"/>
          <w:b/>
          <w:sz w:val="24"/>
          <w:szCs w:val="24"/>
        </w:rPr>
        <w:t xml:space="preserve">RECURRENTE </w:t>
      </w:r>
      <w:r w:rsidR="00C55DB6" w:rsidRPr="00EA6E01">
        <w:rPr>
          <w:rFonts w:ascii="Palatino Linotype" w:eastAsia="Times New Roman" w:hAnsi="Palatino Linotype" w:cs="Times New Roman"/>
          <w:color w:val="222222"/>
          <w:sz w:val="24"/>
          <w:szCs w:val="24"/>
          <w:lang w:val="es-ES" w:eastAsia="es-MX"/>
        </w:rPr>
        <w:t>la presente R</w:t>
      </w:r>
      <w:r w:rsidRPr="00EA6E01">
        <w:rPr>
          <w:rFonts w:ascii="Palatino Linotype" w:eastAsia="Times New Roman" w:hAnsi="Palatino Linotype" w:cs="Times New Roman"/>
          <w:color w:val="222222"/>
          <w:sz w:val="24"/>
          <w:szCs w:val="24"/>
          <w:lang w:val="es-ES" w:eastAsia="es-MX"/>
        </w:rPr>
        <w:t>esolución</w:t>
      </w:r>
      <w:r w:rsidR="00AE4B12" w:rsidRPr="00EA6E01">
        <w:rPr>
          <w:rFonts w:ascii="Palatino Linotype" w:eastAsia="Times New Roman" w:hAnsi="Palatino Linotype" w:cs="Times New Roman"/>
          <w:color w:val="222222"/>
          <w:sz w:val="24"/>
          <w:szCs w:val="24"/>
          <w:lang w:val="es-ES" w:eastAsia="es-MX"/>
        </w:rPr>
        <w:t>,</w:t>
      </w:r>
      <w:r w:rsidR="00C55DB6" w:rsidRPr="00EA6E01">
        <w:rPr>
          <w:rFonts w:ascii="Palatino Linotype" w:eastAsia="Times New Roman" w:hAnsi="Palatino Linotype" w:cs="Times New Roman"/>
          <w:color w:val="222222"/>
          <w:sz w:val="24"/>
          <w:szCs w:val="24"/>
          <w:lang w:val="es-ES" w:eastAsia="es-MX"/>
        </w:rPr>
        <w:t xml:space="preserve"> vía </w:t>
      </w:r>
      <w:r w:rsidR="00C55DB6" w:rsidRPr="00EA6E01">
        <w:rPr>
          <w:rFonts w:ascii="Palatino Linotype" w:eastAsia="Times New Roman" w:hAnsi="Palatino Linotype" w:cs="Times New Roman"/>
          <w:b/>
          <w:color w:val="222222"/>
          <w:sz w:val="24"/>
          <w:szCs w:val="24"/>
          <w:lang w:val="es-ES" w:eastAsia="es-MX"/>
        </w:rPr>
        <w:t>SAIMEX</w:t>
      </w:r>
      <w:r w:rsidRPr="00EA6E01">
        <w:rPr>
          <w:rFonts w:ascii="Palatino Linotype" w:eastAsia="Times New Roman" w:hAnsi="Palatino Linotype" w:cs="Times New Roman"/>
          <w:color w:val="222222"/>
          <w:sz w:val="24"/>
          <w:szCs w:val="24"/>
          <w:lang w:val="es-ES" w:eastAsia="es-MX"/>
        </w:rPr>
        <w:t>.</w:t>
      </w:r>
    </w:p>
    <w:p w:rsidR="00DB5D82" w:rsidRPr="00EA6E01" w:rsidRDefault="00DB5D82" w:rsidP="00AD3CCC">
      <w:pPr>
        <w:pStyle w:val="Sinespaciado"/>
        <w:spacing w:line="360" w:lineRule="auto"/>
        <w:jc w:val="both"/>
        <w:rPr>
          <w:rFonts w:ascii="Palatino Linotype" w:eastAsia="Times New Roman" w:hAnsi="Palatino Linotype" w:cs="Times New Roman"/>
          <w:color w:val="222222"/>
          <w:sz w:val="24"/>
          <w:szCs w:val="24"/>
          <w:lang w:val="es-ES" w:eastAsia="es-MX"/>
        </w:rPr>
      </w:pPr>
    </w:p>
    <w:p w:rsidR="000967D3" w:rsidRPr="00EA6E01" w:rsidRDefault="000967D3" w:rsidP="00AD3CCC">
      <w:pPr>
        <w:shd w:val="clear" w:color="auto" w:fill="FFFFFF"/>
        <w:spacing w:line="360" w:lineRule="auto"/>
        <w:jc w:val="both"/>
        <w:rPr>
          <w:rFonts w:ascii="Palatino Linotype" w:eastAsia="MS Mincho" w:hAnsi="Palatino Linotype"/>
          <w:lang w:val="es-ES"/>
        </w:rPr>
      </w:pPr>
      <w:r w:rsidRPr="00EA6E01">
        <w:rPr>
          <w:rFonts w:ascii="Palatino Linotype" w:eastAsia="MS Mincho" w:hAnsi="Palatino Linotype"/>
          <w:b/>
        </w:rPr>
        <w:lastRenderedPageBreak/>
        <w:t>CUARTO.</w:t>
      </w:r>
      <w:r w:rsidRPr="00EA6E01">
        <w:rPr>
          <w:rFonts w:ascii="Palatino Linotype" w:eastAsia="MS Mincho" w:hAnsi="Palatino Linotype"/>
        </w:rPr>
        <w:t xml:space="preserve"> </w:t>
      </w:r>
      <w:r w:rsidRPr="00EA6E01">
        <w:rPr>
          <w:rFonts w:ascii="Palatino Linotype" w:eastAsia="MS Mincho" w:hAnsi="Palatino Linotype"/>
          <w:lang w:val="es-ES"/>
        </w:rPr>
        <w:t xml:space="preserve">Se hace del conocimiento del </w:t>
      </w:r>
      <w:r w:rsidRPr="00EA6E01">
        <w:rPr>
          <w:rFonts w:ascii="Palatino Linotype" w:hAnsi="Palatino Linotype"/>
          <w:b/>
        </w:rPr>
        <w:t>RECURRENTE</w:t>
      </w:r>
      <w:r w:rsidRPr="00EA6E01">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A6E01">
        <w:rPr>
          <w:rFonts w:ascii="Palatino Linotype" w:eastAsia="MS Mincho" w:hAnsi="Palatino Linotype"/>
          <w:bCs/>
          <w:lang w:val="es-ES"/>
        </w:rPr>
        <w:t>vía juicio de amparo</w:t>
      </w:r>
      <w:r w:rsidRPr="00EA6E01">
        <w:rPr>
          <w:rFonts w:ascii="Palatino Linotype" w:eastAsia="MS Mincho" w:hAnsi="Palatino Linotype"/>
          <w:lang w:val="es-ES"/>
        </w:rPr>
        <w:t> en los términos de las leyes aplicables.</w:t>
      </w:r>
    </w:p>
    <w:p w:rsidR="00207D17" w:rsidRPr="00EA6E01" w:rsidRDefault="00207D17" w:rsidP="00AD3CCC">
      <w:pPr>
        <w:pStyle w:val="Prrafodelista"/>
        <w:spacing w:line="360" w:lineRule="auto"/>
        <w:ind w:left="0"/>
        <w:jc w:val="both"/>
        <w:rPr>
          <w:rFonts w:ascii="Palatino Linotype" w:hAnsi="Palatino Linotype"/>
          <w:color w:val="000000" w:themeColor="text1"/>
          <w:sz w:val="24"/>
        </w:rPr>
      </w:pPr>
    </w:p>
    <w:p w:rsidR="00207D17" w:rsidRPr="00AD3CCC" w:rsidRDefault="00EA6E01" w:rsidP="00EA6E01">
      <w:pPr>
        <w:spacing w:line="360" w:lineRule="auto"/>
        <w:jc w:val="both"/>
        <w:rPr>
          <w:rFonts w:ascii="Palatino Linotype" w:hAnsi="Palatino Linotype"/>
        </w:rPr>
      </w:pPr>
      <w:r w:rsidRPr="00EA6E0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PRIMERA SESIÓN ORDINARIA, CELEBRADA EL ONCE (11) DE JUNIO DE DOS MIL VEINTICINCO, ANTE EL SECRETARIO TÉCNICO DEL PLENO ALEXIS TAPIA RAMÍREZ.</w:t>
      </w: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207D17" w:rsidRPr="00AD3CCC" w:rsidRDefault="00207D17" w:rsidP="00AD3CCC">
      <w:pPr>
        <w:spacing w:line="360" w:lineRule="auto"/>
        <w:rPr>
          <w:rFonts w:ascii="Palatino Linotype" w:hAnsi="Palatino Linotype"/>
        </w:rPr>
      </w:pPr>
    </w:p>
    <w:p w:rsidR="000D3835" w:rsidRPr="00AD3CCC" w:rsidRDefault="000D3835" w:rsidP="00AD3CCC">
      <w:pPr>
        <w:spacing w:line="360" w:lineRule="auto"/>
        <w:rPr>
          <w:rFonts w:ascii="Palatino Linotype" w:hAnsi="Palatino Linotype"/>
        </w:rPr>
      </w:pPr>
    </w:p>
    <w:sectPr w:rsidR="000D3835" w:rsidRPr="00AD3CCC" w:rsidSect="00AD3CCC">
      <w:headerReference w:type="even" r:id="rId7"/>
      <w:headerReference w:type="default" r:id="rId8"/>
      <w:footerReference w:type="default" r:id="rId9"/>
      <w:headerReference w:type="first" r:id="rId10"/>
      <w:footerReference w:type="first" r:id="rId11"/>
      <w:pgSz w:w="12240" w:h="15840"/>
      <w:pgMar w:top="80" w:right="1183" w:bottom="1985"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CCE" w:rsidRDefault="00D87CCE" w:rsidP="00207D17">
      <w:r>
        <w:separator/>
      </w:r>
    </w:p>
  </w:endnote>
  <w:endnote w:type="continuationSeparator" w:id="0">
    <w:p w:rsidR="00D87CCE" w:rsidRDefault="00D87CCE" w:rsidP="002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35" w:rsidRDefault="000D3835">
    <w:pPr>
      <w:pStyle w:val="Piedepgina"/>
      <w:jc w:val="right"/>
    </w:pPr>
    <w:r>
      <w:rPr>
        <w:lang w:val="es-ES"/>
      </w:rPr>
      <w:t xml:space="preserve">Página </w:t>
    </w:r>
    <w:r>
      <w:rPr>
        <w:b/>
        <w:bCs/>
      </w:rPr>
      <w:fldChar w:fldCharType="begin"/>
    </w:r>
    <w:r>
      <w:rPr>
        <w:b/>
        <w:bCs/>
      </w:rPr>
      <w:instrText>PAGE</w:instrText>
    </w:r>
    <w:r>
      <w:rPr>
        <w:b/>
        <w:bCs/>
      </w:rPr>
      <w:fldChar w:fldCharType="separate"/>
    </w:r>
    <w:r w:rsidR="00D30F1D">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30F1D">
      <w:rPr>
        <w:b/>
        <w:bCs/>
        <w:noProof/>
      </w:rPr>
      <w:t>15</w:t>
    </w:r>
    <w:r>
      <w:rPr>
        <w:b/>
        <w:bCs/>
      </w:rPr>
      <w:fldChar w:fldCharType="end"/>
    </w:r>
  </w:p>
  <w:p w:rsidR="000D3835" w:rsidRDefault="000D38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35" w:rsidRDefault="000D3835">
    <w:pPr>
      <w:pStyle w:val="Piedepgina"/>
      <w:jc w:val="right"/>
    </w:pPr>
    <w:r>
      <w:rPr>
        <w:lang w:val="es-ES"/>
      </w:rPr>
      <w:t xml:space="preserve">Página </w:t>
    </w:r>
    <w:r>
      <w:rPr>
        <w:b/>
        <w:bCs/>
      </w:rPr>
      <w:fldChar w:fldCharType="begin"/>
    </w:r>
    <w:r>
      <w:rPr>
        <w:b/>
        <w:bCs/>
      </w:rPr>
      <w:instrText>PAGE</w:instrText>
    </w:r>
    <w:r>
      <w:rPr>
        <w:b/>
        <w:bCs/>
      </w:rPr>
      <w:fldChar w:fldCharType="separate"/>
    </w:r>
    <w:r w:rsidR="00D30F1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30F1D">
      <w:rPr>
        <w:b/>
        <w:bCs/>
        <w:noProof/>
      </w:rPr>
      <w:t>15</w:t>
    </w:r>
    <w:r>
      <w:rPr>
        <w:b/>
        <w:bCs/>
      </w:rPr>
      <w:fldChar w:fldCharType="end"/>
    </w:r>
  </w:p>
  <w:p w:rsidR="000D3835" w:rsidRDefault="000D38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CCE" w:rsidRDefault="00D87CCE" w:rsidP="00207D17">
      <w:r>
        <w:separator/>
      </w:r>
    </w:p>
  </w:footnote>
  <w:footnote w:type="continuationSeparator" w:id="0">
    <w:p w:rsidR="00D87CCE" w:rsidRDefault="00D87CCE" w:rsidP="00207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835" w:rsidRDefault="00D87CC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0D3835" w:rsidRPr="005C106F" w:rsidTr="00694676">
      <w:trPr>
        <w:trHeight w:val="1435"/>
      </w:trPr>
      <w:tc>
        <w:tcPr>
          <w:tcW w:w="2268" w:type="dxa"/>
          <w:shd w:val="clear" w:color="auto" w:fill="auto"/>
        </w:tcPr>
        <w:p w:rsidR="000D3835" w:rsidRPr="005C106F" w:rsidRDefault="000D3835" w:rsidP="000D3835">
          <w:pPr>
            <w:tabs>
              <w:tab w:val="right" w:pos="4273"/>
            </w:tabs>
            <w:rPr>
              <w:rFonts w:ascii="Garamond" w:eastAsia="Calibri" w:hAnsi="Garamond"/>
              <w:sz w:val="16"/>
              <w:szCs w:val="16"/>
              <w:lang w:eastAsia="en-US"/>
            </w:rPr>
          </w:pPr>
        </w:p>
      </w:tc>
      <w:tc>
        <w:tcPr>
          <w:tcW w:w="7513" w:type="dxa"/>
          <w:shd w:val="clear" w:color="auto" w:fill="auto"/>
        </w:tcPr>
        <w:tbl>
          <w:tblPr>
            <w:tblW w:w="6945" w:type="dxa"/>
            <w:tblInd w:w="1168" w:type="dxa"/>
            <w:tblLayout w:type="fixed"/>
            <w:tblLook w:val="0420" w:firstRow="1" w:lastRow="0" w:firstColumn="0" w:lastColumn="0" w:noHBand="0" w:noVBand="1"/>
          </w:tblPr>
          <w:tblGrid>
            <w:gridCol w:w="2693"/>
            <w:gridCol w:w="4252"/>
          </w:tblGrid>
          <w:tr w:rsidR="000D3835" w:rsidRPr="00AD3CCC" w:rsidTr="00694676">
            <w:trPr>
              <w:trHeight w:val="150"/>
            </w:trPr>
            <w:tc>
              <w:tcPr>
                <w:tcW w:w="2693" w:type="dxa"/>
                <w:shd w:val="clear" w:color="auto" w:fill="auto"/>
              </w:tcPr>
              <w:p w:rsidR="000D3835" w:rsidRPr="00AD3CCC" w:rsidRDefault="000D3835" w:rsidP="00AD3CCC">
                <w:pPr>
                  <w:tabs>
                    <w:tab w:val="right" w:pos="8838"/>
                  </w:tabs>
                  <w:ind w:right="-105"/>
                  <w:jc w:val="right"/>
                  <w:rPr>
                    <w:rFonts w:ascii="Palatino Linotype" w:eastAsia="Calibri" w:hAnsi="Palatino Linotype" w:cs="Tahoma"/>
                    <w:b/>
                    <w:lang w:val="es-ES" w:eastAsia="en-US"/>
                  </w:rPr>
                </w:pPr>
                <w:r w:rsidRPr="00AD3CCC">
                  <w:rPr>
                    <w:rFonts w:ascii="Palatino Linotype" w:eastAsia="Calibri" w:hAnsi="Palatino Linotype" w:cs="Tahoma"/>
                    <w:b/>
                    <w:lang w:val="es-ES" w:eastAsia="en-US"/>
                  </w:rPr>
                  <w:t>Recurso de Revisión:</w:t>
                </w:r>
              </w:p>
            </w:tc>
            <w:tc>
              <w:tcPr>
                <w:tcW w:w="4252" w:type="dxa"/>
                <w:shd w:val="clear" w:color="auto" w:fill="auto"/>
              </w:tcPr>
              <w:p w:rsidR="000D3835" w:rsidRPr="00AD3CCC" w:rsidRDefault="000D3835" w:rsidP="00AD3CCC">
                <w:pPr>
                  <w:tabs>
                    <w:tab w:val="right" w:pos="8838"/>
                  </w:tabs>
                  <w:ind w:left="34" w:right="-102"/>
                  <w:jc w:val="both"/>
                  <w:rPr>
                    <w:rFonts w:ascii="Palatino Linotype" w:eastAsia="Calibri" w:hAnsi="Palatino Linotype" w:cs="Tahoma"/>
                    <w:bCs/>
                    <w:lang w:val="es-ES" w:eastAsia="en-US"/>
                  </w:rPr>
                </w:pPr>
                <w:r w:rsidRPr="00AD3CCC">
                  <w:rPr>
                    <w:rFonts w:ascii="Palatino Linotype" w:eastAsia="Calibri" w:hAnsi="Palatino Linotype" w:cs="Tahoma"/>
                    <w:bCs/>
                    <w:lang w:eastAsia="en-US"/>
                  </w:rPr>
                  <w:t>01848/INFOEM/IP/RR/2025</w:t>
                </w:r>
              </w:p>
            </w:tc>
          </w:tr>
          <w:tr w:rsidR="000D3835" w:rsidRPr="00AD3CCC" w:rsidTr="00694676">
            <w:trPr>
              <w:trHeight w:val="295"/>
            </w:trPr>
            <w:tc>
              <w:tcPr>
                <w:tcW w:w="2693" w:type="dxa"/>
                <w:shd w:val="clear" w:color="auto" w:fill="auto"/>
              </w:tcPr>
              <w:p w:rsidR="000D3835" w:rsidRPr="00AD3CCC" w:rsidRDefault="000D3835" w:rsidP="00AD3CCC">
                <w:pPr>
                  <w:tabs>
                    <w:tab w:val="right" w:pos="8838"/>
                  </w:tabs>
                  <w:ind w:right="-105"/>
                  <w:jc w:val="right"/>
                  <w:rPr>
                    <w:rFonts w:ascii="Palatino Linotype" w:eastAsia="Calibri" w:hAnsi="Palatino Linotype" w:cs="Tahoma"/>
                    <w:b/>
                    <w:lang w:val="es-ES" w:eastAsia="en-US"/>
                  </w:rPr>
                </w:pPr>
                <w:r w:rsidRPr="00AD3CCC">
                  <w:rPr>
                    <w:rFonts w:ascii="Palatino Linotype" w:eastAsia="Calibri" w:hAnsi="Palatino Linotype" w:cs="Tahoma"/>
                    <w:b/>
                    <w:lang w:val="es-ES" w:eastAsia="en-US"/>
                  </w:rPr>
                  <w:t>Sujeto Obligado:</w:t>
                </w:r>
              </w:p>
            </w:tc>
            <w:tc>
              <w:tcPr>
                <w:tcW w:w="4252" w:type="dxa"/>
                <w:shd w:val="clear" w:color="auto" w:fill="auto"/>
              </w:tcPr>
              <w:p w:rsidR="000D3835" w:rsidRPr="00AD3CCC" w:rsidRDefault="000D3835" w:rsidP="00AD3CCC">
                <w:pPr>
                  <w:tabs>
                    <w:tab w:val="left" w:pos="2834"/>
                    <w:tab w:val="right" w:pos="8838"/>
                  </w:tabs>
                  <w:ind w:left="34" w:right="-102"/>
                  <w:jc w:val="both"/>
                  <w:rPr>
                    <w:rFonts w:ascii="Palatino Linotype" w:eastAsia="Calibri" w:hAnsi="Palatino Linotype" w:cs="Tahoma"/>
                    <w:b/>
                    <w:lang w:val="es-ES" w:eastAsia="en-US"/>
                  </w:rPr>
                </w:pPr>
                <w:r w:rsidRPr="00AD3CCC">
                  <w:rPr>
                    <w:rFonts w:ascii="Palatino Linotype" w:eastAsia="Calibri" w:hAnsi="Palatino Linotype" w:cs="Tahoma"/>
                    <w:lang w:eastAsia="en-US"/>
                  </w:rPr>
                  <w:t>Ayuntamiento de Temoaya</w:t>
                </w:r>
              </w:p>
            </w:tc>
          </w:tr>
          <w:tr w:rsidR="000D3835" w:rsidRPr="00AD3CCC" w:rsidTr="00694676">
            <w:trPr>
              <w:trHeight w:val="295"/>
            </w:trPr>
            <w:tc>
              <w:tcPr>
                <w:tcW w:w="2693" w:type="dxa"/>
                <w:shd w:val="clear" w:color="auto" w:fill="auto"/>
              </w:tcPr>
              <w:p w:rsidR="000D3835" w:rsidRPr="00AD3CCC" w:rsidRDefault="007668F6" w:rsidP="00AD3CCC">
                <w:pPr>
                  <w:tabs>
                    <w:tab w:val="right" w:pos="8838"/>
                  </w:tabs>
                  <w:ind w:right="-105"/>
                  <w:jc w:val="right"/>
                  <w:rPr>
                    <w:rFonts w:ascii="Palatino Linotype" w:eastAsia="Calibri" w:hAnsi="Palatino Linotype" w:cs="Tahoma"/>
                    <w:b/>
                    <w:lang w:val="es-ES" w:eastAsia="en-US"/>
                  </w:rPr>
                </w:pPr>
                <w:r w:rsidRPr="00AD3CCC">
                  <w:rPr>
                    <w:rFonts w:ascii="Palatino Linotype" w:eastAsia="Calibri" w:hAnsi="Palatino Linotype" w:cs="Tahoma"/>
                    <w:b/>
                    <w:lang w:val="es-ES" w:eastAsia="en-US"/>
                  </w:rPr>
                  <w:t>Comisionada P</w:t>
                </w:r>
                <w:r w:rsidR="000D3835" w:rsidRPr="00AD3CCC">
                  <w:rPr>
                    <w:rFonts w:ascii="Palatino Linotype" w:eastAsia="Calibri" w:hAnsi="Palatino Linotype" w:cs="Tahoma"/>
                    <w:b/>
                    <w:lang w:val="es-ES" w:eastAsia="en-US"/>
                  </w:rPr>
                  <w:t>onente:</w:t>
                </w:r>
              </w:p>
            </w:tc>
            <w:tc>
              <w:tcPr>
                <w:tcW w:w="4252" w:type="dxa"/>
                <w:shd w:val="clear" w:color="auto" w:fill="auto"/>
              </w:tcPr>
              <w:p w:rsidR="000D3835" w:rsidRPr="00AD3CCC" w:rsidRDefault="000D3835" w:rsidP="00AD3CCC">
                <w:pPr>
                  <w:tabs>
                    <w:tab w:val="right" w:pos="8838"/>
                  </w:tabs>
                  <w:ind w:left="34" w:right="171"/>
                  <w:jc w:val="both"/>
                  <w:rPr>
                    <w:rFonts w:ascii="Palatino Linotype" w:eastAsia="Calibri" w:hAnsi="Palatino Linotype" w:cs="Tahoma"/>
                    <w:b/>
                    <w:lang w:val="es-ES" w:eastAsia="en-US"/>
                  </w:rPr>
                </w:pPr>
                <w:r w:rsidRPr="00AD3CCC">
                  <w:rPr>
                    <w:rFonts w:ascii="Palatino Linotype" w:eastAsia="Calibri" w:hAnsi="Palatino Linotype" w:cs="Tahoma"/>
                    <w:lang w:val="es-ES" w:eastAsia="en-US"/>
                  </w:rPr>
                  <w:t>María del Rosario Mejía Ayala</w:t>
                </w:r>
              </w:p>
            </w:tc>
          </w:tr>
        </w:tbl>
        <w:p w:rsidR="000D3835" w:rsidRPr="005C106F" w:rsidRDefault="000D3835" w:rsidP="000D3835">
          <w:pPr>
            <w:tabs>
              <w:tab w:val="right" w:pos="8838"/>
            </w:tabs>
            <w:ind w:left="-28"/>
            <w:jc w:val="both"/>
            <w:rPr>
              <w:rFonts w:ascii="Arial" w:eastAsia="Calibri" w:hAnsi="Arial" w:cs="Arial"/>
              <w:b/>
              <w:sz w:val="22"/>
              <w:szCs w:val="22"/>
              <w:lang w:eastAsia="en-US"/>
            </w:rPr>
          </w:pPr>
        </w:p>
      </w:tc>
    </w:tr>
  </w:tbl>
  <w:p w:rsidR="000D3835" w:rsidRPr="00443C6B" w:rsidRDefault="00D87CCE" w:rsidP="000D3835">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Look w:val="04A0" w:firstRow="1" w:lastRow="0" w:firstColumn="1" w:lastColumn="0" w:noHBand="0" w:noVBand="1"/>
    </w:tblPr>
    <w:tblGrid>
      <w:gridCol w:w="2268"/>
      <w:gridCol w:w="7513"/>
    </w:tblGrid>
    <w:tr w:rsidR="000D3835" w:rsidRPr="00330DA7" w:rsidTr="00694676">
      <w:trPr>
        <w:trHeight w:val="1435"/>
      </w:trPr>
      <w:tc>
        <w:tcPr>
          <w:tcW w:w="2268" w:type="dxa"/>
          <w:shd w:val="clear" w:color="auto" w:fill="auto"/>
        </w:tcPr>
        <w:p w:rsidR="000D3835" w:rsidRPr="00330DA7" w:rsidRDefault="000D3835" w:rsidP="000D3835">
          <w:pPr>
            <w:tabs>
              <w:tab w:val="right" w:pos="4273"/>
            </w:tabs>
            <w:rPr>
              <w:rFonts w:ascii="Garamond" w:eastAsia="Calibri" w:hAnsi="Garamond"/>
              <w:sz w:val="22"/>
              <w:szCs w:val="22"/>
              <w:lang w:eastAsia="en-US"/>
            </w:rPr>
          </w:pPr>
        </w:p>
      </w:tc>
      <w:tc>
        <w:tcPr>
          <w:tcW w:w="7513" w:type="dxa"/>
          <w:shd w:val="clear" w:color="auto" w:fill="auto"/>
        </w:tcPr>
        <w:tbl>
          <w:tblPr>
            <w:tblW w:w="11123" w:type="dxa"/>
            <w:tblInd w:w="1026" w:type="dxa"/>
            <w:tblLayout w:type="fixed"/>
            <w:tblLook w:val="0420" w:firstRow="1" w:lastRow="0" w:firstColumn="0" w:lastColumn="0" w:noHBand="0" w:noVBand="1"/>
          </w:tblPr>
          <w:tblGrid>
            <w:gridCol w:w="2687"/>
            <w:gridCol w:w="4218"/>
            <w:gridCol w:w="4218"/>
          </w:tblGrid>
          <w:tr w:rsidR="000D3835" w:rsidRPr="00AD3CCC" w:rsidTr="00694676">
            <w:trPr>
              <w:trHeight w:val="144"/>
            </w:trPr>
            <w:tc>
              <w:tcPr>
                <w:tcW w:w="2687" w:type="dxa"/>
                <w:shd w:val="clear" w:color="auto" w:fill="auto"/>
              </w:tcPr>
              <w:p w:rsidR="000D3835" w:rsidRPr="00AD3CCC" w:rsidRDefault="000D3835" w:rsidP="00AD3CCC">
                <w:pPr>
                  <w:tabs>
                    <w:tab w:val="right" w:pos="8838"/>
                  </w:tabs>
                  <w:ind w:left="-264" w:right="-105" w:firstLine="195"/>
                  <w:jc w:val="right"/>
                  <w:rPr>
                    <w:rFonts w:ascii="Palatino Linotype" w:eastAsia="Calibri" w:hAnsi="Palatino Linotype" w:cs="Tahoma"/>
                    <w:b/>
                    <w:lang w:val="es-ES" w:eastAsia="en-US"/>
                  </w:rPr>
                </w:pPr>
                <w:r w:rsidRPr="00AD3CCC">
                  <w:rPr>
                    <w:rFonts w:ascii="Palatino Linotype" w:eastAsia="Calibri" w:hAnsi="Palatino Linotype" w:cs="Tahoma"/>
                    <w:b/>
                    <w:lang w:val="es-ES" w:eastAsia="en-US"/>
                  </w:rPr>
                  <w:t>Recurso de Revisión:</w:t>
                </w:r>
              </w:p>
            </w:tc>
            <w:tc>
              <w:tcPr>
                <w:tcW w:w="4218" w:type="dxa"/>
                <w:shd w:val="clear" w:color="auto" w:fill="auto"/>
              </w:tcPr>
              <w:p w:rsidR="000D3835" w:rsidRPr="00AD3CCC" w:rsidRDefault="000D3835" w:rsidP="00AD3CCC">
                <w:pPr>
                  <w:tabs>
                    <w:tab w:val="right" w:pos="8838"/>
                  </w:tabs>
                  <w:ind w:left="34" w:right="-105"/>
                  <w:jc w:val="both"/>
                  <w:rPr>
                    <w:rFonts w:ascii="Palatino Linotype" w:eastAsia="Calibri" w:hAnsi="Palatino Linotype" w:cs="Tahoma"/>
                    <w:bCs/>
                    <w:lang w:val="es-ES" w:eastAsia="en-US"/>
                  </w:rPr>
                </w:pPr>
                <w:r w:rsidRPr="00AD3CCC">
                  <w:rPr>
                    <w:rFonts w:ascii="Palatino Linotype" w:eastAsia="Calibri" w:hAnsi="Palatino Linotype" w:cs="Tahoma"/>
                    <w:lang w:eastAsia="en-US"/>
                  </w:rPr>
                  <w:t>01848/INFOEM/IP/RR/2025</w:t>
                </w:r>
              </w:p>
            </w:tc>
            <w:tc>
              <w:tcPr>
                <w:tcW w:w="4218" w:type="dxa"/>
              </w:tcPr>
              <w:p w:rsidR="000D3835" w:rsidRPr="00AD3CCC" w:rsidRDefault="000D3835" w:rsidP="000D3835">
                <w:pPr>
                  <w:tabs>
                    <w:tab w:val="right" w:pos="8838"/>
                  </w:tabs>
                  <w:ind w:left="-74" w:right="-105"/>
                  <w:jc w:val="both"/>
                  <w:rPr>
                    <w:rFonts w:ascii="Palatino Linotype" w:eastAsia="Calibri" w:hAnsi="Palatino Linotype" w:cs="Tahoma"/>
                    <w:lang w:eastAsia="en-US"/>
                  </w:rPr>
                </w:pPr>
              </w:p>
            </w:tc>
          </w:tr>
          <w:tr w:rsidR="000D3835" w:rsidRPr="00AD3CCC" w:rsidTr="00694676">
            <w:trPr>
              <w:trHeight w:val="144"/>
            </w:trPr>
            <w:tc>
              <w:tcPr>
                <w:tcW w:w="2687" w:type="dxa"/>
                <w:shd w:val="clear" w:color="auto" w:fill="auto"/>
              </w:tcPr>
              <w:p w:rsidR="000D3835" w:rsidRPr="00AD3CCC" w:rsidRDefault="000D3835" w:rsidP="00AD3CCC">
                <w:pPr>
                  <w:tabs>
                    <w:tab w:val="right" w:pos="8838"/>
                  </w:tabs>
                  <w:ind w:left="-74" w:right="-105"/>
                  <w:jc w:val="right"/>
                  <w:rPr>
                    <w:rFonts w:ascii="Palatino Linotype" w:eastAsia="Calibri" w:hAnsi="Palatino Linotype" w:cs="Tahoma"/>
                    <w:b/>
                    <w:lang w:val="es-ES" w:eastAsia="en-US"/>
                  </w:rPr>
                </w:pPr>
                <w:r w:rsidRPr="00AD3CCC">
                  <w:rPr>
                    <w:rFonts w:ascii="Palatino Linotype" w:eastAsia="Calibri" w:hAnsi="Palatino Linotype" w:cs="Tahoma"/>
                    <w:b/>
                    <w:lang w:val="es-ES" w:eastAsia="en-US"/>
                  </w:rPr>
                  <w:t>Recurrente:</w:t>
                </w:r>
              </w:p>
            </w:tc>
            <w:tc>
              <w:tcPr>
                <w:tcW w:w="4218" w:type="dxa"/>
                <w:shd w:val="clear" w:color="auto" w:fill="auto"/>
              </w:tcPr>
              <w:p w:rsidR="000D3835" w:rsidRPr="00AD3CCC" w:rsidRDefault="00694676" w:rsidP="00AD3CCC">
                <w:pPr>
                  <w:tabs>
                    <w:tab w:val="left" w:pos="3122"/>
                    <w:tab w:val="right" w:pos="8838"/>
                  </w:tabs>
                  <w:ind w:left="34" w:right="-105"/>
                  <w:jc w:val="both"/>
                  <w:rPr>
                    <w:rFonts w:ascii="Palatino Linotype" w:eastAsia="Calibri" w:hAnsi="Palatino Linotype" w:cs="Tahoma"/>
                    <w:lang w:val="es-ES" w:eastAsia="en-US"/>
                  </w:rPr>
                </w:pPr>
                <w:r>
                  <w:rPr>
                    <w:rFonts w:ascii="Palatino Linotype" w:eastAsia="Calibri" w:hAnsi="Palatino Linotype" w:cs="Tahoma"/>
                    <w:lang w:val="es-ES" w:eastAsia="en-US"/>
                  </w:rPr>
                  <w:t>XXXX</w:t>
                </w:r>
              </w:p>
            </w:tc>
            <w:tc>
              <w:tcPr>
                <w:tcW w:w="4218" w:type="dxa"/>
              </w:tcPr>
              <w:p w:rsidR="000D3835" w:rsidRPr="00AD3CCC" w:rsidRDefault="000D3835" w:rsidP="000D3835">
                <w:pPr>
                  <w:tabs>
                    <w:tab w:val="left" w:pos="3122"/>
                    <w:tab w:val="right" w:pos="8838"/>
                  </w:tabs>
                  <w:ind w:left="-74" w:right="-105"/>
                  <w:jc w:val="both"/>
                  <w:rPr>
                    <w:rFonts w:ascii="Palatino Linotype" w:eastAsia="Calibri" w:hAnsi="Palatino Linotype" w:cs="Tahoma"/>
                    <w:lang w:val="es-ES" w:eastAsia="en-US"/>
                  </w:rPr>
                </w:pPr>
              </w:p>
            </w:tc>
          </w:tr>
          <w:tr w:rsidR="000D3835" w:rsidRPr="00AD3CCC" w:rsidTr="00694676">
            <w:trPr>
              <w:trHeight w:val="283"/>
            </w:trPr>
            <w:tc>
              <w:tcPr>
                <w:tcW w:w="2687" w:type="dxa"/>
                <w:shd w:val="clear" w:color="auto" w:fill="auto"/>
              </w:tcPr>
              <w:p w:rsidR="000D3835" w:rsidRPr="00AD3CCC" w:rsidRDefault="000D3835" w:rsidP="00AD3CCC">
                <w:pPr>
                  <w:tabs>
                    <w:tab w:val="right" w:pos="8838"/>
                  </w:tabs>
                  <w:ind w:left="-74" w:right="-105"/>
                  <w:jc w:val="right"/>
                  <w:rPr>
                    <w:rFonts w:ascii="Palatino Linotype" w:eastAsia="Calibri" w:hAnsi="Palatino Linotype" w:cs="Tahoma"/>
                    <w:b/>
                    <w:lang w:val="es-ES" w:eastAsia="en-US"/>
                  </w:rPr>
                </w:pPr>
                <w:r w:rsidRPr="00AD3CCC">
                  <w:rPr>
                    <w:rFonts w:ascii="Palatino Linotype" w:eastAsia="Calibri" w:hAnsi="Palatino Linotype" w:cs="Tahoma"/>
                    <w:b/>
                    <w:lang w:val="es-ES" w:eastAsia="en-US"/>
                  </w:rPr>
                  <w:t>Sujeto Obligado:</w:t>
                </w:r>
              </w:p>
            </w:tc>
            <w:tc>
              <w:tcPr>
                <w:tcW w:w="4218" w:type="dxa"/>
                <w:shd w:val="clear" w:color="auto" w:fill="auto"/>
              </w:tcPr>
              <w:p w:rsidR="000D3835" w:rsidRPr="00AD3CCC" w:rsidRDefault="000D3835" w:rsidP="00AD3CCC">
                <w:pPr>
                  <w:tabs>
                    <w:tab w:val="left" w:pos="2834"/>
                    <w:tab w:val="right" w:pos="8838"/>
                  </w:tabs>
                  <w:ind w:left="34" w:right="-105"/>
                  <w:jc w:val="both"/>
                  <w:rPr>
                    <w:rFonts w:ascii="Palatino Linotype" w:eastAsia="Calibri" w:hAnsi="Palatino Linotype" w:cs="Tahoma"/>
                    <w:lang w:val="es-ES" w:eastAsia="en-US"/>
                  </w:rPr>
                </w:pPr>
                <w:r w:rsidRPr="00AD3CCC">
                  <w:rPr>
                    <w:rFonts w:ascii="Palatino Linotype" w:eastAsia="Calibri" w:hAnsi="Palatino Linotype" w:cs="Tahoma"/>
                    <w:lang w:eastAsia="en-US"/>
                  </w:rPr>
                  <w:t>Ayuntamiento de Temoaya</w:t>
                </w:r>
              </w:p>
            </w:tc>
            <w:tc>
              <w:tcPr>
                <w:tcW w:w="4218" w:type="dxa"/>
              </w:tcPr>
              <w:p w:rsidR="000D3835" w:rsidRPr="00AD3CCC" w:rsidRDefault="000D3835" w:rsidP="000D3835">
                <w:pPr>
                  <w:tabs>
                    <w:tab w:val="left" w:pos="2834"/>
                    <w:tab w:val="right" w:pos="8838"/>
                  </w:tabs>
                  <w:ind w:left="-74" w:right="-105"/>
                  <w:jc w:val="both"/>
                  <w:rPr>
                    <w:rFonts w:ascii="Palatino Linotype" w:eastAsia="Calibri" w:hAnsi="Palatino Linotype" w:cs="Tahoma"/>
                    <w:lang w:eastAsia="en-US"/>
                  </w:rPr>
                </w:pPr>
              </w:p>
            </w:tc>
          </w:tr>
          <w:tr w:rsidR="000D3835" w:rsidRPr="00AD3CCC" w:rsidTr="00694676">
            <w:trPr>
              <w:trHeight w:val="283"/>
            </w:trPr>
            <w:tc>
              <w:tcPr>
                <w:tcW w:w="2687" w:type="dxa"/>
                <w:shd w:val="clear" w:color="auto" w:fill="auto"/>
              </w:tcPr>
              <w:p w:rsidR="000D3835" w:rsidRPr="00AD3CCC" w:rsidRDefault="007668F6" w:rsidP="00AD3CCC">
                <w:pPr>
                  <w:tabs>
                    <w:tab w:val="right" w:pos="8838"/>
                  </w:tabs>
                  <w:ind w:left="-74" w:right="-105"/>
                  <w:jc w:val="right"/>
                  <w:rPr>
                    <w:rFonts w:ascii="Palatino Linotype" w:eastAsia="Calibri" w:hAnsi="Palatino Linotype" w:cs="Tahoma"/>
                    <w:b/>
                    <w:lang w:val="es-ES" w:eastAsia="en-US"/>
                  </w:rPr>
                </w:pPr>
                <w:r w:rsidRPr="00AD3CCC">
                  <w:rPr>
                    <w:rFonts w:ascii="Palatino Linotype" w:eastAsia="Calibri" w:hAnsi="Palatino Linotype" w:cs="Tahoma"/>
                    <w:b/>
                    <w:lang w:val="es-ES" w:eastAsia="en-US"/>
                  </w:rPr>
                  <w:t>Comisionada P</w:t>
                </w:r>
                <w:r w:rsidR="000D3835" w:rsidRPr="00AD3CCC">
                  <w:rPr>
                    <w:rFonts w:ascii="Palatino Linotype" w:eastAsia="Calibri" w:hAnsi="Palatino Linotype" w:cs="Tahoma"/>
                    <w:b/>
                    <w:lang w:val="es-ES" w:eastAsia="en-US"/>
                  </w:rPr>
                  <w:t>onente:</w:t>
                </w:r>
              </w:p>
            </w:tc>
            <w:tc>
              <w:tcPr>
                <w:tcW w:w="4218" w:type="dxa"/>
                <w:shd w:val="clear" w:color="auto" w:fill="auto"/>
              </w:tcPr>
              <w:p w:rsidR="000D3835" w:rsidRPr="00AD3CCC" w:rsidRDefault="000D3835" w:rsidP="00AD3CCC">
                <w:pPr>
                  <w:tabs>
                    <w:tab w:val="right" w:pos="8838"/>
                  </w:tabs>
                  <w:ind w:left="34" w:right="-105"/>
                  <w:jc w:val="both"/>
                  <w:rPr>
                    <w:rFonts w:ascii="Palatino Linotype" w:eastAsia="Calibri" w:hAnsi="Palatino Linotype" w:cs="Tahoma"/>
                    <w:b/>
                    <w:lang w:val="es-ES" w:eastAsia="en-US"/>
                  </w:rPr>
                </w:pPr>
                <w:r w:rsidRPr="00AD3CCC">
                  <w:rPr>
                    <w:rFonts w:ascii="Palatino Linotype" w:eastAsia="Calibri" w:hAnsi="Palatino Linotype" w:cs="Tahoma"/>
                    <w:lang w:val="es-ES" w:eastAsia="en-US"/>
                  </w:rPr>
                  <w:t>María del Rosario Mejía Ayala</w:t>
                </w:r>
              </w:p>
            </w:tc>
            <w:tc>
              <w:tcPr>
                <w:tcW w:w="4218" w:type="dxa"/>
              </w:tcPr>
              <w:p w:rsidR="000D3835" w:rsidRPr="00AD3CCC" w:rsidRDefault="000D3835" w:rsidP="000D3835">
                <w:pPr>
                  <w:tabs>
                    <w:tab w:val="right" w:pos="8838"/>
                  </w:tabs>
                  <w:ind w:left="-74" w:right="-105"/>
                  <w:jc w:val="both"/>
                  <w:rPr>
                    <w:rFonts w:ascii="Palatino Linotype" w:eastAsia="Calibri" w:hAnsi="Palatino Linotype" w:cs="Tahoma"/>
                    <w:lang w:val="es-ES" w:eastAsia="en-US"/>
                  </w:rPr>
                </w:pPr>
              </w:p>
            </w:tc>
          </w:tr>
        </w:tbl>
        <w:p w:rsidR="000D3835" w:rsidRPr="00330DA7" w:rsidRDefault="000D3835" w:rsidP="000D3835">
          <w:pPr>
            <w:tabs>
              <w:tab w:val="right" w:pos="8838"/>
            </w:tabs>
            <w:ind w:left="-28"/>
            <w:jc w:val="both"/>
            <w:rPr>
              <w:rFonts w:ascii="Arial" w:eastAsia="Calibri" w:hAnsi="Arial" w:cs="Arial"/>
              <w:b/>
              <w:sz w:val="22"/>
              <w:szCs w:val="22"/>
              <w:lang w:eastAsia="en-US"/>
            </w:rPr>
          </w:pPr>
        </w:p>
      </w:tc>
    </w:tr>
  </w:tbl>
  <w:p w:rsidR="000D3835" w:rsidRPr="00827FA0" w:rsidRDefault="00D87CCE" w:rsidP="000D3835">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6B"/>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222392"/>
    <w:multiLevelType w:val="multilevel"/>
    <w:tmpl w:val="B20E4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9C42EC"/>
    <w:multiLevelType w:val="hybridMultilevel"/>
    <w:tmpl w:val="11846F0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 w15:restartNumberingAfterBreak="0">
    <w:nsid w:val="22FA775B"/>
    <w:multiLevelType w:val="multilevel"/>
    <w:tmpl w:val="55B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435CD"/>
    <w:multiLevelType w:val="multilevel"/>
    <w:tmpl w:val="8FEA96D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317490"/>
    <w:multiLevelType w:val="hybridMultilevel"/>
    <w:tmpl w:val="91A6FBFE"/>
    <w:lvl w:ilvl="0" w:tplc="E36EB920">
      <w:start w:val="1"/>
      <w:numFmt w:val="decimal"/>
      <w:lvlText w:val="%1."/>
      <w:lvlJc w:val="left"/>
      <w:pPr>
        <w:ind w:left="7874"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11258C"/>
    <w:multiLevelType w:val="hybridMultilevel"/>
    <w:tmpl w:val="3E8E2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7852D6"/>
    <w:multiLevelType w:val="hybridMultilevel"/>
    <w:tmpl w:val="344259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439A38B3"/>
    <w:multiLevelType w:val="hybridMultilevel"/>
    <w:tmpl w:val="7C2C0B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7"/>
  </w:num>
  <w:num w:numId="3">
    <w:abstractNumId w:val="3"/>
  </w:num>
  <w:num w:numId="4">
    <w:abstractNumId w:val="10"/>
  </w:num>
  <w:num w:numId="5">
    <w:abstractNumId w:val="5"/>
  </w:num>
  <w:num w:numId="6">
    <w:abstractNumId w:val="12"/>
  </w:num>
  <w:num w:numId="7">
    <w:abstractNumId w:val="0"/>
  </w:num>
  <w:num w:numId="8">
    <w:abstractNumId w:val="11"/>
  </w:num>
  <w:num w:numId="9">
    <w:abstractNumId w:val="4"/>
  </w:num>
  <w:num w:numId="10">
    <w:abstractNumId w:val="2"/>
  </w:num>
  <w:num w:numId="11">
    <w:abstractNumId w:val="6"/>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7"/>
    <w:rsid w:val="00007A3C"/>
    <w:rsid w:val="000363C0"/>
    <w:rsid w:val="00037E34"/>
    <w:rsid w:val="000967D3"/>
    <w:rsid w:val="000C2EB0"/>
    <w:rsid w:val="000D3835"/>
    <w:rsid w:val="001641A3"/>
    <w:rsid w:val="00176064"/>
    <w:rsid w:val="001D031F"/>
    <w:rsid w:val="00207D17"/>
    <w:rsid w:val="00214EBE"/>
    <w:rsid w:val="00266345"/>
    <w:rsid w:val="002707E2"/>
    <w:rsid w:val="002A76F0"/>
    <w:rsid w:val="002C0527"/>
    <w:rsid w:val="00302FA6"/>
    <w:rsid w:val="00385E24"/>
    <w:rsid w:val="003B154C"/>
    <w:rsid w:val="003B52E4"/>
    <w:rsid w:val="003C7587"/>
    <w:rsid w:val="003E5347"/>
    <w:rsid w:val="003F101E"/>
    <w:rsid w:val="0040416F"/>
    <w:rsid w:val="00416988"/>
    <w:rsid w:val="004342F1"/>
    <w:rsid w:val="00471AD6"/>
    <w:rsid w:val="004C062E"/>
    <w:rsid w:val="004F386D"/>
    <w:rsid w:val="005023FA"/>
    <w:rsid w:val="00504CA4"/>
    <w:rsid w:val="00546D6B"/>
    <w:rsid w:val="005A630D"/>
    <w:rsid w:val="005B3333"/>
    <w:rsid w:val="005B60E3"/>
    <w:rsid w:val="005E5E3F"/>
    <w:rsid w:val="005E692D"/>
    <w:rsid w:val="00604567"/>
    <w:rsid w:val="006940CF"/>
    <w:rsid w:val="00694676"/>
    <w:rsid w:val="00722ED7"/>
    <w:rsid w:val="0076643E"/>
    <w:rsid w:val="007668F6"/>
    <w:rsid w:val="00772369"/>
    <w:rsid w:val="00794522"/>
    <w:rsid w:val="007A668C"/>
    <w:rsid w:val="007F013B"/>
    <w:rsid w:val="007F22B4"/>
    <w:rsid w:val="00812CDC"/>
    <w:rsid w:val="00844231"/>
    <w:rsid w:val="00896EBF"/>
    <w:rsid w:val="009730F2"/>
    <w:rsid w:val="0098599A"/>
    <w:rsid w:val="00A37303"/>
    <w:rsid w:val="00A51DE7"/>
    <w:rsid w:val="00AD3CCC"/>
    <w:rsid w:val="00AE4B12"/>
    <w:rsid w:val="00B92CBC"/>
    <w:rsid w:val="00BC5EDE"/>
    <w:rsid w:val="00BD13E0"/>
    <w:rsid w:val="00BF5865"/>
    <w:rsid w:val="00C100D7"/>
    <w:rsid w:val="00C35F09"/>
    <w:rsid w:val="00C55DB6"/>
    <w:rsid w:val="00C673EE"/>
    <w:rsid w:val="00CE6702"/>
    <w:rsid w:val="00D30F1D"/>
    <w:rsid w:val="00D87CCE"/>
    <w:rsid w:val="00DB5D82"/>
    <w:rsid w:val="00DB781E"/>
    <w:rsid w:val="00E00511"/>
    <w:rsid w:val="00E44A58"/>
    <w:rsid w:val="00EA6E01"/>
    <w:rsid w:val="00ED2831"/>
    <w:rsid w:val="00F60D37"/>
    <w:rsid w:val="00F749E9"/>
    <w:rsid w:val="00F91110"/>
    <w:rsid w:val="00FD4A30"/>
    <w:rsid w:val="00FE33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278B12-09F4-487B-AFD7-A3F201B4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07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D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pPr>
      <w:spacing w:after="0" w:line="240" w:lineRule="auto"/>
    </w:pPr>
    <w:rPr>
      <w:lang w:val="es-MX"/>
    </w:rPr>
  </w:style>
  <w:style w:type="character" w:customStyle="1" w:styleId="SinespaciadoCar">
    <w:name w:val="Sin espaciado Car"/>
    <w:aliases w:val="Francesa Car,INAI Car"/>
    <w:link w:val="Sinespaciado"/>
    <w:uiPriority w:val="1"/>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207D17"/>
    <w:pPr>
      <w:outlineLvl w:val="9"/>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71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506">
      <w:bodyDiv w:val="1"/>
      <w:marLeft w:val="0"/>
      <w:marRight w:val="0"/>
      <w:marTop w:val="0"/>
      <w:marBottom w:val="0"/>
      <w:divBdr>
        <w:top w:val="none" w:sz="0" w:space="0" w:color="auto"/>
        <w:left w:val="none" w:sz="0" w:space="0" w:color="auto"/>
        <w:bottom w:val="none" w:sz="0" w:space="0" w:color="auto"/>
        <w:right w:val="none" w:sz="0" w:space="0" w:color="auto"/>
      </w:divBdr>
    </w:div>
    <w:div w:id="351230771">
      <w:bodyDiv w:val="1"/>
      <w:marLeft w:val="0"/>
      <w:marRight w:val="0"/>
      <w:marTop w:val="0"/>
      <w:marBottom w:val="0"/>
      <w:divBdr>
        <w:top w:val="none" w:sz="0" w:space="0" w:color="auto"/>
        <w:left w:val="none" w:sz="0" w:space="0" w:color="auto"/>
        <w:bottom w:val="none" w:sz="0" w:space="0" w:color="auto"/>
        <w:right w:val="none" w:sz="0" w:space="0" w:color="auto"/>
      </w:divBdr>
    </w:div>
    <w:div w:id="439909118">
      <w:bodyDiv w:val="1"/>
      <w:marLeft w:val="0"/>
      <w:marRight w:val="0"/>
      <w:marTop w:val="0"/>
      <w:marBottom w:val="0"/>
      <w:divBdr>
        <w:top w:val="none" w:sz="0" w:space="0" w:color="auto"/>
        <w:left w:val="none" w:sz="0" w:space="0" w:color="auto"/>
        <w:bottom w:val="none" w:sz="0" w:space="0" w:color="auto"/>
        <w:right w:val="none" w:sz="0" w:space="0" w:color="auto"/>
      </w:divBdr>
    </w:div>
    <w:div w:id="640621443">
      <w:bodyDiv w:val="1"/>
      <w:marLeft w:val="0"/>
      <w:marRight w:val="0"/>
      <w:marTop w:val="0"/>
      <w:marBottom w:val="0"/>
      <w:divBdr>
        <w:top w:val="none" w:sz="0" w:space="0" w:color="auto"/>
        <w:left w:val="none" w:sz="0" w:space="0" w:color="auto"/>
        <w:bottom w:val="none" w:sz="0" w:space="0" w:color="auto"/>
        <w:right w:val="none" w:sz="0" w:space="0" w:color="auto"/>
      </w:divBdr>
    </w:div>
    <w:div w:id="1085230119">
      <w:bodyDiv w:val="1"/>
      <w:marLeft w:val="0"/>
      <w:marRight w:val="0"/>
      <w:marTop w:val="0"/>
      <w:marBottom w:val="0"/>
      <w:divBdr>
        <w:top w:val="none" w:sz="0" w:space="0" w:color="auto"/>
        <w:left w:val="none" w:sz="0" w:space="0" w:color="auto"/>
        <w:bottom w:val="none" w:sz="0" w:space="0" w:color="auto"/>
        <w:right w:val="none" w:sz="0" w:space="0" w:color="auto"/>
      </w:divBdr>
    </w:div>
    <w:div w:id="13953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3178</Words>
  <Characters>17481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12</cp:revision>
  <cp:lastPrinted>2025-06-13T16:13:00Z</cp:lastPrinted>
  <dcterms:created xsi:type="dcterms:W3CDTF">2025-06-09T21:15:00Z</dcterms:created>
  <dcterms:modified xsi:type="dcterms:W3CDTF">2025-06-18T19:55:00Z</dcterms:modified>
</cp:coreProperties>
</file>