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76E" w14:textId="275AEE9E" w:rsidR="00546C2A" w:rsidRPr="00B31836" w:rsidRDefault="00546C2A" w:rsidP="00546C2A">
      <w:pPr>
        <w:spacing w:line="360" w:lineRule="auto"/>
        <w:jc w:val="both"/>
        <w:rPr>
          <w:rFonts w:ascii="Palatino Linotype" w:eastAsia="Palatino Linotype" w:hAnsi="Palatino Linotype" w:cs="Palatino Linotype"/>
          <w:sz w:val="24"/>
          <w:szCs w:val="24"/>
        </w:rPr>
      </w:pPr>
      <w:bookmarkStart w:id="0" w:name="_Toc87549675"/>
      <w:r w:rsidRPr="00B31836">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4309DC" w:rsidRPr="00B31836">
        <w:rPr>
          <w:rFonts w:ascii="Palatino Linotype" w:eastAsia="Palatino Linotype" w:hAnsi="Palatino Linotype" w:cs="Palatino Linotype"/>
          <w:sz w:val="24"/>
          <w:szCs w:val="24"/>
        </w:rPr>
        <w:t>doce</w:t>
      </w:r>
      <w:r w:rsidRPr="00B31836">
        <w:rPr>
          <w:rFonts w:ascii="Palatino Linotype" w:eastAsia="Palatino Linotype" w:hAnsi="Palatino Linotype" w:cs="Palatino Linotype"/>
          <w:sz w:val="24"/>
          <w:szCs w:val="24"/>
        </w:rPr>
        <w:t xml:space="preserve"> de febrero de dos mil veinticinco.</w:t>
      </w:r>
      <w:r w:rsidRPr="00B31836">
        <w:rPr>
          <w:rFonts w:ascii="Palatino Linotype" w:eastAsia="Palatino Linotype" w:hAnsi="Palatino Linotype" w:cs="Palatino Linotype"/>
          <w:b/>
          <w:sz w:val="24"/>
          <w:szCs w:val="24"/>
        </w:rPr>
        <w:t xml:space="preserve"> </w:t>
      </w:r>
    </w:p>
    <w:p w14:paraId="3790767F"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3C1EB051" w14:textId="7708C212" w:rsidR="00546C2A" w:rsidRPr="00B31836" w:rsidRDefault="00546C2A" w:rsidP="00546C2A">
      <w:pPr>
        <w:spacing w:line="360" w:lineRule="auto"/>
        <w:jc w:val="both"/>
        <w:rPr>
          <w:rFonts w:ascii="Palatino Linotype" w:eastAsia="Palatino Linotype" w:hAnsi="Palatino Linotype" w:cs="Palatino Linotype"/>
          <w:b/>
          <w:sz w:val="24"/>
          <w:szCs w:val="24"/>
        </w:rPr>
      </w:pPr>
      <w:r w:rsidRPr="00B31836">
        <w:rPr>
          <w:rFonts w:ascii="Palatino Linotype" w:eastAsia="Palatino Linotype" w:hAnsi="Palatino Linotype" w:cs="Palatino Linotype"/>
          <w:b/>
          <w:sz w:val="24"/>
          <w:szCs w:val="24"/>
        </w:rPr>
        <w:t>VISTO</w:t>
      </w:r>
      <w:r w:rsidRPr="00B31836">
        <w:rPr>
          <w:rFonts w:ascii="Palatino Linotype" w:eastAsia="Palatino Linotype" w:hAnsi="Palatino Linotype" w:cs="Palatino Linotype"/>
          <w:sz w:val="24"/>
          <w:szCs w:val="24"/>
        </w:rPr>
        <w:t xml:space="preserve"> el expediente electrónico formado con motivo del recurso de revisión </w:t>
      </w:r>
      <w:r w:rsidRPr="00B31836">
        <w:rPr>
          <w:rFonts w:ascii="Palatino Linotype" w:eastAsia="Palatino Linotype" w:hAnsi="Palatino Linotype" w:cs="Palatino Linotype"/>
          <w:b/>
          <w:sz w:val="24"/>
          <w:szCs w:val="24"/>
        </w:rPr>
        <w:t> </w:t>
      </w:r>
      <w:r w:rsidRPr="00B31836">
        <w:rPr>
          <w:rFonts w:ascii="Palatino Linotype" w:eastAsia="Palatino Linotype" w:hAnsi="Palatino Linotype" w:cs="Palatino Linotype"/>
          <w:b/>
          <w:bCs/>
          <w:sz w:val="24"/>
          <w:szCs w:val="24"/>
        </w:rPr>
        <w:t>03588/INFOEM/IP/RR/2024</w:t>
      </w:r>
      <w:r w:rsidRPr="00B31836">
        <w:rPr>
          <w:rFonts w:ascii="Palatino Linotype" w:eastAsia="Palatino Linotype" w:hAnsi="Palatino Linotype" w:cs="Palatino Linotype"/>
          <w:b/>
          <w:sz w:val="24"/>
          <w:szCs w:val="24"/>
        </w:rPr>
        <w:t xml:space="preserve">, </w:t>
      </w:r>
      <w:r w:rsidRPr="00B31836">
        <w:rPr>
          <w:rFonts w:ascii="Palatino Linotype" w:eastAsia="Palatino Linotype" w:hAnsi="Palatino Linotype" w:cs="Palatino Linotype"/>
          <w:sz w:val="24"/>
          <w:szCs w:val="24"/>
        </w:rPr>
        <w:t>promovido por</w:t>
      </w:r>
      <w:r w:rsidRPr="00B31836">
        <w:rPr>
          <w:rFonts w:ascii="Palatino Linotype" w:eastAsia="Palatino Linotype" w:hAnsi="Palatino Linotype" w:cs="Palatino Linotype"/>
          <w:b/>
          <w:color w:val="FF0000"/>
          <w:sz w:val="24"/>
          <w:szCs w:val="24"/>
        </w:rPr>
        <w:t xml:space="preserve"> </w:t>
      </w:r>
      <w:r w:rsidR="006027AF">
        <w:rPr>
          <w:rFonts w:ascii="Palatino Linotype" w:eastAsia="Palatino Linotype" w:hAnsi="Palatino Linotype" w:cs="Palatino Linotype"/>
          <w:b/>
          <w:sz w:val="24"/>
          <w:szCs w:val="24"/>
        </w:rPr>
        <w:t>XXXXXXXXX</w:t>
      </w:r>
      <w:bookmarkStart w:id="1" w:name="_GoBack"/>
      <w:bookmarkEnd w:id="1"/>
      <w:r w:rsidRPr="00B31836">
        <w:rPr>
          <w:rFonts w:ascii="Palatino Linotype" w:eastAsia="Palatino Linotype" w:hAnsi="Palatino Linotype" w:cs="Palatino Linotype"/>
          <w:b/>
          <w:sz w:val="24"/>
          <w:szCs w:val="24"/>
        </w:rPr>
        <w:t xml:space="preserve"> </w:t>
      </w:r>
      <w:r w:rsidRPr="00B31836">
        <w:rPr>
          <w:rFonts w:ascii="Palatino Linotype" w:eastAsia="Palatino Linotype" w:hAnsi="Palatino Linotype" w:cs="Palatino Linotype"/>
          <w:sz w:val="24"/>
          <w:szCs w:val="24"/>
        </w:rPr>
        <w:t xml:space="preserve">y a quien en lo sucesivo se identificará como </w:t>
      </w:r>
      <w:r w:rsidRPr="00B31836">
        <w:rPr>
          <w:rFonts w:ascii="Palatino Linotype" w:eastAsia="Palatino Linotype" w:hAnsi="Palatino Linotype" w:cs="Palatino Linotype"/>
          <w:b/>
          <w:sz w:val="24"/>
          <w:szCs w:val="24"/>
        </w:rPr>
        <w:t>EL RECURRENTE</w:t>
      </w:r>
      <w:r w:rsidRPr="00B31836">
        <w:rPr>
          <w:rFonts w:ascii="Palatino Linotype" w:eastAsia="Palatino Linotype" w:hAnsi="Palatino Linotype" w:cs="Palatino Linotype"/>
          <w:sz w:val="24"/>
          <w:szCs w:val="24"/>
        </w:rPr>
        <w:t xml:space="preserve">, en contra de la respuesta del </w:t>
      </w:r>
      <w:r w:rsidRPr="00B31836">
        <w:rPr>
          <w:rFonts w:ascii="Palatino Linotype" w:eastAsia="Palatino Linotype" w:hAnsi="Palatino Linotype" w:cs="Palatino Linotype"/>
          <w:b/>
          <w:sz w:val="24"/>
          <w:szCs w:val="24"/>
        </w:rPr>
        <w:t xml:space="preserve">Ayuntamiento de Toluca, </w:t>
      </w:r>
      <w:r w:rsidRPr="00B31836">
        <w:rPr>
          <w:rFonts w:ascii="Palatino Linotype" w:eastAsia="Palatino Linotype" w:hAnsi="Palatino Linotype" w:cs="Palatino Linotype"/>
          <w:sz w:val="24"/>
          <w:szCs w:val="24"/>
        </w:rPr>
        <w:t>en lo sucesivo el</w:t>
      </w:r>
      <w:r w:rsidRPr="00B31836">
        <w:rPr>
          <w:rFonts w:ascii="Palatino Linotype" w:eastAsia="Palatino Linotype" w:hAnsi="Palatino Linotype" w:cs="Palatino Linotype"/>
          <w:b/>
          <w:sz w:val="24"/>
          <w:szCs w:val="24"/>
        </w:rPr>
        <w:t xml:space="preserve"> SUJETO OBLIGADO</w:t>
      </w:r>
      <w:r w:rsidRPr="00B31836">
        <w:rPr>
          <w:rFonts w:ascii="Palatino Linotype" w:eastAsia="Palatino Linotype" w:hAnsi="Palatino Linotype" w:cs="Palatino Linotype"/>
          <w:sz w:val="24"/>
          <w:szCs w:val="24"/>
        </w:rPr>
        <w:t>, por lo que se procede a dictar la presente resolución, con base en los siguientes:</w:t>
      </w:r>
    </w:p>
    <w:p w14:paraId="005EE687" w14:textId="77777777" w:rsidR="00546C2A" w:rsidRPr="00B31836" w:rsidRDefault="00546C2A" w:rsidP="00546C2A">
      <w:pPr>
        <w:spacing w:line="360" w:lineRule="auto"/>
        <w:jc w:val="both"/>
        <w:rPr>
          <w:rFonts w:ascii="Palatino Linotype" w:eastAsia="Palatino Linotype" w:hAnsi="Palatino Linotype" w:cs="Palatino Linotype"/>
          <w:b/>
          <w:sz w:val="24"/>
          <w:szCs w:val="24"/>
        </w:rPr>
      </w:pPr>
    </w:p>
    <w:p w14:paraId="53BE6703" w14:textId="77777777" w:rsidR="00546C2A" w:rsidRPr="00B31836" w:rsidRDefault="00546C2A" w:rsidP="00546C2A">
      <w:pPr>
        <w:keepNext/>
        <w:keepLines/>
        <w:spacing w:line="360" w:lineRule="auto"/>
        <w:jc w:val="center"/>
        <w:rPr>
          <w:rFonts w:ascii="Palatino Linotype" w:eastAsia="Palatino Linotype" w:hAnsi="Palatino Linotype" w:cs="Palatino Linotype"/>
          <w:b/>
          <w:sz w:val="24"/>
          <w:szCs w:val="24"/>
        </w:rPr>
      </w:pPr>
      <w:bookmarkStart w:id="2" w:name="_heading=h.gjdgxs" w:colFirst="0" w:colLast="0"/>
      <w:bookmarkEnd w:id="2"/>
      <w:r w:rsidRPr="00B31836">
        <w:rPr>
          <w:rFonts w:ascii="Palatino Linotype" w:eastAsia="Palatino Linotype" w:hAnsi="Palatino Linotype" w:cs="Palatino Linotype"/>
          <w:b/>
          <w:sz w:val="24"/>
          <w:szCs w:val="24"/>
        </w:rPr>
        <w:t>ANTECEDENTES</w:t>
      </w:r>
    </w:p>
    <w:p w14:paraId="4A82D11B" w14:textId="77777777" w:rsidR="00546C2A" w:rsidRPr="00B31836" w:rsidRDefault="00546C2A" w:rsidP="00546C2A">
      <w:pPr>
        <w:keepNext/>
        <w:keepLines/>
        <w:spacing w:line="360" w:lineRule="auto"/>
        <w:jc w:val="center"/>
        <w:rPr>
          <w:rFonts w:ascii="Palatino Linotype" w:eastAsia="Palatino Linotype" w:hAnsi="Palatino Linotype" w:cs="Palatino Linotype"/>
          <w:b/>
          <w:sz w:val="24"/>
          <w:szCs w:val="24"/>
        </w:rPr>
      </w:pPr>
      <w:r w:rsidRPr="00B31836">
        <w:rPr>
          <w:rFonts w:ascii="Palatino Linotype" w:eastAsia="Palatino Linotype" w:hAnsi="Palatino Linotype" w:cs="Palatino Linotype"/>
          <w:b/>
          <w:sz w:val="24"/>
          <w:szCs w:val="24"/>
        </w:rPr>
        <w:t>SOLICITUD</w:t>
      </w:r>
    </w:p>
    <w:p w14:paraId="179CDA11"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El </w:t>
      </w:r>
      <w:r w:rsidRPr="00B31836">
        <w:rPr>
          <w:rFonts w:ascii="Palatino Linotype" w:eastAsia="Palatino Linotype" w:hAnsi="Palatino Linotype" w:cs="Palatino Linotype"/>
          <w:b/>
          <w:sz w:val="24"/>
          <w:szCs w:val="24"/>
        </w:rPr>
        <w:t>veintiuno de mayo de dos mil veinticuatro</w:t>
      </w:r>
      <w:r w:rsidRPr="00B31836">
        <w:rPr>
          <w:rFonts w:ascii="Palatino Linotype" w:eastAsia="Palatino Linotype" w:hAnsi="Palatino Linotype" w:cs="Palatino Linotype"/>
          <w:sz w:val="24"/>
          <w:szCs w:val="24"/>
        </w:rPr>
        <w:t xml:space="preserve">, </w:t>
      </w:r>
      <w:r w:rsidRPr="00B31836">
        <w:rPr>
          <w:rFonts w:ascii="Palatino Linotype" w:eastAsia="Palatino Linotype" w:hAnsi="Palatino Linotype" w:cs="Palatino Linotype"/>
          <w:b/>
          <w:sz w:val="24"/>
          <w:szCs w:val="24"/>
        </w:rPr>
        <w:t>EL RECURRENTE,</w:t>
      </w:r>
      <w:r w:rsidRPr="00B31836">
        <w:rPr>
          <w:rFonts w:ascii="Palatino Linotype" w:eastAsia="Palatino Linotype" w:hAnsi="Palatino Linotype" w:cs="Palatino Linotype"/>
          <w:sz w:val="24"/>
          <w:szCs w:val="24"/>
        </w:rPr>
        <w:t xml:space="preserve"> ante el </w:t>
      </w:r>
      <w:r w:rsidRPr="00B31836">
        <w:rPr>
          <w:rFonts w:ascii="Palatino Linotype" w:eastAsia="Palatino Linotype" w:hAnsi="Palatino Linotype" w:cs="Palatino Linotype"/>
          <w:b/>
          <w:sz w:val="24"/>
          <w:szCs w:val="24"/>
        </w:rPr>
        <w:t>SUJETO OBLIGADO</w:t>
      </w:r>
      <w:r w:rsidRPr="00B31836">
        <w:rPr>
          <w:rFonts w:ascii="Palatino Linotype" w:eastAsia="Palatino Linotype" w:hAnsi="Palatino Linotype" w:cs="Palatino Linotype"/>
          <w:sz w:val="24"/>
          <w:szCs w:val="24"/>
        </w:rPr>
        <w:t xml:space="preserve"> vía Sistema de Acceso a la Información Mexiquense (</w:t>
      </w:r>
      <w:r w:rsidRPr="00B31836">
        <w:rPr>
          <w:rFonts w:ascii="Palatino Linotype" w:eastAsia="Palatino Linotype" w:hAnsi="Palatino Linotype" w:cs="Palatino Linotype"/>
          <w:b/>
          <w:sz w:val="24"/>
          <w:szCs w:val="24"/>
        </w:rPr>
        <w:t>SAIMEX)</w:t>
      </w:r>
      <w:r w:rsidRPr="00B31836">
        <w:rPr>
          <w:rFonts w:ascii="Palatino Linotype" w:eastAsia="Palatino Linotype" w:hAnsi="Palatino Linotype" w:cs="Palatino Linotype"/>
          <w:sz w:val="24"/>
          <w:szCs w:val="24"/>
        </w:rPr>
        <w:t xml:space="preserve">, presentó la solicitud de información registrada con el número </w:t>
      </w:r>
      <w:r w:rsidRPr="00B31836">
        <w:rPr>
          <w:rFonts w:ascii="Palatino Linotype" w:eastAsia="Palatino Linotype" w:hAnsi="Palatino Linotype" w:cs="Palatino Linotype"/>
          <w:b/>
          <w:sz w:val="24"/>
          <w:szCs w:val="24"/>
        </w:rPr>
        <w:t xml:space="preserve"> </w:t>
      </w:r>
      <w:r w:rsidRPr="00B31836">
        <w:rPr>
          <w:rFonts w:ascii="Palatino Linotype" w:eastAsia="Palatino Linotype" w:hAnsi="Palatino Linotype" w:cs="Palatino Linotype"/>
          <w:b/>
          <w:bCs/>
          <w:sz w:val="24"/>
          <w:szCs w:val="24"/>
        </w:rPr>
        <w:t>01217/TOLUCA/IP/2024</w:t>
      </w:r>
      <w:r w:rsidRPr="00B31836">
        <w:rPr>
          <w:rFonts w:ascii="Palatino Linotype" w:eastAsia="Palatino Linotype" w:hAnsi="Palatino Linotype" w:cs="Palatino Linotype"/>
          <w:b/>
          <w:sz w:val="24"/>
          <w:szCs w:val="24"/>
        </w:rPr>
        <w:t xml:space="preserve">, </w:t>
      </w:r>
      <w:r w:rsidRPr="00B31836">
        <w:rPr>
          <w:rFonts w:ascii="Palatino Linotype" w:eastAsia="Palatino Linotype" w:hAnsi="Palatino Linotype" w:cs="Palatino Linotype"/>
          <w:sz w:val="24"/>
          <w:szCs w:val="24"/>
        </w:rPr>
        <w:t>mediante la cual solicitó lo siguiente:</w:t>
      </w:r>
    </w:p>
    <w:p w14:paraId="77668F2C" w14:textId="77777777" w:rsidR="00546C2A" w:rsidRPr="00B31836" w:rsidRDefault="00546C2A" w:rsidP="00546C2A">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4"/>
          <w:szCs w:val="24"/>
        </w:rPr>
      </w:pPr>
    </w:p>
    <w:p w14:paraId="348F7263" w14:textId="77777777" w:rsidR="00546C2A" w:rsidRPr="00B31836" w:rsidRDefault="00546C2A" w:rsidP="00546C2A">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r w:rsidRPr="00B31836">
        <w:rPr>
          <w:rFonts w:ascii="Palatino Linotype" w:eastAsia="Palatino Linotype" w:hAnsi="Palatino Linotype" w:cs="Palatino Linotype"/>
          <w:i/>
          <w:color w:val="000000"/>
          <w:sz w:val="24"/>
          <w:szCs w:val="24"/>
        </w:rPr>
        <w:t>“</w:t>
      </w:r>
      <w:proofErr w:type="spellStart"/>
      <w:r w:rsidRPr="00B31836">
        <w:rPr>
          <w:rFonts w:ascii="Palatino Linotype" w:eastAsia="Palatino Linotype" w:hAnsi="Palatino Linotype" w:cs="Palatino Linotype"/>
          <w:i/>
          <w:color w:val="000000"/>
          <w:sz w:val="24"/>
          <w:szCs w:val="24"/>
        </w:rPr>
        <w:t>numero</w:t>
      </w:r>
      <w:proofErr w:type="spellEnd"/>
      <w:r w:rsidRPr="00B31836">
        <w:rPr>
          <w:rFonts w:ascii="Palatino Linotype" w:eastAsia="Palatino Linotype" w:hAnsi="Palatino Linotype" w:cs="Palatino Linotype"/>
          <w:i/>
          <w:color w:val="000000"/>
          <w:sz w:val="24"/>
          <w:szCs w:val="24"/>
        </w:rPr>
        <w:t xml:space="preserve"> de expedientes, quejas y/o denuncias relativos a la actual titular de la unidad de transparencia de </w:t>
      </w:r>
      <w:proofErr w:type="spellStart"/>
      <w:r w:rsidRPr="00B31836">
        <w:rPr>
          <w:rFonts w:ascii="Palatino Linotype" w:eastAsia="Palatino Linotype" w:hAnsi="Palatino Linotype" w:cs="Palatino Linotype"/>
          <w:i/>
          <w:color w:val="000000"/>
          <w:sz w:val="24"/>
          <w:szCs w:val="24"/>
        </w:rPr>
        <w:t>toluca</w:t>
      </w:r>
      <w:proofErr w:type="spellEnd"/>
      <w:r w:rsidRPr="00B31836">
        <w:rPr>
          <w:rFonts w:ascii="Palatino Linotype" w:eastAsia="Palatino Linotype" w:hAnsi="Palatino Linotype" w:cs="Palatino Linotype"/>
          <w:i/>
          <w:color w:val="000000"/>
          <w:sz w:val="24"/>
          <w:szCs w:val="24"/>
        </w:rPr>
        <w:t xml:space="preserve">, norma </w:t>
      </w:r>
      <w:proofErr w:type="spellStart"/>
      <w:r w:rsidRPr="00B31836">
        <w:rPr>
          <w:rFonts w:ascii="Palatino Linotype" w:eastAsia="Palatino Linotype" w:hAnsi="Palatino Linotype" w:cs="Palatino Linotype"/>
          <w:i/>
          <w:color w:val="000000"/>
          <w:sz w:val="24"/>
          <w:szCs w:val="24"/>
        </w:rPr>
        <w:t>sofia</w:t>
      </w:r>
      <w:proofErr w:type="spellEnd"/>
      <w:r w:rsidRPr="00B31836">
        <w:rPr>
          <w:rFonts w:ascii="Palatino Linotype" w:eastAsia="Palatino Linotype" w:hAnsi="Palatino Linotype" w:cs="Palatino Linotype"/>
          <w:i/>
          <w:color w:val="000000"/>
          <w:sz w:val="24"/>
          <w:szCs w:val="24"/>
        </w:rPr>
        <w:t xml:space="preserve"> </w:t>
      </w:r>
      <w:proofErr w:type="spellStart"/>
      <w:r w:rsidRPr="00B31836">
        <w:rPr>
          <w:rFonts w:ascii="Palatino Linotype" w:eastAsia="Palatino Linotype" w:hAnsi="Palatino Linotype" w:cs="Palatino Linotype"/>
          <w:i/>
          <w:color w:val="000000"/>
          <w:sz w:val="24"/>
          <w:szCs w:val="24"/>
        </w:rPr>
        <w:t>perez</w:t>
      </w:r>
      <w:proofErr w:type="spellEnd"/>
      <w:r w:rsidRPr="00B31836">
        <w:rPr>
          <w:rFonts w:ascii="Palatino Linotype" w:eastAsia="Palatino Linotype" w:hAnsi="Palatino Linotype" w:cs="Palatino Linotype"/>
          <w:i/>
          <w:color w:val="000000"/>
          <w:sz w:val="24"/>
          <w:szCs w:val="24"/>
        </w:rPr>
        <w:t xml:space="preserve"> </w:t>
      </w:r>
      <w:proofErr w:type="spellStart"/>
      <w:r w:rsidRPr="00B31836">
        <w:rPr>
          <w:rFonts w:ascii="Palatino Linotype" w:eastAsia="Palatino Linotype" w:hAnsi="Palatino Linotype" w:cs="Palatino Linotype"/>
          <w:i/>
          <w:color w:val="000000"/>
          <w:sz w:val="24"/>
          <w:szCs w:val="24"/>
        </w:rPr>
        <w:t>martinez</w:t>
      </w:r>
      <w:proofErr w:type="spellEnd"/>
      <w:r w:rsidRPr="00B31836">
        <w:rPr>
          <w:rFonts w:ascii="Palatino Linotype" w:eastAsia="Palatino Linotype" w:hAnsi="Palatino Linotype" w:cs="Palatino Linotype"/>
          <w:i/>
          <w:color w:val="000000"/>
          <w:sz w:val="24"/>
          <w:szCs w:val="24"/>
        </w:rPr>
        <w:t xml:space="preserve">” (Sic) </w:t>
      </w:r>
    </w:p>
    <w:p w14:paraId="7E240CEA" w14:textId="77777777" w:rsidR="00546C2A" w:rsidRPr="00B31836" w:rsidRDefault="00546C2A" w:rsidP="00546C2A">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p>
    <w:p w14:paraId="48105BC0" w14:textId="77777777" w:rsidR="00546C2A" w:rsidRPr="00B31836" w:rsidRDefault="00546C2A" w:rsidP="00CF6481">
      <w:pPr>
        <w:numPr>
          <w:ilvl w:val="0"/>
          <w:numId w:val="4"/>
        </w:numPr>
        <w:spacing w:line="360" w:lineRule="auto"/>
        <w:ind w:right="567"/>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Modalidad de entrega: </w:t>
      </w:r>
      <w:r w:rsidRPr="00B31836">
        <w:rPr>
          <w:rFonts w:ascii="Palatino Linotype" w:eastAsia="Palatino Linotype" w:hAnsi="Palatino Linotype" w:cs="Palatino Linotype"/>
          <w:b/>
          <w:sz w:val="24"/>
          <w:szCs w:val="24"/>
        </w:rPr>
        <w:t>Vía SAIMEX.</w:t>
      </w:r>
    </w:p>
    <w:p w14:paraId="369CC093" w14:textId="77777777" w:rsidR="00546C2A" w:rsidRPr="00B31836" w:rsidRDefault="00546C2A" w:rsidP="00546C2A">
      <w:pPr>
        <w:spacing w:line="360" w:lineRule="auto"/>
        <w:ind w:left="1146" w:right="567"/>
        <w:jc w:val="both"/>
        <w:rPr>
          <w:rFonts w:ascii="Palatino Linotype" w:eastAsia="Palatino Linotype" w:hAnsi="Palatino Linotype" w:cs="Palatino Linotype"/>
          <w:b/>
          <w:sz w:val="24"/>
          <w:szCs w:val="24"/>
        </w:rPr>
      </w:pPr>
    </w:p>
    <w:p w14:paraId="3694897D" w14:textId="77777777" w:rsidR="00546C2A" w:rsidRPr="00B31836" w:rsidRDefault="00546C2A" w:rsidP="00546C2A">
      <w:pPr>
        <w:keepNext/>
        <w:keepLines/>
        <w:spacing w:line="360" w:lineRule="auto"/>
        <w:jc w:val="center"/>
        <w:rPr>
          <w:rFonts w:ascii="Palatino Linotype" w:eastAsia="Palatino Linotype" w:hAnsi="Palatino Linotype" w:cs="Palatino Linotype"/>
          <w:b/>
          <w:sz w:val="24"/>
          <w:szCs w:val="24"/>
        </w:rPr>
      </w:pPr>
      <w:r w:rsidRPr="00B31836">
        <w:rPr>
          <w:rFonts w:ascii="Palatino Linotype" w:eastAsia="Palatino Linotype" w:hAnsi="Palatino Linotype" w:cs="Palatino Linotype"/>
          <w:b/>
          <w:sz w:val="24"/>
          <w:szCs w:val="24"/>
        </w:rPr>
        <w:lastRenderedPageBreak/>
        <w:t>RESPUESTA</w:t>
      </w:r>
    </w:p>
    <w:p w14:paraId="7B6B6230"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sz w:val="24"/>
          <w:szCs w:val="24"/>
        </w:rPr>
        <w:t xml:space="preserve">El </w:t>
      </w:r>
      <w:r w:rsidRPr="00B31836">
        <w:rPr>
          <w:rFonts w:ascii="Palatino Linotype" w:eastAsia="Palatino Linotype" w:hAnsi="Palatino Linotype" w:cs="Palatino Linotype"/>
          <w:b/>
          <w:sz w:val="24"/>
          <w:szCs w:val="24"/>
        </w:rPr>
        <w:t xml:space="preserve">once de junio de dos mil veinticuatro, </w:t>
      </w:r>
      <w:r w:rsidRPr="00B31836">
        <w:rPr>
          <w:rFonts w:ascii="Palatino Linotype" w:eastAsia="Palatino Linotype" w:hAnsi="Palatino Linotype" w:cs="Palatino Linotype"/>
          <w:sz w:val="24"/>
          <w:szCs w:val="24"/>
        </w:rPr>
        <w:t xml:space="preserve">el </w:t>
      </w:r>
      <w:r w:rsidRPr="00B31836">
        <w:rPr>
          <w:rFonts w:ascii="Palatino Linotype" w:eastAsia="Palatino Linotype" w:hAnsi="Palatino Linotype" w:cs="Palatino Linotype"/>
          <w:b/>
          <w:sz w:val="24"/>
          <w:szCs w:val="24"/>
        </w:rPr>
        <w:t xml:space="preserve">SUJETO OBLIGADO </w:t>
      </w:r>
      <w:r w:rsidRPr="00B31836">
        <w:rPr>
          <w:rFonts w:ascii="Palatino Linotype" w:eastAsia="Palatino Linotype" w:hAnsi="Palatino Linotype" w:cs="Palatino Linotype"/>
          <w:sz w:val="24"/>
          <w:szCs w:val="24"/>
        </w:rPr>
        <w:t xml:space="preserve">dio </w:t>
      </w:r>
      <w:r w:rsidRPr="00B31836">
        <w:rPr>
          <w:rFonts w:ascii="Palatino Linotype" w:eastAsia="Palatino Linotype" w:hAnsi="Palatino Linotype" w:cs="Palatino Linotype"/>
          <w:b/>
          <w:sz w:val="24"/>
          <w:szCs w:val="24"/>
        </w:rPr>
        <w:t>RESPUESTA</w:t>
      </w:r>
      <w:r w:rsidRPr="00B31836">
        <w:rPr>
          <w:rFonts w:ascii="Palatino Linotype" w:eastAsia="Palatino Linotype" w:hAnsi="Palatino Linotype" w:cs="Palatino Linotype"/>
          <w:sz w:val="24"/>
          <w:szCs w:val="24"/>
        </w:rPr>
        <w:t xml:space="preserve"> a la solicitud, por medio de los archivos</w:t>
      </w:r>
    </w:p>
    <w:p w14:paraId="61A2CD36" w14:textId="77777777" w:rsidR="00546C2A" w:rsidRPr="00B31836" w:rsidRDefault="00546C2A" w:rsidP="00546C2A">
      <w:pPr>
        <w:spacing w:line="360" w:lineRule="auto"/>
        <w:rPr>
          <w:rFonts w:ascii="Palatino Linotype" w:eastAsia="Palatino Linotype" w:hAnsi="Palatino Linotype" w:cs="Palatino Linotype"/>
          <w:sz w:val="24"/>
          <w:szCs w:val="24"/>
        </w:rPr>
      </w:pPr>
    </w:p>
    <w:p w14:paraId="3DA78189" w14:textId="77777777" w:rsidR="00546C2A" w:rsidRPr="00B31836" w:rsidRDefault="00546C2A" w:rsidP="00CF6481">
      <w:pPr>
        <w:pStyle w:val="Prrafodelista"/>
        <w:numPr>
          <w:ilvl w:val="0"/>
          <w:numId w:val="4"/>
        </w:numPr>
        <w:jc w:val="both"/>
        <w:rPr>
          <w:rFonts w:ascii="Palatino Linotype" w:hAnsi="Palatino Linotype"/>
          <w:b/>
          <w:i/>
          <w:sz w:val="24"/>
        </w:rPr>
      </w:pPr>
      <w:r w:rsidRPr="00B31836">
        <w:rPr>
          <w:rFonts w:ascii="Palatino Linotype" w:hAnsi="Palatino Linotype"/>
          <w:b/>
          <w:i/>
          <w:sz w:val="24"/>
        </w:rPr>
        <w:t>Respuesta 01217_24.pdf</w:t>
      </w:r>
    </w:p>
    <w:p w14:paraId="5E213458" w14:textId="77777777" w:rsidR="00546C2A" w:rsidRPr="00B31836" w:rsidRDefault="00546C2A" w:rsidP="00546C2A">
      <w:pPr>
        <w:jc w:val="both"/>
        <w:rPr>
          <w:rFonts w:ascii="Palatino Linotype" w:hAnsi="Palatino Linotype"/>
          <w:sz w:val="24"/>
          <w:szCs w:val="24"/>
        </w:rPr>
      </w:pPr>
    </w:p>
    <w:p w14:paraId="3AE1EA10" w14:textId="77777777" w:rsidR="00546C2A" w:rsidRPr="00B31836" w:rsidRDefault="00546C2A" w:rsidP="00546C2A">
      <w:pPr>
        <w:spacing w:line="360" w:lineRule="auto"/>
        <w:rPr>
          <w:rFonts w:ascii="Palatino Linotype" w:eastAsia="Palatino Linotype" w:hAnsi="Palatino Linotype" w:cs="Palatino Linotype"/>
          <w:b/>
          <w:sz w:val="24"/>
          <w:szCs w:val="24"/>
        </w:rPr>
      </w:pPr>
      <w:r w:rsidRPr="00B31836">
        <w:rPr>
          <w:rFonts w:ascii="Palatino Linotype" w:eastAsia="Palatino Linotype" w:hAnsi="Palatino Linotype" w:cs="Palatino Linotype"/>
          <w:sz w:val="24"/>
          <w:szCs w:val="24"/>
        </w:rPr>
        <w:t xml:space="preserve">Oficio de once de junio de dos mil veinticuatro, firmado por la Titular de la Unidad de Transparencia,  por el que hizo de conocimiento que la Contraloría Municipal y Servidor Público Habilitado, que la Dirección de Investigación y Responsabilidades Administrativas informo que se tienen </w:t>
      </w:r>
      <w:r w:rsidRPr="00B31836">
        <w:rPr>
          <w:rFonts w:ascii="Palatino Linotype" w:eastAsia="Palatino Linotype" w:hAnsi="Palatino Linotype" w:cs="Palatino Linotype"/>
          <w:b/>
          <w:sz w:val="24"/>
          <w:szCs w:val="24"/>
        </w:rPr>
        <w:t>dos expedientes.</w:t>
      </w:r>
    </w:p>
    <w:p w14:paraId="07DD3657" w14:textId="77777777" w:rsidR="00546C2A" w:rsidRPr="00B31836" w:rsidRDefault="00546C2A" w:rsidP="00546C2A">
      <w:pPr>
        <w:spacing w:line="360" w:lineRule="auto"/>
        <w:rPr>
          <w:rFonts w:ascii="Palatino Linotype" w:eastAsia="Palatino Linotype" w:hAnsi="Palatino Linotype" w:cs="Palatino Linotype"/>
          <w:sz w:val="24"/>
          <w:szCs w:val="24"/>
        </w:rPr>
      </w:pPr>
    </w:p>
    <w:p w14:paraId="4C7A68DE" w14:textId="77777777" w:rsidR="00546C2A" w:rsidRPr="00B31836" w:rsidRDefault="00546C2A" w:rsidP="00546C2A">
      <w:pPr>
        <w:spacing w:line="360" w:lineRule="auto"/>
        <w:jc w:val="both"/>
        <w:rPr>
          <w:rFonts w:ascii="Palatino Linotype" w:eastAsia="Palatino Linotype" w:hAnsi="Palatino Linotype" w:cs="Palatino Linotype"/>
          <w:i/>
          <w:sz w:val="24"/>
          <w:szCs w:val="24"/>
        </w:rPr>
      </w:pPr>
    </w:p>
    <w:p w14:paraId="0F15EE82" w14:textId="77777777" w:rsidR="00546C2A" w:rsidRPr="00B31836" w:rsidRDefault="00546C2A" w:rsidP="00546C2A">
      <w:pPr>
        <w:keepNext/>
        <w:keepLines/>
        <w:spacing w:line="360" w:lineRule="auto"/>
        <w:jc w:val="center"/>
        <w:rPr>
          <w:rFonts w:ascii="Palatino Linotype" w:eastAsia="Palatino Linotype" w:hAnsi="Palatino Linotype" w:cs="Palatino Linotype"/>
          <w:b/>
          <w:sz w:val="24"/>
          <w:szCs w:val="24"/>
        </w:rPr>
      </w:pPr>
      <w:r w:rsidRPr="00B31836">
        <w:rPr>
          <w:rFonts w:ascii="Palatino Linotype" w:eastAsia="Palatino Linotype" w:hAnsi="Palatino Linotype" w:cs="Palatino Linotype"/>
          <w:b/>
          <w:sz w:val="24"/>
          <w:szCs w:val="24"/>
        </w:rPr>
        <w:t xml:space="preserve">INCONFORMIDAD </w:t>
      </w:r>
    </w:p>
    <w:p w14:paraId="576BAD3E"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58E21051"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Inconforme con lo anterior, el </w:t>
      </w:r>
      <w:r w:rsidRPr="00B31836">
        <w:rPr>
          <w:rFonts w:ascii="Palatino Linotype" w:eastAsia="Palatino Linotype" w:hAnsi="Palatino Linotype" w:cs="Palatino Linotype"/>
          <w:b/>
          <w:sz w:val="24"/>
          <w:szCs w:val="24"/>
        </w:rPr>
        <w:t>doce de junio de dos mil veinticuatro</w:t>
      </w:r>
      <w:r w:rsidRPr="00B31836">
        <w:rPr>
          <w:rFonts w:ascii="Palatino Linotype" w:eastAsia="Palatino Linotype" w:hAnsi="Palatino Linotype" w:cs="Palatino Linotype"/>
          <w:sz w:val="24"/>
          <w:szCs w:val="24"/>
        </w:rPr>
        <w:t xml:space="preserve">,  el </w:t>
      </w:r>
      <w:r w:rsidRPr="00B31836">
        <w:rPr>
          <w:rFonts w:ascii="Palatino Linotype" w:eastAsia="Palatino Linotype" w:hAnsi="Palatino Linotype" w:cs="Palatino Linotype"/>
          <w:b/>
          <w:sz w:val="24"/>
          <w:szCs w:val="24"/>
        </w:rPr>
        <w:t xml:space="preserve">SUJETO OBLIGADO </w:t>
      </w:r>
      <w:r w:rsidRPr="00B31836">
        <w:rPr>
          <w:rFonts w:ascii="Palatino Linotype" w:eastAsia="Palatino Linotype" w:hAnsi="Palatino Linotype" w:cs="Palatino Linotype"/>
          <w:sz w:val="24"/>
          <w:szCs w:val="24"/>
        </w:rPr>
        <w:t xml:space="preserve">interpuso recurso de revisión, arguyendo como </w:t>
      </w:r>
    </w:p>
    <w:p w14:paraId="7398E9BC"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4C4BCA3B" w14:textId="77777777" w:rsidR="00546C2A" w:rsidRPr="00B31836" w:rsidRDefault="00546C2A" w:rsidP="00CF6481">
      <w:pPr>
        <w:numPr>
          <w:ilvl w:val="0"/>
          <w:numId w:val="5"/>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B31836">
        <w:rPr>
          <w:rFonts w:ascii="Palatino Linotype" w:eastAsia="Palatino Linotype" w:hAnsi="Palatino Linotype" w:cs="Palatino Linotype"/>
          <w:b/>
          <w:color w:val="000000"/>
          <w:sz w:val="24"/>
          <w:szCs w:val="24"/>
        </w:rPr>
        <w:t>Acto impugnado</w:t>
      </w:r>
      <w:r w:rsidRPr="00B31836">
        <w:rPr>
          <w:rFonts w:ascii="Palatino Linotype" w:eastAsia="Palatino Linotype" w:hAnsi="Palatino Linotype" w:cs="Palatino Linotype"/>
          <w:b/>
          <w:i/>
          <w:color w:val="000000"/>
          <w:sz w:val="24"/>
          <w:szCs w:val="24"/>
        </w:rPr>
        <w:t>:</w:t>
      </w:r>
      <w:r w:rsidRPr="00B31836">
        <w:rPr>
          <w:rFonts w:ascii="Palatino Linotype" w:eastAsia="Palatino Linotype" w:hAnsi="Palatino Linotype" w:cs="Palatino Linotype"/>
          <w:color w:val="000000"/>
          <w:sz w:val="24"/>
          <w:szCs w:val="24"/>
        </w:rPr>
        <w:t xml:space="preserve"> </w:t>
      </w:r>
      <w:r w:rsidRPr="00B31836">
        <w:rPr>
          <w:rFonts w:ascii="Palatino Linotype" w:eastAsia="Palatino Linotype" w:hAnsi="Palatino Linotype" w:cs="Palatino Linotype"/>
          <w:i/>
          <w:color w:val="000000"/>
          <w:sz w:val="24"/>
          <w:szCs w:val="24"/>
        </w:rPr>
        <w:t>“la respuesta incompleta” (sic)</w:t>
      </w:r>
    </w:p>
    <w:p w14:paraId="129A19DF" w14:textId="77777777" w:rsidR="00546C2A" w:rsidRPr="00B31836" w:rsidRDefault="00546C2A" w:rsidP="00546C2A">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4"/>
          <w:szCs w:val="24"/>
        </w:rPr>
      </w:pPr>
    </w:p>
    <w:p w14:paraId="3CDF2AB9" w14:textId="77777777" w:rsidR="00546C2A" w:rsidRPr="00B31836" w:rsidRDefault="00546C2A" w:rsidP="00CF6481">
      <w:pPr>
        <w:pStyle w:val="Listaconvietas2"/>
        <w:numPr>
          <w:ilvl w:val="0"/>
          <w:numId w:val="5"/>
        </w:numPr>
        <w:tabs>
          <w:tab w:val="clear" w:pos="643"/>
        </w:tabs>
        <w:rPr>
          <w:rFonts w:ascii="Palatino Linotype" w:eastAsia="Palatino Linotype" w:hAnsi="Palatino Linotype" w:cs="Palatino Linotype"/>
          <w:color w:val="000000"/>
          <w:sz w:val="24"/>
          <w:szCs w:val="24"/>
        </w:rPr>
      </w:pPr>
      <w:r w:rsidRPr="00B31836">
        <w:rPr>
          <w:rFonts w:ascii="Palatino Linotype" w:eastAsia="Palatino Linotype" w:hAnsi="Palatino Linotype" w:cs="Palatino Linotype"/>
          <w:b/>
          <w:color w:val="000000"/>
          <w:sz w:val="24"/>
          <w:szCs w:val="24"/>
        </w:rPr>
        <w:t xml:space="preserve">Razones o Motivos de inconformidad: </w:t>
      </w:r>
      <w:r w:rsidRPr="00B31836">
        <w:rPr>
          <w:rFonts w:ascii="Palatino Linotype" w:eastAsia="Palatino Linotype" w:hAnsi="Palatino Linotype" w:cs="Palatino Linotype"/>
          <w:i/>
          <w:color w:val="000000"/>
          <w:sz w:val="24"/>
          <w:szCs w:val="24"/>
        </w:rPr>
        <w:t>“</w:t>
      </w:r>
      <w:r w:rsidRPr="00B31836">
        <w:rPr>
          <w:rFonts w:ascii="Palatino Linotype" w:eastAsia="Palatino Linotype" w:hAnsi="Palatino Linotype" w:cs="Palatino Linotype"/>
          <w:i/>
          <w:color w:val="000000"/>
          <w:sz w:val="24"/>
          <w:szCs w:val="24"/>
          <w:lang w:eastAsia="es-MX"/>
        </w:rPr>
        <w:t xml:space="preserve">no turno a todas las </w:t>
      </w:r>
      <w:proofErr w:type="spellStart"/>
      <w:r w:rsidRPr="00B31836">
        <w:rPr>
          <w:rFonts w:ascii="Palatino Linotype" w:eastAsia="Palatino Linotype" w:hAnsi="Palatino Linotype" w:cs="Palatino Linotype"/>
          <w:i/>
          <w:color w:val="000000"/>
          <w:sz w:val="24"/>
          <w:szCs w:val="24"/>
          <w:lang w:eastAsia="es-MX"/>
        </w:rPr>
        <w:t>areas</w:t>
      </w:r>
      <w:proofErr w:type="spellEnd"/>
      <w:r w:rsidRPr="00B31836">
        <w:rPr>
          <w:rFonts w:ascii="Palatino Linotype" w:eastAsia="Palatino Linotype" w:hAnsi="Palatino Linotype" w:cs="Palatino Linotype"/>
          <w:i/>
          <w:color w:val="000000"/>
          <w:sz w:val="24"/>
          <w:szCs w:val="24"/>
          <w:lang w:eastAsia="es-MX"/>
        </w:rPr>
        <w:t xml:space="preserve">, se </w:t>
      </w:r>
      <w:proofErr w:type="spellStart"/>
      <w:r w:rsidRPr="00B31836">
        <w:rPr>
          <w:rFonts w:ascii="Palatino Linotype" w:eastAsia="Palatino Linotype" w:hAnsi="Palatino Linotype" w:cs="Palatino Linotype"/>
          <w:i/>
          <w:color w:val="000000"/>
          <w:sz w:val="24"/>
          <w:szCs w:val="24"/>
          <w:lang w:eastAsia="es-MX"/>
        </w:rPr>
        <w:t>pronuncio</w:t>
      </w:r>
      <w:proofErr w:type="spellEnd"/>
      <w:r w:rsidRPr="00B31836">
        <w:rPr>
          <w:rFonts w:ascii="Palatino Linotype" w:eastAsia="Palatino Linotype" w:hAnsi="Palatino Linotype" w:cs="Palatino Linotype"/>
          <w:i/>
          <w:color w:val="000000"/>
          <w:sz w:val="24"/>
          <w:szCs w:val="24"/>
          <w:lang w:eastAsia="es-MX"/>
        </w:rPr>
        <w:t xml:space="preserve"> </w:t>
      </w:r>
      <w:proofErr w:type="spellStart"/>
      <w:r w:rsidRPr="00B31836">
        <w:rPr>
          <w:rFonts w:ascii="Palatino Linotype" w:eastAsia="Palatino Linotype" w:hAnsi="Palatino Linotype" w:cs="Palatino Linotype"/>
          <w:i/>
          <w:color w:val="000000"/>
          <w:sz w:val="24"/>
          <w:szCs w:val="24"/>
          <w:lang w:eastAsia="es-MX"/>
        </w:rPr>
        <w:t>namas</w:t>
      </w:r>
      <w:proofErr w:type="spellEnd"/>
      <w:r w:rsidRPr="00B31836">
        <w:rPr>
          <w:rFonts w:ascii="Palatino Linotype" w:eastAsia="Palatino Linotype" w:hAnsi="Palatino Linotype" w:cs="Palatino Linotype"/>
          <w:i/>
          <w:color w:val="000000"/>
          <w:sz w:val="24"/>
          <w:szCs w:val="24"/>
          <w:lang w:eastAsia="es-MX"/>
        </w:rPr>
        <w:t xml:space="preserve"> la </w:t>
      </w:r>
      <w:proofErr w:type="spellStart"/>
      <w:r w:rsidRPr="00B31836">
        <w:rPr>
          <w:rFonts w:ascii="Palatino Linotype" w:eastAsia="Palatino Linotype" w:hAnsi="Palatino Linotype" w:cs="Palatino Linotype"/>
          <w:i/>
          <w:color w:val="000000"/>
          <w:sz w:val="24"/>
          <w:szCs w:val="24"/>
          <w:lang w:eastAsia="es-MX"/>
        </w:rPr>
        <w:t>contraloria</w:t>
      </w:r>
      <w:proofErr w:type="spellEnd"/>
      <w:r w:rsidRPr="00B31836">
        <w:rPr>
          <w:rFonts w:ascii="Palatino Linotype" w:eastAsia="Palatino Linotype" w:hAnsi="Palatino Linotype" w:cs="Palatino Linotype"/>
          <w:i/>
          <w:color w:val="000000"/>
          <w:sz w:val="24"/>
          <w:szCs w:val="24"/>
          <w:lang w:eastAsia="es-MX"/>
        </w:rPr>
        <w:t xml:space="preserve">, pero las quejas ante la </w:t>
      </w:r>
      <w:proofErr w:type="spellStart"/>
      <w:r w:rsidRPr="00B31836">
        <w:rPr>
          <w:rFonts w:ascii="Palatino Linotype" w:eastAsia="Palatino Linotype" w:hAnsi="Palatino Linotype" w:cs="Palatino Linotype"/>
          <w:i/>
          <w:color w:val="000000"/>
          <w:sz w:val="24"/>
          <w:szCs w:val="24"/>
          <w:lang w:eastAsia="es-MX"/>
        </w:rPr>
        <w:t>defensoria</w:t>
      </w:r>
      <w:proofErr w:type="spellEnd"/>
      <w:r w:rsidRPr="00B31836">
        <w:rPr>
          <w:rFonts w:ascii="Palatino Linotype" w:eastAsia="Palatino Linotype" w:hAnsi="Palatino Linotype" w:cs="Palatino Linotype"/>
          <w:i/>
          <w:color w:val="000000"/>
          <w:sz w:val="24"/>
          <w:szCs w:val="24"/>
          <w:lang w:eastAsia="es-MX"/>
        </w:rPr>
        <w:t>, no hay pronunciamiento</w:t>
      </w:r>
      <w:r w:rsidRPr="00B31836">
        <w:rPr>
          <w:rFonts w:ascii="Palatino Linotype" w:eastAsia="Palatino Linotype" w:hAnsi="Palatino Linotype" w:cs="Palatino Linotype"/>
          <w:i/>
          <w:color w:val="000000"/>
          <w:sz w:val="24"/>
          <w:szCs w:val="24"/>
        </w:rPr>
        <w:t xml:space="preserve"> “(Sic)</w:t>
      </w:r>
    </w:p>
    <w:p w14:paraId="5876C336"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5F2BDDCF"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lastRenderedPageBreak/>
        <w:t xml:space="preserve">Se registró el recurso de revisión bajo el número de expediente al rubro indicado, asimismo con fundamento en lo dispuesto por el artículo 185 fracción I de la </w:t>
      </w:r>
      <w:r w:rsidRPr="00B31836">
        <w:rPr>
          <w:rFonts w:ascii="Palatino Linotype" w:eastAsia="Palatino Linotype" w:hAnsi="Palatino Linotype" w:cs="Palatino Linotype"/>
          <w:b/>
          <w:sz w:val="24"/>
          <w:szCs w:val="24"/>
        </w:rPr>
        <w:t xml:space="preserve">Ley de Transparencia y Acceso a la Información Pública del Estado de México y Municipios </w:t>
      </w:r>
      <w:r w:rsidRPr="00B31836">
        <w:rPr>
          <w:rFonts w:ascii="Palatino Linotype" w:eastAsia="Palatino Linotype" w:hAnsi="Palatino Linotype" w:cs="Palatino Linotype"/>
          <w:sz w:val="24"/>
          <w:szCs w:val="24"/>
        </w:rPr>
        <w:t xml:space="preserve">se turnó a la </w:t>
      </w:r>
      <w:r w:rsidRPr="00B31836">
        <w:rPr>
          <w:rFonts w:ascii="Palatino Linotype" w:eastAsia="Palatino Linotype" w:hAnsi="Palatino Linotype" w:cs="Palatino Linotype"/>
          <w:b/>
          <w:sz w:val="24"/>
          <w:szCs w:val="24"/>
        </w:rPr>
        <w:t xml:space="preserve">Comisionada María del Rosario Mejía Ayala, </w:t>
      </w:r>
      <w:r w:rsidRPr="00B31836">
        <w:rPr>
          <w:rFonts w:ascii="Palatino Linotype" w:eastAsia="Palatino Linotype" w:hAnsi="Palatino Linotype" w:cs="Palatino Linotype"/>
          <w:sz w:val="24"/>
          <w:szCs w:val="24"/>
        </w:rPr>
        <w:t xml:space="preserve">con el objeto de su análisis. </w:t>
      </w:r>
    </w:p>
    <w:p w14:paraId="30E93D52"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7EE23493"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sz w:val="24"/>
          <w:szCs w:val="24"/>
        </w:rPr>
        <w:t xml:space="preserve">La Comisionada Ponente con fundamento en lo dispuesto por el artículo 18 fracción II de la ley de la materia, a través del acuerdo de admisión notificado el </w:t>
      </w:r>
      <w:r w:rsidRPr="00B31836">
        <w:rPr>
          <w:rFonts w:ascii="Palatino Linotype" w:eastAsia="Palatino Linotype" w:hAnsi="Palatino Linotype" w:cs="Palatino Linotype"/>
          <w:b/>
          <w:sz w:val="24"/>
          <w:szCs w:val="24"/>
        </w:rPr>
        <w:t>trece de junio de dos mil veinticuatro,</w:t>
      </w:r>
      <w:r w:rsidRPr="00B31836">
        <w:rPr>
          <w:rFonts w:ascii="Palatino Linotype" w:eastAsia="Palatino Linotype" w:hAnsi="Palatino Linotype" w:cs="Palatino Linotype"/>
          <w:sz w:val="24"/>
          <w:szCs w:val="24"/>
        </w:rPr>
        <w:t xml:space="preserve"> se puso a disposición de las partes el expediente electrónico vía </w:t>
      </w:r>
      <w:r w:rsidRPr="00B31836">
        <w:rPr>
          <w:rFonts w:ascii="Palatino Linotype" w:eastAsia="Palatino Linotype" w:hAnsi="Palatino Linotype" w:cs="Palatino Linotype"/>
          <w:b/>
          <w:sz w:val="24"/>
          <w:szCs w:val="24"/>
        </w:rPr>
        <w:t xml:space="preserve">SAIMEX </w:t>
      </w:r>
      <w:r w:rsidRPr="00B31836">
        <w:rPr>
          <w:rFonts w:ascii="Palatino Linotype" w:eastAsia="Palatino Linotype" w:hAnsi="Palatino Linotype" w:cs="Palatino Linotype"/>
          <w:sz w:val="24"/>
          <w:szCs w:val="24"/>
        </w:rPr>
        <w:t xml:space="preserve">a efecto de que en un plazo máximo de siete días manifestaran lo que a derecho convinieran, ofrecieran pruebas y alegatos según corresponda al caso concreto, de esta forma para que el </w:t>
      </w:r>
      <w:r w:rsidRPr="00B31836">
        <w:rPr>
          <w:rFonts w:ascii="Palatino Linotype" w:eastAsia="Palatino Linotype" w:hAnsi="Palatino Linotype" w:cs="Palatino Linotype"/>
          <w:b/>
          <w:sz w:val="24"/>
          <w:szCs w:val="24"/>
        </w:rPr>
        <w:t>SUJETO OBLIGADO</w:t>
      </w:r>
      <w:r w:rsidRPr="00B31836">
        <w:rPr>
          <w:rFonts w:ascii="Palatino Linotype" w:eastAsia="Palatino Linotype" w:hAnsi="Palatino Linotype" w:cs="Palatino Linotype"/>
          <w:sz w:val="24"/>
          <w:szCs w:val="24"/>
        </w:rPr>
        <w:t xml:space="preserve"> presentara el informe justificado procedente. </w:t>
      </w:r>
    </w:p>
    <w:p w14:paraId="4707D7AC" w14:textId="77777777" w:rsidR="00546C2A" w:rsidRPr="00B31836" w:rsidRDefault="00546C2A" w:rsidP="00546C2A">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12E9CD76" w14:textId="77777777" w:rsidR="00546C2A" w:rsidRPr="00B31836" w:rsidRDefault="00546C2A" w:rsidP="00546C2A">
      <w:pPr>
        <w:spacing w:line="360" w:lineRule="auto"/>
        <w:jc w:val="both"/>
        <w:rPr>
          <w:rFonts w:ascii="Palatino Linotype" w:eastAsia="Palatino Linotype" w:hAnsi="Palatino Linotype" w:cs="Palatino Linotype"/>
          <w:i/>
          <w:sz w:val="24"/>
          <w:szCs w:val="24"/>
        </w:rPr>
      </w:pPr>
    </w:p>
    <w:p w14:paraId="2E7BD187" w14:textId="77777777" w:rsidR="00546C2A" w:rsidRPr="00B31836" w:rsidRDefault="00546C2A" w:rsidP="00546C2A">
      <w:pPr>
        <w:keepNext/>
        <w:keepLines/>
        <w:spacing w:line="360" w:lineRule="auto"/>
        <w:jc w:val="center"/>
        <w:rPr>
          <w:rFonts w:ascii="Palatino Linotype" w:eastAsia="Palatino Linotype" w:hAnsi="Palatino Linotype" w:cs="Palatino Linotype"/>
          <w:b/>
          <w:sz w:val="24"/>
          <w:szCs w:val="24"/>
        </w:rPr>
      </w:pPr>
      <w:r w:rsidRPr="00B31836">
        <w:rPr>
          <w:rFonts w:ascii="Palatino Linotype" w:eastAsia="Palatino Linotype" w:hAnsi="Palatino Linotype" w:cs="Palatino Linotype"/>
          <w:b/>
          <w:sz w:val="24"/>
          <w:szCs w:val="24"/>
        </w:rPr>
        <w:t>MANIFESTACIONES</w:t>
      </w:r>
    </w:p>
    <w:p w14:paraId="5F220195" w14:textId="77777777" w:rsidR="00546C2A" w:rsidRPr="00B31836" w:rsidRDefault="00546C2A" w:rsidP="00546C2A">
      <w:pPr>
        <w:spacing w:line="360" w:lineRule="auto"/>
        <w:jc w:val="both"/>
        <w:rPr>
          <w:rFonts w:ascii="Palatino Linotype" w:eastAsia="Palatino Linotype" w:hAnsi="Palatino Linotype" w:cs="Palatino Linotype"/>
          <w:i/>
          <w:sz w:val="24"/>
          <w:szCs w:val="24"/>
        </w:rPr>
      </w:pPr>
    </w:p>
    <w:p w14:paraId="36A38D4B"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sz w:val="24"/>
          <w:szCs w:val="24"/>
        </w:rPr>
        <w:t xml:space="preserve">De las constancias que obran en el expediente electrónico SAIMEX, se advierte que el </w:t>
      </w:r>
      <w:r w:rsidRPr="00B31836">
        <w:rPr>
          <w:rFonts w:ascii="Palatino Linotype" w:eastAsia="Palatino Linotype" w:hAnsi="Palatino Linotype" w:cs="Palatino Linotype"/>
          <w:b/>
          <w:sz w:val="24"/>
          <w:szCs w:val="24"/>
        </w:rPr>
        <w:t>PARTICULAR,</w:t>
      </w:r>
      <w:r w:rsidRPr="00B31836">
        <w:rPr>
          <w:rFonts w:ascii="Palatino Linotype" w:eastAsia="Palatino Linotype" w:hAnsi="Palatino Linotype" w:cs="Palatino Linotype"/>
          <w:sz w:val="24"/>
          <w:szCs w:val="24"/>
        </w:rPr>
        <w:t xml:space="preserve"> no realizo manifestaciones conforme a su derecho conviniera y asistiera</w:t>
      </w:r>
    </w:p>
    <w:p w14:paraId="3B7039C2" w14:textId="77777777" w:rsidR="00546C2A" w:rsidRPr="00B31836" w:rsidRDefault="00546C2A" w:rsidP="00546C2A">
      <w:pPr>
        <w:spacing w:line="360" w:lineRule="auto"/>
        <w:jc w:val="both"/>
        <w:rPr>
          <w:rFonts w:ascii="Palatino Linotype" w:eastAsia="Palatino Linotype" w:hAnsi="Palatino Linotype" w:cs="Palatino Linotype"/>
          <w:i/>
          <w:sz w:val="24"/>
          <w:szCs w:val="24"/>
        </w:rPr>
      </w:pPr>
    </w:p>
    <w:p w14:paraId="5B649434"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lastRenderedPageBreak/>
        <w:t xml:space="preserve">El </w:t>
      </w:r>
      <w:r w:rsidRPr="00B31836">
        <w:rPr>
          <w:rFonts w:ascii="Palatino Linotype" w:eastAsia="Palatino Linotype" w:hAnsi="Palatino Linotype" w:cs="Palatino Linotype"/>
          <w:b/>
          <w:sz w:val="24"/>
          <w:szCs w:val="24"/>
        </w:rPr>
        <w:t xml:space="preserve">SUJETO OBLIGADO, </w:t>
      </w:r>
      <w:r w:rsidRPr="00B31836">
        <w:rPr>
          <w:rFonts w:ascii="Palatino Linotype" w:eastAsia="Palatino Linotype" w:hAnsi="Palatino Linotype" w:cs="Palatino Linotype"/>
          <w:sz w:val="24"/>
          <w:szCs w:val="24"/>
        </w:rPr>
        <w:t xml:space="preserve">en fecha </w:t>
      </w:r>
      <w:r w:rsidRPr="00B31836">
        <w:rPr>
          <w:rFonts w:ascii="Palatino Linotype" w:eastAsia="Palatino Linotype" w:hAnsi="Palatino Linotype" w:cs="Palatino Linotype"/>
          <w:b/>
          <w:sz w:val="24"/>
          <w:szCs w:val="24"/>
        </w:rPr>
        <w:t xml:space="preserve">veinticuatro de junio de dos mil veinticuatro, </w:t>
      </w:r>
      <w:r w:rsidRPr="00B31836">
        <w:rPr>
          <w:rFonts w:ascii="Palatino Linotype" w:eastAsia="Palatino Linotype" w:hAnsi="Palatino Linotype" w:cs="Palatino Linotype"/>
          <w:sz w:val="24"/>
          <w:szCs w:val="24"/>
        </w:rPr>
        <w:t xml:space="preserve">rindió el informe justificado correspondiente a través del archivo </w:t>
      </w:r>
      <w:hyperlink r:id="rId9" w:history="1">
        <w:r w:rsidRPr="00B31836">
          <w:rPr>
            <w:rStyle w:val="Hipervnculo"/>
            <w:rFonts w:ascii="Palatino Linotype" w:eastAsia="Palatino Linotype" w:hAnsi="Palatino Linotype" w:cs="Palatino Linotype"/>
            <w:b/>
            <w:bCs/>
            <w:i/>
            <w:color w:val="auto"/>
            <w:sz w:val="24"/>
            <w:szCs w:val="24"/>
            <w:u w:val="none"/>
          </w:rPr>
          <w:t>3588.pdf</w:t>
        </w:r>
      </w:hyperlink>
      <w:r w:rsidRPr="00B31836">
        <w:rPr>
          <w:rFonts w:ascii="Palatino Linotype" w:eastAsia="Palatino Linotype" w:hAnsi="Palatino Linotype" w:cs="Palatino Linotype"/>
          <w:i/>
          <w:sz w:val="24"/>
          <w:szCs w:val="24"/>
        </w:rPr>
        <w:t>,</w:t>
      </w:r>
      <w:r w:rsidRPr="00B31836">
        <w:rPr>
          <w:rFonts w:ascii="Palatino Linotype" w:eastAsia="Palatino Linotype" w:hAnsi="Palatino Linotype" w:cs="Palatino Linotype"/>
          <w:sz w:val="24"/>
          <w:szCs w:val="24"/>
        </w:rPr>
        <w:t xml:space="preserve"> del que se desprende el oficio de veinticuatro de junio de dos mil veinticuatro, firmado por la Titular de la Unidad de Transparencia, por el que ratifico su respuesta inicial.</w:t>
      </w:r>
    </w:p>
    <w:p w14:paraId="3C9668BB"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713C9F9A" w14:textId="77777777" w:rsidR="00546C2A" w:rsidRPr="00B31836" w:rsidRDefault="00546C2A" w:rsidP="00546C2A">
      <w:pPr>
        <w:spacing w:line="360" w:lineRule="auto"/>
        <w:jc w:val="both"/>
        <w:rPr>
          <w:rFonts w:ascii="Palatino Linotype" w:eastAsia="Palatino Linotype" w:hAnsi="Palatino Linotype" w:cs="Palatino Linotype"/>
          <w:i/>
          <w:sz w:val="24"/>
          <w:szCs w:val="24"/>
        </w:rPr>
      </w:pPr>
    </w:p>
    <w:p w14:paraId="3DC3D6B3"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El </w:t>
      </w:r>
      <w:r w:rsidRPr="00B31836">
        <w:rPr>
          <w:rFonts w:ascii="Palatino Linotype" w:eastAsia="Palatino Linotype" w:hAnsi="Palatino Linotype" w:cs="Palatino Linotype"/>
          <w:b/>
          <w:sz w:val="24"/>
          <w:szCs w:val="24"/>
        </w:rPr>
        <w:t>cuatro de septiembre de dos mil veinticuatro</w:t>
      </w:r>
      <w:r w:rsidRPr="00B31836">
        <w:rPr>
          <w:rFonts w:ascii="Palatino Linotype" w:eastAsia="Palatino Linotype" w:hAnsi="Palatino Linotype" w:cs="Palatino Linotype"/>
          <w:sz w:val="24"/>
          <w:szCs w:val="24"/>
        </w:rPr>
        <w:t xml:space="preserve">, se notificó el acuerdo mediante el cual se aprobó la ampliación de plazo para emitir resolución. </w:t>
      </w:r>
    </w:p>
    <w:p w14:paraId="1D105F54"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1825EC3D"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b/>
          <w:sz w:val="24"/>
          <w:szCs w:val="24"/>
        </w:rPr>
      </w:pPr>
      <w:r w:rsidRPr="00B31836">
        <w:rPr>
          <w:rFonts w:ascii="Palatino Linotype" w:eastAsia="Palatino Linotype" w:hAnsi="Palatino Linotype" w:cs="Palatino Linotype"/>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1E4A805"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3C0E82B6"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B31836">
        <w:rPr>
          <w:rFonts w:ascii="Palatino Linotype" w:eastAsia="Palatino Linotype" w:hAnsi="Palatino Linotype" w:cs="Palatino Linotype"/>
          <w:sz w:val="24"/>
          <w:szCs w:val="24"/>
        </w:rPr>
        <w:lastRenderedPageBreak/>
        <w:t>establecidos por diversos órganos jurisdiccionales federales, aplicables también en procedimientos análogos, como el que nos ocupa.</w:t>
      </w:r>
    </w:p>
    <w:p w14:paraId="13B9511F"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4769C3F0"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8EB870"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614669E4"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5593B6C"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2B499825"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415E8B39"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630FE3FE"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a) Complejidad del Asunto: La complejidad de la prueba, la pluralidad de sujetos procesales, el tiempo transcurrido, las características y contexto del recurso. </w:t>
      </w:r>
    </w:p>
    <w:p w14:paraId="73AA82C1"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p>
    <w:p w14:paraId="6F670D23"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b) Actividad Procesal del interesado. Acciones u omisiones del interesado.</w:t>
      </w:r>
    </w:p>
    <w:p w14:paraId="5F6FEEA0"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p>
    <w:p w14:paraId="64225427"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c) Conducta de la Autoridad: Las Acciones u omisiones realizadas en el procedimiento. Así como si la autoridad actuó con la debida diligencia.</w:t>
      </w:r>
    </w:p>
    <w:p w14:paraId="140348D1"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p>
    <w:p w14:paraId="5D0D3BF0" w14:textId="77777777" w:rsidR="00546C2A" w:rsidRPr="00B31836" w:rsidRDefault="00546C2A" w:rsidP="00546C2A">
      <w:pPr>
        <w:spacing w:line="360" w:lineRule="auto"/>
        <w:ind w:left="851"/>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5FC14100"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13E77C89"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A15DF3"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739E065F"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Argumento que encuentra sustento en la jurisprudencia P</w:t>
      </w:r>
      <w:proofErr w:type="gramStart"/>
      <w:r w:rsidRPr="00B31836">
        <w:rPr>
          <w:rFonts w:ascii="Palatino Linotype" w:eastAsia="Palatino Linotype" w:hAnsi="Palatino Linotype" w:cs="Palatino Linotype"/>
          <w:sz w:val="24"/>
          <w:szCs w:val="24"/>
        </w:rPr>
        <w:t>./</w:t>
      </w:r>
      <w:proofErr w:type="gramEnd"/>
      <w:r w:rsidRPr="00B31836">
        <w:rPr>
          <w:rFonts w:ascii="Palatino Linotype" w:eastAsia="Palatino Linotype" w:hAnsi="Palatino Linotype" w:cs="Palatino Linotype"/>
          <w:sz w:val="24"/>
          <w:szCs w:val="24"/>
        </w:rPr>
        <w:t xml:space="preserve">J. 32/92 emitida por el Pleno de la Suprema Corte de Justicia de la Nación de rubro </w:t>
      </w:r>
      <w:r w:rsidRPr="00B31836">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B31836">
        <w:rPr>
          <w:rFonts w:ascii="Palatino Linotype" w:eastAsia="Palatino Linotype" w:hAnsi="Palatino Linotype" w:cs="Palatino Linotype"/>
          <w:sz w:val="24"/>
          <w:szCs w:val="24"/>
        </w:rPr>
        <w:t>, visible en la Gaceta del Seminario Judicial de la Federación con el registro digital 205635.</w:t>
      </w:r>
    </w:p>
    <w:p w14:paraId="10675536"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673CC544"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68BAF0"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49D85EFB"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0CC09C34"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54352246"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570B7CA"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20478A7D" w14:textId="77777777" w:rsidR="00546C2A" w:rsidRPr="00B31836" w:rsidRDefault="00546C2A" w:rsidP="00546C2A">
      <w:pPr>
        <w:spacing w:line="360" w:lineRule="auto"/>
        <w:ind w:left="851" w:right="822"/>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i/>
          <w:sz w:val="24"/>
          <w:szCs w:val="24"/>
        </w:rPr>
        <w:t xml:space="preserve">“PLAZO RAZONABLE PARA RESOLVER. DIMENSIÓN Y EFECTOS DE ESTE CONCEPTO CUANDO SE ADUCE EXCESIVA CARGA DE </w:t>
      </w:r>
      <w:r w:rsidRPr="00B31836">
        <w:rPr>
          <w:rFonts w:ascii="Palatino Linotype" w:eastAsia="Palatino Linotype" w:hAnsi="Palatino Linotype" w:cs="Palatino Linotype"/>
          <w:i/>
          <w:sz w:val="24"/>
          <w:szCs w:val="24"/>
        </w:rPr>
        <w:lastRenderedPageBreak/>
        <w:t>TRABAJO.”</w:t>
      </w:r>
      <w:r w:rsidRPr="00B31836">
        <w:rPr>
          <w:rFonts w:ascii="Palatino Linotype" w:eastAsia="Palatino Linotype" w:hAnsi="Palatino Linotype" w:cs="Palatino Linotype"/>
          <w:sz w:val="24"/>
          <w:szCs w:val="24"/>
        </w:rPr>
        <w:t xml:space="preserve"> consultable en el Seminario Judicial de la Federación y su gaceta, con el registro digital 2002351.</w:t>
      </w:r>
    </w:p>
    <w:p w14:paraId="7398A989" w14:textId="77777777" w:rsidR="00546C2A" w:rsidRPr="00B31836" w:rsidRDefault="00546C2A" w:rsidP="00546C2A">
      <w:pPr>
        <w:spacing w:line="360" w:lineRule="auto"/>
        <w:ind w:left="851" w:right="822"/>
        <w:jc w:val="both"/>
        <w:rPr>
          <w:rFonts w:ascii="Palatino Linotype" w:eastAsia="Palatino Linotype" w:hAnsi="Palatino Linotype" w:cs="Palatino Linotype"/>
          <w:b/>
          <w:sz w:val="24"/>
          <w:szCs w:val="24"/>
        </w:rPr>
      </w:pPr>
    </w:p>
    <w:p w14:paraId="42ACDB97" w14:textId="77777777" w:rsidR="00546C2A" w:rsidRPr="00B31836" w:rsidRDefault="00546C2A" w:rsidP="00546C2A">
      <w:pPr>
        <w:spacing w:line="360" w:lineRule="auto"/>
        <w:ind w:left="851" w:right="822"/>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B31836">
        <w:rPr>
          <w:rFonts w:ascii="Palatino Linotype" w:eastAsia="Palatino Linotype" w:hAnsi="Palatino Linotype" w:cs="Palatino Linotype"/>
          <w:sz w:val="24"/>
          <w:szCs w:val="24"/>
        </w:rPr>
        <w:t>, visible en el Seminario Judicial de la Federación y su gaceta, con el registro digital 2002350.</w:t>
      </w:r>
    </w:p>
    <w:p w14:paraId="7C70FC34"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15885A9E" w14:textId="77777777" w:rsidR="00546C2A" w:rsidRPr="00B31836"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Por ello, este Organismo Garante comprometido con la tutela de los derechos humanos confiados, señala que este exceso de plazo legal para resolver el presente asunto, resulta de carácter excepcional. </w:t>
      </w:r>
    </w:p>
    <w:p w14:paraId="2B091F77" w14:textId="77777777" w:rsidR="00546C2A" w:rsidRPr="00B31836" w:rsidRDefault="00546C2A" w:rsidP="00546C2A">
      <w:pPr>
        <w:spacing w:line="360" w:lineRule="auto"/>
        <w:jc w:val="both"/>
        <w:rPr>
          <w:rFonts w:ascii="Palatino Linotype" w:eastAsia="Palatino Linotype" w:hAnsi="Palatino Linotype" w:cs="Palatino Linotype"/>
          <w:sz w:val="24"/>
          <w:szCs w:val="24"/>
        </w:rPr>
      </w:pPr>
    </w:p>
    <w:p w14:paraId="1808D753" w14:textId="77777777" w:rsidR="00546C2A" w:rsidRPr="00B31836"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b/>
          <w:sz w:val="24"/>
          <w:szCs w:val="24"/>
          <w:u w:val="single"/>
        </w:rPr>
      </w:pPr>
      <w:r w:rsidRPr="00B31836">
        <w:rPr>
          <w:rFonts w:ascii="Palatino Linotype" w:eastAsia="Palatino Linotype" w:hAnsi="Palatino Linotype" w:cs="Palatino Linotype"/>
          <w:sz w:val="24"/>
          <w:szCs w:val="24"/>
        </w:rPr>
        <w:t xml:space="preserve">El </w:t>
      </w:r>
      <w:r w:rsidRPr="00B31836">
        <w:rPr>
          <w:rFonts w:ascii="Palatino Linotype" w:eastAsia="Palatino Linotype" w:hAnsi="Palatino Linotype" w:cs="Palatino Linotype"/>
          <w:b/>
          <w:sz w:val="24"/>
          <w:szCs w:val="24"/>
        </w:rPr>
        <w:t>treinta y uno de enero de dos mil veinticuatro</w:t>
      </w:r>
      <w:r w:rsidRPr="00B31836">
        <w:rPr>
          <w:rFonts w:ascii="Palatino Linotype" w:eastAsia="Palatino Linotype" w:hAnsi="Palatino Linotype" w:cs="Palatino Linotype"/>
          <w:sz w:val="24"/>
          <w:szCs w:val="24"/>
        </w:rPr>
        <w:t>, la Comisionada Ponente decretó el cierre de instrucción y al no existir diligencias por realizar y se turnó el expediente a resolución correspondiente, por lo que no habiendo más que hacer constar, y --------------------------------------------------------------------------------------------------</w:t>
      </w:r>
    </w:p>
    <w:p w14:paraId="6078F595" w14:textId="77777777" w:rsidR="00546C2A" w:rsidRPr="00B31836" w:rsidRDefault="00546C2A" w:rsidP="00546C2A">
      <w:pPr>
        <w:tabs>
          <w:tab w:val="left" w:pos="426"/>
        </w:tabs>
        <w:spacing w:line="360" w:lineRule="auto"/>
        <w:jc w:val="both"/>
        <w:rPr>
          <w:rFonts w:ascii="Palatino Linotype" w:eastAsia="Palatino Linotype" w:hAnsi="Palatino Linotype" w:cs="Palatino Linotype"/>
          <w:b/>
          <w:sz w:val="24"/>
          <w:szCs w:val="24"/>
          <w:u w:val="single"/>
        </w:rPr>
      </w:pPr>
    </w:p>
    <w:p w14:paraId="26393C62" w14:textId="77777777" w:rsidR="00546C2A" w:rsidRPr="00B31836" w:rsidRDefault="00546C2A" w:rsidP="00546C2A">
      <w:pPr>
        <w:keepNext/>
        <w:keepLines/>
        <w:spacing w:line="360" w:lineRule="auto"/>
        <w:jc w:val="center"/>
        <w:rPr>
          <w:rFonts w:ascii="Palatino Linotype" w:eastAsia="Palatino Linotype" w:hAnsi="Palatino Linotype" w:cs="Palatino Linotype"/>
          <w:b/>
          <w:sz w:val="24"/>
          <w:szCs w:val="24"/>
        </w:rPr>
      </w:pPr>
      <w:bookmarkStart w:id="3" w:name="_heading=h.30j0zll" w:colFirst="0" w:colLast="0"/>
      <w:bookmarkEnd w:id="3"/>
      <w:r w:rsidRPr="00B31836">
        <w:rPr>
          <w:rFonts w:ascii="Palatino Linotype" w:eastAsia="Palatino Linotype" w:hAnsi="Palatino Linotype" w:cs="Palatino Linotype"/>
          <w:b/>
          <w:sz w:val="24"/>
          <w:szCs w:val="24"/>
        </w:rPr>
        <w:t xml:space="preserve">CONSIDERANDO </w:t>
      </w:r>
    </w:p>
    <w:p w14:paraId="1B724BBE" w14:textId="77777777" w:rsidR="00546C2A" w:rsidRPr="00B31836" w:rsidRDefault="00546C2A" w:rsidP="00546C2A">
      <w:pPr>
        <w:keepNext/>
        <w:keepLines/>
        <w:spacing w:line="360" w:lineRule="auto"/>
        <w:jc w:val="center"/>
        <w:rPr>
          <w:rFonts w:ascii="Palatino Linotype" w:eastAsia="Palatino Linotype" w:hAnsi="Palatino Linotype" w:cs="Palatino Linotype"/>
          <w:sz w:val="24"/>
          <w:szCs w:val="24"/>
        </w:rPr>
      </w:pPr>
    </w:p>
    <w:p w14:paraId="7CCE3C09" w14:textId="77777777" w:rsidR="00546C2A" w:rsidRPr="00B31836" w:rsidRDefault="00546C2A" w:rsidP="00546C2A">
      <w:pPr>
        <w:spacing w:line="360" w:lineRule="auto"/>
        <w:rPr>
          <w:rFonts w:ascii="Palatino Linotype" w:eastAsia="Palatino Linotype" w:hAnsi="Palatino Linotype" w:cs="Palatino Linotype"/>
          <w:sz w:val="24"/>
          <w:szCs w:val="24"/>
        </w:rPr>
      </w:pPr>
    </w:p>
    <w:p w14:paraId="0EE22D91" w14:textId="77777777" w:rsidR="00546C2A" w:rsidRPr="00B31836" w:rsidRDefault="00546C2A" w:rsidP="00546C2A">
      <w:pPr>
        <w:keepNext/>
        <w:keepLines/>
        <w:spacing w:line="360" w:lineRule="auto"/>
        <w:rPr>
          <w:rFonts w:ascii="Palatino Linotype" w:eastAsia="Palatino Linotype" w:hAnsi="Palatino Linotype" w:cs="Palatino Linotype"/>
          <w:b/>
          <w:sz w:val="24"/>
          <w:szCs w:val="24"/>
        </w:rPr>
      </w:pPr>
      <w:bookmarkStart w:id="4" w:name="_heading=h.1fob9te" w:colFirst="0" w:colLast="0"/>
      <w:bookmarkEnd w:id="4"/>
      <w:r w:rsidRPr="00B31836">
        <w:rPr>
          <w:rFonts w:ascii="Palatino Linotype" w:eastAsia="Palatino Linotype" w:hAnsi="Palatino Linotype" w:cs="Palatino Linotype"/>
          <w:b/>
          <w:sz w:val="24"/>
          <w:szCs w:val="24"/>
        </w:rPr>
        <w:lastRenderedPageBreak/>
        <w:t>PRIMERO. De la competencia</w:t>
      </w:r>
    </w:p>
    <w:p w14:paraId="15FAD6BD" w14:textId="77777777" w:rsidR="00546C2A" w:rsidRPr="00B31836" w:rsidRDefault="00546C2A" w:rsidP="00546C2A">
      <w:pPr>
        <w:rPr>
          <w:rFonts w:ascii="Palatino Linotype" w:eastAsia="Palatino Linotype" w:hAnsi="Palatino Linotype" w:cs="Palatino Linotype"/>
          <w:sz w:val="24"/>
          <w:szCs w:val="24"/>
        </w:rPr>
      </w:pPr>
    </w:p>
    <w:p w14:paraId="530CD9F0" w14:textId="77777777" w:rsidR="00546C2A" w:rsidRPr="00B31836"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color w:val="000000"/>
          <w:sz w:val="24"/>
          <w:szCs w:val="24"/>
        </w:rPr>
      </w:pPr>
      <w:r w:rsidRPr="00B31836">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F11BEC1" w14:textId="77777777" w:rsidR="00546C2A" w:rsidRPr="00B31836" w:rsidRDefault="00546C2A" w:rsidP="00546C2A">
      <w:pPr>
        <w:tabs>
          <w:tab w:val="left" w:pos="426"/>
        </w:tabs>
        <w:spacing w:line="360" w:lineRule="auto"/>
        <w:jc w:val="both"/>
        <w:rPr>
          <w:rFonts w:ascii="Palatino Linotype" w:eastAsia="Palatino Linotype" w:hAnsi="Palatino Linotype" w:cs="Palatino Linotype"/>
          <w:color w:val="000000"/>
          <w:sz w:val="24"/>
          <w:szCs w:val="24"/>
        </w:rPr>
      </w:pPr>
    </w:p>
    <w:p w14:paraId="56CFC189" w14:textId="77777777" w:rsidR="00546C2A" w:rsidRPr="00B31836" w:rsidRDefault="00546C2A" w:rsidP="00546C2A">
      <w:pPr>
        <w:keepNext/>
        <w:keepLines/>
        <w:spacing w:line="360" w:lineRule="auto"/>
        <w:rPr>
          <w:rFonts w:ascii="Palatino Linotype" w:eastAsia="Palatino Linotype" w:hAnsi="Palatino Linotype" w:cs="Palatino Linotype"/>
          <w:b/>
          <w:sz w:val="24"/>
          <w:szCs w:val="24"/>
        </w:rPr>
      </w:pPr>
      <w:bookmarkStart w:id="5" w:name="_heading=h.3znysh7" w:colFirst="0" w:colLast="0"/>
      <w:bookmarkEnd w:id="5"/>
      <w:r w:rsidRPr="00B31836">
        <w:rPr>
          <w:rFonts w:ascii="Palatino Linotype" w:eastAsia="Palatino Linotype" w:hAnsi="Palatino Linotype" w:cs="Palatino Linotype"/>
          <w:b/>
          <w:sz w:val="24"/>
          <w:szCs w:val="24"/>
        </w:rPr>
        <w:t>SEGUNDO. De la oportunidad y procedencia.</w:t>
      </w:r>
    </w:p>
    <w:p w14:paraId="7B409349" w14:textId="77777777" w:rsidR="00546C2A" w:rsidRPr="00B31836" w:rsidRDefault="00546C2A" w:rsidP="00546C2A">
      <w:pPr>
        <w:spacing w:line="360" w:lineRule="auto"/>
        <w:rPr>
          <w:rFonts w:ascii="Palatino Linotype" w:eastAsia="Palatino Linotype" w:hAnsi="Palatino Linotype" w:cs="Palatino Linotype"/>
          <w:sz w:val="24"/>
          <w:szCs w:val="24"/>
        </w:rPr>
      </w:pPr>
    </w:p>
    <w:p w14:paraId="775F54A6" w14:textId="77777777" w:rsidR="00546C2A" w:rsidRPr="00B31836" w:rsidRDefault="00546C2A" w:rsidP="00CF6481">
      <w:pPr>
        <w:numPr>
          <w:ilvl w:val="0"/>
          <w:numId w:val="3"/>
        </w:numPr>
        <w:spacing w:line="360" w:lineRule="auto"/>
        <w:ind w:left="0" w:right="48"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El medio de impugnación fue presentado a través del </w:t>
      </w:r>
      <w:r w:rsidRPr="00B31836">
        <w:rPr>
          <w:rFonts w:ascii="Palatino Linotype" w:eastAsia="Palatino Linotype" w:hAnsi="Palatino Linotype" w:cs="Palatino Linotype"/>
          <w:b/>
          <w:sz w:val="24"/>
          <w:szCs w:val="24"/>
        </w:rPr>
        <w:t>SAIMEX,</w:t>
      </w:r>
      <w:r w:rsidRPr="00B31836">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B31836">
        <w:rPr>
          <w:rFonts w:ascii="Palatino Linotype" w:eastAsia="Palatino Linotype" w:hAnsi="Palatino Linotype" w:cs="Palatino Linotype"/>
          <w:b/>
          <w:sz w:val="24"/>
          <w:szCs w:val="24"/>
        </w:rPr>
        <w:t>SUJETO OBLIGADO</w:t>
      </w:r>
      <w:r w:rsidRPr="00B31836">
        <w:rPr>
          <w:rFonts w:ascii="Palatino Linotype" w:eastAsia="Palatino Linotype" w:hAnsi="Palatino Linotype" w:cs="Palatino Linotype"/>
          <w:sz w:val="24"/>
          <w:szCs w:val="24"/>
        </w:rPr>
        <w:t xml:space="preserve"> entregó respuesta el </w:t>
      </w:r>
      <w:r w:rsidRPr="00B31836">
        <w:rPr>
          <w:rFonts w:ascii="Palatino Linotype" w:eastAsia="Palatino Linotype" w:hAnsi="Palatino Linotype" w:cs="Palatino Linotype"/>
          <w:b/>
          <w:sz w:val="24"/>
          <w:szCs w:val="24"/>
        </w:rPr>
        <w:t>once de junio del dos mil veinticuatro</w:t>
      </w:r>
      <w:r w:rsidRPr="00B31836">
        <w:rPr>
          <w:rFonts w:ascii="Palatino Linotype" w:eastAsia="Palatino Linotype" w:hAnsi="Palatino Linotype" w:cs="Palatino Linotype"/>
          <w:sz w:val="24"/>
          <w:szCs w:val="24"/>
        </w:rPr>
        <w:t xml:space="preserve">, de tal forma que el plazo para interponer el recurso transcurrió del </w:t>
      </w:r>
      <w:r w:rsidRPr="00B31836">
        <w:rPr>
          <w:rFonts w:ascii="Palatino Linotype" w:eastAsia="Palatino Linotype" w:hAnsi="Palatino Linotype" w:cs="Palatino Linotype"/>
          <w:b/>
          <w:sz w:val="24"/>
          <w:szCs w:val="24"/>
        </w:rPr>
        <w:t xml:space="preserve">doce de junio al dos de julio de dos mil veinticuatro, </w:t>
      </w:r>
      <w:r w:rsidRPr="00B31836">
        <w:rPr>
          <w:rFonts w:ascii="Palatino Linotype" w:eastAsia="Palatino Linotype" w:hAnsi="Palatino Linotype" w:cs="Palatino Linotype"/>
          <w:sz w:val="24"/>
          <w:szCs w:val="24"/>
        </w:rPr>
        <w:t xml:space="preserve">en consecuencia, si el </w:t>
      </w:r>
      <w:r w:rsidRPr="00B31836">
        <w:rPr>
          <w:rFonts w:ascii="Palatino Linotype" w:eastAsia="Palatino Linotype" w:hAnsi="Palatino Linotype" w:cs="Palatino Linotype"/>
          <w:b/>
          <w:sz w:val="24"/>
          <w:szCs w:val="24"/>
        </w:rPr>
        <w:t>PARTICULAR</w:t>
      </w:r>
      <w:r w:rsidRPr="00B31836">
        <w:rPr>
          <w:rFonts w:ascii="Palatino Linotype" w:eastAsia="Palatino Linotype" w:hAnsi="Palatino Linotype" w:cs="Palatino Linotype"/>
          <w:sz w:val="24"/>
          <w:szCs w:val="24"/>
        </w:rPr>
        <w:t xml:space="preserve"> presentó su inconformidad el </w:t>
      </w:r>
      <w:r w:rsidRPr="00B31836">
        <w:rPr>
          <w:rFonts w:ascii="Palatino Linotype" w:eastAsia="Palatino Linotype" w:hAnsi="Palatino Linotype" w:cs="Palatino Linotype"/>
          <w:b/>
          <w:sz w:val="24"/>
          <w:szCs w:val="24"/>
        </w:rPr>
        <w:t xml:space="preserve">doce </w:t>
      </w:r>
      <w:r w:rsidRPr="00B31836">
        <w:rPr>
          <w:rFonts w:ascii="Palatino Linotype" w:eastAsia="Palatino Linotype" w:hAnsi="Palatino Linotype" w:cs="Palatino Linotype"/>
          <w:b/>
          <w:sz w:val="24"/>
          <w:szCs w:val="24"/>
        </w:rPr>
        <w:lastRenderedPageBreak/>
        <w:t>de junio de dos mil veinticuatro</w:t>
      </w:r>
      <w:r w:rsidRPr="00B31836">
        <w:rPr>
          <w:rFonts w:ascii="Palatino Linotype" w:eastAsia="Palatino Linotype" w:hAnsi="Palatino Linotype" w:cs="Palatino Linotype"/>
          <w:sz w:val="24"/>
          <w:szCs w:val="24"/>
        </w:rPr>
        <w:t xml:space="preserve">, este  se encuentra dentro de los márgenes temporales previstos en el artículo 178 de la </w:t>
      </w:r>
      <w:r w:rsidRPr="00B31836">
        <w:rPr>
          <w:rFonts w:ascii="Palatino Linotype" w:eastAsia="Palatino Linotype" w:hAnsi="Palatino Linotype" w:cs="Palatino Linotype"/>
          <w:b/>
          <w:sz w:val="24"/>
          <w:szCs w:val="24"/>
        </w:rPr>
        <w:t xml:space="preserve">Ley de Transparencia y Acceso a la Información Pública del Estado de México y Municipios </w:t>
      </w:r>
      <w:r w:rsidRPr="00B31836">
        <w:rPr>
          <w:rFonts w:ascii="Palatino Linotype" w:eastAsia="Palatino Linotype" w:hAnsi="Palatino Linotype" w:cs="Palatino Linotype"/>
          <w:sz w:val="24"/>
          <w:szCs w:val="24"/>
        </w:rPr>
        <w:t xml:space="preserve">vigente. </w:t>
      </w:r>
    </w:p>
    <w:p w14:paraId="1F3F4B55" w14:textId="77777777" w:rsidR="00546C2A" w:rsidRPr="00B31836" w:rsidRDefault="00546C2A" w:rsidP="00546C2A">
      <w:pPr>
        <w:spacing w:line="360" w:lineRule="auto"/>
        <w:ind w:right="49"/>
        <w:jc w:val="both"/>
        <w:rPr>
          <w:rFonts w:ascii="Palatino Linotype" w:eastAsia="Palatino Linotype" w:hAnsi="Palatino Linotype" w:cs="Palatino Linotype"/>
          <w:sz w:val="24"/>
          <w:szCs w:val="24"/>
        </w:rPr>
      </w:pPr>
      <w:bookmarkStart w:id="6" w:name="_heading=h.2et92p0" w:colFirst="0" w:colLast="0"/>
      <w:bookmarkEnd w:id="6"/>
    </w:p>
    <w:p w14:paraId="5A39CC6D" w14:textId="77777777" w:rsidR="00546C2A" w:rsidRPr="00B31836" w:rsidRDefault="00546C2A" w:rsidP="00546C2A">
      <w:pPr>
        <w:pStyle w:val="Ttulo2"/>
        <w:rPr>
          <w:rFonts w:ascii="Palatino Linotype" w:eastAsia="Palatino Linotype" w:hAnsi="Palatino Linotype" w:cs="Palatino Linotype"/>
          <w:b/>
          <w:i/>
          <w:color w:val="000000"/>
          <w:sz w:val="24"/>
          <w:szCs w:val="24"/>
        </w:rPr>
      </w:pPr>
      <w:bookmarkStart w:id="7" w:name="_heading=h.tyjcwt" w:colFirst="0" w:colLast="0"/>
      <w:bookmarkEnd w:id="7"/>
      <w:r w:rsidRPr="00B31836">
        <w:rPr>
          <w:rFonts w:ascii="Palatino Linotype" w:eastAsia="Palatino Linotype" w:hAnsi="Palatino Linotype" w:cs="Palatino Linotype"/>
          <w:b/>
          <w:color w:val="000000"/>
          <w:sz w:val="24"/>
          <w:szCs w:val="24"/>
        </w:rPr>
        <w:t xml:space="preserve">TERCERO. Del planteamiento de la </w:t>
      </w:r>
      <w:r w:rsidRPr="00B31836">
        <w:rPr>
          <w:rFonts w:ascii="Palatino Linotype" w:eastAsia="Palatino Linotype" w:hAnsi="Palatino Linotype" w:cs="Palatino Linotype"/>
          <w:b/>
          <w:i/>
          <w:color w:val="000000"/>
          <w:sz w:val="24"/>
          <w:szCs w:val="24"/>
        </w:rPr>
        <w:t>Litis.</w:t>
      </w:r>
    </w:p>
    <w:p w14:paraId="7664558D" w14:textId="77777777" w:rsidR="00546C2A" w:rsidRPr="00B31836" w:rsidRDefault="00546C2A" w:rsidP="00546C2A">
      <w:pPr>
        <w:spacing w:line="360" w:lineRule="auto"/>
        <w:ind w:right="49"/>
        <w:jc w:val="both"/>
        <w:rPr>
          <w:rFonts w:ascii="Palatino Linotype" w:eastAsia="Palatino Linotype" w:hAnsi="Palatino Linotype" w:cs="Palatino Linotype"/>
          <w:b/>
          <w:sz w:val="24"/>
          <w:szCs w:val="24"/>
        </w:rPr>
      </w:pPr>
    </w:p>
    <w:p w14:paraId="0232E7E8" w14:textId="77777777" w:rsidR="00546C2A" w:rsidRPr="00B31836"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Se solicitó la información que a continuación se desagrega:</w:t>
      </w:r>
    </w:p>
    <w:p w14:paraId="75F74F1F" w14:textId="77777777" w:rsidR="00546C2A" w:rsidRPr="00B31836" w:rsidRDefault="00546C2A" w:rsidP="00546C2A">
      <w:pPr>
        <w:spacing w:line="276" w:lineRule="auto"/>
        <w:ind w:right="680"/>
        <w:rPr>
          <w:rFonts w:ascii="Palatino Linotype" w:eastAsia="Palatino Linotype" w:hAnsi="Palatino Linotype" w:cs="Palatino Linotype"/>
          <w:sz w:val="24"/>
          <w:szCs w:val="24"/>
        </w:rPr>
      </w:pPr>
    </w:p>
    <w:p w14:paraId="2BA36009" w14:textId="77777777" w:rsidR="00546C2A" w:rsidRPr="00B31836" w:rsidRDefault="00546C2A" w:rsidP="00546C2A">
      <w:pPr>
        <w:spacing w:line="276" w:lineRule="auto"/>
        <w:ind w:left="426" w:right="680"/>
        <w:rPr>
          <w:rFonts w:ascii="Palatino Linotype" w:eastAsia="Palatino Linotype" w:hAnsi="Palatino Linotype" w:cs="Palatino Linotype"/>
          <w:i/>
          <w:color w:val="000000"/>
          <w:sz w:val="24"/>
          <w:szCs w:val="24"/>
        </w:rPr>
      </w:pPr>
      <w:r w:rsidRPr="00B31836">
        <w:rPr>
          <w:rFonts w:ascii="Palatino Linotype" w:eastAsia="Palatino Linotype" w:hAnsi="Palatino Linotype" w:cs="Palatino Linotype"/>
          <w:i/>
          <w:color w:val="000000"/>
          <w:sz w:val="24"/>
          <w:szCs w:val="24"/>
        </w:rPr>
        <w:t>“</w:t>
      </w:r>
      <w:proofErr w:type="spellStart"/>
      <w:r w:rsidRPr="00B31836">
        <w:rPr>
          <w:rFonts w:ascii="Palatino Linotype" w:eastAsia="Palatino Linotype" w:hAnsi="Palatino Linotype" w:cs="Palatino Linotype"/>
          <w:i/>
          <w:color w:val="000000"/>
          <w:sz w:val="24"/>
          <w:szCs w:val="24"/>
        </w:rPr>
        <w:t>numero</w:t>
      </w:r>
      <w:proofErr w:type="spellEnd"/>
      <w:r w:rsidRPr="00B31836">
        <w:rPr>
          <w:rFonts w:ascii="Palatino Linotype" w:eastAsia="Palatino Linotype" w:hAnsi="Palatino Linotype" w:cs="Palatino Linotype"/>
          <w:i/>
          <w:color w:val="000000"/>
          <w:sz w:val="24"/>
          <w:szCs w:val="24"/>
        </w:rPr>
        <w:t xml:space="preserve"> de expedientes, quejas y/o denuncias relativos a la actual titular de la unidad de transparencia de </w:t>
      </w:r>
      <w:proofErr w:type="spellStart"/>
      <w:r w:rsidRPr="00B31836">
        <w:rPr>
          <w:rFonts w:ascii="Palatino Linotype" w:eastAsia="Palatino Linotype" w:hAnsi="Palatino Linotype" w:cs="Palatino Linotype"/>
          <w:i/>
          <w:color w:val="000000"/>
          <w:sz w:val="24"/>
          <w:szCs w:val="24"/>
        </w:rPr>
        <w:t>toluca</w:t>
      </w:r>
      <w:proofErr w:type="spellEnd"/>
      <w:r w:rsidRPr="00B31836">
        <w:rPr>
          <w:rFonts w:ascii="Palatino Linotype" w:eastAsia="Palatino Linotype" w:hAnsi="Palatino Linotype" w:cs="Palatino Linotype"/>
          <w:i/>
          <w:color w:val="000000"/>
          <w:sz w:val="24"/>
          <w:szCs w:val="24"/>
        </w:rPr>
        <w:t xml:space="preserve">, norma </w:t>
      </w:r>
      <w:proofErr w:type="spellStart"/>
      <w:r w:rsidRPr="00B31836">
        <w:rPr>
          <w:rFonts w:ascii="Palatino Linotype" w:eastAsia="Palatino Linotype" w:hAnsi="Palatino Linotype" w:cs="Palatino Linotype"/>
          <w:i/>
          <w:color w:val="000000"/>
          <w:sz w:val="24"/>
          <w:szCs w:val="24"/>
        </w:rPr>
        <w:t>sofia</w:t>
      </w:r>
      <w:proofErr w:type="spellEnd"/>
      <w:r w:rsidRPr="00B31836">
        <w:rPr>
          <w:rFonts w:ascii="Palatino Linotype" w:eastAsia="Palatino Linotype" w:hAnsi="Palatino Linotype" w:cs="Palatino Linotype"/>
          <w:i/>
          <w:color w:val="000000"/>
          <w:sz w:val="24"/>
          <w:szCs w:val="24"/>
        </w:rPr>
        <w:t xml:space="preserve"> </w:t>
      </w:r>
      <w:proofErr w:type="spellStart"/>
      <w:r w:rsidRPr="00B31836">
        <w:rPr>
          <w:rFonts w:ascii="Palatino Linotype" w:eastAsia="Palatino Linotype" w:hAnsi="Palatino Linotype" w:cs="Palatino Linotype"/>
          <w:i/>
          <w:color w:val="000000"/>
          <w:sz w:val="24"/>
          <w:szCs w:val="24"/>
        </w:rPr>
        <w:t>perez</w:t>
      </w:r>
      <w:proofErr w:type="spellEnd"/>
      <w:r w:rsidRPr="00B31836">
        <w:rPr>
          <w:rFonts w:ascii="Palatino Linotype" w:eastAsia="Palatino Linotype" w:hAnsi="Palatino Linotype" w:cs="Palatino Linotype"/>
          <w:i/>
          <w:color w:val="000000"/>
          <w:sz w:val="24"/>
          <w:szCs w:val="24"/>
        </w:rPr>
        <w:t xml:space="preserve"> </w:t>
      </w:r>
      <w:proofErr w:type="spellStart"/>
      <w:r w:rsidRPr="00B31836">
        <w:rPr>
          <w:rFonts w:ascii="Palatino Linotype" w:eastAsia="Palatino Linotype" w:hAnsi="Palatino Linotype" w:cs="Palatino Linotype"/>
          <w:i/>
          <w:color w:val="000000"/>
          <w:sz w:val="24"/>
          <w:szCs w:val="24"/>
        </w:rPr>
        <w:t>martinez</w:t>
      </w:r>
      <w:proofErr w:type="spellEnd"/>
      <w:r w:rsidRPr="00B31836">
        <w:rPr>
          <w:rFonts w:ascii="Palatino Linotype" w:eastAsia="Palatino Linotype" w:hAnsi="Palatino Linotype" w:cs="Palatino Linotype"/>
          <w:i/>
          <w:color w:val="000000"/>
          <w:sz w:val="24"/>
          <w:szCs w:val="24"/>
        </w:rPr>
        <w:t>”</w:t>
      </w:r>
    </w:p>
    <w:p w14:paraId="35A808EB" w14:textId="77777777" w:rsidR="00546C2A" w:rsidRPr="00B31836" w:rsidRDefault="00546C2A" w:rsidP="00546C2A">
      <w:pPr>
        <w:spacing w:line="276" w:lineRule="auto"/>
        <w:ind w:right="680"/>
        <w:rPr>
          <w:rFonts w:ascii="Palatino Linotype" w:eastAsia="Palatino Linotype" w:hAnsi="Palatino Linotype" w:cs="Palatino Linotype"/>
          <w:i/>
          <w:sz w:val="24"/>
          <w:szCs w:val="24"/>
        </w:rPr>
      </w:pPr>
    </w:p>
    <w:p w14:paraId="0A6AFC70" w14:textId="77777777" w:rsidR="00546C2A" w:rsidRPr="00B31836"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El </w:t>
      </w:r>
      <w:r w:rsidRPr="00B31836">
        <w:rPr>
          <w:rFonts w:ascii="Palatino Linotype" w:eastAsia="Palatino Linotype" w:hAnsi="Palatino Linotype" w:cs="Palatino Linotype"/>
          <w:b/>
          <w:sz w:val="24"/>
          <w:szCs w:val="24"/>
        </w:rPr>
        <w:t xml:space="preserve">SUJETO OBLIGADO, </w:t>
      </w:r>
      <w:r w:rsidRPr="00B31836">
        <w:rPr>
          <w:rFonts w:ascii="Palatino Linotype" w:eastAsia="Palatino Linotype" w:hAnsi="Palatino Linotype" w:cs="Palatino Linotype"/>
          <w:sz w:val="24"/>
          <w:szCs w:val="24"/>
        </w:rPr>
        <w:t xml:space="preserve">dio respuesta como ya ha quedado referido en el numeral 2 del presente proyecto. </w:t>
      </w:r>
    </w:p>
    <w:p w14:paraId="4562F8BA" w14:textId="77777777" w:rsidR="00546C2A" w:rsidRPr="00B31836" w:rsidRDefault="00546C2A" w:rsidP="00546C2A">
      <w:pPr>
        <w:spacing w:line="360" w:lineRule="auto"/>
        <w:ind w:right="49"/>
        <w:jc w:val="both"/>
        <w:rPr>
          <w:rFonts w:ascii="Palatino Linotype" w:eastAsia="Palatino Linotype" w:hAnsi="Palatino Linotype" w:cs="Palatino Linotype"/>
          <w:sz w:val="24"/>
          <w:szCs w:val="24"/>
        </w:rPr>
      </w:pPr>
    </w:p>
    <w:p w14:paraId="00ECDF93" w14:textId="77777777" w:rsidR="00546C2A" w:rsidRPr="00B31836" w:rsidRDefault="00546C2A" w:rsidP="00CF6481">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sz w:val="24"/>
          <w:szCs w:val="24"/>
        </w:rPr>
        <w:t xml:space="preserve">Inconforme con lo anterior, el ahora </w:t>
      </w:r>
      <w:r w:rsidRPr="00B31836">
        <w:rPr>
          <w:rFonts w:ascii="Palatino Linotype" w:eastAsia="Palatino Linotype" w:hAnsi="Palatino Linotype" w:cs="Palatino Linotype"/>
          <w:b/>
          <w:sz w:val="24"/>
          <w:szCs w:val="24"/>
        </w:rPr>
        <w:t xml:space="preserve">RECURRENTE </w:t>
      </w:r>
      <w:r w:rsidRPr="00B31836">
        <w:rPr>
          <w:rFonts w:ascii="Palatino Linotype" w:eastAsia="Palatino Linotype" w:hAnsi="Palatino Linotype" w:cs="Palatino Linotype"/>
          <w:sz w:val="24"/>
          <w:szCs w:val="24"/>
        </w:rPr>
        <w:t>interpuso Recurso de Revisión arguyendo medularmente que no se le entrego la información completa al no haberse turnado a la Defensoría.</w:t>
      </w:r>
    </w:p>
    <w:p w14:paraId="1A49C260" w14:textId="77777777" w:rsidR="00546C2A" w:rsidRPr="00B31836" w:rsidRDefault="00546C2A" w:rsidP="00546C2A">
      <w:pPr>
        <w:spacing w:line="360" w:lineRule="auto"/>
        <w:ind w:right="49"/>
        <w:jc w:val="both"/>
        <w:rPr>
          <w:rFonts w:ascii="Palatino Linotype" w:eastAsia="Palatino Linotype" w:hAnsi="Palatino Linotype" w:cs="Palatino Linotype"/>
          <w:i/>
          <w:sz w:val="24"/>
          <w:szCs w:val="24"/>
        </w:rPr>
      </w:pPr>
    </w:p>
    <w:p w14:paraId="1AB2AAA8" w14:textId="77777777" w:rsidR="00546C2A" w:rsidRPr="00B31836"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En dichas condiciones, la </w:t>
      </w:r>
      <w:r w:rsidRPr="00B31836">
        <w:rPr>
          <w:rFonts w:ascii="Palatino Linotype" w:eastAsia="Palatino Linotype" w:hAnsi="Palatino Linotype" w:cs="Palatino Linotype"/>
          <w:i/>
          <w:sz w:val="24"/>
          <w:szCs w:val="24"/>
        </w:rPr>
        <w:t>Litis</w:t>
      </w:r>
      <w:r w:rsidRPr="00B31836">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fracción</w:t>
      </w:r>
      <w:r w:rsidRPr="00B31836">
        <w:rPr>
          <w:rFonts w:ascii="Palatino Linotype" w:eastAsia="Palatino Linotype" w:hAnsi="Palatino Linotype" w:cs="Palatino Linotype"/>
          <w:b/>
          <w:sz w:val="24"/>
          <w:szCs w:val="24"/>
        </w:rPr>
        <w:t xml:space="preserve"> V </w:t>
      </w:r>
      <w:r w:rsidRPr="00B31836">
        <w:rPr>
          <w:rFonts w:ascii="Palatino Linotype" w:eastAsia="Palatino Linotype" w:hAnsi="Palatino Linotype" w:cs="Palatino Linotype"/>
          <w:sz w:val="24"/>
          <w:szCs w:val="24"/>
        </w:rPr>
        <w:t xml:space="preserve">de la </w:t>
      </w:r>
      <w:r w:rsidRPr="00B31836">
        <w:rPr>
          <w:rFonts w:ascii="Palatino Linotype" w:eastAsia="Palatino Linotype" w:hAnsi="Palatino Linotype" w:cs="Palatino Linotype"/>
          <w:b/>
          <w:sz w:val="24"/>
          <w:szCs w:val="24"/>
        </w:rPr>
        <w:t>Ley de Transparencia y Acceso a la Información Pública del Estado de México y Municipios</w:t>
      </w:r>
      <w:r w:rsidRPr="00B31836">
        <w:rPr>
          <w:rFonts w:ascii="Palatino Linotype" w:eastAsia="Palatino Linotype" w:hAnsi="Palatino Linotype" w:cs="Palatino Linotype"/>
          <w:sz w:val="24"/>
          <w:szCs w:val="24"/>
        </w:rPr>
        <w:t xml:space="preserve">; </w:t>
      </w:r>
      <w:r w:rsidRPr="00B31836">
        <w:rPr>
          <w:rFonts w:ascii="Palatino Linotype" w:eastAsia="Palatino Linotype" w:hAnsi="Palatino Linotype" w:cs="Palatino Linotype"/>
          <w:color w:val="000000"/>
          <w:sz w:val="24"/>
          <w:szCs w:val="24"/>
        </w:rPr>
        <w:t xml:space="preserve">fracción que determina las hipótesis jurídica relativa la entrega de información incompleta; </w:t>
      </w:r>
      <w:r w:rsidRPr="00B31836">
        <w:rPr>
          <w:rFonts w:ascii="Palatino Linotype" w:eastAsia="Palatino Linotype" w:hAnsi="Palatino Linotype" w:cs="Palatino Linotype"/>
          <w:sz w:val="24"/>
          <w:szCs w:val="24"/>
        </w:rPr>
        <w:t xml:space="preserve">contexto del cual se dolió </w:t>
      </w:r>
      <w:r w:rsidRPr="00B31836">
        <w:rPr>
          <w:rFonts w:ascii="Palatino Linotype" w:eastAsia="Palatino Linotype" w:hAnsi="Palatino Linotype" w:cs="Palatino Linotype"/>
          <w:b/>
          <w:sz w:val="24"/>
          <w:szCs w:val="24"/>
        </w:rPr>
        <w:t xml:space="preserve">EL RECURRENTE </w:t>
      </w:r>
      <w:r w:rsidRPr="00B31836">
        <w:rPr>
          <w:rFonts w:ascii="Palatino Linotype" w:eastAsia="Palatino Linotype" w:hAnsi="Palatino Linotype" w:cs="Palatino Linotype"/>
          <w:sz w:val="24"/>
          <w:szCs w:val="24"/>
        </w:rPr>
        <w:t xml:space="preserve">al momento </w:t>
      </w:r>
      <w:r w:rsidRPr="00B31836">
        <w:rPr>
          <w:rFonts w:ascii="Palatino Linotype" w:eastAsia="Palatino Linotype" w:hAnsi="Palatino Linotype" w:cs="Palatino Linotype"/>
          <w:sz w:val="24"/>
          <w:szCs w:val="24"/>
        </w:rPr>
        <w:lastRenderedPageBreak/>
        <w:t>de interponer su inconformidad.</w:t>
      </w:r>
      <w:r w:rsidRPr="00B31836">
        <w:rPr>
          <w:rFonts w:ascii="Palatino Linotype" w:eastAsia="Palatino Linotype" w:hAnsi="Palatino Linotype" w:cs="Palatino Linotype"/>
          <w:color w:val="000000"/>
          <w:sz w:val="24"/>
          <w:szCs w:val="24"/>
        </w:rPr>
        <w:t xml:space="preserve"> De modo tal que, el presente recurso de revisión se abocara en determinar si el </w:t>
      </w:r>
      <w:r w:rsidRPr="00B31836">
        <w:rPr>
          <w:rFonts w:ascii="Palatino Linotype" w:eastAsia="Palatino Linotype" w:hAnsi="Palatino Linotype" w:cs="Palatino Linotype"/>
          <w:b/>
          <w:color w:val="000000"/>
          <w:sz w:val="24"/>
          <w:szCs w:val="24"/>
        </w:rPr>
        <w:t>SUJETO</w:t>
      </w:r>
      <w:r w:rsidRPr="00B31836">
        <w:rPr>
          <w:rFonts w:ascii="Palatino Linotype" w:eastAsia="Palatino Linotype" w:hAnsi="Palatino Linotype" w:cs="Palatino Linotype"/>
          <w:color w:val="000000"/>
          <w:sz w:val="24"/>
          <w:szCs w:val="24"/>
        </w:rPr>
        <w:t xml:space="preserve"> </w:t>
      </w:r>
      <w:r w:rsidRPr="00B31836">
        <w:rPr>
          <w:rFonts w:ascii="Palatino Linotype" w:eastAsia="Palatino Linotype" w:hAnsi="Palatino Linotype" w:cs="Palatino Linotype"/>
          <w:b/>
          <w:color w:val="000000"/>
          <w:sz w:val="24"/>
          <w:szCs w:val="24"/>
        </w:rPr>
        <w:t>OBLIGADO</w:t>
      </w:r>
      <w:r w:rsidRPr="00B31836">
        <w:rPr>
          <w:rFonts w:ascii="Palatino Linotype" w:eastAsia="Palatino Linotype" w:hAnsi="Palatino Linotype" w:cs="Palatino Linotype"/>
          <w:color w:val="000000"/>
          <w:sz w:val="24"/>
          <w:szCs w:val="24"/>
        </w:rPr>
        <w:t xml:space="preserve"> con su respuesta ciertamente actualiza la causal de procedencia</w:t>
      </w:r>
      <w:r w:rsidRPr="00B31836">
        <w:rPr>
          <w:rFonts w:ascii="Palatino Linotype" w:eastAsia="Palatino Linotype" w:hAnsi="Palatino Linotype" w:cs="Palatino Linotype"/>
          <w:b/>
          <w:color w:val="000000"/>
          <w:sz w:val="24"/>
          <w:szCs w:val="24"/>
        </w:rPr>
        <w:t xml:space="preserve"> </w:t>
      </w:r>
      <w:r w:rsidRPr="00B31836">
        <w:rPr>
          <w:rFonts w:ascii="Palatino Linotype" w:eastAsia="Palatino Linotype" w:hAnsi="Palatino Linotype" w:cs="Palatino Linotype"/>
          <w:color w:val="000000"/>
          <w:sz w:val="24"/>
          <w:szCs w:val="24"/>
        </w:rPr>
        <w:t>antes señalada. Así como comprobar si la respuesta emitida resulta congruente e integral en términos del artículo 11 de la ley de la materia.</w:t>
      </w:r>
    </w:p>
    <w:p w14:paraId="53499C79" w14:textId="77777777" w:rsidR="00546C2A" w:rsidRPr="00B31836" w:rsidRDefault="00546C2A" w:rsidP="00546C2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A04C14F" w14:textId="77777777" w:rsidR="00546C2A" w:rsidRPr="00B31836" w:rsidRDefault="00546C2A" w:rsidP="00546C2A">
      <w:pPr>
        <w:pStyle w:val="Ttulo2"/>
        <w:rPr>
          <w:rFonts w:ascii="Palatino Linotype" w:eastAsia="Palatino Linotype" w:hAnsi="Palatino Linotype" w:cs="Palatino Linotype"/>
          <w:b/>
          <w:color w:val="000000"/>
          <w:sz w:val="24"/>
          <w:szCs w:val="24"/>
        </w:rPr>
      </w:pPr>
      <w:bookmarkStart w:id="8" w:name="_heading=h.3dy6vkm" w:colFirst="0" w:colLast="0"/>
      <w:bookmarkEnd w:id="8"/>
      <w:r w:rsidRPr="00B31836">
        <w:rPr>
          <w:rFonts w:ascii="Palatino Linotype" w:eastAsia="Palatino Linotype" w:hAnsi="Palatino Linotype" w:cs="Palatino Linotype"/>
          <w:b/>
          <w:color w:val="000000"/>
          <w:sz w:val="24"/>
          <w:szCs w:val="24"/>
        </w:rPr>
        <w:t>CUARTO. Del estudio y resolución del asunto.</w:t>
      </w:r>
    </w:p>
    <w:p w14:paraId="3378D2B6" w14:textId="77777777" w:rsidR="00546C2A" w:rsidRPr="00B31836" w:rsidRDefault="00546C2A" w:rsidP="00546C2A">
      <w:pPr>
        <w:spacing w:line="360" w:lineRule="auto"/>
        <w:ind w:right="49"/>
        <w:jc w:val="both"/>
        <w:rPr>
          <w:rFonts w:ascii="Palatino Linotype" w:eastAsia="Palatino Linotype" w:hAnsi="Palatino Linotype" w:cs="Palatino Linotype"/>
          <w:sz w:val="24"/>
          <w:szCs w:val="24"/>
        </w:rPr>
      </w:pPr>
    </w:p>
    <w:p w14:paraId="1AEC5986" w14:textId="019D1F6E" w:rsidR="00D05EEA" w:rsidRPr="00B31836" w:rsidRDefault="00546C2A" w:rsidP="00CF6481">
      <w:pPr>
        <w:numPr>
          <w:ilvl w:val="0"/>
          <w:numId w:val="3"/>
        </w:numPr>
        <w:spacing w:line="360" w:lineRule="auto"/>
        <w:ind w:left="0" w:right="49" w:firstLine="0"/>
        <w:jc w:val="both"/>
        <w:rPr>
          <w:rFonts w:ascii="Palatino Linotype" w:hAnsi="Palatino Linotype"/>
          <w:sz w:val="24"/>
          <w:szCs w:val="24"/>
          <w:lang w:val="es-ES"/>
        </w:rPr>
      </w:pPr>
      <w:r w:rsidRPr="00B31836">
        <w:rPr>
          <w:rFonts w:ascii="Palatino Linotype" w:eastAsia="Palatino Linotype" w:hAnsi="Palatino Linotype" w:cs="Palatino Linotype"/>
          <w:color w:val="000000"/>
          <w:sz w:val="24"/>
          <w:szCs w:val="24"/>
        </w:rPr>
        <w:t xml:space="preserve">Previo al estudio de fondo del asunto que nos ocupa, </w:t>
      </w:r>
      <w:bookmarkStart w:id="9" w:name="_Toc34911390"/>
      <w:bookmarkEnd w:id="0"/>
      <w:r w:rsidR="00EE6511" w:rsidRPr="00B31836">
        <w:rPr>
          <w:rFonts w:ascii="Palatino Linotype" w:eastAsia="Palatino Linotype" w:hAnsi="Palatino Linotype" w:cs="Palatino Linotype"/>
          <w:color w:val="000000"/>
          <w:sz w:val="24"/>
          <w:szCs w:val="24"/>
        </w:rPr>
        <w:t>es</w:t>
      </w:r>
      <w:r w:rsidR="00EE6511" w:rsidRPr="00B31836">
        <w:rPr>
          <w:rFonts w:ascii="Palatino Linotype" w:hAnsi="Palatino Linotype"/>
          <w:sz w:val="24"/>
          <w:szCs w:val="24"/>
          <w:lang w:val="es-ES"/>
        </w:rPr>
        <w:t xml:space="preserve"> </w:t>
      </w:r>
      <w:r w:rsidR="005B056B" w:rsidRPr="00B31836">
        <w:rPr>
          <w:rFonts w:ascii="Palatino Linotype" w:hAnsi="Palatino Linotype"/>
          <w:sz w:val="24"/>
          <w:szCs w:val="24"/>
          <w:lang w:val="es-ES"/>
        </w:rPr>
        <w:t xml:space="preserve">elemental </w:t>
      </w:r>
      <w:r w:rsidR="005B056B" w:rsidRPr="00B31836">
        <w:rPr>
          <w:rFonts w:ascii="Palatino Linotype" w:hAnsi="Palatino Linotype"/>
          <w:sz w:val="24"/>
          <w:szCs w:val="24"/>
          <w:lang w:val="es-ES_tradnl"/>
        </w:rPr>
        <w:t>precisar</w:t>
      </w:r>
      <w:r w:rsidR="005B056B" w:rsidRPr="00B31836">
        <w:rPr>
          <w:rFonts w:ascii="Palatino Linotype" w:hAnsi="Palatino Linotype"/>
          <w:bCs/>
          <w:sz w:val="24"/>
          <w:szCs w:val="24"/>
        </w:rPr>
        <w:t xml:space="preserve"> que </w:t>
      </w:r>
      <w:r w:rsidR="005B056B" w:rsidRPr="00B31836">
        <w:rPr>
          <w:rFonts w:ascii="Palatino Linotype" w:hAnsi="Palatino Linotype"/>
          <w:bCs/>
          <w:sz w:val="24"/>
          <w:szCs w:val="24"/>
          <w:lang w:val="es-ES_tradnl"/>
        </w:rPr>
        <w:t xml:space="preserve">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005B056B" w:rsidRPr="00B31836">
        <w:rPr>
          <w:rFonts w:ascii="Palatino Linotype" w:hAnsi="Palatino Linotype"/>
          <w:b/>
          <w:bCs/>
          <w:sz w:val="24"/>
          <w:szCs w:val="24"/>
          <w:lang w:val="es-ES_tradnl"/>
        </w:rPr>
        <w:t>SUJETO OBLIGADO</w:t>
      </w:r>
      <w:r w:rsidR="005B056B" w:rsidRPr="00B31836">
        <w:rPr>
          <w:rFonts w:ascii="Palatino Linotype" w:hAnsi="Palatino Linotype"/>
          <w:bCs/>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005B056B" w:rsidRPr="00B31836">
        <w:rPr>
          <w:rFonts w:ascii="Palatino Linotype" w:hAnsi="Palatino Linotype"/>
          <w:b/>
          <w:bCs/>
          <w:sz w:val="24"/>
          <w:szCs w:val="24"/>
          <w:lang w:val="es-ES_tradnl"/>
        </w:rPr>
        <w:t xml:space="preserve">Constitución Política de los Estados Unidos Mexicanos </w:t>
      </w:r>
      <w:r w:rsidR="005B056B" w:rsidRPr="00B31836">
        <w:rPr>
          <w:rFonts w:ascii="Palatino Linotype" w:hAnsi="Palatino Linotype"/>
          <w:bCs/>
          <w:sz w:val="24"/>
          <w:szCs w:val="24"/>
          <w:lang w:val="es-ES_tradnl"/>
        </w:rPr>
        <w:t xml:space="preserve">al señalar la obligación de “promover, </w:t>
      </w:r>
      <w:r w:rsidR="005B056B" w:rsidRPr="00B31836">
        <w:rPr>
          <w:rFonts w:ascii="Palatino Linotype" w:hAnsi="Palatino Linotype"/>
          <w:b/>
          <w:bCs/>
          <w:sz w:val="24"/>
          <w:szCs w:val="24"/>
          <w:lang w:val="es-ES_tradnl"/>
        </w:rPr>
        <w:t>respetar</w:t>
      </w:r>
      <w:r w:rsidR="005B056B" w:rsidRPr="00B31836">
        <w:rPr>
          <w:rFonts w:ascii="Palatino Linotype" w:hAnsi="Palatino Linotype"/>
          <w:bCs/>
          <w:sz w:val="24"/>
          <w:szCs w:val="24"/>
          <w:lang w:val="es-ES_tradnl"/>
        </w:rPr>
        <w:t xml:space="preserve">, proteger y </w:t>
      </w:r>
      <w:r w:rsidR="005B056B" w:rsidRPr="00B31836">
        <w:rPr>
          <w:rFonts w:ascii="Palatino Linotype" w:hAnsi="Palatino Linotype"/>
          <w:b/>
          <w:bCs/>
          <w:sz w:val="24"/>
          <w:szCs w:val="24"/>
          <w:lang w:val="es-ES_tradnl"/>
        </w:rPr>
        <w:t>garantizar</w:t>
      </w:r>
      <w:r w:rsidR="005B056B" w:rsidRPr="00B31836">
        <w:rPr>
          <w:rFonts w:ascii="Palatino Linotype" w:hAnsi="Palatino Linotype"/>
          <w:bCs/>
          <w:sz w:val="24"/>
          <w:szCs w:val="24"/>
          <w:lang w:val="es-ES_tradnl"/>
        </w:rPr>
        <w:t xml:space="preserve"> los derechos humanos”, entre los cuales se encuentra dicho derecho.</w:t>
      </w:r>
    </w:p>
    <w:p w14:paraId="1E83ECAD" w14:textId="77777777" w:rsidR="00546C2A" w:rsidRPr="00B31836" w:rsidRDefault="00546C2A" w:rsidP="00546C2A">
      <w:pPr>
        <w:spacing w:line="360" w:lineRule="auto"/>
        <w:ind w:right="49"/>
        <w:jc w:val="both"/>
        <w:rPr>
          <w:rFonts w:ascii="Palatino Linotype" w:eastAsia="MS Mincho" w:hAnsi="Palatino Linotype" w:cs="Arial"/>
          <w:sz w:val="24"/>
          <w:szCs w:val="24"/>
        </w:rPr>
      </w:pPr>
    </w:p>
    <w:p w14:paraId="603F47AB" w14:textId="6BECA182" w:rsidR="00D05EEA" w:rsidRPr="00B31836" w:rsidRDefault="005B056B" w:rsidP="00CF6481">
      <w:pPr>
        <w:numPr>
          <w:ilvl w:val="0"/>
          <w:numId w:val="3"/>
        </w:numPr>
        <w:spacing w:line="360" w:lineRule="auto"/>
        <w:ind w:left="0" w:right="49" w:firstLine="0"/>
        <w:jc w:val="both"/>
        <w:rPr>
          <w:rFonts w:ascii="Palatino Linotype" w:hAnsi="Palatino Linotype"/>
          <w:color w:val="000000" w:themeColor="text1"/>
          <w:sz w:val="24"/>
          <w:szCs w:val="24"/>
        </w:rPr>
      </w:pPr>
      <w:r w:rsidRPr="00B31836">
        <w:rPr>
          <w:rFonts w:ascii="Palatino Linotype" w:eastAsia="MS Mincho" w:hAnsi="Palatino Linotype" w:cs="Arial"/>
          <w:sz w:val="24"/>
          <w:szCs w:val="24"/>
        </w:rPr>
        <w:t xml:space="preserve">Por </w:t>
      </w:r>
      <w:r w:rsidRPr="00B31836">
        <w:rPr>
          <w:rFonts w:ascii="Palatino Linotype" w:hAnsi="Palatino Linotype"/>
          <w:color w:val="000000" w:themeColor="text1"/>
          <w:sz w:val="24"/>
          <w:szCs w:val="24"/>
        </w:rPr>
        <w:t xml:space="preserve">ende, se deduce que el derecho de acceso a la información pública es un derecho humano convencional y constitucionalmente reconocido; en consecuencia, </w:t>
      </w:r>
      <w:r w:rsidRPr="00B31836">
        <w:rPr>
          <w:rFonts w:ascii="Palatino Linotype" w:hAnsi="Palatino Linotype"/>
          <w:color w:val="000000" w:themeColor="text1"/>
          <w:sz w:val="24"/>
          <w:szCs w:val="24"/>
        </w:rPr>
        <w:lastRenderedPageBreak/>
        <w:t>todas las autoridades en el ámbito de sus competencias, funciones y atribuciones tienen la obligación de respetarlo, protegerlo y garantizarlo.</w:t>
      </w:r>
    </w:p>
    <w:p w14:paraId="700C40C2" w14:textId="77777777" w:rsidR="00546C2A" w:rsidRPr="00B31836" w:rsidRDefault="00546C2A" w:rsidP="00546C2A">
      <w:pPr>
        <w:spacing w:line="360" w:lineRule="auto"/>
        <w:ind w:right="49"/>
        <w:jc w:val="both"/>
        <w:rPr>
          <w:rFonts w:ascii="Palatino Linotype" w:hAnsi="Palatino Linotype"/>
          <w:color w:val="000000" w:themeColor="text1"/>
          <w:sz w:val="24"/>
          <w:szCs w:val="24"/>
        </w:rPr>
      </w:pPr>
    </w:p>
    <w:p w14:paraId="6EF5BEB7" w14:textId="1AD323D9" w:rsidR="00D01349" w:rsidRPr="00B31836" w:rsidRDefault="005B056B" w:rsidP="00CF6481">
      <w:pPr>
        <w:numPr>
          <w:ilvl w:val="0"/>
          <w:numId w:val="3"/>
        </w:numPr>
        <w:spacing w:line="360" w:lineRule="auto"/>
        <w:ind w:left="0" w:right="49" w:firstLine="0"/>
        <w:jc w:val="both"/>
        <w:rPr>
          <w:rFonts w:ascii="Palatino Linotype" w:eastAsia="MS Mincho" w:hAnsi="Palatino Linotype" w:cs="Arial"/>
          <w:sz w:val="24"/>
          <w:szCs w:val="24"/>
        </w:rPr>
      </w:pPr>
      <w:r w:rsidRPr="00B31836">
        <w:rPr>
          <w:rFonts w:ascii="Palatino Linotype" w:eastAsia="MS Mincho" w:hAnsi="Palatino Linotype" w:cs="Arial"/>
          <w:sz w:val="24"/>
          <w:szCs w:val="24"/>
        </w:rPr>
        <w:t xml:space="preserve">Así </w:t>
      </w:r>
      <w:r w:rsidRPr="00B31836">
        <w:rPr>
          <w:rFonts w:ascii="Palatino Linotype" w:hAnsi="Palatino Linotype"/>
          <w:sz w:val="24"/>
          <w:szCs w:val="24"/>
          <w:lang w:val="es-ES"/>
        </w:rPr>
        <w:t xml:space="preserve">las cosas, </w:t>
      </w:r>
      <w:r w:rsidRPr="00B31836">
        <w:rPr>
          <w:rFonts w:ascii="Palatino Linotype" w:hAnsi="Palatino Linotype"/>
          <w:color w:val="000000" w:themeColor="text1"/>
          <w:sz w:val="24"/>
          <w:szCs w:val="24"/>
        </w:rPr>
        <w:t xml:space="preserve">podemos definir el Derecho de Acceso a la Información Pública como: </w:t>
      </w:r>
      <w:r w:rsidRPr="00B31836">
        <w:rPr>
          <w:rFonts w:ascii="Palatino Linotype" w:hAnsi="Palatino Linotype"/>
          <w:i/>
          <w:color w:val="000000" w:themeColor="text1"/>
          <w:sz w:val="24"/>
          <w:szCs w:val="24"/>
        </w:rPr>
        <w:t>La igualdad de oportunidades para recibir, buscar e impartir información</w:t>
      </w:r>
      <w:r w:rsidRPr="00B31836">
        <w:rPr>
          <w:rFonts w:ascii="Palatino Linotype" w:hAnsi="Palatino Linotype"/>
          <w:i/>
          <w:color w:val="000000" w:themeColor="text1"/>
          <w:sz w:val="24"/>
          <w:szCs w:val="24"/>
          <w:vertAlign w:val="superscript"/>
        </w:rPr>
        <w:footnoteReference w:id="1"/>
      </w:r>
      <w:r w:rsidRPr="00B31836">
        <w:rPr>
          <w:rFonts w:ascii="Palatino Linotype" w:hAnsi="Palatino Linotype"/>
          <w:i/>
          <w:color w:val="000000" w:themeColor="text1"/>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31836">
        <w:rPr>
          <w:rFonts w:ascii="Palatino Linotype" w:hAnsi="Palatino Linotype"/>
          <w:i/>
          <w:color w:val="000000" w:themeColor="text1"/>
          <w:sz w:val="24"/>
          <w:szCs w:val="24"/>
          <w:vertAlign w:val="superscript"/>
        </w:rPr>
        <w:footnoteReference w:id="2"/>
      </w:r>
      <w:r w:rsidRPr="00B31836">
        <w:rPr>
          <w:rFonts w:ascii="Palatino Linotype" w:hAnsi="Palatino Linotype"/>
          <w:color w:val="000000" w:themeColor="text1"/>
          <w:sz w:val="24"/>
          <w:szCs w:val="24"/>
        </w:rPr>
        <w:t>que se constituye como una herramienta fundamental para ejercer</w:t>
      </w:r>
      <w:r w:rsidRPr="00B31836">
        <w:rPr>
          <w:rFonts w:ascii="Palatino Linotype" w:hAnsi="Palatino Linotype"/>
          <w:i/>
          <w:color w:val="000000" w:themeColor="text1"/>
          <w:sz w:val="24"/>
          <w:szCs w:val="24"/>
        </w:rPr>
        <w:t xml:space="preserve"> el control democrático de las gestiones estatales, de forma tal que puedan cuestionar, indagar y considerar si se está dando un adecuado cumplimiento a las funciones públicas,</w:t>
      </w:r>
      <w:r w:rsidRPr="00B31836">
        <w:rPr>
          <w:rFonts w:ascii="Palatino Linotype" w:hAnsi="Palatino Linotype"/>
          <w:i/>
          <w:color w:val="000000" w:themeColor="text1"/>
          <w:sz w:val="24"/>
          <w:szCs w:val="24"/>
          <w:vertAlign w:val="superscript"/>
        </w:rPr>
        <w:footnoteReference w:id="3"/>
      </w:r>
      <w:r w:rsidRPr="00B31836">
        <w:rPr>
          <w:rFonts w:ascii="Palatino Linotype" w:hAnsi="Palatino Linotype"/>
          <w:i/>
          <w:color w:val="000000" w:themeColor="text1"/>
          <w:sz w:val="24"/>
          <w:szCs w:val="24"/>
        </w:rPr>
        <w:t xml:space="preserve"> </w:t>
      </w:r>
      <w:r w:rsidRPr="00B31836">
        <w:rPr>
          <w:rFonts w:ascii="Palatino Linotype" w:hAnsi="Palatino Linotype"/>
          <w:color w:val="000000" w:themeColor="text1"/>
          <w:sz w:val="24"/>
          <w:szCs w:val="24"/>
        </w:rPr>
        <w:t>fomentando</w:t>
      </w:r>
      <w:r w:rsidRPr="00B31836">
        <w:rPr>
          <w:rFonts w:ascii="Palatino Linotype" w:hAnsi="Palatino Linotype"/>
          <w:i/>
          <w:color w:val="000000" w:themeColor="text1"/>
          <w:sz w:val="24"/>
          <w:szCs w:val="24"/>
        </w:rPr>
        <w:t xml:space="preserve"> la transparencia de las actividades estatales y </w:t>
      </w:r>
      <w:r w:rsidRPr="00B31836">
        <w:rPr>
          <w:rFonts w:ascii="Palatino Linotype" w:hAnsi="Palatino Linotype"/>
          <w:color w:val="000000" w:themeColor="text1"/>
          <w:sz w:val="24"/>
          <w:szCs w:val="24"/>
        </w:rPr>
        <w:t>promoviendo</w:t>
      </w:r>
      <w:r w:rsidRPr="00B31836">
        <w:rPr>
          <w:rFonts w:ascii="Palatino Linotype" w:hAnsi="Palatino Linotype"/>
          <w:i/>
          <w:color w:val="000000" w:themeColor="text1"/>
          <w:sz w:val="24"/>
          <w:szCs w:val="24"/>
        </w:rPr>
        <w:t xml:space="preserve"> la responsabilidad de los funcionarios sobre su gestión pública,</w:t>
      </w:r>
      <w:r w:rsidRPr="00B31836">
        <w:rPr>
          <w:rFonts w:ascii="Palatino Linotype" w:hAnsi="Palatino Linotype"/>
          <w:i/>
          <w:color w:val="000000" w:themeColor="text1"/>
          <w:sz w:val="24"/>
          <w:szCs w:val="24"/>
          <w:vertAlign w:val="superscript"/>
        </w:rPr>
        <w:footnoteReference w:id="4"/>
      </w:r>
      <w:r w:rsidRPr="00B31836">
        <w:rPr>
          <w:rFonts w:ascii="Palatino Linotype" w:hAnsi="Palatino Linotype"/>
          <w:color w:val="000000" w:themeColor="text1"/>
          <w:sz w:val="24"/>
          <w:szCs w:val="24"/>
        </w:rPr>
        <w:t>que permite</w:t>
      </w:r>
      <w:r w:rsidRPr="00B31836">
        <w:rPr>
          <w:rFonts w:ascii="Palatino Linotype" w:hAnsi="Palatino Linotype"/>
          <w:i/>
          <w:color w:val="000000" w:themeColor="text1"/>
          <w:sz w:val="24"/>
          <w:szCs w:val="24"/>
        </w:rPr>
        <w:t xml:space="preserve"> saber qué están haciendo los gobiernos por sus pueblos, sin lo cual la verdad languidecería y la participación en el gobierno permanecería fragmentada.</w:t>
      </w:r>
    </w:p>
    <w:p w14:paraId="3113063D" w14:textId="77777777" w:rsidR="005B056B" w:rsidRPr="00B31836" w:rsidRDefault="005B056B" w:rsidP="005B056B">
      <w:pPr>
        <w:spacing w:line="360" w:lineRule="auto"/>
        <w:ind w:right="34"/>
        <w:contextualSpacing/>
        <w:jc w:val="both"/>
        <w:rPr>
          <w:rFonts w:ascii="Palatino Linotype" w:eastAsia="MS Mincho" w:hAnsi="Palatino Linotype" w:cs="Arial"/>
          <w:sz w:val="24"/>
          <w:szCs w:val="24"/>
        </w:rPr>
      </w:pPr>
    </w:p>
    <w:p w14:paraId="6061BA9F" w14:textId="77777777" w:rsidR="00546C2A" w:rsidRPr="00B31836" w:rsidRDefault="005B056B" w:rsidP="00CF6481">
      <w:pPr>
        <w:numPr>
          <w:ilvl w:val="0"/>
          <w:numId w:val="3"/>
        </w:numPr>
        <w:spacing w:line="360" w:lineRule="auto"/>
        <w:ind w:left="0" w:right="49" w:firstLine="0"/>
        <w:jc w:val="both"/>
        <w:rPr>
          <w:rFonts w:ascii="Palatino Linotype" w:eastAsia="MS Mincho" w:hAnsi="Palatino Linotype" w:cs="Arial"/>
          <w:sz w:val="24"/>
          <w:szCs w:val="24"/>
        </w:rPr>
      </w:pPr>
      <w:r w:rsidRPr="00B31836">
        <w:rPr>
          <w:rFonts w:ascii="Palatino Linotype" w:eastAsia="MS Mincho" w:hAnsi="Palatino Linotype" w:cs="Arial"/>
          <w:sz w:val="24"/>
          <w:szCs w:val="24"/>
        </w:rPr>
        <w:t xml:space="preserve">Por </w:t>
      </w:r>
      <w:r w:rsidRPr="00B31836">
        <w:rPr>
          <w:rFonts w:ascii="Palatino Linotype" w:hAnsi="Palatino Linotype"/>
          <w:color w:val="000000" w:themeColor="text1"/>
          <w:sz w:val="24"/>
          <w:szCs w:val="24"/>
        </w:rPr>
        <w:t xml:space="preserve">otro lado, la Ley de Transparencia y Acceso a la Información Pública del Estado de México y Municipios, cuyo objeto es establecer principios, bases generales </w:t>
      </w:r>
      <w:r w:rsidRPr="00B31836">
        <w:rPr>
          <w:rFonts w:ascii="Palatino Linotype" w:hAnsi="Palatino Linotype"/>
          <w:color w:val="000000" w:themeColor="text1"/>
          <w:sz w:val="24"/>
          <w:szCs w:val="24"/>
        </w:rPr>
        <w:lastRenderedPageBreak/>
        <w:t xml:space="preserve">y procedimientos para tutelar y garantizar la transparencia y el derecho humano de acceso a la información pública en posesión de los sujetos obligados; en su artículo 176, establece que </w:t>
      </w:r>
      <w:r w:rsidRPr="00B31836">
        <w:rPr>
          <w:rFonts w:ascii="Palatino Linotype" w:hAnsi="Palatino Linotype"/>
          <w:b/>
          <w:color w:val="000000" w:themeColor="text1"/>
          <w:sz w:val="24"/>
          <w:szCs w:val="24"/>
        </w:rPr>
        <w:t>el recurso de revisión es la garantía secundaria mediante la cual se pretende reparar cualquier posible afectación al derecho de acceso a la información pública</w:t>
      </w:r>
      <w:r w:rsidRPr="00B31836">
        <w:rPr>
          <w:rFonts w:ascii="Palatino Linotype" w:hAnsi="Palatino Linotype"/>
          <w:color w:val="000000" w:themeColor="text1"/>
          <w:sz w:val="24"/>
          <w:szCs w:val="24"/>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05F4BD4C" w14:textId="77777777" w:rsidR="00546C2A" w:rsidRPr="00B31836" w:rsidRDefault="00546C2A" w:rsidP="00546C2A">
      <w:pPr>
        <w:spacing w:line="360" w:lineRule="auto"/>
        <w:ind w:right="49"/>
        <w:jc w:val="both"/>
        <w:rPr>
          <w:rFonts w:ascii="Palatino Linotype" w:eastAsia="MS Mincho" w:hAnsi="Palatino Linotype" w:cs="Arial"/>
          <w:sz w:val="24"/>
          <w:szCs w:val="24"/>
        </w:rPr>
      </w:pPr>
    </w:p>
    <w:p w14:paraId="12EA060A" w14:textId="1D213E7A" w:rsidR="00546C2A" w:rsidRPr="00B31836" w:rsidRDefault="001007D9"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B31836">
        <w:rPr>
          <w:rFonts w:ascii="Palatino Linotype" w:hAnsi="Palatino Linotype"/>
          <w:bCs/>
          <w:sz w:val="24"/>
          <w:szCs w:val="24"/>
        </w:rPr>
        <w:t xml:space="preserve">Dicho lo anterior, este Órgano </w:t>
      </w:r>
      <w:proofErr w:type="spellStart"/>
      <w:r w:rsidRPr="00B31836">
        <w:rPr>
          <w:rFonts w:ascii="Palatino Linotype" w:hAnsi="Palatino Linotype"/>
          <w:bCs/>
          <w:sz w:val="24"/>
          <w:szCs w:val="24"/>
        </w:rPr>
        <w:t>Resolutor</w:t>
      </w:r>
      <w:proofErr w:type="spellEnd"/>
      <w:r w:rsidRPr="00B31836">
        <w:rPr>
          <w:rFonts w:ascii="Palatino Linotype" w:hAnsi="Palatino Linotype"/>
          <w:bCs/>
          <w:sz w:val="24"/>
          <w:szCs w:val="24"/>
        </w:rPr>
        <w:t xml:space="preserve"> se avocara a realizar el estudio en conjunto de todas las constancias que obran en el SAIMEX, con la finalidad de colegir si con la respuesta proporcionada por el </w:t>
      </w:r>
      <w:r w:rsidRPr="00B31836">
        <w:rPr>
          <w:rFonts w:ascii="Palatino Linotype" w:hAnsi="Palatino Linotype"/>
          <w:b/>
          <w:bCs/>
          <w:sz w:val="24"/>
          <w:szCs w:val="24"/>
        </w:rPr>
        <w:t xml:space="preserve">SUJETO OBLIGADO, </w:t>
      </w:r>
      <w:r w:rsidRPr="00B31836">
        <w:rPr>
          <w:rFonts w:ascii="Palatino Linotype" w:hAnsi="Palatino Linotype"/>
          <w:bCs/>
          <w:sz w:val="24"/>
          <w:szCs w:val="24"/>
        </w:rPr>
        <w:t>se colma en su totalidad la solicitud de información</w:t>
      </w:r>
      <w:r w:rsidRPr="00B31836">
        <w:rPr>
          <w:rFonts w:ascii="Palatino Linotype" w:hAnsi="Palatino Linotype"/>
          <w:b/>
          <w:bCs/>
          <w:color w:val="FF0000"/>
          <w:sz w:val="24"/>
          <w:szCs w:val="24"/>
        </w:rPr>
        <w:t xml:space="preserve"> </w:t>
      </w:r>
      <w:r w:rsidR="00EE6511" w:rsidRPr="00B31836">
        <w:rPr>
          <w:rFonts w:ascii="Palatino Linotype" w:hAnsi="Palatino Linotype"/>
          <w:b/>
          <w:bCs/>
          <w:sz w:val="24"/>
          <w:szCs w:val="24"/>
        </w:rPr>
        <w:t>01217/TOLUCA/IP/2024</w:t>
      </w:r>
      <w:r w:rsidR="00546C2A" w:rsidRPr="00B31836">
        <w:rPr>
          <w:rFonts w:ascii="Palatino Linotype" w:hAnsi="Palatino Linotype"/>
          <w:b/>
          <w:bCs/>
          <w:sz w:val="24"/>
          <w:szCs w:val="24"/>
        </w:rPr>
        <w:t>.</w:t>
      </w:r>
    </w:p>
    <w:p w14:paraId="3B5A579A" w14:textId="77777777" w:rsidR="00EE6511" w:rsidRPr="00B31836" w:rsidRDefault="00EE6511" w:rsidP="00EE6511">
      <w:pPr>
        <w:spacing w:line="360" w:lineRule="auto"/>
        <w:ind w:right="49"/>
        <w:jc w:val="both"/>
        <w:rPr>
          <w:rFonts w:ascii="Palatino Linotype" w:eastAsia="Palatino Linotype" w:hAnsi="Palatino Linotype" w:cs="Palatino Linotype"/>
          <w:sz w:val="24"/>
          <w:szCs w:val="24"/>
        </w:rPr>
      </w:pPr>
    </w:p>
    <w:p w14:paraId="1F66871E" w14:textId="1C006680" w:rsidR="00EE6511" w:rsidRPr="00B31836" w:rsidRDefault="00EE6511"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Ahora bien, por lo que respecta a la fuente obligacional </w:t>
      </w:r>
      <w:r w:rsidR="001702A8" w:rsidRPr="00B31836">
        <w:rPr>
          <w:rFonts w:ascii="Palatino Linotype" w:eastAsia="Palatino Linotype" w:hAnsi="Palatino Linotype" w:cs="Palatino Linotype"/>
          <w:sz w:val="24"/>
          <w:szCs w:val="24"/>
        </w:rPr>
        <w:t>del</w:t>
      </w:r>
      <w:r w:rsidR="001702A8" w:rsidRPr="00B31836">
        <w:rPr>
          <w:rFonts w:ascii="Palatino Linotype" w:eastAsia="Palatino Linotype" w:hAnsi="Palatino Linotype" w:cs="Palatino Linotype"/>
          <w:b/>
          <w:sz w:val="24"/>
          <w:szCs w:val="24"/>
        </w:rPr>
        <w:t xml:space="preserve"> SUJETO OBLIGADO, </w:t>
      </w:r>
      <w:r w:rsidR="001702A8" w:rsidRPr="00B31836">
        <w:rPr>
          <w:rFonts w:ascii="Palatino Linotype" w:eastAsia="Palatino Linotype" w:hAnsi="Palatino Linotype" w:cs="Palatino Linotype"/>
          <w:sz w:val="24"/>
          <w:szCs w:val="24"/>
        </w:rPr>
        <w:t xml:space="preserve">el </w:t>
      </w:r>
      <w:r w:rsidR="00345EF4" w:rsidRPr="00B31836">
        <w:rPr>
          <w:rFonts w:ascii="Palatino Linotype" w:eastAsia="Palatino Linotype" w:hAnsi="Palatino Linotype" w:cs="Palatino Linotype"/>
          <w:sz w:val="24"/>
          <w:szCs w:val="24"/>
        </w:rPr>
        <w:t>Código Reglamentario</w:t>
      </w:r>
      <w:r w:rsidR="001702A8" w:rsidRPr="00B31836">
        <w:rPr>
          <w:rFonts w:ascii="Palatino Linotype" w:eastAsia="Palatino Linotype" w:hAnsi="Palatino Linotype" w:cs="Palatino Linotype"/>
          <w:sz w:val="24"/>
          <w:szCs w:val="24"/>
        </w:rPr>
        <w:t xml:space="preserve"> refiere lo siguiente:</w:t>
      </w:r>
    </w:p>
    <w:p w14:paraId="3A37AC41" w14:textId="77777777" w:rsidR="001702A8" w:rsidRPr="00B31836" w:rsidRDefault="001702A8" w:rsidP="001702A8">
      <w:pPr>
        <w:spacing w:line="360" w:lineRule="auto"/>
        <w:ind w:right="49"/>
        <w:jc w:val="both"/>
        <w:rPr>
          <w:rFonts w:ascii="Palatino Linotype" w:eastAsia="Palatino Linotype" w:hAnsi="Palatino Linotype" w:cs="Palatino Linotype"/>
          <w:sz w:val="24"/>
          <w:szCs w:val="24"/>
        </w:rPr>
      </w:pPr>
    </w:p>
    <w:p w14:paraId="047E1889"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b/>
          <w:i/>
          <w:sz w:val="24"/>
          <w:szCs w:val="24"/>
        </w:rPr>
        <w:t>Artículo 3.2.</w:t>
      </w:r>
      <w:r w:rsidRPr="00B31836">
        <w:rPr>
          <w:rFonts w:ascii="Palatino Linotype" w:eastAsia="Palatino Linotype" w:hAnsi="Palatino Linotype" w:cs="Palatino Linotype"/>
          <w:i/>
          <w:sz w:val="24"/>
          <w:szCs w:val="24"/>
        </w:rPr>
        <w:t xml:space="preserve"> 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auxiliará de la Secretaría del Ayuntamiento y de las siguientes: </w:t>
      </w:r>
    </w:p>
    <w:p w14:paraId="6C55C18A" w14:textId="77777777" w:rsidR="001702A8" w:rsidRPr="00B31836" w:rsidRDefault="001702A8" w:rsidP="001702A8">
      <w:pPr>
        <w:spacing w:line="276" w:lineRule="auto"/>
        <w:ind w:left="567" w:right="397"/>
        <w:jc w:val="both"/>
        <w:rPr>
          <w:rFonts w:ascii="Palatino Linotype" w:eastAsia="Palatino Linotype" w:hAnsi="Palatino Linotype" w:cs="Palatino Linotype"/>
          <w:b/>
          <w:i/>
          <w:sz w:val="24"/>
          <w:szCs w:val="24"/>
        </w:rPr>
      </w:pPr>
    </w:p>
    <w:p w14:paraId="30EEB190" w14:textId="77777777" w:rsidR="001702A8" w:rsidRPr="00B31836" w:rsidRDefault="001702A8" w:rsidP="001702A8">
      <w:pPr>
        <w:spacing w:line="276" w:lineRule="auto"/>
        <w:ind w:left="567" w:right="397"/>
        <w:jc w:val="both"/>
        <w:rPr>
          <w:rFonts w:ascii="Palatino Linotype" w:eastAsia="Palatino Linotype" w:hAnsi="Palatino Linotype" w:cs="Palatino Linotype"/>
          <w:b/>
          <w:i/>
          <w:sz w:val="24"/>
          <w:szCs w:val="24"/>
        </w:rPr>
      </w:pPr>
      <w:r w:rsidRPr="00B31836">
        <w:rPr>
          <w:rFonts w:ascii="Palatino Linotype" w:eastAsia="Palatino Linotype" w:hAnsi="Palatino Linotype" w:cs="Palatino Linotype"/>
          <w:b/>
          <w:i/>
          <w:sz w:val="24"/>
          <w:szCs w:val="24"/>
        </w:rPr>
        <w:t>I. DEPENDENCIAS:</w:t>
      </w:r>
    </w:p>
    <w:p w14:paraId="7B53CA39"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1. Tesorería Municipal; </w:t>
      </w:r>
    </w:p>
    <w:p w14:paraId="6802D32D" w14:textId="5881EF4E"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u w:val="single"/>
        </w:rPr>
      </w:pPr>
      <w:r w:rsidRPr="00B31836">
        <w:rPr>
          <w:rFonts w:ascii="Palatino Linotype" w:eastAsia="Palatino Linotype" w:hAnsi="Palatino Linotype" w:cs="Palatino Linotype"/>
          <w:i/>
          <w:sz w:val="24"/>
          <w:szCs w:val="24"/>
          <w:u w:val="single"/>
        </w:rPr>
        <w:t xml:space="preserve">2. Contraloría; </w:t>
      </w:r>
    </w:p>
    <w:p w14:paraId="771D4009"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3. Dirección General de Gobierno;</w:t>
      </w:r>
    </w:p>
    <w:p w14:paraId="58EA17FB" w14:textId="3668D7CE"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4. Dirección General de Seguridad y Protección;</w:t>
      </w:r>
    </w:p>
    <w:p w14:paraId="6FED7B40"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5. Dirección General de Administración;</w:t>
      </w:r>
    </w:p>
    <w:p w14:paraId="0BC67442"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6. Dirección General de Medio Ambiente; </w:t>
      </w:r>
    </w:p>
    <w:p w14:paraId="19A85488"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7. Dirección General de Servicios Públicos;</w:t>
      </w:r>
    </w:p>
    <w:p w14:paraId="7A669915"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 8. Dirección General de Desarrollo Urbano, Ordenamiento Territorial y Obras Públicas; </w:t>
      </w:r>
    </w:p>
    <w:p w14:paraId="573EE15D"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9. Dirección General de Desarrollo Económico; y </w:t>
      </w:r>
    </w:p>
    <w:p w14:paraId="385FA33D"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10. Dirección General de Desarrollo Social.</w:t>
      </w:r>
    </w:p>
    <w:p w14:paraId="3031FDED"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p>
    <w:p w14:paraId="08E72D64"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 II. ÓRGANO DESCONCENTRADO </w:t>
      </w:r>
    </w:p>
    <w:p w14:paraId="4C0F6298"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1. Unidad de Asuntos Internos. </w:t>
      </w:r>
    </w:p>
    <w:p w14:paraId="7470E7CE"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p>
    <w:p w14:paraId="2A79C219"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III. ORGANISMOS DESCENTRALIZADOS: </w:t>
      </w:r>
    </w:p>
    <w:p w14:paraId="5FEE982F"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1. El Sistema Municipal para el Desarrollo Integral de la Familia de Toluca; </w:t>
      </w:r>
    </w:p>
    <w:p w14:paraId="48FF69F3"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2. El Instituto Municipal de Cultura Física y Deporte de Toluca; </w:t>
      </w:r>
    </w:p>
    <w:p w14:paraId="06E095C3" w14:textId="77777777" w:rsidR="001702A8" w:rsidRPr="00B31836" w:rsidRDefault="001702A8"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3. El Organismo de Agua y Saneamiento de Toluca; y 4. El Instituto Municipal de la Mujer de Toluca. </w:t>
      </w:r>
    </w:p>
    <w:p w14:paraId="0F2DCB12" w14:textId="77777777" w:rsidR="001702A8" w:rsidRPr="00B31836" w:rsidRDefault="001702A8" w:rsidP="001702A8">
      <w:pPr>
        <w:spacing w:line="276" w:lineRule="auto"/>
        <w:ind w:left="567" w:right="397"/>
        <w:jc w:val="both"/>
        <w:rPr>
          <w:rFonts w:ascii="Palatino Linotype" w:eastAsia="Palatino Linotype" w:hAnsi="Palatino Linotype" w:cs="Palatino Linotype"/>
          <w:b/>
          <w:i/>
          <w:sz w:val="24"/>
          <w:szCs w:val="24"/>
        </w:rPr>
      </w:pPr>
    </w:p>
    <w:p w14:paraId="6AD4271C" w14:textId="77777777" w:rsidR="001702A8" w:rsidRPr="00B31836" w:rsidRDefault="001702A8" w:rsidP="001702A8">
      <w:pPr>
        <w:spacing w:line="276" w:lineRule="auto"/>
        <w:ind w:left="567" w:right="397"/>
        <w:jc w:val="both"/>
        <w:rPr>
          <w:rFonts w:ascii="Palatino Linotype" w:eastAsia="Palatino Linotype" w:hAnsi="Palatino Linotype" w:cs="Palatino Linotype"/>
          <w:b/>
          <w:i/>
          <w:sz w:val="24"/>
          <w:szCs w:val="24"/>
        </w:rPr>
      </w:pPr>
      <w:r w:rsidRPr="00B31836">
        <w:rPr>
          <w:rFonts w:ascii="Palatino Linotype" w:eastAsia="Palatino Linotype" w:hAnsi="Palatino Linotype" w:cs="Palatino Linotype"/>
          <w:b/>
          <w:i/>
          <w:sz w:val="24"/>
          <w:szCs w:val="24"/>
        </w:rPr>
        <w:t>IV. ÓRGANO AUTÓNOMO:</w:t>
      </w:r>
    </w:p>
    <w:p w14:paraId="2908D208" w14:textId="1769261B" w:rsidR="00546C2A" w:rsidRPr="00B31836" w:rsidRDefault="001702A8" w:rsidP="001702A8">
      <w:pPr>
        <w:spacing w:line="276" w:lineRule="auto"/>
        <w:ind w:left="567" w:right="397"/>
        <w:jc w:val="both"/>
        <w:rPr>
          <w:rFonts w:ascii="Palatino Linotype" w:eastAsia="Palatino Linotype" w:hAnsi="Palatino Linotype" w:cs="Palatino Linotype"/>
          <w:i/>
          <w:sz w:val="24"/>
          <w:szCs w:val="24"/>
          <w:u w:val="single"/>
        </w:rPr>
      </w:pPr>
      <w:r w:rsidRPr="00B31836">
        <w:rPr>
          <w:rFonts w:ascii="Palatino Linotype" w:eastAsia="Palatino Linotype" w:hAnsi="Palatino Linotype" w:cs="Palatino Linotype"/>
          <w:i/>
          <w:sz w:val="24"/>
          <w:szCs w:val="24"/>
          <w:u w:val="single"/>
        </w:rPr>
        <w:t>1. Defensoría Municipal de los Derechos Humanos de Toluca.</w:t>
      </w:r>
    </w:p>
    <w:p w14:paraId="52AA5419" w14:textId="77777777" w:rsidR="00513DF5" w:rsidRPr="00B31836" w:rsidRDefault="00513DF5" w:rsidP="001702A8">
      <w:pPr>
        <w:spacing w:line="276" w:lineRule="auto"/>
        <w:ind w:left="567" w:right="397"/>
        <w:jc w:val="both"/>
        <w:rPr>
          <w:rFonts w:ascii="Palatino Linotype" w:eastAsia="Palatino Linotype" w:hAnsi="Palatino Linotype" w:cs="Palatino Linotype"/>
          <w:i/>
          <w:sz w:val="24"/>
          <w:szCs w:val="24"/>
          <w:u w:val="single"/>
        </w:rPr>
      </w:pPr>
    </w:p>
    <w:p w14:paraId="1A4D7687" w14:textId="19C475B9" w:rsidR="002C3951" w:rsidRPr="00B31836" w:rsidRDefault="00513DF5" w:rsidP="002C3951">
      <w:pPr>
        <w:spacing w:line="276" w:lineRule="auto"/>
        <w:ind w:left="567" w:right="397"/>
        <w:jc w:val="center"/>
        <w:rPr>
          <w:rFonts w:ascii="Palatino Linotype" w:eastAsia="Palatino Linotype" w:hAnsi="Palatino Linotype" w:cs="Palatino Linotype"/>
          <w:b/>
          <w:i/>
          <w:sz w:val="24"/>
          <w:szCs w:val="24"/>
        </w:rPr>
      </w:pPr>
      <w:r w:rsidRPr="00B31836">
        <w:rPr>
          <w:rFonts w:ascii="Palatino Linotype" w:eastAsia="Palatino Linotype" w:hAnsi="Palatino Linotype" w:cs="Palatino Linotype"/>
          <w:b/>
          <w:i/>
          <w:sz w:val="24"/>
          <w:szCs w:val="24"/>
        </w:rPr>
        <w:t>SECCIÓN QUINTA</w:t>
      </w:r>
    </w:p>
    <w:p w14:paraId="3E1810EC" w14:textId="77777777" w:rsidR="002C3951" w:rsidRPr="00B31836" w:rsidRDefault="00513DF5" w:rsidP="002C3951">
      <w:pPr>
        <w:spacing w:line="276" w:lineRule="auto"/>
        <w:ind w:left="567" w:right="397"/>
        <w:jc w:val="center"/>
        <w:rPr>
          <w:rFonts w:ascii="Palatino Linotype" w:eastAsia="Palatino Linotype" w:hAnsi="Palatino Linotype" w:cs="Palatino Linotype"/>
          <w:b/>
          <w:i/>
          <w:sz w:val="24"/>
          <w:szCs w:val="24"/>
        </w:rPr>
      </w:pPr>
      <w:r w:rsidRPr="00B31836">
        <w:rPr>
          <w:rFonts w:ascii="Palatino Linotype" w:eastAsia="Palatino Linotype" w:hAnsi="Palatino Linotype" w:cs="Palatino Linotype"/>
          <w:b/>
          <w:i/>
          <w:sz w:val="24"/>
          <w:szCs w:val="24"/>
        </w:rPr>
        <w:t>DE LA CONTRALORÍA</w:t>
      </w:r>
    </w:p>
    <w:p w14:paraId="6B691820" w14:textId="3C4E0FE4" w:rsidR="00513DF5" w:rsidRPr="00B31836" w:rsidRDefault="00513DF5"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b/>
          <w:i/>
          <w:sz w:val="24"/>
          <w:szCs w:val="24"/>
        </w:rPr>
        <w:lastRenderedPageBreak/>
        <w:t xml:space="preserve"> Artículo 3.25</w:t>
      </w:r>
      <w:r w:rsidRPr="00B31836">
        <w:rPr>
          <w:rFonts w:ascii="Palatino Linotype" w:eastAsia="Palatino Linotype" w:hAnsi="Palatino Linotype" w:cs="Palatino Linotype"/>
          <w:i/>
          <w:sz w:val="24"/>
          <w:szCs w:val="24"/>
        </w:rPr>
        <w:t>. La o el titular de la Contraloría tendrá las siguientes atribuciones:</w:t>
      </w:r>
    </w:p>
    <w:p w14:paraId="20E4F028" w14:textId="40F923EE"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30E4336F" w14:textId="7D0AC0AA"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V. Asesorar a las o los titulares de los órganos de control interno de los organismos de la administración pública municipal y a las o los servidores públicos municipales en materia de declaraciones de situación patrimonial, de intereses, así como de conductas presuntamente constitutivas de faltas administrativas en las que también pudieran incurrir particulares, por conductas sancionables en términos de la Ley de Responsabilidades Administrativas del Estado de México y Municipios;</w:t>
      </w:r>
    </w:p>
    <w:p w14:paraId="09F973A3" w14:textId="386EBD52"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0B61BE8C" w14:textId="59F48BAF"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XI. Operar el Sistema de Atención Mexiquense que administra la Secretaría de la Contraloría del Gobierno del Estado de México; así como, recibir denuncias por hechos presuntamente constitutivos de faltas administrativas de las o los servidores públicos municipales o de particulares por conductas sancionables en términos de la Ley de Responsabilidades Administrativas del Estado de México y Municipios, y en su caso turnar a la autoridad investigadora competente;</w:t>
      </w:r>
    </w:p>
    <w:p w14:paraId="7384FBDD" w14:textId="429451DE"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4F15772E" w14:textId="2F66B2D4"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XIX. Iniciar los procesos de investigación, substanciación, resolución y en su caso ejecución,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w:t>
      </w:r>
    </w:p>
    <w:p w14:paraId="2A979E70" w14:textId="789660DC"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XX. Iniciar la investigación, substanciación y remitir al Tribunal de Justicia Administrativa, los autos originales del expediente para la continuación del procedimiento y su resolución por dicho órgano; cuando se trate de faltas administrativas graves o faltas de particulares, en términos de la Ley de Responsabilidades Administrativas del Estado de México y Municipios;</w:t>
      </w:r>
    </w:p>
    <w:p w14:paraId="55BCC46B" w14:textId="77777777"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lastRenderedPageBreak/>
        <w:t xml:space="preserve">XXI. Practicar de oficio o a solicitud de parte, las investigaciones sobre el incumplimiento de las obligaciones de las o los servidores públicos municipales, en términos de la Ley de Responsabilidades Administrativas del Estado de México y Municipios; </w:t>
      </w:r>
    </w:p>
    <w:p w14:paraId="21D9461D" w14:textId="1795E9EB"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XXII. Conocer, investigar, y emitir el dictamen de procedencia o de no remoción de las autoridades auxiliares, para ser turnado al Ayuntamiento, a efecto de que sus integrantes, previa garantía de audiencia determinen la remoción o no de las autoridades auxiliares, en términos de lo dispuesto en el artículo 62 de la Ley Orgánica Municipal del Estado de México y demás disposiciones jurídicas aplicables;</w:t>
      </w:r>
    </w:p>
    <w:p w14:paraId="6D3BAAD2" w14:textId="7008339F"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7D8EA368" w14:textId="31A946B3"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XXIX. Recibir las denuncias por declaraciones de situación patrimonial que contengan posibles conflictos de intereses de las y los servidores públicos del municipio de Toluca, y turnar a la autoridad competente para la práctica de las investigaciones correspondientes que permitan identificar la existencia o no de presuntas infracciones;</w:t>
      </w:r>
    </w:p>
    <w:p w14:paraId="118FDF1B" w14:textId="77777777"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XXX. Determinar la abstención de iniciar el procedimiento de responsabilidad administrativa, o de imponer sanciones a las o los servidores públicos municipales, cuando se acredite que no existió daño ni perjuicio a la Hacienda Pública Estatal o Municipal o al patrimonio de los entes públicos, así como en los supuestos que determina la Ley de Responsabilidades Administrativas del Estado de México y Municipios;</w:t>
      </w:r>
    </w:p>
    <w:p w14:paraId="0CE945FF" w14:textId="576ED53D"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 XXXI. Presentar denuncias por hechos que las leyes señalen como delitos ante la Fiscalía General de Justicia del Estado de México, o ante su homólogo en el ámbito federal o, en su caso, instar a la Consejería Jurídica del Ayuntamiento, a que formule las querellas respectivas en el supuesto de detectar conductas que puedan ser constitutivas de delitos;</w:t>
      </w:r>
    </w:p>
    <w:p w14:paraId="51F77B79" w14:textId="72EE3873"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37F889F1" w14:textId="3FEE014B"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lastRenderedPageBreak/>
        <w:t>XXXIII. Remitir a la autoridad competente los recursos de revocación y reclamación que interpongan las y los servidores públicos del municipio de Toluca, así como las y los particulares que sean parte en el proceso administrativo, respecto de las resoluciones por las que se les impongan sanciones administrativas, y dar seguimiento al cumplimiento de las resoluciones dictadas por los órganos jurisdiccionales;</w:t>
      </w:r>
    </w:p>
    <w:p w14:paraId="2F127371" w14:textId="267115EF"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XLI. Coordinar la recepción, a través de los medios electrónicos que para tal efecto se establezcan, de las sanciones impuestas por las autoridades competentes a las y los servidores públicos y las y los particulares, de conformidad con la Ley de Responsabilidades Administrativas del Estado de México y Municipios, y llevar el registro de las mismas para suministrar la información a la Plataforma Digital del Sistema Estatal Anticorrupción;</w:t>
      </w:r>
    </w:p>
    <w:p w14:paraId="08582D18" w14:textId="3398629B"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7842CE94" w14:textId="2A3A8368"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Para el ejercicio de sus atribuciones el Contralor se auxiliará de las siguientes unidades administrativas: Dirección de Auditoría de Obra y Contraloría Social, Dirección de Auditoría y Dirección de Investigación de Responsabilidades Administrativas</w:t>
      </w:r>
    </w:p>
    <w:p w14:paraId="780B90B3" w14:textId="77777777" w:rsidR="002C3951" w:rsidRPr="00B31836" w:rsidRDefault="002C3951" w:rsidP="002C3951">
      <w:pPr>
        <w:spacing w:line="276" w:lineRule="auto"/>
        <w:ind w:right="397"/>
        <w:jc w:val="both"/>
        <w:rPr>
          <w:rFonts w:ascii="Palatino Linotype" w:eastAsia="Palatino Linotype" w:hAnsi="Palatino Linotype" w:cs="Palatino Linotype"/>
          <w:i/>
          <w:sz w:val="24"/>
          <w:szCs w:val="24"/>
        </w:rPr>
      </w:pPr>
    </w:p>
    <w:p w14:paraId="6DBDEF70" w14:textId="77777777" w:rsidR="002C3951" w:rsidRPr="00B31836" w:rsidRDefault="002C3951" w:rsidP="002C3951">
      <w:pPr>
        <w:spacing w:line="276" w:lineRule="auto"/>
        <w:ind w:left="567" w:right="397"/>
        <w:jc w:val="center"/>
        <w:rPr>
          <w:rFonts w:ascii="Palatino Linotype" w:eastAsia="Palatino Linotype" w:hAnsi="Palatino Linotype" w:cs="Palatino Linotype"/>
          <w:b/>
          <w:i/>
          <w:sz w:val="24"/>
          <w:szCs w:val="24"/>
        </w:rPr>
      </w:pPr>
    </w:p>
    <w:p w14:paraId="20704AC8" w14:textId="77777777" w:rsidR="002C3951" w:rsidRPr="00B31836" w:rsidRDefault="002C3951" w:rsidP="002C3951">
      <w:pPr>
        <w:spacing w:line="276" w:lineRule="auto"/>
        <w:ind w:left="567" w:right="397"/>
        <w:jc w:val="center"/>
        <w:rPr>
          <w:rFonts w:ascii="Palatino Linotype" w:eastAsia="Palatino Linotype" w:hAnsi="Palatino Linotype" w:cs="Palatino Linotype"/>
          <w:b/>
          <w:i/>
          <w:sz w:val="24"/>
          <w:szCs w:val="24"/>
        </w:rPr>
      </w:pPr>
      <w:r w:rsidRPr="00B31836">
        <w:rPr>
          <w:rFonts w:ascii="Palatino Linotype" w:eastAsia="Palatino Linotype" w:hAnsi="Palatino Linotype" w:cs="Palatino Linotype"/>
          <w:b/>
          <w:i/>
          <w:sz w:val="24"/>
          <w:szCs w:val="24"/>
        </w:rPr>
        <w:t>SECCIÓN ÚNICA</w:t>
      </w:r>
    </w:p>
    <w:p w14:paraId="664504BC" w14:textId="4DDBAD0C" w:rsidR="002C3951" w:rsidRPr="00B31836" w:rsidRDefault="002C3951" w:rsidP="002C3951">
      <w:pPr>
        <w:spacing w:line="276" w:lineRule="auto"/>
        <w:ind w:left="567" w:right="397"/>
        <w:jc w:val="center"/>
        <w:rPr>
          <w:rFonts w:ascii="Palatino Linotype" w:eastAsia="Palatino Linotype" w:hAnsi="Palatino Linotype" w:cs="Palatino Linotype"/>
          <w:b/>
          <w:i/>
          <w:sz w:val="24"/>
          <w:szCs w:val="24"/>
        </w:rPr>
      </w:pPr>
      <w:r w:rsidRPr="00B31836">
        <w:rPr>
          <w:rFonts w:ascii="Palatino Linotype" w:eastAsia="Palatino Linotype" w:hAnsi="Palatino Linotype" w:cs="Palatino Linotype"/>
          <w:b/>
          <w:i/>
          <w:sz w:val="24"/>
          <w:szCs w:val="24"/>
        </w:rPr>
        <w:t>DE LA DEFENSORÍA MUNICIPAL DE DERECHOS HUMANOS</w:t>
      </w:r>
    </w:p>
    <w:p w14:paraId="29E28E97" w14:textId="00D38681"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b/>
          <w:i/>
          <w:sz w:val="24"/>
          <w:szCs w:val="24"/>
        </w:rPr>
        <w:t xml:space="preserve"> Artículo 3.65</w:t>
      </w:r>
      <w:r w:rsidRPr="00B31836">
        <w:rPr>
          <w:rFonts w:ascii="Palatino Linotype" w:eastAsia="Palatino Linotype" w:hAnsi="Palatino Linotype" w:cs="Palatino Linotype"/>
          <w:i/>
          <w:sz w:val="24"/>
          <w:szCs w:val="24"/>
        </w:rPr>
        <w:t>. La o el titular de la Defensoría Municipal de Derechos Humanos tendrá las siguientes atribuciones:</w:t>
      </w:r>
    </w:p>
    <w:p w14:paraId="7F8A8950" w14:textId="77777777" w:rsidR="002C3951" w:rsidRPr="00B31836" w:rsidRDefault="002C3951" w:rsidP="001702A8">
      <w:pPr>
        <w:spacing w:line="276" w:lineRule="auto"/>
        <w:ind w:left="567" w:right="397"/>
        <w:jc w:val="both"/>
        <w:rPr>
          <w:rFonts w:ascii="Palatino Linotype" w:eastAsia="Palatino Linotype" w:hAnsi="Palatino Linotype" w:cs="Palatino Linotype"/>
          <w:b/>
          <w:i/>
          <w:sz w:val="24"/>
          <w:szCs w:val="24"/>
        </w:rPr>
      </w:pPr>
    </w:p>
    <w:p w14:paraId="2A2A2D62" w14:textId="77777777"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I. Recibir las quejas de los vecinos y visitantes del municipio de Toluca y remitirlas a la Comisión de Derechos Humanos del Estado de México, por conducto de sus </w:t>
      </w:r>
      <w:proofErr w:type="spellStart"/>
      <w:r w:rsidRPr="00B31836">
        <w:rPr>
          <w:rFonts w:ascii="Palatino Linotype" w:eastAsia="Palatino Linotype" w:hAnsi="Palatino Linotype" w:cs="Palatino Linotype"/>
          <w:i/>
          <w:sz w:val="24"/>
          <w:szCs w:val="24"/>
        </w:rPr>
        <w:t>visitadurías</w:t>
      </w:r>
      <w:proofErr w:type="spellEnd"/>
      <w:r w:rsidRPr="00B31836">
        <w:rPr>
          <w:rFonts w:ascii="Palatino Linotype" w:eastAsia="Palatino Linotype" w:hAnsi="Palatino Linotype" w:cs="Palatino Linotype"/>
          <w:i/>
          <w:sz w:val="24"/>
          <w:szCs w:val="24"/>
        </w:rPr>
        <w:t>, en términos de la normatividad aplicable;</w:t>
      </w:r>
    </w:p>
    <w:p w14:paraId="00C2B335" w14:textId="6A6A44D9"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lastRenderedPageBreak/>
        <w:t>II. Informar a la Comisión de Derechos Humanos del Estado, acerca de presumibles violaciones a los derechos humanos por actos u omisiones de naturaleza administrativa de cualquier autoridad o servidor público del municipio de Toluca;</w:t>
      </w:r>
    </w:p>
    <w:p w14:paraId="79F04053" w14:textId="34174A11"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7C814A1C" w14:textId="75D5F188"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V. Elaborar acta circunstanciada por hechos que puedan ser considerados violatorios de derechos humanos que ocurran dentro del municipio, teniendo fe pública solo para ese efecto, debiendo remitirla a la Visitaduría correspondiente dentro de las 24 horas siguientes;</w:t>
      </w:r>
    </w:p>
    <w:p w14:paraId="62EC9FAC" w14:textId="1C5E6105"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1F993EAE" w14:textId="77777777"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VI. Practicar conjuntamente con el Visitador respectivo las conciliaciones y mediaciones que se deriven de las quejas de las que tenga conocimiento, conforme lo establecen la Ley de la Comisión de Derechos Humanos del Estado de México y su reglamento; </w:t>
      </w:r>
    </w:p>
    <w:p w14:paraId="71B25FD3" w14:textId="77777777"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 xml:space="preserve">VII. Coadyuvar con la Comisión de Derechos Humanos del Estado de México en el seguimiento a las solicitudes de informes y acciones que emanen de las quejas y de las recomendaciones que el organismo dicte en contra de autoridades o servidores públicos del municipio de Toluca; </w:t>
      </w:r>
    </w:p>
    <w:p w14:paraId="6BBCB6E2" w14:textId="305A26DB" w:rsidR="002C3951" w:rsidRPr="00B31836" w:rsidRDefault="002C3951" w:rsidP="001702A8">
      <w:pPr>
        <w:spacing w:line="276" w:lineRule="auto"/>
        <w:ind w:left="567" w:right="397"/>
        <w:jc w:val="both"/>
        <w:rPr>
          <w:rFonts w:ascii="Palatino Linotype" w:eastAsia="Palatino Linotype" w:hAnsi="Palatino Linotype" w:cs="Palatino Linotype"/>
          <w:i/>
          <w:sz w:val="24"/>
          <w:szCs w:val="24"/>
        </w:rPr>
      </w:pPr>
      <w:r w:rsidRPr="00B31836">
        <w:rPr>
          <w:rFonts w:ascii="Palatino Linotype" w:eastAsia="Palatino Linotype" w:hAnsi="Palatino Linotype" w:cs="Palatino Linotype"/>
          <w:i/>
          <w:sz w:val="24"/>
          <w:szCs w:val="24"/>
        </w:rPr>
        <w:t>…</w:t>
      </w:r>
    </w:p>
    <w:p w14:paraId="37E79A19" w14:textId="77777777" w:rsidR="001702A8" w:rsidRPr="00B31836" w:rsidRDefault="001702A8" w:rsidP="00546C2A">
      <w:pPr>
        <w:spacing w:line="360" w:lineRule="auto"/>
        <w:ind w:right="49"/>
        <w:jc w:val="both"/>
        <w:rPr>
          <w:rFonts w:ascii="Palatino Linotype" w:eastAsia="Palatino Linotype" w:hAnsi="Palatino Linotype" w:cs="Palatino Linotype"/>
          <w:sz w:val="24"/>
          <w:szCs w:val="24"/>
        </w:rPr>
      </w:pPr>
    </w:p>
    <w:p w14:paraId="3DF026B6" w14:textId="37C986CD" w:rsidR="001702A8" w:rsidRPr="00B31836" w:rsidRDefault="001702A8"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sz w:val="24"/>
          <w:szCs w:val="24"/>
        </w:rPr>
        <w:t xml:space="preserve">De lo anterior, se observa que las áreas que conocen de expedientes, quejas y/o denuncias, de manera enunciativa más no limitativa lo es Contraloría y la Defensoría Municipal de los Derechos Humanos de Toluca. </w:t>
      </w:r>
    </w:p>
    <w:p w14:paraId="44D818AE" w14:textId="77777777" w:rsidR="005A18B3" w:rsidRPr="00B31836" w:rsidRDefault="005A18B3" w:rsidP="005A18B3">
      <w:pPr>
        <w:spacing w:line="360" w:lineRule="auto"/>
        <w:ind w:right="49"/>
        <w:jc w:val="both"/>
        <w:rPr>
          <w:rFonts w:ascii="Palatino Linotype" w:eastAsia="Palatino Linotype" w:hAnsi="Palatino Linotype" w:cs="Palatino Linotype"/>
          <w:sz w:val="24"/>
          <w:szCs w:val="24"/>
        </w:rPr>
      </w:pPr>
    </w:p>
    <w:p w14:paraId="3D90DA3E" w14:textId="7DD7D7C5" w:rsidR="005A18B3" w:rsidRPr="00B31836" w:rsidRDefault="00546C2A" w:rsidP="00CF6481">
      <w:pPr>
        <w:numPr>
          <w:ilvl w:val="0"/>
          <w:numId w:val="3"/>
        </w:numPr>
        <w:spacing w:line="360" w:lineRule="auto"/>
        <w:ind w:left="0" w:right="49" w:firstLine="0"/>
        <w:jc w:val="both"/>
        <w:rPr>
          <w:rFonts w:ascii="Palatino Linotype" w:hAnsi="Palatino Linotype"/>
          <w:b/>
          <w:bCs/>
          <w:sz w:val="24"/>
          <w:szCs w:val="24"/>
        </w:rPr>
      </w:pPr>
      <w:r w:rsidRPr="00B31836">
        <w:rPr>
          <w:rFonts w:ascii="Palatino Linotype" w:hAnsi="Palatino Linotype"/>
          <w:bCs/>
          <w:sz w:val="24"/>
          <w:szCs w:val="24"/>
        </w:rPr>
        <w:t xml:space="preserve"> </w:t>
      </w:r>
      <w:r w:rsidR="005A18B3" w:rsidRPr="00B31836">
        <w:rPr>
          <w:rFonts w:ascii="Palatino Linotype" w:hAnsi="Palatino Linotype"/>
          <w:bCs/>
          <w:sz w:val="24"/>
          <w:szCs w:val="24"/>
        </w:rPr>
        <w:t xml:space="preserve">En tal sentido, la Contraloría Municipal y </w:t>
      </w:r>
      <w:r w:rsidR="003D6067" w:rsidRPr="00B31836">
        <w:rPr>
          <w:rFonts w:ascii="Palatino Linotype" w:hAnsi="Palatino Linotype"/>
          <w:bCs/>
          <w:sz w:val="24"/>
          <w:szCs w:val="24"/>
        </w:rPr>
        <w:t>Servidor Público Habilitado de</w:t>
      </w:r>
      <w:r w:rsidR="005A18B3" w:rsidRPr="00B31836">
        <w:rPr>
          <w:rFonts w:ascii="Palatino Linotype" w:hAnsi="Palatino Linotype"/>
          <w:bCs/>
          <w:sz w:val="24"/>
          <w:szCs w:val="24"/>
        </w:rPr>
        <w:t xml:space="preserve"> la Dirección de Investigación y Responsabilidades Administrativas informo que se tienen </w:t>
      </w:r>
      <w:r w:rsidR="00AE12AA" w:rsidRPr="00B31836">
        <w:rPr>
          <w:rFonts w:ascii="Palatino Linotype" w:hAnsi="Palatino Linotype"/>
          <w:b/>
          <w:bCs/>
          <w:sz w:val="24"/>
          <w:szCs w:val="24"/>
        </w:rPr>
        <w:t xml:space="preserve">dos expedientes. </w:t>
      </w:r>
    </w:p>
    <w:p w14:paraId="767334A7" w14:textId="1DEEACF2" w:rsidR="00666FE3" w:rsidRPr="00B31836" w:rsidRDefault="00AE12AA" w:rsidP="00CF6481">
      <w:pPr>
        <w:numPr>
          <w:ilvl w:val="0"/>
          <w:numId w:val="3"/>
        </w:numPr>
        <w:spacing w:line="360" w:lineRule="auto"/>
        <w:ind w:left="0" w:right="49" w:firstLine="0"/>
        <w:jc w:val="both"/>
        <w:rPr>
          <w:rFonts w:ascii="Palatino Linotype" w:hAnsi="Palatino Linotype"/>
          <w:b/>
          <w:bCs/>
          <w:sz w:val="24"/>
          <w:szCs w:val="24"/>
        </w:rPr>
      </w:pPr>
      <w:r w:rsidRPr="00B31836">
        <w:rPr>
          <w:rFonts w:ascii="Palatino Linotype" w:hAnsi="Palatino Linotype"/>
          <w:bCs/>
          <w:sz w:val="24"/>
          <w:szCs w:val="24"/>
        </w:rPr>
        <w:lastRenderedPageBreak/>
        <w:t xml:space="preserve">Respecto de la respuesta proporcionada por la Contraloría Municipal, </w:t>
      </w:r>
      <w:r w:rsidR="00666FE3" w:rsidRPr="00B31836">
        <w:rPr>
          <w:rFonts w:ascii="Palatino Linotype" w:hAnsi="Palatino Linotype"/>
          <w:b/>
          <w:bCs/>
          <w:sz w:val="24"/>
          <w:szCs w:val="24"/>
        </w:rPr>
        <w:t>p</w:t>
      </w:r>
      <w:r w:rsidR="00666FE3" w:rsidRPr="00B31836">
        <w:rPr>
          <w:rFonts w:ascii="Palatino Linotype" w:hAnsi="Palatino Linotype" w:cs="Palatino Linotype"/>
          <w:sz w:val="24"/>
          <w:szCs w:val="24"/>
          <w:lang w:eastAsia="en-US"/>
        </w:rPr>
        <w:t xml:space="preserve">rimeramente es necesario señalar que el particular no impugno la información proporcionada, sino únicamente arguyo la falta de pronunciamiento de la  Defensoría Municipal de Derechos Humanos,  de tal forma que, la parte de la solicitud que no fue impugnada debe declararse consentida, toda vez que al no realizar manifestaciones de inconformidad; no pueden producirse </w:t>
      </w:r>
      <w:r w:rsidR="00666FE3" w:rsidRPr="00B31836">
        <w:rPr>
          <w:rFonts w:ascii="Palatino Linotype" w:hAnsi="Palatino Linotype" w:cs="Arial"/>
          <w:sz w:val="24"/>
          <w:szCs w:val="24"/>
        </w:rPr>
        <w:t>efectos</w:t>
      </w:r>
      <w:r w:rsidR="00666FE3" w:rsidRPr="00B31836">
        <w:rPr>
          <w:rFonts w:ascii="Palatino Linotype" w:hAnsi="Palatino Linotype" w:cs="Palatino Linotype"/>
          <w:sz w:val="24"/>
          <w:szCs w:val="24"/>
          <w:lang w:eastAsia="en-US"/>
        </w:rPr>
        <w:t xml:space="preserve"> jurídicos tendentes a revocar, confirmar o modificar el acto reclamado, ya que no realizó manifestación alguna al respecto. </w:t>
      </w:r>
    </w:p>
    <w:p w14:paraId="3CB7DFC8" w14:textId="77777777" w:rsidR="00666FE3" w:rsidRPr="00B31836" w:rsidRDefault="00666FE3" w:rsidP="00666FE3">
      <w:pPr>
        <w:ind w:left="720"/>
        <w:contextualSpacing/>
        <w:rPr>
          <w:rFonts w:ascii="Palatino Linotype" w:hAnsi="Palatino Linotype" w:cs="Palatino Linotype"/>
          <w:sz w:val="24"/>
          <w:szCs w:val="24"/>
        </w:rPr>
      </w:pPr>
    </w:p>
    <w:p w14:paraId="7510D1E5" w14:textId="77777777" w:rsidR="00666FE3" w:rsidRPr="00B31836" w:rsidRDefault="00666FE3" w:rsidP="00666FE3">
      <w:pPr>
        <w:spacing w:line="360" w:lineRule="auto"/>
        <w:ind w:right="49"/>
        <w:contextualSpacing/>
        <w:jc w:val="both"/>
        <w:rPr>
          <w:rFonts w:ascii="Palatino Linotype" w:hAnsi="Palatino Linotype" w:cs="Palatino Linotype"/>
          <w:sz w:val="24"/>
          <w:szCs w:val="24"/>
          <w:lang w:eastAsia="en-US"/>
        </w:rPr>
      </w:pPr>
    </w:p>
    <w:p w14:paraId="21514105" w14:textId="77777777" w:rsidR="00666FE3" w:rsidRPr="00B31836" w:rsidRDefault="00666FE3" w:rsidP="00CF6481">
      <w:pPr>
        <w:numPr>
          <w:ilvl w:val="0"/>
          <w:numId w:val="3"/>
        </w:numPr>
        <w:spacing w:line="360" w:lineRule="auto"/>
        <w:ind w:left="0" w:right="49" w:firstLine="0"/>
        <w:jc w:val="both"/>
        <w:rPr>
          <w:rFonts w:ascii="Palatino Linotype" w:hAnsi="Palatino Linotype" w:cs="Palatino Linotype"/>
          <w:sz w:val="24"/>
          <w:szCs w:val="24"/>
          <w:lang w:eastAsia="en-US"/>
        </w:rPr>
      </w:pPr>
      <w:r w:rsidRPr="00B31836">
        <w:rPr>
          <w:rFonts w:ascii="Palatino Linotype" w:hAnsi="Palatino Linotype" w:cs="Palatino Linotype"/>
          <w:sz w:val="24"/>
          <w:szCs w:val="24"/>
          <w:lang w:eastAsia="en-US"/>
        </w:rPr>
        <w:t>Sirve de sustento, la tesis jurisprudencial número VI.3o.C. J/60, publicada en el Semanario Judicial de la Federación y su Gaceta bajo el número de registro 176,608 que a la letra dice:</w:t>
      </w:r>
    </w:p>
    <w:p w14:paraId="453815FD" w14:textId="77777777" w:rsidR="00666FE3" w:rsidRPr="00B31836" w:rsidRDefault="00666FE3" w:rsidP="00666FE3">
      <w:pPr>
        <w:spacing w:line="360" w:lineRule="auto"/>
        <w:ind w:left="720"/>
        <w:contextualSpacing/>
        <w:rPr>
          <w:rFonts w:ascii="Palatino Linotype" w:hAnsi="Palatino Linotype" w:cs="Palatino Linotype"/>
          <w:sz w:val="24"/>
          <w:szCs w:val="24"/>
        </w:rPr>
      </w:pPr>
    </w:p>
    <w:p w14:paraId="13B05518" w14:textId="77777777" w:rsidR="00666FE3" w:rsidRPr="00B31836" w:rsidRDefault="00666FE3" w:rsidP="00666FE3">
      <w:pPr>
        <w:tabs>
          <w:tab w:val="left" w:pos="851"/>
        </w:tabs>
        <w:spacing w:line="360" w:lineRule="auto"/>
        <w:ind w:left="502" w:right="616"/>
        <w:contextualSpacing/>
        <w:jc w:val="both"/>
        <w:rPr>
          <w:rFonts w:ascii="Palatino Linotype" w:hAnsi="Palatino Linotype" w:cs="Palatino Linotype"/>
          <w:i/>
          <w:sz w:val="24"/>
          <w:szCs w:val="24"/>
        </w:rPr>
      </w:pPr>
      <w:r w:rsidRPr="00B31836">
        <w:rPr>
          <w:rFonts w:ascii="Palatino Linotype" w:hAnsi="Palatino Linotype" w:cs="Palatino Linotype"/>
          <w:b/>
          <w:i/>
          <w:sz w:val="24"/>
          <w:szCs w:val="24"/>
        </w:rPr>
        <w:t xml:space="preserve">“ACTOS CONSENTIDOS. SON LOS QUE NO SE IMPUGNAN MEDIANTE EL RECURSO IDÓNEO. </w:t>
      </w:r>
      <w:r w:rsidRPr="00B31836">
        <w:rPr>
          <w:rFonts w:ascii="Palatino Linotype"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EBD2673" w14:textId="77777777" w:rsidR="00666FE3" w:rsidRPr="00B31836" w:rsidRDefault="00666FE3" w:rsidP="00666FE3">
      <w:pPr>
        <w:spacing w:line="360" w:lineRule="auto"/>
        <w:ind w:left="502"/>
        <w:contextualSpacing/>
        <w:jc w:val="both"/>
        <w:rPr>
          <w:rFonts w:ascii="Palatino Linotype" w:hAnsi="Palatino Linotype" w:cs="Palatino Linotype"/>
          <w:sz w:val="24"/>
          <w:szCs w:val="24"/>
        </w:rPr>
      </w:pPr>
    </w:p>
    <w:p w14:paraId="6978F479" w14:textId="77777777" w:rsidR="00666FE3" w:rsidRPr="00B31836" w:rsidRDefault="00666FE3" w:rsidP="00CF6481">
      <w:pPr>
        <w:numPr>
          <w:ilvl w:val="0"/>
          <w:numId w:val="3"/>
        </w:numPr>
        <w:spacing w:line="360" w:lineRule="auto"/>
        <w:ind w:left="0" w:right="49" w:firstLine="0"/>
        <w:jc w:val="both"/>
        <w:rPr>
          <w:rFonts w:ascii="Palatino Linotype" w:hAnsi="Palatino Linotype" w:cs="Palatino Linotype"/>
          <w:sz w:val="24"/>
          <w:szCs w:val="24"/>
          <w:lang w:eastAsia="en-US"/>
        </w:rPr>
      </w:pPr>
      <w:r w:rsidRPr="00B31836">
        <w:rPr>
          <w:rFonts w:ascii="Palatino Linotype" w:hAnsi="Palatino Linotype" w:cs="Palatino Linotype"/>
          <w:sz w:val="24"/>
          <w:szCs w:val="24"/>
          <w:lang w:eastAsia="en-US"/>
        </w:rPr>
        <w:lastRenderedPageBreak/>
        <w:t xml:space="preserve">De la interpretación del criterio antes citado, se advierte que cuando el particular impugnó la respuesta del </w:t>
      </w:r>
      <w:r w:rsidRPr="00B31836">
        <w:rPr>
          <w:rFonts w:ascii="Palatino Linotype" w:hAnsi="Palatino Linotype" w:cs="Palatino Linotype"/>
          <w:b/>
          <w:sz w:val="24"/>
          <w:szCs w:val="24"/>
          <w:lang w:eastAsia="en-US"/>
        </w:rPr>
        <w:t>SUJETO OBLIGADO</w:t>
      </w:r>
      <w:r w:rsidRPr="00B31836">
        <w:rPr>
          <w:rFonts w:ascii="Palatino Linotype" w:hAnsi="Palatino Linotype" w:cs="Palatino Linotype"/>
          <w:sz w:val="24"/>
          <w:szCs w:val="24"/>
          <w:lang w:eastAsia="en-US"/>
        </w:rPr>
        <w:t xml:space="preserve">, no expresó razón o motivo de inconformidad en contra de todos los rubros solicitados, por tanto estos deben declararse atendidos, pues se entiende que </w:t>
      </w:r>
      <w:r w:rsidRPr="00B31836">
        <w:rPr>
          <w:rFonts w:ascii="Palatino Linotype" w:hAnsi="Palatino Linotype" w:cs="Palatino Linotype"/>
          <w:b/>
          <w:sz w:val="24"/>
          <w:szCs w:val="24"/>
          <w:lang w:eastAsia="en-US"/>
        </w:rPr>
        <w:t>EL RECURRENTE</w:t>
      </w:r>
      <w:r w:rsidRPr="00B31836">
        <w:rPr>
          <w:rFonts w:ascii="Palatino Linotype" w:hAnsi="Palatino Linotype" w:cs="Palatino Linotype"/>
          <w:sz w:val="24"/>
          <w:szCs w:val="24"/>
          <w:lang w:eastAsia="en-US"/>
        </w:rPr>
        <w:t xml:space="preserve"> está conforme con la respuesta proporcionada por </w:t>
      </w:r>
      <w:r w:rsidRPr="00B31836">
        <w:rPr>
          <w:rFonts w:ascii="Palatino Linotype" w:hAnsi="Palatino Linotype" w:cs="Palatino Linotype"/>
          <w:b/>
          <w:sz w:val="24"/>
          <w:szCs w:val="24"/>
          <w:lang w:eastAsia="en-US"/>
        </w:rPr>
        <w:t>EL SUJETO OBLIGADO,</w:t>
      </w:r>
      <w:r w:rsidRPr="00B31836">
        <w:rPr>
          <w:rFonts w:ascii="Palatino Linotype" w:hAnsi="Palatino Linotype" w:cs="Palatino Linotype"/>
          <w:sz w:val="24"/>
          <w:szCs w:val="24"/>
          <w:lang w:eastAsia="en-US"/>
        </w:rPr>
        <w:t xml:space="preserve"> al no contravenir la misma. </w:t>
      </w:r>
    </w:p>
    <w:p w14:paraId="6047B8F8" w14:textId="77777777" w:rsidR="00666FE3" w:rsidRPr="00B31836" w:rsidRDefault="00666FE3" w:rsidP="00666FE3">
      <w:pPr>
        <w:spacing w:after="160" w:line="360" w:lineRule="auto"/>
        <w:ind w:right="49"/>
        <w:contextualSpacing/>
        <w:jc w:val="both"/>
        <w:rPr>
          <w:rFonts w:ascii="Palatino Linotype" w:hAnsi="Palatino Linotype" w:cs="Palatino Linotype"/>
          <w:sz w:val="24"/>
          <w:szCs w:val="24"/>
          <w:lang w:eastAsia="en-US"/>
        </w:rPr>
      </w:pPr>
    </w:p>
    <w:p w14:paraId="3A8FFB54" w14:textId="77777777" w:rsidR="00666FE3" w:rsidRPr="00B31836" w:rsidRDefault="00666FE3" w:rsidP="00CF6481">
      <w:pPr>
        <w:numPr>
          <w:ilvl w:val="0"/>
          <w:numId w:val="3"/>
        </w:numPr>
        <w:spacing w:line="360" w:lineRule="auto"/>
        <w:ind w:left="0" w:right="49" w:firstLine="0"/>
        <w:jc w:val="both"/>
        <w:rPr>
          <w:rFonts w:ascii="Palatino Linotype" w:hAnsi="Palatino Linotype" w:cs="Palatino Linotype"/>
          <w:sz w:val="24"/>
          <w:szCs w:val="24"/>
          <w:lang w:eastAsia="en-US"/>
        </w:rPr>
      </w:pPr>
      <w:r w:rsidRPr="00B31836">
        <w:rPr>
          <w:rFonts w:ascii="Palatino Linotype" w:hAnsi="Palatino Linotype" w:cs="Palatino Linotype"/>
          <w:sz w:val="24"/>
          <w:szCs w:val="24"/>
          <w:lang w:eastAsia="en-US"/>
        </w:rPr>
        <w:t>Atento a ello, es importante traer a contexto la Tesis Jurisprudencial Número 3ª./J.7/91, Publicada en el Semanario Judicial de la Federación y su Gaceta bajo el número de registro 174,177, que establece lo siguiente:</w:t>
      </w:r>
    </w:p>
    <w:p w14:paraId="40A99B4F" w14:textId="77777777" w:rsidR="00666FE3" w:rsidRPr="00B31836" w:rsidRDefault="00666FE3" w:rsidP="00666FE3">
      <w:pPr>
        <w:tabs>
          <w:tab w:val="left" w:pos="7937"/>
          <w:tab w:val="left" w:pos="8222"/>
        </w:tabs>
        <w:spacing w:line="360" w:lineRule="auto"/>
        <w:ind w:left="502" w:right="901"/>
        <w:contextualSpacing/>
        <w:jc w:val="both"/>
        <w:rPr>
          <w:rFonts w:ascii="Palatino Linotype" w:hAnsi="Palatino Linotype" w:cs="Palatino Linotype"/>
          <w:b/>
          <w:i/>
          <w:sz w:val="24"/>
          <w:szCs w:val="24"/>
        </w:rPr>
      </w:pPr>
    </w:p>
    <w:p w14:paraId="45B7FEB7" w14:textId="77777777" w:rsidR="00666FE3" w:rsidRPr="00B31836" w:rsidRDefault="00666FE3" w:rsidP="00666FE3">
      <w:pPr>
        <w:tabs>
          <w:tab w:val="left" w:pos="7937"/>
          <w:tab w:val="left" w:pos="8222"/>
        </w:tabs>
        <w:spacing w:line="360" w:lineRule="auto"/>
        <w:ind w:left="502" w:right="901"/>
        <w:contextualSpacing/>
        <w:jc w:val="both"/>
        <w:rPr>
          <w:rFonts w:ascii="Palatino Linotype" w:hAnsi="Palatino Linotype" w:cs="Palatino Linotype"/>
          <w:i/>
          <w:sz w:val="24"/>
          <w:szCs w:val="24"/>
        </w:rPr>
      </w:pPr>
      <w:r w:rsidRPr="00B31836">
        <w:rPr>
          <w:rFonts w:ascii="Palatino Linotype" w:hAnsi="Palatino Linotype" w:cs="Palatino Linotype"/>
          <w:b/>
          <w:i/>
          <w:sz w:val="24"/>
          <w:szCs w:val="24"/>
        </w:rPr>
        <w:t xml:space="preserve">“REVISIÓN EN AMPARO. LOS RESOLUTIVOS NO COMBATIDOS DEBEN DECLARARSE FIRMES. </w:t>
      </w:r>
      <w:r w:rsidRPr="00B31836">
        <w:rPr>
          <w:rFonts w:ascii="Palatino Linotype" w:hAnsi="Palatino Linotype" w:cs="Palatino Linotype"/>
          <w:i/>
          <w:sz w:val="24"/>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EB3843A" w14:textId="77777777" w:rsidR="00666FE3" w:rsidRPr="00B31836" w:rsidRDefault="00666FE3" w:rsidP="00666FE3">
      <w:pPr>
        <w:spacing w:line="360" w:lineRule="auto"/>
        <w:contextualSpacing/>
        <w:jc w:val="both"/>
        <w:rPr>
          <w:rFonts w:ascii="Palatino Linotype" w:hAnsi="Palatino Linotype"/>
          <w:i/>
          <w:sz w:val="24"/>
          <w:szCs w:val="24"/>
          <w:lang w:val="es-ES"/>
        </w:rPr>
      </w:pPr>
    </w:p>
    <w:p w14:paraId="07E4856F" w14:textId="77777777" w:rsidR="00666FE3" w:rsidRPr="00B31836" w:rsidRDefault="00666FE3" w:rsidP="00666FE3">
      <w:pPr>
        <w:rPr>
          <w:rFonts w:ascii="Palatino Linotype" w:hAnsi="Palatino Linotype"/>
          <w:sz w:val="24"/>
          <w:szCs w:val="24"/>
        </w:rPr>
      </w:pPr>
    </w:p>
    <w:p w14:paraId="6B7EB1AD" w14:textId="77777777" w:rsidR="00666FE3" w:rsidRPr="00B31836" w:rsidRDefault="00666FE3" w:rsidP="00666FE3">
      <w:pPr>
        <w:spacing w:line="360" w:lineRule="auto"/>
        <w:ind w:right="49"/>
        <w:jc w:val="both"/>
        <w:rPr>
          <w:rFonts w:ascii="Palatino Linotype" w:hAnsi="Palatino Linotype"/>
          <w:b/>
          <w:bCs/>
          <w:sz w:val="24"/>
          <w:szCs w:val="24"/>
        </w:rPr>
      </w:pPr>
    </w:p>
    <w:p w14:paraId="26FF73D9" w14:textId="77777777" w:rsidR="003D6067" w:rsidRPr="00B31836" w:rsidRDefault="003D6067" w:rsidP="003D6067">
      <w:pPr>
        <w:spacing w:line="360" w:lineRule="auto"/>
        <w:ind w:right="49"/>
        <w:jc w:val="both"/>
        <w:rPr>
          <w:rFonts w:ascii="Palatino Linotype" w:hAnsi="Palatino Linotype"/>
          <w:b/>
          <w:bCs/>
          <w:sz w:val="24"/>
          <w:szCs w:val="24"/>
        </w:rPr>
      </w:pPr>
    </w:p>
    <w:p w14:paraId="0AB4B4F0" w14:textId="77777777" w:rsidR="00666FE3" w:rsidRPr="00B31836" w:rsidRDefault="00666FE3" w:rsidP="00CF6481">
      <w:pPr>
        <w:numPr>
          <w:ilvl w:val="0"/>
          <w:numId w:val="3"/>
        </w:numPr>
        <w:spacing w:line="360" w:lineRule="auto"/>
        <w:ind w:left="0" w:right="49" w:firstLine="0"/>
        <w:jc w:val="both"/>
        <w:rPr>
          <w:rFonts w:ascii="Palatino Linotype" w:hAnsi="Palatino Linotype" w:cs="Arial"/>
          <w:sz w:val="24"/>
          <w:szCs w:val="24"/>
        </w:rPr>
      </w:pPr>
      <w:r w:rsidRPr="00B31836">
        <w:rPr>
          <w:rFonts w:ascii="Palatino Linotype" w:hAnsi="Palatino Linotype"/>
          <w:bCs/>
          <w:sz w:val="24"/>
          <w:szCs w:val="24"/>
        </w:rPr>
        <w:t xml:space="preserve">Sin embargo, no pasa desapercibido por esta Ponencia que, en casos como el que nos ocupa, en donde se solicitan expedientes, quejas y/o denuncias, se debe emitir el acuerdo de clasificación del pronunciamiento ya sea en sentido afirmativo o negativo, situación que no aconteció dentro del presente recurso </w:t>
      </w:r>
      <w:r w:rsidRPr="00B31836">
        <w:rPr>
          <w:rFonts w:ascii="Palatino Linotype" w:hAnsi="Palatino Linotype" w:cs="Arial"/>
          <w:sz w:val="24"/>
          <w:szCs w:val="24"/>
        </w:rPr>
        <w:t>razón por la cual, se ordena dar vista a la Dirección General de Protección de Datos Personales</w:t>
      </w:r>
      <w:r w:rsidRPr="00B31836">
        <w:rPr>
          <w:rFonts w:ascii="Palatino Linotype" w:hAnsi="Palatino Linotype"/>
          <w:sz w:val="24"/>
          <w:szCs w:val="24"/>
          <w:lang w:eastAsia="es-MX"/>
        </w:rPr>
        <w:t xml:space="preserve"> </w:t>
      </w:r>
      <w:r w:rsidRPr="00B31836">
        <w:rPr>
          <w:rFonts w:ascii="Palatino Linotype" w:hAnsi="Palatino Linotype" w:cs="Arial"/>
          <w:sz w:val="24"/>
          <w:szCs w:val="24"/>
        </w:rPr>
        <w:t xml:space="preserve">a efecto de que  en ejercicio de sus atribuciones realice las investigaciones pertinentes por las omisiones detectadas atribuibles al </w:t>
      </w:r>
      <w:r w:rsidRPr="00B31836">
        <w:rPr>
          <w:rFonts w:ascii="Palatino Linotype" w:hAnsi="Palatino Linotype" w:cs="Arial"/>
          <w:b/>
          <w:sz w:val="24"/>
          <w:szCs w:val="24"/>
        </w:rPr>
        <w:t>SUJETO OBLIGADO</w:t>
      </w:r>
      <w:r w:rsidRPr="00B31836">
        <w:rPr>
          <w:rFonts w:ascii="Palatino Linotype" w:hAnsi="Palatino Linotype" w:cs="Arial"/>
          <w:sz w:val="24"/>
          <w:szCs w:val="24"/>
        </w:rPr>
        <w:t>.</w:t>
      </w:r>
    </w:p>
    <w:p w14:paraId="518E0825" w14:textId="77777777" w:rsidR="00666FE3" w:rsidRPr="00B31836" w:rsidRDefault="00666FE3" w:rsidP="00666FE3">
      <w:pPr>
        <w:spacing w:line="360" w:lineRule="auto"/>
        <w:ind w:right="49"/>
        <w:jc w:val="both"/>
        <w:rPr>
          <w:rFonts w:ascii="Palatino Linotype" w:hAnsi="Palatino Linotype"/>
          <w:bCs/>
          <w:sz w:val="24"/>
          <w:szCs w:val="24"/>
        </w:rPr>
      </w:pPr>
    </w:p>
    <w:p w14:paraId="3AACD2A3" w14:textId="5053F093" w:rsidR="003D6067" w:rsidRPr="00B31836" w:rsidRDefault="00666FE3" w:rsidP="00CF6481">
      <w:pPr>
        <w:numPr>
          <w:ilvl w:val="0"/>
          <w:numId w:val="3"/>
        </w:numPr>
        <w:spacing w:line="360" w:lineRule="auto"/>
        <w:ind w:left="0" w:right="49" w:firstLine="0"/>
        <w:jc w:val="both"/>
        <w:rPr>
          <w:rFonts w:ascii="Palatino Linotype" w:hAnsi="Palatino Linotype"/>
          <w:bCs/>
          <w:sz w:val="24"/>
          <w:szCs w:val="24"/>
        </w:rPr>
      </w:pPr>
      <w:r w:rsidRPr="00B31836">
        <w:rPr>
          <w:rFonts w:ascii="Palatino Linotype" w:hAnsi="Palatino Linotype"/>
          <w:bCs/>
          <w:sz w:val="24"/>
          <w:szCs w:val="24"/>
        </w:rPr>
        <w:t xml:space="preserve">Ahora bien, en atención a los agravios hechos valer por el ahora </w:t>
      </w:r>
      <w:r w:rsidRPr="00B31836">
        <w:rPr>
          <w:rFonts w:ascii="Palatino Linotype" w:hAnsi="Palatino Linotype"/>
          <w:b/>
          <w:bCs/>
          <w:sz w:val="24"/>
          <w:szCs w:val="24"/>
        </w:rPr>
        <w:t>RECURRENTE</w:t>
      </w:r>
      <w:r w:rsidRPr="00B31836">
        <w:rPr>
          <w:rFonts w:ascii="Palatino Linotype" w:hAnsi="Palatino Linotype"/>
          <w:bCs/>
          <w:sz w:val="24"/>
          <w:szCs w:val="24"/>
        </w:rPr>
        <w:t>, d</w:t>
      </w:r>
      <w:r w:rsidR="000F65AB" w:rsidRPr="00B31836">
        <w:rPr>
          <w:rFonts w:ascii="Palatino Linotype" w:hAnsi="Palatino Linotype"/>
          <w:bCs/>
          <w:sz w:val="24"/>
          <w:szCs w:val="24"/>
        </w:rPr>
        <w:t xml:space="preserve">e </w:t>
      </w:r>
      <w:r w:rsidRPr="00B31836">
        <w:rPr>
          <w:rFonts w:ascii="Palatino Linotype" w:hAnsi="Palatino Linotype"/>
          <w:bCs/>
          <w:sz w:val="24"/>
          <w:szCs w:val="24"/>
        </w:rPr>
        <w:t xml:space="preserve">acuerdo a </w:t>
      </w:r>
      <w:r w:rsidR="000F65AB" w:rsidRPr="00B31836">
        <w:rPr>
          <w:rFonts w:ascii="Palatino Linotype" w:hAnsi="Palatino Linotype"/>
          <w:bCs/>
          <w:sz w:val="24"/>
          <w:szCs w:val="24"/>
        </w:rPr>
        <w:t>las constancias que integran el SAIMEX</w:t>
      </w:r>
      <w:r w:rsidR="003D6067" w:rsidRPr="00B31836">
        <w:rPr>
          <w:rFonts w:ascii="Palatino Linotype" w:hAnsi="Palatino Linotype"/>
          <w:bCs/>
          <w:sz w:val="24"/>
          <w:szCs w:val="24"/>
        </w:rPr>
        <w:t>, no se advierte que se haya turnado la solicitud de información a las áreas que pudieran generar, poseer y/o administrar la información solicitada, que en el caso que nos ocupa lo es la Defensoría Municipal de los Derechos Humanos de Toluca, como se observa a continuación:</w:t>
      </w:r>
    </w:p>
    <w:p w14:paraId="3E304CD0" w14:textId="77777777" w:rsidR="003D6067" w:rsidRPr="00B31836" w:rsidRDefault="003D6067" w:rsidP="003D6067">
      <w:pPr>
        <w:spacing w:line="360" w:lineRule="auto"/>
        <w:contextualSpacing/>
        <w:jc w:val="both"/>
        <w:rPr>
          <w:rFonts w:ascii="Palatino Linotype" w:eastAsia="MS Mincho" w:hAnsi="Palatino Linotype" w:cs="Arial"/>
          <w:sz w:val="24"/>
          <w:szCs w:val="24"/>
        </w:rPr>
      </w:pPr>
    </w:p>
    <w:p w14:paraId="5DFF8B85" w14:textId="49F54F3F" w:rsidR="003D6067" w:rsidRPr="00B31836" w:rsidRDefault="003D6067" w:rsidP="003D6067">
      <w:pPr>
        <w:spacing w:line="360" w:lineRule="auto"/>
        <w:contextualSpacing/>
        <w:jc w:val="both"/>
        <w:rPr>
          <w:rFonts w:ascii="Palatino Linotype" w:eastAsia="MS Mincho" w:hAnsi="Palatino Linotype" w:cs="Arial"/>
          <w:sz w:val="24"/>
          <w:szCs w:val="24"/>
        </w:rPr>
      </w:pPr>
      <w:r w:rsidRPr="00B31836">
        <w:rPr>
          <w:rFonts w:ascii="Palatino Linotype" w:eastAsia="MS Mincho" w:hAnsi="Palatino Linotype" w:cs="Arial"/>
          <w:noProof/>
          <w:sz w:val="24"/>
          <w:szCs w:val="24"/>
          <w:lang w:eastAsia="es-MX"/>
        </w:rPr>
        <w:drawing>
          <wp:inline distT="0" distB="0" distL="0" distR="0" wp14:anchorId="62EDFE53" wp14:editId="5EFD0480">
            <wp:extent cx="5742940" cy="6026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602615"/>
                    </a:xfrm>
                    <a:prstGeom prst="rect">
                      <a:avLst/>
                    </a:prstGeom>
                  </pic:spPr>
                </pic:pic>
              </a:graphicData>
            </a:graphic>
          </wp:inline>
        </w:drawing>
      </w:r>
    </w:p>
    <w:p w14:paraId="2F9863DB" w14:textId="77777777" w:rsidR="003D6067" w:rsidRPr="00B31836" w:rsidRDefault="003D6067" w:rsidP="003D6067">
      <w:pPr>
        <w:spacing w:line="360" w:lineRule="auto"/>
        <w:contextualSpacing/>
        <w:jc w:val="both"/>
        <w:rPr>
          <w:rFonts w:ascii="Palatino Linotype" w:eastAsia="MS Mincho" w:hAnsi="Palatino Linotype" w:cs="Arial"/>
          <w:sz w:val="24"/>
          <w:szCs w:val="24"/>
        </w:rPr>
      </w:pPr>
    </w:p>
    <w:p w14:paraId="043B89AD" w14:textId="7505FD89" w:rsidR="003D6067" w:rsidRPr="00B31836" w:rsidRDefault="003D6067" w:rsidP="00CF6481">
      <w:pPr>
        <w:numPr>
          <w:ilvl w:val="0"/>
          <w:numId w:val="3"/>
        </w:numPr>
        <w:spacing w:line="360" w:lineRule="auto"/>
        <w:ind w:left="0" w:right="49" w:firstLine="0"/>
        <w:jc w:val="both"/>
        <w:rPr>
          <w:rFonts w:ascii="Palatino Linotype" w:eastAsia="MS Mincho" w:hAnsi="Palatino Linotype" w:cs="Arial"/>
          <w:sz w:val="24"/>
          <w:szCs w:val="24"/>
        </w:rPr>
      </w:pPr>
      <w:r w:rsidRPr="00B31836">
        <w:rPr>
          <w:rFonts w:ascii="Palatino Linotype" w:eastAsia="MS Mincho" w:hAnsi="Palatino Linotype" w:cs="Arial"/>
          <w:sz w:val="24"/>
          <w:szCs w:val="24"/>
        </w:rPr>
        <w:t>Al respecto de dicha situación, se refiere que e</w:t>
      </w:r>
      <w:r w:rsidRPr="00B31836">
        <w:rPr>
          <w:rFonts w:ascii="Palatino Linotype" w:hAnsi="Palatino Linotype"/>
          <w:sz w:val="24"/>
          <w:szCs w:val="24"/>
        </w:rPr>
        <w:t xml:space="preserve">l derecho de acceso a la información pública es un derecho humano constitucionalmente reconocido en </w:t>
      </w:r>
      <w:r w:rsidRPr="00B31836">
        <w:rPr>
          <w:rFonts w:ascii="Palatino Linotype" w:hAnsi="Palatino Linotype"/>
          <w:sz w:val="24"/>
          <w:szCs w:val="24"/>
        </w:rPr>
        <w:lastRenderedPageBreak/>
        <w:t xml:space="preserve">consecuencia todas las autoridades en el ámbito de sus competencias, funciones y atribuciones tienen la obligación de respetarlo, protegerlo y garantizarlo, así también </w:t>
      </w:r>
      <w:r w:rsidRPr="00B31836">
        <w:rPr>
          <w:rFonts w:ascii="Palatino Linotype" w:hAnsi="Palatino Linotype"/>
          <w:b/>
          <w:sz w:val="24"/>
          <w:szCs w:val="24"/>
        </w:rPr>
        <w:t>es su deber turnar la solicitud de información a todas las áreas dentro de su estructura orgánica que pudieran contar con lo solicitado</w:t>
      </w:r>
      <w:r w:rsidRPr="00B31836">
        <w:rPr>
          <w:rFonts w:ascii="Palatino Linotype" w:hAnsi="Palatino Linotype"/>
          <w:sz w:val="24"/>
          <w:szCs w:val="24"/>
        </w:rPr>
        <w:t>, a fin de dar cabal cumplimiento al derecho humano constitucionalmente reconocido.</w:t>
      </w:r>
    </w:p>
    <w:p w14:paraId="7B1D5F67" w14:textId="77777777" w:rsidR="003D6067" w:rsidRPr="00B31836" w:rsidRDefault="003D6067" w:rsidP="003D6067">
      <w:pPr>
        <w:spacing w:line="360" w:lineRule="auto"/>
        <w:contextualSpacing/>
        <w:jc w:val="both"/>
        <w:rPr>
          <w:rFonts w:ascii="Palatino Linotype" w:eastAsia="MS Mincho" w:hAnsi="Palatino Linotype" w:cs="Arial"/>
          <w:sz w:val="24"/>
          <w:szCs w:val="24"/>
        </w:rPr>
      </w:pPr>
    </w:p>
    <w:p w14:paraId="7B6003C1" w14:textId="69770651" w:rsidR="006B2A7B" w:rsidRPr="00B31836" w:rsidRDefault="006B2A7B" w:rsidP="00CF6481">
      <w:pPr>
        <w:numPr>
          <w:ilvl w:val="0"/>
          <w:numId w:val="3"/>
        </w:numPr>
        <w:spacing w:line="360" w:lineRule="auto"/>
        <w:ind w:left="0" w:right="49" w:firstLine="0"/>
        <w:jc w:val="both"/>
        <w:rPr>
          <w:rFonts w:ascii="Palatino Linotype" w:eastAsiaTheme="minorEastAsia" w:hAnsi="Palatino Linotype" w:cs="Calibri"/>
          <w:b/>
          <w:color w:val="000000"/>
          <w:sz w:val="24"/>
          <w:szCs w:val="24"/>
          <w:lang w:val="es-ES_tradnl"/>
        </w:rPr>
      </w:pPr>
      <w:r w:rsidRPr="00B31836">
        <w:rPr>
          <w:rFonts w:ascii="Palatino Linotype" w:eastAsiaTheme="minorEastAsia" w:hAnsi="Palatino Linotype" w:cs="Calibri"/>
          <w:color w:val="000000"/>
          <w:sz w:val="24"/>
          <w:szCs w:val="24"/>
          <w:lang w:val="es-ES_tradnl"/>
        </w:rPr>
        <w:t>En ese sentido, la Defensoría de Derechos Humanos de Toluca,  Órgano Autónomo que no dio atención a la solicitud de información y del que versa el motivo de inconformidad, se procede a realizar el estudio correspondiente.</w:t>
      </w:r>
    </w:p>
    <w:p w14:paraId="163A4CC3" w14:textId="77777777" w:rsidR="006B2A7B" w:rsidRPr="00B31836" w:rsidRDefault="006B2A7B" w:rsidP="006B2A7B">
      <w:pPr>
        <w:spacing w:line="360" w:lineRule="auto"/>
        <w:ind w:right="49"/>
        <w:jc w:val="both"/>
        <w:rPr>
          <w:rFonts w:ascii="Palatino Linotype" w:eastAsiaTheme="minorEastAsia" w:hAnsi="Palatino Linotype" w:cs="Calibri"/>
          <w:b/>
          <w:color w:val="000000"/>
          <w:sz w:val="24"/>
          <w:szCs w:val="24"/>
          <w:lang w:val="es-ES_tradnl"/>
        </w:rPr>
      </w:pPr>
    </w:p>
    <w:p w14:paraId="1F0C0C6F" w14:textId="5FFCCD91" w:rsidR="00081064" w:rsidRPr="00B31836" w:rsidRDefault="00081064" w:rsidP="00CF6481">
      <w:pPr>
        <w:pStyle w:val="Ttulo1"/>
        <w:numPr>
          <w:ilvl w:val="0"/>
          <w:numId w:val="12"/>
        </w:numPr>
        <w:spacing w:line="360" w:lineRule="auto"/>
        <w:ind w:left="0" w:firstLine="0"/>
        <w:jc w:val="both"/>
        <w:rPr>
          <w:rFonts w:ascii="Palatino Linotype" w:hAnsi="Palatino Linotype"/>
          <w:b/>
          <w:color w:val="000000" w:themeColor="text1"/>
          <w:sz w:val="24"/>
          <w:szCs w:val="24"/>
          <w:lang w:val="es-ES_tradnl"/>
        </w:rPr>
      </w:pPr>
      <w:r w:rsidRPr="00B31836">
        <w:rPr>
          <w:rFonts w:ascii="Palatino Linotype" w:hAnsi="Palatino Linotype"/>
          <w:b/>
          <w:color w:val="000000" w:themeColor="text1"/>
          <w:sz w:val="24"/>
          <w:szCs w:val="24"/>
          <w:lang w:val="es-ES_tradnl"/>
        </w:rPr>
        <w:t xml:space="preserve">De las quejas en trámite. </w:t>
      </w:r>
    </w:p>
    <w:p w14:paraId="00670C3F" w14:textId="77777777" w:rsidR="00081064" w:rsidRPr="00B31836" w:rsidRDefault="00081064" w:rsidP="00081064">
      <w:pPr>
        <w:rPr>
          <w:rFonts w:ascii="Palatino Linotype" w:hAnsi="Palatino Linotype"/>
          <w:sz w:val="24"/>
          <w:szCs w:val="24"/>
          <w:lang w:val="es-ES_tradnl"/>
        </w:rPr>
      </w:pPr>
    </w:p>
    <w:p w14:paraId="2C45BB18" w14:textId="11A4027A" w:rsidR="00081064" w:rsidRPr="00B31836" w:rsidRDefault="00081064" w:rsidP="00CF6481">
      <w:pPr>
        <w:numPr>
          <w:ilvl w:val="0"/>
          <w:numId w:val="3"/>
        </w:numPr>
        <w:spacing w:line="360" w:lineRule="auto"/>
        <w:ind w:left="0" w:right="49" w:firstLine="0"/>
        <w:jc w:val="both"/>
        <w:rPr>
          <w:rFonts w:ascii="Palatino Linotype" w:hAnsi="Palatino Linotype"/>
          <w:sz w:val="24"/>
          <w:szCs w:val="24"/>
          <w:lang w:val="es-ES_tradnl"/>
        </w:rPr>
      </w:pPr>
      <w:r w:rsidRPr="00B31836">
        <w:rPr>
          <w:rFonts w:ascii="Palatino Linotype" w:hAnsi="Palatino Linotype"/>
          <w:sz w:val="24"/>
          <w:szCs w:val="24"/>
        </w:rPr>
        <w:t xml:space="preserve">Ahora bien,  no pasa desapercibido para este Órgano Garante que la solicitud que dio origen al presente recurso de revisión fue realizada el veintiuno de mayo de dos mil veinticuatro, es posible que algunas quejas se encuentren en trámite de investigación, por lo que el Sujeto Obligado deberá emitir acuerdo de clasificación, en el que se acredite la prueba de daño y establecer un plazo de reserva, de conformidad con los artículos 125, 128 y 129 de la Ley de Transparencia y Acceso a la Información Pública del Estado de México y Municipios, situación que se robustece con lo señalado en la Tesis Aislada número I.10o.A.79 A (10a.), (Gaceta del Semanario Judicial de la Federación, Libro 60, Noviembre de 2018, Tomo III, </w:t>
      </w:r>
      <w:proofErr w:type="spellStart"/>
      <w:r w:rsidRPr="00B31836">
        <w:rPr>
          <w:rFonts w:ascii="Palatino Linotype" w:hAnsi="Palatino Linotype"/>
          <w:sz w:val="24"/>
          <w:szCs w:val="24"/>
        </w:rPr>
        <w:t>pag</w:t>
      </w:r>
      <w:proofErr w:type="spellEnd"/>
      <w:r w:rsidRPr="00B31836">
        <w:rPr>
          <w:rFonts w:ascii="Palatino Linotype" w:hAnsi="Palatino Linotype"/>
          <w:sz w:val="24"/>
          <w:szCs w:val="24"/>
        </w:rPr>
        <w:t>. 2318) como se muestra a continuación:</w:t>
      </w:r>
    </w:p>
    <w:p w14:paraId="0A27471D" w14:textId="77777777" w:rsidR="00081064" w:rsidRPr="00B31836" w:rsidRDefault="00081064" w:rsidP="00081064">
      <w:pPr>
        <w:spacing w:line="360" w:lineRule="auto"/>
        <w:jc w:val="both"/>
        <w:rPr>
          <w:rFonts w:ascii="Palatino Linotype" w:hAnsi="Palatino Linotype"/>
          <w:sz w:val="24"/>
          <w:szCs w:val="24"/>
          <w:lang w:val="es-ES_tradnl"/>
        </w:rPr>
      </w:pPr>
    </w:p>
    <w:p w14:paraId="1FDFCA46" w14:textId="77777777" w:rsidR="00081064" w:rsidRPr="00B31836" w:rsidRDefault="00081064" w:rsidP="00081064">
      <w:pPr>
        <w:spacing w:line="360" w:lineRule="auto"/>
        <w:jc w:val="both"/>
        <w:rPr>
          <w:rFonts w:ascii="Palatino Linotype" w:hAnsi="Palatino Linotype"/>
          <w:sz w:val="24"/>
          <w:szCs w:val="24"/>
          <w:lang w:val="es-ES_tradnl"/>
        </w:rPr>
      </w:pPr>
    </w:p>
    <w:p w14:paraId="675FB5BF" w14:textId="77777777" w:rsidR="00081064" w:rsidRPr="00B31836" w:rsidRDefault="00081064" w:rsidP="00081064">
      <w:pPr>
        <w:spacing w:line="360" w:lineRule="auto"/>
        <w:ind w:left="567" w:right="900"/>
        <w:jc w:val="both"/>
        <w:rPr>
          <w:rFonts w:ascii="Palatino Linotype" w:hAnsi="Palatino Linotype"/>
          <w:b/>
          <w:i/>
          <w:sz w:val="24"/>
          <w:szCs w:val="24"/>
        </w:rPr>
      </w:pPr>
      <w:r w:rsidRPr="00B31836">
        <w:rPr>
          <w:rFonts w:ascii="Palatino Linotype" w:hAnsi="Palatino Linotype"/>
          <w:b/>
          <w:i/>
          <w:sz w:val="24"/>
          <w:szCs w:val="24"/>
        </w:rPr>
        <w:t xml:space="preserve">PRUEBA DE DAÑO EN LA CLASIFICACIÓN DE LA INFORMACIÓN PÚBLICA. SU VALIDEZ NO DEPENDE DE LOS MEDIOS DE PRUEBA QUE EL SUJETO OBLIGADO APORTE. </w:t>
      </w:r>
    </w:p>
    <w:p w14:paraId="5DCC43D1" w14:textId="77777777" w:rsidR="00081064" w:rsidRPr="00B31836" w:rsidRDefault="00081064" w:rsidP="00081064">
      <w:pPr>
        <w:tabs>
          <w:tab w:val="left" w:pos="2145"/>
        </w:tabs>
        <w:spacing w:line="360" w:lineRule="auto"/>
        <w:ind w:left="567" w:right="900"/>
        <w:jc w:val="both"/>
        <w:rPr>
          <w:rFonts w:ascii="Palatino Linotype" w:hAnsi="Palatino Linotype"/>
          <w:i/>
          <w:sz w:val="24"/>
          <w:szCs w:val="24"/>
        </w:rPr>
      </w:pPr>
      <w:r w:rsidRPr="00B31836">
        <w:rPr>
          <w:rFonts w:ascii="Palatino Linotype" w:hAnsi="Palatino Linotype"/>
          <w:i/>
          <w:sz w:val="24"/>
          <w:szCs w:val="24"/>
        </w:rPr>
        <w:tab/>
      </w:r>
    </w:p>
    <w:p w14:paraId="00528431" w14:textId="77777777" w:rsidR="00081064" w:rsidRPr="00B31836" w:rsidRDefault="00081064" w:rsidP="00081064">
      <w:pPr>
        <w:spacing w:line="360" w:lineRule="auto"/>
        <w:ind w:left="567" w:right="900"/>
        <w:jc w:val="both"/>
        <w:rPr>
          <w:rFonts w:ascii="Palatino Linotype" w:hAnsi="Palatino Linotype"/>
          <w:i/>
          <w:sz w:val="24"/>
          <w:szCs w:val="24"/>
        </w:rPr>
      </w:pPr>
      <w:r w:rsidRPr="00B31836">
        <w:rPr>
          <w:rFonts w:ascii="Palatino Linotype" w:hAnsi="Palatino Linotype"/>
          <w:i/>
          <w:sz w:val="24"/>
          <w:szCs w:val="24"/>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w:t>
      </w:r>
      <w:r w:rsidRPr="00B31836">
        <w:rPr>
          <w:rFonts w:ascii="Palatino Linotype" w:hAnsi="Palatino Linotype"/>
          <w:i/>
          <w:sz w:val="24"/>
          <w:szCs w:val="24"/>
        </w:rPr>
        <w:lastRenderedPageBreak/>
        <w:t>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14:paraId="78A6086A" w14:textId="77777777" w:rsidR="00081064" w:rsidRPr="00B31836" w:rsidRDefault="00081064" w:rsidP="00081064">
      <w:pPr>
        <w:spacing w:line="360" w:lineRule="auto"/>
        <w:ind w:left="567" w:right="616"/>
        <w:jc w:val="both"/>
        <w:rPr>
          <w:rFonts w:ascii="Palatino Linotype" w:hAnsi="Palatino Linotype" w:cs="Arial"/>
          <w:i/>
          <w:sz w:val="24"/>
          <w:szCs w:val="24"/>
          <w:lang w:val="es-ES_tradnl"/>
        </w:rPr>
      </w:pPr>
    </w:p>
    <w:p w14:paraId="149DC8B1" w14:textId="77777777" w:rsidR="00081064" w:rsidRPr="00B31836" w:rsidRDefault="00081064" w:rsidP="00081064">
      <w:pPr>
        <w:spacing w:line="360" w:lineRule="auto"/>
        <w:jc w:val="both"/>
        <w:rPr>
          <w:rFonts w:ascii="Palatino Linotype" w:hAnsi="Palatino Linotype" w:cs="Arial"/>
          <w:sz w:val="24"/>
          <w:szCs w:val="24"/>
          <w:lang w:val="es-ES_tradnl"/>
        </w:rPr>
      </w:pPr>
    </w:p>
    <w:p w14:paraId="0428EBAC"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lang w:val="es-ES_tradnl"/>
        </w:rPr>
      </w:pPr>
      <w:r w:rsidRPr="00B31836">
        <w:rPr>
          <w:rFonts w:ascii="Palatino Linotype" w:hAnsi="Palatino Linotype" w:cs="Arial"/>
          <w:sz w:val="24"/>
          <w:szCs w:val="24"/>
        </w:rPr>
        <w:t>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desarrollar la prueba de daño de acuerdo a lo establecido en los Lineamientos Generales en materia de Clasificación y Desclasificación de la Información, así como para Elaboración de Versiones Públicas, misma que será caso por caso, ya que no se podrá clasificar la información únicamente por estar vinculada con los supuestos establecidos en la Ley sino que además se demostrará que efectivamente dar a conocer la información podría afectar las funciones y el actuar de los diversos sujetos obligados .</w:t>
      </w:r>
    </w:p>
    <w:p w14:paraId="30E5CFE5" w14:textId="77777777" w:rsidR="00081064" w:rsidRPr="00B31836" w:rsidRDefault="00081064" w:rsidP="00081064">
      <w:pPr>
        <w:pStyle w:val="Prrafodelista"/>
        <w:spacing w:line="360" w:lineRule="auto"/>
        <w:ind w:left="0"/>
        <w:jc w:val="both"/>
        <w:rPr>
          <w:rFonts w:ascii="Palatino Linotype" w:hAnsi="Palatino Linotype" w:cs="Arial"/>
          <w:sz w:val="24"/>
          <w:lang w:val="es-ES_tradnl"/>
        </w:rPr>
      </w:pPr>
    </w:p>
    <w:p w14:paraId="7B6556AF"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lang w:val="es-ES_tradnl"/>
        </w:rPr>
      </w:pPr>
      <w:r w:rsidRPr="00B31836">
        <w:rPr>
          <w:rFonts w:ascii="Palatino Linotype" w:hAnsi="Palatino Linotype"/>
          <w:sz w:val="24"/>
          <w:szCs w:val="24"/>
        </w:rPr>
        <w:lastRenderedPageBreak/>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79BB7740" w14:textId="77777777" w:rsidR="00081064" w:rsidRPr="00B31836" w:rsidRDefault="00081064" w:rsidP="00081064">
      <w:pPr>
        <w:pStyle w:val="Prrafodelista"/>
        <w:spacing w:line="360" w:lineRule="auto"/>
        <w:ind w:left="0"/>
        <w:jc w:val="both"/>
        <w:rPr>
          <w:rFonts w:ascii="Palatino Linotype" w:hAnsi="Palatino Linotype" w:cs="Arial"/>
          <w:sz w:val="24"/>
          <w:lang w:val="es-ES_tradnl"/>
        </w:rPr>
      </w:pPr>
    </w:p>
    <w:p w14:paraId="27DABFDF"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lang w:val="es-ES_tradnl"/>
        </w:rPr>
      </w:pPr>
      <w:r w:rsidRPr="00B31836">
        <w:rPr>
          <w:rFonts w:ascii="Palatino Linotype" w:hAnsi="Palatino Linotype"/>
          <w:sz w:val="24"/>
          <w:szCs w:val="24"/>
        </w:rPr>
        <w:t>Ahora bien, por lo que hace a las quejas que se encuentren en expedientes en trámite, es necesario señalar que las mismas deben ser clasificadas como reservadas de acuerdo a la fracción VIII del artículo 140 de la Ley de Transparencia y Acceso a la Información Pública del Estado de México y Municipios, para acreditar lo anterior, se desarrolla el siguiente análisis.</w:t>
      </w:r>
    </w:p>
    <w:p w14:paraId="0DFF9DF7" w14:textId="77777777" w:rsidR="00081064" w:rsidRPr="00B31836" w:rsidRDefault="00081064" w:rsidP="00081064">
      <w:pPr>
        <w:pStyle w:val="Prrafodelista"/>
        <w:spacing w:line="360" w:lineRule="auto"/>
        <w:jc w:val="both"/>
        <w:rPr>
          <w:rFonts w:ascii="Palatino Linotype" w:hAnsi="Palatino Linotype" w:cs="Arial"/>
          <w:sz w:val="24"/>
          <w:lang w:val="es-ES_tradnl"/>
        </w:rPr>
      </w:pPr>
    </w:p>
    <w:p w14:paraId="225BB8F1"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lang w:val="es-ES_tradnl"/>
        </w:rPr>
      </w:pPr>
      <w:r w:rsidRPr="00B31836">
        <w:rPr>
          <w:rFonts w:ascii="Palatino Linotype" w:hAnsi="Palatino Linotype" w:cs="Arial"/>
          <w:sz w:val="24"/>
          <w:szCs w:val="24"/>
        </w:rPr>
        <w:t xml:space="preserve">En principio, el artículo 140, fracción VIII, de la Ley de Transparencia y Acceso a la Información Pública del Estado de México y Municipios (homólogo al artículo 113, fracción XI de la Ley General de Transparencia y Acceso a la Información Pública), precisa lo siguiente: </w:t>
      </w:r>
    </w:p>
    <w:p w14:paraId="33D2AF79" w14:textId="77777777" w:rsidR="00081064" w:rsidRPr="00B31836" w:rsidRDefault="00081064" w:rsidP="00081064">
      <w:pPr>
        <w:pStyle w:val="Prrafodelista"/>
        <w:spacing w:line="360" w:lineRule="auto"/>
        <w:jc w:val="both"/>
        <w:rPr>
          <w:rFonts w:ascii="Palatino Linotype" w:hAnsi="Palatino Linotype" w:cs="Arial"/>
          <w:sz w:val="24"/>
        </w:rPr>
      </w:pPr>
    </w:p>
    <w:p w14:paraId="34A27818"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r w:rsidRPr="00B31836">
        <w:rPr>
          <w:rFonts w:ascii="Palatino Linotype" w:hAnsi="Palatino Linotype" w:cs="Arial"/>
          <w:i/>
          <w:sz w:val="24"/>
        </w:rPr>
        <w:t>“</w:t>
      </w:r>
      <w:r w:rsidRPr="00B31836">
        <w:rPr>
          <w:rFonts w:ascii="Palatino Linotype" w:hAnsi="Palatino Linotype" w:cs="Arial"/>
          <w:b/>
          <w:i/>
          <w:sz w:val="24"/>
        </w:rPr>
        <w:t>Artículo 140.</w:t>
      </w:r>
      <w:r w:rsidRPr="00B31836">
        <w:rPr>
          <w:rFonts w:ascii="Palatino Linotype" w:hAnsi="Palatino Linotype" w:cs="Arial"/>
          <w:i/>
          <w:sz w:val="24"/>
        </w:rPr>
        <w:t xml:space="preserve"> El acceso a la información pública será restringido excepcionalmente, cuando por razones de interés público, ésta sea clasificada como reservada, conforme a los criterios siguientes: </w:t>
      </w:r>
    </w:p>
    <w:p w14:paraId="57E600F7"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p>
    <w:p w14:paraId="2DBFF22D"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r w:rsidRPr="00B31836">
        <w:rPr>
          <w:rFonts w:ascii="Palatino Linotype" w:hAnsi="Palatino Linotype" w:cs="Arial"/>
          <w:i/>
          <w:sz w:val="24"/>
        </w:rPr>
        <w:t>(…)</w:t>
      </w:r>
    </w:p>
    <w:p w14:paraId="37BA7826"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p>
    <w:p w14:paraId="07A00E71"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r w:rsidRPr="00B31836">
        <w:rPr>
          <w:rFonts w:ascii="Palatino Linotype" w:hAnsi="Palatino Linotype" w:cs="Arial"/>
          <w:b/>
          <w:i/>
          <w:sz w:val="24"/>
        </w:rPr>
        <w:t>VIII.</w:t>
      </w:r>
      <w:r w:rsidRPr="00B31836">
        <w:rPr>
          <w:rFonts w:ascii="Palatino Linotype" w:hAnsi="Palatino Linotype" w:cs="Arial"/>
          <w:i/>
          <w:sz w:val="24"/>
        </w:rPr>
        <w:t xml:space="preserve"> Vulnere la conducción de los expedientes judiciales o de los procedimientos administrativos seguidos en forma de juicio, en tanto no hayan quedado firmes; </w:t>
      </w:r>
    </w:p>
    <w:p w14:paraId="2256C737"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p>
    <w:p w14:paraId="76254B5D" w14:textId="77777777" w:rsidR="00081064" w:rsidRPr="00B31836" w:rsidRDefault="00081064" w:rsidP="00081064">
      <w:pPr>
        <w:pStyle w:val="Prrafodelista"/>
        <w:spacing w:line="360" w:lineRule="auto"/>
        <w:ind w:left="567" w:right="616"/>
        <w:jc w:val="both"/>
        <w:rPr>
          <w:rFonts w:ascii="Palatino Linotype" w:hAnsi="Palatino Linotype" w:cs="Arial"/>
          <w:i/>
          <w:sz w:val="24"/>
        </w:rPr>
      </w:pPr>
      <w:r w:rsidRPr="00B31836">
        <w:rPr>
          <w:rFonts w:ascii="Palatino Linotype" w:hAnsi="Palatino Linotype" w:cs="Arial"/>
          <w:i/>
          <w:sz w:val="24"/>
        </w:rPr>
        <w:t>(…)”</w:t>
      </w:r>
    </w:p>
    <w:p w14:paraId="0FC92C71" w14:textId="77777777" w:rsidR="00081064" w:rsidRPr="00B31836" w:rsidRDefault="00081064" w:rsidP="00081064">
      <w:pPr>
        <w:spacing w:line="360" w:lineRule="auto"/>
        <w:ind w:right="616"/>
        <w:jc w:val="both"/>
        <w:rPr>
          <w:rFonts w:ascii="Palatino Linotype" w:hAnsi="Palatino Linotype" w:cs="Arial"/>
          <w:i/>
          <w:sz w:val="24"/>
          <w:szCs w:val="24"/>
        </w:rPr>
      </w:pPr>
    </w:p>
    <w:p w14:paraId="33BAB60E"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rPr>
      </w:pPr>
      <w:r w:rsidRPr="00B31836">
        <w:rPr>
          <w:rFonts w:ascii="Palatino Linotype" w:hAnsi="Palatino Linotype"/>
          <w:sz w:val="24"/>
          <w:szCs w:val="24"/>
        </w:rPr>
        <w:t xml:space="preserve">Por su parte, en los Lineamientos Generales en materia de clasificación y desclasificación de la información, así como para la elaboración de versiones públicas, se prevé lo siguiente: </w:t>
      </w:r>
    </w:p>
    <w:p w14:paraId="1CE70A1C" w14:textId="77777777" w:rsidR="00081064" w:rsidRPr="00B31836" w:rsidRDefault="00081064" w:rsidP="00081064">
      <w:pPr>
        <w:pStyle w:val="Prrafodelista"/>
        <w:spacing w:line="360" w:lineRule="auto"/>
        <w:ind w:left="360"/>
        <w:jc w:val="both"/>
        <w:rPr>
          <w:rFonts w:ascii="Palatino Linotype" w:hAnsi="Palatino Linotype" w:cs="Arial"/>
          <w:sz w:val="24"/>
        </w:rPr>
      </w:pPr>
    </w:p>
    <w:p w14:paraId="667B9189"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w:t>
      </w:r>
      <w:r w:rsidRPr="00B31836">
        <w:rPr>
          <w:rFonts w:ascii="Palatino Linotype" w:hAnsi="Palatino Linotype"/>
          <w:b/>
          <w:i/>
          <w:sz w:val="24"/>
          <w:szCs w:val="24"/>
        </w:rPr>
        <w:t>Trigésimo.</w:t>
      </w:r>
      <w:r w:rsidRPr="00B31836">
        <w:rPr>
          <w:rFonts w:ascii="Palatino Linotype" w:hAnsi="Palatino Linotype"/>
          <w:i/>
          <w:sz w:val="24"/>
          <w:szCs w:val="24"/>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2D8B2BE8" w14:textId="77777777" w:rsidR="00081064" w:rsidRPr="00B31836" w:rsidRDefault="00081064" w:rsidP="00081064">
      <w:pPr>
        <w:spacing w:line="360" w:lineRule="auto"/>
        <w:ind w:left="567" w:right="616"/>
        <w:jc w:val="both"/>
        <w:rPr>
          <w:rFonts w:ascii="Palatino Linotype" w:hAnsi="Palatino Linotype"/>
          <w:i/>
          <w:sz w:val="24"/>
          <w:szCs w:val="24"/>
        </w:rPr>
      </w:pPr>
    </w:p>
    <w:p w14:paraId="4F2035C7"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 xml:space="preserve">I. La existencia de un juicio o procedimiento administrativo materialmente jurisdiccional, que se encuentre en trámite, y </w:t>
      </w:r>
    </w:p>
    <w:p w14:paraId="21BBEC9C" w14:textId="77777777" w:rsidR="00081064" w:rsidRPr="00B31836" w:rsidRDefault="00081064" w:rsidP="00081064">
      <w:pPr>
        <w:spacing w:line="360" w:lineRule="auto"/>
        <w:ind w:left="567" w:right="616"/>
        <w:jc w:val="both"/>
        <w:rPr>
          <w:rFonts w:ascii="Palatino Linotype" w:hAnsi="Palatino Linotype"/>
          <w:i/>
          <w:sz w:val="24"/>
          <w:szCs w:val="24"/>
        </w:rPr>
      </w:pPr>
    </w:p>
    <w:p w14:paraId="4170E3EE"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 xml:space="preserve">II. Que la información solicitada se refiera a actuaciones, diligencias o constancias propias del procedimiento. </w:t>
      </w:r>
    </w:p>
    <w:p w14:paraId="22E4F156" w14:textId="77777777" w:rsidR="00081064" w:rsidRPr="00B31836" w:rsidRDefault="00081064" w:rsidP="00081064">
      <w:pPr>
        <w:spacing w:line="360" w:lineRule="auto"/>
        <w:ind w:left="567" w:right="616"/>
        <w:jc w:val="both"/>
        <w:rPr>
          <w:rFonts w:ascii="Palatino Linotype" w:hAnsi="Palatino Linotype"/>
          <w:i/>
          <w:sz w:val="24"/>
          <w:szCs w:val="24"/>
        </w:rPr>
      </w:pPr>
    </w:p>
    <w:p w14:paraId="440B3BD8"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lastRenderedPageBreak/>
        <w:t xml:space="preserve">Para los efectos del primer párrafo de este numeral, se considera procedimiento seguido en forma de juicio a aquel formalmente administrativo, pero materialmente jurisdiccional; esto es, en el que concurran los siguientes elementos: </w:t>
      </w:r>
    </w:p>
    <w:p w14:paraId="7E03B1DF" w14:textId="77777777" w:rsidR="00081064" w:rsidRPr="00B31836" w:rsidRDefault="00081064" w:rsidP="00081064">
      <w:pPr>
        <w:spacing w:line="360" w:lineRule="auto"/>
        <w:ind w:left="567" w:right="616"/>
        <w:jc w:val="both"/>
        <w:rPr>
          <w:rFonts w:ascii="Palatino Linotype" w:hAnsi="Palatino Linotype"/>
          <w:i/>
          <w:sz w:val="24"/>
          <w:szCs w:val="24"/>
        </w:rPr>
      </w:pPr>
    </w:p>
    <w:p w14:paraId="6ECBA122"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14F18F90" w14:textId="77777777" w:rsidR="00081064" w:rsidRPr="00B31836" w:rsidRDefault="00081064" w:rsidP="00081064">
      <w:pPr>
        <w:spacing w:line="360" w:lineRule="auto"/>
        <w:ind w:left="567" w:right="616"/>
        <w:jc w:val="both"/>
        <w:rPr>
          <w:rFonts w:ascii="Palatino Linotype" w:hAnsi="Palatino Linotype"/>
          <w:i/>
          <w:sz w:val="24"/>
          <w:szCs w:val="24"/>
        </w:rPr>
      </w:pPr>
    </w:p>
    <w:p w14:paraId="121D44AF"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 xml:space="preserve">2. Que se cumplan las formalidades esenciales del procedimiento. </w:t>
      </w:r>
    </w:p>
    <w:p w14:paraId="07E097FD" w14:textId="77777777" w:rsidR="00081064" w:rsidRPr="00B31836" w:rsidRDefault="00081064" w:rsidP="00081064">
      <w:pPr>
        <w:spacing w:line="360" w:lineRule="auto"/>
        <w:ind w:left="567" w:right="616"/>
        <w:jc w:val="both"/>
        <w:rPr>
          <w:rFonts w:ascii="Palatino Linotype" w:hAnsi="Palatino Linotype"/>
          <w:i/>
          <w:sz w:val="24"/>
          <w:szCs w:val="24"/>
        </w:rPr>
      </w:pPr>
    </w:p>
    <w:p w14:paraId="4E33710B"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26848C50" w14:textId="77777777" w:rsidR="00081064" w:rsidRPr="00B31836" w:rsidRDefault="00081064" w:rsidP="00081064">
      <w:pPr>
        <w:spacing w:line="360" w:lineRule="auto"/>
        <w:ind w:left="567" w:right="616"/>
        <w:jc w:val="both"/>
        <w:rPr>
          <w:rFonts w:ascii="Palatino Linotype" w:hAnsi="Palatino Linotype"/>
          <w:i/>
          <w:sz w:val="24"/>
          <w:szCs w:val="24"/>
        </w:rPr>
      </w:pPr>
    </w:p>
    <w:p w14:paraId="4607A052" w14:textId="77777777" w:rsidR="00081064" w:rsidRPr="00B31836" w:rsidRDefault="00081064" w:rsidP="00CF6481">
      <w:pPr>
        <w:numPr>
          <w:ilvl w:val="0"/>
          <w:numId w:val="3"/>
        </w:numPr>
        <w:spacing w:line="360" w:lineRule="auto"/>
        <w:ind w:left="0" w:right="49" w:firstLine="0"/>
        <w:jc w:val="both"/>
        <w:rPr>
          <w:rFonts w:ascii="Palatino Linotype" w:hAnsi="Palatino Linotype"/>
          <w:i/>
          <w:sz w:val="24"/>
          <w:szCs w:val="24"/>
        </w:rPr>
      </w:pPr>
      <w:r w:rsidRPr="00B31836">
        <w:rPr>
          <w:rFonts w:ascii="Palatino Linotype" w:hAnsi="Palatino Linotype"/>
          <w:sz w:val="24"/>
          <w:szCs w:val="24"/>
        </w:rPr>
        <w:t>De la normatividad citada, se desprende que el supuesto de clasificación invocado prevé que, como información reservada, a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2D9E39AA" w14:textId="77777777" w:rsidR="00081064" w:rsidRPr="00B31836" w:rsidRDefault="00081064" w:rsidP="00081064">
      <w:pPr>
        <w:spacing w:line="360" w:lineRule="auto"/>
        <w:ind w:right="616"/>
        <w:jc w:val="both"/>
        <w:rPr>
          <w:rFonts w:ascii="Palatino Linotype" w:hAnsi="Palatino Linotype"/>
          <w:i/>
          <w:sz w:val="24"/>
          <w:szCs w:val="24"/>
        </w:rPr>
      </w:pPr>
    </w:p>
    <w:p w14:paraId="2A16FA5D" w14:textId="77777777" w:rsidR="00081064" w:rsidRPr="00B31836" w:rsidRDefault="00081064" w:rsidP="00CF6481">
      <w:pPr>
        <w:pStyle w:val="Prrafodelista"/>
        <w:numPr>
          <w:ilvl w:val="0"/>
          <w:numId w:val="13"/>
        </w:numPr>
        <w:spacing w:line="360" w:lineRule="auto"/>
        <w:ind w:right="616"/>
        <w:contextualSpacing w:val="0"/>
        <w:jc w:val="both"/>
        <w:rPr>
          <w:rFonts w:ascii="Palatino Linotype" w:hAnsi="Palatino Linotype"/>
          <w:sz w:val="24"/>
        </w:rPr>
      </w:pPr>
      <w:r w:rsidRPr="00B31836">
        <w:rPr>
          <w:rFonts w:ascii="Palatino Linotype" w:hAnsi="Palatino Linotype"/>
          <w:sz w:val="24"/>
        </w:rPr>
        <w:t>La existencia de un juicio o procedimiento administrativo materialmente jurisdiccional, que se encuentre en trámite, y</w:t>
      </w:r>
    </w:p>
    <w:p w14:paraId="4E8F7FD3" w14:textId="77777777" w:rsidR="00081064" w:rsidRPr="00B31836" w:rsidRDefault="00081064" w:rsidP="00081064">
      <w:pPr>
        <w:pStyle w:val="Prrafodelista"/>
        <w:spacing w:line="360" w:lineRule="auto"/>
        <w:ind w:left="735" w:right="616"/>
        <w:jc w:val="both"/>
        <w:rPr>
          <w:rFonts w:ascii="Palatino Linotype" w:hAnsi="Palatino Linotype"/>
          <w:sz w:val="24"/>
        </w:rPr>
      </w:pPr>
    </w:p>
    <w:p w14:paraId="7227AAC6" w14:textId="77777777" w:rsidR="00081064" w:rsidRPr="00B31836" w:rsidRDefault="00081064" w:rsidP="00CF6481">
      <w:pPr>
        <w:pStyle w:val="Prrafodelista"/>
        <w:numPr>
          <w:ilvl w:val="0"/>
          <w:numId w:val="13"/>
        </w:numPr>
        <w:spacing w:line="360" w:lineRule="auto"/>
        <w:ind w:right="616"/>
        <w:contextualSpacing w:val="0"/>
        <w:jc w:val="both"/>
        <w:rPr>
          <w:rFonts w:ascii="Palatino Linotype" w:hAnsi="Palatino Linotype"/>
          <w:sz w:val="24"/>
        </w:rPr>
      </w:pPr>
      <w:r w:rsidRPr="00B31836">
        <w:rPr>
          <w:rFonts w:ascii="Palatino Linotype" w:hAnsi="Palatino Linotype"/>
          <w:sz w:val="24"/>
        </w:rPr>
        <w:t>Que la información solicitada se refiera a actuaciones, diligencias o constancias propias del procedimiento.</w:t>
      </w:r>
    </w:p>
    <w:p w14:paraId="76CF680F" w14:textId="77777777" w:rsidR="00081064" w:rsidRPr="00B31836" w:rsidRDefault="00081064" w:rsidP="00081064">
      <w:pPr>
        <w:pStyle w:val="Prrafodelista"/>
        <w:spacing w:line="360" w:lineRule="auto"/>
        <w:jc w:val="both"/>
        <w:rPr>
          <w:rFonts w:ascii="Palatino Linotype" w:hAnsi="Palatino Linotype"/>
          <w:i/>
          <w:sz w:val="24"/>
        </w:rPr>
      </w:pPr>
    </w:p>
    <w:p w14:paraId="0DD80AA7" w14:textId="77777777" w:rsidR="00081064" w:rsidRPr="00B31836" w:rsidRDefault="00081064" w:rsidP="00CF6481">
      <w:pPr>
        <w:numPr>
          <w:ilvl w:val="0"/>
          <w:numId w:val="3"/>
        </w:numPr>
        <w:spacing w:line="360" w:lineRule="auto"/>
        <w:ind w:left="0" w:right="49" w:firstLine="0"/>
        <w:jc w:val="both"/>
        <w:rPr>
          <w:rFonts w:ascii="Palatino Linotype" w:hAnsi="Palatino Linotype"/>
          <w:i/>
          <w:sz w:val="24"/>
          <w:szCs w:val="24"/>
        </w:rPr>
      </w:pPr>
      <w:r w:rsidRPr="00B31836">
        <w:rPr>
          <w:rFonts w:ascii="Palatino Linotype" w:hAnsi="Palatino Linotype"/>
          <w:sz w:val="24"/>
          <w:szCs w:val="24"/>
        </w:rPr>
        <w:t>Con base en lo expuesto, se advierte que la información susceptible de clasificarse como reservada bajo el artículo 140, fracción VIII, de la Ley de la materia, es aquella cuya difusión vulnere la conducción de los expedientes de procedimientos administrativos seguidos en forma de juicio, que sigan en trámite.</w:t>
      </w:r>
    </w:p>
    <w:p w14:paraId="341D5E3E" w14:textId="77777777" w:rsidR="00081064" w:rsidRPr="00B31836" w:rsidRDefault="00081064" w:rsidP="00081064">
      <w:pPr>
        <w:pStyle w:val="Prrafodelista"/>
        <w:spacing w:line="360" w:lineRule="auto"/>
        <w:ind w:left="360" w:right="616"/>
        <w:jc w:val="both"/>
        <w:rPr>
          <w:rFonts w:ascii="Palatino Linotype" w:hAnsi="Palatino Linotype"/>
          <w:i/>
          <w:sz w:val="24"/>
        </w:rPr>
      </w:pPr>
    </w:p>
    <w:p w14:paraId="65B5457D" w14:textId="77777777" w:rsidR="00081064" w:rsidRPr="00B31836" w:rsidRDefault="00081064" w:rsidP="00CF6481">
      <w:pPr>
        <w:numPr>
          <w:ilvl w:val="0"/>
          <w:numId w:val="3"/>
        </w:numPr>
        <w:spacing w:line="360" w:lineRule="auto"/>
        <w:ind w:left="0" w:right="49" w:firstLine="0"/>
        <w:jc w:val="both"/>
        <w:rPr>
          <w:rFonts w:ascii="Palatino Linotype" w:hAnsi="Palatino Linotype"/>
          <w:i/>
          <w:sz w:val="24"/>
          <w:szCs w:val="24"/>
        </w:rPr>
      </w:pPr>
      <w:r w:rsidRPr="00B31836">
        <w:rPr>
          <w:rFonts w:ascii="Palatino Linotype" w:hAnsi="Palatino Linotype"/>
          <w:sz w:val="24"/>
          <w:szCs w:val="24"/>
        </w:rPr>
        <w:t>En relación con lo anterior, es menester precisar que para que se trate de un juicio o procedimiento administrativo materialmente jurisdiccional, debe cumplirse con lo dispuesto en los Lineamientos Generales en materia de clasificación y desclasificación de la información, así como lo sostenido por la Segunda Sala de la Suprema Corte de Justicia de la Nación, en la Tesis 2a./J. 22/2003, consistente en que un “procedimiento en forma de juicio”, debe entenderse lato sensu,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 tal como se muestra a continuación:</w:t>
      </w:r>
    </w:p>
    <w:p w14:paraId="7637CBDC" w14:textId="77777777" w:rsidR="00081064" w:rsidRPr="00B31836" w:rsidRDefault="00081064" w:rsidP="00081064">
      <w:pPr>
        <w:pStyle w:val="Prrafodelista"/>
        <w:spacing w:line="360" w:lineRule="auto"/>
        <w:jc w:val="both"/>
        <w:rPr>
          <w:rFonts w:ascii="Palatino Linotype" w:hAnsi="Palatino Linotype"/>
          <w:i/>
          <w:sz w:val="24"/>
        </w:rPr>
      </w:pPr>
    </w:p>
    <w:p w14:paraId="5594B600" w14:textId="77777777" w:rsidR="00081064" w:rsidRPr="00B31836" w:rsidRDefault="00081064" w:rsidP="00081064">
      <w:pPr>
        <w:pStyle w:val="Prrafodelista"/>
        <w:spacing w:line="360" w:lineRule="auto"/>
        <w:ind w:left="0" w:right="616"/>
        <w:jc w:val="both"/>
        <w:rPr>
          <w:rFonts w:ascii="Palatino Linotype" w:hAnsi="Palatino Linotype"/>
          <w:i/>
          <w:sz w:val="24"/>
        </w:rPr>
      </w:pPr>
    </w:p>
    <w:p w14:paraId="4516FA3D" w14:textId="77777777" w:rsidR="00081064" w:rsidRPr="00B31836" w:rsidRDefault="00081064" w:rsidP="00081064">
      <w:pPr>
        <w:pStyle w:val="Prrafodelista"/>
        <w:spacing w:line="360" w:lineRule="auto"/>
        <w:ind w:right="616"/>
        <w:jc w:val="both"/>
        <w:rPr>
          <w:rFonts w:ascii="Palatino Linotype" w:hAnsi="Palatino Linotype"/>
          <w:sz w:val="24"/>
        </w:rPr>
      </w:pPr>
      <w:r w:rsidRPr="00B31836">
        <w:rPr>
          <w:rFonts w:ascii="Palatino Linotype" w:hAnsi="Palatino Linotype"/>
          <w:sz w:val="24"/>
        </w:rPr>
        <w:t>“</w:t>
      </w:r>
      <w:r w:rsidRPr="00B31836">
        <w:rPr>
          <w:rFonts w:ascii="Palatino Linotype" w:hAnsi="Palatino Linotype"/>
          <w:b/>
          <w:sz w:val="24"/>
        </w:rPr>
        <w:t>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w:t>
      </w:r>
      <w:r w:rsidRPr="00B31836">
        <w:rPr>
          <w:rFonts w:ascii="Palatino Linotype" w:hAnsi="Palatino Linotype"/>
          <w:sz w:val="24"/>
        </w:rPr>
        <w:t xml:space="preserve"> 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w:t>
      </w:r>
      <w:proofErr w:type="spellStart"/>
      <w:r w:rsidRPr="00B31836">
        <w:rPr>
          <w:rFonts w:ascii="Palatino Linotype" w:hAnsi="Palatino Linotype"/>
          <w:sz w:val="24"/>
        </w:rPr>
        <w:t>laprotección</w:t>
      </w:r>
      <w:proofErr w:type="spellEnd"/>
      <w:r w:rsidRPr="00B31836">
        <w:rPr>
          <w:rFonts w:ascii="Palatino Linotype" w:hAnsi="Palatino Linotype"/>
          <w:sz w:val="24"/>
        </w:rPr>
        <w:t xml:space="preserve"> de las garantías constitucionales del gobernado, con la necesidad de asegurar la </w:t>
      </w:r>
      <w:proofErr w:type="spellStart"/>
      <w:r w:rsidRPr="00B31836">
        <w:rPr>
          <w:rFonts w:ascii="Palatino Linotype" w:hAnsi="Palatino Linotype"/>
          <w:sz w:val="24"/>
        </w:rPr>
        <w:t>expeditez</w:t>
      </w:r>
      <w:proofErr w:type="spellEnd"/>
      <w:r w:rsidRPr="00B31836">
        <w:rPr>
          <w:rFonts w:ascii="Palatino Linotype" w:hAnsi="Palatino Linotype"/>
          <w:sz w:val="24"/>
        </w:rPr>
        <w:t xml:space="preserve"> de las diligencias procedimentales. Tal es la estructura que dicha Ley adopta en el amparo directo, así como en los procedimientos de ejecución y en los procedimientos de remate, como lo establece en sus artículos 158 y 114, fracción III, respectivamente. Por tanto, al establecer el segundo párrafo de la fracción II del artículo 114 acabado de citar, que cuando el acto reclamado de autoridades distintas </w:t>
      </w:r>
      <w:r w:rsidRPr="00B31836">
        <w:rPr>
          <w:rFonts w:ascii="Palatino Linotype" w:hAnsi="Palatino Linotype"/>
          <w:sz w:val="24"/>
        </w:rPr>
        <w:lastRenderedPageBreak/>
        <w:t>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1D8AC0A4" w14:textId="77777777" w:rsidR="00081064" w:rsidRPr="00B31836" w:rsidRDefault="00081064" w:rsidP="00081064">
      <w:pPr>
        <w:spacing w:line="360" w:lineRule="auto"/>
        <w:jc w:val="both"/>
        <w:rPr>
          <w:rFonts w:ascii="Palatino Linotype" w:hAnsi="Palatino Linotype"/>
          <w:sz w:val="24"/>
          <w:szCs w:val="24"/>
        </w:rPr>
      </w:pPr>
    </w:p>
    <w:p w14:paraId="6F0D1C2E" w14:textId="77777777" w:rsidR="00081064" w:rsidRPr="00B31836" w:rsidRDefault="00081064" w:rsidP="00081064">
      <w:pPr>
        <w:spacing w:line="360" w:lineRule="auto"/>
        <w:jc w:val="both"/>
        <w:rPr>
          <w:rFonts w:ascii="Palatino Linotype" w:hAnsi="Palatino Linotype"/>
          <w:sz w:val="24"/>
          <w:szCs w:val="24"/>
        </w:rPr>
      </w:pPr>
    </w:p>
    <w:p w14:paraId="64FF1149"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28471209" w14:textId="77777777" w:rsidR="00081064" w:rsidRPr="00B31836" w:rsidRDefault="00081064" w:rsidP="00081064">
      <w:pPr>
        <w:spacing w:line="360" w:lineRule="auto"/>
        <w:jc w:val="both"/>
        <w:rPr>
          <w:rFonts w:ascii="Palatino Linotype" w:hAnsi="Palatino Linotype"/>
          <w:sz w:val="24"/>
          <w:szCs w:val="24"/>
        </w:rPr>
      </w:pPr>
    </w:p>
    <w:p w14:paraId="498BA80E" w14:textId="77777777" w:rsidR="00081064" w:rsidRPr="00B31836" w:rsidRDefault="00081064" w:rsidP="00081064">
      <w:pPr>
        <w:spacing w:line="360" w:lineRule="auto"/>
        <w:ind w:right="616"/>
        <w:jc w:val="both"/>
        <w:rPr>
          <w:rFonts w:ascii="Palatino Linotype" w:hAnsi="Palatino Linotype"/>
          <w:i/>
          <w:sz w:val="24"/>
          <w:szCs w:val="24"/>
        </w:rPr>
      </w:pPr>
    </w:p>
    <w:p w14:paraId="0DBAF130" w14:textId="77777777" w:rsidR="00081064" w:rsidRPr="00B31836" w:rsidRDefault="00081064" w:rsidP="00081064">
      <w:pPr>
        <w:pStyle w:val="Prrafodelista"/>
        <w:spacing w:line="360" w:lineRule="auto"/>
        <w:ind w:left="360" w:right="616"/>
        <w:jc w:val="both"/>
        <w:rPr>
          <w:rFonts w:ascii="Palatino Linotype" w:hAnsi="Palatino Linotype"/>
          <w:i/>
          <w:sz w:val="24"/>
        </w:rPr>
      </w:pPr>
      <w:r w:rsidRPr="00B31836">
        <w:rPr>
          <w:rFonts w:ascii="Palatino Linotype" w:hAnsi="Palatino Linotype"/>
          <w:b/>
          <w:i/>
          <w:sz w:val="24"/>
        </w:rPr>
        <w:t>“FORMALIDADES ESENCIALES DEL PROCEDIMIENTO. SON LAS QUE GARANTIZAN UNA ADECUADA Y OPORTUNA DEFENSA PREVIA AL ACTO PRIVATIVO.</w:t>
      </w:r>
      <w:r w:rsidRPr="00B31836">
        <w:rPr>
          <w:rFonts w:ascii="Palatino Linotype" w:hAnsi="Palatino Linotype"/>
          <w:i/>
          <w:sz w:val="24"/>
        </w:rPr>
        <w:t xml:space="preserve"> La garantía de audiencia establecida por el artículo 14 constitucional consiste en otorgar al gobernado la oportunidad de defensa </w:t>
      </w:r>
      <w:r w:rsidRPr="00B31836">
        <w:rPr>
          <w:rFonts w:ascii="Palatino Linotype" w:hAnsi="Palatino Linotype"/>
          <w:i/>
          <w:sz w:val="24"/>
        </w:rPr>
        <w:lastRenderedPageBreak/>
        <w:t>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57C37895" w14:textId="77777777" w:rsidR="00081064" w:rsidRPr="00B31836" w:rsidRDefault="00081064" w:rsidP="00081064">
      <w:pPr>
        <w:spacing w:line="360" w:lineRule="auto"/>
        <w:jc w:val="both"/>
        <w:rPr>
          <w:rFonts w:ascii="Palatino Linotype" w:hAnsi="Palatino Linotype"/>
          <w:sz w:val="24"/>
          <w:szCs w:val="24"/>
        </w:rPr>
      </w:pPr>
    </w:p>
    <w:p w14:paraId="00F5C42C"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6F738FDE" w14:textId="77777777" w:rsidR="00081064" w:rsidRPr="00B31836" w:rsidRDefault="00081064" w:rsidP="00081064">
      <w:pPr>
        <w:pStyle w:val="Prrafodelista"/>
        <w:spacing w:line="360" w:lineRule="auto"/>
        <w:ind w:left="360"/>
        <w:jc w:val="both"/>
        <w:rPr>
          <w:rFonts w:ascii="Palatino Linotype" w:hAnsi="Palatino Linotype"/>
          <w:sz w:val="24"/>
        </w:rPr>
      </w:pPr>
    </w:p>
    <w:p w14:paraId="3F632738" w14:textId="77777777" w:rsidR="00081064" w:rsidRPr="00B31836" w:rsidRDefault="00081064" w:rsidP="00081064">
      <w:pPr>
        <w:spacing w:line="360" w:lineRule="auto"/>
        <w:ind w:left="567" w:right="616"/>
        <w:jc w:val="both"/>
        <w:rPr>
          <w:rFonts w:ascii="Palatino Linotype" w:hAnsi="Palatino Linotype"/>
          <w:b/>
          <w:sz w:val="24"/>
          <w:szCs w:val="24"/>
        </w:rPr>
      </w:pPr>
      <w:r w:rsidRPr="00B31836">
        <w:rPr>
          <w:rFonts w:ascii="Palatino Linotype" w:hAnsi="Palatino Linotype"/>
          <w:b/>
          <w:sz w:val="24"/>
          <w:szCs w:val="24"/>
        </w:rPr>
        <w:t xml:space="preserve">i) La notificación del inicio del procedimiento y sus consecuencias; </w:t>
      </w:r>
    </w:p>
    <w:p w14:paraId="59E46031" w14:textId="77777777" w:rsidR="00081064" w:rsidRPr="00B31836" w:rsidRDefault="00081064" w:rsidP="00081064">
      <w:pPr>
        <w:spacing w:line="360" w:lineRule="auto"/>
        <w:ind w:left="567" w:right="616"/>
        <w:jc w:val="both"/>
        <w:rPr>
          <w:rFonts w:ascii="Palatino Linotype" w:hAnsi="Palatino Linotype"/>
          <w:b/>
          <w:sz w:val="24"/>
          <w:szCs w:val="24"/>
        </w:rPr>
      </w:pPr>
      <w:r w:rsidRPr="00B31836">
        <w:rPr>
          <w:rFonts w:ascii="Palatino Linotype" w:hAnsi="Palatino Linotype"/>
          <w:b/>
          <w:sz w:val="24"/>
          <w:szCs w:val="24"/>
        </w:rPr>
        <w:t xml:space="preserve">ii) La oportunidad de ofrecer y desahogar pruebas; </w:t>
      </w:r>
    </w:p>
    <w:p w14:paraId="294B1144" w14:textId="77777777" w:rsidR="00081064" w:rsidRPr="00B31836" w:rsidRDefault="00081064" w:rsidP="00081064">
      <w:pPr>
        <w:spacing w:line="360" w:lineRule="auto"/>
        <w:ind w:left="567" w:right="616"/>
        <w:jc w:val="both"/>
        <w:rPr>
          <w:rFonts w:ascii="Palatino Linotype" w:hAnsi="Palatino Linotype"/>
          <w:b/>
          <w:sz w:val="24"/>
          <w:szCs w:val="24"/>
        </w:rPr>
      </w:pPr>
      <w:r w:rsidRPr="00B31836">
        <w:rPr>
          <w:rFonts w:ascii="Palatino Linotype" w:hAnsi="Palatino Linotype"/>
          <w:b/>
          <w:sz w:val="24"/>
          <w:szCs w:val="24"/>
        </w:rPr>
        <w:t xml:space="preserve">iii) La oportunidad de alegar; y </w:t>
      </w:r>
    </w:p>
    <w:p w14:paraId="3FE232E6" w14:textId="77777777" w:rsidR="00081064" w:rsidRPr="00B31836" w:rsidRDefault="00081064" w:rsidP="00081064">
      <w:pPr>
        <w:spacing w:line="360" w:lineRule="auto"/>
        <w:ind w:left="567" w:right="616"/>
        <w:jc w:val="both"/>
        <w:rPr>
          <w:rFonts w:ascii="Palatino Linotype" w:hAnsi="Palatino Linotype"/>
          <w:b/>
          <w:sz w:val="24"/>
          <w:szCs w:val="24"/>
        </w:rPr>
      </w:pPr>
      <w:r w:rsidRPr="00B31836">
        <w:rPr>
          <w:rFonts w:ascii="Palatino Linotype" w:hAnsi="Palatino Linotype"/>
          <w:b/>
          <w:sz w:val="24"/>
          <w:szCs w:val="24"/>
        </w:rPr>
        <w:t>iv) El dictado de una resolución que dirima las cuestiones debatidas.</w:t>
      </w:r>
    </w:p>
    <w:p w14:paraId="63C7692F" w14:textId="77777777" w:rsidR="00081064" w:rsidRPr="00B31836" w:rsidRDefault="00081064" w:rsidP="00081064">
      <w:pPr>
        <w:spacing w:line="360" w:lineRule="auto"/>
        <w:jc w:val="both"/>
        <w:rPr>
          <w:rFonts w:ascii="Palatino Linotype" w:hAnsi="Palatino Linotype"/>
          <w:sz w:val="24"/>
          <w:szCs w:val="24"/>
        </w:rPr>
      </w:pPr>
    </w:p>
    <w:p w14:paraId="741B22C9"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Por lo que hace a la notificación del inicio del procedimiento y sus consecuencias, es la etapa en la que se hace del concomimiento de una de las partes que se ha instaurado un procedimiento en su contra; por otra parte,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w:t>
      </w:r>
    </w:p>
    <w:p w14:paraId="50127CBE" w14:textId="77777777" w:rsidR="00081064" w:rsidRPr="00B31836" w:rsidRDefault="00081064" w:rsidP="00081064">
      <w:pPr>
        <w:pStyle w:val="Prrafodelista"/>
        <w:spacing w:line="360" w:lineRule="auto"/>
        <w:ind w:left="0"/>
        <w:jc w:val="both"/>
        <w:rPr>
          <w:rFonts w:ascii="Palatino Linotype" w:hAnsi="Palatino Linotype"/>
          <w:sz w:val="24"/>
        </w:rPr>
      </w:pPr>
    </w:p>
    <w:p w14:paraId="70486B73" w14:textId="61A28CE3"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 xml:space="preserve">En ese contexto, resulta necesario precisar que el proceso, en el presente caso, corresponde a aquel para resolver un Procedimiento de violaciones a derechos humanos; por lo que, es necesario traer de nueva cuenta el artículo 3.65 del Bando Municipal de Toluca, el cual establece en su fracción primera que es atribución del defensor municipal recibir quejas y remitirlas a la Comisión de Derechos Humanos del Estado de México por conducto de sus </w:t>
      </w:r>
      <w:proofErr w:type="spellStart"/>
      <w:r w:rsidRPr="00B31836">
        <w:rPr>
          <w:rFonts w:ascii="Palatino Linotype" w:hAnsi="Palatino Linotype"/>
          <w:sz w:val="24"/>
          <w:szCs w:val="24"/>
        </w:rPr>
        <w:t>visitadurias</w:t>
      </w:r>
      <w:proofErr w:type="spellEnd"/>
      <w:r w:rsidRPr="00B31836">
        <w:rPr>
          <w:rFonts w:ascii="Palatino Linotype" w:hAnsi="Palatino Linotype"/>
          <w:sz w:val="24"/>
          <w:szCs w:val="24"/>
        </w:rPr>
        <w:t>, por lo que la Ley de la Comisión de Derechos Humanos del Estado de México, establece lo siguiente:</w:t>
      </w:r>
    </w:p>
    <w:p w14:paraId="254F003B" w14:textId="77777777" w:rsidR="00081064" w:rsidRPr="00B31836" w:rsidRDefault="00081064" w:rsidP="00081064">
      <w:pPr>
        <w:pStyle w:val="Prrafodelista"/>
        <w:spacing w:line="360" w:lineRule="auto"/>
        <w:jc w:val="both"/>
        <w:rPr>
          <w:rFonts w:ascii="Palatino Linotype" w:hAnsi="Palatino Linotype"/>
          <w:sz w:val="24"/>
        </w:rPr>
      </w:pPr>
    </w:p>
    <w:p w14:paraId="62C8AF2C" w14:textId="77777777" w:rsidR="00081064" w:rsidRPr="00B31836" w:rsidRDefault="00081064" w:rsidP="00081064">
      <w:pPr>
        <w:pStyle w:val="Prrafodelista"/>
        <w:spacing w:line="360" w:lineRule="auto"/>
        <w:ind w:left="360"/>
        <w:jc w:val="both"/>
        <w:rPr>
          <w:rFonts w:ascii="Palatino Linotype" w:hAnsi="Palatino Linotype"/>
          <w:sz w:val="24"/>
        </w:rPr>
      </w:pPr>
    </w:p>
    <w:p w14:paraId="47F51FB9"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31.-</w:t>
      </w:r>
      <w:r w:rsidRPr="00B31836">
        <w:rPr>
          <w:rFonts w:ascii="Palatino Linotype" w:hAnsi="Palatino Linotype"/>
          <w:i/>
          <w:sz w:val="24"/>
        </w:rPr>
        <w:t xml:space="preserve"> Los Visitadores de la Comisión tienen las facultades y obligaciones siguientes: </w:t>
      </w:r>
    </w:p>
    <w:p w14:paraId="21CED5E6"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16F09C4B"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lastRenderedPageBreak/>
        <w:t>I. Recibir, rechazar, admitir y tramitar las quejas que les sean presentadas de manera física o por medios electrónicos.</w:t>
      </w:r>
    </w:p>
    <w:p w14:paraId="27A8A484"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w:t>
      </w:r>
    </w:p>
    <w:p w14:paraId="0BBC296F" w14:textId="77777777" w:rsidR="00081064" w:rsidRPr="00B31836" w:rsidRDefault="00081064" w:rsidP="00CF6481">
      <w:pPr>
        <w:pStyle w:val="Prrafodelista"/>
        <w:numPr>
          <w:ilvl w:val="0"/>
          <w:numId w:val="10"/>
        </w:numPr>
        <w:spacing w:line="360" w:lineRule="auto"/>
        <w:ind w:left="567" w:right="616" w:firstLine="0"/>
        <w:contextualSpacing w:val="0"/>
        <w:jc w:val="both"/>
        <w:rPr>
          <w:rFonts w:ascii="Palatino Linotype" w:hAnsi="Palatino Linotype"/>
          <w:i/>
          <w:sz w:val="24"/>
        </w:rPr>
      </w:pPr>
      <w:r w:rsidRPr="00B31836">
        <w:rPr>
          <w:rFonts w:ascii="Palatino Linotype" w:hAnsi="Palatino Linotype"/>
          <w:i/>
          <w:sz w:val="24"/>
        </w:rPr>
        <w:t xml:space="preserve">Solicitar a las autoridades o servidores públicos, las medidas precautorias o cautelares en términos de esta Ley y del Reglamento Interno; </w:t>
      </w:r>
    </w:p>
    <w:p w14:paraId="4C8E33C2"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w:t>
      </w:r>
    </w:p>
    <w:p w14:paraId="0664684E"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 xml:space="preserve">V. Solicitar a las autoridades o servidores públicos la presentación de informes o documentos relacionados con las violaciones a derechos humanos, que sean motivo de queja o investigación; </w:t>
      </w:r>
    </w:p>
    <w:p w14:paraId="55022F1C"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w:t>
      </w:r>
    </w:p>
    <w:p w14:paraId="4FD6168B"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632BB660"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51.-</w:t>
      </w:r>
      <w:r w:rsidRPr="00B31836">
        <w:rPr>
          <w:rFonts w:ascii="Palatino Linotype" w:hAnsi="Palatino Linotype"/>
          <w:i/>
          <w:sz w:val="24"/>
        </w:rPr>
        <w:t xml:space="preserve"> Los procedimientos ante la Comisión tienen por objeto conocer y resolver sobre presuntas violaciones a derechos humanos, así como también, procurar la mediación y la conciliación, en los casos en que proceda. </w:t>
      </w:r>
    </w:p>
    <w:p w14:paraId="1F005F96"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6C5FC7BE"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52.-</w:t>
      </w:r>
      <w:r w:rsidRPr="00B31836">
        <w:rPr>
          <w:rFonts w:ascii="Palatino Linotype" w:hAnsi="Palatino Linotype"/>
          <w:i/>
          <w:sz w:val="24"/>
        </w:rPr>
        <w:t xml:space="preserve"> Los procedimientos ante la Comisión se pueden iniciar a petición de parte o de oficio y deben ser orales, breves, sencillos y gratuitos, sin mayor formalidad; sujetos a los principios de buena fe, igualdad, inmediación, congruencia y concentración. </w:t>
      </w:r>
    </w:p>
    <w:p w14:paraId="317EC474"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67435681"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53.-</w:t>
      </w:r>
      <w:r w:rsidRPr="00B31836">
        <w:rPr>
          <w:rFonts w:ascii="Palatino Linotype" w:hAnsi="Palatino Linotype"/>
          <w:i/>
          <w:sz w:val="24"/>
        </w:rPr>
        <w:t xml:space="preserve"> Los procedimientos seguidos en la Comisión, no afectan el ejercicio de otros derechos y medios de defensa contemplados en otras leyes, ni interrumpen </w:t>
      </w:r>
      <w:r w:rsidRPr="00B31836">
        <w:rPr>
          <w:rFonts w:ascii="Palatino Linotype" w:hAnsi="Palatino Linotype"/>
          <w:i/>
          <w:sz w:val="24"/>
        </w:rPr>
        <w:lastRenderedPageBreak/>
        <w:t xml:space="preserve">sus plazos </w:t>
      </w:r>
      <w:proofErr w:type="spellStart"/>
      <w:r w:rsidRPr="00B31836">
        <w:rPr>
          <w:rFonts w:ascii="Palatino Linotype" w:hAnsi="Palatino Linotype"/>
          <w:i/>
          <w:sz w:val="24"/>
        </w:rPr>
        <w:t>preclusivos</w:t>
      </w:r>
      <w:proofErr w:type="spellEnd"/>
      <w:r w:rsidRPr="00B31836">
        <w:rPr>
          <w:rFonts w:ascii="Palatino Linotype" w:hAnsi="Palatino Linotype"/>
          <w:i/>
          <w:sz w:val="24"/>
        </w:rPr>
        <w:t>, de prescripción o caducidad. Lo anterior debe señalarse a los interesados en el acuerdo de admisión de la instancia.</w:t>
      </w:r>
    </w:p>
    <w:p w14:paraId="1D5A6DD4"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31342520"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60.-</w:t>
      </w:r>
      <w:r w:rsidRPr="00B31836">
        <w:rPr>
          <w:rFonts w:ascii="Palatino Linotype" w:hAnsi="Palatino Linotype"/>
          <w:i/>
          <w:sz w:val="24"/>
        </w:rPr>
        <w:t xml:space="preserve"> Cualquier persona puede interponer queja ante la Comisión por la probable violación a sus derechos humanos o de terceros, derivado de actos u omisiones de naturaleza administrativa, provenientes de cualquier autoridad o servidor público del Estado o municipios. </w:t>
      </w:r>
    </w:p>
    <w:p w14:paraId="3880FE90" w14:textId="77777777" w:rsidR="00081064" w:rsidRPr="00B31836" w:rsidRDefault="00081064" w:rsidP="00081064">
      <w:pPr>
        <w:pStyle w:val="Prrafodelista"/>
        <w:spacing w:line="360" w:lineRule="auto"/>
        <w:ind w:left="567" w:right="616"/>
        <w:jc w:val="both"/>
        <w:rPr>
          <w:rFonts w:ascii="Palatino Linotype" w:hAnsi="Palatino Linotype"/>
          <w:b/>
          <w:i/>
          <w:sz w:val="24"/>
        </w:rPr>
      </w:pPr>
    </w:p>
    <w:p w14:paraId="47B2AE28"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63.</w:t>
      </w:r>
      <w:r w:rsidRPr="00B31836">
        <w:rPr>
          <w:rFonts w:ascii="Palatino Linotype" w:hAnsi="Palatino Linotype"/>
          <w:i/>
          <w:sz w:val="24"/>
        </w:rPr>
        <w:t xml:space="preserve"> Las quejas pueden presentarse de manera física, en forma verbal o escrita, o por medios electrónicos. </w:t>
      </w:r>
    </w:p>
    <w:p w14:paraId="2CD01830"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463CB33E"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 xml:space="preserve">En el supuesto de que los quejosos o agraviados no puedan identificar a las autoridades o servidores públicos que consideren hayan afectado sus derechos fundamentales, la queja será admitida, si procede, bajo la condición de que se logre dicha identificación en la investigación posterior a los hechos. </w:t>
      </w:r>
    </w:p>
    <w:p w14:paraId="21B52825"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3DD1C605"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68.-</w:t>
      </w:r>
      <w:r w:rsidRPr="00B31836">
        <w:rPr>
          <w:rFonts w:ascii="Palatino Linotype" w:hAnsi="Palatino Linotype"/>
          <w:i/>
          <w:sz w:val="24"/>
        </w:rPr>
        <w:t xml:space="preserve"> Presentada la queja en los términos requeridos por esta Ley y el Reglamento Interno, se debe proceder a su calificación y, en su caso, será admitida, abriéndose el expediente correspondiente. </w:t>
      </w:r>
    </w:p>
    <w:p w14:paraId="33A67899"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77.-</w:t>
      </w:r>
      <w:r w:rsidRPr="00B31836">
        <w:rPr>
          <w:rFonts w:ascii="Palatino Linotype" w:hAnsi="Palatino Linotype"/>
          <w:i/>
          <w:sz w:val="24"/>
        </w:rPr>
        <w:t xml:space="preserve"> Una vez admitida la queja o iniciada de oficio la investigación, debe hacerse del conocimiento del superior jerárquico de las autoridades o servidores públicos señalados como probables responsables.</w:t>
      </w:r>
    </w:p>
    <w:p w14:paraId="146D43B3"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3ECAF3C2"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78.-</w:t>
      </w:r>
      <w:r w:rsidRPr="00B31836">
        <w:rPr>
          <w:rFonts w:ascii="Palatino Linotype" w:hAnsi="Palatino Linotype"/>
          <w:i/>
          <w:sz w:val="24"/>
        </w:rPr>
        <w:t xml:space="preserve"> Los informes se solicitarán por los medios que sean convenientes, y deberán ser presentados dentro del plazo que fije la Comisión, el cual no excederá de diez días. En casos urgentes, el Organismo puede solicitar la presentación de los informes hasta en veinticuatro horas. </w:t>
      </w:r>
    </w:p>
    <w:p w14:paraId="0AF62921"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20948DB0"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82.-</w:t>
      </w:r>
      <w:r w:rsidRPr="00B31836">
        <w:rPr>
          <w:rFonts w:ascii="Palatino Linotype" w:hAnsi="Palatino Linotype"/>
          <w:i/>
          <w:sz w:val="24"/>
        </w:rPr>
        <w:t xml:space="preserve"> La mediación y la conciliación son medios alternativos, auxiliares y complementarios al procedimiento de queja y a la investigación de oficio, para la solución de conflictos. </w:t>
      </w:r>
    </w:p>
    <w:p w14:paraId="7E0C6356"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3C4BE89B"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83.-</w:t>
      </w:r>
      <w:r w:rsidRPr="00B31836">
        <w:rPr>
          <w:rFonts w:ascii="Palatino Linotype" w:hAnsi="Palatino Linotype"/>
          <w:i/>
          <w:sz w:val="24"/>
        </w:rPr>
        <w:t xml:space="preserve"> La mediación y la conciliación son voluntarias por lo que no pueden ser impuestas a persona alguna.</w:t>
      </w:r>
    </w:p>
    <w:p w14:paraId="472760A5"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4CB367B7"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94.-</w:t>
      </w:r>
      <w:r w:rsidRPr="00B31836">
        <w:rPr>
          <w:rFonts w:ascii="Palatino Linotype" w:hAnsi="Palatino Linotype"/>
          <w:i/>
          <w:sz w:val="24"/>
        </w:rPr>
        <w:t xml:space="preserve"> Recibidos o no los informes dentro del término señalado, en su caso, se abrirá un periodo probatorio fijado por el Visitador a su prudente arbitrio. </w:t>
      </w:r>
    </w:p>
    <w:p w14:paraId="199EC627"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7B248481"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Artículo 99.-</w:t>
      </w:r>
      <w:r w:rsidRPr="00B31836">
        <w:rPr>
          <w:rFonts w:ascii="Palatino Linotype" w:hAnsi="Palatino Linotype"/>
          <w:i/>
          <w:sz w:val="24"/>
        </w:rPr>
        <w:t xml:space="preserve"> La Comisión puede dictar las resoluciones siguientes: </w:t>
      </w:r>
    </w:p>
    <w:p w14:paraId="42FC4DDC"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6443DAA5"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 xml:space="preserve">I. Acuerdos: cuando sean determinaciones de trámite, que emita en los expedientes; </w:t>
      </w:r>
    </w:p>
    <w:p w14:paraId="1A27D119"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 xml:space="preserve">II. Resoluciones de no Responsabilidad: cuando no se acrediten las violaciones a derechos humanos; </w:t>
      </w:r>
    </w:p>
    <w:p w14:paraId="048D67CE"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III. Recomendaciones: cuando se comprueben las violaciones a derechos humanos;</w:t>
      </w:r>
    </w:p>
    <w:p w14:paraId="3FD3F465"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lastRenderedPageBreak/>
        <w:t xml:space="preserve"> IV. Derogado.</w:t>
      </w:r>
    </w:p>
    <w:p w14:paraId="4153A720"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t xml:space="preserve"> V. Recomendaciones Generales: cuando derivado de los estudios realizados por el Organismo, se determine que diversas autoridades han vulnerado derechos humanos, las cuales no requieren aceptación por parte de las autoridades a quienes vayan dirigidas; sin embargo, la verificación de su cumplimiento se hará mediante la realización de estudios generales, que para tal efecto realice la Comisión.” (Sic)</w:t>
      </w:r>
    </w:p>
    <w:p w14:paraId="413F47B3" w14:textId="77777777" w:rsidR="00081064" w:rsidRPr="00B31836" w:rsidRDefault="00081064" w:rsidP="00081064">
      <w:pPr>
        <w:spacing w:line="360" w:lineRule="auto"/>
        <w:jc w:val="both"/>
        <w:rPr>
          <w:rFonts w:ascii="Palatino Linotype" w:hAnsi="Palatino Linotype"/>
          <w:sz w:val="24"/>
          <w:szCs w:val="24"/>
        </w:rPr>
      </w:pPr>
    </w:p>
    <w:p w14:paraId="33AE6609"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Conforme a lo anterior, se considera que existen tres etapas en el procedimiento de queja para determinar las violaciones a derechos humanos, a saber, las siguientes:</w:t>
      </w:r>
    </w:p>
    <w:p w14:paraId="448D301A" w14:textId="77777777" w:rsidR="00081064" w:rsidRPr="00B31836" w:rsidRDefault="00081064" w:rsidP="00081064">
      <w:pPr>
        <w:spacing w:line="360" w:lineRule="auto"/>
        <w:jc w:val="both"/>
        <w:rPr>
          <w:rFonts w:ascii="Palatino Linotype" w:hAnsi="Palatino Linotype"/>
          <w:sz w:val="24"/>
          <w:szCs w:val="24"/>
        </w:rPr>
      </w:pPr>
    </w:p>
    <w:p w14:paraId="777B1E33"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b/>
          <w:sz w:val="24"/>
        </w:rPr>
        <w:t>1.</w:t>
      </w:r>
      <w:r w:rsidRPr="00B31836">
        <w:rPr>
          <w:rFonts w:ascii="Palatino Linotype" w:hAnsi="Palatino Linotype"/>
          <w:sz w:val="24"/>
        </w:rPr>
        <w:t xml:space="preserve"> </w:t>
      </w:r>
      <w:r w:rsidRPr="00B31836">
        <w:rPr>
          <w:rFonts w:ascii="Palatino Linotype" w:hAnsi="Palatino Linotype"/>
          <w:b/>
          <w:sz w:val="24"/>
        </w:rPr>
        <w:t>Investigación:</w:t>
      </w:r>
      <w:r w:rsidRPr="00B31836">
        <w:rPr>
          <w:rFonts w:ascii="Palatino Linotype" w:hAnsi="Palatino Linotype"/>
          <w:sz w:val="24"/>
        </w:rPr>
        <w:t xml:space="preserve"> la cual consiste en lo siguiente: </w:t>
      </w:r>
    </w:p>
    <w:p w14:paraId="494272AD"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sym w:font="Symbol" w:char="F0B7"/>
      </w:r>
      <w:r w:rsidRPr="00B31836">
        <w:rPr>
          <w:rFonts w:ascii="Palatino Linotype" w:hAnsi="Palatino Linotype"/>
          <w:sz w:val="24"/>
        </w:rPr>
        <w:t xml:space="preserve"> Inicia: </w:t>
      </w:r>
    </w:p>
    <w:p w14:paraId="15364346"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t xml:space="preserve">De oficio </w:t>
      </w:r>
    </w:p>
    <w:p w14:paraId="5DBF8189"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t xml:space="preserve">Por denuncia </w:t>
      </w:r>
    </w:p>
    <w:p w14:paraId="16D94BF3" w14:textId="77777777" w:rsidR="00081064" w:rsidRPr="00B31836" w:rsidRDefault="00081064" w:rsidP="00081064">
      <w:pPr>
        <w:pStyle w:val="Prrafodelista"/>
        <w:spacing w:line="360" w:lineRule="auto"/>
        <w:ind w:left="360"/>
        <w:jc w:val="both"/>
        <w:rPr>
          <w:rFonts w:ascii="Palatino Linotype" w:hAnsi="Palatino Linotype"/>
          <w:b/>
          <w:sz w:val="24"/>
        </w:rPr>
      </w:pPr>
      <w:r w:rsidRPr="00B31836">
        <w:rPr>
          <w:rFonts w:ascii="Palatino Linotype" w:hAnsi="Palatino Linotype"/>
          <w:b/>
          <w:sz w:val="24"/>
        </w:rPr>
        <w:t xml:space="preserve">2. Sustanciación: </w:t>
      </w:r>
    </w:p>
    <w:p w14:paraId="29436153"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t xml:space="preserve">En este periodo se puede realizar lo siguiente: </w:t>
      </w:r>
    </w:p>
    <w:p w14:paraId="18F981E6"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sym w:font="Symbol" w:char="F0B7"/>
      </w:r>
      <w:r w:rsidRPr="00B31836">
        <w:rPr>
          <w:rFonts w:ascii="Palatino Linotype" w:hAnsi="Palatino Linotype"/>
          <w:sz w:val="24"/>
        </w:rPr>
        <w:t xml:space="preserve"> Se califican los hechos para ser admitida o no.</w:t>
      </w:r>
    </w:p>
    <w:p w14:paraId="36F918BE"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sym w:font="Symbol" w:char="F0B7"/>
      </w:r>
      <w:r w:rsidRPr="00B31836">
        <w:rPr>
          <w:rFonts w:ascii="Palatino Linotype" w:hAnsi="Palatino Linotype"/>
          <w:sz w:val="24"/>
        </w:rPr>
        <w:t xml:space="preserve"> Se hace del conocimiento del superior jerárquico de las autoridades o servidores públicos señalados como probables responsables. </w:t>
      </w:r>
    </w:p>
    <w:p w14:paraId="0D36EFBE"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sz w:val="24"/>
        </w:rPr>
        <w:sym w:font="Symbol" w:char="F0B7"/>
      </w:r>
      <w:r w:rsidRPr="00B31836">
        <w:rPr>
          <w:rFonts w:ascii="Palatino Linotype" w:hAnsi="Palatino Linotype"/>
          <w:sz w:val="24"/>
        </w:rPr>
        <w:t xml:space="preserve"> Las partes, pueden presentar las pruebas o alegatos que consideren pertinentes, </w:t>
      </w:r>
    </w:p>
    <w:p w14:paraId="0F9800C7" w14:textId="77777777" w:rsidR="00081064" w:rsidRPr="00B31836" w:rsidRDefault="00081064" w:rsidP="00081064">
      <w:pPr>
        <w:pStyle w:val="Prrafodelista"/>
        <w:spacing w:line="360" w:lineRule="auto"/>
        <w:ind w:left="360"/>
        <w:jc w:val="both"/>
        <w:rPr>
          <w:rFonts w:ascii="Palatino Linotype" w:hAnsi="Palatino Linotype"/>
          <w:sz w:val="24"/>
        </w:rPr>
      </w:pPr>
      <w:r w:rsidRPr="00B31836">
        <w:rPr>
          <w:rFonts w:ascii="Palatino Linotype" w:hAnsi="Palatino Linotype"/>
          <w:b/>
          <w:sz w:val="24"/>
        </w:rPr>
        <w:t>3. Resolución:</w:t>
      </w:r>
      <w:r w:rsidRPr="00B31836">
        <w:rPr>
          <w:rFonts w:ascii="Palatino Linotype" w:hAnsi="Palatino Linotype"/>
          <w:sz w:val="24"/>
        </w:rPr>
        <w:t xml:space="preserve"> </w:t>
      </w:r>
    </w:p>
    <w:p w14:paraId="556280F9" w14:textId="77777777" w:rsidR="00081064" w:rsidRPr="00B31836" w:rsidRDefault="00081064" w:rsidP="00CF6481">
      <w:pPr>
        <w:pStyle w:val="Prrafodelista"/>
        <w:numPr>
          <w:ilvl w:val="0"/>
          <w:numId w:val="6"/>
        </w:numPr>
        <w:spacing w:line="360" w:lineRule="auto"/>
        <w:ind w:left="567" w:hanging="141"/>
        <w:contextualSpacing w:val="0"/>
        <w:jc w:val="both"/>
        <w:rPr>
          <w:rFonts w:ascii="Palatino Linotype" w:hAnsi="Palatino Linotype"/>
          <w:sz w:val="24"/>
        </w:rPr>
      </w:pPr>
      <w:r w:rsidRPr="00B31836">
        <w:rPr>
          <w:rFonts w:ascii="Palatino Linotype" w:hAnsi="Palatino Linotype"/>
          <w:sz w:val="24"/>
        </w:rPr>
        <w:t>Se emite resolución y se notifica a las partes.</w:t>
      </w:r>
    </w:p>
    <w:p w14:paraId="3EFAB084" w14:textId="77777777" w:rsidR="00081064" w:rsidRPr="00B31836" w:rsidRDefault="00081064" w:rsidP="00081064">
      <w:pPr>
        <w:spacing w:line="360" w:lineRule="auto"/>
        <w:jc w:val="both"/>
        <w:rPr>
          <w:rFonts w:ascii="Palatino Linotype" w:hAnsi="Palatino Linotype"/>
          <w:sz w:val="24"/>
          <w:szCs w:val="24"/>
        </w:rPr>
      </w:pPr>
    </w:p>
    <w:p w14:paraId="32528C8C"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Así, se desprende que de haber quejas que se encuentren en expedientes en trámite cuentan con las características de un procedimiento administrativo seguido en forma de juicio para determinar sobre presuntas violaciones a derechos humanos, por lo que, se procede a analizar cada uno de los requisitos señalados en los Lineamientos Generales en materia de clasificación y desclasificación de la información, con la finalidad de verificar si se configura la hipótesis de reserva en estudio:</w:t>
      </w:r>
    </w:p>
    <w:p w14:paraId="23E6B379" w14:textId="77777777" w:rsidR="00081064" w:rsidRPr="00B31836" w:rsidRDefault="00081064" w:rsidP="00081064">
      <w:pPr>
        <w:spacing w:line="360" w:lineRule="auto"/>
        <w:jc w:val="both"/>
        <w:rPr>
          <w:rFonts w:ascii="Palatino Linotype" w:hAnsi="Palatino Linotype"/>
          <w:b/>
          <w:sz w:val="24"/>
          <w:szCs w:val="24"/>
        </w:rPr>
      </w:pPr>
    </w:p>
    <w:p w14:paraId="647FEFEA" w14:textId="77777777" w:rsidR="00081064" w:rsidRPr="00B31836" w:rsidRDefault="00081064" w:rsidP="00CF6481">
      <w:pPr>
        <w:pStyle w:val="Prrafodelista"/>
        <w:numPr>
          <w:ilvl w:val="0"/>
          <w:numId w:val="14"/>
        </w:numPr>
        <w:spacing w:line="360" w:lineRule="auto"/>
        <w:ind w:right="616"/>
        <w:contextualSpacing w:val="0"/>
        <w:jc w:val="both"/>
        <w:rPr>
          <w:rFonts w:ascii="Palatino Linotype" w:hAnsi="Palatino Linotype"/>
          <w:b/>
          <w:sz w:val="24"/>
        </w:rPr>
      </w:pPr>
      <w:r w:rsidRPr="00B31836">
        <w:rPr>
          <w:rFonts w:ascii="Palatino Linotype" w:hAnsi="Palatino Linotype"/>
          <w:b/>
          <w:sz w:val="24"/>
        </w:rPr>
        <w:t>La existencia de un juicio o procedimiento administrativo materialmente jurisdiccional, que se encuentre en trámite.</w:t>
      </w:r>
    </w:p>
    <w:p w14:paraId="454B1E99" w14:textId="77777777" w:rsidR="00081064" w:rsidRPr="00B31836" w:rsidRDefault="00081064" w:rsidP="00081064">
      <w:pPr>
        <w:spacing w:line="360" w:lineRule="auto"/>
        <w:jc w:val="both"/>
        <w:rPr>
          <w:rFonts w:ascii="Palatino Linotype" w:hAnsi="Palatino Linotype"/>
          <w:sz w:val="24"/>
          <w:szCs w:val="24"/>
        </w:rPr>
      </w:pPr>
    </w:p>
    <w:p w14:paraId="6DE1B67C"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En ese contexto, cabe precisar que de contar con quejas que se encuentren en expedientes en trámite, por lo que se continúen allegando de elementos para determinar si existe alguna violación a derechos humanos o bien por determinar dicha violación o su inexistencia. Así, se acredita el primero de los requisitos establecidos en los Lineamientos Generales para acreditar la reserva en cuestión.</w:t>
      </w:r>
    </w:p>
    <w:p w14:paraId="0722AA43" w14:textId="77777777" w:rsidR="00081064" w:rsidRPr="00B31836" w:rsidRDefault="00081064" w:rsidP="00081064">
      <w:pPr>
        <w:spacing w:line="360" w:lineRule="auto"/>
        <w:jc w:val="both"/>
        <w:rPr>
          <w:rFonts w:ascii="Palatino Linotype" w:hAnsi="Palatino Linotype"/>
          <w:sz w:val="24"/>
          <w:szCs w:val="24"/>
        </w:rPr>
      </w:pPr>
    </w:p>
    <w:p w14:paraId="57EA7F84" w14:textId="77777777" w:rsidR="00081064" w:rsidRPr="00B31836" w:rsidRDefault="00081064" w:rsidP="00CF6481">
      <w:pPr>
        <w:pStyle w:val="Prrafodelista"/>
        <w:numPr>
          <w:ilvl w:val="0"/>
          <w:numId w:val="14"/>
        </w:numPr>
        <w:spacing w:line="360" w:lineRule="auto"/>
        <w:ind w:right="616"/>
        <w:contextualSpacing w:val="0"/>
        <w:jc w:val="both"/>
        <w:rPr>
          <w:rFonts w:ascii="Palatino Linotype" w:hAnsi="Palatino Linotype"/>
          <w:b/>
          <w:sz w:val="24"/>
        </w:rPr>
      </w:pPr>
      <w:r w:rsidRPr="00B31836">
        <w:rPr>
          <w:rFonts w:ascii="Palatino Linotype" w:hAnsi="Palatino Linotype"/>
          <w:b/>
          <w:sz w:val="24"/>
        </w:rPr>
        <w:t>Que la información solicitada se refiera a actuaciones, diligencias o constancias propias del procedimiento.</w:t>
      </w:r>
    </w:p>
    <w:p w14:paraId="5A2AC71D" w14:textId="77777777" w:rsidR="00081064" w:rsidRPr="00B31836" w:rsidRDefault="00081064" w:rsidP="00081064">
      <w:pPr>
        <w:spacing w:line="360" w:lineRule="auto"/>
        <w:jc w:val="both"/>
        <w:rPr>
          <w:rFonts w:ascii="Palatino Linotype" w:hAnsi="Palatino Linotype"/>
          <w:sz w:val="24"/>
          <w:szCs w:val="24"/>
        </w:rPr>
      </w:pPr>
    </w:p>
    <w:p w14:paraId="36258D69"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lastRenderedPageBreak/>
        <w:t>Al respecto, en el presente caso, se trata de la investigación para determinar si existen violaciones a derechos humanos. Conforme a lo anterior, puede que la etapa en la que se encuentran los documentos solicitados por el Particular sea el de investigación y/o resolución.</w:t>
      </w:r>
    </w:p>
    <w:p w14:paraId="59AEC1DF" w14:textId="77777777" w:rsidR="00081064" w:rsidRPr="00B31836" w:rsidRDefault="00081064" w:rsidP="00081064">
      <w:pPr>
        <w:pStyle w:val="Prrafodelista"/>
        <w:spacing w:line="360" w:lineRule="auto"/>
        <w:ind w:left="360"/>
        <w:jc w:val="both"/>
        <w:rPr>
          <w:rFonts w:ascii="Palatino Linotype" w:hAnsi="Palatino Linotype"/>
          <w:sz w:val="24"/>
        </w:rPr>
      </w:pPr>
    </w:p>
    <w:p w14:paraId="205061DA"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Por lo que, se advierte que los documentos solicitados corresponden a constancias propias que determinan la procedencia de la determinación de violaciones a derechos humanos; por lo que, se acredita el Segundo de los requisitos establecidos en los Lineamientos Generales.</w:t>
      </w:r>
    </w:p>
    <w:p w14:paraId="46C6B9DE" w14:textId="77777777" w:rsidR="00081064" w:rsidRPr="00B31836" w:rsidRDefault="00081064" w:rsidP="00081064">
      <w:pPr>
        <w:pStyle w:val="Prrafodelista"/>
        <w:spacing w:line="360" w:lineRule="auto"/>
        <w:jc w:val="both"/>
        <w:rPr>
          <w:rFonts w:ascii="Palatino Linotype" w:hAnsi="Palatino Linotype"/>
          <w:sz w:val="24"/>
        </w:rPr>
      </w:pPr>
    </w:p>
    <w:p w14:paraId="50D5530A"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Así, se considera que las quejas que se encuentren en expedientes en trámite actualizan la reserva de la información, en términos del artículo 140, fracción VIII de la Ley de Transparencia y Acceso a la Información del Estado de México y Municipios, pues el proceso administrativo sigue en trámite.</w:t>
      </w:r>
    </w:p>
    <w:p w14:paraId="22DF74DC" w14:textId="77777777" w:rsidR="00081064" w:rsidRPr="00B31836" w:rsidRDefault="00081064" w:rsidP="00081064">
      <w:pPr>
        <w:pStyle w:val="Prrafodelista"/>
        <w:spacing w:line="360" w:lineRule="auto"/>
        <w:jc w:val="both"/>
        <w:rPr>
          <w:rFonts w:ascii="Palatino Linotype" w:hAnsi="Palatino Linotype"/>
          <w:sz w:val="24"/>
        </w:rPr>
      </w:pPr>
    </w:p>
    <w:p w14:paraId="7192E7AC"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Sobre el particular, cabe traer a colación el artículo 141 de la Ley de la materia, que establece que las causales de reserva se deberán fundar y motivar, a través de la aplicación de la prueba de daño establecida en el artículo 129 de dicho ordenamiento, que se debe justificar de la siguiente manera:</w:t>
      </w:r>
    </w:p>
    <w:p w14:paraId="2BCEA3D4" w14:textId="77777777" w:rsidR="00081064" w:rsidRPr="00B31836" w:rsidRDefault="00081064" w:rsidP="00081064">
      <w:pPr>
        <w:pStyle w:val="Prrafodelista"/>
        <w:spacing w:line="360" w:lineRule="auto"/>
        <w:jc w:val="both"/>
        <w:rPr>
          <w:rFonts w:ascii="Palatino Linotype" w:hAnsi="Palatino Linotype"/>
          <w:sz w:val="24"/>
        </w:rPr>
      </w:pPr>
    </w:p>
    <w:p w14:paraId="316FB6B0" w14:textId="77777777" w:rsidR="00081064" w:rsidRPr="00B31836" w:rsidRDefault="00081064" w:rsidP="00CF6481">
      <w:pPr>
        <w:pStyle w:val="Prrafodelista"/>
        <w:numPr>
          <w:ilvl w:val="0"/>
          <w:numId w:val="15"/>
        </w:numPr>
        <w:spacing w:line="360" w:lineRule="auto"/>
        <w:ind w:left="851" w:right="616" w:hanging="284"/>
        <w:contextualSpacing w:val="0"/>
        <w:jc w:val="both"/>
        <w:rPr>
          <w:rFonts w:ascii="Palatino Linotype" w:hAnsi="Palatino Linotype"/>
          <w:i/>
          <w:sz w:val="24"/>
        </w:rPr>
      </w:pPr>
      <w:r w:rsidRPr="00B31836">
        <w:rPr>
          <w:rFonts w:ascii="Palatino Linotype" w:hAnsi="Palatino Linotype"/>
          <w:i/>
          <w:sz w:val="24"/>
        </w:rPr>
        <w:lastRenderedPageBreak/>
        <w:t xml:space="preserve"> La divulgación de la información representa un riesgo real, demostrable e identificable de perjuicio significativo al interés público o a la seguridad nacional. </w:t>
      </w:r>
    </w:p>
    <w:p w14:paraId="25C03A08" w14:textId="77777777" w:rsidR="00081064" w:rsidRPr="00B31836" w:rsidRDefault="00081064" w:rsidP="00081064">
      <w:pPr>
        <w:pStyle w:val="Prrafodelista"/>
        <w:spacing w:line="360" w:lineRule="auto"/>
        <w:ind w:left="851" w:right="616" w:hanging="284"/>
        <w:jc w:val="both"/>
        <w:rPr>
          <w:rFonts w:ascii="Palatino Linotype" w:hAnsi="Palatino Linotype"/>
          <w:i/>
          <w:sz w:val="24"/>
        </w:rPr>
      </w:pPr>
    </w:p>
    <w:p w14:paraId="5A7F124E" w14:textId="77777777" w:rsidR="00081064" w:rsidRPr="00B31836" w:rsidRDefault="00081064" w:rsidP="00CF6481">
      <w:pPr>
        <w:pStyle w:val="Prrafodelista"/>
        <w:numPr>
          <w:ilvl w:val="0"/>
          <w:numId w:val="15"/>
        </w:numPr>
        <w:spacing w:line="360" w:lineRule="auto"/>
        <w:ind w:left="851" w:right="616" w:hanging="284"/>
        <w:contextualSpacing w:val="0"/>
        <w:jc w:val="both"/>
        <w:rPr>
          <w:rFonts w:ascii="Palatino Linotype" w:hAnsi="Palatino Linotype"/>
          <w:i/>
          <w:sz w:val="24"/>
        </w:rPr>
      </w:pPr>
      <w:r w:rsidRPr="00B31836">
        <w:rPr>
          <w:rFonts w:ascii="Palatino Linotype" w:hAnsi="Palatino Linotype"/>
          <w:i/>
          <w:sz w:val="24"/>
        </w:rPr>
        <w:t xml:space="preserve">El riesgo de perjuicio supera el interés público general de que se difunda. </w:t>
      </w:r>
    </w:p>
    <w:p w14:paraId="57EE2C87" w14:textId="77777777" w:rsidR="00081064" w:rsidRPr="00B31836" w:rsidRDefault="00081064" w:rsidP="00081064">
      <w:pPr>
        <w:pStyle w:val="Prrafodelista"/>
        <w:ind w:left="851" w:hanging="284"/>
        <w:rPr>
          <w:rFonts w:ascii="Palatino Linotype" w:hAnsi="Palatino Linotype"/>
          <w:i/>
          <w:sz w:val="24"/>
        </w:rPr>
      </w:pPr>
    </w:p>
    <w:p w14:paraId="672F09FD" w14:textId="77777777" w:rsidR="00081064" w:rsidRPr="00B31836" w:rsidRDefault="00081064" w:rsidP="00081064">
      <w:pPr>
        <w:pStyle w:val="Prrafodelista"/>
        <w:spacing w:line="360" w:lineRule="auto"/>
        <w:ind w:left="851" w:right="616" w:hanging="284"/>
        <w:jc w:val="both"/>
        <w:rPr>
          <w:rFonts w:ascii="Palatino Linotype" w:hAnsi="Palatino Linotype"/>
          <w:i/>
          <w:sz w:val="24"/>
        </w:rPr>
      </w:pPr>
      <w:r w:rsidRPr="00B31836">
        <w:rPr>
          <w:rFonts w:ascii="Palatino Linotype" w:hAnsi="Palatino Linotype"/>
          <w:i/>
          <w:sz w:val="24"/>
        </w:rPr>
        <w:t>III. Que la limitación se adecua al principio de proporcionalidad y representa el medio menos restrictivo disponible para evitar el perjuicio.</w:t>
      </w:r>
    </w:p>
    <w:p w14:paraId="129F0BAD" w14:textId="77777777" w:rsidR="00081064" w:rsidRPr="00B31836" w:rsidRDefault="00081064" w:rsidP="00081064">
      <w:pPr>
        <w:pStyle w:val="Prrafodelista"/>
        <w:spacing w:line="360" w:lineRule="auto"/>
        <w:ind w:left="1080"/>
        <w:jc w:val="both"/>
        <w:rPr>
          <w:rFonts w:ascii="Palatino Linotype" w:hAnsi="Palatino Linotype"/>
          <w:sz w:val="24"/>
        </w:rPr>
      </w:pPr>
    </w:p>
    <w:p w14:paraId="7A8F9A60"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Al respecto, este Instituto advierte lo siguiente:</w:t>
      </w:r>
    </w:p>
    <w:p w14:paraId="72224D5B" w14:textId="77777777" w:rsidR="00081064" w:rsidRPr="00B31836" w:rsidRDefault="00081064" w:rsidP="00081064">
      <w:pPr>
        <w:spacing w:line="360" w:lineRule="auto"/>
        <w:jc w:val="both"/>
        <w:rPr>
          <w:rFonts w:ascii="Palatino Linotype" w:hAnsi="Palatino Linotype"/>
          <w:sz w:val="24"/>
          <w:szCs w:val="24"/>
        </w:rPr>
      </w:pPr>
    </w:p>
    <w:p w14:paraId="28FE9F43" w14:textId="77777777" w:rsidR="00081064" w:rsidRPr="00B31836" w:rsidRDefault="00081064" w:rsidP="00CF6481">
      <w:pPr>
        <w:pStyle w:val="Prrafodelista"/>
        <w:numPr>
          <w:ilvl w:val="0"/>
          <w:numId w:val="6"/>
        </w:numPr>
        <w:spacing w:line="360" w:lineRule="auto"/>
        <w:ind w:left="0" w:firstLine="0"/>
        <w:contextualSpacing w:val="0"/>
        <w:jc w:val="both"/>
        <w:rPr>
          <w:rFonts w:ascii="Palatino Linotype" w:hAnsi="Palatino Linotype"/>
          <w:sz w:val="24"/>
        </w:rPr>
      </w:pPr>
      <w:r w:rsidRPr="00B31836">
        <w:rPr>
          <w:rFonts w:ascii="Palatino Linotype" w:hAnsi="Palatino Linotype"/>
          <w:sz w:val="24"/>
        </w:rPr>
        <w:t>Que existe un riesgo real, demostrable e identificable, toda vez que dar a conocer a terceros la información que se encuentra en expedientes en trámite podría propiciar presiones externas en las investigaciones que impidan a la autoridad allegarse de los elementos necesarios o reales sobre los hechos acontecidos, que impidan a la autoridad que el acto sucedió y en su caso si en él se cometieron o no violaciones a derechos humanos, incluso si las supuestas revisiones fueron o no sin causa justificada.</w:t>
      </w:r>
    </w:p>
    <w:p w14:paraId="4B3082EA" w14:textId="77777777" w:rsidR="00081064" w:rsidRPr="00B31836" w:rsidRDefault="00081064" w:rsidP="00081064">
      <w:pPr>
        <w:spacing w:line="360" w:lineRule="auto"/>
        <w:jc w:val="both"/>
        <w:rPr>
          <w:rFonts w:ascii="Palatino Linotype" w:hAnsi="Palatino Linotype"/>
          <w:sz w:val="24"/>
          <w:szCs w:val="24"/>
        </w:rPr>
      </w:pPr>
    </w:p>
    <w:p w14:paraId="1F1B1FFB" w14:textId="77777777" w:rsidR="00081064" w:rsidRPr="00B31836" w:rsidRDefault="00081064" w:rsidP="00081064">
      <w:pPr>
        <w:spacing w:line="360" w:lineRule="auto"/>
        <w:jc w:val="both"/>
        <w:rPr>
          <w:rFonts w:ascii="Palatino Linotype" w:hAnsi="Palatino Linotype"/>
          <w:sz w:val="24"/>
          <w:szCs w:val="24"/>
        </w:rPr>
      </w:pPr>
      <w:r w:rsidRPr="00B31836">
        <w:rPr>
          <w:rFonts w:ascii="Palatino Linotype" w:hAnsi="Palatino Linotype"/>
          <w:sz w:val="24"/>
          <w:szCs w:val="24"/>
        </w:rPr>
        <w:t xml:space="preserve">Aunado, a lo anterior, en el supuesto de que se entreguen documentos que el Sujeto Obligado tenga que analizar para determinar la violación o no a derechos humanos, podría propiciar entregar información no certera a la sociedad, ya que no está aún </w:t>
      </w:r>
      <w:r w:rsidRPr="00B31836">
        <w:rPr>
          <w:rFonts w:ascii="Palatino Linotype" w:hAnsi="Palatino Linotype"/>
          <w:sz w:val="24"/>
          <w:szCs w:val="24"/>
        </w:rPr>
        <w:lastRenderedPageBreak/>
        <w:t>acreditado que se hayan realizado conductas que afecten los derechos humanos de particulares, e incluso el tipo o nivel de la violación o, definitivamente si esta no existió.</w:t>
      </w:r>
    </w:p>
    <w:p w14:paraId="6EA692E8" w14:textId="77777777" w:rsidR="00081064" w:rsidRPr="00B31836" w:rsidRDefault="00081064" w:rsidP="00081064">
      <w:pPr>
        <w:spacing w:line="360" w:lineRule="auto"/>
        <w:ind w:left="567" w:right="616"/>
        <w:jc w:val="both"/>
        <w:rPr>
          <w:rFonts w:ascii="Palatino Linotype" w:hAnsi="Palatino Linotype"/>
          <w:sz w:val="24"/>
          <w:szCs w:val="24"/>
        </w:rPr>
      </w:pPr>
    </w:p>
    <w:p w14:paraId="075ECD5D" w14:textId="77777777" w:rsidR="00081064" w:rsidRPr="00B31836" w:rsidRDefault="00081064" w:rsidP="00CF6481">
      <w:pPr>
        <w:pStyle w:val="Prrafodelista"/>
        <w:numPr>
          <w:ilvl w:val="0"/>
          <w:numId w:val="6"/>
        </w:numPr>
        <w:spacing w:line="360" w:lineRule="auto"/>
        <w:ind w:left="567" w:right="616" w:firstLine="0"/>
        <w:contextualSpacing w:val="0"/>
        <w:jc w:val="both"/>
        <w:rPr>
          <w:rFonts w:ascii="Palatino Linotype" w:hAnsi="Palatino Linotype"/>
          <w:sz w:val="24"/>
        </w:rPr>
      </w:pPr>
      <w:r w:rsidRPr="00B31836">
        <w:rPr>
          <w:rFonts w:ascii="Palatino Linotype" w:hAnsi="Palatino Linotype"/>
          <w:sz w:val="24"/>
        </w:rPr>
        <w:t xml:space="preserve">Que el riesgo de perjuicio que supone la divulgación de la información supera el interés público general; pues con dicha documentación, podría propiciarse que, de haber ocurrido las violaciones a derechos humanos, los responsables o probables responsables ejerzan presión sobre los denunciantes para que se retracten, al darse cuenta de que el sentido de la investigación permite acreditar los hechos ilícitos. </w:t>
      </w:r>
    </w:p>
    <w:p w14:paraId="5AF91EA8" w14:textId="77777777" w:rsidR="00081064" w:rsidRPr="00B31836" w:rsidRDefault="00081064" w:rsidP="00081064">
      <w:pPr>
        <w:spacing w:line="360" w:lineRule="auto"/>
        <w:ind w:left="567" w:right="616"/>
        <w:jc w:val="both"/>
        <w:rPr>
          <w:rFonts w:ascii="Palatino Linotype" w:hAnsi="Palatino Linotype"/>
          <w:sz w:val="24"/>
          <w:szCs w:val="24"/>
        </w:rPr>
      </w:pPr>
    </w:p>
    <w:p w14:paraId="221A03E0" w14:textId="77777777" w:rsidR="00081064" w:rsidRPr="00B31836" w:rsidRDefault="00081064" w:rsidP="00081064">
      <w:pPr>
        <w:spacing w:line="360" w:lineRule="auto"/>
        <w:ind w:left="567" w:right="616"/>
        <w:jc w:val="both"/>
        <w:rPr>
          <w:rFonts w:ascii="Palatino Linotype" w:hAnsi="Palatino Linotype"/>
          <w:sz w:val="24"/>
          <w:szCs w:val="24"/>
        </w:rPr>
      </w:pPr>
      <w:r w:rsidRPr="00B31836">
        <w:rPr>
          <w:rFonts w:ascii="Palatino Linotype" w:hAnsi="Palatino Linotype"/>
          <w:sz w:val="24"/>
          <w:szCs w:val="24"/>
        </w:rPr>
        <w:t xml:space="preserve">Refuerza lo anterior que, hasta en tanto no exista una resolución que haya sido emitida por la autoridad competente, las constancias únicamente </w:t>
      </w:r>
      <w:proofErr w:type="gramStart"/>
      <w:r w:rsidRPr="00B31836">
        <w:rPr>
          <w:rFonts w:ascii="Palatino Linotype" w:hAnsi="Palatino Linotype"/>
          <w:sz w:val="24"/>
          <w:szCs w:val="24"/>
        </w:rPr>
        <w:t>le</w:t>
      </w:r>
      <w:proofErr w:type="gramEnd"/>
      <w:r w:rsidRPr="00B31836">
        <w:rPr>
          <w:rFonts w:ascii="Palatino Linotype" w:hAnsi="Palatino Linotype"/>
          <w:sz w:val="24"/>
          <w:szCs w:val="24"/>
        </w:rPr>
        <w:t xml:space="preserve"> conciernen, a las autoridades investigadoras. En efecto, no existe en este momento procesal una afectación al interés público, en virtud de que se están realizando las etapas correspondientes y establecidas en la norma correspondiente para determinar si existió alguna violación a derechos humanos y una vez que la determinación sea tomada por la autoridad correspondiente, la limitación de acceso se termina. </w:t>
      </w:r>
    </w:p>
    <w:p w14:paraId="5B1370FB" w14:textId="77777777" w:rsidR="00081064" w:rsidRPr="00B31836" w:rsidRDefault="00081064" w:rsidP="00081064">
      <w:pPr>
        <w:spacing w:line="360" w:lineRule="auto"/>
        <w:ind w:left="567" w:right="616"/>
        <w:jc w:val="both"/>
        <w:rPr>
          <w:rFonts w:ascii="Palatino Linotype" w:hAnsi="Palatino Linotype"/>
          <w:sz w:val="24"/>
          <w:szCs w:val="24"/>
        </w:rPr>
      </w:pPr>
    </w:p>
    <w:p w14:paraId="13E22766" w14:textId="77777777" w:rsidR="00081064" w:rsidRPr="00B31836" w:rsidRDefault="00081064" w:rsidP="00081064">
      <w:pPr>
        <w:spacing w:line="360" w:lineRule="auto"/>
        <w:ind w:left="567" w:right="616"/>
        <w:jc w:val="both"/>
        <w:rPr>
          <w:rFonts w:ascii="Palatino Linotype" w:hAnsi="Palatino Linotype"/>
          <w:sz w:val="24"/>
          <w:szCs w:val="24"/>
        </w:rPr>
      </w:pPr>
      <w:r w:rsidRPr="00B31836">
        <w:rPr>
          <w:rFonts w:ascii="Palatino Linotype" w:hAnsi="Palatino Linotype"/>
          <w:sz w:val="24"/>
          <w:szCs w:val="24"/>
        </w:rPr>
        <w:t xml:space="preserve">Se busca además no proporcionar información que pueda generar en el imaginario colectivo una falta apreciación, ni en sentido positivo ni </w:t>
      </w:r>
      <w:r w:rsidRPr="00B31836">
        <w:rPr>
          <w:rFonts w:ascii="Palatino Linotype" w:hAnsi="Palatino Linotype"/>
          <w:sz w:val="24"/>
          <w:szCs w:val="24"/>
        </w:rPr>
        <w:lastRenderedPageBreak/>
        <w:t>negativo sobre el actuar de las autoridades, pues independientemente de que los probables responsables tienen el derecho a la presunción de inocencia, el hacer pública información sobre hechos y situaciones no acreditados puede generar o una falsa confianza en la población o una desconfianza infundada sobre el trabajo de los elementos de seguridad o de tránsito.</w:t>
      </w:r>
    </w:p>
    <w:p w14:paraId="660E4234" w14:textId="77777777" w:rsidR="00081064" w:rsidRPr="00B31836" w:rsidRDefault="00081064" w:rsidP="00081064">
      <w:pPr>
        <w:spacing w:line="360" w:lineRule="auto"/>
        <w:ind w:left="567" w:right="616"/>
        <w:jc w:val="both"/>
        <w:rPr>
          <w:rFonts w:ascii="Palatino Linotype" w:hAnsi="Palatino Linotype"/>
          <w:sz w:val="24"/>
          <w:szCs w:val="24"/>
        </w:rPr>
      </w:pPr>
    </w:p>
    <w:p w14:paraId="4C0EB00A" w14:textId="77777777" w:rsidR="00081064" w:rsidRPr="00B31836" w:rsidRDefault="00081064" w:rsidP="00081064">
      <w:pPr>
        <w:spacing w:line="360" w:lineRule="auto"/>
        <w:ind w:left="567" w:right="616"/>
        <w:jc w:val="both"/>
        <w:rPr>
          <w:rFonts w:ascii="Palatino Linotype" w:hAnsi="Palatino Linotype"/>
          <w:sz w:val="24"/>
          <w:szCs w:val="24"/>
        </w:rPr>
      </w:pPr>
      <w:r w:rsidRPr="00B31836">
        <w:rPr>
          <w:rFonts w:ascii="Palatino Linotype" w:hAnsi="Palatino Linotype"/>
          <w:sz w:val="24"/>
          <w:szCs w:val="24"/>
        </w:rPr>
        <w:t>Bajo este orden de ideas, se trata como se ha referido de una limitación proporcional ya que el objetivo es que las autoridades puedan resolver libres de presiones externas, proteger también a los denunciantes, de tal suerte que, además de que se eliminen los datos personales que los hagan identificables, tampoco se haga pública información que los permita ubicar en el sitio y tiempo de los hechos y puedan ser víctimas de presiones.</w:t>
      </w:r>
    </w:p>
    <w:p w14:paraId="6A843FBB" w14:textId="77777777" w:rsidR="00081064" w:rsidRPr="00B31836" w:rsidRDefault="00081064" w:rsidP="00081064">
      <w:pPr>
        <w:spacing w:line="360" w:lineRule="auto"/>
        <w:ind w:left="567" w:right="616"/>
        <w:jc w:val="both"/>
        <w:rPr>
          <w:rFonts w:ascii="Palatino Linotype" w:hAnsi="Palatino Linotype"/>
          <w:sz w:val="24"/>
          <w:szCs w:val="24"/>
        </w:rPr>
      </w:pPr>
    </w:p>
    <w:p w14:paraId="6E8DC970" w14:textId="77777777" w:rsidR="00081064" w:rsidRPr="00B31836" w:rsidRDefault="00081064" w:rsidP="00081064">
      <w:pPr>
        <w:spacing w:line="360" w:lineRule="auto"/>
        <w:ind w:left="567" w:right="616"/>
        <w:jc w:val="both"/>
        <w:rPr>
          <w:rFonts w:ascii="Palatino Linotype" w:hAnsi="Palatino Linotype"/>
          <w:sz w:val="24"/>
          <w:szCs w:val="24"/>
        </w:rPr>
      </w:pPr>
      <w:r w:rsidRPr="00B31836">
        <w:rPr>
          <w:rFonts w:ascii="Palatino Linotype" w:hAnsi="Palatino Linotype"/>
          <w:sz w:val="24"/>
          <w:szCs w:val="24"/>
        </w:rPr>
        <w:t xml:space="preserve">• La reserva no se traduce en un medio restrictivo al derecho de acceso a la información, en virtud, de que se trata de una medida temporal, cuya finalidad es salvaguardar la conducción de dichos procedimientos, por lo que, no se trata de una medida desproporcional, ni excesiva, ya que una vez que la investigación concluya los expedientes son públicos en versión pública, como se acredita con el presente asunto en donde la Comisión está dispuesta a entregar los expedientes concluidos. </w:t>
      </w:r>
    </w:p>
    <w:p w14:paraId="5075CC17" w14:textId="77777777" w:rsidR="00081064" w:rsidRPr="00B31836" w:rsidRDefault="00081064" w:rsidP="00081064">
      <w:pPr>
        <w:spacing w:line="360" w:lineRule="auto"/>
        <w:jc w:val="both"/>
        <w:rPr>
          <w:rFonts w:ascii="Palatino Linotype" w:hAnsi="Palatino Linotype"/>
          <w:sz w:val="24"/>
          <w:szCs w:val="24"/>
        </w:rPr>
      </w:pPr>
    </w:p>
    <w:p w14:paraId="522378AE"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lastRenderedPageBreak/>
        <w:t xml:space="preserve">Conforme a lo anterior, resulta procedente reservar las quejas que se encuentren en trámite, en términos del artículo 140, fracción VIII, de la Ley de Transparencia y Acceso a la Información Pública del Estado de México y Municipios. </w:t>
      </w:r>
    </w:p>
    <w:p w14:paraId="35D97B63" w14:textId="77777777" w:rsidR="00081064" w:rsidRPr="00B31836" w:rsidRDefault="00081064" w:rsidP="00081064">
      <w:pPr>
        <w:pStyle w:val="Prrafodelista"/>
        <w:spacing w:line="360" w:lineRule="auto"/>
        <w:ind w:left="0"/>
        <w:jc w:val="both"/>
        <w:rPr>
          <w:rFonts w:ascii="Palatino Linotype" w:hAnsi="Palatino Linotype"/>
          <w:sz w:val="24"/>
        </w:rPr>
      </w:pPr>
    </w:p>
    <w:p w14:paraId="735F4613"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 xml:space="preserve">Finalmente, respecto al plazo de reserva,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5 años. </w:t>
      </w:r>
    </w:p>
    <w:p w14:paraId="29104130" w14:textId="77777777" w:rsidR="00081064" w:rsidRPr="00B31836" w:rsidRDefault="00081064" w:rsidP="00081064">
      <w:pPr>
        <w:pStyle w:val="Prrafodelista"/>
        <w:spacing w:line="360" w:lineRule="auto"/>
        <w:jc w:val="both"/>
        <w:rPr>
          <w:rFonts w:ascii="Palatino Linotype" w:hAnsi="Palatino Linotype"/>
          <w:sz w:val="24"/>
        </w:rPr>
      </w:pPr>
    </w:p>
    <w:p w14:paraId="6FA192B2"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14:paraId="2485A2B6" w14:textId="77777777" w:rsidR="00081064" w:rsidRPr="00B31836" w:rsidRDefault="00081064" w:rsidP="00081064">
      <w:pPr>
        <w:pStyle w:val="Prrafodelista"/>
        <w:spacing w:line="360" w:lineRule="auto"/>
        <w:jc w:val="both"/>
        <w:rPr>
          <w:rFonts w:ascii="Palatino Linotype" w:hAnsi="Palatino Linotype"/>
          <w:sz w:val="24"/>
        </w:rPr>
      </w:pPr>
    </w:p>
    <w:p w14:paraId="35BFF742"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Sobre el particular, de acuerdo a las circunstancias de modo, tiempo y lugar, se considera que el Sujeto Obligado determinará el periodo de reserva de la información, a partir de la fecha de la presente Resolución; lo anterior, toda vez que debe tomar en cuenta el tiempo para resolver los expedientes en estudio.</w:t>
      </w:r>
    </w:p>
    <w:p w14:paraId="207D8255" w14:textId="77777777" w:rsidR="00081064" w:rsidRPr="00B31836" w:rsidRDefault="00081064" w:rsidP="00081064">
      <w:pPr>
        <w:pStyle w:val="Prrafodelista"/>
        <w:spacing w:line="360" w:lineRule="auto"/>
        <w:jc w:val="both"/>
        <w:rPr>
          <w:rFonts w:ascii="Palatino Linotype" w:hAnsi="Palatino Linotype"/>
          <w:sz w:val="24"/>
        </w:rPr>
      </w:pPr>
    </w:p>
    <w:p w14:paraId="09FDCB2D"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lastRenderedPageBreak/>
        <w:t>De lo anterior resulta dable ordenar al Sujeto Obligado el Acuerdo del Comité de Transparencia, donde clasifique de manera fundada y motivada las quejas que se encuentren en expedientes en trámite en términos de los artículos 49, fracciones II y VIII, 140, fracción VIII y 141 de la Ley de Transparencia y Acceso a la Información Pública del Estado de México y Municipios.</w:t>
      </w:r>
    </w:p>
    <w:p w14:paraId="68683E15" w14:textId="77777777" w:rsidR="00081064" w:rsidRPr="00B31836" w:rsidRDefault="00081064" w:rsidP="00081064">
      <w:pPr>
        <w:pStyle w:val="Prrafodelista"/>
        <w:spacing w:line="360" w:lineRule="auto"/>
        <w:jc w:val="both"/>
        <w:rPr>
          <w:rFonts w:ascii="Palatino Linotype" w:hAnsi="Palatino Linotype"/>
          <w:sz w:val="24"/>
        </w:rPr>
      </w:pPr>
    </w:p>
    <w:p w14:paraId="0222A970"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Ahora bien, es necesario traer a colación lo dispuesto por la fracción IV del artículo 142 de la Ley de Transparencia y Acceso a la Información Pública del Estado de México y Municipios, mismo que se inserta a continuación:</w:t>
      </w:r>
    </w:p>
    <w:p w14:paraId="06CAE031" w14:textId="77777777" w:rsidR="00081064" w:rsidRPr="00B31836" w:rsidRDefault="00081064" w:rsidP="00081064">
      <w:pPr>
        <w:pStyle w:val="Prrafodelista"/>
        <w:spacing w:line="360" w:lineRule="auto"/>
        <w:jc w:val="both"/>
        <w:rPr>
          <w:rFonts w:ascii="Palatino Linotype" w:hAnsi="Palatino Linotype"/>
          <w:sz w:val="24"/>
        </w:rPr>
      </w:pPr>
    </w:p>
    <w:p w14:paraId="30077B9D" w14:textId="77777777" w:rsidR="00081064" w:rsidRPr="00B31836" w:rsidRDefault="00081064" w:rsidP="00081064">
      <w:pPr>
        <w:pStyle w:val="Prrafodelista"/>
        <w:spacing w:line="360" w:lineRule="auto"/>
        <w:ind w:left="0"/>
        <w:jc w:val="both"/>
        <w:rPr>
          <w:rFonts w:ascii="Palatino Linotype" w:hAnsi="Palatino Linotype"/>
          <w:sz w:val="24"/>
        </w:rPr>
      </w:pPr>
    </w:p>
    <w:p w14:paraId="2A1E0F44"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w:t>
      </w:r>
      <w:r w:rsidRPr="00B31836">
        <w:rPr>
          <w:rFonts w:ascii="Palatino Linotype" w:hAnsi="Palatino Linotype"/>
          <w:b/>
          <w:i/>
          <w:sz w:val="24"/>
          <w:szCs w:val="24"/>
        </w:rPr>
        <w:t>Artículo 142.</w:t>
      </w:r>
      <w:r w:rsidRPr="00B31836">
        <w:rPr>
          <w:rFonts w:ascii="Palatino Linotype" w:hAnsi="Palatino Linotype"/>
          <w:i/>
          <w:sz w:val="24"/>
          <w:szCs w:val="24"/>
        </w:rPr>
        <w:t xml:space="preserve"> Bajo ninguna circunstancia podrá invocarse el carácter de reservado cuando: I. Se trate de violaciones graves de derechos humanos, calificada así por autoridad competente. </w:t>
      </w:r>
    </w:p>
    <w:p w14:paraId="5E3C7B1B" w14:textId="77777777" w:rsidR="00081064" w:rsidRPr="00B31836" w:rsidRDefault="00081064" w:rsidP="00081064">
      <w:pPr>
        <w:spacing w:line="360" w:lineRule="auto"/>
        <w:ind w:left="567" w:right="616"/>
        <w:jc w:val="both"/>
        <w:rPr>
          <w:rFonts w:ascii="Palatino Linotype" w:hAnsi="Palatino Linotype"/>
          <w:i/>
          <w:sz w:val="24"/>
          <w:szCs w:val="24"/>
        </w:rPr>
      </w:pPr>
    </w:p>
    <w:p w14:paraId="514BA35F" w14:textId="77777777" w:rsidR="00081064" w:rsidRPr="00B31836" w:rsidRDefault="00081064" w:rsidP="00081064">
      <w:pPr>
        <w:spacing w:line="360" w:lineRule="auto"/>
        <w:ind w:left="567" w:right="616"/>
        <w:jc w:val="both"/>
        <w:rPr>
          <w:rFonts w:ascii="Palatino Linotype" w:hAnsi="Palatino Linotype"/>
          <w:i/>
          <w:sz w:val="24"/>
          <w:szCs w:val="24"/>
        </w:rPr>
      </w:pPr>
      <w:r w:rsidRPr="00B31836">
        <w:rPr>
          <w:rFonts w:ascii="Palatino Linotype" w:hAnsi="Palatino Linotype"/>
          <w:i/>
          <w:sz w:val="24"/>
          <w:szCs w:val="24"/>
        </w:rPr>
        <w:t>(…) “</w:t>
      </w:r>
    </w:p>
    <w:p w14:paraId="5DC74C86" w14:textId="77777777" w:rsidR="00081064" w:rsidRPr="00B31836" w:rsidRDefault="00081064" w:rsidP="00081064">
      <w:pPr>
        <w:spacing w:line="360" w:lineRule="auto"/>
        <w:ind w:left="567" w:right="191"/>
        <w:jc w:val="both"/>
        <w:rPr>
          <w:rFonts w:ascii="Palatino Linotype" w:hAnsi="Palatino Linotype"/>
          <w:i/>
          <w:sz w:val="24"/>
          <w:szCs w:val="24"/>
        </w:rPr>
      </w:pPr>
    </w:p>
    <w:p w14:paraId="41CFA8CA"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 xml:space="preserve">Así las cosas, la Ley de la materia reconoce a toda la información relacionada con actos de violaciones graves a derechos humanos, como información inmune a recibir un tratamiento de clasificación como reservada, en el margen de que, justamente, el hacer del conocimiento a la ciudadanía este tipo de conductas realizadas por servidores públicos, atiende el objetivo fundamental de la </w:t>
      </w:r>
      <w:r w:rsidRPr="00B31836">
        <w:rPr>
          <w:rFonts w:ascii="Palatino Linotype" w:hAnsi="Palatino Linotype"/>
          <w:sz w:val="24"/>
          <w:szCs w:val="24"/>
        </w:rPr>
        <w:lastRenderedPageBreak/>
        <w:t>normatividad: sobre la gestión pública para el combate a la corrupción y la rendición de cuentas.</w:t>
      </w:r>
    </w:p>
    <w:p w14:paraId="568B2DBD" w14:textId="77777777" w:rsidR="00081064" w:rsidRPr="00B31836" w:rsidRDefault="00081064" w:rsidP="00081064">
      <w:pPr>
        <w:pStyle w:val="Prrafodelista"/>
        <w:spacing w:line="360" w:lineRule="auto"/>
        <w:ind w:left="0" w:right="49"/>
        <w:jc w:val="both"/>
        <w:rPr>
          <w:rFonts w:ascii="Palatino Linotype" w:hAnsi="Palatino Linotype"/>
          <w:sz w:val="24"/>
        </w:rPr>
      </w:pPr>
    </w:p>
    <w:p w14:paraId="34669C21"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Aunado a lo anterior, se debe considerar ciertos criterios para determinar cuáles son las determinaciones que se deben tomar en cuenta para señalar cuales son las violaciones consideradas graves para no clasificar como reservada la información, por lo que se trae a colación lo señalado en la Tesis Aislada número 1a. XI/2012 (10a.), (Gaceta del Semanario Judicial de la Federación, Libro V, Febrero de 2012, Tomo 1, página 667) como se muestra a continuación:</w:t>
      </w:r>
    </w:p>
    <w:p w14:paraId="5F806A1D" w14:textId="77777777" w:rsidR="00081064" w:rsidRPr="00B31836" w:rsidRDefault="00081064" w:rsidP="00081064">
      <w:pPr>
        <w:pStyle w:val="Prrafodelista"/>
        <w:spacing w:line="360" w:lineRule="auto"/>
        <w:jc w:val="both"/>
        <w:rPr>
          <w:rFonts w:ascii="Palatino Linotype" w:hAnsi="Palatino Linotype"/>
          <w:sz w:val="24"/>
        </w:rPr>
      </w:pPr>
    </w:p>
    <w:p w14:paraId="5C73C95A" w14:textId="77777777" w:rsidR="00081064" w:rsidRPr="00B31836" w:rsidRDefault="00081064" w:rsidP="00081064">
      <w:pPr>
        <w:spacing w:line="360" w:lineRule="auto"/>
        <w:ind w:right="616"/>
        <w:jc w:val="both"/>
        <w:rPr>
          <w:rFonts w:ascii="Palatino Linotype" w:hAnsi="Palatino Linotype"/>
          <w:sz w:val="24"/>
          <w:szCs w:val="24"/>
        </w:rPr>
      </w:pPr>
    </w:p>
    <w:p w14:paraId="61007455"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b/>
          <w:i/>
          <w:sz w:val="24"/>
        </w:rPr>
        <w:t>“VIOLACIONES GRAVES A DERECHOS HUMANOS. SU CONCEPTO PARA EFECTOS DEL DERECHO DE ACCESO A LA INFORMACIÓN DE LA AVERIGUACIÓN PREVIA QUE LAS INVESTIGA.</w:t>
      </w:r>
      <w:r w:rsidRPr="00B31836">
        <w:rPr>
          <w:rFonts w:ascii="Palatino Linotype" w:hAnsi="Palatino Linotype"/>
          <w:i/>
          <w:sz w:val="24"/>
        </w:rPr>
        <w:t xml:space="preserve"> De conformidad con el artículo 14 de la Ley Federal de Transparencia y Acceso a la Información Pública Gubernamental, no puede alegarse el carácter de reservado cuando la averiguación previa investigue hechos constitutivos de graves violaciones a derechos humanos o delitos de lesa humanidad. A fin de que el intérprete determine si un caso concreto se ubica en el supuesto de excepción relativo a las violaciones graves a derechos humanos y deba dar acceso a la averiguación previa correspondiente, es necesario que atienda a los lineamientos sentados por la Suprema Corte de Justicia de la Nación y por la Corte Interamericana de Derechos Humanos en esta materia. </w:t>
      </w:r>
      <w:r w:rsidRPr="00B31836">
        <w:rPr>
          <w:rFonts w:ascii="Palatino Linotype" w:hAnsi="Palatino Linotype"/>
          <w:i/>
          <w:sz w:val="24"/>
        </w:rPr>
        <w:lastRenderedPageBreak/>
        <w:t xml:space="preserve">Siguiendo los lineamientos establecidos por este alto tribunal, para determinar que una violación a derechos humanos es "grave" se requiere comprobar la trascendencia social de las violaciones, lo cual se podrá determinar a través de criterios cuantitativos o cualitativos. 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 Es lógico que el criterio anterior no haya podido aplicarse a todos los casos, razón por la cual esta Suprema Corte también </w:t>
      </w:r>
      <w:proofErr w:type="spellStart"/>
      <w:r w:rsidRPr="00B31836">
        <w:rPr>
          <w:rFonts w:ascii="Palatino Linotype" w:hAnsi="Palatino Linotype"/>
          <w:i/>
          <w:sz w:val="24"/>
        </w:rPr>
        <w:t>haentendido</w:t>
      </w:r>
      <w:proofErr w:type="spellEnd"/>
      <w:r w:rsidRPr="00B31836">
        <w:rPr>
          <w:rFonts w:ascii="Palatino Linotype" w:hAnsi="Palatino Linotype"/>
          <w:i/>
          <w:sz w:val="24"/>
        </w:rPr>
        <w:t xml:space="preserve"> que en algunos supuestos la trascendencia social de las violaciones se puede demostrar mediante un criterio cualitativo, determinando si éstas presentan alguna característica o cualidad que les dé una dimensión específica. En lo que respecta a la jurisprudencia de la Corte Interamericana de Derechos Humanos, ese tribunal ha determinado que la "gravedad" radica, esencialmente, en que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 </w:t>
      </w:r>
    </w:p>
    <w:p w14:paraId="697BDDA2" w14:textId="77777777" w:rsidR="00081064" w:rsidRPr="00B31836" w:rsidRDefault="00081064" w:rsidP="00081064">
      <w:pPr>
        <w:pStyle w:val="Prrafodelista"/>
        <w:spacing w:line="360" w:lineRule="auto"/>
        <w:ind w:left="567" w:right="616"/>
        <w:jc w:val="both"/>
        <w:rPr>
          <w:rFonts w:ascii="Palatino Linotype" w:hAnsi="Palatino Linotype"/>
          <w:i/>
          <w:sz w:val="24"/>
        </w:rPr>
      </w:pPr>
    </w:p>
    <w:p w14:paraId="4FF27A40" w14:textId="77777777" w:rsidR="00081064" w:rsidRPr="00B31836" w:rsidRDefault="00081064" w:rsidP="00081064">
      <w:pPr>
        <w:pStyle w:val="Prrafodelista"/>
        <w:spacing w:line="360" w:lineRule="auto"/>
        <w:ind w:left="567" w:right="616"/>
        <w:jc w:val="both"/>
        <w:rPr>
          <w:rFonts w:ascii="Palatino Linotype" w:hAnsi="Palatino Linotype"/>
          <w:i/>
          <w:sz w:val="24"/>
        </w:rPr>
      </w:pPr>
      <w:r w:rsidRPr="00B31836">
        <w:rPr>
          <w:rFonts w:ascii="Palatino Linotype" w:hAnsi="Palatino Linotype"/>
          <w:i/>
          <w:sz w:val="24"/>
        </w:rPr>
        <w:lastRenderedPageBreak/>
        <w:t xml:space="preserve">Amparo en revisión 168/2011. Comisión Mexicana de Defensa y Protección de los Derechos Humanos, A.C. y otra. 30 de noviembre de 2011. Cinco votos. Ponente: Arturo Zaldívar Lelo de Larrea. Secretario: Javier Mijangos y González.” </w:t>
      </w:r>
    </w:p>
    <w:p w14:paraId="2448C065" w14:textId="77777777" w:rsidR="00081064" w:rsidRPr="00B31836" w:rsidRDefault="00081064" w:rsidP="00081064">
      <w:pPr>
        <w:spacing w:line="360" w:lineRule="auto"/>
        <w:jc w:val="both"/>
        <w:rPr>
          <w:rFonts w:ascii="Palatino Linotype" w:hAnsi="Palatino Linotype"/>
          <w:sz w:val="24"/>
          <w:szCs w:val="24"/>
        </w:rPr>
      </w:pPr>
    </w:p>
    <w:p w14:paraId="16099FB0"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rPr>
      </w:pPr>
      <w:r w:rsidRPr="00B31836">
        <w:rPr>
          <w:rFonts w:ascii="Palatino Linotype" w:hAnsi="Palatino Linotype"/>
          <w:sz w:val="24"/>
          <w:szCs w:val="24"/>
        </w:rPr>
        <w:t>Así, como ya se ha acreditado procede la reserva de los expedientes que se encuentran en trámite, sin embargo, es necesario señalar que para el caso de que las quejas que se ordenan reservar, si los hechos que se investigan están catalogados como violación grave a derechos humanos no procede su clasificación como reservada, por lo que deberán ser entregados en versión pública.</w:t>
      </w:r>
    </w:p>
    <w:p w14:paraId="0A3FD0DF" w14:textId="77777777" w:rsidR="00081064" w:rsidRPr="00B31836" w:rsidRDefault="00081064" w:rsidP="00081064">
      <w:pPr>
        <w:spacing w:line="360" w:lineRule="auto"/>
        <w:jc w:val="both"/>
        <w:rPr>
          <w:rFonts w:ascii="Palatino Linotype" w:hAnsi="Palatino Linotype"/>
          <w:sz w:val="24"/>
          <w:szCs w:val="24"/>
        </w:rPr>
      </w:pPr>
    </w:p>
    <w:p w14:paraId="4D3CBBC0" w14:textId="77777777" w:rsidR="00081064" w:rsidRPr="00B31836" w:rsidRDefault="00081064" w:rsidP="00081064">
      <w:pPr>
        <w:keepNext/>
        <w:keepLines/>
        <w:spacing w:before="240" w:line="360" w:lineRule="auto"/>
        <w:ind w:right="538"/>
        <w:contextualSpacing/>
        <w:jc w:val="both"/>
        <w:outlineLvl w:val="0"/>
        <w:rPr>
          <w:rFonts w:ascii="Palatino Linotype" w:eastAsia="MS Mincho" w:hAnsi="Palatino Linotype"/>
          <w:b/>
          <w:sz w:val="24"/>
          <w:szCs w:val="24"/>
          <w:lang w:val="es-ES_tradnl"/>
        </w:rPr>
      </w:pPr>
      <w:bookmarkStart w:id="10" w:name="_Toc96007406"/>
      <w:bookmarkStart w:id="11" w:name="_Toc98429027"/>
      <w:bookmarkStart w:id="12" w:name="_Toc98978644"/>
      <w:bookmarkStart w:id="13" w:name="_Toc103821647"/>
      <w:r w:rsidRPr="00B31836">
        <w:rPr>
          <w:rFonts w:ascii="Palatino Linotype" w:eastAsia="MS Gothic" w:hAnsi="Palatino Linotype"/>
          <w:b/>
          <w:sz w:val="24"/>
          <w:szCs w:val="24"/>
          <w:lang w:val="es-ES_tradnl" w:eastAsia="es-ES_tradnl"/>
        </w:rPr>
        <w:t xml:space="preserve">QUINTO. </w:t>
      </w:r>
      <w:r w:rsidRPr="00B31836">
        <w:rPr>
          <w:rFonts w:ascii="Palatino Linotype" w:eastAsia="MS Mincho" w:hAnsi="Palatino Linotype"/>
          <w:b/>
          <w:sz w:val="24"/>
          <w:szCs w:val="24"/>
          <w:lang w:val="es-ES_tradnl"/>
        </w:rPr>
        <w:t>De la elaboración de la versión pública y el acuerdo de clasificación como información confidencial o reservada.</w:t>
      </w:r>
      <w:bookmarkEnd w:id="10"/>
      <w:bookmarkEnd w:id="11"/>
      <w:bookmarkEnd w:id="12"/>
      <w:bookmarkEnd w:id="13"/>
    </w:p>
    <w:p w14:paraId="2DFB8C31" w14:textId="77777777" w:rsidR="00081064" w:rsidRPr="00B31836" w:rsidRDefault="00081064" w:rsidP="00081064">
      <w:pPr>
        <w:keepNext/>
        <w:keepLines/>
        <w:spacing w:before="240" w:line="360" w:lineRule="auto"/>
        <w:ind w:right="538"/>
        <w:contextualSpacing/>
        <w:jc w:val="both"/>
        <w:outlineLvl w:val="0"/>
        <w:rPr>
          <w:rFonts w:ascii="Palatino Linotype" w:eastAsia="MS Mincho" w:hAnsi="Palatino Linotype"/>
          <w:b/>
          <w:sz w:val="24"/>
          <w:szCs w:val="24"/>
          <w:lang w:val="es-ES_tradnl"/>
        </w:rPr>
      </w:pPr>
    </w:p>
    <w:p w14:paraId="263E0CAB"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rPr>
      </w:pPr>
      <w:r w:rsidRPr="00B31836">
        <w:rPr>
          <w:rFonts w:ascii="Palatino Linotype" w:hAnsi="Palatino Linotype" w:cs="Arial"/>
          <w:color w:val="000000"/>
          <w:sz w:val="24"/>
          <w:szCs w:val="24"/>
          <w:lang w:val="es-ES_tradnl"/>
        </w:rPr>
        <w:t xml:space="preserve">Debe destacarse que debido a la naturaleza de </w:t>
      </w:r>
      <w:r w:rsidRPr="00B31836">
        <w:rPr>
          <w:rFonts w:ascii="Palatino Linotype" w:hAnsi="Palatino Linotype"/>
          <w:color w:val="000000"/>
          <w:sz w:val="24"/>
          <w:szCs w:val="24"/>
          <w:lang w:val="es-ES_tradnl"/>
        </w:rPr>
        <w:t xml:space="preserve">la información solicitada, en la misma pudieran obrar datos personales o información reservada susceptibles de protegerse </w:t>
      </w:r>
      <w:r w:rsidRPr="00B31836">
        <w:rPr>
          <w:rFonts w:ascii="Palatino Linotype" w:hAnsi="Palatino Linotype" w:cs="Arial"/>
          <w:color w:val="000000"/>
          <w:sz w:val="24"/>
          <w:szCs w:val="24"/>
          <w:lang w:val="es-ES_tradnl"/>
        </w:rPr>
        <w:t>y toda vez que este Instituto de Transparencia, Acceso a la Información Pública y Protección de Datos Personales del Estado de México tiene el deber de velar por la protección de los datos personales aun tratándose de servidores públicos o  por aquella información que deba ser clasificada en su totalidad como información reservada, por las consideraciones que se estimen pertinentes.</w:t>
      </w:r>
    </w:p>
    <w:p w14:paraId="3578BFEF" w14:textId="77777777" w:rsidR="00081064" w:rsidRPr="00B31836" w:rsidRDefault="00081064" w:rsidP="00081064">
      <w:pPr>
        <w:spacing w:before="240" w:after="240" w:line="360" w:lineRule="auto"/>
        <w:contextualSpacing/>
        <w:jc w:val="both"/>
        <w:rPr>
          <w:rFonts w:ascii="Palatino Linotype" w:hAnsi="Palatino Linotype" w:cs="Arial"/>
          <w:sz w:val="24"/>
          <w:szCs w:val="24"/>
        </w:rPr>
      </w:pPr>
    </w:p>
    <w:p w14:paraId="7467F60F"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sz w:val="24"/>
          <w:szCs w:val="24"/>
        </w:rPr>
      </w:pPr>
      <w:r w:rsidRPr="00B31836">
        <w:rPr>
          <w:rFonts w:ascii="Palatino Linotype" w:eastAsia="Calibri" w:hAnsi="Palatino Linotype" w:cs="Arial"/>
          <w:color w:val="000000"/>
          <w:sz w:val="24"/>
          <w:szCs w:val="24"/>
          <w:lang w:eastAsia="es-MX"/>
        </w:rPr>
        <w:lastRenderedPageBreak/>
        <w:t xml:space="preserve">Es de señalar que, por lo que hace a las versiones públicas, el </w:t>
      </w:r>
      <w:r w:rsidRPr="00B31836">
        <w:rPr>
          <w:rFonts w:ascii="Palatino Linotype" w:eastAsia="Calibri" w:hAnsi="Palatino Linotype" w:cs="Arial"/>
          <w:b/>
          <w:color w:val="000000"/>
          <w:sz w:val="24"/>
          <w:szCs w:val="24"/>
          <w:lang w:eastAsia="es-MX"/>
        </w:rPr>
        <w:t>SUJETO OBLIGADO</w:t>
      </w:r>
      <w:r w:rsidRPr="00B31836">
        <w:rPr>
          <w:rFonts w:ascii="Palatino Linotype" w:eastAsia="Calibri" w:hAnsi="Palatino Linotype" w:cs="Arial"/>
          <w:color w:val="000000"/>
          <w:sz w:val="24"/>
          <w:szCs w:val="24"/>
          <w:lang w:eastAsia="es-MX"/>
        </w:rPr>
        <w:t xml:space="preserve"> debe cumplir con las formalidades exigidas en la Ley, por lo que </w:t>
      </w:r>
      <w:r w:rsidRPr="00B31836">
        <w:rPr>
          <w:rFonts w:ascii="Palatino Linotype" w:hAnsi="Palatino Linotype" w:cs="Arial"/>
          <w:color w:val="000000"/>
          <w:sz w:val="24"/>
          <w:szCs w:val="24"/>
          <w:lang w:val="es-ES_tradnl" w:eastAsia="es-MX"/>
        </w:rPr>
        <w:t xml:space="preserve">para tal efecto emitirá el </w:t>
      </w:r>
      <w:r w:rsidRPr="00B31836">
        <w:rPr>
          <w:rFonts w:ascii="Palatino Linotype" w:eastAsia="Calibri" w:hAnsi="Palatino Linotype" w:cs="Arial"/>
          <w:color w:val="000000"/>
          <w:sz w:val="24"/>
          <w:szCs w:val="24"/>
          <w:lang w:eastAsia="es-MX"/>
        </w:rPr>
        <w:t>Acuerdo del Comité de Transparencia en términos de los artículos 49 fracción</w:t>
      </w:r>
      <w:r w:rsidRPr="00B31836">
        <w:rPr>
          <w:rFonts w:ascii="Palatino Linotype" w:eastAsia="Calibri" w:hAnsi="Palatino Linotype" w:cs="Arial"/>
          <w:bCs/>
          <w:color w:val="000000"/>
          <w:sz w:val="24"/>
          <w:szCs w:val="24"/>
          <w:lang w:val="es-ES_tradnl"/>
        </w:rPr>
        <w:t xml:space="preserve"> VIII,</w:t>
      </w:r>
      <w:r w:rsidRPr="00B31836">
        <w:rPr>
          <w:rFonts w:ascii="Palatino Linotype" w:eastAsia="Calibri" w:hAnsi="Palatino Linotype" w:cs="Arial"/>
          <w:color w:val="000000"/>
          <w:sz w:val="24"/>
          <w:szCs w:val="24"/>
          <w:lang w:eastAsia="es-MX"/>
        </w:rPr>
        <w:t xml:space="preserve"> 122</w:t>
      </w:r>
      <w:r w:rsidRPr="00B31836">
        <w:rPr>
          <w:rFonts w:ascii="Palatino Linotype" w:hAnsi="Palatino Linotype"/>
          <w:sz w:val="24"/>
          <w:szCs w:val="24"/>
          <w:vertAlign w:val="superscript"/>
          <w:lang w:eastAsia="es-MX"/>
        </w:rPr>
        <w:footnoteReference w:id="5"/>
      </w:r>
      <w:r w:rsidRPr="00B31836">
        <w:rPr>
          <w:rFonts w:ascii="Palatino Linotype" w:eastAsia="Calibri" w:hAnsi="Palatino Linotype" w:cs="Arial"/>
          <w:color w:val="000000"/>
          <w:sz w:val="24"/>
          <w:szCs w:val="24"/>
          <w:lang w:eastAsia="es-MX"/>
        </w:rPr>
        <w:t>, 135</w:t>
      </w:r>
      <w:r w:rsidRPr="00B31836">
        <w:rPr>
          <w:rFonts w:ascii="Palatino Linotype" w:hAnsi="Palatino Linotype"/>
          <w:sz w:val="24"/>
          <w:szCs w:val="24"/>
          <w:vertAlign w:val="superscript"/>
          <w:lang w:eastAsia="es-MX"/>
        </w:rPr>
        <w:footnoteReference w:id="6"/>
      </w:r>
      <w:r w:rsidRPr="00B31836">
        <w:rPr>
          <w:rFonts w:ascii="Palatino Linotype" w:eastAsia="Calibri" w:hAnsi="Palatino Linotype" w:cs="Arial"/>
          <w:color w:val="000000"/>
          <w:sz w:val="24"/>
          <w:szCs w:val="24"/>
          <w:lang w:eastAsia="es-MX"/>
        </w:rPr>
        <w:t xml:space="preserve"> y 149 de la </w:t>
      </w:r>
      <w:r w:rsidRPr="00B31836">
        <w:rPr>
          <w:rFonts w:ascii="Palatino Linotype" w:eastAsia="Calibri" w:hAnsi="Palatino Linotype" w:cs="Arial"/>
          <w:b/>
          <w:color w:val="000000"/>
          <w:sz w:val="24"/>
          <w:szCs w:val="24"/>
          <w:lang w:eastAsia="es-MX"/>
        </w:rPr>
        <w:t>Ley de Transparencia y Acceso a la Información Pública del Estado de México y Municipios</w:t>
      </w:r>
      <w:r w:rsidRPr="00B31836">
        <w:rPr>
          <w:rFonts w:ascii="Palatino Linotype" w:eastAsia="Calibri" w:hAnsi="Palatino Linotype" w:cs="Arial"/>
          <w:color w:val="000000"/>
          <w:sz w:val="24"/>
          <w:szCs w:val="24"/>
          <w:lang w:eastAsia="es-MX"/>
        </w:rPr>
        <w:t>, con el cual sustentara de forma fundada y motivada la clasificación de datos y con ello la "versión pública" de los documentos materia de la solicitud.</w:t>
      </w:r>
    </w:p>
    <w:p w14:paraId="53578D2B" w14:textId="77777777" w:rsidR="00081064" w:rsidRPr="00B31836" w:rsidRDefault="00081064" w:rsidP="00081064">
      <w:pPr>
        <w:spacing w:before="240" w:after="240" w:line="360" w:lineRule="auto"/>
        <w:contextualSpacing/>
        <w:jc w:val="both"/>
        <w:rPr>
          <w:rFonts w:ascii="Palatino Linotype" w:hAnsi="Palatino Linotype" w:cs="Arial"/>
          <w:sz w:val="24"/>
          <w:szCs w:val="24"/>
        </w:rPr>
      </w:pPr>
    </w:p>
    <w:p w14:paraId="60CF7DDD" w14:textId="77777777" w:rsidR="00081064" w:rsidRPr="00B31836" w:rsidRDefault="00081064" w:rsidP="00CF6481">
      <w:pPr>
        <w:keepNext/>
        <w:keepLines/>
        <w:numPr>
          <w:ilvl w:val="0"/>
          <w:numId w:val="9"/>
        </w:numPr>
        <w:spacing w:before="240" w:after="160" w:line="360" w:lineRule="auto"/>
        <w:ind w:left="284" w:hanging="284"/>
        <w:outlineLvl w:val="0"/>
        <w:rPr>
          <w:rFonts w:ascii="Palatino Linotype" w:eastAsia="MS Gothic" w:hAnsi="Palatino Linotype"/>
          <w:b/>
          <w:color w:val="000000"/>
          <w:sz w:val="24"/>
          <w:szCs w:val="24"/>
          <w:lang w:val="es-ES_tradnl"/>
        </w:rPr>
      </w:pPr>
      <w:bookmarkStart w:id="14" w:name="_Toc83127114"/>
      <w:bookmarkStart w:id="15" w:name="_Toc96007407"/>
      <w:bookmarkStart w:id="16" w:name="_Toc98429028"/>
      <w:bookmarkStart w:id="17" w:name="_Toc98978645"/>
      <w:bookmarkStart w:id="18" w:name="_Toc103821648"/>
      <w:r w:rsidRPr="00B31836">
        <w:rPr>
          <w:rFonts w:ascii="Palatino Linotype" w:eastAsia="MS Gothic" w:hAnsi="Palatino Linotype"/>
          <w:b/>
          <w:color w:val="000000"/>
          <w:sz w:val="24"/>
          <w:szCs w:val="24"/>
          <w:lang w:val="es-ES_tradnl"/>
        </w:rPr>
        <w:t>De la clasificación de la información.</w:t>
      </w:r>
      <w:bookmarkEnd w:id="14"/>
      <w:bookmarkEnd w:id="15"/>
      <w:bookmarkEnd w:id="16"/>
      <w:bookmarkEnd w:id="17"/>
      <w:bookmarkEnd w:id="18"/>
      <w:r w:rsidRPr="00B31836">
        <w:rPr>
          <w:rFonts w:ascii="Palatino Linotype" w:eastAsia="MS Gothic" w:hAnsi="Palatino Linotype"/>
          <w:b/>
          <w:color w:val="000000"/>
          <w:sz w:val="24"/>
          <w:szCs w:val="24"/>
          <w:lang w:val="es-ES_tradnl"/>
        </w:rPr>
        <w:t xml:space="preserve"> </w:t>
      </w:r>
    </w:p>
    <w:p w14:paraId="623FF1C8" w14:textId="77777777" w:rsidR="00081064" w:rsidRPr="00B31836" w:rsidRDefault="00081064" w:rsidP="00081064">
      <w:pPr>
        <w:keepNext/>
        <w:keepLines/>
        <w:spacing w:before="240" w:after="160" w:line="360" w:lineRule="auto"/>
        <w:ind w:left="284"/>
        <w:outlineLvl w:val="0"/>
        <w:rPr>
          <w:rFonts w:ascii="Palatino Linotype" w:eastAsia="MS Gothic" w:hAnsi="Palatino Linotype"/>
          <w:b/>
          <w:color w:val="000000"/>
          <w:sz w:val="24"/>
          <w:szCs w:val="24"/>
          <w:lang w:val="es-ES_tradnl"/>
        </w:rPr>
      </w:pPr>
    </w:p>
    <w:p w14:paraId="47644525"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b/>
          <w:color w:val="000000"/>
          <w:sz w:val="24"/>
          <w:szCs w:val="24"/>
          <w:lang w:val="es-ES_tradnl"/>
        </w:rPr>
      </w:pPr>
      <w:r w:rsidRPr="00B31836">
        <w:rPr>
          <w:rFonts w:ascii="Palatino Linotype" w:hAnsi="Palatino Linotype" w:cs="Arial"/>
          <w:color w:val="000000"/>
          <w:sz w:val="24"/>
          <w:szCs w:val="24"/>
          <w:lang w:val="es-ES_tradnl"/>
        </w:rPr>
        <w:t>L</w:t>
      </w:r>
      <w:r w:rsidRPr="00B31836">
        <w:rPr>
          <w:rFonts w:ascii="Palatino Linotype" w:hAnsi="Palatino Linotype"/>
          <w:color w:val="000000"/>
          <w:sz w:val="24"/>
          <w:szCs w:val="24"/>
          <w:lang w:val="es-ES_tradnl"/>
        </w:rPr>
        <w:t>a</w:t>
      </w:r>
      <w:r w:rsidRPr="00B31836">
        <w:rPr>
          <w:rFonts w:ascii="Palatino Linotype" w:hAnsi="Palatino Linotype"/>
          <w:sz w:val="24"/>
          <w:szCs w:val="24"/>
          <w:lang w:val="es-ES_tradnl"/>
        </w:rPr>
        <w:t xml:space="preserve">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B31836">
        <w:rPr>
          <w:rFonts w:ascii="Palatino Linotype" w:hAnsi="Palatino Linotype"/>
          <w:sz w:val="24"/>
          <w:szCs w:val="24"/>
          <w:vertAlign w:val="superscript"/>
          <w:lang w:val="es-ES_tradnl"/>
        </w:rPr>
        <w:footnoteReference w:id="7"/>
      </w:r>
      <w:r w:rsidRPr="00B31836">
        <w:rPr>
          <w:rFonts w:ascii="Palatino Linotype" w:hAnsi="Palatino Linotype"/>
          <w:sz w:val="24"/>
          <w:szCs w:val="24"/>
          <w:lang w:val="es-ES_tradnl"/>
        </w:rPr>
        <w:t xml:space="preserve"> aunque cualquier límite o restricción, </w:t>
      </w:r>
      <w:r w:rsidRPr="00B31836">
        <w:rPr>
          <w:rFonts w:ascii="Palatino Linotype" w:hAnsi="Palatino Linotype"/>
          <w:sz w:val="24"/>
          <w:szCs w:val="24"/>
          <w:lang w:val="es-ES_tradnl"/>
        </w:rPr>
        <w:lastRenderedPageBreak/>
        <w:t>para ser legítimo, debe reunir con tres requisitos: primero, debe de estar establecida en un ordenamiento legal, antes de su aplicación; debe de corresponder a un fin legítimo y ser estrictamente proporcional con el principio o valor que se pretende preservar.</w:t>
      </w:r>
      <w:r w:rsidRPr="00B31836">
        <w:rPr>
          <w:rFonts w:ascii="Palatino Linotype" w:hAnsi="Palatino Linotype"/>
          <w:sz w:val="24"/>
          <w:szCs w:val="24"/>
          <w:vertAlign w:val="superscript"/>
          <w:lang w:val="es-ES_tradnl"/>
        </w:rPr>
        <w:footnoteReference w:id="8"/>
      </w:r>
      <w:r w:rsidRPr="00B31836">
        <w:rPr>
          <w:rFonts w:ascii="Palatino Linotype" w:hAnsi="Palatino Linotype"/>
          <w:sz w:val="24"/>
          <w:szCs w:val="24"/>
          <w:lang w:val="es-ES_tradnl"/>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w:t>
      </w:r>
      <w:r w:rsidRPr="00B31836">
        <w:rPr>
          <w:rFonts w:ascii="Palatino Linotype" w:hAnsi="Palatino Linotype"/>
          <w:sz w:val="24"/>
          <w:szCs w:val="24"/>
          <w:lang w:val="es-ES_tradnl"/>
        </w:rPr>
        <w:lastRenderedPageBreak/>
        <w:t>establecen, y agotar el procedimiento legalmente establecido, es precisamente lo que permite acreditar el cumplimiento de los otros dos requisitos.</w:t>
      </w:r>
    </w:p>
    <w:p w14:paraId="6CBD700F"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3A80E490" w14:textId="77777777" w:rsidR="00081064" w:rsidRPr="00B31836" w:rsidRDefault="00081064" w:rsidP="00081064">
      <w:pPr>
        <w:keepNext/>
        <w:keepLines/>
        <w:spacing w:before="240" w:line="360" w:lineRule="auto"/>
        <w:outlineLvl w:val="0"/>
        <w:rPr>
          <w:rFonts w:ascii="Palatino Linotype" w:hAnsi="Palatino Linotype"/>
          <w:b/>
          <w:sz w:val="24"/>
          <w:szCs w:val="24"/>
          <w:lang w:eastAsia="en-US"/>
        </w:rPr>
      </w:pPr>
      <w:bookmarkStart w:id="19" w:name="_Toc96007408"/>
      <w:bookmarkStart w:id="20" w:name="_Toc98429029"/>
      <w:bookmarkStart w:id="21" w:name="_Toc98978646"/>
      <w:bookmarkStart w:id="22" w:name="_Toc103821649"/>
      <w:r w:rsidRPr="00B31836">
        <w:rPr>
          <w:rFonts w:ascii="Palatino Linotype" w:hAnsi="Palatino Linotype"/>
          <w:b/>
          <w:sz w:val="24"/>
          <w:szCs w:val="24"/>
          <w:lang w:eastAsia="en-US"/>
        </w:rPr>
        <w:t xml:space="preserve">II. </w:t>
      </w:r>
      <w:bookmarkStart w:id="23" w:name="_Toc5890461"/>
      <w:bookmarkStart w:id="24" w:name="_Toc50062187"/>
      <w:bookmarkStart w:id="25" w:name="_Toc63348478"/>
      <w:bookmarkStart w:id="26" w:name="_Toc67598515"/>
      <w:bookmarkStart w:id="27" w:name="_Toc69999204"/>
      <w:bookmarkStart w:id="28" w:name="_Toc73033013"/>
      <w:bookmarkStart w:id="29" w:name="_Toc83127115"/>
      <w:r w:rsidRPr="00B31836">
        <w:rPr>
          <w:rFonts w:ascii="Palatino Linotype" w:hAnsi="Palatino Linotype"/>
          <w:b/>
          <w:sz w:val="24"/>
          <w:szCs w:val="24"/>
          <w:lang w:eastAsia="en-US"/>
        </w:rPr>
        <w:t>Requisitos previos.</w:t>
      </w:r>
      <w:bookmarkEnd w:id="19"/>
      <w:bookmarkEnd w:id="20"/>
      <w:bookmarkEnd w:id="21"/>
      <w:bookmarkEnd w:id="22"/>
      <w:bookmarkEnd w:id="23"/>
      <w:bookmarkEnd w:id="24"/>
      <w:bookmarkEnd w:id="25"/>
      <w:bookmarkEnd w:id="26"/>
      <w:bookmarkEnd w:id="27"/>
      <w:bookmarkEnd w:id="28"/>
      <w:bookmarkEnd w:id="29"/>
    </w:p>
    <w:p w14:paraId="7DCD3E8D" w14:textId="77777777" w:rsidR="00081064" w:rsidRPr="00B31836" w:rsidRDefault="00081064" w:rsidP="00081064">
      <w:pPr>
        <w:keepNext/>
        <w:keepLines/>
        <w:spacing w:before="240" w:line="360" w:lineRule="auto"/>
        <w:outlineLvl w:val="0"/>
        <w:rPr>
          <w:rFonts w:ascii="Palatino Linotype" w:hAnsi="Palatino Linotype"/>
          <w:b/>
          <w:sz w:val="24"/>
          <w:szCs w:val="24"/>
          <w:lang w:eastAsia="en-US"/>
        </w:rPr>
      </w:pPr>
    </w:p>
    <w:p w14:paraId="45E5AA0C"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sz w:val="24"/>
          <w:szCs w:val="24"/>
          <w:lang w:val="es-ES_tradnl"/>
        </w:rPr>
        <w:t>Los</w:t>
      </w:r>
      <w:r w:rsidRPr="00B31836">
        <w:rPr>
          <w:rFonts w:ascii="Palatino Linotype" w:hAnsi="Palatino Linotype" w:cs="Arial"/>
          <w:color w:val="000000"/>
          <w:sz w:val="24"/>
          <w:szCs w:val="24"/>
          <w:lang w:val="es-ES_tradnl"/>
        </w:rPr>
        <w:t xml:space="preserve"> </w:t>
      </w:r>
      <w:r w:rsidRPr="00B31836">
        <w:rPr>
          <w:rFonts w:ascii="Palatino Linotype" w:hAnsi="Palatino Linotype"/>
          <w:sz w:val="24"/>
          <w:szCs w:val="24"/>
          <w:lang w:val="es-ES_tradnl"/>
        </w:rPr>
        <w:t>artículos</w:t>
      </w:r>
      <w:r w:rsidRPr="00B31836">
        <w:rPr>
          <w:rFonts w:ascii="Palatino Linotype" w:hAnsi="Palatino Linotype" w:cs="Arial"/>
          <w:color w:val="000000"/>
          <w:sz w:val="24"/>
          <w:szCs w:val="24"/>
          <w:lang w:val="es-ES_tradnl"/>
        </w:rPr>
        <w:t xml:space="preserve">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16B96DE5"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62B9B45E"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0949739C" w14:textId="77777777" w:rsidR="00081064" w:rsidRPr="00B31836" w:rsidRDefault="00081064" w:rsidP="00081064">
      <w:pPr>
        <w:spacing w:after="160" w:line="360" w:lineRule="auto"/>
        <w:rPr>
          <w:rFonts w:ascii="Palatino Linotype" w:eastAsia="Calibri" w:hAnsi="Palatino Linotype" w:cs="Arial"/>
          <w:color w:val="000000"/>
          <w:sz w:val="24"/>
          <w:szCs w:val="24"/>
          <w:lang w:val="es-ES_tradnl"/>
        </w:rPr>
      </w:pPr>
    </w:p>
    <w:p w14:paraId="61E4EC01"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lastRenderedPageBreak/>
        <w:t xml:space="preserve">El último de estos requisitos previos consiste en que no se pueden emitir acuerdos de carácter general ni particular, según lo disponen los artículos 134 y 108 de la Ley Estatal y de la Ley General, respectivamente, esto es, </w:t>
      </w:r>
      <w:r w:rsidRPr="00B31836">
        <w:rPr>
          <w:rFonts w:ascii="Palatino Linotype" w:hAnsi="Palatino Linotype" w:cs="Arial"/>
          <w:b/>
          <w:color w:val="000000"/>
          <w:sz w:val="24"/>
          <w:szCs w:val="24"/>
          <w:lang w:val="es-ES_tradnl"/>
        </w:rPr>
        <w:t xml:space="preserve">no se puede hacer un acuerdo para clasificar de manera general todos los documentos de un expediente o área,  </w:t>
      </w:r>
      <w:r w:rsidRPr="00B31836">
        <w:rPr>
          <w:rFonts w:ascii="Palatino Linotype" w:hAnsi="Palatino Linotype" w:cs="Arial"/>
          <w:color w:val="000000"/>
          <w:sz w:val="24"/>
          <w:szCs w:val="24"/>
          <w:lang w:val="es-ES_tradnl"/>
        </w:rPr>
        <w:t>sin individualizar su análisis y tampoco se puede hacer un acuerdo por cada dato que se vaya a clasificar dentro de un documento con diez datos, por ejemplo, susceptibles de ser clasificados.</w:t>
      </w:r>
    </w:p>
    <w:p w14:paraId="263ED561"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538CBD1C" w14:textId="77777777" w:rsidR="00081064" w:rsidRPr="00B31836" w:rsidRDefault="00081064" w:rsidP="00081064">
      <w:pPr>
        <w:keepNext/>
        <w:keepLines/>
        <w:spacing w:before="240" w:line="360" w:lineRule="auto"/>
        <w:outlineLvl w:val="0"/>
        <w:rPr>
          <w:rFonts w:ascii="Palatino Linotype" w:hAnsi="Palatino Linotype" w:cs="Arial"/>
          <w:color w:val="000000"/>
          <w:sz w:val="24"/>
          <w:szCs w:val="24"/>
          <w:lang w:val="es-ES_tradnl"/>
        </w:rPr>
      </w:pPr>
      <w:bookmarkStart w:id="30" w:name="_Toc5890462"/>
      <w:bookmarkStart w:id="31" w:name="_Toc50062188"/>
      <w:bookmarkStart w:id="32" w:name="_Toc63348479"/>
      <w:bookmarkStart w:id="33" w:name="_Toc67598516"/>
      <w:bookmarkStart w:id="34" w:name="_Toc69999205"/>
      <w:bookmarkStart w:id="35" w:name="_Toc73033014"/>
      <w:bookmarkStart w:id="36" w:name="_Toc83127116"/>
      <w:bookmarkStart w:id="37" w:name="_Toc96007409"/>
      <w:bookmarkStart w:id="38" w:name="_Toc98429030"/>
      <w:bookmarkStart w:id="39" w:name="_Toc98978647"/>
      <w:bookmarkStart w:id="40" w:name="_Toc103821650"/>
      <w:r w:rsidRPr="00B31836">
        <w:rPr>
          <w:rFonts w:ascii="Palatino Linotype" w:hAnsi="Palatino Linotype"/>
          <w:b/>
          <w:sz w:val="24"/>
          <w:szCs w:val="24"/>
          <w:lang w:eastAsia="en-US"/>
        </w:rPr>
        <w:t>III</w:t>
      </w:r>
      <w:bookmarkStart w:id="41" w:name="_Toc5890463"/>
      <w:bookmarkStart w:id="42" w:name="_Toc50062189"/>
      <w:bookmarkStart w:id="43" w:name="_Toc63348480"/>
      <w:bookmarkStart w:id="44" w:name="_Toc67598517"/>
      <w:bookmarkStart w:id="45" w:name="_Toc69999206"/>
      <w:bookmarkStart w:id="46" w:name="_Toc73033015"/>
      <w:bookmarkEnd w:id="30"/>
      <w:bookmarkEnd w:id="31"/>
      <w:bookmarkEnd w:id="32"/>
      <w:bookmarkEnd w:id="33"/>
      <w:bookmarkEnd w:id="34"/>
      <w:bookmarkEnd w:id="35"/>
      <w:r w:rsidRPr="00B31836">
        <w:rPr>
          <w:rFonts w:ascii="Palatino Linotype" w:hAnsi="Palatino Linotype"/>
          <w:b/>
          <w:sz w:val="24"/>
          <w:szCs w:val="24"/>
          <w:lang w:eastAsia="en-US"/>
        </w:rPr>
        <w:t>. La intervención del comité de transparencia.</w:t>
      </w:r>
      <w:bookmarkEnd w:id="36"/>
      <w:bookmarkEnd w:id="37"/>
      <w:bookmarkEnd w:id="38"/>
      <w:bookmarkEnd w:id="39"/>
      <w:bookmarkEnd w:id="40"/>
      <w:bookmarkEnd w:id="41"/>
      <w:bookmarkEnd w:id="42"/>
      <w:bookmarkEnd w:id="43"/>
      <w:bookmarkEnd w:id="44"/>
      <w:bookmarkEnd w:id="45"/>
      <w:bookmarkEnd w:id="46"/>
    </w:p>
    <w:p w14:paraId="593FB0F7" w14:textId="77777777" w:rsidR="00081064" w:rsidRPr="00B31836" w:rsidRDefault="00081064" w:rsidP="00CF6481">
      <w:pPr>
        <w:keepNext/>
        <w:keepLines/>
        <w:numPr>
          <w:ilvl w:val="0"/>
          <w:numId w:val="7"/>
        </w:numPr>
        <w:tabs>
          <w:tab w:val="left" w:pos="0"/>
        </w:tabs>
        <w:spacing w:before="240" w:after="160" w:line="360" w:lineRule="auto"/>
        <w:ind w:left="0" w:firstLine="0"/>
        <w:outlineLvl w:val="0"/>
        <w:rPr>
          <w:rFonts w:ascii="Palatino Linotype" w:hAnsi="Palatino Linotype"/>
          <w:b/>
          <w:sz w:val="24"/>
          <w:szCs w:val="24"/>
          <w:lang w:eastAsia="en-US"/>
        </w:rPr>
      </w:pPr>
      <w:bookmarkStart w:id="47" w:name="_Toc5890464"/>
      <w:bookmarkStart w:id="48" w:name="_Toc50062190"/>
      <w:bookmarkStart w:id="49" w:name="_Toc63348481"/>
      <w:bookmarkStart w:id="50" w:name="_Toc67598518"/>
      <w:bookmarkStart w:id="51" w:name="_Toc69999207"/>
      <w:bookmarkStart w:id="52" w:name="_Toc73033016"/>
      <w:bookmarkStart w:id="53" w:name="_Toc83127117"/>
      <w:bookmarkStart w:id="54" w:name="_Toc96007410"/>
      <w:bookmarkStart w:id="55" w:name="_Toc98429031"/>
      <w:bookmarkStart w:id="56" w:name="_Toc98978648"/>
      <w:bookmarkStart w:id="57" w:name="_Toc103821651"/>
      <w:r w:rsidRPr="00B31836">
        <w:rPr>
          <w:rFonts w:ascii="Palatino Linotype" w:hAnsi="Palatino Linotype"/>
          <w:b/>
          <w:sz w:val="24"/>
          <w:szCs w:val="24"/>
          <w:lang w:eastAsia="en-US"/>
        </w:rPr>
        <w:t>Formalidades para emitir el acuerdo de clasificación.</w:t>
      </w:r>
      <w:bookmarkEnd w:id="47"/>
      <w:bookmarkEnd w:id="48"/>
      <w:bookmarkEnd w:id="49"/>
      <w:bookmarkEnd w:id="50"/>
      <w:bookmarkEnd w:id="51"/>
      <w:bookmarkEnd w:id="52"/>
      <w:bookmarkEnd w:id="53"/>
      <w:bookmarkEnd w:id="54"/>
      <w:bookmarkEnd w:id="55"/>
      <w:bookmarkEnd w:id="56"/>
      <w:bookmarkEnd w:id="57"/>
    </w:p>
    <w:p w14:paraId="7B74CCBE" w14:textId="77777777" w:rsidR="00081064" w:rsidRPr="00B31836" w:rsidRDefault="00081064" w:rsidP="00081064">
      <w:pPr>
        <w:keepNext/>
        <w:keepLines/>
        <w:tabs>
          <w:tab w:val="left" w:pos="0"/>
        </w:tabs>
        <w:spacing w:before="240" w:line="360" w:lineRule="auto"/>
        <w:outlineLvl w:val="0"/>
        <w:rPr>
          <w:rFonts w:ascii="Palatino Linotype" w:hAnsi="Palatino Linotype"/>
          <w:b/>
          <w:sz w:val="24"/>
          <w:szCs w:val="24"/>
          <w:lang w:eastAsia="en-US"/>
        </w:rPr>
      </w:pPr>
    </w:p>
    <w:p w14:paraId="4ADF8D22"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lang w:val="es-ES_tradnl" w:eastAsia="es-ES_tradnl"/>
        </w:rPr>
      </w:pPr>
      <w:r w:rsidRPr="00B31836">
        <w:rPr>
          <w:rFonts w:ascii="Palatino Linotype" w:hAnsi="Palatino Linotype" w:cs="Arial"/>
          <w:color w:val="000000"/>
          <w:sz w:val="24"/>
          <w:szCs w:val="24"/>
          <w:lang w:val="es-ES_tradnl"/>
        </w:rPr>
        <w:t xml:space="preserve">El Comité de Transparencia, según lo dispuesto en los artículos 128 y 103 de la Ley Estatal y de la Ley General, respectivamente, y </w:t>
      </w:r>
      <w:r w:rsidRPr="00B31836">
        <w:rPr>
          <w:rFonts w:ascii="Palatino Linotype" w:hAnsi="Palatino Linotype"/>
          <w:sz w:val="24"/>
          <w:szCs w:val="24"/>
          <w:lang w:val="es-ES_tradnl"/>
        </w:rPr>
        <w:t xml:space="preserve">la fracción III del numeral Segundo de los </w:t>
      </w:r>
      <w:r w:rsidRPr="00B31836">
        <w:rPr>
          <w:rFonts w:ascii="Palatino Linotype" w:hAnsi="Palatino Linotype" w:cs="Arial"/>
          <w:color w:val="000000"/>
          <w:sz w:val="24"/>
          <w:szCs w:val="24"/>
          <w:lang w:val="es-ES_tradnl"/>
        </w:rPr>
        <w:t>Lineamientos generales en materia de clasificación y desclasificación de la información, así como para la elaboración de versiones públicas, en adelante los Lineamientos Generales,</w:t>
      </w:r>
      <w:r w:rsidRPr="00B31836">
        <w:rPr>
          <w:rFonts w:ascii="Palatino Linotype" w:hAnsi="Palatino Linotype"/>
          <w:sz w:val="24"/>
          <w:szCs w:val="24"/>
          <w:lang w:val="es-ES_tradnl"/>
        </w:rPr>
        <w:t xml:space="preserve"> </w:t>
      </w:r>
      <w:r w:rsidRPr="00B31836">
        <w:rPr>
          <w:rFonts w:ascii="Palatino Linotype" w:hAnsi="Palatino Linotype" w:cs="Arial"/>
          <w:color w:val="000000"/>
          <w:sz w:val="24"/>
          <w:szCs w:val="24"/>
          <w:lang w:val="es-ES_tradnl"/>
        </w:rPr>
        <w:t xml:space="preserve">cuenta con las facultades para </w:t>
      </w:r>
      <w:r w:rsidRPr="00B31836">
        <w:rPr>
          <w:rFonts w:ascii="Palatino Linotype" w:hAnsi="Palatino Linotype" w:cs="Arial"/>
          <w:b/>
          <w:color w:val="000000"/>
          <w:sz w:val="24"/>
          <w:szCs w:val="24"/>
          <w:lang w:val="es-ES_tradnl"/>
        </w:rPr>
        <w:t>confirmar, modificar o revocar</w:t>
      </w:r>
      <w:r w:rsidRPr="00B31836">
        <w:rPr>
          <w:rFonts w:ascii="Palatino Linotype" w:hAnsi="Palatino Linotype" w:cs="Arial"/>
          <w:color w:val="000000"/>
          <w:sz w:val="24"/>
          <w:szCs w:val="24"/>
          <w:lang w:val="es-ES_tradnl"/>
        </w:rPr>
        <w:t xml:space="preserve"> la clasificación de la información que ha hecho el titular del área que administra la información. Por lo tanto, el Comité </w:t>
      </w:r>
      <w:r w:rsidRPr="00B31836">
        <w:rPr>
          <w:rFonts w:ascii="Palatino Linotype" w:hAnsi="Palatino Linotype" w:cs="Arial"/>
          <w:b/>
          <w:color w:val="000000"/>
          <w:sz w:val="24"/>
          <w:szCs w:val="24"/>
          <w:lang w:val="es-ES_tradnl"/>
        </w:rPr>
        <w:t>no aprueba</w:t>
      </w:r>
      <w:r w:rsidRPr="00B31836">
        <w:rPr>
          <w:rFonts w:ascii="Palatino Linotype" w:hAnsi="Palatino Linotype" w:cs="Arial"/>
          <w:color w:val="000000"/>
          <w:sz w:val="24"/>
          <w:szCs w:val="24"/>
          <w:lang w:val="es-ES_tradnl"/>
        </w:rPr>
        <w:t xml:space="preserve"> la clasificación, sino que revisa lo que ha hecho el titular del área y confirma, modifica o revoca la decisión a través de un acuerdo.</w:t>
      </w:r>
    </w:p>
    <w:p w14:paraId="7D3631C8" w14:textId="77777777" w:rsidR="00081064" w:rsidRPr="00B31836" w:rsidRDefault="00081064" w:rsidP="00081064">
      <w:pPr>
        <w:spacing w:before="240" w:after="240" w:line="360" w:lineRule="auto"/>
        <w:contextualSpacing/>
        <w:jc w:val="both"/>
        <w:rPr>
          <w:rFonts w:ascii="Palatino Linotype" w:hAnsi="Palatino Linotype"/>
          <w:sz w:val="24"/>
          <w:szCs w:val="24"/>
          <w:lang w:val="es-ES_tradnl" w:eastAsia="es-ES_tradnl"/>
        </w:rPr>
      </w:pPr>
    </w:p>
    <w:p w14:paraId="2320BD18"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lang w:val="es-ES_tradnl" w:eastAsia="es-ES_tradnl"/>
        </w:rPr>
      </w:pPr>
      <w:r w:rsidRPr="00B31836">
        <w:rPr>
          <w:rFonts w:ascii="Palatino Linotype" w:hAnsi="Palatino Linotype" w:cs="Arial"/>
          <w:color w:val="000000"/>
          <w:sz w:val="24"/>
          <w:szCs w:val="24"/>
          <w:lang w:val="es-ES_tradnl"/>
        </w:rPr>
        <w:lastRenderedPageBreak/>
        <w:t xml:space="preserve">Evidentemente, esta decisión implica una restricción a un derecho humano, por lo tanto, puede generar un agravio al particular y, en consecuencia, es necesario que </w:t>
      </w:r>
      <w:r w:rsidRPr="00B31836">
        <w:rPr>
          <w:rFonts w:ascii="Palatino Linotype" w:hAnsi="Palatino Linotype" w:cs="Arial"/>
          <w:b/>
          <w:color w:val="000000"/>
          <w:sz w:val="24"/>
          <w:szCs w:val="24"/>
          <w:lang w:val="es-ES_tradnl"/>
        </w:rPr>
        <w:t>el acto reúna con los requisitos elementales</w:t>
      </w:r>
      <w:r w:rsidRPr="00B31836">
        <w:rPr>
          <w:rFonts w:ascii="Palatino Linotype" w:hAnsi="Palatino Linotype" w:cs="Arial"/>
          <w:color w:val="000000"/>
          <w:sz w:val="24"/>
          <w:szCs w:val="24"/>
          <w:lang w:val="es-ES_tradnl"/>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A0309E0" w14:textId="77777777" w:rsidR="00081064" w:rsidRPr="00B31836" w:rsidRDefault="00081064" w:rsidP="00081064">
      <w:pPr>
        <w:spacing w:after="160" w:line="360" w:lineRule="auto"/>
        <w:rPr>
          <w:rFonts w:ascii="Palatino Linotype" w:eastAsia="Calibri" w:hAnsi="Palatino Linotype"/>
          <w:sz w:val="24"/>
          <w:szCs w:val="24"/>
          <w:lang w:val="es-ES_tradnl"/>
        </w:rPr>
      </w:pPr>
    </w:p>
    <w:p w14:paraId="219EAD25" w14:textId="77777777" w:rsidR="00081064" w:rsidRPr="00B31836" w:rsidRDefault="00081064" w:rsidP="00CF6481">
      <w:pPr>
        <w:numPr>
          <w:ilvl w:val="0"/>
          <w:numId w:val="3"/>
        </w:numPr>
        <w:spacing w:line="360" w:lineRule="auto"/>
        <w:ind w:left="0" w:right="49" w:firstLine="0"/>
        <w:jc w:val="both"/>
        <w:rPr>
          <w:rFonts w:ascii="Palatino Linotype" w:hAnsi="Palatino Linotype"/>
          <w:sz w:val="24"/>
          <w:szCs w:val="24"/>
          <w:lang w:val="es-ES_tradnl" w:eastAsia="es-ES_tradnl"/>
        </w:rPr>
      </w:pPr>
      <w:r w:rsidRPr="00B31836">
        <w:rPr>
          <w:rFonts w:ascii="Palatino Linotype" w:hAnsi="Palatino Linotype"/>
          <w:sz w:val="24"/>
          <w:szCs w:val="24"/>
          <w:lang w:val="es-ES_tradnl"/>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 </w:t>
      </w:r>
    </w:p>
    <w:p w14:paraId="5F6524F4" w14:textId="77777777" w:rsidR="00081064" w:rsidRPr="00B31836" w:rsidRDefault="00081064" w:rsidP="00081064">
      <w:pPr>
        <w:spacing w:before="240" w:after="240" w:line="360" w:lineRule="auto"/>
        <w:contextualSpacing/>
        <w:jc w:val="both"/>
        <w:rPr>
          <w:rFonts w:ascii="Palatino Linotype" w:hAnsi="Palatino Linotype"/>
          <w:sz w:val="24"/>
          <w:szCs w:val="24"/>
          <w:lang w:val="es-ES_tradnl" w:eastAsia="es-ES_tradnl"/>
        </w:rPr>
      </w:pPr>
    </w:p>
    <w:p w14:paraId="46478D8A" w14:textId="77777777" w:rsidR="00081064" w:rsidRPr="00B31836" w:rsidRDefault="00081064" w:rsidP="00081064">
      <w:pPr>
        <w:keepNext/>
        <w:keepLines/>
        <w:spacing w:before="240" w:line="360" w:lineRule="auto"/>
        <w:outlineLvl w:val="0"/>
        <w:rPr>
          <w:rFonts w:ascii="Palatino Linotype" w:hAnsi="Palatino Linotype"/>
          <w:b/>
          <w:sz w:val="24"/>
          <w:szCs w:val="24"/>
          <w:lang w:eastAsia="en-US"/>
        </w:rPr>
      </w:pPr>
      <w:bookmarkStart w:id="58" w:name="_Toc63348482"/>
      <w:bookmarkStart w:id="59" w:name="_Toc67598519"/>
      <w:bookmarkStart w:id="60" w:name="_Toc69999208"/>
      <w:bookmarkStart w:id="61" w:name="_Toc73033017"/>
      <w:bookmarkStart w:id="62" w:name="_Toc83127118"/>
      <w:bookmarkStart w:id="63" w:name="_Toc96007411"/>
      <w:bookmarkStart w:id="64" w:name="_Toc98429032"/>
      <w:bookmarkStart w:id="65" w:name="_Toc98978649"/>
      <w:bookmarkStart w:id="66" w:name="_Toc103821652"/>
      <w:r w:rsidRPr="00B31836">
        <w:rPr>
          <w:rFonts w:ascii="Palatino Linotype" w:hAnsi="Palatino Linotype"/>
          <w:b/>
          <w:sz w:val="24"/>
          <w:szCs w:val="24"/>
          <w:lang w:eastAsia="en-US"/>
        </w:rPr>
        <w:lastRenderedPageBreak/>
        <w:t xml:space="preserve">b) </w:t>
      </w:r>
      <w:bookmarkStart w:id="67" w:name="_Toc5890465"/>
      <w:bookmarkStart w:id="68" w:name="_Toc50062191"/>
      <w:r w:rsidRPr="00B31836">
        <w:rPr>
          <w:rFonts w:ascii="Palatino Linotype" w:hAnsi="Palatino Linotype"/>
          <w:b/>
          <w:sz w:val="24"/>
          <w:szCs w:val="24"/>
          <w:lang w:eastAsia="en-US"/>
        </w:rPr>
        <w:t>Requisitos de fondo del acuerdo de clasificación.</w:t>
      </w:r>
      <w:bookmarkEnd w:id="58"/>
      <w:bookmarkEnd w:id="59"/>
      <w:bookmarkEnd w:id="60"/>
      <w:bookmarkEnd w:id="61"/>
      <w:bookmarkEnd w:id="62"/>
      <w:bookmarkEnd w:id="63"/>
      <w:bookmarkEnd w:id="64"/>
      <w:bookmarkEnd w:id="65"/>
      <w:bookmarkEnd w:id="66"/>
      <w:bookmarkEnd w:id="67"/>
      <w:bookmarkEnd w:id="68"/>
    </w:p>
    <w:p w14:paraId="420DCC5C" w14:textId="77777777" w:rsidR="00081064" w:rsidRPr="00B31836" w:rsidRDefault="00081064" w:rsidP="00081064">
      <w:pPr>
        <w:keepNext/>
        <w:keepLines/>
        <w:spacing w:before="240" w:line="360" w:lineRule="auto"/>
        <w:outlineLvl w:val="0"/>
        <w:rPr>
          <w:rFonts w:ascii="Palatino Linotype" w:hAnsi="Palatino Linotype"/>
          <w:b/>
          <w:sz w:val="24"/>
          <w:szCs w:val="24"/>
          <w:lang w:eastAsia="en-US"/>
        </w:rPr>
      </w:pPr>
    </w:p>
    <w:p w14:paraId="2665CE79"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 </w:t>
      </w:r>
    </w:p>
    <w:p w14:paraId="2AAEC4C3"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0DBF274A"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sz w:val="24"/>
          <w:szCs w:val="24"/>
          <w:lang w:val="es-ES_tradnl"/>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7E4E53D" w14:textId="77777777" w:rsidR="00081064" w:rsidRPr="00B31836" w:rsidRDefault="00081064" w:rsidP="00081064">
      <w:pPr>
        <w:spacing w:line="360" w:lineRule="auto"/>
        <w:ind w:right="49"/>
        <w:jc w:val="both"/>
        <w:rPr>
          <w:rFonts w:ascii="Palatino Linotype" w:hAnsi="Palatino Linotype" w:cs="Arial"/>
          <w:color w:val="000000"/>
          <w:sz w:val="24"/>
          <w:szCs w:val="24"/>
          <w:lang w:val="es-ES_tradnl"/>
        </w:rPr>
      </w:pPr>
    </w:p>
    <w:p w14:paraId="7CC4314D"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222222"/>
          <w:sz w:val="24"/>
          <w:szCs w:val="24"/>
          <w:lang w:val="es-ES_tradnl" w:eastAsia="es-MX"/>
        </w:rPr>
        <w:t xml:space="preserve">Han sido vastos los estudios doctrinarios relativos a estos derechos fundamentales y al principio de legalidad en ellos contenidos; como ejemplo, el </w:t>
      </w:r>
      <w:r w:rsidRPr="00B31836">
        <w:rPr>
          <w:rFonts w:ascii="Palatino Linotype" w:hAnsi="Palatino Linotype" w:cs="Arial"/>
          <w:color w:val="222222"/>
          <w:sz w:val="24"/>
          <w:szCs w:val="24"/>
          <w:lang w:val="es-ES_tradnl" w:eastAsia="es-MX"/>
        </w:rPr>
        <w:lastRenderedPageBreak/>
        <w:t>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B31836">
        <w:rPr>
          <w:rFonts w:ascii="Palatino Linotype" w:hAnsi="Palatino Linotype"/>
          <w:sz w:val="24"/>
          <w:szCs w:val="24"/>
          <w:vertAlign w:val="superscript"/>
          <w:lang w:val="es-ES_tradnl"/>
        </w:rPr>
        <w:footnoteReference w:id="9"/>
      </w:r>
    </w:p>
    <w:p w14:paraId="0DA44831" w14:textId="77777777" w:rsidR="00081064" w:rsidRPr="00B31836" w:rsidRDefault="00081064" w:rsidP="00081064">
      <w:pPr>
        <w:spacing w:after="160" w:line="360" w:lineRule="auto"/>
        <w:rPr>
          <w:rFonts w:ascii="Palatino Linotype" w:eastAsia="Calibri" w:hAnsi="Palatino Linotype" w:cs="Arial"/>
          <w:color w:val="222222"/>
          <w:sz w:val="24"/>
          <w:szCs w:val="24"/>
          <w:lang w:val="es-ES_tradnl" w:eastAsia="es-MX"/>
        </w:rPr>
      </w:pPr>
    </w:p>
    <w:p w14:paraId="727244F5"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222222"/>
          <w:sz w:val="24"/>
          <w:szCs w:val="24"/>
          <w:lang w:val="es-ES_tradnl" w:eastAsia="es-MX"/>
        </w:rPr>
        <w:t>Por su parte, el intérprete judicial del país ha establecido una jurisprudencia respecto a qué debe entenderse por fundamentación y motivación, en los siguientes términos:</w:t>
      </w:r>
    </w:p>
    <w:p w14:paraId="24CC5DF2" w14:textId="77777777" w:rsidR="00081064" w:rsidRPr="00B31836" w:rsidRDefault="00081064" w:rsidP="00081064">
      <w:pPr>
        <w:spacing w:before="240" w:after="240" w:line="360" w:lineRule="auto"/>
        <w:contextualSpacing/>
        <w:jc w:val="both"/>
        <w:rPr>
          <w:rFonts w:ascii="Palatino Linotype" w:hAnsi="Palatino Linotype" w:cs="Arial"/>
          <w:color w:val="222222"/>
          <w:sz w:val="24"/>
          <w:szCs w:val="24"/>
          <w:lang w:val="es-ES_tradnl" w:eastAsia="es-MX"/>
        </w:rPr>
      </w:pPr>
    </w:p>
    <w:p w14:paraId="4F3CD8F7"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b/>
          <w:i/>
          <w:color w:val="000000"/>
          <w:sz w:val="24"/>
          <w:szCs w:val="24"/>
          <w:lang w:val="es-ES_tradnl"/>
        </w:rPr>
        <w:t>FUNDAMENTACIÓN Y MOTIVACIÓN.</w:t>
      </w:r>
      <w:r w:rsidRPr="00B31836">
        <w:rPr>
          <w:rFonts w:ascii="Palatino Linotype" w:hAnsi="Palatino Linotype" w:cs="Arial"/>
          <w:i/>
          <w:color w:val="000000"/>
          <w:sz w:val="24"/>
          <w:szCs w:val="24"/>
          <w:lang w:val="es-ES_tradnl"/>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C5C6394"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i/>
          <w:color w:val="000000"/>
          <w:sz w:val="24"/>
          <w:szCs w:val="24"/>
          <w:lang w:val="es-ES_tradnl"/>
        </w:rPr>
        <w:lastRenderedPageBreak/>
        <w:t>SEGUNDO TRIBUNAL COLEGIADO DEL SEXTO CIRCUITO.</w:t>
      </w:r>
    </w:p>
    <w:p w14:paraId="2F651B87"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i/>
          <w:color w:val="000000"/>
          <w:sz w:val="24"/>
          <w:szCs w:val="24"/>
          <w:lang w:val="es-ES_tradnl"/>
        </w:rPr>
        <w:t>Amparo directo 194/88. Bufete Industrial Construcciones, S.A. de C.V. 28 de junio de 1988. Unanimidad de votos. Ponente: Gustavo Calvillo Rangel. Secretario: Jorge Alberto González Álvarez.</w:t>
      </w:r>
    </w:p>
    <w:p w14:paraId="54DDE022"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i/>
          <w:color w:val="000000"/>
          <w:sz w:val="24"/>
          <w:szCs w:val="24"/>
          <w:lang w:val="es-ES_tradnl"/>
        </w:rPr>
        <w:t xml:space="preserve">Revisión fiscal 103/88. Instituto Mexicano del Seguro Social. 18 de octubre de 1988. Unanimidad de votos. Ponente: Arnoldo Nájera Virgen. Secretario: Alejandro </w:t>
      </w:r>
      <w:proofErr w:type="spellStart"/>
      <w:r w:rsidRPr="00B31836">
        <w:rPr>
          <w:rFonts w:ascii="Palatino Linotype" w:hAnsi="Palatino Linotype" w:cs="Arial"/>
          <w:i/>
          <w:color w:val="000000"/>
          <w:sz w:val="24"/>
          <w:szCs w:val="24"/>
          <w:lang w:val="es-ES_tradnl"/>
        </w:rPr>
        <w:t>Esponda</w:t>
      </w:r>
      <w:proofErr w:type="spellEnd"/>
      <w:r w:rsidRPr="00B31836">
        <w:rPr>
          <w:rFonts w:ascii="Palatino Linotype" w:hAnsi="Palatino Linotype" w:cs="Arial"/>
          <w:i/>
          <w:color w:val="000000"/>
          <w:sz w:val="24"/>
          <w:szCs w:val="24"/>
          <w:lang w:val="es-ES_tradnl"/>
        </w:rPr>
        <w:t xml:space="preserve"> Rincón.</w:t>
      </w:r>
    </w:p>
    <w:p w14:paraId="5EEC6D3D"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i/>
          <w:color w:val="000000"/>
          <w:sz w:val="24"/>
          <w:szCs w:val="24"/>
          <w:lang w:val="es-ES_tradnl"/>
        </w:rPr>
        <w:t xml:space="preserve">Amparo en revisión 333/88. </w:t>
      </w:r>
      <w:proofErr w:type="spellStart"/>
      <w:r w:rsidRPr="00B31836">
        <w:rPr>
          <w:rFonts w:ascii="Palatino Linotype" w:hAnsi="Palatino Linotype" w:cs="Arial"/>
          <w:i/>
          <w:color w:val="000000"/>
          <w:sz w:val="24"/>
          <w:szCs w:val="24"/>
          <w:lang w:val="es-ES_tradnl"/>
        </w:rPr>
        <w:t>Adilia</w:t>
      </w:r>
      <w:proofErr w:type="spellEnd"/>
      <w:r w:rsidRPr="00B31836">
        <w:rPr>
          <w:rFonts w:ascii="Palatino Linotype" w:hAnsi="Palatino Linotype" w:cs="Arial"/>
          <w:i/>
          <w:color w:val="000000"/>
          <w:sz w:val="24"/>
          <w:szCs w:val="24"/>
          <w:lang w:val="es-ES_tradnl"/>
        </w:rPr>
        <w:t xml:space="preserve"> Romero. 26 de octubre de 1988. Unanimidad de votos. Ponente: Arnoldo Nájera Virgen. Secretario: Enrique Crispín Campos Ramírez.</w:t>
      </w:r>
    </w:p>
    <w:p w14:paraId="2F27A4CA"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i/>
          <w:color w:val="000000"/>
          <w:sz w:val="24"/>
          <w:szCs w:val="24"/>
          <w:lang w:val="es-ES_tradnl"/>
        </w:rPr>
        <w:t xml:space="preserve">Amparo en revisión 597/95. Emilio Maurer Bretón. 15 de noviembre de 1995. Unanimidad de votos. Ponente: Clementina Ramírez Moguel </w:t>
      </w:r>
      <w:proofErr w:type="spellStart"/>
      <w:r w:rsidRPr="00B31836">
        <w:rPr>
          <w:rFonts w:ascii="Palatino Linotype" w:hAnsi="Palatino Linotype" w:cs="Arial"/>
          <w:i/>
          <w:color w:val="000000"/>
          <w:sz w:val="24"/>
          <w:szCs w:val="24"/>
          <w:lang w:val="es-ES_tradnl"/>
        </w:rPr>
        <w:t>Goyzueta</w:t>
      </w:r>
      <w:proofErr w:type="spellEnd"/>
      <w:r w:rsidRPr="00B31836">
        <w:rPr>
          <w:rFonts w:ascii="Palatino Linotype" w:hAnsi="Palatino Linotype" w:cs="Arial"/>
          <w:i/>
          <w:color w:val="000000"/>
          <w:sz w:val="24"/>
          <w:szCs w:val="24"/>
          <w:lang w:val="es-ES_tradnl"/>
        </w:rPr>
        <w:t>. Secretario: Gonzalo Carrera Molina.</w:t>
      </w:r>
    </w:p>
    <w:p w14:paraId="1EE994E1" w14:textId="77777777" w:rsidR="00081064" w:rsidRPr="00B31836" w:rsidRDefault="00081064" w:rsidP="00081064">
      <w:pPr>
        <w:spacing w:line="360" w:lineRule="auto"/>
        <w:ind w:left="851" w:right="618"/>
        <w:contextualSpacing/>
        <w:jc w:val="both"/>
        <w:rPr>
          <w:rFonts w:ascii="Palatino Linotype" w:hAnsi="Palatino Linotype" w:cs="Arial"/>
          <w:i/>
          <w:color w:val="000000"/>
          <w:sz w:val="24"/>
          <w:szCs w:val="24"/>
          <w:lang w:val="es-ES_tradnl"/>
        </w:rPr>
      </w:pPr>
      <w:r w:rsidRPr="00B31836">
        <w:rPr>
          <w:rFonts w:ascii="Palatino Linotype" w:hAnsi="Palatino Linotype" w:cs="Arial"/>
          <w:i/>
          <w:color w:val="000000"/>
          <w:sz w:val="24"/>
          <w:szCs w:val="24"/>
          <w:lang w:val="es-ES_tradnl"/>
        </w:rPr>
        <w:t xml:space="preserve">Amparo directo 7/96. Pedro Vicente López Miro. 21 de febrero de 1996. Unanimidad de votos. Ponente: María Eugenia Estela Martínez Cardiel. Secretario: Enrique </w:t>
      </w:r>
      <w:proofErr w:type="spellStart"/>
      <w:r w:rsidRPr="00B31836">
        <w:rPr>
          <w:rFonts w:ascii="Palatino Linotype" w:hAnsi="Palatino Linotype" w:cs="Arial"/>
          <w:i/>
          <w:color w:val="000000"/>
          <w:sz w:val="24"/>
          <w:szCs w:val="24"/>
          <w:lang w:val="es-ES_tradnl"/>
        </w:rPr>
        <w:t>Baigts</w:t>
      </w:r>
      <w:proofErr w:type="spellEnd"/>
      <w:r w:rsidRPr="00B31836">
        <w:rPr>
          <w:rFonts w:ascii="Palatino Linotype" w:hAnsi="Palatino Linotype" w:cs="Arial"/>
          <w:i/>
          <w:color w:val="000000"/>
          <w:sz w:val="24"/>
          <w:szCs w:val="24"/>
          <w:lang w:val="es-ES_tradnl"/>
        </w:rPr>
        <w:t xml:space="preserve"> Muñoz.</w:t>
      </w:r>
    </w:p>
    <w:p w14:paraId="020137C3" w14:textId="77777777" w:rsidR="00081064" w:rsidRPr="00B31836" w:rsidRDefault="00081064" w:rsidP="00081064">
      <w:pPr>
        <w:spacing w:line="360" w:lineRule="auto"/>
        <w:contextualSpacing/>
        <w:jc w:val="both"/>
        <w:rPr>
          <w:rFonts w:ascii="Palatino Linotype" w:hAnsi="Palatino Linotype" w:cs="Arial"/>
          <w:i/>
          <w:color w:val="000000"/>
          <w:sz w:val="24"/>
          <w:szCs w:val="24"/>
          <w:lang w:val="es-ES_tradnl"/>
        </w:rPr>
      </w:pPr>
    </w:p>
    <w:p w14:paraId="03C4D3EA"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222222"/>
          <w:sz w:val="24"/>
          <w:szCs w:val="24"/>
          <w:lang w:val="es-ES_tradnl" w:eastAsia="es-MX"/>
        </w:rPr>
      </w:pPr>
      <w:r w:rsidRPr="00B31836">
        <w:rPr>
          <w:rFonts w:ascii="Palatino Linotype" w:hAnsi="Palatino Linotype" w:cs="Arial"/>
          <w:color w:val="222222"/>
          <w:sz w:val="24"/>
          <w:szCs w:val="24"/>
          <w:lang w:val="es-ES_tradnl"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31026199" w14:textId="77777777" w:rsidR="00081064" w:rsidRPr="00B31836" w:rsidRDefault="00081064" w:rsidP="00081064">
      <w:pPr>
        <w:spacing w:before="240" w:after="240" w:line="360" w:lineRule="auto"/>
        <w:contextualSpacing/>
        <w:jc w:val="both"/>
        <w:rPr>
          <w:rFonts w:ascii="Palatino Linotype" w:hAnsi="Palatino Linotype" w:cs="Arial"/>
          <w:color w:val="222222"/>
          <w:sz w:val="24"/>
          <w:szCs w:val="24"/>
          <w:lang w:val="es-ES_tradnl" w:eastAsia="es-MX"/>
        </w:rPr>
      </w:pPr>
    </w:p>
    <w:p w14:paraId="4366EDC9"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222222"/>
          <w:sz w:val="24"/>
          <w:szCs w:val="24"/>
          <w:lang w:val="es-ES_tradnl" w:eastAsia="es-MX"/>
        </w:rPr>
      </w:pPr>
      <w:r w:rsidRPr="00B31836">
        <w:rPr>
          <w:rFonts w:ascii="Palatino Linotype" w:hAnsi="Palatino Linotype" w:cs="Arial"/>
          <w:color w:val="222222"/>
          <w:sz w:val="24"/>
          <w:szCs w:val="24"/>
          <w:lang w:val="es-ES_tradnl" w:eastAsia="es-MX"/>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5EBCFFFD" w14:textId="77777777" w:rsidR="00081064" w:rsidRPr="00B31836" w:rsidRDefault="00081064" w:rsidP="00081064">
      <w:pPr>
        <w:spacing w:after="160" w:line="360" w:lineRule="auto"/>
        <w:rPr>
          <w:rFonts w:ascii="Palatino Linotype" w:eastAsia="Calibri" w:hAnsi="Palatino Linotype" w:cs="Arial"/>
          <w:color w:val="222222"/>
          <w:sz w:val="24"/>
          <w:szCs w:val="24"/>
          <w:lang w:val="es-ES_tradnl" w:eastAsia="es-MX"/>
        </w:rPr>
      </w:pPr>
    </w:p>
    <w:p w14:paraId="13B5657A"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222222"/>
          <w:sz w:val="24"/>
          <w:szCs w:val="24"/>
          <w:lang w:val="es-ES_tradnl" w:eastAsia="es-MX"/>
        </w:rPr>
      </w:pPr>
      <w:r w:rsidRPr="00B31836">
        <w:rPr>
          <w:rFonts w:ascii="Palatino Linotype" w:hAnsi="Palatino Linotype" w:cs="Arial"/>
          <w:color w:val="222222"/>
          <w:sz w:val="24"/>
          <w:szCs w:val="24"/>
          <w:lang w:val="es-ES_tradnl" w:eastAsia="es-MX"/>
        </w:rPr>
        <w:t>En ese mismo sentido, el numeral trigésimo tercero fracción V de los Lineamientos Generales, precisa que para motivar la clasificación se deben acreditar las circunstancias de tiempo, modo y lugar.</w:t>
      </w:r>
    </w:p>
    <w:p w14:paraId="3102C79F" w14:textId="77777777" w:rsidR="00081064" w:rsidRPr="00B31836" w:rsidRDefault="00081064" w:rsidP="00081064">
      <w:pPr>
        <w:spacing w:after="160" w:line="360" w:lineRule="auto"/>
        <w:rPr>
          <w:rFonts w:ascii="Palatino Linotype" w:eastAsia="Calibri" w:hAnsi="Palatino Linotype" w:cs="Arial"/>
          <w:color w:val="222222"/>
          <w:sz w:val="24"/>
          <w:szCs w:val="24"/>
          <w:lang w:val="es-ES_tradnl" w:eastAsia="es-MX"/>
        </w:rPr>
      </w:pPr>
    </w:p>
    <w:p w14:paraId="52B0F17B"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222222"/>
          <w:sz w:val="24"/>
          <w:szCs w:val="24"/>
          <w:lang w:val="es-ES_tradnl" w:eastAsia="es-MX"/>
        </w:rPr>
      </w:pPr>
      <w:r w:rsidRPr="00B31836">
        <w:rPr>
          <w:rFonts w:ascii="Palatino Linotype" w:hAnsi="Palatino Linotype" w:cs="Arial"/>
          <w:color w:val="222222"/>
          <w:sz w:val="24"/>
          <w:szCs w:val="24"/>
          <w:lang w:val="es-ES_tradnl" w:eastAsia="es-MX"/>
        </w:rPr>
        <w:t xml:space="preserve">Ahora bien, </w:t>
      </w:r>
      <w:r w:rsidRPr="00B31836">
        <w:rPr>
          <w:rFonts w:ascii="Palatino Linotype" w:hAnsi="Palatino Linotype" w:cs="Arial"/>
          <w:b/>
          <w:color w:val="222222"/>
          <w:sz w:val="24"/>
          <w:szCs w:val="24"/>
          <w:lang w:val="es-ES_tradnl" w:eastAsia="es-MX"/>
        </w:rPr>
        <w:t>para cada caso además de fundar y motivar</w:t>
      </w:r>
      <w:r w:rsidRPr="00B31836">
        <w:rPr>
          <w:rFonts w:ascii="Palatino Linotype" w:hAnsi="Palatino Linotype" w:cs="Arial"/>
          <w:color w:val="222222"/>
          <w:sz w:val="24"/>
          <w:szCs w:val="24"/>
          <w:lang w:val="es-ES_tradnl" w:eastAsia="es-MX"/>
        </w:rPr>
        <w:t xml:space="preserve">, se debe identificar con claridad, que datos contenidos en las documentales son susceptibles de suprimirse, por ejemplo, en una documental de naturaleza pública como lo es una factura liquidada con recursos provenientes del erario público, </w:t>
      </w:r>
      <w:r w:rsidRPr="00B31836">
        <w:rPr>
          <w:rFonts w:ascii="Palatino Linotype" w:eastAsia="Calibri" w:hAnsi="Palatino Linotype" w:cs="Arial"/>
          <w:sz w:val="24"/>
          <w:szCs w:val="24"/>
          <w:lang w:eastAsia="es-MX"/>
        </w:rPr>
        <w:t>el Registro Federal de Contribuyentes (R.F.C.), y clave de Cadenas Originales del Sellos Digitales y los Códigos Bidimensionales, también denominados Códigos QR, se consideran datos públicos, o de ser el caso en que una documental contenga datos personales relacionados con algún procedimiento judicial será susceptible de clasificarse como reservada.</w:t>
      </w:r>
    </w:p>
    <w:p w14:paraId="692CE9E7" w14:textId="77777777" w:rsidR="00081064" w:rsidRPr="00B31836" w:rsidRDefault="00081064" w:rsidP="00081064">
      <w:pPr>
        <w:spacing w:before="240" w:after="240" w:line="360" w:lineRule="auto"/>
        <w:contextualSpacing/>
        <w:jc w:val="both"/>
        <w:rPr>
          <w:rFonts w:ascii="Palatino Linotype" w:hAnsi="Palatino Linotype" w:cs="Arial"/>
          <w:color w:val="222222"/>
          <w:sz w:val="24"/>
          <w:szCs w:val="24"/>
          <w:lang w:val="es-ES_tradnl" w:eastAsia="es-MX"/>
        </w:rPr>
      </w:pPr>
    </w:p>
    <w:p w14:paraId="7B16242C" w14:textId="77777777" w:rsidR="00081064" w:rsidRPr="00B31836" w:rsidRDefault="00081064" w:rsidP="00CF6481">
      <w:pPr>
        <w:numPr>
          <w:ilvl w:val="0"/>
          <w:numId w:val="2"/>
        </w:numPr>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B31836">
        <w:rPr>
          <w:rFonts w:ascii="Palatino Linotype" w:eastAsia="Calibri" w:hAnsi="Palatino Linotype" w:cs="Arial"/>
          <w:sz w:val="24"/>
          <w:szCs w:val="24"/>
          <w:lang w:eastAsia="es-MX"/>
        </w:rPr>
        <w:lastRenderedPageBreak/>
        <w:t xml:space="preserve">Finalmente, no pasa desapercibido que se solicita acceso al Expediente Laboral de una persona, por lo que de existir documentos que por su naturaleza contengan datos personales en su totalidad, se deberá proceder a su clasificación total, como de manera enunciativa más no limitativa pueden ser el acta de nacimiento, la credencial de elector o la cartilla militar. </w:t>
      </w:r>
    </w:p>
    <w:p w14:paraId="1B76A359" w14:textId="77777777" w:rsidR="00081064" w:rsidRPr="00B31836" w:rsidRDefault="00081064" w:rsidP="00081064">
      <w:pPr>
        <w:spacing w:before="240" w:after="240" w:line="360" w:lineRule="auto"/>
        <w:contextualSpacing/>
        <w:jc w:val="both"/>
        <w:rPr>
          <w:rFonts w:ascii="Palatino Linotype" w:eastAsia="Calibri" w:hAnsi="Palatino Linotype" w:cs="Arial"/>
          <w:sz w:val="24"/>
          <w:szCs w:val="24"/>
          <w:lang w:eastAsia="es-MX"/>
        </w:rPr>
      </w:pPr>
    </w:p>
    <w:p w14:paraId="31654E72" w14:textId="77777777" w:rsidR="00081064" w:rsidRPr="00B31836" w:rsidRDefault="00081064" w:rsidP="00081064">
      <w:pPr>
        <w:keepNext/>
        <w:keepLines/>
        <w:spacing w:before="240" w:line="360" w:lineRule="auto"/>
        <w:jc w:val="both"/>
        <w:outlineLvl w:val="0"/>
        <w:rPr>
          <w:rFonts w:ascii="Palatino Linotype" w:hAnsi="Palatino Linotype"/>
          <w:b/>
          <w:sz w:val="24"/>
          <w:szCs w:val="24"/>
          <w:lang w:eastAsia="en-US"/>
        </w:rPr>
      </w:pPr>
      <w:bookmarkStart w:id="69" w:name="_Toc96007412"/>
      <w:bookmarkStart w:id="70" w:name="_Toc98429033"/>
      <w:bookmarkStart w:id="71" w:name="_Toc98978650"/>
      <w:bookmarkStart w:id="72" w:name="_Toc103821653"/>
      <w:r w:rsidRPr="00B31836">
        <w:rPr>
          <w:rFonts w:ascii="Palatino Linotype" w:hAnsi="Palatino Linotype"/>
          <w:b/>
          <w:sz w:val="24"/>
          <w:szCs w:val="24"/>
          <w:lang w:eastAsia="en-US"/>
        </w:rPr>
        <w:t xml:space="preserve">IV. </w:t>
      </w:r>
      <w:bookmarkStart w:id="73" w:name="_Toc5711929"/>
      <w:bookmarkStart w:id="74" w:name="_Toc5890466"/>
      <w:bookmarkStart w:id="75" w:name="_Toc50062192"/>
      <w:bookmarkStart w:id="76" w:name="_Toc63348483"/>
      <w:bookmarkStart w:id="77" w:name="_Toc67598520"/>
      <w:bookmarkStart w:id="78" w:name="_Toc69999209"/>
      <w:bookmarkStart w:id="79" w:name="_Toc73033018"/>
      <w:bookmarkStart w:id="80" w:name="_Toc83127119"/>
      <w:r w:rsidRPr="00B31836">
        <w:rPr>
          <w:rFonts w:ascii="Palatino Linotype" w:hAnsi="Palatino Linotype"/>
          <w:b/>
          <w:sz w:val="24"/>
          <w:szCs w:val="24"/>
          <w:lang w:eastAsia="en-US"/>
        </w:rPr>
        <w:t>Condiciones especiales de la clasificación de la información como confidencial.</w:t>
      </w:r>
      <w:bookmarkEnd w:id="69"/>
      <w:bookmarkEnd w:id="70"/>
      <w:bookmarkEnd w:id="71"/>
      <w:bookmarkEnd w:id="72"/>
      <w:bookmarkEnd w:id="73"/>
      <w:bookmarkEnd w:id="74"/>
      <w:bookmarkEnd w:id="75"/>
      <w:bookmarkEnd w:id="76"/>
      <w:bookmarkEnd w:id="77"/>
      <w:bookmarkEnd w:id="78"/>
      <w:bookmarkEnd w:id="79"/>
      <w:bookmarkEnd w:id="80"/>
    </w:p>
    <w:p w14:paraId="167F3F56" w14:textId="77777777" w:rsidR="00081064" w:rsidRPr="00B31836" w:rsidRDefault="00081064" w:rsidP="00081064">
      <w:pPr>
        <w:keepNext/>
        <w:keepLines/>
        <w:spacing w:before="240" w:line="360" w:lineRule="auto"/>
        <w:jc w:val="both"/>
        <w:outlineLvl w:val="0"/>
        <w:rPr>
          <w:rFonts w:ascii="Palatino Linotype" w:hAnsi="Palatino Linotype"/>
          <w:b/>
          <w:sz w:val="24"/>
          <w:szCs w:val="24"/>
          <w:lang w:eastAsia="en-US"/>
        </w:rPr>
      </w:pPr>
    </w:p>
    <w:p w14:paraId="2AAD8A81"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Las disposiciones constitucionales y legales en la materia establecen los dos supuestos generales para clasificar la información: por reserva y por confidencialidad.</w:t>
      </w:r>
    </w:p>
    <w:p w14:paraId="5EA73C8C"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50CA9DDA"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Los artículos 143 y 116 de la Ley Estatal y de la Ley General, respectivamente, señalan los supuestos para que la información pueda ser clasificada como confidencial:</w:t>
      </w:r>
    </w:p>
    <w:p w14:paraId="0816899E"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63AA2892" w14:textId="77777777" w:rsidR="00081064" w:rsidRPr="00B31836" w:rsidRDefault="00081064" w:rsidP="00081064">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B31836">
        <w:rPr>
          <w:rFonts w:ascii="Palatino Linotype" w:hAnsi="Palatino Linotype" w:cs="Bookman Old Style"/>
          <w:bCs/>
          <w:i/>
          <w:color w:val="000000"/>
          <w:sz w:val="24"/>
          <w:szCs w:val="24"/>
          <w:lang w:val="es-ES_tradnl"/>
        </w:rPr>
        <w:t xml:space="preserve">I. </w:t>
      </w:r>
      <w:r w:rsidRPr="00B31836">
        <w:rPr>
          <w:rFonts w:ascii="Palatino Linotype" w:hAnsi="Palatino Linotype" w:cs="Bookman Old Style"/>
          <w:i/>
          <w:color w:val="000000"/>
          <w:sz w:val="24"/>
          <w:szCs w:val="24"/>
          <w:lang w:val="es-ES_tradnl"/>
        </w:rPr>
        <w:t xml:space="preserve">Se refiera a la información privada y los datos personales concernientes a una persona física o </w:t>
      </w:r>
      <w:proofErr w:type="gramStart"/>
      <w:r w:rsidRPr="00B31836">
        <w:rPr>
          <w:rFonts w:ascii="Palatino Linotype" w:hAnsi="Palatino Linotype" w:cs="Bookman Old Style"/>
          <w:i/>
          <w:color w:val="000000"/>
          <w:sz w:val="24"/>
          <w:szCs w:val="24"/>
          <w:lang w:val="es-ES_tradnl"/>
        </w:rPr>
        <w:t>jurídico</w:t>
      </w:r>
      <w:proofErr w:type="gramEnd"/>
      <w:r w:rsidRPr="00B31836">
        <w:rPr>
          <w:rFonts w:ascii="Palatino Linotype" w:hAnsi="Palatino Linotype" w:cs="Bookman Old Style"/>
          <w:i/>
          <w:color w:val="000000"/>
          <w:sz w:val="24"/>
          <w:szCs w:val="24"/>
          <w:lang w:val="es-ES_tradnl"/>
        </w:rPr>
        <w:t xml:space="preserve"> colectiva identificada o identificable; </w:t>
      </w:r>
    </w:p>
    <w:p w14:paraId="11E34F65" w14:textId="77777777" w:rsidR="00081064" w:rsidRPr="00B31836" w:rsidRDefault="00081064" w:rsidP="00081064">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B31836">
        <w:rPr>
          <w:rFonts w:ascii="Palatino Linotype" w:hAnsi="Palatino Linotype" w:cs="Bookman Old Style"/>
          <w:bCs/>
          <w:i/>
          <w:color w:val="000000"/>
          <w:sz w:val="24"/>
          <w:szCs w:val="24"/>
          <w:lang w:val="es-ES_tradnl"/>
        </w:rPr>
        <w:t xml:space="preserve">II. </w:t>
      </w:r>
      <w:r w:rsidRPr="00B31836">
        <w:rPr>
          <w:rFonts w:ascii="Palatino Linotype" w:hAnsi="Palatino Linotype" w:cs="Bookman Old Style"/>
          <w:i/>
          <w:color w:val="000000"/>
          <w:sz w:val="24"/>
          <w:szCs w:val="24"/>
          <w:lang w:val="es-ES_tradnl"/>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58698DD0" w14:textId="77777777" w:rsidR="00081064" w:rsidRPr="00B31836" w:rsidRDefault="00081064" w:rsidP="00081064">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B31836">
        <w:rPr>
          <w:rFonts w:ascii="Palatino Linotype" w:hAnsi="Palatino Linotype" w:cs="Bookman Old Style"/>
          <w:bCs/>
          <w:i/>
          <w:color w:val="000000"/>
          <w:sz w:val="24"/>
          <w:szCs w:val="24"/>
          <w:lang w:val="es-ES_tradnl"/>
        </w:rPr>
        <w:lastRenderedPageBreak/>
        <w:t xml:space="preserve">III. </w:t>
      </w:r>
      <w:r w:rsidRPr="00B31836">
        <w:rPr>
          <w:rFonts w:ascii="Palatino Linotype" w:hAnsi="Palatino Linotype" w:cs="Bookman Old Style"/>
          <w:i/>
          <w:color w:val="000000"/>
          <w:sz w:val="24"/>
          <w:szCs w:val="24"/>
          <w:lang w:val="es-ES_tradnl"/>
        </w:rPr>
        <w:t xml:space="preserve">La que presenten los particulares a los sujetos obligados, de conformidad con lo dispuesto por las leyes o los tratados internacionales. </w:t>
      </w:r>
    </w:p>
    <w:p w14:paraId="64724046" w14:textId="77777777" w:rsidR="00081064" w:rsidRPr="00B31836" w:rsidRDefault="00081064" w:rsidP="00081064">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B31836">
        <w:rPr>
          <w:rFonts w:ascii="Palatino Linotype" w:hAnsi="Palatino Linotype" w:cs="Bookman Old Style"/>
          <w:i/>
          <w:color w:val="000000"/>
          <w:sz w:val="24"/>
          <w:szCs w:val="24"/>
          <w:lang w:val="es-ES_tradnl"/>
        </w:rPr>
        <w:t xml:space="preserve">La información confidencial no estará sujeta a temporalidad alguna y sólo podrán tener acceso a ella los titulares de la misma, sus representantes y los servidores públicos facultados para ello. </w:t>
      </w:r>
    </w:p>
    <w:p w14:paraId="0E18A3DC" w14:textId="77777777" w:rsidR="00081064" w:rsidRPr="00B31836" w:rsidRDefault="00081064" w:rsidP="00081064">
      <w:pPr>
        <w:widowControl w:val="0"/>
        <w:autoSpaceDE w:val="0"/>
        <w:autoSpaceDN w:val="0"/>
        <w:adjustRightInd w:val="0"/>
        <w:spacing w:after="240" w:line="360" w:lineRule="auto"/>
        <w:ind w:left="567" w:right="616"/>
        <w:jc w:val="both"/>
        <w:rPr>
          <w:rFonts w:ascii="Palatino Linotype" w:hAnsi="Palatino Linotype" w:cs="Bookman Old Style"/>
          <w:i/>
          <w:color w:val="000000"/>
          <w:sz w:val="24"/>
          <w:szCs w:val="24"/>
          <w:lang w:val="es-ES_tradnl"/>
        </w:rPr>
      </w:pPr>
      <w:r w:rsidRPr="00B31836">
        <w:rPr>
          <w:rFonts w:ascii="Palatino Linotype" w:hAnsi="Palatino Linotype" w:cs="Bookman Old Style"/>
          <w:i/>
          <w:color w:val="000000"/>
          <w:sz w:val="24"/>
          <w:szCs w:val="24"/>
          <w:lang w:val="es-ES_tradnl"/>
        </w:rPr>
        <w:t xml:space="preserve">No se considerará confidencial la información que se encuentre en los registros públicos o en fuentes de acceso público, ni tampoco la que sea considerada por la presente ley como información pública. </w:t>
      </w:r>
    </w:p>
    <w:p w14:paraId="6252EE02"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2281C0AF"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66C9BA03"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 xml:space="preserve">Como consecuencia de lo anterior, el </w:t>
      </w:r>
      <w:r w:rsidRPr="00B31836">
        <w:rPr>
          <w:rFonts w:ascii="Palatino Linotype" w:hAnsi="Palatino Linotype" w:cs="Arial"/>
          <w:b/>
          <w:color w:val="000000"/>
          <w:sz w:val="24"/>
          <w:szCs w:val="24"/>
          <w:lang w:val="es-ES_tradnl"/>
        </w:rPr>
        <w:t>SUJETO OBLIGADO</w:t>
      </w:r>
      <w:r w:rsidRPr="00B31836">
        <w:rPr>
          <w:rFonts w:ascii="Palatino Linotype" w:hAnsi="Palatino Linotype" w:cs="Arial"/>
          <w:color w:val="000000"/>
          <w:sz w:val="24"/>
          <w:szCs w:val="24"/>
          <w:lang w:val="es-ES_tradnl"/>
        </w:rPr>
        <w:t xml:space="preserve"> debe identificar claramente el tipo de información y hacer un juicio de subsunción o encaje</w:t>
      </w:r>
      <w:r w:rsidRPr="00B31836">
        <w:rPr>
          <w:rFonts w:ascii="Palatino Linotype" w:hAnsi="Palatino Linotype"/>
          <w:sz w:val="24"/>
          <w:szCs w:val="24"/>
          <w:vertAlign w:val="superscript"/>
          <w:lang w:val="es-ES_tradnl"/>
        </w:rPr>
        <w:footnoteReference w:id="10"/>
      </w:r>
      <w:r w:rsidRPr="00B31836">
        <w:rPr>
          <w:rFonts w:ascii="Palatino Linotype" w:hAnsi="Palatino Linotype" w:cs="Arial"/>
          <w:color w:val="000000"/>
          <w:sz w:val="24"/>
          <w:szCs w:val="24"/>
          <w:lang w:val="es-ES_tradnl"/>
        </w:rPr>
        <w:t xml:space="preserve"> para </w:t>
      </w:r>
      <w:r w:rsidRPr="00B31836">
        <w:rPr>
          <w:rFonts w:ascii="Palatino Linotype" w:hAnsi="Palatino Linotype" w:cs="Arial"/>
          <w:color w:val="000000"/>
          <w:sz w:val="24"/>
          <w:szCs w:val="24"/>
          <w:lang w:val="es-ES_tradnl"/>
        </w:rPr>
        <w:lastRenderedPageBreak/>
        <w:t>acreditar que el supuesto de hecho corresponde estrictamente con la hipótesis jurídica. Esto también lo debe de realizar el servidor público habilitado y el titular del área que administra la información.</w:t>
      </w:r>
    </w:p>
    <w:p w14:paraId="63F1E705" w14:textId="77777777" w:rsidR="00081064" w:rsidRPr="00B31836" w:rsidRDefault="00081064" w:rsidP="00081064">
      <w:pPr>
        <w:spacing w:line="360" w:lineRule="auto"/>
        <w:rPr>
          <w:rFonts w:ascii="Palatino Linotype" w:hAnsi="Palatino Linotype" w:cs="Arial"/>
          <w:color w:val="000000"/>
          <w:sz w:val="24"/>
          <w:szCs w:val="24"/>
          <w:lang w:val="es-ES_tradnl"/>
        </w:rPr>
      </w:pPr>
    </w:p>
    <w:p w14:paraId="5238942A"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Una vez hecho lo anterior, se remite la información al Titular de la Unidad de Transparencia, con el acuerdo de clasificación correspondiente, para que sea sometido al conocimiento del Comité de Transparencia.</w:t>
      </w:r>
    </w:p>
    <w:p w14:paraId="5F98F7EE" w14:textId="77777777" w:rsidR="00081064" w:rsidRPr="00B31836" w:rsidRDefault="00081064" w:rsidP="00081064">
      <w:pPr>
        <w:spacing w:before="240" w:after="240" w:line="360" w:lineRule="auto"/>
        <w:contextualSpacing/>
        <w:jc w:val="both"/>
        <w:rPr>
          <w:rFonts w:ascii="Palatino Linotype" w:hAnsi="Palatino Linotype" w:cs="Arial"/>
          <w:color w:val="000000"/>
          <w:sz w:val="24"/>
          <w:szCs w:val="24"/>
          <w:lang w:val="es-ES_tradnl"/>
        </w:rPr>
      </w:pPr>
    </w:p>
    <w:p w14:paraId="0A6C5C27" w14:textId="77777777" w:rsidR="00081064" w:rsidRPr="00B31836" w:rsidRDefault="00081064" w:rsidP="00CF6481">
      <w:pPr>
        <w:keepNext/>
        <w:keepLines/>
        <w:numPr>
          <w:ilvl w:val="0"/>
          <w:numId w:val="8"/>
        </w:numPr>
        <w:spacing w:before="240" w:after="160" w:line="360" w:lineRule="auto"/>
        <w:ind w:left="270" w:hanging="270"/>
        <w:outlineLvl w:val="0"/>
        <w:rPr>
          <w:rFonts w:ascii="Palatino Linotype" w:eastAsia="MS Gothic" w:hAnsi="Palatino Linotype"/>
          <w:b/>
          <w:sz w:val="24"/>
          <w:szCs w:val="24"/>
          <w:lang w:eastAsia="en-US"/>
        </w:rPr>
      </w:pPr>
      <w:bookmarkStart w:id="81" w:name="_Toc5711930"/>
      <w:bookmarkStart w:id="82" w:name="_Toc5890467"/>
      <w:bookmarkStart w:id="83" w:name="_Toc50062193"/>
      <w:r w:rsidRPr="00B31836">
        <w:rPr>
          <w:rFonts w:ascii="Palatino Linotype" w:eastAsia="MS Gothic" w:hAnsi="Palatino Linotype"/>
          <w:b/>
          <w:sz w:val="24"/>
          <w:szCs w:val="24"/>
          <w:lang w:eastAsia="en-US"/>
        </w:rPr>
        <w:t xml:space="preserve"> </w:t>
      </w:r>
      <w:bookmarkStart w:id="84" w:name="_Toc63348484"/>
      <w:bookmarkStart w:id="85" w:name="_Toc67598521"/>
      <w:bookmarkStart w:id="86" w:name="_Toc69999210"/>
      <w:bookmarkStart w:id="87" w:name="_Toc73033019"/>
      <w:bookmarkStart w:id="88" w:name="_Toc83127120"/>
      <w:bookmarkStart w:id="89" w:name="_Toc96007413"/>
      <w:bookmarkStart w:id="90" w:name="_Toc98429034"/>
      <w:bookmarkStart w:id="91" w:name="_Toc98978651"/>
      <w:bookmarkStart w:id="92" w:name="_Toc103821654"/>
      <w:r w:rsidRPr="00B31836">
        <w:rPr>
          <w:rFonts w:ascii="Palatino Linotype" w:eastAsia="MS Gothic" w:hAnsi="Palatino Linotype"/>
          <w:b/>
          <w:sz w:val="24"/>
          <w:szCs w:val="24"/>
          <w:lang w:eastAsia="en-US"/>
        </w:rPr>
        <w:t>Del consentimiento.</w:t>
      </w:r>
      <w:bookmarkEnd w:id="81"/>
      <w:bookmarkEnd w:id="82"/>
      <w:bookmarkEnd w:id="83"/>
      <w:bookmarkEnd w:id="84"/>
      <w:bookmarkEnd w:id="85"/>
      <w:bookmarkEnd w:id="86"/>
      <w:bookmarkEnd w:id="87"/>
      <w:bookmarkEnd w:id="88"/>
      <w:bookmarkEnd w:id="89"/>
      <w:bookmarkEnd w:id="90"/>
      <w:bookmarkEnd w:id="91"/>
      <w:bookmarkEnd w:id="92"/>
    </w:p>
    <w:p w14:paraId="7A17ECDA" w14:textId="77777777" w:rsidR="00081064" w:rsidRPr="00B31836" w:rsidRDefault="00081064" w:rsidP="00081064">
      <w:pPr>
        <w:spacing w:line="360" w:lineRule="auto"/>
        <w:rPr>
          <w:rFonts w:ascii="Palatino Linotype" w:eastAsia="MS Mincho" w:hAnsi="Palatino Linotype"/>
          <w:sz w:val="24"/>
          <w:szCs w:val="24"/>
          <w:lang w:eastAsia="en-US"/>
        </w:rPr>
      </w:pPr>
    </w:p>
    <w:p w14:paraId="02E6593E" w14:textId="77777777" w:rsidR="00081064" w:rsidRPr="00B31836" w:rsidRDefault="00081064" w:rsidP="00CF6481">
      <w:pPr>
        <w:numPr>
          <w:ilvl w:val="0"/>
          <w:numId w:val="3"/>
        </w:numPr>
        <w:spacing w:line="360" w:lineRule="auto"/>
        <w:ind w:left="0" w:right="49" w:firstLine="0"/>
        <w:jc w:val="both"/>
        <w:rPr>
          <w:rFonts w:ascii="Palatino Linotype" w:eastAsia="MS Mincho" w:hAnsi="Palatino Linotype" w:cs="Arial"/>
          <w:color w:val="000000"/>
          <w:sz w:val="24"/>
          <w:szCs w:val="24"/>
          <w:lang w:val="es-ES_tradnl"/>
        </w:rPr>
      </w:pPr>
      <w:r w:rsidRPr="00B31836">
        <w:rPr>
          <w:rFonts w:ascii="Palatino Linotype" w:eastAsia="MS Mincho" w:hAnsi="Palatino Linotype" w:cs="Arial"/>
          <w:color w:val="000000"/>
          <w:sz w:val="24"/>
          <w:szCs w:val="24"/>
          <w:lang w:val="es-ES_tradnl"/>
        </w:rPr>
        <w:t xml:space="preserve">Los artículos 148 y 120 de la Ley Estatal y de la Ley General, respectivamente, establecen que, aun tratándose de datos personales, se podrán proporcionar, incluso sin solicitar el consentimiento de su titular, cuando dichos datos correspondan a los siguientes supuestos: </w:t>
      </w:r>
    </w:p>
    <w:p w14:paraId="59FA3E51" w14:textId="77777777" w:rsidR="00081064" w:rsidRPr="00B31836" w:rsidRDefault="00081064" w:rsidP="00081064">
      <w:pPr>
        <w:spacing w:after="120" w:line="360" w:lineRule="auto"/>
        <w:ind w:left="426" w:right="49" w:hanging="426"/>
        <w:contextualSpacing/>
        <w:jc w:val="both"/>
        <w:rPr>
          <w:rFonts w:ascii="Palatino Linotype" w:eastAsia="MS Mincho" w:hAnsi="Palatino Linotype" w:cs="Arial"/>
          <w:color w:val="000000"/>
          <w:sz w:val="24"/>
          <w:szCs w:val="24"/>
          <w:lang w:val="es-ES_tradnl"/>
        </w:rPr>
      </w:pPr>
    </w:p>
    <w:p w14:paraId="70359C5E" w14:textId="77777777" w:rsidR="00081064" w:rsidRPr="00B31836" w:rsidRDefault="00081064" w:rsidP="00081064">
      <w:pPr>
        <w:spacing w:after="120" w:line="360" w:lineRule="auto"/>
        <w:ind w:left="567" w:right="567"/>
        <w:contextualSpacing/>
        <w:jc w:val="both"/>
        <w:rPr>
          <w:rFonts w:ascii="Palatino Linotype" w:eastAsia="MS Mincho" w:hAnsi="Palatino Linotype" w:cs="Arial"/>
          <w:bCs/>
          <w:i/>
          <w:color w:val="000000"/>
          <w:sz w:val="24"/>
          <w:szCs w:val="24"/>
        </w:rPr>
      </w:pPr>
      <w:r w:rsidRPr="00B31836">
        <w:rPr>
          <w:rFonts w:ascii="Palatino Linotype" w:eastAsia="MS Mincho" w:hAnsi="Palatino Linotype" w:cs="Arial"/>
          <w:bCs/>
          <w:i/>
          <w:color w:val="000000"/>
          <w:sz w:val="24"/>
          <w:szCs w:val="24"/>
        </w:rPr>
        <w:t>I.</w:t>
      </w:r>
      <w:r w:rsidRPr="00B31836">
        <w:rPr>
          <w:rFonts w:ascii="Palatino Linotype" w:eastAsia="MS Mincho" w:hAnsi="Palatino Linotype" w:cs="Arial"/>
          <w:i/>
          <w:color w:val="000000"/>
          <w:sz w:val="24"/>
          <w:szCs w:val="24"/>
        </w:rPr>
        <w:t xml:space="preserve"> La información se encuentre en registros públicos o fuentes de acceso público;</w:t>
      </w:r>
    </w:p>
    <w:p w14:paraId="53BCA50E" w14:textId="77777777" w:rsidR="00081064" w:rsidRPr="00B31836" w:rsidRDefault="00081064" w:rsidP="00081064">
      <w:pPr>
        <w:spacing w:after="120" w:line="360" w:lineRule="auto"/>
        <w:ind w:left="567" w:right="567"/>
        <w:contextualSpacing/>
        <w:jc w:val="both"/>
        <w:rPr>
          <w:rFonts w:ascii="Palatino Linotype" w:eastAsia="MS Mincho" w:hAnsi="Palatino Linotype" w:cs="Arial"/>
          <w:bCs/>
          <w:i/>
          <w:color w:val="000000"/>
          <w:sz w:val="24"/>
          <w:szCs w:val="24"/>
        </w:rPr>
      </w:pPr>
      <w:r w:rsidRPr="00B31836">
        <w:rPr>
          <w:rFonts w:ascii="Palatino Linotype" w:eastAsia="MS Mincho" w:hAnsi="Palatino Linotype" w:cs="Arial"/>
          <w:bCs/>
          <w:i/>
          <w:color w:val="000000"/>
          <w:sz w:val="24"/>
          <w:szCs w:val="24"/>
        </w:rPr>
        <w:t xml:space="preserve">II. </w:t>
      </w:r>
      <w:r w:rsidRPr="00B31836">
        <w:rPr>
          <w:rFonts w:ascii="Palatino Linotype" w:eastAsia="MS Mincho" w:hAnsi="Palatino Linotype" w:cs="Arial"/>
          <w:i/>
          <w:color w:val="000000"/>
          <w:sz w:val="24"/>
          <w:szCs w:val="24"/>
        </w:rPr>
        <w:t>Por Ley tenga el carácter de pública;</w:t>
      </w:r>
    </w:p>
    <w:p w14:paraId="0714DAF0" w14:textId="77777777" w:rsidR="00081064" w:rsidRPr="00B31836" w:rsidRDefault="00081064" w:rsidP="00081064">
      <w:pPr>
        <w:spacing w:after="120" w:line="360" w:lineRule="auto"/>
        <w:ind w:left="567" w:right="567"/>
        <w:contextualSpacing/>
        <w:jc w:val="both"/>
        <w:rPr>
          <w:rFonts w:ascii="Palatino Linotype" w:eastAsia="MS Mincho" w:hAnsi="Palatino Linotype" w:cs="Arial"/>
          <w:i/>
          <w:color w:val="000000"/>
          <w:sz w:val="24"/>
          <w:szCs w:val="24"/>
        </w:rPr>
      </w:pPr>
      <w:r w:rsidRPr="00B31836">
        <w:rPr>
          <w:rFonts w:ascii="Palatino Linotype" w:eastAsia="MS Mincho" w:hAnsi="Palatino Linotype" w:cs="Arial"/>
          <w:bCs/>
          <w:i/>
          <w:color w:val="000000"/>
          <w:sz w:val="24"/>
          <w:szCs w:val="24"/>
        </w:rPr>
        <w:lastRenderedPageBreak/>
        <w:t xml:space="preserve">III. </w:t>
      </w:r>
      <w:r w:rsidRPr="00B31836">
        <w:rPr>
          <w:rFonts w:ascii="Palatino Linotype" w:eastAsia="MS Mincho" w:hAnsi="Palatino Linotype" w:cs="Arial"/>
          <w:i/>
          <w:color w:val="000000"/>
          <w:sz w:val="24"/>
          <w:szCs w:val="24"/>
        </w:rPr>
        <w:t xml:space="preserve">Exista una orden judicial; </w:t>
      </w:r>
    </w:p>
    <w:p w14:paraId="461FDC4A" w14:textId="77777777" w:rsidR="00081064" w:rsidRPr="00B31836" w:rsidRDefault="00081064" w:rsidP="00081064">
      <w:pPr>
        <w:spacing w:after="120" w:line="360" w:lineRule="auto"/>
        <w:ind w:left="567" w:right="567"/>
        <w:contextualSpacing/>
        <w:jc w:val="both"/>
        <w:rPr>
          <w:rFonts w:ascii="Palatino Linotype" w:eastAsia="MS Mincho" w:hAnsi="Palatino Linotype" w:cs="Arial"/>
          <w:i/>
          <w:color w:val="000000"/>
          <w:sz w:val="24"/>
          <w:szCs w:val="24"/>
        </w:rPr>
      </w:pPr>
      <w:r w:rsidRPr="00B31836">
        <w:rPr>
          <w:rFonts w:ascii="Palatino Linotype" w:eastAsia="MS Mincho" w:hAnsi="Palatino Linotype" w:cs="Arial"/>
          <w:bCs/>
          <w:i/>
          <w:color w:val="000000"/>
          <w:sz w:val="24"/>
          <w:szCs w:val="24"/>
        </w:rPr>
        <w:t xml:space="preserve">IV. </w:t>
      </w:r>
      <w:r w:rsidRPr="00B31836">
        <w:rPr>
          <w:rFonts w:ascii="Palatino Linotype" w:eastAsia="MS Mincho" w:hAnsi="Palatino Linotype" w:cs="Arial"/>
          <w:i/>
          <w:color w:val="000000"/>
          <w:sz w:val="24"/>
          <w:szCs w:val="24"/>
        </w:rPr>
        <w:t xml:space="preserve">Por razones de seguridad pública, o para proteger los derechos de terceros, se requiera su publicación; o </w:t>
      </w:r>
    </w:p>
    <w:p w14:paraId="4F52D813" w14:textId="77777777" w:rsidR="00081064" w:rsidRPr="00B31836" w:rsidRDefault="00081064" w:rsidP="00081064">
      <w:pPr>
        <w:spacing w:after="120" w:line="360" w:lineRule="auto"/>
        <w:ind w:left="567" w:right="567"/>
        <w:contextualSpacing/>
        <w:jc w:val="both"/>
        <w:rPr>
          <w:rFonts w:ascii="Palatino Linotype" w:eastAsia="MS Mincho" w:hAnsi="Palatino Linotype" w:cs="Arial"/>
          <w:i/>
          <w:color w:val="000000"/>
          <w:sz w:val="24"/>
          <w:szCs w:val="24"/>
        </w:rPr>
      </w:pPr>
      <w:r w:rsidRPr="00B31836">
        <w:rPr>
          <w:rFonts w:ascii="Palatino Linotype" w:eastAsia="MS Mincho" w:hAnsi="Palatino Linotype" w:cs="Arial"/>
          <w:bCs/>
          <w:i/>
          <w:color w:val="000000"/>
          <w:sz w:val="24"/>
          <w:szCs w:val="24"/>
        </w:rPr>
        <w:t xml:space="preserve">V. </w:t>
      </w:r>
      <w:r w:rsidRPr="00B31836">
        <w:rPr>
          <w:rFonts w:ascii="Palatino Linotype" w:eastAsia="MS Mincho" w:hAnsi="Palatino Linotype" w:cs="Arial"/>
          <w:i/>
          <w:color w:val="000000"/>
          <w:sz w:val="24"/>
          <w:szCs w:val="24"/>
        </w:rPr>
        <w:t xml:space="preserve">Cuando se transmita entre sujetos obligados y entre éstos y los sujetos de derecho internacional, en términos de los tratados y los acuerdos interinstitucionales, siempre y cuando la información se utilice para el ejercicio de facultades propias de los mismos. </w:t>
      </w:r>
    </w:p>
    <w:p w14:paraId="38383EE6" w14:textId="77777777" w:rsidR="00081064" w:rsidRPr="00B31836" w:rsidRDefault="00081064" w:rsidP="00081064">
      <w:pPr>
        <w:spacing w:after="120" w:line="360" w:lineRule="auto"/>
        <w:ind w:left="426" w:right="49" w:hanging="426"/>
        <w:contextualSpacing/>
        <w:jc w:val="both"/>
        <w:rPr>
          <w:rFonts w:ascii="Palatino Linotype" w:eastAsia="MS Mincho" w:hAnsi="Palatino Linotype" w:cs="Arial"/>
          <w:color w:val="000000"/>
          <w:sz w:val="24"/>
          <w:szCs w:val="24"/>
          <w:lang w:val="es-ES_tradnl"/>
        </w:rPr>
      </w:pPr>
    </w:p>
    <w:p w14:paraId="60D1C9E8" w14:textId="77777777" w:rsidR="00081064" w:rsidRPr="00B31836" w:rsidRDefault="00081064" w:rsidP="00CF6481">
      <w:pPr>
        <w:numPr>
          <w:ilvl w:val="0"/>
          <w:numId w:val="3"/>
        </w:numPr>
        <w:spacing w:line="360" w:lineRule="auto"/>
        <w:ind w:left="0" w:right="49" w:firstLine="0"/>
        <w:jc w:val="both"/>
        <w:rPr>
          <w:rFonts w:ascii="Palatino Linotype" w:eastAsia="MS Mincho" w:hAnsi="Palatino Linotype" w:cs="Arial"/>
          <w:color w:val="000000"/>
          <w:sz w:val="24"/>
          <w:szCs w:val="24"/>
          <w:lang w:val="es-ES_tradnl"/>
        </w:rPr>
      </w:pPr>
      <w:r w:rsidRPr="00B31836">
        <w:rPr>
          <w:rFonts w:ascii="Palatino Linotype" w:eastAsia="MS Mincho" w:hAnsi="Palatino Linotype" w:cs="Arial"/>
          <w:color w:val="000000"/>
          <w:sz w:val="24"/>
          <w:szCs w:val="24"/>
          <w:lang w:val="es-ES_tradnl"/>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B3BA6A4" w14:textId="77777777" w:rsidR="00081064" w:rsidRPr="00B31836" w:rsidRDefault="00081064" w:rsidP="00081064">
      <w:pPr>
        <w:spacing w:after="120" w:line="360" w:lineRule="auto"/>
        <w:contextualSpacing/>
        <w:jc w:val="both"/>
        <w:rPr>
          <w:rFonts w:ascii="Palatino Linotype" w:eastAsia="MS Mincho" w:hAnsi="Palatino Linotype" w:cs="Arial"/>
          <w:color w:val="000000"/>
          <w:sz w:val="24"/>
          <w:szCs w:val="24"/>
          <w:lang w:val="es-ES_tradnl"/>
        </w:rPr>
      </w:pPr>
    </w:p>
    <w:p w14:paraId="6A74C7DA" w14:textId="77777777" w:rsidR="00081064" w:rsidRPr="00B31836" w:rsidRDefault="00081064" w:rsidP="00081064">
      <w:pPr>
        <w:keepNext/>
        <w:keepLines/>
        <w:spacing w:before="240"/>
        <w:outlineLvl w:val="0"/>
        <w:rPr>
          <w:rFonts w:ascii="Palatino Linotype" w:eastAsiaTheme="majorEastAsia" w:hAnsi="Palatino Linotype" w:cstheme="majorBidi"/>
          <w:b/>
          <w:color w:val="000000" w:themeColor="text1"/>
          <w:sz w:val="24"/>
          <w:szCs w:val="24"/>
        </w:rPr>
      </w:pPr>
      <w:bookmarkStart w:id="93" w:name="_Toc63348485"/>
      <w:bookmarkStart w:id="94" w:name="_Toc67598522"/>
      <w:bookmarkStart w:id="95" w:name="_Toc69999211"/>
      <w:bookmarkStart w:id="96" w:name="_Toc73033020"/>
      <w:bookmarkStart w:id="97" w:name="_Toc83127121"/>
      <w:bookmarkStart w:id="98" w:name="_Toc96007414"/>
      <w:bookmarkStart w:id="99" w:name="_Toc98429035"/>
      <w:bookmarkStart w:id="100" w:name="_Toc102008276"/>
      <w:bookmarkStart w:id="101" w:name="_Toc103821660"/>
      <w:r w:rsidRPr="00B31836">
        <w:rPr>
          <w:rFonts w:ascii="Palatino Linotype" w:eastAsiaTheme="majorEastAsia" w:hAnsi="Palatino Linotype" w:cstheme="majorBidi"/>
          <w:b/>
          <w:color w:val="000000" w:themeColor="text1"/>
          <w:sz w:val="24"/>
          <w:szCs w:val="24"/>
        </w:rPr>
        <w:t>b) De la firma de los servidores públicos.</w:t>
      </w:r>
      <w:bookmarkEnd w:id="93"/>
      <w:bookmarkEnd w:id="94"/>
      <w:bookmarkEnd w:id="95"/>
      <w:bookmarkEnd w:id="96"/>
      <w:bookmarkEnd w:id="97"/>
      <w:bookmarkEnd w:id="98"/>
      <w:bookmarkEnd w:id="99"/>
      <w:bookmarkEnd w:id="100"/>
      <w:bookmarkEnd w:id="101"/>
    </w:p>
    <w:p w14:paraId="1D23F427" w14:textId="77777777" w:rsidR="00081064" w:rsidRPr="00B31836" w:rsidRDefault="00081064" w:rsidP="00081064">
      <w:pPr>
        <w:keepNext/>
        <w:keepLines/>
        <w:spacing w:before="240" w:line="360" w:lineRule="auto"/>
        <w:outlineLvl w:val="0"/>
        <w:rPr>
          <w:rFonts w:ascii="Palatino Linotype" w:hAnsi="Palatino Linotype"/>
          <w:b/>
          <w:color w:val="000000"/>
          <w:sz w:val="24"/>
          <w:szCs w:val="24"/>
          <w:lang w:val="es-ES_tradnl"/>
        </w:rPr>
      </w:pPr>
    </w:p>
    <w:p w14:paraId="075A3C9C" w14:textId="77777777" w:rsidR="00081064" w:rsidRPr="00B31836" w:rsidRDefault="00081064" w:rsidP="00CF6481">
      <w:pPr>
        <w:numPr>
          <w:ilvl w:val="0"/>
          <w:numId w:val="3"/>
        </w:numPr>
        <w:spacing w:line="360" w:lineRule="auto"/>
        <w:ind w:left="0" w:right="49" w:firstLine="0"/>
        <w:jc w:val="both"/>
        <w:rPr>
          <w:rFonts w:ascii="Palatino Linotype" w:hAnsi="Palatino Linotype"/>
          <w:b/>
          <w:sz w:val="24"/>
          <w:szCs w:val="24"/>
          <w:lang w:val="es-ES_tradnl"/>
        </w:rPr>
      </w:pPr>
      <w:r w:rsidRPr="00B31836">
        <w:rPr>
          <w:rFonts w:ascii="Palatino Linotype" w:eastAsia="MS Mincho" w:hAnsi="Palatino Linotype"/>
          <w:sz w:val="24"/>
          <w:szCs w:val="24"/>
          <w:lang w:val="es-ES_tradnl"/>
        </w:rPr>
        <w:t xml:space="preserve">En lo referente a la firma de los servidores públicos es necesario precisar que si bien la firma pudiera corresponder a un dato personal cuando se trata de servidores púbicos dicha consideración se encuentra limitada, lo anterior ya que en ejercicio de sus obligaciones y atribuciones desempeña diversos actos mismos que únicamente se validan a través de su rúbrica o firma, por lo que la misma es publica, sirve de apoyo a lo anterior el siguiente criterio orientador: </w:t>
      </w:r>
    </w:p>
    <w:p w14:paraId="2BD3E83E" w14:textId="77777777" w:rsidR="00081064" w:rsidRPr="00B31836" w:rsidRDefault="00081064" w:rsidP="00081064">
      <w:pPr>
        <w:tabs>
          <w:tab w:val="left" w:pos="567"/>
        </w:tabs>
        <w:spacing w:line="360" w:lineRule="auto"/>
        <w:contextualSpacing/>
        <w:jc w:val="both"/>
        <w:rPr>
          <w:rFonts w:ascii="Palatino Linotype" w:hAnsi="Palatino Linotype"/>
          <w:b/>
          <w:sz w:val="24"/>
          <w:szCs w:val="24"/>
          <w:lang w:val="es-ES_tradnl"/>
        </w:rPr>
      </w:pPr>
    </w:p>
    <w:p w14:paraId="7B815582" w14:textId="77777777" w:rsidR="00081064" w:rsidRPr="00B31836" w:rsidRDefault="00081064" w:rsidP="00081064">
      <w:pPr>
        <w:tabs>
          <w:tab w:val="left" w:pos="567"/>
        </w:tabs>
        <w:spacing w:line="360" w:lineRule="auto"/>
        <w:ind w:left="567" w:right="616"/>
        <w:jc w:val="both"/>
        <w:rPr>
          <w:rFonts w:ascii="Palatino Linotype" w:hAnsi="Palatino Linotype"/>
          <w:i/>
          <w:color w:val="000000"/>
          <w:sz w:val="24"/>
          <w:szCs w:val="24"/>
        </w:rPr>
      </w:pPr>
      <w:r w:rsidRPr="00B31836">
        <w:rPr>
          <w:rFonts w:ascii="Palatino Linotype" w:hAnsi="Palatino Linotype"/>
          <w:i/>
          <w:color w:val="000000"/>
          <w:sz w:val="24"/>
          <w:szCs w:val="24"/>
        </w:rPr>
        <w:lastRenderedPageBreak/>
        <w:t>“</w:t>
      </w:r>
      <w:r w:rsidRPr="00B31836">
        <w:rPr>
          <w:rFonts w:ascii="Palatino Linotype" w:hAnsi="Palatino Linotype"/>
          <w:b/>
          <w:i/>
          <w:color w:val="000000"/>
          <w:sz w:val="24"/>
          <w:szCs w:val="24"/>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r w:rsidRPr="00B31836">
        <w:rPr>
          <w:rFonts w:ascii="Palatino Linotype" w:hAnsi="Palatino Linotype"/>
          <w:i/>
          <w:color w:val="000000"/>
          <w:sz w:val="24"/>
          <w:szCs w:val="24"/>
        </w:rPr>
        <w:t>.</w:t>
      </w:r>
      <w:r w:rsidRPr="00B31836">
        <w:rPr>
          <w:rFonts w:ascii="Palatino Linotype" w:hAnsi="Palatino Linotype"/>
          <w:bCs/>
          <w:i/>
          <w:color w:val="000000"/>
          <w:sz w:val="24"/>
          <w:szCs w:val="24"/>
        </w:rPr>
        <w:t xml:space="preserve"> “</w:t>
      </w:r>
    </w:p>
    <w:p w14:paraId="2BBA44E7" w14:textId="77777777" w:rsidR="00081064" w:rsidRPr="00B31836" w:rsidRDefault="00081064" w:rsidP="00081064">
      <w:pPr>
        <w:spacing w:line="360" w:lineRule="auto"/>
        <w:contextualSpacing/>
        <w:jc w:val="both"/>
        <w:rPr>
          <w:rFonts w:ascii="Palatino Linotype" w:eastAsia="MS Mincho" w:hAnsi="Palatino Linotype"/>
          <w:sz w:val="24"/>
          <w:szCs w:val="24"/>
          <w:lang w:val="es-ES_tradnl"/>
        </w:rPr>
      </w:pPr>
    </w:p>
    <w:p w14:paraId="23F22251" w14:textId="77777777" w:rsidR="00081064" w:rsidRPr="00B31836" w:rsidRDefault="00081064" w:rsidP="00CF6481">
      <w:pPr>
        <w:numPr>
          <w:ilvl w:val="0"/>
          <w:numId w:val="3"/>
        </w:numPr>
        <w:spacing w:line="360" w:lineRule="auto"/>
        <w:ind w:left="0" w:right="49" w:firstLine="0"/>
        <w:jc w:val="both"/>
        <w:rPr>
          <w:rFonts w:ascii="Palatino Linotype" w:eastAsia="MS Mincho" w:hAnsi="Palatino Linotype"/>
          <w:sz w:val="24"/>
          <w:szCs w:val="24"/>
          <w:lang w:val="es-ES_tradnl"/>
        </w:rPr>
      </w:pPr>
      <w:r w:rsidRPr="00B31836">
        <w:rPr>
          <w:rFonts w:ascii="Palatino Linotype" w:eastAsia="MS Mincho" w:hAnsi="Palatino Linotype"/>
          <w:sz w:val="24"/>
          <w:szCs w:val="24"/>
          <w:lang w:val="es-ES_tradnl"/>
        </w:rPr>
        <w:t xml:space="preserve">En ese mismo sentido los </w:t>
      </w:r>
      <w:r w:rsidRPr="00B31836">
        <w:rPr>
          <w:rFonts w:ascii="Palatino Linotype" w:hAnsi="Palatino Linotype" w:cs="Arial"/>
          <w:b/>
          <w:sz w:val="24"/>
          <w:szCs w:val="24"/>
          <w:lang w:val="es-ES_tradnl"/>
        </w:rPr>
        <w:t xml:space="preserve">Lineamientos Generales en Materia de Clasificación y Desclasificación de la Información, así como para la Elaboración de Versiones Públicas </w:t>
      </w:r>
      <w:r w:rsidRPr="00B31836">
        <w:rPr>
          <w:rFonts w:ascii="Palatino Linotype" w:hAnsi="Palatino Linotype" w:cs="Arial"/>
          <w:sz w:val="24"/>
          <w:szCs w:val="24"/>
          <w:lang w:val="es-ES_tradnl"/>
        </w:rPr>
        <w:t>que señalan lo siguiente:</w:t>
      </w:r>
    </w:p>
    <w:p w14:paraId="1B1B5372" w14:textId="77777777" w:rsidR="00081064" w:rsidRPr="00B31836" w:rsidRDefault="00081064" w:rsidP="00081064">
      <w:pPr>
        <w:spacing w:line="360" w:lineRule="auto"/>
        <w:contextualSpacing/>
        <w:jc w:val="both"/>
        <w:rPr>
          <w:rFonts w:ascii="Palatino Linotype" w:eastAsia="MS Mincho" w:hAnsi="Palatino Linotype"/>
          <w:sz w:val="24"/>
          <w:szCs w:val="24"/>
          <w:lang w:val="es-ES_tradnl"/>
        </w:rPr>
      </w:pPr>
    </w:p>
    <w:p w14:paraId="025D03FA" w14:textId="77777777" w:rsidR="00081064" w:rsidRPr="00B31836" w:rsidRDefault="00081064" w:rsidP="00081064">
      <w:pPr>
        <w:shd w:val="clear" w:color="auto" w:fill="FFFFFF"/>
        <w:spacing w:after="200" w:line="360" w:lineRule="auto"/>
        <w:ind w:left="567" w:right="567"/>
        <w:jc w:val="both"/>
        <w:rPr>
          <w:rFonts w:ascii="Palatino Linotype" w:hAnsi="Palatino Linotype" w:cs="Arial"/>
          <w:i/>
          <w:sz w:val="24"/>
          <w:szCs w:val="24"/>
          <w:lang w:val="es-ES_tradnl"/>
        </w:rPr>
      </w:pPr>
      <w:r w:rsidRPr="00B31836">
        <w:rPr>
          <w:rFonts w:ascii="Palatino Linotype" w:hAnsi="Palatino Linotype" w:cs="Arial"/>
          <w:b/>
          <w:i/>
          <w:sz w:val="24"/>
          <w:szCs w:val="24"/>
          <w:lang w:val="es-ES_tradnl"/>
        </w:rPr>
        <w:t>Quincuagésimo séptimo</w:t>
      </w:r>
      <w:r w:rsidRPr="00B31836">
        <w:rPr>
          <w:rFonts w:ascii="Palatino Linotype" w:hAnsi="Palatino Linotype" w:cs="Arial"/>
          <w:i/>
          <w:sz w:val="24"/>
          <w:szCs w:val="24"/>
          <w:lang w:val="es-ES_tradnl"/>
        </w:rPr>
        <w:t xml:space="preserve">. </w:t>
      </w:r>
      <w:r w:rsidRPr="00B31836">
        <w:rPr>
          <w:rFonts w:ascii="Palatino Linotype" w:hAnsi="Palatino Linotype" w:cs="Arial"/>
          <w:b/>
          <w:i/>
          <w:sz w:val="24"/>
          <w:szCs w:val="24"/>
          <w:lang w:val="es-ES_tradnl"/>
        </w:rPr>
        <w:t>Se considera, en principio, como información pública</w:t>
      </w:r>
      <w:r w:rsidRPr="00B31836">
        <w:rPr>
          <w:rFonts w:ascii="Palatino Linotype" w:hAnsi="Palatino Linotype" w:cs="Arial"/>
          <w:i/>
          <w:sz w:val="24"/>
          <w:szCs w:val="24"/>
          <w:lang w:val="es-ES_tradnl"/>
        </w:rPr>
        <w:t xml:space="preserve"> y no podrá omitirse de las versiones públicas la siguiente:</w:t>
      </w:r>
    </w:p>
    <w:p w14:paraId="456E2CD7" w14:textId="77777777" w:rsidR="00081064" w:rsidRPr="00B31836" w:rsidRDefault="00081064" w:rsidP="00081064">
      <w:pPr>
        <w:shd w:val="clear" w:color="auto" w:fill="FFFFFF"/>
        <w:spacing w:after="200" w:line="360" w:lineRule="auto"/>
        <w:ind w:left="567" w:right="567"/>
        <w:jc w:val="both"/>
        <w:rPr>
          <w:rFonts w:ascii="Palatino Linotype" w:hAnsi="Palatino Linotype" w:cs="Arial"/>
          <w:i/>
          <w:sz w:val="24"/>
          <w:szCs w:val="24"/>
          <w:lang w:val="es-ES_tradnl"/>
        </w:rPr>
      </w:pPr>
      <w:r w:rsidRPr="00B31836">
        <w:rPr>
          <w:rFonts w:ascii="Palatino Linotype" w:hAnsi="Palatino Linotype" w:cs="Arial"/>
          <w:i/>
          <w:sz w:val="24"/>
          <w:szCs w:val="24"/>
          <w:lang w:val="es-ES_tradnl"/>
        </w:rPr>
        <w:t>La relativa a las Obligaciones de Transparencia que contempla el Título V de la Ley General y las demás disposiciones legales aplicables;</w:t>
      </w:r>
    </w:p>
    <w:p w14:paraId="2EBB1597" w14:textId="77777777" w:rsidR="00081064" w:rsidRPr="00B31836" w:rsidRDefault="00081064" w:rsidP="00081064">
      <w:pPr>
        <w:shd w:val="clear" w:color="auto" w:fill="FFFFFF"/>
        <w:spacing w:after="200" w:line="360" w:lineRule="auto"/>
        <w:ind w:left="567" w:right="567"/>
        <w:jc w:val="both"/>
        <w:rPr>
          <w:rFonts w:ascii="Palatino Linotype" w:hAnsi="Palatino Linotype" w:cs="Arial"/>
          <w:b/>
          <w:i/>
          <w:sz w:val="24"/>
          <w:szCs w:val="24"/>
          <w:lang w:val="es-ES_tradnl"/>
        </w:rPr>
      </w:pPr>
      <w:r w:rsidRPr="00B31836">
        <w:rPr>
          <w:rFonts w:ascii="Palatino Linotype" w:hAnsi="Palatino Linotype" w:cs="Arial"/>
          <w:b/>
          <w:i/>
          <w:sz w:val="24"/>
          <w:szCs w:val="24"/>
          <w:lang w:val="es-ES_tradnl"/>
        </w:rPr>
        <w:t>El nombre de los servidores públicos en los documentos, y sus firmas autógrafas, cuando sean utilizados en el ejercicio de las facultades conferidas para el desempeño del servicio público, y</w:t>
      </w:r>
    </w:p>
    <w:p w14:paraId="5A381865" w14:textId="77777777" w:rsidR="00081064" w:rsidRPr="00B31836" w:rsidRDefault="00081064" w:rsidP="00081064">
      <w:pPr>
        <w:shd w:val="clear" w:color="auto" w:fill="FFFFFF"/>
        <w:spacing w:after="200" w:line="360" w:lineRule="auto"/>
        <w:ind w:left="567" w:right="567"/>
        <w:jc w:val="both"/>
        <w:rPr>
          <w:rFonts w:ascii="Palatino Linotype" w:hAnsi="Palatino Linotype" w:cs="Arial"/>
          <w:b/>
          <w:i/>
          <w:sz w:val="24"/>
          <w:szCs w:val="24"/>
          <w:lang w:val="es-ES_tradnl"/>
        </w:rPr>
      </w:pPr>
      <w:r w:rsidRPr="00B31836">
        <w:rPr>
          <w:rFonts w:ascii="Palatino Linotype" w:hAnsi="Palatino Linotype" w:cs="Arial"/>
          <w:b/>
          <w:i/>
          <w:sz w:val="24"/>
          <w:szCs w:val="24"/>
          <w:lang w:val="es-ES_tradnl"/>
        </w:rPr>
        <w:t>La información que documente decisiones y los actos de autoridad concluidos de los sujetos obligados, así como el ejercicio de las facultades o actividades de los servidores públicos, de manera que se pueda valorar el desempeño de los mismos.</w:t>
      </w:r>
    </w:p>
    <w:p w14:paraId="350CD307" w14:textId="77777777" w:rsidR="00081064" w:rsidRPr="00B31836" w:rsidRDefault="00081064" w:rsidP="00081064">
      <w:pPr>
        <w:shd w:val="clear" w:color="auto" w:fill="FFFFFF"/>
        <w:spacing w:after="200" w:line="360" w:lineRule="auto"/>
        <w:ind w:left="567" w:right="567"/>
        <w:jc w:val="both"/>
        <w:rPr>
          <w:rFonts w:ascii="Palatino Linotype" w:hAnsi="Palatino Linotype" w:cs="Arial"/>
          <w:i/>
          <w:sz w:val="24"/>
          <w:szCs w:val="24"/>
          <w:lang w:val="es-ES_tradnl"/>
        </w:rPr>
      </w:pPr>
      <w:r w:rsidRPr="00B31836">
        <w:rPr>
          <w:rFonts w:ascii="Palatino Linotype" w:hAnsi="Palatino Linotype" w:cs="Arial"/>
          <w:i/>
          <w:sz w:val="24"/>
          <w:szCs w:val="24"/>
          <w:lang w:val="es-ES_tradnl"/>
        </w:rPr>
        <w:lastRenderedPageBreak/>
        <w:t>Lo anterior, siempre y cuando no se acredite alguna causal de clasificación, prevista en las leyes o en los tratados internaciones suscritos por el Estado mexicano.</w:t>
      </w:r>
    </w:p>
    <w:p w14:paraId="48088271" w14:textId="77777777" w:rsidR="00081064" w:rsidRPr="00B31836" w:rsidRDefault="00081064" w:rsidP="00CF6481">
      <w:pPr>
        <w:numPr>
          <w:ilvl w:val="0"/>
          <w:numId w:val="3"/>
        </w:numPr>
        <w:spacing w:line="360" w:lineRule="auto"/>
        <w:ind w:left="0" w:right="49" w:firstLine="0"/>
        <w:jc w:val="both"/>
        <w:rPr>
          <w:rFonts w:ascii="Palatino Linotype" w:eastAsia="MS Mincho" w:hAnsi="Palatino Linotype"/>
          <w:sz w:val="24"/>
          <w:szCs w:val="24"/>
          <w:lang w:val="es-ES_tradnl"/>
        </w:rPr>
      </w:pPr>
      <w:r w:rsidRPr="00B31836">
        <w:rPr>
          <w:rFonts w:ascii="Palatino Linotype" w:eastAsia="MS Mincho" w:hAnsi="Palatino Linotype"/>
          <w:sz w:val="24"/>
          <w:szCs w:val="24"/>
          <w:lang w:val="es-ES_tradnl"/>
        </w:rPr>
        <w:t xml:space="preserve">Por lo tanto, si la firma contenida en un documento generado con motivo de las funciones u obligaciones de los servidores públicos corresponde a información pública, en ese contexto la entrega de dichos documentos deberá ser en situaciones posteriores en versión pública, pero sin testar los nombres y las firmas correspondientes a los servidores públicos que aparezcan en los mismos. </w:t>
      </w:r>
    </w:p>
    <w:p w14:paraId="09810D29" w14:textId="77777777" w:rsidR="00081064" w:rsidRPr="00B31836" w:rsidRDefault="00081064" w:rsidP="00081064">
      <w:pPr>
        <w:keepNext/>
        <w:keepLines/>
        <w:spacing w:before="240" w:line="360" w:lineRule="auto"/>
        <w:outlineLvl w:val="0"/>
        <w:rPr>
          <w:rFonts w:ascii="Palatino Linotype" w:eastAsia="MS Gothic" w:hAnsi="Palatino Linotype"/>
          <w:b/>
          <w:color w:val="000000"/>
          <w:sz w:val="24"/>
          <w:szCs w:val="24"/>
        </w:rPr>
      </w:pPr>
      <w:bookmarkStart w:id="102" w:name="_Toc83127123"/>
      <w:bookmarkStart w:id="103" w:name="_Toc96007415"/>
      <w:bookmarkStart w:id="104" w:name="_Toc98429037"/>
      <w:bookmarkStart w:id="105" w:name="_Toc98978652"/>
      <w:bookmarkStart w:id="106" w:name="_Toc102644148"/>
      <w:r w:rsidRPr="00B31836">
        <w:rPr>
          <w:rFonts w:ascii="Palatino Linotype" w:eastAsia="MS Gothic" w:hAnsi="Palatino Linotype"/>
          <w:b/>
          <w:color w:val="000000"/>
          <w:sz w:val="24"/>
          <w:szCs w:val="24"/>
        </w:rPr>
        <w:t xml:space="preserve">V. </w:t>
      </w:r>
      <w:bookmarkEnd w:id="102"/>
      <w:r w:rsidRPr="00B31836">
        <w:rPr>
          <w:rFonts w:ascii="Palatino Linotype" w:eastAsia="MS Gothic" w:hAnsi="Palatino Linotype"/>
          <w:b/>
          <w:color w:val="000000"/>
          <w:sz w:val="24"/>
          <w:szCs w:val="24"/>
        </w:rPr>
        <w:t>De la Información reservada.</w:t>
      </w:r>
      <w:bookmarkEnd w:id="103"/>
      <w:bookmarkEnd w:id="104"/>
      <w:bookmarkEnd w:id="105"/>
      <w:bookmarkEnd w:id="106"/>
      <w:r w:rsidRPr="00B31836">
        <w:rPr>
          <w:rFonts w:ascii="Palatino Linotype" w:eastAsia="MS Gothic" w:hAnsi="Palatino Linotype"/>
          <w:b/>
          <w:color w:val="000000"/>
          <w:sz w:val="24"/>
          <w:szCs w:val="24"/>
        </w:rPr>
        <w:t xml:space="preserve"> </w:t>
      </w:r>
    </w:p>
    <w:p w14:paraId="36E284C8"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rPr>
      </w:pPr>
      <w:r w:rsidRPr="00B31836">
        <w:rPr>
          <w:rFonts w:ascii="Palatino Linotype" w:hAnsi="Palatino Linotype"/>
          <w:color w:val="000000"/>
          <w:sz w:val="24"/>
          <w:szCs w:val="24"/>
        </w:rPr>
        <w:t xml:space="preserve">En todos aquellos casos en los que se pretende adoptar una clasificación de la información como reservada, hay que considerar lo señalado por los artículos 5, 140 y 142 de la Ley Estatal y 5, 113 fracción III y 115 de la Ley General, que establecen </w:t>
      </w:r>
      <w:r w:rsidRPr="00B31836">
        <w:rPr>
          <w:rFonts w:ascii="Palatino Linotype" w:hAnsi="Palatino Linotype"/>
          <w:b/>
          <w:color w:val="000000"/>
          <w:sz w:val="24"/>
          <w:szCs w:val="24"/>
        </w:rPr>
        <w:t>qué puede clasificarse como información reservada:</w:t>
      </w:r>
    </w:p>
    <w:p w14:paraId="2B0CD0E9"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Artículo 140. El acceso a la información pública será restringido excepcionalmente, cuando por razones de interés público, ésta sea clasificada como reservada, conforme a los criterios siguientes: </w:t>
      </w:r>
    </w:p>
    <w:p w14:paraId="25B755D6"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0564A865"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I. Comprometa la seguridad pública y cuente con un propósito genuino y un efecto demostrable; </w:t>
      </w:r>
    </w:p>
    <w:p w14:paraId="019CE045"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II. Pueda menoscabar la conducción de las negociaciones y relaciones internacionales; </w:t>
      </w:r>
    </w:p>
    <w:p w14:paraId="7A5465AB"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lastRenderedPageBreak/>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12CD5094"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IV. Ponga en riesgo la vida, la seguridad o la salud de una persona física; </w:t>
      </w:r>
    </w:p>
    <w:p w14:paraId="6998FBBB"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V. Aquella cuya divulgación obstruya o pueda causar un serio perjuicio a: </w:t>
      </w:r>
    </w:p>
    <w:p w14:paraId="2CFE1717"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2AC8A53F" w14:textId="77777777" w:rsidR="00081064" w:rsidRPr="00B31836" w:rsidRDefault="00081064" w:rsidP="00081064">
      <w:pPr>
        <w:spacing w:before="100" w:beforeAutospacing="1" w:after="100" w:afterAutospacing="1" w:line="360" w:lineRule="auto"/>
        <w:ind w:left="1134" w:right="616"/>
        <w:contextualSpacing/>
        <w:jc w:val="both"/>
        <w:rPr>
          <w:rFonts w:ascii="Palatino Linotype" w:hAnsi="Palatino Linotype"/>
          <w:b/>
          <w:i/>
          <w:sz w:val="24"/>
          <w:szCs w:val="24"/>
        </w:rPr>
      </w:pPr>
      <w:r w:rsidRPr="00B31836">
        <w:rPr>
          <w:rFonts w:ascii="Palatino Linotype" w:hAnsi="Palatino Linotype"/>
          <w:b/>
          <w:i/>
          <w:sz w:val="24"/>
          <w:szCs w:val="24"/>
        </w:rPr>
        <w:t xml:space="preserve">1. Las actividades de fiscalización, verificación, inspección, comprobación y auditoría sobre el cumplimiento de las Leyes; o </w:t>
      </w:r>
    </w:p>
    <w:p w14:paraId="6E783E32" w14:textId="77777777" w:rsidR="00081064" w:rsidRPr="00B31836" w:rsidRDefault="00081064" w:rsidP="00081064">
      <w:pPr>
        <w:spacing w:before="100" w:beforeAutospacing="1" w:after="100" w:afterAutospacing="1" w:line="360" w:lineRule="auto"/>
        <w:ind w:left="1134" w:right="616"/>
        <w:contextualSpacing/>
        <w:jc w:val="both"/>
        <w:rPr>
          <w:rFonts w:ascii="Palatino Linotype" w:hAnsi="Palatino Linotype"/>
          <w:b/>
          <w:i/>
          <w:sz w:val="24"/>
          <w:szCs w:val="24"/>
        </w:rPr>
      </w:pPr>
    </w:p>
    <w:p w14:paraId="15F6FBFA" w14:textId="77777777" w:rsidR="00081064" w:rsidRPr="00B31836" w:rsidRDefault="00081064" w:rsidP="00081064">
      <w:pPr>
        <w:spacing w:before="100" w:beforeAutospacing="1" w:after="100" w:afterAutospacing="1" w:line="360" w:lineRule="auto"/>
        <w:ind w:left="1134" w:right="616"/>
        <w:contextualSpacing/>
        <w:jc w:val="both"/>
        <w:rPr>
          <w:rFonts w:ascii="Palatino Linotype" w:hAnsi="Palatino Linotype"/>
          <w:b/>
          <w:i/>
          <w:sz w:val="24"/>
          <w:szCs w:val="24"/>
        </w:rPr>
      </w:pPr>
      <w:r w:rsidRPr="00B31836">
        <w:rPr>
          <w:rFonts w:ascii="Palatino Linotype" w:hAnsi="Palatino Linotype"/>
          <w:b/>
          <w:i/>
          <w:sz w:val="24"/>
          <w:szCs w:val="24"/>
        </w:rPr>
        <w:t xml:space="preserve">2. La recaudación de las contribuciones. </w:t>
      </w:r>
    </w:p>
    <w:p w14:paraId="3F2D6A61"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4C56ECCB"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DC7149E"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196EC851"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 VII. La que contengan las opiniones, recomendaciones o puntos de vista que formen parte del proceso deliberativo de los servidores públicos, hasta en tanto sea adoptada la decisión definitiva, la cual deberá estar documentada;</w:t>
      </w:r>
    </w:p>
    <w:p w14:paraId="4A0799E0"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20A70709"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 VIII. Vulnere la conducción de los expedientes judiciales o de los procedimientos administrativos seguidos en forma de juicio, en tanto no hayan quedado firmes; </w:t>
      </w:r>
    </w:p>
    <w:p w14:paraId="42C5A3E2"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332CF71C"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IX. Se encuentre contenida dentro de las investigaciones de hechos que la Ley señale como delitos y se tramiten ante el Ministerio Público;</w:t>
      </w:r>
    </w:p>
    <w:p w14:paraId="5F10B720"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1F4E2B2E"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4DB5469"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p>
    <w:p w14:paraId="3D420BAC" w14:textId="77777777" w:rsidR="00081064" w:rsidRPr="00B31836" w:rsidRDefault="00081064" w:rsidP="00081064">
      <w:pPr>
        <w:spacing w:before="100" w:beforeAutospacing="1" w:after="100" w:afterAutospacing="1" w:line="360" w:lineRule="auto"/>
        <w:ind w:left="720" w:right="616"/>
        <w:contextualSpacing/>
        <w:jc w:val="both"/>
        <w:rPr>
          <w:rFonts w:ascii="Palatino Linotype" w:hAnsi="Palatino Linotype"/>
          <w:b/>
          <w:i/>
          <w:sz w:val="24"/>
          <w:szCs w:val="24"/>
        </w:rPr>
      </w:pPr>
      <w:r w:rsidRPr="00B31836">
        <w:rPr>
          <w:rFonts w:ascii="Palatino Linotype" w:hAnsi="Palatino Linotype"/>
          <w:b/>
          <w:i/>
          <w:sz w:val="24"/>
          <w:szCs w:val="24"/>
        </w:rPr>
        <w:t xml:space="preserve"> XI. Las que por disposición expresa de una ley tengan tal carácter, siempre que sean acordes con las bases, principios y disposiciones establecidos en esta Ley y no la contravengan; así como las previstas en tratados internacionales.</w:t>
      </w:r>
    </w:p>
    <w:p w14:paraId="29C6A2EC" w14:textId="77777777" w:rsidR="00081064" w:rsidRPr="00B31836" w:rsidRDefault="00081064" w:rsidP="00081064">
      <w:pPr>
        <w:spacing w:before="100" w:beforeAutospacing="1" w:after="100" w:afterAutospacing="1" w:line="360" w:lineRule="auto"/>
        <w:ind w:right="616"/>
        <w:contextualSpacing/>
        <w:jc w:val="both"/>
        <w:rPr>
          <w:rFonts w:ascii="Palatino Linotype" w:hAnsi="Palatino Linotype"/>
          <w:b/>
          <w:color w:val="000000"/>
          <w:sz w:val="24"/>
          <w:szCs w:val="24"/>
        </w:rPr>
      </w:pPr>
    </w:p>
    <w:p w14:paraId="4464FE9E"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rPr>
      </w:pPr>
      <w:r w:rsidRPr="00B31836">
        <w:rPr>
          <w:rFonts w:ascii="Palatino Linotype" w:hAnsi="Palatino Linotype"/>
          <w:color w:val="000000"/>
          <w:sz w:val="24"/>
          <w:szCs w:val="24"/>
        </w:rPr>
        <w:t xml:space="preserve">En ese tenor, si la información solicitada no encuadra en cualquiera de los supuestos señalados con anterioridad, no será procedente la clasificación de la información bajo ninguna circunstancia; dicho de otro modo, no aplica la excepción a la regla general, derivado que este tipo de casos, deberá de ser del escrutinio público, lo cual ayudará a tener un país informado, que posibilita la población cuestione, indague y verifique los actos de autoridad. </w:t>
      </w:r>
    </w:p>
    <w:p w14:paraId="7188C6CA" w14:textId="77777777" w:rsidR="00081064" w:rsidRPr="00B31836" w:rsidRDefault="00081064" w:rsidP="00081064">
      <w:pPr>
        <w:tabs>
          <w:tab w:val="left" w:pos="426"/>
        </w:tabs>
        <w:suppressAutoHyphens/>
        <w:spacing w:before="100" w:beforeAutospacing="1" w:after="100" w:afterAutospacing="1" w:line="360" w:lineRule="auto"/>
        <w:ind w:right="616"/>
        <w:contextualSpacing/>
        <w:jc w:val="both"/>
        <w:rPr>
          <w:rFonts w:ascii="Palatino Linotype" w:hAnsi="Palatino Linotype"/>
          <w:color w:val="000000"/>
          <w:sz w:val="24"/>
          <w:szCs w:val="24"/>
        </w:rPr>
      </w:pPr>
    </w:p>
    <w:p w14:paraId="273F39F5" w14:textId="77777777" w:rsidR="00081064" w:rsidRPr="00B31836" w:rsidRDefault="00081064" w:rsidP="00CF6481">
      <w:pPr>
        <w:keepNext/>
        <w:keepLines/>
        <w:numPr>
          <w:ilvl w:val="0"/>
          <w:numId w:val="16"/>
        </w:numPr>
        <w:suppressAutoHyphens/>
        <w:spacing w:before="240" w:after="160" w:line="360" w:lineRule="auto"/>
        <w:ind w:left="284" w:hanging="284"/>
        <w:outlineLvl w:val="0"/>
        <w:rPr>
          <w:rFonts w:ascii="Palatino Linotype" w:hAnsi="Palatino Linotype"/>
          <w:b/>
          <w:color w:val="000000"/>
          <w:sz w:val="24"/>
          <w:szCs w:val="24"/>
        </w:rPr>
      </w:pPr>
      <w:bookmarkStart w:id="107" w:name="_Toc83127124"/>
      <w:bookmarkStart w:id="108" w:name="_Toc96007416"/>
      <w:bookmarkStart w:id="109" w:name="_Toc98429038"/>
      <w:bookmarkStart w:id="110" w:name="_Toc98978653"/>
      <w:bookmarkStart w:id="111" w:name="_Toc102644149"/>
      <w:r w:rsidRPr="00B31836">
        <w:rPr>
          <w:rFonts w:ascii="Palatino Linotype" w:hAnsi="Palatino Linotype"/>
          <w:b/>
          <w:color w:val="000000"/>
          <w:sz w:val="24"/>
          <w:szCs w:val="24"/>
        </w:rPr>
        <w:t>Fundamentación específica.</w:t>
      </w:r>
      <w:bookmarkEnd w:id="107"/>
      <w:bookmarkEnd w:id="108"/>
      <w:bookmarkEnd w:id="109"/>
      <w:bookmarkEnd w:id="110"/>
      <w:bookmarkEnd w:id="111"/>
    </w:p>
    <w:p w14:paraId="3F9F282C" w14:textId="77777777" w:rsidR="00081064" w:rsidRPr="00B31836" w:rsidRDefault="00081064" w:rsidP="00CF6481">
      <w:pPr>
        <w:numPr>
          <w:ilvl w:val="0"/>
          <w:numId w:val="3"/>
        </w:numPr>
        <w:spacing w:line="360" w:lineRule="auto"/>
        <w:ind w:left="0" w:right="49" w:firstLine="0"/>
        <w:jc w:val="both"/>
        <w:rPr>
          <w:rFonts w:ascii="Palatino Linotype" w:hAnsi="Palatino Linotype" w:cs="Arial"/>
          <w:color w:val="000000"/>
          <w:sz w:val="24"/>
          <w:szCs w:val="24"/>
          <w:lang w:val="es-ES_tradnl"/>
        </w:rPr>
      </w:pPr>
      <w:r w:rsidRPr="00B31836">
        <w:rPr>
          <w:rFonts w:ascii="Palatino Linotype" w:hAnsi="Palatino Linotype" w:cs="Arial"/>
          <w:color w:val="000000"/>
          <w:sz w:val="24"/>
          <w:szCs w:val="24"/>
          <w:lang w:val="es-ES_tradnl"/>
        </w:rPr>
        <w:t xml:space="preserve">Los artículos 128, segundo párrafo, y 103, segundo párrafo, de las Leyes Estatal y General, respectivamente, señalan que, en el caso de la información reservada, se deben de señalar las razones, motivos o circunstancias especiales que llevan al </w:t>
      </w:r>
      <w:r w:rsidRPr="00B31836">
        <w:rPr>
          <w:rFonts w:ascii="Palatino Linotype" w:hAnsi="Palatino Linotype" w:cs="Arial"/>
          <w:b/>
          <w:bCs/>
          <w:color w:val="000000"/>
          <w:sz w:val="24"/>
          <w:szCs w:val="24"/>
          <w:lang w:val="es-ES_tradnl"/>
        </w:rPr>
        <w:t>SUJETO OBLIGADO</w:t>
      </w:r>
      <w:r w:rsidRPr="00B31836">
        <w:rPr>
          <w:rFonts w:ascii="Palatino Linotype" w:hAnsi="Palatino Linotype" w:cs="Arial"/>
          <w:color w:val="000000"/>
          <w:sz w:val="24"/>
          <w:szCs w:val="24"/>
          <w:lang w:val="es-ES_tradnl"/>
        </w:rPr>
        <w:t xml:space="preserve">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w:t>
      </w:r>
      <w:r w:rsidRPr="00B31836">
        <w:rPr>
          <w:rFonts w:ascii="Palatino Linotype" w:hAnsi="Palatino Linotype" w:cs="Arial"/>
          <w:color w:val="000000"/>
          <w:sz w:val="24"/>
          <w:szCs w:val="24"/>
          <w:lang w:val="es-ES_tradnl"/>
        </w:rPr>
        <w:lastRenderedPageBreak/>
        <w:t>juicio demostrativo, no uno autorreferencial en el que primero se dice algo, después se dice lo mismo y al final exactamente lo mismo, cambiando sólo el orden de las palabras.</w:t>
      </w:r>
    </w:p>
    <w:p w14:paraId="57D4F45A" w14:textId="77777777" w:rsidR="00081064" w:rsidRPr="00B31836" w:rsidRDefault="00081064" w:rsidP="00081064">
      <w:pPr>
        <w:keepNext/>
        <w:keepLines/>
        <w:suppressAutoHyphens/>
        <w:spacing w:before="240" w:line="360" w:lineRule="auto"/>
        <w:outlineLvl w:val="0"/>
        <w:rPr>
          <w:rFonts w:ascii="Palatino Linotype" w:hAnsi="Palatino Linotype"/>
          <w:b/>
          <w:color w:val="000000"/>
          <w:sz w:val="24"/>
          <w:szCs w:val="24"/>
        </w:rPr>
      </w:pPr>
      <w:bookmarkStart w:id="112" w:name="_Toc485631708"/>
      <w:bookmarkStart w:id="113" w:name="_Toc500756718"/>
      <w:bookmarkStart w:id="114" w:name="_Toc536691786"/>
      <w:bookmarkStart w:id="115" w:name="_Toc82023108"/>
      <w:bookmarkStart w:id="116" w:name="_Toc83127125"/>
      <w:bookmarkStart w:id="117" w:name="_Toc96007417"/>
      <w:bookmarkStart w:id="118" w:name="_Toc98429039"/>
      <w:bookmarkStart w:id="119" w:name="_Toc98978654"/>
      <w:bookmarkStart w:id="120" w:name="_Toc102644150"/>
      <w:r w:rsidRPr="00B31836">
        <w:rPr>
          <w:rFonts w:ascii="Palatino Linotype" w:hAnsi="Palatino Linotype"/>
          <w:b/>
          <w:color w:val="000000"/>
          <w:sz w:val="24"/>
          <w:szCs w:val="24"/>
        </w:rPr>
        <w:t>b) La prueba de daño.</w:t>
      </w:r>
      <w:bookmarkEnd w:id="112"/>
      <w:bookmarkEnd w:id="113"/>
      <w:bookmarkEnd w:id="114"/>
      <w:bookmarkEnd w:id="115"/>
      <w:bookmarkEnd w:id="116"/>
      <w:bookmarkEnd w:id="117"/>
      <w:bookmarkEnd w:id="118"/>
      <w:bookmarkEnd w:id="119"/>
      <w:bookmarkEnd w:id="120"/>
    </w:p>
    <w:p w14:paraId="1FAF0EC4" w14:textId="77777777" w:rsidR="00081064" w:rsidRPr="00B31836" w:rsidRDefault="00081064" w:rsidP="00081064">
      <w:pPr>
        <w:spacing w:line="360" w:lineRule="auto"/>
        <w:contextualSpacing/>
        <w:jc w:val="both"/>
        <w:rPr>
          <w:rFonts w:ascii="Palatino Linotype" w:hAnsi="Palatino Linotype"/>
          <w:color w:val="000000"/>
          <w:sz w:val="24"/>
          <w:szCs w:val="24"/>
          <w:lang w:val="es-ES_tradnl"/>
        </w:rPr>
      </w:pPr>
    </w:p>
    <w:p w14:paraId="19D64887"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sz w:val="24"/>
          <w:szCs w:val="24"/>
          <w:lang w:val="es-ES_tradnl"/>
        </w:rPr>
        <w:t>Las</w:t>
      </w:r>
      <w:r w:rsidRPr="00B31836">
        <w:rPr>
          <w:rFonts w:ascii="Palatino Linotype" w:hAnsi="Palatino Linotype"/>
          <w:color w:val="000000"/>
          <w:sz w:val="24"/>
          <w:szCs w:val="24"/>
          <w:lang w:val="es-ES_tradnl"/>
        </w:rPr>
        <w:t xml:space="preserve">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14:paraId="4CA915EB" w14:textId="77777777" w:rsidR="00081064" w:rsidRPr="00B31836" w:rsidRDefault="00081064" w:rsidP="00081064">
      <w:pPr>
        <w:tabs>
          <w:tab w:val="left" w:pos="426"/>
        </w:tabs>
        <w:spacing w:after="160" w:line="360" w:lineRule="auto"/>
        <w:contextualSpacing/>
        <w:jc w:val="both"/>
        <w:rPr>
          <w:rFonts w:ascii="Palatino Linotype" w:hAnsi="Palatino Linotype"/>
          <w:color w:val="000000"/>
          <w:sz w:val="24"/>
          <w:szCs w:val="24"/>
          <w:lang w:val="es-ES_tradnl"/>
        </w:rPr>
      </w:pPr>
    </w:p>
    <w:p w14:paraId="0DBABF07"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Para aplicar la prueba de daño, se deberán de precisar las razones objetivas por las que la apertura genera una afectación, acreditando que:</w:t>
      </w:r>
    </w:p>
    <w:p w14:paraId="503F1D2C" w14:textId="77777777" w:rsidR="00081064" w:rsidRPr="00B31836" w:rsidRDefault="00081064" w:rsidP="00081064">
      <w:pPr>
        <w:tabs>
          <w:tab w:val="left" w:pos="426"/>
        </w:tabs>
        <w:spacing w:after="160" w:line="360" w:lineRule="auto"/>
        <w:contextualSpacing/>
        <w:jc w:val="both"/>
        <w:rPr>
          <w:rFonts w:ascii="Palatino Linotype" w:hAnsi="Palatino Linotype"/>
          <w:color w:val="000000"/>
          <w:sz w:val="24"/>
          <w:szCs w:val="24"/>
          <w:lang w:val="es-ES_tradnl"/>
        </w:rPr>
      </w:pPr>
    </w:p>
    <w:p w14:paraId="204F1294" w14:textId="77777777" w:rsidR="00081064" w:rsidRPr="00B31836" w:rsidRDefault="00081064" w:rsidP="00CF6481">
      <w:pPr>
        <w:numPr>
          <w:ilvl w:val="1"/>
          <w:numId w:val="17"/>
        </w:numPr>
        <w:tabs>
          <w:tab w:val="left" w:pos="426"/>
        </w:tabs>
        <w:suppressAutoHyphens/>
        <w:spacing w:after="160" w:line="360" w:lineRule="auto"/>
        <w:ind w:left="1134" w:right="738" w:hanging="436"/>
        <w:contextualSpacing/>
        <w:jc w:val="both"/>
        <w:rPr>
          <w:rFonts w:ascii="Palatino Linotype" w:hAnsi="Palatino Linotype"/>
          <w:iCs/>
          <w:color w:val="000000"/>
          <w:sz w:val="24"/>
          <w:szCs w:val="24"/>
          <w:lang w:val="es-ES_tradnl"/>
        </w:rPr>
      </w:pPr>
      <w:r w:rsidRPr="00B31836">
        <w:rPr>
          <w:rFonts w:ascii="Palatino Linotype" w:hAnsi="Palatino Linotype"/>
          <w:color w:val="000000"/>
          <w:sz w:val="24"/>
          <w:szCs w:val="24"/>
          <w:lang w:val="es-ES_tradnl"/>
        </w:rPr>
        <w:lastRenderedPageBreak/>
        <w:t xml:space="preserve">La </w:t>
      </w:r>
      <w:r w:rsidRPr="00B31836">
        <w:rPr>
          <w:rFonts w:ascii="Palatino Linotype" w:hAnsi="Palatino Linotype"/>
          <w:iCs/>
          <w:color w:val="000000"/>
          <w:sz w:val="24"/>
          <w:szCs w:val="24"/>
          <w:lang w:val="es-ES_tradnl"/>
        </w:rPr>
        <w:t xml:space="preserve">divulgación de la información representa un riesgo real, demostrable e identificable del perjuicio significativo al interés público o a la seguridad pública; </w:t>
      </w:r>
    </w:p>
    <w:p w14:paraId="14887955" w14:textId="77777777" w:rsidR="00081064" w:rsidRPr="00B31836" w:rsidRDefault="00081064" w:rsidP="00CF6481">
      <w:pPr>
        <w:numPr>
          <w:ilvl w:val="1"/>
          <w:numId w:val="17"/>
        </w:numPr>
        <w:tabs>
          <w:tab w:val="left" w:pos="426"/>
        </w:tabs>
        <w:suppressAutoHyphens/>
        <w:spacing w:after="160" w:line="360" w:lineRule="auto"/>
        <w:ind w:left="1134" w:right="738" w:hanging="436"/>
        <w:contextualSpacing/>
        <w:jc w:val="both"/>
        <w:rPr>
          <w:rFonts w:ascii="Palatino Linotype" w:hAnsi="Palatino Linotype"/>
          <w:iCs/>
          <w:color w:val="000000"/>
          <w:sz w:val="24"/>
          <w:szCs w:val="24"/>
          <w:lang w:val="es-ES_tradnl"/>
        </w:rPr>
      </w:pPr>
      <w:r w:rsidRPr="00B31836">
        <w:rPr>
          <w:rFonts w:ascii="Palatino Linotype" w:hAnsi="Palatino Linotype"/>
          <w:iCs/>
          <w:color w:val="000000"/>
          <w:sz w:val="24"/>
          <w:szCs w:val="24"/>
          <w:lang w:val="es-ES_tradnl"/>
        </w:rPr>
        <w:t xml:space="preserve">El riesgo de perjuicio que supondría la divulgación supera el interés público general de que se difunda; y </w:t>
      </w:r>
    </w:p>
    <w:p w14:paraId="52A362E2" w14:textId="77777777" w:rsidR="00081064" w:rsidRPr="00B31836" w:rsidRDefault="00081064" w:rsidP="00CF6481">
      <w:pPr>
        <w:numPr>
          <w:ilvl w:val="1"/>
          <w:numId w:val="17"/>
        </w:numPr>
        <w:tabs>
          <w:tab w:val="left" w:pos="426"/>
        </w:tabs>
        <w:suppressAutoHyphens/>
        <w:spacing w:after="160" w:line="360" w:lineRule="auto"/>
        <w:ind w:left="1134" w:right="738" w:hanging="436"/>
        <w:contextualSpacing/>
        <w:jc w:val="both"/>
        <w:rPr>
          <w:rFonts w:ascii="Palatino Linotype" w:hAnsi="Palatino Linotype"/>
          <w:iCs/>
          <w:color w:val="000000"/>
          <w:sz w:val="24"/>
          <w:szCs w:val="24"/>
          <w:lang w:val="es-ES_tradnl"/>
        </w:rPr>
      </w:pPr>
      <w:r w:rsidRPr="00B31836">
        <w:rPr>
          <w:rFonts w:ascii="Palatino Linotype" w:hAnsi="Palatino Linotype"/>
          <w:iCs/>
          <w:color w:val="000000"/>
          <w:sz w:val="24"/>
          <w:szCs w:val="24"/>
          <w:lang w:val="es-ES_tradnl"/>
        </w:rPr>
        <w:t>La limitación se adecua al principio de proporcionalidad y representa el medio menos restrictivo disponible para evitar el perjuicio.</w:t>
      </w:r>
    </w:p>
    <w:p w14:paraId="611549FF" w14:textId="77777777" w:rsidR="00081064" w:rsidRPr="00B31836" w:rsidRDefault="00081064" w:rsidP="00081064">
      <w:pPr>
        <w:tabs>
          <w:tab w:val="left" w:pos="426"/>
        </w:tabs>
        <w:spacing w:line="360" w:lineRule="auto"/>
        <w:ind w:left="1134"/>
        <w:contextualSpacing/>
        <w:jc w:val="both"/>
        <w:rPr>
          <w:rFonts w:ascii="Palatino Linotype" w:hAnsi="Palatino Linotype"/>
          <w:iCs/>
          <w:color w:val="000000"/>
          <w:sz w:val="24"/>
          <w:szCs w:val="24"/>
          <w:lang w:val="es-ES_tradnl"/>
        </w:rPr>
      </w:pPr>
    </w:p>
    <w:p w14:paraId="08C4A9EF" w14:textId="77777777" w:rsidR="00081064" w:rsidRPr="00B31836" w:rsidRDefault="00081064" w:rsidP="00CF6481">
      <w:pPr>
        <w:numPr>
          <w:ilvl w:val="0"/>
          <w:numId w:val="3"/>
        </w:numPr>
        <w:spacing w:line="360" w:lineRule="auto"/>
        <w:ind w:left="0" w:right="49" w:firstLine="0"/>
        <w:jc w:val="both"/>
        <w:rPr>
          <w:rFonts w:ascii="Palatino Linotype" w:eastAsia="Calibri" w:hAnsi="Palatino Linotype"/>
          <w:color w:val="000000"/>
          <w:sz w:val="24"/>
          <w:szCs w:val="24"/>
          <w:lang w:val="es-ES_tradnl" w:eastAsia="es-ES_tradnl"/>
        </w:rPr>
      </w:pPr>
      <w:r w:rsidRPr="00B31836">
        <w:rPr>
          <w:rFonts w:ascii="Palatino Linotype" w:eastAsia="Calibri" w:hAnsi="Palatino Linotype"/>
          <w:color w:val="000000"/>
          <w:sz w:val="24"/>
          <w:szCs w:val="24"/>
          <w:lang w:val="es-ES_tradnl" w:eastAsia="es-ES_tradnl"/>
        </w:rPr>
        <w:t>Sobre el primer supuesto consideremos que según el diccionario del español jurídico, por riesgo podemos entender “la contingencia o proximidad de un daño”,</w:t>
      </w:r>
      <w:r w:rsidRPr="00B31836">
        <w:rPr>
          <w:rFonts w:ascii="Palatino Linotype" w:eastAsia="Calibri" w:hAnsi="Palatino Linotype"/>
          <w:color w:val="000000"/>
          <w:sz w:val="24"/>
          <w:szCs w:val="24"/>
          <w:vertAlign w:val="superscript"/>
          <w:lang w:val="es-ES_tradnl" w:eastAsia="es-ES_tradnl"/>
        </w:rPr>
        <w:footnoteReference w:id="11"/>
      </w:r>
      <w:r w:rsidRPr="00B31836">
        <w:rPr>
          <w:rFonts w:ascii="Palatino Linotype" w:eastAsia="Calibri" w:hAnsi="Palatino Linotype"/>
          <w:color w:val="000000"/>
          <w:sz w:val="24"/>
          <w:szCs w:val="24"/>
          <w:lang w:val="es-ES_tradnl" w:eastAsia="es-ES_tradnl"/>
        </w:rPr>
        <w:t xml:space="preserve"> mientras que el daño es considerado como un “perjuicio o lesión”</w:t>
      </w:r>
      <w:r w:rsidRPr="00B31836">
        <w:rPr>
          <w:rFonts w:ascii="Palatino Linotype" w:eastAsia="Calibri" w:hAnsi="Palatino Linotype"/>
          <w:color w:val="000000"/>
          <w:sz w:val="24"/>
          <w:szCs w:val="24"/>
          <w:vertAlign w:val="superscript"/>
          <w:lang w:val="es-ES_tradnl" w:eastAsia="es-ES_tradnl"/>
        </w:rPr>
        <w:footnoteReference w:id="12"/>
      </w:r>
      <w:r w:rsidRPr="00B31836">
        <w:rPr>
          <w:rFonts w:ascii="Palatino Linotype" w:eastAsia="Calibri" w:hAnsi="Palatino Linotype"/>
          <w:color w:val="000000"/>
          <w:sz w:val="24"/>
          <w:szCs w:val="24"/>
          <w:lang w:val="es-ES_tradnl" w:eastAsia="es-ES_tradnl"/>
        </w:rPr>
        <w:t>, mientras que según el Diccionario de la Lengua Española, lo real es</w:t>
      </w:r>
      <w:r w:rsidRPr="00B31836">
        <w:rPr>
          <w:rFonts w:ascii="Palatino Linotype" w:eastAsia="Arial Unicode MS" w:hAnsi="Palatino Linotype" w:cs="Arial Unicode MS"/>
          <w:color w:val="000000"/>
          <w:spacing w:val="4"/>
          <w:sz w:val="24"/>
          <w:szCs w:val="24"/>
          <w:shd w:val="clear" w:color="auto" w:fill="FFFFFF"/>
          <w:lang w:val="es-ES_tradnl" w:eastAsia="es-ES_tradnl"/>
        </w:rPr>
        <w:t xml:space="preserve"> lo “</w:t>
      </w:r>
      <w:r w:rsidRPr="00B31836">
        <w:rPr>
          <w:rFonts w:ascii="Palatino Linotype" w:hAnsi="Palatino Linotype"/>
          <w:color w:val="000000"/>
          <w:sz w:val="24"/>
          <w:szCs w:val="24"/>
          <w:lang w:val="es-ES_tradnl" w:eastAsia="es-ES_tradnl"/>
        </w:rPr>
        <w:t>(que</w:t>
      </w:r>
      <w:r w:rsidRPr="00B31836">
        <w:rPr>
          <w:rFonts w:ascii="Palatino Linotype" w:eastAsia="Arial Unicode MS" w:hAnsi="Palatino Linotype" w:cs="Arial Unicode MS"/>
          <w:color w:val="000000"/>
          <w:spacing w:val="4"/>
          <w:sz w:val="24"/>
          <w:szCs w:val="24"/>
          <w:shd w:val="clear" w:color="auto" w:fill="FFFFFF"/>
          <w:lang w:val="es-ES_tradnl" w:eastAsia="es-ES_tradnl"/>
        </w:rPr>
        <w:t xml:space="preserve"> </w:t>
      </w:r>
      <w:r w:rsidRPr="00B31836">
        <w:rPr>
          <w:rFonts w:ascii="Palatino Linotype" w:hAnsi="Palatino Linotype"/>
          <w:color w:val="000000"/>
          <w:sz w:val="24"/>
          <w:szCs w:val="24"/>
          <w:lang w:val="es-ES_tradnl" w:eastAsia="es-ES_tradnl"/>
        </w:rPr>
        <w:t>tiene</w:t>
      </w:r>
      <w:r w:rsidRPr="00B31836">
        <w:rPr>
          <w:rFonts w:ascii="Palatino Linotype" w:eastAsia="Arial Unicode MS" w:hAnsi="Palatino Linotype" w:cs="Arial Unicode MS"/>
          <w:color w:val="000000"/>
          <w:spacing w:val="4"/>
          <w:sz w:val="24"/>
          <w:szCs w:val="24"/>
          <w:shd w:val="clear" w:color="auto" w:fill="FFFFFF"/>
          <w:lang w:val="es-ES_tradnl" w:eastAsia="es-ES_tradnl"/>
        </w:rPr>
        <w:t xml:space="preserve"> </w:t>
      </w:r>
      <w:r w:rsidRPr="00B31836">
        <w:rPr>
          <w:rFonts w:ascii="Palatino Linotype" w:hAnsi="Palatino Linotype"/>
          <w:color w:val="000000"/>
          <w:sz w:val="24"/>
          <w:szCs w:val="24"/>
          <w:lang w:val="es-ES_tradnl" w:eastAsia="es-ES_tradnl"/>
        </w:rPr>
        <w:t>existencia</w:t>
      </w:r>
      <w:r w:rsidRPr="00B31836">
        <w:rPr>
          <w:rFonts w:ascii="Palatino Linotype" w:eastAsia="Arial Unicode MS" w:hAnsi="Palatino Linotype" w:cs="Arial Unicode MS"/>
          <w:color w:val="000000"/>
          <w:spacing w:val="4"/>
          <w:sz w:val="24"/>
          <w:szCs w:val="24"/>
          <w:shd w:val="clear" w:color="auto" w:fill="FFFFFF"/>
          <w:lang w:val="es-ES_tradnl" w:eastAsia="es-ES_tradnl"/>
        </w:rPr>
        <w:t xml:space="preserve"> </w:t>
      </w:r>
      <w:r w:rsidRPr="00B31836">
        <w:rPr>
          <w:rFonts w:ascii="Palatino Linotype" w:hAnsi="Palatino Linotype"/>
          <w:color w:val="000000"/>
          <w:sz w:val="24"/>
          <w:szCs w:val="24"/>
          <w:lang w:val="es-ES_tradnl" w:eastAsia="es-ES_tradnl"/>
        </w:rPr>
        <w:t>objetiva”,</w:t>
      </w:r>
      <w:r w:rsidRPr="00B31836">
        <w:rPr>
          <w:rFonts w:ascii="Palatino Linotype" w:hAnsi="Palatino Linotype"/>
          <w:color w:val="000000"/>
          <w:sz w:val="24"/>
          <w:szCs w:val="24"/>
          <w:vertAlign w:val="superscript"/>
          <w:lang w:val="es-ES_tradnl" w:eastAsia="es-ES_tradnl"/>
        </w:rPr>
        <w:footnoteReference w:id="13"/>
      </w:r>
      <w:r w:rsidRPr="00B31836">
        <w:rPr>
          <w:rFonts w:ascii="Palatino Linotype" w:hAnsi="Palatino Linotype"/>
          <w:color w:val="000000"/>
          <w:sz w:val="24"/>
          <w:szCs w:val="24"/>
          <w:lang w:val="es-ES_tradnl" w:eastAsia="es-ES_tradnl"/>
        </w:rPr>
        <w:t xml:space="preserve"> </w:t>
      </w:r>
      <w:r w:rsidRPr="00B31836">
        <w:rPr>
          <w:rFonts w:ascii="Palatino Linotype" w:eastAsia="Arial Unicode MS" w:hAnsi="Palatino Linotype" w:cs="Arial Unicode MS"/>
          <w:color w:val="000000"/>
          <w:spacing w:val="4"/>
          <w:sz w:val="24"/>
          <w:szCs w:val="24"/>
          <w:shd w:val="clear" w:color="auto" w:fill="FFFFFF"/>
          <w:lang w:val="es-ES_tradnl" w:eastAsia="es-ES_tradnl"/>
        </w:rPr>
        <w:t>mientras que lo demostrables es, según la misma fuente, aquello que se puede demostrar,</w:t>
      </w:r>
      <w:r w:rsidRPr="00B31836">
        <w:rPr>
          <w:rFonts w:ascii="Palatino Linotype" w:eastAsia="Arial Unicode MS" w:hAnsi="Palatino Linotype" w:cs="Arial Unicode MS"/>
          <w:color w:val="000000"/>
          <w:spacing w:val="4"/>
          <w:sz w:val="24"/>
          <w:szCs w:val="24"/>
          <w:shd w:val="clear" w:color="auto" w:fill="FFFFFF"/>
          <w:vertAlign w:val="superscript"/>
          <w:lang w:val="es-ES_tradnl" w:eastAsia="es-ES_tradnl"/>
        </w:rPr>
        <w:footnoteReference w:id="14"/>
      </w:r>
      <w:r w:rsidRPr="00B31836">
        <w:rPr>
          <w:rFonts w:ascii="Palatino Linotype" w:eastAsia="Arial Unicode MS" w:hAnsi="Palatino Linotype" w:cs="Arial Unicode MS"/>
          <w:color w:val="000000"/>
          <w:spacing w:val="4"/>
          <w:sz w:val="24"/>
          <w:szCs w:val="24"/>
          <w:shd w:val="clear" w:color="auto" w:fill="FFFFFF"/>
          <w:lang w:val="es-ES_tradnl" w:eastAsia="es-ES_tradnl"/>
        </w:rPr>
        <w:t xml:space="preserve"> es decir, </w:t>
      </w:r>
      <w:r w:rsidRPr="00B31836">
        <w:rPr>
          <w:rFonts w:ascii="Palatino Linotype" w:eastAsia="Calibri" w:hAnsi="Palatino Linotype"/>
          <w:color w:val="000000"/>
          <w:sz w:val="24"/>
          <w:szCs w:val="24"/>
          <w:lang w:eastAsia="en-US"/>
        </w:rPr>
        <w:t xml:space="preserve">“(manifestar, declarar. Probar, sirviéndose de cualquier género de demostración, </w:t>
      </w:r>
      <w:hyperlink r:id="rId11" w:anchor="6nAyKjE" w:history="1">
        <w:r w:rsidRPr="00B31836">
          <w:rPr>
            <w:rFonts w:ascii="Palatino Linotype" w:eastAsia="Calibri" w:hAnsi="Palatino Linotype"/>
            <w:color w:val="000000"/>
            <w:sz w:val="24"/>
            <w:szCs w:val="24"/>
            <w:lang w:eastAsia="en-US"/>
          </w:rPr>
          <w:t>enseñar</w:t>
        </w:r>
      </w:hyperlink>
      <w:r w:rsidRPr="00B31836">
        <w:rPr>
          <w:rFonts w:ascii="Palatino Linotype" w:eastAsia="Calibri" w:hAnsi="Palatino Linotype"/>
          <w:color w:val="000000"/>
          <w:sz w:val="24"/>
          <w:szCs w:val="24"/>
          <w:lang w:eastAsia="en-US"/>
        </w:rPr>
        <w:t xml:space="preserve"> mostrar o exponer algo)”.</w:t>
      </w:r>
      <w:r w:rsidRPr="00B31836">
        <w:rPr>
          <w:rFonts w:ascii="Palatino Linotype" w:eastAsia="Calibri" w:hAnsi="Palatino Linotype"/>
          <w:color w:val="000000"/>
          <w:sz w:val="24"/>
          <w:szCs w:val="24"/>
          <w:vertAlign w:val="superscript"/>
          <w:lang w:eastAsia="en-US"/>
        </w:rPr>
        <w:footnoteReference w:id="15"/>
      </w:r>
      <w:r w:rsidRPr="00B31836">
        <w:rPr>
          <w:rFonts w:ascii="Palatino Linotype" w:eastAsia="Calibri" w:hAnsi="Palatino Linotype"/>
          <w:color w:val="000000"/>
          <w:sz w:val="24"/>
          <w:szCs w:val="24"/>
          <w:lang w:eastAsia="en-US"/>
        </w:rPr>
        <w:t xml:space="preserve"> Mientras que lo identificable es lo que puede ser identificado,</w:t>
      </w:r>
      <w:r w:rsidRPr="00B31836">
        <w:rPr>
          <w:rFonts w:ascii="Palatino Linotype" w:eastAsia="Calibri" w:hAnsi="Palatino Linotype"/>
          <w:color w:val="000000"/>
          <w:sz w:val="24"/>
          <w:szCs w:val="24"/>
          <w:vertAlign w:val="superscript"/>
          <w:lang w:eastAsia="en-US"/>
        </w:rPr>
        <w:footnoteReference w:id="16"/>
      </w:r>
      <w:r w:rsidRPr="00B31836">
        <w:rPr>
          <w:rFonts w:ascii="Palatino Linotype" w:eastAsia="Calibri" w:hAnsi="Palatino Linotype"/>
          <w:color w:val="000000"/>
          <w:sz w:val="24"/>
          <w:szCs w:val="24"/>
          <w:lang w:eastAsia="en-US"/>
        </w:rPr>
        <w:t xml:space="preserve"> esto es,</w:t>
      </w:r>
      <w:r w:rsidRPr="00B31836">
        <w:rPr>
          <w:rFonts w:ascii="Palatino Linotype" w:eastAsia="Calibri" w:hAnsi="Palatino Linotype"/>
          <w:color w:val="000000"/>
          <w:sz w:val="24"/>
          <w:szCs w:val="24"/>
          <w:lang w:val="es-ES_tradnl" w:eastAsia="es-ES_tradnl"/>
        </w:rPr>
        <w:t xml:space="preserve"> “(dar los datos necesarios para ser reconocido”.</w:t>
      </w:r>
      <w:r w:rsidRPr="00B31836">
        <w:rPr>
          <w:rFonts w:ascii="Palatino Linotype" w:eastAsia="Calibri" w:hAnsi="Palatino Linotype"/>
          <w:color w:val="000000"/>
          <w:sz w:val="24"/>
          <w:szCs w:val="24"/>
          <w:vertAlign w:val="superscript"/>
          <w:lang w:val="es-ES_tradnl" w:eastAsia="es-ES_tradnl"/>
        </w:rPr>
        <w:footnoteReference w:id="17"/>
      </w:r>
    </w:p>
    <w:p w14:paraId="7BB7F7AF"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lastRenderedPageBreak/>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5BA5E7D0" w14:textId="77777777" w:rsidR="00081064" w:rsidRPr="00B31836" w:rsidRDefault="00081064" w:rsidP="00081064">
      <w:pPr>
        <w:tabs>
          <w:tab w:val="left" w:pos="426"/>
        </w:tabs>
        <w:spacing w:line="360" w:lineRule="auto"/>
        <w:contextualSpacing/>
        <w:jc w:val="both"/>
        <w:rPr>
          <w:rFonts w:ascii="Palatino Linotype" w:hAnsi="Palatino Linotype"/>
          <w:color w:val="000000"/>
          <w:sz w:val="24"/>
          <w:szCs w:val="24"/>
          <w:lang w:val="es-ES_tradnl"/>
        </w:rPr>
      </w:pPr>
    </w:p>
    <w:p w14:paraId="06BAFE7E"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 xml:space="preserve">Identificado ese riesgo, se debe demostrar que el mismo supera el interés público general porque se difunda dicha información. </w:t>
      </w:r>
    </w:p>
    <w:p w14:paraId="4EC1D8C7" w14:textId="77777777" w:rsidR="00081064" w:rsidRPr="00B31836" w:rsidRDefault="00081064" w:rsidP="00081064">
      <w:pPr>
        <w:tabs>
          <w:tab w:val="left" w:pos="426"/>
        </w:tabs>
        <w:spacing w:line="360" w:lineRule="auto"/>
        <w:contextualSpacing/>
        <w:jc w:val="both"/>
        <w:rPr>
          <w:rFonts w:ascii="Palatino Linotype" w:hAnsi="Palatino Linotype"/>
          <w:color w:val="000000"/>
          <w:sz w:val="24"/>
          <w:szCs w:val="24"/>
          <w:lang w:val="es-ES_tradnl"/>
        </w:rPr>
      </w:pPr>
    </w:p>
    <w:p w14:paraId="7DA61C30"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Y, por último,  que la limitación es acorde con el principio de proporcionalidad, para ello, se sugiere emplear los tres juicios propuestos por la Corte Constitucional Colombiana</w:t>
      </w:r>
      <w:r w:rsidRPr="00B31836">
        <w:rPr>
          <w:rFonts w:ascii="Palatino Linotype" w:hAnsi="Palatino Linotype"/>
          <w:color w:val="000000"/>
          <w:sz w:val="24"/>
          <w:szCs w:val="24"/>
          <w:vertAlign w:val="superscript"/>
          <w:lang w:val="es-ES_tradnl"/>
        </w:rPr>
        <w:footnoteReference w:id="18"/>
      </w:r>
      <w:r w:rsidRPr="00B31836">
        <w:rPr>
          <w:rFonts w:ascii="Palatino Linotype" w:hAnsi="Palatino Linotype"/>
          <w:color w:val="000000"/>
          <w:sz w:val="24"/>
          <w:szCs w:val="24"/>
          <w:lang w:val="es-ES_tradnl"/>
        </w:rPr>
        <w:t xml:space="preserve">, siguiendo el principio de ponderación propuesto por el Tribunal </w:t>
      </w:r>
      <w:r w:rsidRPr="00B31836">
        <w:rPr>
          <w:rFonts w:ascii="Palatino Linotype" w:hAnsi="Palatino Linotype"/>
          <w:color w:val="000000"/>
          <w:sz w:val="24"/>
          <w:szCs w:val="24"/>
          <w:lang w:val="es-ES_tradnl"/>
        </w:rPr>
        <w:lastRenderedPageBreak/>
        <w:t>Constitucional Alemán,</w:t>
      </w:r>
      <w:r w:rsidRPr="00B31836">
        <w:rPr>
          <w:rFonts w:ascii="Palatino Linotype" w:hAnsi="Palatino Linotype"/>
          <w:color w:val="000000"/>
          <w:sz w:val="24"/>
          <w:szCs w:val="24"/>
          <w:vertAlign w:val="superscript"/>
          <w:lang w:val="es-ES_tradnl"/>
        </w:rPr>
        <w:footnoteReference w:id="19"/>
      </w:r>
      <w:r w:rsidRPr="00B31836">
        <w:rPr>
          <w:rFonts w:ascii="Palatino Linotype" w:hAnsi="Palatino Linotype"/>
          <w:color w:val="000000"/>
          <w:sz w:val="24"/>
          <w:szCs w:val="24"/>
          <w:lang w:val="es-ES_tradnl"/>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68944BBB" w14:textId="77777777" w:rsidR="00081064" w:rsidRPr="00B31836" w:rsidRDefault="00081064" w:rsidP="00081064">
      <w:pPr>
        <w:keepNext/>
        <w:suppressAutoHyphens/>
        <w:spacing w:before="240" w:after="120" w:line="360" w:lineRule="auto"/>
        <w:rPr>
          <w:rFonts w:ascii="Palatino Linotype" w:eastAsia="Noto Sans CJK SC" w:hAnsi="Palatino Linotype" w:cs="Lohit Devanagari"/>
          <w:sz w:val="24"/>
          <w:szCs w:val="24"/>
          <w:lang w:val="es-ES_tradnl"/>
        </w:rPr>
      </w:pPr>
    </w:p>
    <w:p w14:paraId="1C2A2D29" w14:textId="77777777" w:rsidR="00081064" w:rsidRPr="00B31836" w:rsidRDefault="00081064" w:rsidP="00081064">
      <w:pPr>
        <w:keepNext/>
        <w:keepLines/>
        <w:suppressAutoHyphens/>
        <w:spacing w:before="240" w:line="360" w:lineRule="auto"/>
        <w:outlineLvl w:val="0"/>
        <w:rPr>
          <w:rFonts w:ascii="Palatino Linotype" w:hAnsi="Palatino Linotype"/>
          <w:b/>
          <w:color w:val="2E74B5"/>
          <w:sz w:val="24"/>
          <w:szCs w:val="24"/>
          <w:lang w:eastAsia="en-US"/>
        </w:rPr>
      </w:pPr>
      <w:bookmarkStart w:id="121" w:name="_Toc485631709"/>
      <w:bookmarkStart w:id="122" w:name="_Toc500756719"/>
      <w:bookmarkStart w:id="123" w:name="_Toc536691787"/>
      <w:bookmarkStart w:id="124" w:name="_Toc82023109"/>
      <w:bookmarkStart w:id="125" w:name="_Toc83127126"/>
      <w:bookmarkStart w:id="126" w:name="_Toc96007418"/>
      <w:bookmarkStart w:id="127" w:name="_Toc98429040"/>
      <w:bookmarkStart w:id="128" w:name="_Toc98978655"/>
      <w:bookmarkStart w:id="129" w:name="_Toc102644151"/>
      <w:r w:rsidRPr="00B31836">
        <w:rPr>
          <w:rFonts w:ascii="Palatino Linotype" w:hAnsi="Palatino Linotype"/>
          <w:b/>
          <w:color w:val="000000"/>
          <w:sz w:val="24"/>
          <w:szCs w:val="24"/>
          <w:lang w:eastAsia="en-US"/>
        </w:rPr>
        <w:t>c) La clasificación de la información reservada debe ser de manera temporal.</w:t>
      </w:r>
      <w:bookmarkEnd w:id="121"/>
      <w:bookmarkEnd w:id="122"/>
      <w:bookmarkEnd w:id="123"/>
      <w:bookmarkEnd w:id="124"/>
      <w:bookmarkEnd w:id="125"/>
      <w:bookmarkEnd w:id="126"/>
      <w:bookmarkEnd w:id="127"/>
      <w:bookmarkEnd w:id="128"/>
      <w:bookmarkEnd w:id="129"/>
    </w:p>
    <w:p w14:paraId="19134AC6" w14:textId="77777777" w:rsidR="00081064" w:rsidRPr="00B31836" w:rsidRDefault="00081064" w:rsidP="00081064">
      <w:pPr>
        <w:spacing w:line="360" w:lineRule="auto"/>
        <w:jc w:val="both"/>
        <w:rPr>
          <w:rFonts w:ascii="Palatino Linotype" w:hAnsi="Palatino Linotype"/>
          <w:b/>
          <w:color w:val="000000"/>
          <w:sz w:val="24"/>
          <w:szCs w:val="24"/>
          <w:lang w:val="es-ES_tradnl"/>
        </w:rPr>
      </w:pPr>
    </w:p>
    <w:p w14:paraId="14284F58"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14:paraId="6978AC65" w14:textId="77777777" w:rsidR="00081064" w:rsidRPr="00B31836" w:rsidRDefault="00081064" w:rsidP="00081064">
      <w:pPr>
        <w:tabs>
          <w:tab w:val="left" w:pos="426"/>
        </w:tabs>
        <w:spacing w:line="360" w:lineRule="auto"/>
        <w:contextualSpacing/>
        <w:jc w:val="both"/>
        <w:rPr>
          <w:rFonts w:ascii="Palatino Linotype" w:hAnsi="Palatino Linotype"/>
          <w:color w:val="000000"/>
          <w:sz w:val="24"/>
          <w:szCs w:val="24"/>
          <w:lang w:val="es-ES_tradnl"/>
        </w:rPr>
      </w:pPr>
    </w:p>
    <w:p w14:paraId="557A9F31"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 xml:space="preserve">La temporalidad de la clasificación de la información se encuentra señalada en el artículo 125 de la Ley Estatal y en el 101 de la Ley General, artículos que contemplan que dicha información podrá permanecer con tal carácter hasta por un periodo de cinco años, contados a partir de su clasificación, salvo que antes del cumplimiento del periodo de restricción, dejaran de existir los motivos de su reserva. </w:t>
      </w:r>
    </w:p>
    <w:p w14:paraId="5C3A0858" w14:textId="77777777" w:rsidR="00081064" w:rsidRPr="00B31836" w:rsidRDefault="00081064" w:rsidP="00081064">
      <w:pPr>
        <w:tabs>
          <w:tab w:val="left" w:pos="426"/>
        </w:tabs>
        <w:spacing w:line="360" w:lineRule="auto"/>
        <w:contextualSpacing/>
        <w:rPr>
          <w:rFonts w:ascii="Palatino Linotype" w:hAnsi="Palatino Linotype"/>
          <w:color w:val="000000"/>
          <w:sz w:val="24"/>
          <w:szCs w:val="24"/>
          <w:lang w:val="es-ES_tradnl"/>
        </w:rPr>
      </w:pPr>
    </w:p>
    <w:p w14:paraId="395F073D"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Ahora bien, los titulares de las áreas tienen la alta responsabilidad de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0DA57EE3" w14:textId="77777777" w:rsidR="00081064" w:rsidRPr="00B31836" w:rsidRDefault="00081064" w:rsidP="00081064">
      <w:pPr>
        <w:tabs>
          <w:tab w:val="left" w:pos="426"/>
        </w:tabs>
        <w:spacing w:line="360" w:lineRule="auto"/>
        <w:contextualSpacing/>
        <w:rPr>
          <w:rFonts w:ascii="Palatino Linotype" w:hAnsi="Palatino Linotype"/>
          <w:b/>
          <w:color w:val="000000"/>
          <w:sz w:val="24"/>
          <w:szCs w:val="24"/>
          <w:lang w:val="es-ES_tradnl"/>
        </w:rPr>
      </w:pPr>
    </w:p>
    <w:p w14:paraId="21018822"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De</w:t>
      </w:r>
      <w:r w:rsidRPr="00B31836">
        <w:rPr>
          <w:rFonts w:ascii="Palatino Linotype" w:hAnsi="Palatino Linotype"/>
          <w:b/>
          <w:color w:val="000000"/>
          <w:sz w:val="24"/>
          <w:szCs w:val="24"/>
          <w:lang w:val="es-ES_tradnl"/>
        </w:rPr>
        <w:t xml:space="preserve"> </w:t>
      </w:r>
      <w:r w:rsidRPr="00B31836">
        <w:rPr>
          <w:rFonts w:ascii="Palatino Linotype" w:hAnsi="Palatino Linotype"/>
          <w:color w:val="000000"/>
          <w:sz w:val="24"/>
          <w:szCs w:val="24"/>
          <w:lang w:val="es-ES_tradnl"/>
        </w:rPr>
        <w:t xml:space="preserve">manera excepcional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w:t>
      </w:r>
    </w:p>
    <w:p w14:paraId="52D046A2" w14:textId="77777777" w:rsidR="00081064" w:rsidRPr="00B31836" w:rsidRDefault="00081064" w:rsidP="00081064">
      <w:pPr>
        <w:tabs>
          <w:tab w:val="left" w:pos="426"/>
        </w:tabs>
        <w:spacing w:line="360" w:lineRule="auto"/>
        <w:contextualSpacing/>
        <w:rPr>
          <w:rFonts w:ascii="Palatino Linotype" w:hAnsi="Palatino Linotype"/>
          <w:color w:val="000000"/>
          <w:sz w:val="24"/>
          <w:szCs w:val="24"/>
          <w:lang w:val="es-ES_tradnl"/>
        </w:rPr>
      </w:pPr>
    </w:p>
    <w:p w14:paraId="1B329D3B" w14:textId="77777777" w:rsidR="00081064" w:rsidRPr="00B31836" w:rsidRDefault="00081064" w:rsidP="00CF6481">
      <w:pPr>
        <w:numPr>
          <w:ilvl w:val="0"/>
          <w:numId w:val="3"/>
        </w:numPr>
        <w:spacing w:line="360" w:lineRule="auto"/>
        <w:ind w:left="0" w:right="49" w:firstLine="0"/>
        <w:jc w:val="both"/>
        <w:rPr>
          <w:rFonts w:ascii="Palatino Linotype" w:hAnsi="Palatino Linotype"/>
          <w:color w:val="000000"/>
          <w:sz w:val="24"/>
          <w:szCs w:val="24"/>
          <w:lang w:val="es-ES_tradnl"/>
        </w:rPr>
      </w:pPr>
      <w:r w:rsidRPr="00B31836">
        <w:rPr>
          <w:rFonts w:ascii="Palatino Linotype" w:hAnsi="Palatino Linotype"/>
          <w:color w:val="000000"/>
          <w:sz w:val="24"/>
          <w:szCs w:val="24"/>
          <w:lang w:val="es-ES_tradnl"/>
        </w:rPr>
        <w:t xml:space="preserve">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 </w:t>
      </w:r>
    </w:p>
    <w:p w14:paraId="1F07886B" w14:textId="77777777" w:rsidR="00146766" w:rsidRPr="00B31836" w:rsidRDefault="00146766" w:rsidP="00146766">
      <w:pPr>
        <w:spacing w:line="360" w:lineRule="auto"/>
        <w:ind w:right="49"/>
        <w:jc w:val="both"/>
        <w:rPr>
          <w:rFonts w:ascii="Palatino Linotype" w:hAnsi="Palatino Linotype"/>
          <w:color w:val="000000"/>
          <w:sz w:val="24"/>
          <w:szCs w:val="24"/>
          <w:lang w:val="es-ES_tradnl"/>
        </w:rPr>
      </w:pPr>
    </w:p>
    <w:p w14:paraId="19F2738C" w14:textId="77777777" w:rsidR="00345EF4" w:rsidRPr="00B31836" w:rsidRDefault="00345EF4" w:rsidP="00345EF4">
      <w:pPr>
        <w:tabs>
          <w:tab w:val="left" w:pos="426"/>
        </w:tabs>
        <w:spacing w:before="240" w:after="240" w:line="360" w:lineRule="auto"/>
        <w:ind w:right="51"/>
        <w:contextualSpacing/>
        <w:jc w:val="both"/>
        <w:outlineLvl w:val="1"/>
        <w:rPr>
          <w:rFonts w:ascii="Palatino Linotype" w:hAnsi="Palatino Linotype"/>
          <w:b/>
          <w:bCs/>
          <w:color w:val="000000"/>
          <w:sz w:val="24"/>
          <w:szCs w:val="24"/>
          <w:lang w:eastAsia="es-MX"/>
        </w:rPr>
      </w:pPr>
      <w:bookmarkStart w:id="130" w:name="_Toc466371865"/>
      <w:bookmarkStart w:id="131" w:name="_Toc466377653"/>
      <w:r w:rsidRPr="00B31836">
        <w:rPr>
          <w:rFonts w:ascii="Palatino Linotype" w:hAnsi="Palatino Linotype"/>
          <w:b/>
          <w:bCs/>
          <w:color w:val="000000"/>
          <w:sz w:val="24"/>
          <w:szCs w:val="24"/>
          <w:lang w:eastAsia="es-MX"/>
        </w:rPr>
        <w:lastRenderedPageBreak/>
        <w:t>SEXTO. Vista a la Dirección General de Protección de Datos Personales.</w:t>
      </w:r>
    </w:p>
    <w:p w14:paraId="05478E24" w14:textId="77777777" w:rsidR="00345EF4" w:rsidRPr="00B31836" w:rsidRDefault="00345EF4" w:rsidP="00345EF4">
      <w:pPr>
        <w:tabs>
          <w:tab w:val="left" w:pos="426"/>
        </w:tabs>
        <w:spacing w:before="240" w:after="240" w:line="360" w:lineRule="auto"/>
        <w:ind w:right="51"/>
        <w:contextualSpacing/>
        <w:jc w:val="both"/>
        <w:outlineLvl w:val="1"/>
        <w:rPr>
          <w:rFonts w:ascii="Palatino Linotype" w:hAnsi="Palatino Linotype"/>
          <w:b/>
          <w:bCs/>
          <w:color w:val="000000"/>
          <w:sz w:val="24"/>
          <w:szCs w:val="24"/>
          <w:lang w:eastAsia="es-MX"/>
        </w:rPr>
      </w:pPr>
    </w:p>
    <w:p w14:paraId="2524AB1C" w14:textId="77777777" w:rsidR="00345EF4" w:rsidRPr="00B31836" w:rsidRDefault="00345EF4" w:rsidP="00345EF4">
      <w:pPr>
        <w:numPr>
          <w:ilvl w:val="0"/>
          <w:numId w:val="3"/>
        </w:numPr>
        <w:spacing w:line="360" w:lineRule="auto"/>
        <w:ind w:left="0" w:right="49" w:firstLine="0"/>
        <w:jc w:val="both"/>
        <w:rPr>
          <w:rFonts w:ascii="Palatino Linotype" w:hAnsi="Palatino Linotype"/>
          <w:sz w:val="24"/>
          <w:szCs w:val="24"/>
          <w:lang w:eastAsia="es-MX"/>
        </w:rPr>
      </w:pPr>
      <w:r w:rsidRPr="00B31836">
        <w:rPr>
          <w:rFonts w:ascii="Palatino Linotype" w:eastAsia="MS Mincho" w:hAnsi="Palatino Linotype"/>
          <w:sz w:val="24"/>
          <w:szCs w:val="24"/>
          <w:lang w:eastAsia="es-MX"/>
        </w:rPr>
        <w:t xml:space="preserve">Es </w:t>
      </w:r>
      <w:r w:rsidRPr="00B31836">
        <w:rPr>
          <w:rFonts w:ascii="Palatino Linotype" w:hAnsi="Palatino Linotype"/>
          <w:sz w:val="24"/>
          <w:szCs w:val="24"/>
          <w:lang w:eastAsia="es-MX"/>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tales como CURP y calificaciones en el documento electrónico denominado </w:t>
      </w:r>
      <w:r w:rsidRPr="00B31836">
        <w:rPr>
          <w:rFonts w:ascii="Palatino Linotype" w:hAnsi="Palatino Linotype"/>
          <w:b/>
          <w:color w:val="000000"/>
          <w:sz w:val="24"/>
          <w:lang w:eastAsia="es-MX"/>
        </w:rPr>
        <w:t>PCYB 404 05 2022.pdf</w:t>
      </w:r>
      <w:r w:rsidRPr="00B31836">
        <w:rPr>
          <w:rFonts w:ascii="Palatino Linotype" w:hAnsi="Palatino Linotype"/>
          <w:sz w:val="24"/>
          <w:szCs w:val="24"/>
          <w:lang w:eastAsia="es-MX"/>
        </w:rPr>
        <w:t xml:space="preserve">, por lo que es necesario dar vista al área competente para que en ejercicio de sus atribuciones realice las investigaciones pertinentes por las omisiones detectadas atribuibles al </w:t>
      </w:r>
      <w:r w:rsidRPr="00B31836">
        <w:rPr>
          <w:rFonts w:ascii="Palatino Linotype" w:hAnsi="Palatino Linotype"/>
          <w:b/>
          <w:sz w:val="24"/>
          <w:szCs w:val="24"/>
          <w:lang w:eastAsia="es-MX"/>
        </w:rPr>
        <w:t>SUJETO OBLIGADO</w:t>
      </w:r>
      <w:r w:rsidRPr="00B31836">
        <w:rPr>
          <w:rFonts w:ascii="Palatino Linotype" w:hAnsi="Palatino Linotype"/>
          <w:sz w:val="24"/>
          <w:szCs w:val="24"/>
          <w:lang w:eastAsia="es-MX"/>
        </w:rPr>
        <w:t>.</w:t>
      </w:r>
    </w:p>
    <w:p w14:paraId="0AC51536" w14:textId="77777777" w:rsidR="00345EF4" w:rsidRPr="00B31836" w:rsidRDefault="00345EF4" w:rsidP="00345EF4">
      <w:pPr>
        <w:tabs>
          <w:tab w:val="left" w:pos="709"/>
        </w:tabs>
        <w:spacing w:before="240" w:after="240" w:line="360" w:lineRule="auto"/>
        <w:ind w:right="49"/>
        <w:contextualSpacing/>
        <w:jc w:val="both"/>
        <w:rPr>
          <w:rFonts w:ascii="Palatino Linotype" w:hAnsi="Palatino Linotype"/>
          <w:sz w:val="24"/>
          <w:szCs w:val="24"/>
          <w:lang w:eastAsia="es-MX"/>
        </w:rPr>
      </w:pPr>
    </w:p>
    <w:p w14:paraId="45CB6965" w14:textId="77777777" w:rsidR="00345EF4" w:rsidRPr="00B31836" w:rsidRDefault="00345EF4" w:rsidP="00345EF4">
      <w:pPr>
        <w:numPr>
          <w:ilvl w:val="0"/>
          <w:numId w:val="3"/>
        </w:numPr>
        <w:spacing w:line="360" w:lineRule="auto"/>
        <w:ind w:left="0" w:right="49" w:firstLine="0"/>
        <w:jc w:val="both"/>
        <w:rPr>
          <w:rFonts w:ascii="Palatino Linotype" w:hAnsi="Palatino Linotype"/>
          <w:color w:val="000000"/>
          <w:sz w:val="24"/>
          <w:szCs w:val="24"/>
          <w:lang w:eastAsia="es-MX"/>
        </w:rPr>
      </w:pPr>
      <w:r w:rsidRPr="00B31836">
        <w:rPr>
          <w:rFonts w:ascii="Palatino Linotype" w:hAnsi="Palatino Linotype" w:cs="Arial"/>
          <w:sz w:val="24"/>
          <w:szCs w:val="24"/>
          <w:lang w:eastAsia="es-MX"/>
        </w:rPr>
        <w:t xml:space="preserve">Por </w:t>
      </w:r>
      <w:r w:rsidRPr="00B31836">
        <w:rPr>
          <w:rFonts w:ascii="Palatino Linotype" w:eastAsia="MS Mincho" w:hAnsi="Palatino Linotype"/>
          <w:sz w:val="24"/>
          <w:szCs w:val="24"/>
          <w:lang w:eastAsia="es-MX"/>
        </w:rPr>
        <w:t>ello, es conveniente señalar las fracciones XIV, XXII, XXIII y XXV, del artículo 82, de la Ley de Protección de Datos Personales en Posesión de Sujetos Obligados del Estado de México y Municipios, que establece:</w:t>
      </w:r>
    </w:p>
    <w:p w14:paraId="27972B0C" w14:textId="77777777" w:rsidR="00345EF4" w:rsidRPr="00B31836" w:rsidRDefault="00345EF4" w:rsidP="00345EF4">
      <w:pPr>
        <w:tabs>
          <w:tab w:val="left" w:pos="426"/>
        </w:tabs>
        <w:spacing w:before="240" w:after="240" w:line="360" w:lineRule="auto"/>
        <w:ind w:right="51"/>
        <w:contextualSpacing/>
        <w:jc w:val="both"/>
        <w:rPr>
          <w:rFonts w:ascii="Palatino Linotype" w:hAnsi="Palatino Linotype"/>
          <w:color w:val="000000"/>
          <w:sz w:val="24"/>
          <w:szCs w:val="24"/>
          <w:lang w:eastAsia="es-MX"/>
        </w:rPr>
      </w:pPr>
    </w:p>
    <w:p w14:paraId="6D5B3FA7"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b/>
          <w:i/>
          <w:sz w:val="24"/>
          <w:szCs w:val="24"/>
          <w:lang w:eastAsia="es-MX"/>
        </w:rPr>
      </w:pPr>
      <w:r w:rsidRPr="00B31836">
        <w:rPr>
          <w:rFonts w:ascii="Palatino Linotype" w:hAnsi="Palatino Linotype"/>
          <w:b/>
          <w:i/>
          <w:sz w:val="24"/>
          <w:szCs w:val="24"/>
          <w:lang w:eastAsia="es-MX"/>
        </w:rPr>
        <w:t xml:space="preserve">Atribuciones del Instituto </w:t>
      </w:r>
    </w:p>
    <w:p w14:paraId="60A5D0C5"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b/>
          <w:i/>
          <w:sz w:val="24"/>
          <w:szCs w:val="24"/>
          <w:lang w:eastAsia="es-MX"/>
        </w:rPr>
        <w:t>Artículo 82.</w:t>
      </w:r>
      <w:r w:rsidRPr="00B31836">
        <w:rPr>
          <w:rFonts w:ascii="Palatino Linotype" w:hAnsi="Palatino Linotype"/>
          <w:i/>
          <w:sz w:val="24"/>
          <w:szCs w:val="24"/>
          <w:lang w:eastAsia="es-MX"/>
        </w:rPr>
        <w:t xml:space="preserve"> El Instituto, además de las atribuciones encomendadas por la Ley de Transparencia y normatividad aplicable, tendrá las atribuciones siguientes:</w:t>
      </w:r>
    </w:p>
    <w:p w14:paraId="5446ED02"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i/>
          <w:sz w:val="24"/>
          <w:szCs w:val="24"/>
          <w:lang w:eastAsia="es-MX"/>
        </w:rPr>
      </w:pPr>
      <w:r w:rsidRPr="00B31836">
        <w:rPr>
          <w:rFonts w:ascii="Palatino Linotype" w:hAnsi="Palatino Linotype"/>
          <w:i/>
          <w:sz w:val="24"/>
          <w:szCs w:val="24"/>
          <w:lang w:eastAsia="es-MX"/>
        </w:rPr>
        <w:t>(…)</w:t>
      </w:r>
    </w:p>
    <w:p w14:paraId="3FFF3E98"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b/>
          <w:i/>
          <w:sz w:val="24"/>
          <w:szCs w:val="24"/>
          <w:lang w:eastAsia="es-MX"/>
        </w:rPr>
        <w:t>XIV.</w:t>
      </w:r>
      <w:r w:rsidRPr="00B31836">
        <w:rPr>
          <w:rFonts w:ascii="Palatino Linotype" w:hAnsi="Palatino Linotype"/>
          <w:i/>
          <w:sz w:val="24"/>
          <w:szCs w:val="24"/>
          <w:lang w:eastAsia="es-MX"/>
        </w:rPr>
        <w:t xml:space="preserve"> </w:t>
      </w:r>
      <w:r w:rsidRPr="00B31836">
        <w:rPr>
          <w:rFonts w:ascii="Palatino Linotype" w:hAnsi="Palatino Linotype"/>
          <w:b/>
          <w:i/>
          <w:sz w:val="24"/>
          <w:szCs w:val="24"/>
          <w:lang w:eastAsia="es-MX"/>
        </w:rPr>
        <w:t>Formular observaciones y recomendaciones</w:t>
      </w:r>
      <w:r w:rsidRPr="00B31836">
        <w:rPr>
          <w:rFonts w:ascii="Palatino Linotype" w:hAnsi="Palatino Linotype"/>
          <w:i/>
          <w:sz w:val="24"/>
          <w:szCs w:val="24"/>
          <w:lang w:eastAsia="es-MX"/>
        </w:rPr>
        <w:t xml:space="preserve"> a los sujetos obligados que incumplan esta Ley.</w:t>
      </w:r>
    </w:p>
    <w:p w14:paraId="3E111108"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i/>
          <w:sz w:val="24"/>
          <w:szCs w:val="24"/>
          <w:lang w:eastAsia="es-MX"/>
        </w:rPr>
        <w:t>(…)</w:t>
      </w:r>
    </w:p>
    <w:p w14:paraId="2FC72225"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b/>
          <w:i/>
          <w:sz w:val="24"/>
          <w:szCs w:val="24"/>
          <w:lang w:eastAsia="es-MX"/>
        </w:rPr>
        <w:lastRenderedPageBreak/>
        <w:t>XXII.</w:t>
      </w:r>
      <w:r w:rsidRPr="00B31836">
        <w:rPr>
          <w:rFonts w:ascii="Palatino Linotype" w:hAnsi="Palatino Linotype"/>
          <w:i/>
          <w:sz w:val="24"/>
          <w:szCs w:val="24"/>
          <w:lang w:eastAsia="es-MX"/>
        </w:rPr>
        <w:t xml:space="preserve"> </w:t>
      </w:r>
      <w:r w:rsidRPr="00B31836">
        <w:rPr>
          <w:rFonts w:ascii="Palatino Linotype" w:hAnsi="Palatino Linotype"/>
          <w:b/>
          <w:i/>
          <w:sz w:val="24"/>
          <w:szCs w:val="24"/>
          <w:lang w:eastAsia="es-MX"/>
        </w:rPr>
        <w:t>Verificar el cumplimiento</w:t>
      </w:r>
      <w:r w:rsidRPr="00B31836">
        <w:rPr>
          <w:rFonts w:ascii="Palatino Linotype" w:hAnsi="Palatino Linotype"/>
          <w:i/>
          <w:sz w:val="24"/>
          <w:szCs w:val="24"/>
          <w:lang w:eastAsia="es-MX"/>
        </w:rPr>
        <w:t xml:space="preserve"> de las disposiciones previstas en esta Ley a través de los procedimientos de revisión que resulten compatibles con las disposiciones de esta Ley.</w:t>
      </w:r>
    </w:p>
    <w:p w14:paraId="0575AECD"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b/>
          <w:i/>
          <w:sz w:val="24"/>
          <w:szCs w:val="24"/>
          <w:lang w:eastAsia="es-MX"/>
        </w:rPr>
        <w:t>XXIII.</w:t>
      </w:r>
      <w:r w:rsidRPr="00B31836">
        <w:rPr>
          <w:rFonts w:ascii="Palatino Linotype" w:hAnsi="Palatino Linotype"/>
          <w:i/>
          <w:sz w:val="24"/>
          <w:szCs w:val="24"/>
          <w:lang w:eastAsia="es-MX"/>
        </w:rPr>
        <w:t xml:space="preserve"> </w:t>
      </w:r>
      <w:r w:rsidRPr="00B31836">
        <w:rPr>
          <w:rFonts w:ascii="Palatino Linotype" w:hAnsi="Palatino Linotype"/>
          <w:b/>
          <w:i/>
          <w:sz w:val="24"/>
          <w:szCs w:val="24"/>
          <w:lang w:eastAsia="es-MX"/>
        </w:rPr>
        <w:t>Implementar</w:t>
      </w:r>
      <w:r w:rsidRPr="00B31836">
        <w:rPr>
          <w:rFonts w:ascii="Palatino Linotype" w:hAnsi="Palatino Linotype"/>
          <w:i/>
          <w:sz w:val="24"/>
          <w:szCs w:val="24"/>
          <w:lang w:eastAsia="es-MX"/>
        </w:rPr>
        <w:t xml:space="preserve"> los </w:t>
      </w:r>
      <w:r w:rsidRPr="00B31836">
        <w:rPr>
          <w:rFonts w:ascii="Palatino Linotype" w:hAnsi="Palatino Linotype"/>
          <w:b/>
          <w:i/>
          <w:sz w:val="24"/>
          <w:szCs w:val="24"/>
          <w:lang w:eastAsia="es-MX"/>
        </w:rPr>
        <w:t>procedimientos</w:t>
      </w:r>
      <w:r w:rsidRPr="00B31836">
        <w:rPr>
          <w:rFonts w:ascii="Palatino Linotype" w:hAnsi="Palatino Linotype"/>
          <w:i/>
          <w:sz w:val="24"/>
          <w:szCs w:val="24"/>
          <w:lang w:eastAsia="es-MX"/>
        </w:rPr>
        <w:t xml:space="preserve"> que resulten necesarios </w:t>
      </w:r>
      <w:r w:rsidRPr="00B31836">
        <w:rPr>
          <w:rFonts w:ascii="Palatino Linotype" w:hAnsi="Palatino Linotype"/>
          <w:b/>
          <w:i/>
          <w:sz w:val="24"/>
          <w:szCs w:val="24"/>
          <w:lang w:eastAsia="es-MX"/>
        </w:rPr>
        <w:t xml:space="preserve">para el cumplimiento </w:t>
      </w:r>
      <w:r w:rsidRPr="00B31836">
        <w:rPr>
          <w:rFonts w:ascii="Palatino Linotype" w:hAnsi="Palatino Linotype"/>
          <w:i/>
          <w:sz w:val="24"/>
          <w:szCs w:val="24"/>
          <w:lang w:eastAsia="es-MX"/>
        </w:rPr>
        <w:t>de las disposiciones de esta Ley y para asegurar la protección de datos personales de los titulares. (…)</w:t>
      </w:r>
    </w:p>
    <w:p w14:paraId="0EBF9B48"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b/>
          <w:i/>
          <w:sz w:val="24"/>
          <w:szCs w:val="24"/>
          <w:lang w:eastAsia="es-MX"/>
        </w:rPr>
        <w:t>XXV.</w:t>
      </w:r>
      <w:r w:rsidRPr="00B31836">
        <w:rPr>
          <w:rFonts w:ascii="Palatino Linotype" w:hAnsi="Palatino Linotype"/>
          <w:i/>
          <w:sz w:val="24"/>
          <w:szCs w:val="24"/>
          <w:lang w:eastAsia="es-MX"/>
        </w:rPr>
        <w:t xml:space="preserve"> </w:t>
      </w:r>
      <w:r w:rsidRPr="00B31836">
        <w:rPr>
          <w:rFonts w:ascii="Palatino Linotype" w:hAnsi="Palatino Linotype"/>
          <w:b/>
          <w:i/>
          <w:sz w:val="24"/>
          <w:szCs w:val="24"/>
          <w:lang w:eastAsia="es-MX"/>
        </w:rPr>
        <w:t>Investigar</w:t>
      </w:r>
      <w:r w:rsidRPr="00B31836">
        <w:rPr>
          <w:rFonts w:ascii="Palatino Linotype" w:hAnsi="Palatino Linotype"/>
          <w:i/>
          <w:sz w:val="24"/>
          <w:szCs w:val="24"/>
          <w:lang w:eastAsia="es-MX"/>
        </w:rPr>
        <w:t xml:space="preserve"> las </w:t>
      </w:r>
      <w:r w:rsidRPr="00B31836">
        <w:rPr>
          <w:rFonts w:ascii="Palatino Linotype" w:hAnsi="Palatino Linotype"/>
          <w:b/>
          <w:i/>
          <w:sz w:val="24"/>
          <w:szCs w:val="24"/>
          <w:lang w:eastAsia="es-MX"/>
        </w:rPr>
        <w:t>posibles violaciones</w:t>
      </w:r>
      <w:r w:rsidRPr="00B31836">
        <w:rPr>
          <w:rFonts w:ascii="Palatino Linotype" w:hAnsi="Palatino Linotype"/>
          <w:i/>
          <w:sz w:val="24"/>
          <w:szCs w:val="24"/>
          <w:lang w:eastAsia="es-MX"/>
        </w:rPr>
        <w:t xml:space="preserve"> a la seguridad de los datos personales a fin de determinar la práctica de verificaciones.</w:t>
      </w:r>
    </w:p>
    <w:p w14:paraId="67B4E475"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sz w:val="24"/>
          <w:szCs w:val="24"/>
          <w:lang w:eastAsia="es-MX"/>
        </w:rPr>
      </w:pPr>
      <w:r w:rsidRPr="00B31836">
        <w:rPr>
          <w:rFonts w:ascii="Palatino Linotype" w:hAnsi="Palatino Linotype"/>
          <w:i/>
          <w:sz w:val="24"/>
          <w:szCs w:val="24"/>
          <w:lang w:eastAsia="es-MX"/>
        </w:rPr>
        <w:t>(…)”</w:t>
      </w:r>
    </w:p>
    <w:p w14:paraId="21AD4B66" w14:textId="77777777" w:rsidR="00345EF4" w:rsidRPr="00B31836" w:rsidRDefault="00345EF4" w:rsidP="00345EF4">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sz w:val="24"/>
          <w:szCs w:val="26"/>
          <w:lang w:eastAsia="es-MX"/>
        </w:rPr>
      </w:pPr>
      <w:r w:rsidRPr="00B31836">
        <w:rPr>
          <w:rFonts w:ascii="Palatino Linotype" w:hAnsi="Palatino Linotype"/>
          <w:sz w:val="24"/>
          <w:szCs w:val="24"/>
          <w:lang w:eastAsia="es-MX"/>
        </w:rPr>
        <w:t>(Énfasis añadido)</w:t>
      </w:r>
    </w:p>
    <w:p w14:paraId="10325B4E" w14:textId="77777777" w:rsidR="00345EF4" w:rsidRPr="00B31836" w:rsidRDefault="00345EF4" w:rsidP="00345EF4">
      <w:pPr>
        <w:tabs>
          <w:tab w:val="left" w:pos="426"/>
        </w:tabs>
        <w:spacing w:before="240" w:after="240" w:line="360" w:lineRule="auto"/>
        <w:ind w:right="51"/>
        <w:contextualSpacing/>
        <w:jc w:val="both"/>
        <w:rPr>
          <w:rFonts w:ascii="Palatino Linotype" w:hAnsi="Palatino Linotype"/>
          <w:color w:val="000000"/>
          <w:sz w:val="24"/>
          <w:szCs w:val="24"/>
          <w:lang w:eastAsia="es-MX"/>
        </w:rPr>
      </w:pPr>
    </w:p>
    <w:p w14:paraId="76E56B3E" w14:textId="77777777" w:rsidR="00345EF4" w:rsidRPr="00B31836" w:rsidRDefault="00345EF4" w:rsidP="00345EF4">
      <w:pPr>
        <w:numPr>
          <w:ilvl w:val="0"/>
          <w:numId w:val="3"/>
        </w:numPr>
        <w:spacing w:line="360" w:lineRule="auto"/>
        <w:ind w:left="0" w:right="49" w:firstLine="0"/>
        <w:jc w:val="both"/>
        <w:rPr>
          <w:rFonts w:ascii="Palatino Linotype" w:hAnsi="Palatino Linotype" w:cs="Arial"/>
          <w:sz w:val="24"/>
          <w:szCs w:val="24"/>
          <w:lang w:eastAsia="es-MX"/>
        </w:rPr>
      </w:pPr>
      <w:r w:rsidRPr="00B31836">
        <w:rPr>
          <w:rFonts w:ascii="Palatino Linotype" w:eastAsia="MS Mincho" w:hAnsi="Palatino Linotype"/>
          <w:sz w:val="24"/>
          <w:szCs w:val="24"/>
          <w:lang w:eastAsia="es-MX"/>
        </w:rPr>
        <w:t xml:space="preserve">Por </w:t>
      </w:r>
      <w:r w:rsidRPr="00B31836">
        <w:rPr>
          <w:rFonts w:ascii="Palatino Linotype" w:eastAsia="Calibri" w:hAnsi="Palatino Linotype" w:cs="Arial"/>
          <w:color w:val="000000"/>
          <w:sz w:val="24"/>
          <w:szCs w:val="24"/>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B31836">
        <w:rPr>
          <w:rFonts w:ascii="Palatino Linotype" w:hAnsi="Palatino Linotype"/>
          <w:sz w:val="24"/>
          <w:szCs w:val="24"/>
          <w:lang w:eastAsia="es-MX"/>
        </w:rPr>
        <w:t>Investigar las posibles violaciones a la seguridad de los datos personales a fin de determinar la práctica de verificaciones.</w:t>
      </w:r>
    </w:p>
    <w:p w14:paraId="5A50144C" w14:textId="77777777" w:rsidR="00345EF4" w:rsidRPr="00B31836" w:rsidRDefault="00345EF4" w:rsidP="00345EF4">
      <w:pPr>
        <w:spacing w:line="360" w:lineRule="auto"/>
        <w:jc w:val="both"/>
        <w:rPr>
          <w:rFonts w:ascii="Palatino Linotype" w:hAnsi="Palatino Linotype" w:cs="Arial"/>
          <w:sz w:val="24"/>
          <w:szCs w:val="24"/>
          <w:lang w:eastAsia="es-MX"/>
        </w:rPr>
      </w:pPr>
    </w:p>
    <w:p w14:paraId="4D277B4E" w14:textId="77777777" w:rsidR="00345EF4" w:rsidRPr="00B31836" w:rsidRDefault="00345EF4" w:rsidP="00345EF4">
      <w:pPr>
        <w:numPr>
          <w:ilvl w:val="0"/>
          <w:numId w:val="3"/>
        </w:numPr>
        <w:spacing w:line="360" w:lineRule="auto"/>
        <w:ind w:left="0" w:right="49" w:firstLine="0"/>
        <w:jc w:val="both"/>
        <w:rPr>
          <w:rFonts w:ascii="Palatino Linotype" w:eastAsia="MS Mincho" w:hAnsi="Palatino Linotype" w:cs="Bookman Old Style"/>
          <w:sz w:val="24"/>
          <w:szCs w:val="24"/>
          <w:lang w:eastAsia="es-MX"/>
        </w:rPr>
      </w:pPr>
      <w:r w:rsidRPr="00B31836">
        <w:rPr>
          <w:rFonts w:ascii="Palatino Linotype" w:eastAsia="MS Mincho" w:hAnsi="Palatino Linotype" w:cs="Bookman Old Style"/>
          <w:sz w:val="24"/>
          <w:szCs w:val="24"/>
          <w:lang w:eastAsia="es-MX"/>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B31836">
        <w:rPr>
          <w:rFonts w:ascii="Palatino Linotype" w:eastAsia="MS Mincho" w:hAnsi="Palatino Linotype" w:cs="Bookman Old Style"/>
          <w:b/>
          <w:sz w:val="24"/>
          <w:szCs w:val="24"/>
          <w:lang w:eastAsia="es-MX"/>
        </w:rPr>
        <w:t xml:space="preserve">LEY FEDERAL DE PROTECCIÓN DE DATOS </w:t>
      </w:r>
      <w:r w:rsidRPr="00B31836">
        <w:rPr>
          <w:rFonts w:ascii="Palatino Linotype" w:eastAsia="MS Mincho" w:hAnsi="Palatino Linotype" w:cs="Bookman Old Style"/>
          <w:b/>
          <w:sz w:val="24"/>
          <w:szCs w:val="24"/>
          <w:lang w:eastAsia="es-MX"/>
        </w:rPr>
        <w:lastRenderedPageBreak/>
        <w:t>PERSONALES EN POSESIÓN DE LOS PARTICULARES</w:t>
      </w:r>
      <w:r w:rsidRPr="00B31836">
        <w:rPr>
          <w:rFonts w:ascii="Palatino Linotype" w:eastAsia="MS Mincho" w:hAnsi="Palatino Linotype" w:cs="Bookman Old Style"/>
          <w:sz w:val="24"/>
          <w:szCs w:val="24"/>
          <w:lang w:eastAsia="es-MX"/>
        </w:rPr>
        <w:t xml:space="preserve"> que señala puntualmente en su artículo 1 lo siguiente:</w:t>
      </w:r>
    </w:p>
    <w:p w14:paraId="7EB2350D" w14:textId="77777777" w:rsidR="00345EF4" w:rsidRPr="00B31836" w:rsidRDefault="00345EF4" w:rsidP="00345EF4">
      <w:pPr>
        <w:ind w:left="720"/>
        <w:contextualSpacing/>
        <w:rPr>
          <w:rFonts w:ascii="Palatino Linotype" w:eastAsia="MS Mincho" w:hAnsi="Palatino Linotype" w:cs="Bookman Old Style"/>
          <w:sz w:val="28"/>
          <w:szCs w:val="24"/>
          <w:lang w:eastAsia="es-MX"/>
        </w:rPr>
      </w:pPr>
    </w:p>
    <w:p w14:paraId="15AA2C23" w14:textId="77777777" w:rsidR="00345EF4" w:rsidRPr="00B31836" w:rsidRDefault="00345EF4" w:rsidP="00345EF4">
      <w:pPr>
        <w:spacing w:line="360" w:lineRule="auto"/>
        <w:ind w:left="567" w:right="567"/>
        <w:contextualSpacing/>
        <w:jc w:val="both"/>
        <w:rPr>
          <w:rFonts w:ascii="Palatino Linotype" w:eastAsia="MS Mincho" w:hAnsi="Palatino Linotype" w:cs="Bookman Old Style"/>
          <w:i/>
          <w:sz w:val="24"/>
          <w:szCs w:val="24"/>
          <w:lang w:eastAsia="es-MX"/>
        </w:rPr>
      </w:pPr>
      <w:r w:rsidRPr="00B31836">
        <w:rPr>
          <w:rFonts w:ascii="Palatino Linotype" w:hAnsi="Palatino Linotype"/>
          <w:i/>
          <w:sz w:val="24"/>
          <w:szCs w:val="24"/>
          <w:lang w:eastAsia="es-MX"/>
        </w:rPr>
        <w:t xml:space="preserve">Artículo 1.- La presente Ley es de orden público y de observancia general en toda la República y </w:t>
      </w:r>
      <w:r w:rsidRPr="00B31836">
        <w:rPr>
          <w:rFonts w:ascii="Palatino Linotype" w:hAnsi="Palatino Linotype"/>
          <w:b/>
          <w:i/>
          <w:sz w:val="24"/>
          <w:szCs w:val="24"/>
          <w:lang w:eastAsia="es-MX"/>
        </w:rPr>
        <w:t>tiene por objeto la protección de los datos personales en posesión de los particulares</w:t>
      </w:r>
      <w:r w:rsidRPr="00B31836">
        <w:rPr>
          <w:rFonts w:ascii="Palatino Linotype" w:hAnsi="Palatino Linotype"/>
          <w:i/>
          <w:sz w:val="24"/>
          <w:szCs w:val="24"/>
          <w:lang w:eastAsia="es-MX"/>
        </w:rPr>
        <w:t>, con la finalidad de regular su tratamiento legítimo, controlado e informado, a efecto de garantizar la privacidad y el derecho a la autodeterminación informativa de las personas.</w:t>
      </w:r>
    </w:p>
    <w:p w14:paraId="3C6BEA4B" w14:textId="77777777" w:rsidR="00345EF4" w:rsidRPr="00B31836" w:rsidRDefault="00345EF4" w:rsidP="00345EF4">
      <w:pPr>
        <w:spacing w:line="360" w:lineRule="auto"/>
        <w:ind w:left="708" w:right="49" w:hanging="708"/>
        <w:jc w:val="both"/>
        <w:rPr>
          <w:rFonts w:ascii="Palatino Linotype" w:eastAsia="MS Mincho" w:hAnsi="Palatino Linotype" w:cs="Bookman Old Style"/>
          <w:szCs w:val="24"/>
          <w:lang w:eastAsia="es-MX"/>
        </w:rPr>
      </w:pPr>
    </w:p>
    <w:p w14:paraId="13082633" w14:textId="77777777" w:rsidR="00345EF4" w:rsidRPr="00B31836" w:rsidRDefault="00345EF4" w:rsidP="00345EF4">
      <w:pPr>
        <w:numPr>
          <w:ilvl w:val="0"/>
          <w:numId w:val="3"/>
        </w:numPr>
        <w:spacing w:line="360" w:lineRule="auto"/>
        <w:ind w:left="0" w:right="49" w:firstLine="0"/>
        <w:jc w:val="both"/>
        <w:rPr>
          <w:rFonts w:ascii="Palatino Linotype" w:eastAsia="MS Mincho" w:hAnsi="Palatino Linotype" w:cs="Bookman Old Style"/>
          <w:sz w:val="24"/>
          <w:szCs w:val="24"/>
          <w:lang w:eastAsia="es-MX"/>
        </w:rPr>
      </w:pPr>
      <w:r w:rsidRPr="00B31836">
        <w:rPr>
          <w:rFonts w:ascii="Palatino Linotype" w:eastAsia="MS Mincho" w:hAnsi="Palatino Linotype" w:cs="Bookman Old Style"/>
          <w:sz w:val="24"/>
          <w:szCs w:val="24"/>
          <w:lang w:eastAsia="es-MX"/>
        </w:rPr>
        <w:t>En ese escenario, el particular deberá de ser responsable en el buen uso de la información proporcionada, pues se trata de datos personales que le fueron proporcionados por haber incurrido en una probable violación a la privacidad de las personas.</w:t>
      </w:r>
    </w:p>
    <w:p w14:paraId="0AB69803" w14:textId="77777777" w:rsidR="00345EF4" w:rsidRPr="00B31836" w:rsidRDefault="00345EF4" w:rsidP="00345EF4">
      <w:pPr>
        <w:spacing w:line="360" w:lineRule="auto"/>
        <w:ind w:right="49"/>
        <w:jc w:val="both"/>
        <w:rPr>
          <w:rFonts w:ascii="Palatino Linotype" w:eastAsia="MS Mincho" w:hAnsi="Palatino Linotype"/>
          <w:color w:val="000000"/>
          <w:sz w:val="24"/>
          <w:szCs w:val="24"/>
        </w:rPr>
      </w:pPr>
    </w:p>
    <w:p w14:paraId="788A19A8" w14:textId="3442B4DE" w:rsidR="00081064" w:rsidRPr="00B31836" w:rsidRDefault="00081064" w:rsidP="00CF6481">
      <w:pPr>
        <w:numPr>
          <w:ilvl w:val="0"/>
          <w:numId w:val="3"/>
        </w:numPr>
        <w:spacing w:line="360" w:lineRule="auto"/>
        <w:ind w:left="0" w:right="49" w:firstLine="0"/>
        <w:jc w:val="both"/>
        <w:rPr>
          <w:rFonts w:ascii="Palatino Linotype" w:eastAsia="MS Mincho" w:hAnsi="Palatino Linotype"/>
          <w:color w:val="000000"/>
          <w:sz w:val="24"/>
          <w:szCs w:val="24"/>
        </w:rPr>
      </w:pPr>
      <w:r w:rsidRPr="00B31836">
        <w:rPr>
          <w:rFonts w:ascii="Palatino Linotype" w:hAnsi="Palatino Linotype" w:cs="Tahoma"/>
          <w:sz w:val="24"/>
          <w:szCs w:val="24"/>
        </w:rPr>
        <w:t>Con base en todo lo expuesto, y con fundamento en el artículo 186, fracción III, de la Ley de Transparencia y Acceso a la Información Pública del Estado de México y Municipios, este Instituto considera procedente</w:t>
      </w:r>
      <w:r w:rsidRPr="00B31836">
        <w:rPr>
          <w:rFonts w:ascii="Palatino Linotype" w:hAnsi="Palatino Linotype" w:cs="Tahoma"/>
          <w:b/>
          <w:sz w:val="24"/>
          <w:szCs w:val="24"/>
        </w:rPr>
        <w:t xml:space="preserve"> MODIFICA </w:t>
      </w:r>
      <w:r w:rsidRPr="00B31836">
        <w:rPr>
          <w:rFonts w:ascii="Palatino Linotype" w:hAnsi="Palatino Linotype" w:cs="Tahoma"/>
          <w:sz w:val="24"/>
          <w:szCs w:val="24"/>
        </w:rPr>
        <w:t xml:space="preserve">la respuesta otorgada por la </w:t>
      </w:r>
      <w:r w:rsidR="00146766" w:rsidRPr="00B31836">
        <w:rPr>
          <w:rFonts w:ascii="Palatino Linotype" w:hAnsi="Palatino Linotype" w:cs="Tahoma"/>
          <w:b/>
          <w:sz w:val="24"/>
          <w:szCs w:val="24"/>
        </w:rPr>
        <w:t xml:space="preserve">Ayuntamiento de Toluca </w:t>
      </w:r>
      <w:r w:rsidRPr="00B31836">
        <w:rPr>
          <w:rFonts w:ascii="Palatino Linotype" w:hAnsi="Palatino Linotype" w:cs="Tahoma"/>
          <w:b/>
          <w:sz w:val="24"/>
          <w:szCs w:val="24"/>
        </w:rPr>
        <w:t xml:space="preserve"> </w:t>
      </w:r>
      <w:r w:rsidRPr="00B31836">
        <w:rPr>
          <w:rFonts w:ascii="Palatino Linotype" w:eastAsia="MS Mincho" w:hAnsi="Palatino Linotype"/>
          <w:sz w:val="24"/>
          <w:szCs w:val="24"/>
          <w:lang w:val="es-ES_tradnl"/>
        </w:rPr>
        <w:t xml:space="preserve">y ordenar la entrega de los documentos donde conste la información de la que se ordena hacer entrega, ya que de conformidad con lo que establece la Ley Orgánica Municipal del Estado de México así como el Bando Municipal del Ayuntamiento de Toluca, se cuentan con atribuciones para poseer, generar o administrar la información solicitada. </w:t>
      </w:r>
    </w:p>
    <w:p w14:paraId="650736FE" w14:textId="77777777" w:rsidR="00081064" w:rsidRPr="00B31836" w:rsidRDefault="00081064" w:rsidP="00081064">
      <w:pPr>
        <w:tabs>
          <w:tab w:val="left" w:pos="360"/>
        </w:tabs>
        <w:spacing w:before="240" w:after="240" w:line="360" w:lineRule="auto"/>
        <w:ind w:right="49"/>
        <w:contextualSpacing/>
        <w:jc w:val="both"/>
        <w:rPr>
          <w:rFonts w:ascii="Palatino Linotype" w:eastAsia="MS Mincho" w:hAnsi="Palatino Linotype"/>
          <w:color w:val="000000"/>
          <w:sz w:val="24"/>
          <w:szCs w:val="24"/>
        </w:rPr>
      </w:pPr>
    </w:p>
    <w:p w14:paraId="60D59CF1" w14:textId="77777777" w:rsidR="00081064" w:rsidRPr="00B31836" w:rsidRDefault="00081064" w:rsidP="00CF6481">
      <w:pPr>
        <w:numPr>
          <w:ilvl w:val="0"/>
          <w:numId w:val="3"/>
        </w:numPr>
        <w:spacing w:line="360" w:lineRule="auto"/>
        <w:ind w:left="0" w:right="49" w:firstLine="0"/>
        <w:jc w:val="both"/>
        <w:rPr>
          <w:rFonts w:ascii="Palatino Linotype" w:eastAsia="MS Mincho" w:hAnsi="Palatino Linotype"/>
          <w:color w:val="000000"/>
          <w:sz w:val="24"/>
          <w:szCs w:val="24"/>
        </w:rPr>
      </w:pPr>
      <w:r w:rsidRPr="00B31836">
        <w:rPr>
          <w:rFonts w:ascii="Palatino Linotype" w:eastAsia="MS Mincho" w:hAnsi="Palatino Linotype"/>
          <w:color w:val="000000"/>
          <w:sz w:val="24"/>
          <w:szCs w:val="24"/>
        </w:rPr>
        <w:t xml:space="preserve">Por lo anteriormente expuesto y fundado, este </w:t>
      </w:r>
      <w:r w:rsidRPr="00B31836">
        <w:rPr>
          <w:rFonts w:ascii="Palatino Linotype" w:eastAsia="MS Mincho" w:hAnsi="Palatino Linotype"/>
          <w:b/>
          <w:bCs/>
          <w:color w:val="000000"/>
          <w:sz w:val="24"/>
          <w:szCs w:val="24"/>
        </w:rPr>
        <w:t>ÓRGANO GARANTE</w:t>
      </w:r>
      <w:r w:rsidRPr="00B31836">
        <w:rPr>
          <w:rFonts w:ascii="Palatino Linotype" w:eastAsia="MS Mincho" w:hAnsi="Palatino Linotype"/>
          <w:color w:val="000000"/>
          <w:sz w:val="24"/>
          <w:szCs w:val="24"/>
        </w:rPr>
        <w:t xml:space="preserve"> emite los siguientes:</w:t>
      </w:r>
      <w:bookmarkStart w:id="132" w:name="_Toc495427547"/>
      <w:bookmarkStart w:id="133" w:name="_Toc497905366"/>
    </w:p>
    <w:p w14:paraId="7DF2AE40" w14:textId="77777777" w:rsidR="00081064" w:rsidRPr="00B31836" w:rsidRDefault="00081064" w:rsidP="00081064">
      <w:pPr>
        <w:tabs>
          <w:tab w:val="left" w:pos="360"/>
        </w:tabs>
        <w:spacing w:before="240" w:after="240" w:line="360" w:lineRule="auto"/>
        <w:ind w:right="49"/>
        <w:contextualSpacing/>
        <w:jc w:val="both"/>
        <w:rPr>
          <w:rFonts w:ascii="Palatino Linotype" w:eastAsia="MS Mincho" w:hAnsi="Palatino Linotype"/>
          <w:color w:val="000000"/>
          <w:sz w:val="24"/>
          <w:szCs w:val="24"/>
        </w:rPr>
      </w:pPr>
    </w:p>
    <w:p w14:paraId="6213D23F" w14:textId="77777777" w:rsidR="00081064" w:rsidRPr="00B31836" w:rsidRDefault="00081064" w:rsidP="00081064">
      <w:pPr>
        <w:keepNext/>
        <w:keepLines/>
        <w:spacing w:before="240" w:line="360" w:lineRule="auto"/>
        <w:jc w:val="center"/>
        <w:outlineLvl w:val="0"/>
        <w:rPr>
          <w:rFonts w:ascii="Palatino Linotype" w:eastAsiaTheme="majorEastAsia" w:hAnsi="Palatino Linotype" w:cstheme="majorBidi"/>
          <w:b/>
          <w:color w:val="000000" w:themeColor="text1"/>
          <w:sz w:val="24"/>
          <w:szCs w:val="24"/>
          <w:lang w:val="es-ES_tradnl"/>
        </w:rPr>
      </w:pPr>
      <w:bookmarkStart w:id="134" w:name="_Toc113445994"/>
      <w:r w:rsidRPr="00B31836">
        <w:rPr>
          <w:rFonts w:ascii="Palatino Linotype" w:eastAsiaTheme="majorEastAsia" w:hAnsi="Palatino Linotype" w:cstheme="majorBidi"/>
          <w:b/>
          <w:color w:val="000000" w:themeColor="text1"/>
          <w:sz w:val="24"/>
          <w:szCs w:val="24"/>
          <w:lang w:val="es-ES_tradnl"/>
        </w:rPr>
        <w:t>R E S O L U T I V O S</w:t>
      </w:r>
      <w:bookmarkEnd w:id="130"/>
      <w:bookmarkEnd w:id="131"/>
      <w:bookmarkEnd w:id="132"/>
      <w:bookmarkEnd w:id="133"/>
      <w:bookmarkEnd w:id="134"/>
    </w:p>
    <w:p w14:paraId="2D75A49D" w14:textId="77777777" w:rsidR="00081064" w:rsidRPr="00B31836" w:rsidRDefault="00081064" w:rsidP="00081064">
      <w:pPr>
        <w:spacing w:line="360" w:lineRule="auto"/>
        <w:jc w:val="both"/>
        <w:rPr>
          <w:rFonts w:ascii="Palatino Linotype" w:eastAsiaTheme="minorEastAsia" w:hAnsi="Palatino Linotype"/>
          <w:sz w:val="24"/>
          <w:szCs w:val="24"/>
          <w:lang w:val="es-ES_tradnl"/>
        </w:rPr>
      </w:pPr>
    </w:p>
    <w:p w14:paraId="1538D9D4" w14:textId="5C184E27" w:rsidR="00081064" w:rsidRPr="00B31836" w:rsidRDefault="00081064" w:rsidP="00081064">
      <w:pPr>
        <w:spacing w:line="360" w:lineRule="auto"/>
        <w:jc w:val="both"/>
        <w:rPr>
          <w:rFonts w:ascii="Palatino Linotype" w:eastAsia="Calibri" w:hAnsi="Palatino Linotype" w:cs="Arial"/>
          <w:sz w:val="24"/>
          <w:szCs w:val="24"/>
          <w:lang w:val="es-ES_tradnl"/>
        </w:rPr>
      </w:pPr>
      <w:r w:rsidRPr="00B31836">
        <w:rPr>
          <w:rFonts w:ascii="Palatino Linotype" w:hAnsi="Palatino Linotype" w:cs="Arial"/>
          <w:b/>
          <w:sz w:val="24"/>
          <w:szCs w:val="24"/>
          <w:lang w:val="es-ES_tradnl"/>
        </w:rPr>
        <w:t xml:space="preserve">PRIMERO. </w:t>
      </w:r>
      <w:r w:rsidRPr="00B31836">
        <w:rPr>
          <w:rFonts w:ascii="Palatino Linotype" w:hAnsi="Palatino Linotype" w:cs="Arial"/>
          <w:sz w:val="24"/>
          <w:szCs w:val="24"/>
          <w:lang w:val="es-ES_tradnl"/>
        </w:rPr>
        <w:t>Resultan parcialmente fundadas las</w:t>
      </w:r>
      <w:r w:rsidRPr="00B31836">
        <w:rPr>
          <w:rFonts w:ascii="Palatino Linotype" w:hAnsi="Palatino Linotype" w:cs="Arial"/>
          <w:b/>
          <w:sz w:val="24"/>
          <w:szCs w:val="24"/>
          <w:lang w:val="es-ES_tradnl"/>
        </w:rPr>
        <w:t xml:space="preserve"> </w:t>
      </w:r>
      <w:r w:rsidRPr="00B31836">
        <w:rPr>
          <w:rFonts w:ascii="Palatino Linotype" w:hAnsi="Palatino Linotype" w:cs="Arial"/>
          <w:sz w:val="24"/>
          <w:szCs w:val="24"/>
          <w:lang w:val="es-ES_tradnl"/>
        </w:rPr>
        <w:t xml:space="preserve">razones y motivos de inconformidad hechos valer </w:t>
      </w:r>
      <w:r w:rsidRPr="00B31836">
        <w:rPr>
          <w:rFonts w:ascii="Palatino Linotype" w:eastAsia="Calibri" w:hAnsi="Palatino Linotype" w:cs="Arial"/>
          <w:sz w:val="24"/>
          <w:szCs w:val="24"/>
          <w:lang w:val="es-ES_tradnl"/>
        </w:rPr>
        <w:t xml:space="preserve">en el recurso de revisión </w:t>
      </w:r>
      <w:r w:rsidRPr="00B31836">
        <w:rPr>
          <w:rFonts w:ascii="Palatino Linotype" w:eastAsia="Calibri" w:hAnsi="Palatino Linotype" w:cs="Arial"/>
          <w:b/>
          <w:bCs/>
          <w:sz w:val="24"/>
          <w:szCs w:val="24"/>
        </w:rPr>
        <w:t>03588/INFOEM/IP/RR/2024</w:t>
      </w:r>
      <w:r w:rsidRPr="00B31836">
        <w:rPr>
          <w:rFonts w:ascii="Palatino Linotype" w:eastAsiaTheme="minorEastAsia" w:hAnsi="Palatino Linotype" w:cs="Arial"/>
          <w:b/>
          <w:bCs/>
          <w:sz w:val="24"/>
          <w:szCs w:val="24"/>
          <w:lang w:val="es-ES_tradnl"/>
        </w:rPr>
        <w:t xml:space="preserve">, </w:t>
      </w:r>
      <w:r w:rsidRPr="00B31836">
        <w:rPr>
          <w:rFonts w:ascii="Palatino Linotype" w:eastAsiaTheme="minorEastAsia" w:hAnsi="Palatino Linotype" w:cs="Arial"/>
          <w:bCs/>
          <w:sz w:val="24"/>
          <w:szCs w:val="24"/>
          <w:lang w:val="es-ES_tradnl"/>
        </w:rPr>
        <w:t xml:space="preserve">en términos de los </w:t>
      </w:r>
      <w:r w:rsidRPr="00B31836">
        <w:rPr>
          <w:rFonts w:ascii="Palatino Linotype" w:eastAsiaTheme="minorEastAsia" w:hAnsi="Palatino Linotype" w:cs="Arial"/>
          <w:b/>
          <w:bCs/>
          <w:sz w:val="24"/>
          <w:szCs w:val="24"/>
          <w:lang w:val="es-ES_tradnl"/>
        </w:rPr>
        <w:t>Considerandos</w:t>
      </w:r>
      <w:r w:rsidRPr="00B31836">
        <w:rPr>
          <w:rFonts w:ascii="Palatino Linotype" w:eastAsiaTheme="minorEastAsia" w:hAnsi="Palatino Linotype" w:cs="Arial"/>
          <w:bCs/>
          <w:sz w:val="24"/>
          <w:szCs w:val="24"/>
          <w:lang w:val="es-ES_tradnl"/>
        </w:rPr>
        <w:t xml:space="preserve"> </w:t>
      </w:r>
      <w:r w:rsidRPr="00B31836">
        <w:rPr>
          <w:rFonts w:ascii="Palatino Linotype" w:eastAsiaTheme="minorEastAsia" w:hAnsi="Palatino Linotype" w:cs="Arial"/>
          <w:b/>
          <w:bCs/>
          <w:sz w:val="24"/>
          <w:szCs w:val="24"/>
          <w:lang w:val="es-ES_tradnl"/>
        </w:rPr>
        <w:t xml:space="preserve">CUARTO y QUINTO </w:t>
      </w:r>
      <w:r w:rsidRPr="00B31836">
        <w:rPr>
          <w:rFonts w:ascii="Palatino Linotype" w:eastAsiaTheme="minorEastAsia" w:hAnsi="Palatino Linotype" w:cs="Arial"/>
          <w:bCs/>
          <w:sz w:val="24"/>
          <w:szCs w:val="24"/>
          <w:lang w:val="es-ES_tradnl"/>
        </w:rPr>
        <w:t>de la presente resolución.</w:t>
      </w:r>
    </w:p>
    <w:p w14:paraId="410955BC" w14:textId="3F46872C" w:rsidR="00081064" w:rsidRPr="00B31836" w:rsidRDefault="00081064" w:rsidP="00081064">
      <w:pPr>
        <w:spacing w:before="240" w:line="360" w:lineRule="auto"/>
        <w:jc w:val="both"/>
        <w:rPr>
          <w:rFonts w:ascii="Palatino Linotype" w:hAnsi="Palatino Linotype"/>
          <w:sz w:val="24"/>
          <w:szCs w:val="24"/>
        </w:rPr>
      </w:pPr>
      <w:bookmarkStart w:id="135" w:name="_Toc477891768"/>
      <w:bookmarkStart w:id="136" w:name="_Toc477891858"/>
      <w:bookmarkStart w:id="137" w:name="_Toc481576259"/>
      <w:bookmarkStart w:id="138" w:name="_Toc492590391"/>
      <w:bookmarkStart w:id="139" w:name="_Toc462653937"/>
      <w:bookmarkStart w:id="140" w:name="_Toc453696502"/>
      <w:bookmarkStart w:id="141" w:name="_Toc454301155"/>
      <w:r w:rsidRPr="00B31836">
        <w:rPr>
          <w:rFonts w:ascii="Palatino Linotype" w:eastAsiaTheme="minorEastAsia" w:hAnsi="Palatino Linotype" w:cstheme="minorBidi"/>
          <w:b/>
          <w:sz w:val="24"/>
          <w:szCs w:val="24"/>
          <w:lang w:val="es-ES_tradnl"/>
        </w:rPr>
        <w:t>SEGUNDO.</w:t>
      </w:r>
      <w:r w:rsidRPr="00B31836">
        <w:rPr>
          <w:rFonts w:ascii="Palatino Linotype" w:eastAsiaTheme="majorEastAsia" w:hAnsi="Palatino Linotype" w:cstheme="majorBidi"/>
          <w:b/>
          <w:color w:val="2F5496" w:themeColor="accent1" w:themeShade="BF"/>
          <w:sz w:val="24"/>
          <w:szCs w:val="24"/>
          <w:lang w:eastAsia="en-US"/>
        </w:rPr>
        <w:t xml:space="preserve"> </w:t>
      </w:r>
      <w:bookmarkEnd w:id="135"/>
      <w:bookmarkEnd w:id="136"/>
      <w:bookmarkEnd w:id="137"/>
      <w:bookmarkEnd w:id="138"/>
      <w:bookmarkEnd w:id="139"/>
      <w:bookmarkEnd w:id="140"/>
      <w:bookmarkEnd w:id="141"/>
      <w:r w:rsidRPr="00B31836">
        <w:rPr>
          <w:rFonts w:ascii="Palatino Linotype" w:eastAsia="Calibri" w:hAnsi="Palatino Linotype" w:cs="Arial"/>
          <w:sz w:val="24"/>
          <w:szCs w:val="24"/>
          <w:lang w:val="es-ES_tradnl"/>
        </w:rPr>
        <w:t>Se</w:t>
      </w:r>
      <w:r w:rsidRPr="00B31836">
        <w:rPr>
          <w:rFonts w:ascii="Palatino Linotype" w:eastAsia="Calibri" w:hAnsi="Palatino Linotype" w:cs="Arial"/>
          <w:b/>
          <w:sz w:val="24"/>
          <w:szCs w:val="24"/>
          <w:lang w:val="es-ES_tradnl"/>
        </w:rPr>
        <w:t xml:space="preserve"> MODIFICA </w:t>
      </w:r>
      <w:r w:rsidR="004309DC" w:rsidRPr="00B31836">
        <w:rPr>
          <w:rFonts w:ascii="Palatino Linotype" w:eastAsia="Calibri" w:hAnsi="Palatino Linotype" w:cs="Arial"/>
          <w:sz w:val="24"/>
          <w:szCs w:val="24"/>
          <w:lang w:val="es-ES_tradnl"/>
        </w:rPr>
        <w:t>la respuesta emitida por el</w:t>
      </w:r>
      <w:r w:rsidRPr="00B31836">
        <w:rPr>
          <w:rFonts w:ascii="Palatino Linotype" w:hAnsi="Palatino Linotype"/>
          <w:sz w:val="24"/>
          <w:szCs w:val="24"/>
        </w:rPr>
        <w:t xml:space="preserve"> </w:t>
      </w:r>
      <w:r w:rsidRPr="00B31836">
        <w:rPr>
          <w:rFonts w:ascii="Palatino Linotype" w:hAnsi="Palatino Linotype"/>
          <w:b/>
          <w:sz w:val="24"/>
          <w:szCs w:val="24"/>
        </w:rPr>
        <w:t>Ayuntamiento de Toluca</w:t>
      </w:r>
      <w:r w:rsidRPr="00B31836">
        <w:rPr>
          <w:rFonts w:ascii="Palatino Linotype" w:hAnsi="Palatino Linotype"/>
          <w:sz w:val="24"/>
          <w:szCs w:val="24"/>
        </w:rPr>
        <w:t xml:space="preserve"> </w:t>
      </w:r>
      <w:r w:rsidRPr="00B31836">
        <w:rPr>
          <w:rFonts w:ascii="Palatino Linotype" w:eastAsia="Calibri" w:hAnsi="Palatino Linotype" w:cs="Arial"/>
          <w:sz w:val="24"/>
          <w:szCs w:val="24"/>
          <w:lang w:val="es-ES_tradnl"/>
        </w:rPr>
        <w:t>y se</w:t>
      </w:r>
      <w:r w:rsidRPr="00B31836">
        <w:rPr>
          <w:rFonts w:ascii="Palatino Linotype" w:eastAsia="Calibri" w:hAnsi="Palatino Linotype" w:cs="Arial"/>
          <w:b/>
          <w:sz w:val="24"/>
          <w:szCs w:val="24"/>
          <w:lang w:val="es-ES_tradnl"/>
        </w:rPr>
        <w:t xml:space="preserve"> ORDENA </w:t>
      </w:r>
      <w:r w:rsidRPr="00B31836">
        <w:rPr>
          <w:rFonts w:ascii="Palatino Linotype" w:hAnsi="Palatino Linotype" w:cs="Arial"/>
          <w:sz w:val="24"/>
          <w:szCs w:val="24"/>
          <w:lang w:val="es-ES_tradnl"/>
        </w:rPr>
        <w:t xml:space="preserve">entregar vía Sistema de Acceso a la Información Mexiquense </w:t>
      </w:r>
      <w:r w:rsidRPr="00B31836">
        <w:rPr>
          <w:rFonts w:ascii="Palatino Linotype" w:hAnsi="Palatino Linotype" w:cs="Arial"/>
          <w:b/>
          <w:sz w:val="24"/>
          <w:szCs w:val="24"/>
          <w:lang w:val="es-ES_tradnl"/>
        </w:rPr>
        <w:t xml:space="preserve">(SAIMEX), </w:t>
      </w:r>
      <w:r w:rsidRPr="00B31836">
        <w:rPr>
          <w:rFonts w:ascii="Palatino Linotype" w:hAnsi="Palatino Linotype" w:cs="Arial"/>
          <w:sz w:val="24"/>
          <w:szCs w:val="24"/>
          <w:lang w:val="es-ES_tradnl"/>
        </w:rPr>
        <w:t>previa búsqueda exhaustiva</w:t>
      </w:r>
      <w:r w:rsidRPr="00B31836">
        <w:rPr>
          <w:rFonts w:ascii="Palatino Linotype" w:hAnsi="Palatino Linotype" w:cs="Arial"/>
          <w:b/>
          <w:sz w:val="24"/>
          <w:szCs w:val="24"/>
          <w:lang w:val="es-ES_tradnl"/>
        </w:rPr>
        <w:t>,</w:t>
      </w:r>
      <w:r w:rsidRPr="00B31836">
        <w:rPr>
          <w:rFonts w:ascii="Palatino Linotype" w:eastAsia="MS Mincho" w:hAnsi="Palatino Linotype" w:cs="Arial"/>
          <w:color w:val="000000" w:themeColor="text1"/>
          <w:sz w:val="24"/>
          <w:szCs w:val="24"/>
        </w:rPr>
        <w:t xml:space="preserve"> </w:t>
      </w:r>
      <w:r w:rsidRPr="00B31836">
        <w:rPr>
          <w:rFonts w:ascii="Palatino Linotype" w:eastAsia="MS Mincho" w:hAnsi="Palatino Linotype" w:cs="Arial"/>
          <w:b/>
          <w:color w:val="000000" w:themeColor="text1"/>
          <w:sz w:val="24"/>
          <w:szCs w:val="24"/>
        </w:rPr>
        <w:t>de ser procedente en versión pública</w:t>
      </w:r>
      <w:r w:rsidRPr="00B31836">
        <w:rPr>
          <w:rFonts w:ascii="Palatino Linotype" w:eastAsia="MS Mincho" w:hAnsi="Palatino Linotype" w:cs="Arial"/>
          <w:sz w:val="24"/>
          <w:szCs w:val="24"/>
        </w:rPr>
        <w:t>, los documentos donde conste lo siguiente:</w:t>
      </w:r>
    </w:p>
    <w:p w14:paraId="02C2F8A0" w14:textId="77777777" w:rsidR="00345EF4" w:rsidRPr="00B31836" w:rsidRDefault="00345EF4" w:rsidP="00345EF4">
      <w:pPr>
        <w:numPr>
          <w:ilvl w:val="0"/>
          <w:numId w:val="11"/>
        </w:numPr>
        <w:spacing w:before="240" w:line="360" w:lineRule="auto"/>
        <w:ind w:right="918"/>
        <w:jc w:val="both"/>
        <w:rPr>
          <w:rFonts w:ascii="Palatino Linotype" w:eastAsia="MS Mincho" w:hAnsi="Palatino Linotype" w:cs="Arial"/>
          <w:b/>
          <w:sz w:val="24"/>
          <w:szCs w:val="24"/>
        </w:rPr>
      </w:pPr>
      <w:r w:rsidRPr="00B31836">
        <w:rPr>
          <w:rFonts w:ascii="Palatino Linotype" w:eastAsia="MS Mincho" w:hAnsi="Palatino Linotype" w:cs="Arial"/>
          <w:b/>
          <w:sz w:val="24"/>
          <w:szCs w:val="24"/>
        </w:rPr>
        <w:t xml:space="preserve">Número de quejas que se encuentren en expedientes concluidos por violaciones a derechos humanos,  en contra de la Titular de la Unidad de Transparencia del Ayuntamiento de Toluca, del veintiuno de mayo de dos mil veintitrés al veintiuno de mayo de dos mil veinticuatro, </w:t>
      </w:r>
    </w:p>
    <w:p w14:paraId="0CC8C022" w14:textId="724646FC" w:rsidR="00345EF4" w:rsidRPr="00B31836" w:rsidRDefault="00345EF4" w:rsidP="00345EF4">
      <w:pPr>
        <w:numPr>
          <w:ilvl w:val="0"/>
          <w:numId w:val="11"/>
        </w:numPr>
        <w:spacing w:before="240" w:line="360" w:lineRule="auto"/>
        <w:ind w:right="918"/>
        <w:jc w:val="both"/>
        <w:rPr>
          <w:rFonts w:ascii="Palatino Linotype" w:eastAsia="MS Mincho" w:hAnsi="Palatino Linotype" w:cs="Arial"/>
          <w:b/>
          <w:sz w:val="24"/>
          <w:szCs w:val="24"/>
        </w:rPr>
      </w:pPr>
      <w:r w:rsidRPr="00B31836">
        <w:rPr>
          <w:rFonts w:ascii="Palatino Linotype" w:eastAsia="MS Mincho" w:hAnsi="Palatino Linotype" w:cs="Arial"/>
          <w:b/>
          <w:sz w:val="24"/>
          <w:szCs w:val="24"/>
        </w:rPr>
        <w:t xml:space="preserve">Acuerdo del Comité de Transparencia, mediante el </w:t>
      </w:r>
      <w:r w:rsidR="00B83E29" w:rsidRPr="00B31836">
        <w:rPr>
          <w:rFonts w:ascii="Palatino Linotype" w:eastAsia="MS Mincho" w:hAnsi="Palatino Linotype" w:cs="Arial"/>
          <w:b/>
          <w:sz w:val="24"/>
          <w:szCs w:val="24"/>
        </w:rPr>
        <w:t>cual</w:t>
      </w:r>
      <w:r w:rsidRPr="00B31836">
        <w:rPr>
          <w:rFonts w:ascii="Palatino Linotype" w:eastAsia="MS Mincho" w:hAnsi="Palatino Linotype" w:cs="Arial"/>
          <w:b/>
          <w:sz w:val="24"/>
          <w:szCs w:val="24"/>
        </w:rPr>
        <w:t xml:space="preserve"> de manera fundada y motivada, confirme la clasificación del pronunciamiento </w:t>
      </w:r>
      <w:r w:rsidRPr="00B31836">
        <w:rPr>
          <w:rFonts w:ascii="Palatino Linotype" w:eastAsia="MS Mincho" w:hAnsi="Palatino Linotype" w:cs="Arial"/>
          <w:b/>
          <w:sz w:val="24"/>
          <w:szCs w:val="24"/>
        </w:rPr>
        <w:lastRenderedPageBreak/>
        <w:t>en sentido afirmativo o negativo respecto del número de quejas que se encuentren en trámite, así como  sobre la inexistencia de expedientes o la existencia de procedimientos de responsabilidades administrativas concluidos en los que se haya determinado que no existió responsabilidad administrativa en contra de la Titular de la Unidad de Transparencia del Ayuntamiento de Toluca, del veintiuno de mayo de dos mil veintitrés al veintiuno de mayo de dos mil veinticuatro, e</w:t>
      </w:r>
      <w:r w:rsidRPr="00B31836">
        <w:rPr>
          <w:rFonts w:ascii="Palatino Linotype" w:hAnsi="Palatino Linotype"/>
          <w:b/>
          <w:sz w:val="24"/>
          <w:szCs w:val="24"/>
        </w:rPr>
        <w:t>n términos de los artículos 49, fracciones II y VIII, 140, fracción VIII y 141 de la Ley de Transparencia y Acceso a la Información Pública del Estado de México y Municipios.</w:t>
      </w:r>
    </w:p>
    <w:p w14:paraId="0C7FA010" w14:textId="77777777" w:rsidR="00345EF4" w:rsidRPr="00B31836" w:rsidRDefault="00345EF4" w:rsidP="00345EF4">
      <w:pPr>
        <w:spacing w:line="360" w:lineRule="auto"/>
        <w:jc w:val="both"/>
        <w:rPr>
          <w:rFonts w:ascii="Palatino Linotype" w:eastAsia="MS Mincho" w:hAnsi="Palatino Linotype" w:cs="Arial"/>
          <w:i/>
          <w:sz w:val="24"/>
          <w:szCs w:val="24"/>
        </w:rPr>
      </w:pPr>
    </w:p>
    <w:p w14:paraId="172C49C4" w14:textId="77777777" w:rsidR="00345EF4" w:rsidRPr="00B31836" w:rsidRDefault="00345EF4" w:rsidP="00345EF4">
      <w:pPr>
        <w:tabs>
          <w:tab w:val="left" w:pos="7088"/>
        </w:tabs>
        <w:autoSpaceDE w:val="0"/>
        <w:autoSpaceDN w:val="0"/>
        <w:adjustRightInd w:val="0"/>
        <w:spacing w:line="360" w:lineRule="auto"/>
        <w:ind w:right="49"/>
        <w:contextualSpacing/>
        <w:jc w:val="both"/>
        <w:rPr>
          <w:rFonts w:ascii="Palatino Linotype" w:eastAsia="Calibri" w:hAnsi="Palatino Linotype" w:cs="Arial"/>
          <w:sz w:val="24"/>
          <w:szCs w:val="24"/>
          <w:lang w:val="es-ES_tradnl"/>
        </w:rPr>
      </w:pPr>
      <w:r w:rsidRPr="00B31836">
        <w:rPr>
          <w:rFonts w:ascii="Palatino Linotype" w:eastAsia="Calibri" w:hAnsi="Palatino Linotype" w:cs="Arial"/>
          <w:sz w:val="24"/>
          <w:szCs w:val="24"/>
          <w:lang w:val="es-ES_tradnl"/>
        </w:rPr>
        <w:t xml:space="preserve">Para efectos del inciso </w:t>
      </w:r>
      <w:r w:rsidRPr="00B31836">
        <w:rPr>
          <w:rFonts w:ascii="Palatino Linotype" w:eastAsia="Calibri" w:hAnsi="Palatino Linotype" w:cs="Arial"/>
          <w:b/>
          <w:sz w:val="24"/>
          <w:szCs w:val="24"/>
          <w:lang w:val="es-ES_tradnl"/>
        </w:rPr>
        <w:t>a)</w:t>
      </w:r>
      <w:r w:rsidRPr="00B31836">
        <w:rPr>
          <w:rFonts w:ascii="Palatino Linotype" w:eastAsia="Calibri" w:hAnsi="Palatino Linotype" w:cs="Arial"/>
          <w:sz w:val="24"/>
          <w:szCs w:val="24"/>
          <w:lang w:val="es-ES_tradnl"/>
        </w:rPr>
        <w:t xml:space="preserve"> se deberá emitir el Acuerdo del Comité de Transparencia en términos de los artículos 49 fracción VIII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 </w:t>
      </w:r>
    </w:p>
    <w:p w14:paraId="1916A51F" w14:textId="77777777" w:rsidR="00345EF4" w:rsidRPr="00B31836" w:rsidRDefault="00345EF4" w:rsidP="00345EF4">
      <w:pPr>
        <w:tabs>
          <w:tab w:val="left" w:pos="7088"/>
        </w:tabs>
        <w:autoSpaceDE w:val="0"/>
        <w:autoSpaceDN w:val="0"/>
        <w:adjustRightInd w:val="0"/>
        <w:spacing w:line="360" w:lineRule="auto"/>
        <w:ind w:right="49"/>
        <w:contextualSpacing/>
        <w:jc w:val="both"/>
        <w:rPr>
          <w:rFonts w:ascii="Palatino Linotype" w:eastAsia="Calibri" w:hAnsi="Palatino Linotype" w:cs="Arial"/>
          <w:sz w:val="24"/>
          <w:szCs w:val="24"/>
          <w:lang w:val="es-ES_tradnl"/>
        </w:rPr>
      </w:pPr>
    </w:p>
    <w:p w14:paraId="3C4C0A16" w14:textId="77777777" w:rsidR="004309DC" w:rsidRPr="00B31836" w:rsidRDefault="004309DC" w:rsidP="004309DC">
      <w:pPr>
        <w:spacing w:line="360" w:lineRule="auto"/>
        <w:ind w:right="1"/>
        <w:jc w:val="both"/>
        <w:rPr>
          <w:rFonts w:ascii="Palatino Linotype" w:eastAsia="Palatino Linotype" w:hAnsi="Palatino Linotype" w:cs="Palatino Linotype"/>
          <w:b/>
          <w:sz w:val="24"/>
          <w:szCs w:val="22"/>
        </w:rPr>
      </w:pPr>
      <w:r w:rsidRPr="00B31836">
        <w:rPr>
          <w:rFonts w:ascii="Palatino Linotype" w:eastAsia="Palatino Linotype" w:hAnsi="Palatino Linotype" w:cs="Palatino Linotype"/>
          <w:b/>
          <w:sz w:val="24"/>
          <w:szCs w:val="22"/>
        </w:rPr>
        <w:t xml:space="preserve">TERCERO. </w:t>
      </w:r>
      <w:r w:rsidRPr="00B31836">
        <w:rPr>
          <w:rFonts w:ascii="Palatino Linotype" w:eastAsia="Palatino Linotype" w:hAnsi="Palatino Linotype" w:cs="Palatino Linotype"/>
          <w:b/>
          <w:color w:val="000000"/>
          <w:sz w:val="24"/>
          <w:szCs w:val="22"/>
        </w:rPr>
        <w:t>Notifíquese vía SAIMEX l</w:t>
      </w:r>
      <w:r w:rsidRPr="00B31836">
        <w:rPr>
          <w:rFonts w:ascii="Palatino Linotype" w:eastAsia="Palatino Linotype" w:hAnsi="Palatino Linotype" w:cs="Palatino Linotype"/>
          <w:sz w:val="24"/>
          <w:szCs w:val="22"/>
        </w:rPr>
        <w:t xml:space="preserve">a presente resolución al Titular de la Unidad de Transparencia del </w:t>
      </w:r>
      <w:r w:rsidRPr="00B31836">
        <w:rPr>
          <w:rFonts w:ascii="Palatino Linotype" w:eastAsia="Palatino Linotype" w:hAnsi="Palatino Linotype" w:cs="Palatino Linotype"/>
          <w:b/>
          <w:sz w:val="24"/>
          <w:szCs w:val="22"/>
        </w:rPr>
        <w:t>SUJETO OBLIGADO</w:t>
      </w:r>
      <w:r w:rsidRPr="00B31836">
        <w:rPr>
          <w:rFonts w:ascii="Palatino Linotype" w:eastAsia="Palatino Linotype" w:hAnsi="Palatino Linotype" w:cs="Palatino Linotype"/>
          <w:sz w:val="24"/>
          <w:szCs w:val="22"/>
        </w:rPr>
        <w:t xml:space="preserve">, para que conforme al artículo 186 último párrafo, 189 segundo párrafo y 194 de la Ley de Transparencia y Acceso a la Información Pública del Estado de México y Municipios; </w:t>
      </w:r>
      <w:r w:rsidRPr="00B31836">
        <w:rPr>
          <w:rFonts w:ascii="Palatino Linotype" w:eastAsia="Palatino Linotype" w:hAnsi="Palatino Linotype" w:cs="Palatino Linotype"/>
          <w:b/>
          <w:sz w:val="24"/>
          <w:szCs w:val="22"/>
        </w:rPr>
        <w:t xml:space="preserve">dé cumplimiento a lo </w:t>
      </w:r>
      <w:r w:rsidRPr="00B31836">
        <w:rPr>
          <w:rFonts w:ascii="Palatino Linotype" w:eastAsia="Palatino Linotype" w:hAnsi="Palatino Linotype" w:cs="Palatino Linotype"/>
          <w:b/>
          <w:sz w:val="24"/>
          <w:szCs w:val="22"/>
        </w:rPr>
        <w:lastRenderedPageBreak/>
        <w:t>ordenado dentro del plazo de diez días hábiles</w:t>
      </w:r>
      <w:r w:rsidRPr="00B31836">
        <w:rPr>
          <w:rFonts w:ascii="Palatino Linotype" w:eastAsia="Palatino Linotype" w:hAnsi="Palatino Linotype" w:cs="Palatino Linotype"/>
          <w:sz w:val="24"/>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D45D4E" w14:textId="77777777" w:rsidR="00081064" w:rsidRPr="00B31836" w:rsidRDefault="00081064" w:rsidP="00081064">
      <w:pPr>
        <w:shd w:val="clear" w:color="auto" w:fill="FFFFFF"/>
        <w:spacing w:before="240" w:line="360" w:lineRule="auto"/>
        <w:ind w:right="49"/>
        <w:jc w:val="both"/>
        <w:rPr>
          <w:rFonts w:ascii="Palatino Linotype" w:hAnsi="Palatino Linotype" w:cs="Arial"/>
          <w:b/>
          <w:bCs/>
          <w:color w:val="222222"/>
          <w:sz w:val="24"/>
          <w:szCs w:val="24"/>
          <w:lang w:val="es-ES_tradnl" w:eastAsia="es-MX"/>
        </w:rPr>
      </w:pPr>
    </w:p>
    <w:p w14:paraId="410C6C80" w14:textId="77777777" w:rsidR="00081064" w:rsidRPr="00B31836" w:rsidRDefault="00081064" w:rsidP="00081064">
      <w:pPr>
        <w:shd w:val="clear" w:color="auto" w:fill="FFFFFF"/>
        <w:spacing w:line="360" w:lineRule="auto"/>
        <w:jc w:val="both"/>
        <w:rPr>
          <w:rFonts w:ascii="Palatino Linotype" w:eastAsia="MS Mincho" w:hAnsi="Palatino Linotype"/>
          <w:color w:val="000000"/>
          <w:sz w:val="24"/>
          <w:szCs w:val="24"/>
          <w:shd w:val="clear" w:color="auto" w:fill="FFFFFF"/>
          <w:lang w:val="es-ES_tradnl"/>
        </w:rPr>
      </w:pPr>
      <w:r w:rsidRPr="00B31836">
        <w:rPr>
          <w:rFonts w:ascii="Palatino Linotype" w:eastAsia="Calibri" w:hAnsi="Palatino Linotype" w:cs="Arial"/>
          <w:b/>
          <w:bCs/>
          <w:color w:val="000000"/>
          <w:sz w:val="24"/>
          <w:szCs w:val="24"/>
          <w:lang w:eastAsia="en-US"/>
        </w:rPr>
        <w:t>CUARTO.</w:t>
      </w:r>
      <w:r w:rsidRPr="00B31836">
        <w:rPr>
          <w:rFonts w:ascii="Palatino Linotype" w:eastAsia="Calibri" w:hAnsi="Palatino Linotype" w:cs="Arial"/>
          <w:bCs/>
          <w:color w:val="000000"/>
          <w:sz w:val="24"/>
          <w:szCs w:val="24"/>
          <w:lang w:eastAsia="en-US"/>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4AB4B63" w14:textId="77777777" w:rsidR="00081064" w:rsidRPr="00B31836" w:rsidRDefault="00081064" w:rsidP="00081064">
      <w:pPr>
        <w:spacing w:line="360" w:lineRule="auto"/>
        <w:jc w:val="both"/>
        <w:rPr>
          <w:rFonts w:ascii="Palatino Linotype" w:eastAsia="MS Mincho" w:hAnsi="Palatino Linotype"/>
          <w:sz w:val="24"/>
          <w:szCs w:val="24"/>
        </w:rPr>
      </w:pPr>
    </w:p>
    <w:p w14:paraId="0A77C320" w14:textId="77777777" w:rsidR="00081064" w:rsidRPr="00B31836" w:rsidRDefault="00081064" w:rsidP="00081064">
      <w:pPr>
        <w:shd w:val="clear" w:color="auto" w:fill="FFFFFF"/>
        <w:spacing w:line="360" w:lineRule="auto"/>
        <w:jc w:val="both"/>
        <w:rPr>
          <w:rFonts w:ascii="Palatino Linotype" w:hAnsi="Palatino Linotype"/>
          <w:color w:val="000000" w:themeColor="text1"/>
          <w:sz w:val="24"/>
          <w:szCs w:val="24"/>
          <w:lang w:val="es-ES_tradnl"/>
        </w:rPr>
      </w:pPr>
      <w:r w:rsidRPr="00B31836">
        <w:rPr>
          <w:rFonts w:ascii="Palatino Linotype" w:hAnsi="Palatino Linotype" w:cs="Arial"/>
          <w:b/>
          <w:sz w:val="24"/>
          <w:szCs w:val="24"/>
          <w:lang w:val="es-ES_tradnl"/>
        </w:rPr>
        <w:t xml:space="preserve">QUINTO. </w:t>
      </w:r>
      <w:r w:rsidRPr="00B31836">
        <w:rPr>
          <w:rFonts w:ascii="Palatino Linotype" w:hAnsi="Palatino Linotype"/>
          <w:b/>
          <w:bCs/>
          <w:color w:val="222222"/>
          <w:sz w:val="24"/>
          <w:szCs w:val="24"/>
        </w:rPr>
        <w:t xml:space="preserve">Notifíquese </w:t>
      </w:r>
      <w:r w:rsidRPr="00B31836">
        <w:rPr>
          <w:rFonts w:ascii="Palatino Linotype" w:hAnsi="Palatino Linotype"/>
          <w:bCs/>
          <w:color w:val="222222"/>
          <w:sz w:val="24"/>
          <w:szCs w:val="24"/>
        </w:rPr>
        <w:t xml:space="preserve">al </w:t>
      </w:r>
      <w:r w:rsidRPr="00B31836">
        <w:rPr>
          <w:rFonts w:ascii="Palatino Linotype" w:hAnsi="Palatino Linotype"/>
          <w:b/>
          <w:bCs/>
          <w:color w:val="222222"/>
          <w:sz w:val="24"/>
          <w:szCs w:val="24"/>
        </w:rPr>
        <w:t>RECURRENTE</w:t>
      </w:r>
      <w:r w:rsidRPr="00B31836">
        <w:rPr>
          <w:rFonts w:ascii="Palatino Linotype" w:hAnsi="Palatino Linotype"/>
          <w:bCs/>
          <w:color w:val="222222"/>
          <w:sz w:val="24"/>
          <w:szCs w:val="24"/>
        </w:rPr>
        <w:t xml:space="preserve"> </w:t>
      </w:r>
      <w:r w:rsidRPr="00B31836">
        <w:rPr>
          <w:rFonts w:ascii="Palatino Linotype" w:hAnsi="Palatino Linotype"/>
          <w:sz w:val="24"/>
          <w:szCs w:val="24"/>
          <w:lang w:val="es-ES_tradnl"/>
        </w:rPr>
        <w:t xml:space="preserve">la presente resolución vía </w:t>
      </w:r>
      <w:r w:rsidRPr="00B31836">
        <w:rPr>
          <w:rFonts w:ascii="Palatino Linotype" w:hAnsi="Palatino Linotype" w:cs="Arial"/>
          <w:sz w:val="24"/>
          <w:szCs w:val="24"/>
          <w:lang w:val="es-ES_tradnl"/>
        </w:rPr>
        <w:t xml:space="preserve">Sistema de Acceso a la Información Mexiquense </w:t>
      </w:r>
      <w:r w:rsidRPr="00B31836">
        <w:rPr>
          <w:rFonts w:ascii="Palatino Linotype" w:hAnsi="Palatino Linotype" w:cs="Arial"/>
          <w:b/>
          <w:sz w:val="24"/>
          <w:szCs w:val="24"/>
          <w:lang w:val="es-ES_tradnl"/>
        </w:rPr>
        <w:t>(SAIMEX).</w:t>
      </w:r>
    </w:p>
    <w:p w14:paraId="2F8551E8" w14:textId="77777777" w:rsidR="00081064" w:rsidRPr="00B31836" w:rsidRDefault="00081064" w:rsidP="00081064">
      <w:pPr>
        <w:shd w:val="clear" w:color="auto" w:fill="FFFFFF"/>
        <w:spacing w:line="360" w:lineRule="auto"/>
        <w:jc w:val="both"/>
        <w:rPr>
          <w:rFonts w:ascii="Palatino Linotype" w:hAnsi="Palatino Linotype"/>
          <w:sz w:val="24"/>
          <w:szCs w:val="24"/>
          <w:lang w:val="es-ES_tradnl"/>
        </w:rPr>
      </w:pPr>
    </w:p>
    <w:p w14:paraId="4C58B4C9" w14:textId="5012B690" w:rsidR="00146766" w:rsidRPr="00B31836" w:rsidRDefault="00081064" w:rsidP="00146766">
      <w:pPr>
        <w:spacing w:line="360" w:lineRule="auto"/>
        <w:jc w:val="both"/>
        <w:rPr>
          <w:rFonts w:ascii="Palatino Linotype" w:eastAsia="Palatino Linotype" w:hAnsi="Palatino Linotype" w:cs="Palatino Linotype"/>
          <w:sz w:val="24"/>
          <w:szCs w:val="24"/>
          <w:lang w:val="es-ES_tradnl"/>
        </w:rPr>
      </w:pPr>
      <w:r w:rsidRPr="00B31836">
        <w:rPr>
          <w:rFonts w:ascii="Palatino Linotype" w:eastAsia="MS Mincho" w:hAnsi="Palatino Linotype"/>
          <w:b/>
          <w:sz w:val="24"/>
          <w:szCs w:val="24"/>
        </w:rPr>
        <w:t>SEXTO.</w:t>
      </w:r>
      <w:r w:rsidRPr="00B31836">
        <w:rPr>
          <w:rFonts w:ascii="Palatino Linotype" w:eastAsia="MS Mincho" w:hAnsi="Palatino Linotype"/>
          <w:sz w:val="24"/>
          <w:szCs w:val="24"/>
        </w:rPr>
        <w:t xml:space="preserve"> </w:t>
      </w:r>
      <w:r w:rsidR="00146766" w:rsidRPr="00B31836">
        <w:rPr>
          <w:rFonts w:ascii="Palatino Linotype" w:eastAsia="Palatino Linotype" w:hAnsi="Palatino Linotype" w:cs="Palatino Linotype"/>
          <w:sz w:val="24"/>
          <w:szCs w:val="24"/>
          <w:lang w:val="es-ES_tradnl"/>
        </w:rPr>
        <w:t>Se hace del conocimiento del RECURRENTE que de conformidad con lo establecido en el artículo 196 de la Ley de Transparencia y Acceso a la Información</w:t>
      </w:r>
      <w:r w:rsidR="00146766" w:rsidRPr="00B31836">
        <w:rPr>
          <w:rFonts w:ascii="Palatino Linotype" w:eastAsia="Palatino Linotype" w:hAnsi="Palatino Linotype" w:cs="Palatino Linotype"/>
          <w:sz w:val="24"/>
          <w:szCs w:val="24"/>
        </w:rPr>
        <w:t xml:space="preserve"> </w:t>
      </w:r>
      <w:r w:rsidR="00146766" w:rsidRPr="00B31836">
        <w:rPr>
          <w:rFonts w:ascii="Palatino Linotype" w:eastAsia="Palatino Linotype" w:hAnsi="Palatino Linotype" w:cs="Palatino Linotype"/>
          <w:sz w:val="24"/>
          <w:szCs w:val="24"/>
          <w:lang w:val="es-ES_tradnl"/>
        </w:rPr>
        <w:t>Pública del Estado de México y Municipios, y en lo dispuesto en los artículos 159 y</w:t>
      </w:r>
      <w:r w:rsidR="00146766" w:rsidRPr="00B31836">
        <w:rPr>
          <w:rFonts w:ascii="Palatino Linotype" w:eastAsia="Palatino Linotype" w:hAnsi="Palatino Linotype" w:cs="Palatino Linotype"/>
          <w:sz w:val="24"/>
          <w:szCs w:val="24"/>
        </w:rPr>
        <w:t xml:space="preserve"> </w:t>
      </w:r>
      <w:r w:rsidR="00146766" w:rsidRPr="00B31836">
        <w:rPr>
          <w:rFonts w:ascii="Palatino Linotype" w:eastAsia="Palatino Linotype" w:hAnsi="Palatino Linotype" w:cs="Palatino Linotype"/>
          <w:sz w:val="24"/>
          <w:szCs w:val="24"/>
          <w:lang w:val="es-ES_tradnl"/>
        </w:rPr>
        <w:t>160 de la Ley General de Transparencia y Acceso a la Información Pública, en caso</w:t>
      </w:r>
      <w:r w:rsidR="00146766" w:rsidRPr="00B31836">
        <w:rPr>
          <w:rFonts w:ascii="Palatino Linotype" w:eastAsia="Palatino Linotype" w:hAnsi="Palatino Linotype" w:cs="Palatino Linotype"/>
          <w:sz w:val="24"/>
          <w:szCs w:val="24"/>
        </w:rPr>
        <w:t xml:space="preserve"> </w:t>
      </w:r>
      <w:r w:rsidR="00146766" w:rsidRPr="00B31836">
        <w:rPr>
          <w:rFonts w:ascii="Palatino Linotype" w:eastAsia="Palatino Linotype" w:hAnsi="Palatino Linotype" w:cs="Palatino Linotype"/>
          <w:sz w:val="24"/>
          <w:szCs w:val="24"/>
          <w:lang w:val="es-ES_tradnl"/>
        </w:rPr>
        <w:t>de que considere que la resolución le cause algún perjuicio podrá impugnarla vía</w:t>
      </w:r>
      <w:r w:rsidR="00146766" w:rsidRPr="00B31836">
        <w:rPr>
          <w:rFonts w:ascii="Palatino Linotype" w:eastAsia="Palatino Linotype" w:hAnsi="Palatino Linotype" w:cs="Palatino Linotype"/>
          <w:sz w:val="24"/>
          <w:szCs w:val="24"/>
        </w:rPr>
        <w:t xml:space="preserve"> </w:t>
      </w:r>
      <w:r w:rsidR="00146766" w:rsidRPr="00B31836">
        <w:rPr>
          <w:rFonts w:ascii="Palatino Linotype" w:eastAsia="Palatino Linotype" w:hAnsi="Palatino Linotype" w:cs="Palatino Linotype"/>
          <w:sz w:val="24"/>
          <w:szCs w:val="24"/>
          <w:lang w:val="es-ES_tradnl"/>
        </w:rPr>
        <w:t xml:space="preserve">Recurso de inconformidad ante el Instituto Nacional de Transparencia, Acceso a la Información y </w:t>
      </w:r>
      <w:r w:rsidR="00146766" w:rsidRPr="00B31836">
        <w:rPr>
          <w:rFonts w:ascii="Palatino Linotype" w:eastAsia="Palatino Linotype" w:hAnsi="Palatino Linotype" w:cs="Palatino Linotype"/>
          <w:sz w:val="24"/>
          <w:szCs w:val="24"/>
          <w:lang w:val="es-ES_tradnl"/>
        </w:rPr>
        <w:lastRenderedPageBreak/>
        <w:t>Protección de Datos Personales, o bien, vía juicio de amparo en los Términos de las Leyes aplicables.</w:t>
      </w:r>
    </w:p>
    <w:p w14:paraId="7C6046CE" w14:textId="77777777" w:rsidR="00345EF4" w:rsidRPr="00B31836" w:rsidRDefault="00345EF4" w:rsidP="00345EF4">
      <w:pPr>
        <w:spacing w:line="360" w:lineRule="auto"/>
        <w:jc w:val="both"/>
        <w:rPr>
          <w:rFonts w:ascii="Palatino Linotype" w:eastAsia="Palatino Linotype" w:hAnsi="Palatino Linotype" w:cs="Palatino Linotype"/>
          <w:sz w:val="24"/>
          <w:szCs w:val="24"/>
        </w:rPr>
      </w:pPr>
    </w:p>
    <w:p w14:paraId="45FA9C0B" w14:textId="599E71DA" w:rsidR="00BE5A62" w:rsidRPr="00B31836" w:rsidRDefault="00345EF4" w:rsidP="00345EF4">
      <w:pPr>
        <w:spacing w:line="360" w:lineRule="auto"/>
        <w:jc w:val="both"/>
        <w:rPr>
          <w:rFonts w:ascii="Palatino Linotype" w:eastAsia="Palatino Linotype" w:hAnsi="Palatino Linotype" w:cs="Palatino Linotype"/>
          <w:sz w:val="24"/>
          <w:szCs w:val="24"/>
        </w:rPr>
      </w:pPr>
      <w:r w:rsidRPr="00B31836">
        <w:rPr>
          <w:rFonts w:ascii="Palatino Linotype" w:eastAsia="Palatino Linotype" w:hAnsi="Palatino Linotype" w:cs="Palatino Linotype"/>
          <w:b/>
          <w:sz w:val="24"/>
          <w:szCs w:val="24"/>
        </w:rPr>
        <w:t>SÉPTIMO.</w:t>
      </w:r>
      <w:r w:rsidRPr="00B31836">
        <w:rPr>
          <w:rFonts w:ascii="Palatino Linotype" w:eastAsia="Palatino Linotype" w:hAnsi="Palatino Linotype" w:cs="Palatino Linotype"/>
          <w:sz w:val="24"/>
          <w:szCs w:val="24"/>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w:t>
      </w:r>
      <w:r w:rsidR="00B83E29" w:rsidRPr="00B31836">
        <w:rPr>
          <w:rFonts w:ascii="Palatino Linotype" w:eastAsia="Palatino Linotype" w:hAnsi="Palatino Linotype" w:cs="Palatino Linotype"/>
          <w:sz w:val="24"/>
          <w:szCs w:val="24"/>
        </w:rPr>
        <w:t>puesto en el Considerando SEXTO</w:t>
      </w:r>
      <w:r w:rsidRPr="00B31836">
        <w:rPr>
          <w:rFonts w:ascii="Palatino Linotype" w:eastAsia="Palatino Linotype" w:hAnsi="Palatino Linotype" w:cs="Palatino Linotype"/>
          <w:sz w:val="24"/>
          <w:szCs w:val="24"/>
        </w:rPr>
        <w:t xml:space="preserve"> de la presente Resolución.</w:t>
      </w:r>
    </w:p>
    <w:p w14:paraId="25C2DC25" w14:textId="77777777" w:rsidR="004309DC" w:rsidRPr="00B31836" w:rsidRDefault="004309DC" w:rsidP="00345EF4">
      <w:pPr>
        <w:spacing w:line="360" w:lineRule="auto"/>
        <w:jc w:val="both"/>
        <w:rPr>
          <w:rFonts w:ascii="Palatino Linotype" w:eastAsia="Palatino Linotype" w:hAnsi="Palatino Linotype" w:cs="Palatino Linotype"/>
          <w:sz w:val="24"/>
          <w:szCs w:val="24"/>
        </w:rPr>
      </w:pPr>
    </w:p>
    <w:p w14:paraId="4B7D6CC7" w14:textId="336FC164" w:rsidR="004309DC" w:rsidRPr="004309DC" w:rsidRDefault="004309DC" w:rsidP="004309DC">
      <w:pPr>
        <w:spacing w:line="360" w:lineRule="auto"/>
        <w:ind w:left="-142" w:right="-234" w:firstLine="1"/>
        <w:jc w:val="both"/>
        <w:rPr>
          <w:rFonts w:ascii="Palatino Linotype" w:hAnsi="Palatino Linotype"/>
          <w:sz w:val="24"/>
        </w:rPr>
      </w:pPr>
      <w:r w:rsidRPr="00B31836">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312ED0" w:rsidRPr="00B31836">
        <w:rPr>
          <w:rFonts w:ascii="Palatino Linotype" w:hAnsi="Palatino Linotype"/>
          <w:sz w:val="24"/>
        </w:rPr>
        <w:t xml:space="preserve"> EMITIENDO VOTO PARTICULAR</w:t>
      </w:r>
      <w:r w:rsidRPr="00B31836">
        <w:rPr>
          <w:rFonts w:ascii="Palatino Linotype" w:hAnsi="Palatino Linotype"/>
          <w:sz w:val="24"/>
        </w:rPr>
        <w:t>; SHARON CRISTINA MORALES MARTÍNEZ; LUIS GUSTAVO PARRA NORIEGA</w:t>
      </w:r>
      <w:r w:rsidR="00312ED0" w:rsidRPr="00B31836">
        <w:rPr>
          <w:rFonts w:ascii="Palatino Linotype" w:hAnsi="Palatino Linotype"/>
          <w:sz w:val="24"/>
        </w:rPr>
        <w:t xml:space="preserve"> EMITIENDO VOTO PARTICULAR</w:t>
      </w:r>
      <w:r w:rsidRPr="00B31836">
        <w:rPr>
          <w:rFonts w:ascii="Palatino Linotype" w:hAnsi="Palatino Linotype"/>
          <w:sz w:val="24"/>
        </w:rPr>
        <w:t xml:space="preserve"> Y GUADALUPE RAMÍREZ PEÑA</w:t>
      </w:r>
      <w:r w:rsidR="00312ED0" w:rsidRPr="00B31836">
        <w:rPr>
          <w:rFonts w:ascii="Palatino Linotype" w:hAnsi="Palatino Linotype"/>
          <w:sz w:val="24"/>
        </w:rPr>
        <w:t xml:space="preserve"> EMITIENDO VOTO PARTICULAR</w:t>
      </w:r>
      <w:r w:rsidRPr="00B31836">
        <w:rPr>
          <w:rFonts w:ascii="Palatino Linotype" w:hAnsi="Palatino Linotype"/>
          <w:sz w:val="24"/>
        </w:rPr>
        <w:t>; EN LA QUINTA SESIÓN ORDINARIA CELEBRADA EL DOCE (12) DE FEBRERO DE DOS MIL VEINTICINCO, ANTE EL SECRETARIO TÉCNICO DEL PLENO ALEXIS TAPIA RAMÍREZ.</w:t>
      </w:r>
      <w:r w:rsidRPr="004309DC">
        <w:rPr>
          <w:rFonts w:ascii="Palatino Linotype" w:hAnsi="Palatino Linotype"/>
          <w:sz w:val="24"/>
        </w:rPr>
        <w:t xml:space="preserve"> </w:t>
      </w:r>
    </w:p>
    <w:p w14:paraId="697438AF" w14:textId="77777777" w:rsidR="006B2A7B" w:rsidRPr="004309DC" w:rsidRDefault="006B2A7B" w:rsidP="004309DC">
      <w:pPr>
        <w:spacing w:line="360" w:lineRule="auto"/>
        <w:ind w:right="-234"/>
        <w:rPr>
          <w:rFonts w:ascii="Palatino Linotype" w:hAnsi="Palatino Linotype"/>
          <w:sz w:val="32"/>
          <w:szCs w:val="24"/>
        </w:rPr>
      </w:pPr>
    </w:p>
    <w:p w14:paraId="2AAF784D" w14:textId="77777777" w:rsidR="006B2A7B" w:rsidRPr="004309DC" w:rsidRDefault="006B2A7B" w:rsidP="004309DC">
      <w:pPr>
        <w:spacing w:line="360" w:lineRule="auto"/>
        <w:ind w:right="-234"/>
        <w:rPr>
          <w:rFonts w:ascii="Palatino Linotype" w:hAnsi="Palatino Linotype"/>
          <w:sz w:val="32"/>
          <w:szCs w:val="24"/>
        </w:rPr>
      </w:pPr>
    </w:p>
    <w:p w14:paraId="28A6FCF0" w14:textId="77777777" w:rsidR="006B2A7B" w:rsidRPr="00146766" w:rsidRDefault="006B2A7B" w:rsidP="006B2A7B">
      <w:pPr>
        <w:spacing w:line="360" w:lineRule="auto"/>
        <w:rPr>
          <w:rFonts w:ascii="Palatino Linotype" w:hAnsi="Palatino Linotype"/>
          <w:sz w:val="24"/>
          <w:szCs w:val="24"/>
        </w:rPr>
      </w:pPr>
    </w:p>
    <w:p w14:paraId="29424A4C" w14:textId="77777777" w:rsidR="006B2A7B" w:rsidRPr="00146766" w:rsidRDefault="006B2A7B" w:rsidP="006B2A7B">
      <w:pPr>
        <w:spacing w:line="360" w:lineRule="auto"/>
        <w:rPr>
          <w:rFonts w:ascii="Palatino Linotype" w:hAnsi="Palatino Linotype"/>
          <w:sz w:val="24"/>
          <w:szCs w:val="24"/>
        </w:rPr>
      </w:pPr>
    </w:p>
    <w:p w14:paraId="6F29078B" w14:textId="77777777" w:rsidR="006B2A7B" w:rsidRPr="00146766" w:rsidRDefault="006B2A7B" w:rsidP="006B2A7B">
      <w:pPr>
        <w:spacing w:line="360" w:lineRule="auto"/>
        <w:rPr>
          <w:rFonts w:ascii="Palatino Linotype" w:hAnsi="Palatino Linotype"/>
          <w:sz w:val="24"/>
          <w:szCs w:val="24"/>
        </w:rPr>
      </w:pPr>
    </w:p>
    <w:p w14:paraId="141359B5" w14:textId="77777777" w:rsidR="006B2A7B" w:rsidRPr="00146766" w:rsidRDefault="006B2A7B" w:rsidP="006B2A7B">
      <w:pPr>
        <w:spacing w:line="360" w:lineRule="auto"/>
        <w:rPr>
          <w:rFonts w:ascii="Palatino Linotype" w:hAnsi="Palatino Linotype"/>
          <w:sz w:val="24"/>
          <w:szCs w:val="24"/>
        </w:rPr>
      </w:pPr>
    </w:p>
    <w:p w14:paraId="4565321F" w14:textId="77777777" w:rsidR="006B2A7B" w:rsidRPr="00146766" w:rsidRDefault="006B2A7B" w:rsidP="006B2A7B">
      <w:pPr>
        <w:spacing w:line="360" w:lineRule="auto"/>
        <w:rPr>
          <w:rFonts w:ascii="Palatino Linotype" w:hAnsi="Palatino Linotype"/>
          <w:sz w:val="24"/>
          <w:szCs w:val="24"/>
        </w:rPr>
      </w:pPr>
    </w:p>
    <w:p w14:paraId="5640A009" w14:textId="77777777" w:rsidR="006B2A7B" w:rsidRPr="00146766" w:rsidRDefault="006B2A7B" w:rsidP="006B2A7B">
      <w:pPr>
        <w:spacing w:line="360" w:lineRule="auto"/>
        <w:rPr>
          <w:rFonts w:ascii="Palatino Linotype" w:hAnsi="Palatino Linotype"/>
          <w:sz w:val="24"/>
          <w:szCs w:val="24"/>
        </w:rPr>
      </w:pPr>
    </w:p>
    <w:p w14:paraId="08484BC5" w14:textId="77777777" w:rsidR="006B2A7B" w:rsidRPr="00146766" w:rsidRDefault="006B2A7B" w:rsidP="006B2A7B">
      <w:pPr>
        <w:spacing w:line="360" w:lineRule="auto"/>
        <w:rPr>
          <w:rFonts w:ascii="Palatino Linotype" w:hAnsi="Palatino Linotype"/>
          <w:sz w:val="24"/>
          <w:szCs w:val="24"/>
        </w:rPr>
      </w:pPr>
    </w:p>
    <w:p w14:paraId="588F7784" w14:textId="77777777" w:rsidR="006B2A7B" w:rsidRPr="00146766" w:rsidRDefault="006B2A7B" w:rsidP="006B2A7B">
      <w:pPr>
        <w:spacing w:line="360" w:lineRule="auto"/>
        <w:rPr>
          <w:rFonts w:ascii="Palatino Linotype" w:hAnsi="Palatino Linotype"/>
          <w:sz w:val="24"/>
          <w:szCs w:val="24"/>
        </w:rPr>
      </w:pPr>
    </w:p>
    <w:bookmarkEnd w:id="9"/>
    <w:p w14:paraId="17E344F5" w14:textId="77777777" w:rsidR="00810AA9" w:rsidRPr="00146766" w:rsidRDefault="00810AA9" w:rsidP="00810AA9">
      <w:pPr>
        <w:spacing w:line="360" w:lineRule="auto"/>
        <w:ind w:right="34"/>
        <w:jc w:val="both"/>
        <w:rPr>
          <w:rFonts w:ascii="Palatino Linotype" w:eastAsia="Palatino Linotype" w:hAnsi="Palatino Linotype" w:cs="Palatino Linotype"/>
          <w:color w:val="000000"/>
          <w:sz w:val="24"/>
          <w:szCs w:val="24"/>
        </w:rPr>
      </w:pPr>
    </w:p>
    <w:sectPr w:rsidR="00810AA9" w:rsidRPr="00146766">
      <w:headerReference w:type="even" r:id="rId12"/>
      <w:headerReference w:type="default" r:id="rId13"/>
      <w:footerReference w:type="default" r:id="rId14"/>
      <w:headerReference w:type="first" r:id="rId15"/>
      <w:footerReference w:type="first" r:id="rId16"/>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BF43E" w14:textId="77777777" w:rsidR="00471733" w:rsidRDefault="00471733">
      <w:r>
        <w:separator/>
      </w:r>
    </w:p>
  </w:endnote>
  <w:endnote w:type="continuationSeparator" w:id="0">
    <w:p w14:paraId="5B1BF01D" w14:textId="77777777" w:rsidR="00471733" w:rsidRDefault="0047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5478D5" w:rsidRDefault="005478D5">
            <w:pPr>
              <w:pStyle w:val="Piedepgina"/>
              <w:jc w:val="right"/>
            </w:pPr>
          </w:p>
          <w:p w14:paraId="1F7A191C" w14:textId="2A69F491" w:rsidR="005478D5" w:rsidRDefault="005478D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27AF">
              <w:rPr>
                <w:b/>
                <w:bCs/>
                <w:noProof/>
              </w:rPr>
              <w:t>77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27AF">
              <w:rPr>
                <w:b/>
                <w:bCs/>
                <w:noProof/>
              </w:rPr>
              <w:t>77</w:t>
            </w:r>
            <w:r>
              <w:rPr>
                <w:b/>
                <w:bCs/>
                <w:sz w:val="24"/>
                <w:szCs w:val="24"/>
              </w:rPr>
              <w:fldChar w:fldCharType="end"/>
            </w:r>
          </w:p>
        </w:sdtContent>
      </w:sdt>
    </w:sdtContent>
  </w:sdt>
  <w:p w14:paraId="2A221972" w14:textId="77777777" w:rsidR="005478D5" w:rsidRDefault="005478D5">
    <w:pPr>
      <w:pStyle w:val="Piedepgina"/>
    </w:pPr>
  </w:p>
  <w:p w14:paraId="1D6FF208" w14:textId="77777777" w:rsidR="005478D5" w:rsidRDefault="005478D5"/>
  <w:p w14:paraId="70055CD7" w14:textId="77777777" w:rsidR="005478D5" w:rsidRDefault="005478D5"/>
  <w:p w14:paraId="5452645F" w14:textId="77777777" w:rsidR="005478D5" w:rsidRDefault="005478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5478D5" w:rsidRDefault="005478D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27A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27AF">
              <w:rPr>
                <w:b/>
                <w:bCs/>
                <w:noProof/>
              </w:rPr>
              <w:t>77</w:t>
            </w:r>
            <w:r>
              <w:rPr>
                <w:b/>
                <w:bCs/>
                <w:sz w:val="24"/>
                <w:szCs w:val="24"/>
              </w:rPr>
              <w:fldChar w:fldCharType="end"/>
            </w:r>
          </w:p>
        </w:sdtContent>
      </w:sdt>
    </w:sdtContent>
  </w:sdt>
  <w:p w14:paraId="2D12AEB2" w14:textId="77777777" w:rsidR="005478D5" w:rsidRDefault="005478D5">
    <w:pPr>
      <w:pStyle w:val="Piedepgina"/>
    </w:pPr>
  </w:p>
  <w:p w14:paraId="54227169" w14:textId="77777777" w:rsidR="005478D5" w:rsidRDefault="005478D5"/>
  <w:p w14:paraId="7DE40FB1" w14:textId="77777777" w:rsidR="005478D5" w:rsidRDefault="005478D5"/>
  <w:p w14:paraId="33755E87" w14:textId="77777777" w:rsidR="005478D5" w:rsidRDefault="005478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FBBC5" w14:textId="77777777" w:rsidR="00471733" w:rsidRDefault="00471733">
      <w:r>
        <w:separator/>
      </w:r>
    </w:p>
  </w:footnote>
  <w:footnote w:type="continuationSeparator" w:id="0">
    <w:p w14:paraId="016C5D12" w14:textId="77777777" w:rsidR="00471733" w:rsidRDefault="00471733">
      <w:r>
        <w:continuationSeparator/>
      </w:r>
    </w:p>
  </w:footnote>
  <w:footnote w:id="1">
    <w:p w14:paraId="596274C3" w14:textId="77777777" w:rsidR="005478D5" w:rsidRPr="009C43C2" w:rsidRDefault="005478D5" w:rsidP="005B056B">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2">
    <w:p w14:paraId="31263E79" w14:textId="77777777" w:rsidR="005478D5" w:rsidRPr="009C43C2" w:rsidRDefault="005478D5" w:rsidP="005B056B">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3">
    <w:p w14:paraId="2337756F" w14:textId="77777777" w:rsidR="005478D5" w:rsidRPr="009C43C2" w:rsidRDefault="005478D5" w:rsidP="005B056B">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21A0F61F" w14:textId="77777777" w:rsidR="005478D5" w:rsidRDefault="005478D5" w:rsidP="005B056B">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w:t>
      </w:r>
      <w:proofErr w:type="spellStart"/>
      <w:r w:rsidRPr="009C43C2">
        <w:rPr>
          <w:rFonts w:ascii="Palatino Linotype" w:hAnsi="Palatino Linotype"/>
          <w:sz w:val="18"/>
        </w:rPr>
        <w:t>Parr</w:t>
      </w:r>
      <w:proofErr w:type="spellEnd"/>
      <w:r w:rsidRPr="009C43C2">
        <w:rPr>
          <w:rFonts w:ascii="Palatino Linotype" w:hAnsi="Palatino Linotype"/>
          <w:sz w:val="18"/>
        </w:rPr>
        <w:t>. 87.</w:t>
      </w:r>
    </w:p>
  </w:footnote>
  <w:footnote w:id="5">
    <w:p w14:paraId="10552051" w14:textId="77777777" w:rsidR="00081064" w:rsidRPr="00DE395A" w:rsidRDefault="00081064" w:rsidP="00081064">
      <w:pPr>
        <w:autoSpaceDE w:val="0"/>
        <w:autoSpaceDN w:val="0"/>
        <w:adjustRightInd w:val="0"/>
        <w:spacing w:line="276" w:lineRule="auto"/>
        <w:jc w:val="both"/>
        <w:rPr>
          <w:rFonts w:cs="Arial"/>
        </w:rPr>
      </w:pPr>
      <w:r>
        <w:rPr>
          <w:rStyle w:val="Refdenotaalpie"/>
        </w:rPr>
        <w:footnoteRef/>
      </w:r>
      <w:r w:rsidRPr="00DE395A">
        <w:t xml:space="preserve"> </w:t>
      </w:r>
      <w:r w:rsidRPr="00DE395A">
        <w:rPr>
          <w:rFonts w:cs="Arial"/>
          <w:b/>
          <w:bCs/>
        </w:rPr>
        <w:t xml:space="preserve">Artículo 122. </w:t>
      </w:r>
      <w:r w:rsidRPr="00DE395A">
        <w:rPr>
          <w:rFonts w:cs="Arial"/>
        </w:rPr>
        <w:t xml:space="preserve">La clasificación es el proceso mediante el cual el sujeto obligado determina que la información en su poder </w:t>
      </w:r>
      <w:proofErr w:type="spellStart"/>
      <w:r w:rsidRPr="00DE395A">
        <w:rPr>
          <w:rFonts w:cs="Arial"/>
        </w:rPr>
        <w:t>actualiza</w:t>
      </w:r>
      <w:proofErr w:type="spellEnd"/>
      <w:r w:rsidRPr="00DE395A">
        <w:rPr>
          <w:rFonts w:cs="Arial"/>
        </w:rPr>
        <w:t xml:space="preserve"> alguno de los supuestos de reserva o confidencialidad, de conformidad con lo dispuesto en el presente título.</w:t>
      </w:r>
    </w:p>
    <w:p w14:paraId="2CC58823" w14:textId="77777777" w:rsidR="00081064" w:rsidRPr="00DE395A" w:rsidRDefault="00081064" w:rsidP="00081064">
      <w:pPr>
        <w:autoSpaceDE w:val="0"/>
        <w:autoSpaceDN w:val="0"/>
        <w:adjustRightInd w:val="0"/>
        <w:spacing w:line="276" w:lineRule="auto"/>
        <w:jc w:val="both"/>
        <w:rPr>
          <w:rFonts w:cs="Arial"/>
        </w:rPr>
      </w:pPr>
      <w:r w:rsidRPr="00DE395A">
        <w:rPr>
          <w:rFonts w:cs="Arial"/>
        </w:rPr>
        <w:t>Los supuestos de reserva o confidencialidad previstos en las leyes deberán ser acordes con las bases, principios y disposiciones establecidos en la Ley General y, en ningún caso, podrán contravenirla.</w:t>
      </w:r>
    </w:p>
    <w:p w14:paraId="31046FD9" w14:textId="77777777" w:rsidR="00081064" w:rsidRPr="00DE395A" w:rsidRDefault="00081064" w:rsidP="00081064">
      <w:pPr>
        <w:autoSpaceDE w:val="0"/>
        <w:autoSpaceDN w:val="0"/>
        <w:adjustRightInd w:val="0"/>
        <w:spacing w:line="276" w:lineRule="auto"/>
        <w:jc w:val="both"/>
        <w:rPr>
          <w:rFonts w:cs="Arial"/>
        </w:rPr>
      </w:pPr>
      <w:r w:rsidRPr="00DE395A">
        <w:rPr>
          <w:rFonts w:cs="Arial"/>
        </w:rPr>
        <w:t>Los titulares de las áreas de los sujetos obligados serán los responsables de clasificar la información, de conformidad con lo dispuesto en la presente Ley y demás disposiciones jurídicas aplicables.</w:t>
      </w:r>
    </w:p>
  </w:footnote>
  <w:footnote w:id="6">
    <w:p w14:paraId="1243961A" w14:textId="77777777" w:rsidR="00081064" w:rsidRPr="00DE395A" w:rsidRDefault="00081064" w:rsidP="00081064">
      <w:pPr>
        <w:autoSpaceDE w:val="0"/>
        <w:autoSpaceDN w:val="0"/>
        <w:adjustRightInd w:val="0"/>
        <w:spacing w:line="276" w:lineRule="auto"/>
        <w:jc w:val="both"/>
        <w:rPr>
          <w:rFonts w:cs="Arial"/>
        </w:rPr>
      </w:pPr>
      <w:r w:rsidRPr="00985DD4">
        <w:rPr>
          <w:rStyle w:val="Refdenotaalpie"/>
        </w:rPr>
        <w:footnoteRef/>
      </w:r>
      <w:r w:rsidRPr="00DE395A">
        <w:t xml:space="preserve"> </w:t>
      </w:r>
      <w:r w:rsidRPr="00DE395A">
        <w:rPr>
          <w:rFonts w:cs="Arial"/>
          <w:b/>
        </w:rPr>
        <w:t>Artículo 135.</w:t>
      </w:r>
      <w:r w:rsidRPr="00DE395A">
        <w:rPr>
          <w:rFonts w:cs="Arial"/>
        </w:rPr>
        <w:t xml:space="preserve"> Los lineamientos generales que se emitan al respecto en materia de clasificación de la información reservada y confidencial y, para la elaboración de versiones públicas, serán de observancia obligatoria para los sujetos obligados.</w:t>
      </w:r>
    </w:p>
  </w:footnote>
  <w:footnote w:id="7">
    <w:p w14:paraId="45E214C0" w14:textId="77777777" w:rsidR="00081064" w:rsidRPr="009F19BE" w:rsidRDefault="00081064" w:rsidP="00081064">
      <w:pPr>
        <w:pStyle w:val="ADB1"/>
        <w:jc w:val="both"/>
        <w:rPr>
          <w:rFonts w:ascii="Palatino Linotype" w:hAnsi="Palatino Linotype"/>
          <w:sz w:val="18"/>
        </w:rPr>
      </w:pPr>
      <w:r w:rsidRPr="009F19BE">
        <w:rPr>
          <w:rStyle w:val="Refdenotaalpie"/>
          <w:rFonts w:ascii="Palatino Linotype" w:hAnsi="Palatino Linotype"/>
          <w:sz w:val="16"/>
        </w:rPr>
        <w:footnoteRef/>
      </w:r>
      <w:r w:rsidRPr="009F19BE">
        <w:rPr>
          <w:rFonts w:ascii="Palatino Linotype" w:hAnsi="Palatino Linotype"/>
          <w:sz w:val="16"/>
          <w:lang w:val="es-ES"/>
        </w:rPr>
        <w:t xml:space="preserve"> </w:t>
      </w:r>
      <w:r w:rsidRPr="009F19BE">
        <w:rPr>
          <w:rFonts w:ascii="Palatino Linotype" w:hAnsi="Palatino Linotype"/>
          <w:b/>
          <w:sz w:val="16"/>
        </w:rPr>
        <w:t>RESTRICCIONES A LOS DERECHOS FUNDAMENTALES. ELEMENTOS QUE EL JUEZ CONSTITUCIONAL DEBE TOMAR EN CUENTA PARA CONSIDERARLAS VÁLIDAS.</w:t>
      </w:r>
      <w:r w:rsidRPr="009F19BE">
        <w:rPr>
          <w:rFonts w:ascii="Palatino Linotype" w:hAnsi="Palatino Linotype"/>
          <w:sz w:val="16"/>
        </w:rPr>
        <w:t xml:space="preserve"> </w:t>
      </w:r>
      <w:proofErr w:type="spellStart"/>
      <w:r w:rsidRPr="009F19BE">
        <w:rPr>
          <w:rFonts w:ascii="Palatino Linotype" w:hAnsi="Palatino Linotype"/>
          <w:sz w:val="16"/>
        </w:rPr>
        <w:t>Ningún</w:t>
      </w:r>
      <w:proofErr w:type="spellEnd"/>
      <w:r w:rsidRPr="009F19BE">
        <w:rPr>
          <w:rFonts w:ascii="Palatino Linotype" w:hAnsi="Palatino Linotype"/>
          <w:sz w:val="16"/>
        </w:rPr>
        <w:t xml:space="preserve"> derecho fundamental es absoluto y en esa medida todos admiten restricciones. Sin embargo, la </w:t>
      </w:r>
      <w:proofErr w:type="spellStart"/>
      <w:r w:rsidRPr="009F19BE">
        <w:rPr>
          <w:rFonts w:ascii="Palatino Linotype" w:hAnsi="Palatino Linotype"/>
          <w:sz w:val="16"/>
        </w:rPr>
        <w:t>regulación</w:t>
      </w:r>
      <w:proofErr w:type="spellEnd"/>
      <w:r w:rsidRPr="009F19BE">
        <w:rPr>
          <w:rFonts w:ascii="Palatino Linotype" w:hAnsi="Palatino Linotype"/>
          <w:sz w:val="16"/>
        </w:rPr>
        <w:t xml:space="preserve"> de dichas restricciones no puede ser arbitraria. Para que las medidas emitidas por el legislador ordinario con el </w:t>
      </w:r>
      <w:proofErr w:type="spellStart"/>
      <w:r w:rsidRPr="009F19BE">
        <w:rPr>
          <w:rFonts w:ascii="Palatino Linotype" w:hAnsi="Palatino Linotype"/>
          <w:sz w:val="16"/>
        </w:rPr>
        <w:t>propósito</w:t>
      </w:r>
      <w:proofErr w:type="spellEnd"/>
      <w:r w:rsidRPr="009F19BE">
        <w:rPr>
          <w:rFonts w:ascii="Palatino Linotype" w:hAnsi="Palatino Linotype"/>
          <w:sz w:val="16"/>
        </w:rPr>
        <w:t xml:space="preserve"> de restringir los derechos fundamentales sean </w:t>
      </w:r>
      <w:proofErr w:type="spellStart"/>
      <w:r w:rsidRPr="009F19BE">
        <w:rPr>
          <w:rFonts w:ascii="Palatino Linotype" w:hAnsi="Palatino Linotype"/>
          <w:sz w:val="16"/>
        </w:rPr>
        <w:t>válidas</w:t>
      </w:r>
      <w:proofErr w:type="spellEnd"/>
      <w:r w:rsidRPr="009F19BE">
        <w:rPr>
          <w:rFonts w:ascii="Palatino Linotype" w:hAnsi="Palatino Linotype"/>
          <w:sz w:val="16"/>
        </w:rPr>
        <w:t xml:space="preserve">, deben satisfacer al menos los siguientes requisitos: a) ser admisibles dentro del </w:t>
      </w:r>
      <w:proofErr w:type="spellStart"/>
      <w:r w:rsidRPr="009F19BE">
        <w:rPr>
          <w:rFonts w:ascii="Palatino Linotype" w:hAnsi="Palatino Linotype"/>
          <w:sz w:val="16"/>
        </w:rPr>
        <w:t>ámbito</w:t>
      </w:r>
      <w:proofErr w:type="spellEnd"/>
      <w:r w:rsidRPr="009F19BE">
        <w:rPr>
          <w:rFonts w:ascii="Palatino Linotype" w:hAnsi="Palatino Linotype"/>
          <w:sz w:val="16"/>
        </w:rPr>
        <w:t xml:space="preserve"> constitucional, esto es, el legislador ordinario </w:t>
      </w:r>
      <w:proofErr w:type="spellStart"/>
      <w:r w:rsidRPr="009F19BE">
        <w:rPr>
          <w:rFonts w:ascii="Palatino Linotype" w:hAnsi="Palatino Linotype"/>
          <w:sz w:val="16"/>
        </w:rPr>
        <w:t>sólo</w:t>
      </w:r>
      <w:proofErr w:type="spellEnd"/>
      <w:r w:rsidRPr="009F19BE">
        <w:rPr>
          <w:rFonts w:ascii="Palatino Linotype" w:hAnsi="Palatino Linotype"/>
          <w:sz w:val="16"/>
        </w:rPr>
        <w:t xml:space="preserve"> puede restringir o suspender el ejercicio de las </w:t>
      </w:r>
      <w:proofErr w:type="spellStart"/>
      <w:r w:rsidRPr="009F19BE">
        <w:rPr>
          <w:rFonts w:ascii="Palatino Linotype" w:hAnsi="Palatino Linotype"/>
          <w:sz w:val="16"/>
        </w:rPr>
        <w:t>garantías</w:t>
      </w:r>
      <w:proofErr w:type="spellEnd"/>
      <w:r w:rsidRPr="009F19BE">
        <w:rPr>
          <w:rFonts w:ascii="Palatino Linotype" w:hAnsi="Palatino Linotype"/>
          <w:sz w:val="16"/>
        </w:rPr>
        <w:t xml:space="preserve"> individuales con objetivos que puedan enmarcarse dentro de las previsiones de la Carta Magna; b) ser necesarias para asegurar la </w:t>
      </w:r>
      <w:proofErr w:type="spellStart"/>
      <w:r w:rsidRPr="009F19BE">
        <w:rPr>
          <w:rFonts w:ascii="Palatino Linotype" w:hAnsi="Palatino Linotype"/>
          <w:sz w:val="16"/>
        </w:rPr>
        <w:t>obtención</w:t>
      </w:r>
      <w:proofErr w:type="spellEnd"/>
      <w:r w:rsidRPr="009F19BE">
        <w:rPr>
          <w:rFonts w:ascii="Palatino Linotype" w:hAnsi="Palatino Linotype"/>
          <w:sz w:val="16"/>
        </w:rPr>
        <w:t xml:space="preserve"> de los fines que fundamentan la </w:t>
      </w:r>
      <w:proofErr w:type="spellStart"/>
      <w:r w:rsidRPr="009F19BE">
        <w:rPr>
          <w:rFonts w:ascii="Palatino Linotype" w:hAnsi="Palatino Linotype"/>
          <w:sz w:val="16"/>
        </w:rPr>
        <w:t>restricción</w:t>
      </w:r>
      <w:proofErr w:type="spellEnd"/>
      <w:r w:rsidRPr="009F19BE">
        <w:rPr>
          <w:rFonts w:ascii="Palatino Linotype" w:hAnsi="Palatino Linotype"/>
          <w:sz w:val="16"/>
        </w:rPr>
        <w:t xml:space="preserve"> constitucional, es decir, no basta que la </w:t>
      </w:r>
      <w:proofErr w:type="spellStart"/>
      <w:r w:rsidRPr="009F19BE">
        <w:rPr>
          <w:rFonts w:ascii="Palatino Linotype" w:hAnsi="Palatino Linotype"/>
          <w:sz w:val="16"/>
        </w:rPr>
        <w:t>restricción</w:t>
      </w:r>
      <w:proofErr w:type="spellEnd"/>
      <w:r w:rsidRPr="009F19BE">
        <w:rPr>
          <w:rFonts w:ascii="Palatino Linotype" w:hAnsi="Palatino Linotype"/>
          <w:sz w:val="16"/>
        </w:rPr>
        <w:t xml:space="preserve"> sea en </w:t>
      </w:r>
      <w:proofErr w:type="spellStart"/>
      <w:r w:rsidRPr="009F19BE">
        <w:rPr>
          <w:rFonts w:ascii="Palatino Linotype" w:hAnsi="Palatino Linotype"/>
          <w:sz w:val="16"/>
        </w:rPr>
        <w:t>términos</w:t>
      </w:r>
      <w:proofErr w:type="spellEnd"/>
      <w:r w:rsidRPr="009F19BE">
        <w:rPr>
          <w:rFonts w:ascii="Palatino Linotype" w:hAnsi="Palatino Linotype"/>
          <w:sz w:val="16"/>
        </w:rPr>
        <w:t xml:space="preserve"> amplios </w:t>
      </w:r>
      <w:proofErr w:type="spellStart"/>
      <w:r w:rsidRPr="009F19BE">
        <w:rPr>
          <w:rFonts w:ascii="Palatino Linotype" w:hAnsi="Palatino Linotype"/>
          <w:sz w:val="16"/>
        </w:rPr>
        <w:t>útil</w:t>
      </w:r>
      <w:proofErr w:type="spellEnd"/>
      <w:r w:rsidRPr="009F19BE">
        <w:rPr>
          <w:rFonts w:ascii="Palatino Linotype" w:hAnsi="Palatino Linotype"/>
          <w:sz w:val="16"/>
        </w:rPr>
        <w:t xml:space="preserve"> para la </w:t>
      </w:r>
      <w:proofErr w:type="spellStart"/>
      <w:r w:rsidRPr="009F19BE">
        <w:rPr>
          <w:rFonts w:ascii="Palatino Linotype" w:hAnsi="Palatino Linotype"/>
          <w:sz w:val="16"/>
        </w:rPr>
        <w:t>obtención</w:t>
      </w:r>
      <w:proofErr w:type="spellEnd"/>
      <w:r w:rsidRPr="009F19BE">
        <w:rPr>
          <w:rFonts w:ascii="Palatino Linotype" w:hAnsi="Palatino Linotype"/>
          <w:sz w:val="16"/>
        </w:rPr>
        <w:t xml:space="preserve"> de esos objetivos, sino que debe ser la </w:t>
      </w:r>
      <w:proofErr w:type="spellStart"/>
      <w:r w:rsidRPr="009F19BE">
        <w:rPr>
          <w:rFonts w:ascii="Palatino Linotype" w:hAnsi="Palatino Linotype"/>
          <w:sz w:val="16"/>
        </w:rPr>
        <w:t>idónea</w:t>
      </w:r>
      <w:proofErr w:type="spellEnd"/>
      <w:r w:rsidRPr="009F19BE">
        <w:rPr>
          <w:rFonts w:ascii="Palatino Linotype" w:hAnsi="Palatino Linotype"/>
          <w:sz w:val="16"/>
        </w:rPr>
        <w:t xml:space="preserve"> para su </w:t>
      </w:r>
      <w:proofErr w:type="spellStart"/>
      <w:r w:rsidRPr="009F19BE">
        <w:rPr>
          <w:rFonts w:ascii="Palatino Linotype" w:hAnsi="Palatino Linotype"/>
          <w:sz w:val="16"/>
        </w:rPr>
        <w:t>realización</w:t>
      </w:r>
      <w:proofErr w:type="spellEnd"/>
      <w:r w:rsidRPr="009F19BE">
        <w:rPr>
          <w:rFonts w:ascii="Palatino Linotype" w:hAnsi="Palatino Linotype"/>
          <w:sz w:val="16"/>
        </w:rPr>
        <w:t xml:space="preserve">, lo que significa que el fin buscado por el legislador no se pueda alcanzar razonablemente por otros medios menos restrictivos de derechos fundamentales; y, c) ser proporcional, esto es, la medida legislativa debe respetar una correspondencia entre la </w:t>
      </w:r>
      <w:r w:rsidRPr="009F19BE">
        <w:rPr>
          <w:rFonts w:ascii="Palatino Linotype" w:hAnsi="Palatino Linotype"/>
          <w:sz w:val="18"/>
        </w:rPr>
        <w:t xml:space="preserve">importancia del fin buscado por la ley, y los efectos perjudiciales que produce en otros derechos e intereses constitucionales, en el entendido de que la </w:t>
      </w:r>
      <w:proofErr w:type="spellStart"/>
      <w:r w:rsidRPr="009F19BE">
        <w:rPr>
          <w:rFonts w:ascii="Palatino Linotype" w:hAnsi="Palatino Linotype"/>
          <w:sz w:val="18"/>
        </w:rPr>
        <w:t>persecución</w:t>
      </w:r>
      <w:proofErr w:type="spellEnd"/>
      <w:r w:rsidRPr="009F19BE">
        <w:rPr>
          <w:rFonts w:ascii="Palatino Linotype" w:hAnsi="Palatino Linotype"/>
          <w:sz w:val="18"/>
        </w:rPr>
        <w:t xml:space="preserve"> de un objetivo constitucional no puede hacerse a costa de una </w:t>
      </w:r>
      <w:proofErr w:type="spellStart"/>
      <w:r w:rsidRPr="009F19BE">
        <w:rPr>
          <w:rFonts w:ascii="Palatino Linotype" w:hAnsi="Palatino Linotype"/>
          <w:sz w:val="18"/>
        </w:rPr>
        <w:t>afectación</w:t>
      </w:r>
      <w:proofErr w:type="spellEnd"/>
      <w:r w:rsidRPr="009F19BE">
        <w:rPr>
          <w:rFonts w:ascii="Palatino Linotype" w:hAnsi="Palatino Linotype"/>
          <w:sz w:val="18"/>
        </w:rPr>
        <w:t xml:space="preserve"> innecesaria o desmedida a otros bienes y derechos constitucionalmente protegidos. </w:t>
      </w:r>
      <w:proofErr w:type="spellStart"/>
      <w:r w:rsidRPr="009F19BE">
        <w:rPr>
          <w:rFonts w:ascii="Palatino Linotype" w:hAnsi="Palatino Linotype"/>
          <w:sz w:val="18"/>
        </w:rPr>
        <w:t>Asi</w:t>
      </w:r>
      <w:proofErr w:type="spellEnd"/>
      <w:r w:rsidRPr="009F19BE">
        <w:rPr>
          <w:rFonts w:ascii="Palatino Linotype" w:hAnsi="Palatino Linotype"/>
          <w:sz w:val="18"/>
        </w:rPr>
        <w:t xml:space="preserve">́, el juzgador debe determinar en cada caso si la </w:t>
      </w:r>
      <w:proofErr w:type="spellStart"/>
      <w:r w:rsidRPr="009F19BE">
        <w:rPr>
          <w:rFonts w:ascii="Palatino Linotype" w:hAnsi="Palatino Linotype"/>
          <w:sz w:val="18"/>
        </w:rPr>
        <w:t>restricción</w:t>
      </w:r>
      <w:proofErr w:type="spellEnd"/>
      <w:r w:rsidRPr="009F19BE">
        <w:rPr>
          <w:rFonts w:ascii="Palatino Linotype" w:hAnsi="Palatino Linotype"/>
          <w:sz w:val="18"/>
        </w:rPr>
        <w:t xml:space="preserve">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w:t>
      </w:r>
      <w:proofErr w:type="spellStart"/>
      <w:r w:rsidRPr="009F19BE">
        <w:rPr>
          <w:rFonts w:ascii="Palatino Linotype" w:hAnsi="Palatino Linotype"/>
          <w:sz w:val="18"/>
        </w:rPr>
        <w:t>distinción</w:t>
      </w:r>
      <w:proofErr w:type="spellEnd"/>
      <w:r w:rsidRPr="009F19BE">
        <w:rPr>
          <w:rFonts w:ascii="Palatino Linotype" w:hAnsi="Palatino Linotype"/>
          <w:sz w:val="18"/>
        </w:rPr>
        <w:t xml:space="preserve"> legislativa se encuentra dentro de las opciones de tratamiento que pueden considerarse proporcionales. De igual manera, las restricciones </w:t>
      </w:r>
      <w:proofErr w:type="spellStart"/>
      <w:r w:rsidRPr="009F19BE">
        <w:rPr>
          <w:rFonts w:ascii="Palatino Linotype" w:hAnsi="Palatino Linotype"/>
          <w:sz w:val="18"/>
        </w:rPr>
        <w:t>deberán</w:t>
      </w:r>
      <w:proofErr w:type="spellEnd"/>
      <w:r w:rsidRPr="009F19BE">
        <w:rPr>
          <w:rFonts w:ascii="Palatino Linotype" w:hAnsi="Palatino Linotype"/>
          <w:sz w:val="18"/>
        </w:rPr>
        <w:t xml:space="preserve"> estar en consonancia con la ley, incluidas las normas internacionales de derechos humanos, y ser compatibles con la naturaleza de los derechos amparados por la </w:t>
      </w:r>
      <w:proofErr w:type="spellStart"/>
      <w:r w:rsidRPr="009F19BE">
        <w:rPr>
          <w:rFonts w:ascii="Palatino Linotype" w:hAnsi="Palatino Linotype"/>
          <w:sz w:val="18"/>
        </w:rPr>
        <w:t>Constitución</w:t>
      </w:r>
      <w:proofErr w:type="spellEnd"/>
      <w:r w:rsidRPr="009F19BE">
        <w:rPr>
          <w:rFonts w:ascii="Palatino Linotype" w:hAnsi="Palatino Linotype"/>
          <w:sz w:val="18"/>
        </w:rPr>
        <w:t xml:space="preserve">, en aras de la </w:t>
      </w:r>
      <w:proofErr w:type="spellStart"/>
      <w:r w:rsidRPr="009F19BE">
        <w:rPr>
          <w:rFonts w:ascii="Palatino Linotype" w:hAnsi="Palatino Linotype"/>
          <w:sz w:val="18"/>
        </w:rPr>
        <w:t>consecución</w:t>
      </w:r>
      <w:proofErr w:type="spellEnd"/>
      <w:r w:rsidRPr="009F19BE">
        <w:rPr>
          <w:rFonts w:ascii="Palatino Linotype" w:hAnsi="Palatino Linotype"/>
          <w:sz w:val="18"/>
        </w:rPr>
        <w:t xml:space="preserve"> de los objetivos </w:t>
      </w:r>
      <w:proofErr w:type="spellStart"/>
      <w:r w:rsidRPr="009F19BE">
        <w:rPr>
          <w:rFonts w:ascii="Palatino Linotype" w:hAnsi="Palatino Linotype"/>
          <w:sz w:val="18"/>
        </w:rPr>
        <w:t>legítimos</w:t>
      </w:r>
      <w:proofErr w:type="spellEnd"/>
      <w:r w:rsidRPr="009F19BE">
        <w:rPr>
          <w:rFonts w:ascii="Palatino Linotype" w:hAnsi="Palatino Linotype"/>
          <w:sz w:val="18"/>
        </w:rPr>
        <w:t xml:space="preserve"> perseguidos, y ser estrictamente necesarias para promover el bienestar general en una sociedad </w:t>
      </w:r>
      <w:proofErr w:type="spellStart"/>
      <w:r w:rsidRPr="009F19BE">
        <w:rPr>
          <w:rFonts w:ascii="Palatino Linotype" w:hAnsi="Palatino Linotype"/>
          <w:sz w:val="18"/>
        </w:rPr>
        <w:t>democrática</w:t>
      </w:r>
      <w:proofErr w:type="spellEnd"/>
      <w:r w:rsidRPr="009F19BE">
        <w:rPr>
          <w:rFonts w:ascii="Palatino Linotype" w:hAnsi="Palatino Linotype"/>
          <w:sz w:val="18"/>
        </w:rPr>
        <w:t xml:space="preserve">. </w:t>
      </w:r>
    </w:p>
    <w:p w14:paraId="0D42D129" w14:textId="77777777" w:rsidR="00081064" w:rsidRPr="009F19BE" w:rsidRDefault="00081064" w:rsidP="00081064">
      <w:pPr>
        <w:pStyle w:val="ADB1"/>
        <w:jc w:val="both"/>
        <w:rPr>
          <w:rFonts w:ascii="Palatino Linotype" w:hAnsi="Palatino Linotype"/>
          <w:sz w:val="18"/>
        </w:rPr>
      </w:pPr>
      <w:r w:rsidRPr="009F19BE">
        <w:rPr>
          <w:rFonts w:ascii="Palatino Linotype" w:hAnsi="Palatino Linotype"/>
          <w:sz w:val="18"/>
        </w:rPr>
        <w:t>1a</w:t>
      </w:r>
      <w:proofErr w:type="gramStart"/>
      <w:r w:rsidRPr="009F19BE">
        <w:rPr>
          <w:rFonts w:ascii="Palatino Linotype" w:hAnsi="Palatino Linotype"/>
          <w:sz w:val="18"/>
        </w:rPr>
        <w:t>./</w:t>
      </w:r>
      <w:proofErr w:type="gramEnd"/>
      <w:r w:rsidRPr="009F19BE">
        <w:rPr>
          <w:rFonts w:ascii="Palatino Linotype" w:hAnsi="Palatino Linotype"/>
          <w:sz w:val="18"/>
        </w:rPr>
        <w:t xml:space="preserve">J. 2/2012 (9a.). Primera Sala. </w:t>
      </w:r>
      <w:proofErr w:type="spellStart"/>
      <w:r w:rsidRPr="009F19BE">
        <w:rPr>
          <w:rFonts w:ascii="Palatino Linotype" w:hAnsi="Palatino Linotype"/>
          <w:sz w:val="18"/>
        </w:rPr>
        <w:t>Décima</w:t>
      </w:r>
      <w:proofErr w:type="spellEnd"/>
      <w:r w:rsidRPr="009F19BE">
        <w:rPr>
          <w:rFonts w:ascii="Palatino Linotype" w:hAnsi="Palatino Linotype"/>
          <w:sz w:val="18"/>
        </w:rPr>
        <w:t xml:space="preserve"> </w:t>
      </w:r>
      <w:proofErr w:type="spellStart"/>
      <w:r w:rsidRPr="009F19BE">
        <w:rPr>
          <w:rFonts w:ascii="Palatino Linotype" w:hAnsi="Palatino Linotype"/>
          <w:sz w:val="18"/>
        </w:rPr>
        <w:t>Época</w:t>
      </w:r>
      <w:proofErr w:type="spellEnd"/>
      <w:r w:rsidRPr="009F19BE">
        <w:rPr>
          <w:rFonts w:ascii="Palatino Linotype" w:hAnsi="Palatino Linotype"/>
          <w:sz w:val="18"/>
        </w:rPr>
        <w:t xml:space="preserve">. Semanario Judicial de la </w:t>
      </w:r>
      <w:proofErr w:type="spellStart"/>
      <w:r w:rsidRPr="009F19BE">
        <w:rPr>
          <w:rFonts w:ascii="Palatino Linotype" w:hAnsi="Palatino Linotype"/>
          <w:sz w:val="18"/>
        </w:rPr>
        <w:t>Federación</w:t>
      </w:r>
      <w:proofErr w:type="spellEnd"/>
      <w:r w:rsidRPr="009F19BE">
        <w:rPr>
          <w:rFonts w:ascii="Palatino Linotype" w:hAnsi="Palatino Linotype"/>
          <w:sz w:val="18"/>
        </w:rPr>
        <w:t xml:space="preserve"> y su Gaceta. Libro V, Febrero de 2012, </w:t>
      </w:r>
      <w:proofErr w:type="spellStart"/>
      <w:r w:rsidRPr="009F19BE">
        <w:rPr>
          <w:rFonts w:ascii="Palatino Linotype" w:hAnsi="Palatino Linotype"/>
          <w:sz w:val="18"/>
        </w:rPr>
        <w:t>Pág</w:t>
      </w:r>
      <w:proofErr w:type="spellEnd"/>
      <w:r w:rsidRPr="009F19BE">
        <w:rPr>
          <w:rFonts w:ascii="Palatino Linotype" w:hAnsi="Palatino Linotype"/>
          <w:sz w:val="18"/>
        </w:rPr>
        <w:t xml:space="preserve">. 533.  </w:t>
      </w:r>
    </w:p>
  </w:footnote>
  <w:footnote w:id="8">
    <w:p w14:paraId="575EC957" w14:textId="77777777" w:rsidR="00081064" w:rsidRPr="009F19BE" w:rsidRDefault="00081064" w:rsidP="00081064">
      <w:pPr>
        <w:pStyle w:val="ADB1"/>
        <w:jc w:val="both"/>
        <w:rPr>
          <w:rFonts w:ascii="Palatino Linotype" w:hAnsi="Palatino Linotype"/>
          <w:sz w:val="16"/>
          <w:lang w:val="es-ES"/>
        </w:rPr>
      </w:pPr>
      <w:r w:rsidRPr="009F19BE">
        <w:rPr>
          <w:rStyle w:val="Refdenotaalpie"/>
          <w:rFonts w:ascii="Palatino Linotype" w:hAnsi="Palatino Linotype"/>
          <w:sz w:val="18"/>
        </w:rPr>
        <w:footnoteRef/>
      </w:r>
      <w:r w:rsidRPr="009F19BE">
        <w:rPr>
          <w:rFonts w:ascii="Palatino Linotype" w:hAnsi="Palatino Linotype"/>
          <w:sz w:val="18"/>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sidRPr="009F19BE">
        <w:rPr>
          <w:rFonts w:ascii="Palatino Linotype" w:hAnsi="Palatino Linotype"/>
          <w:i/>
          <w:sz w:val="18"/>
        </w:rPr>
        <w:t>Marco jurídico interamericano sobre el derecho a la libertad de expresión</w:t>
      </w:r>
      <w:r w:rsidRPr="009F19BE">
        <w:rPr>
          <w:rFonts w:ascii="Palatino Linotype" w:hAnsi="Palatino Linotype"/>
          <w:sz w:val="18"/>
        </w:rPr>
        <w:t xml:space="preserve">. Párr. 67. </w:t>
      </w:r>
    </w:p>
  </w:footnote>
  <w:footnote w:id="9">
    <w:p w14:paraId="6A5EF854" w14:textId="77777777" w:rsidR="00081064" w:rsidRPr="00034B44" w:rsidRDefault="00081064" w:rsidP="00081064">
      <w:pPr>
        <w:pStyle w:val="ADB1"/>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 xml:space="preserve">Tribunales Colegiados de Circuito. Novena </w:t>
      </w:r>
      <w:proofErr w:type="spellStart"/>
      <w:r w:rsidRPr="00034B44">
        <w:rPr>
          <w:rFonts w:ascii="Palatino Linotype" w:hAnsi="Palatino Linotype"/>
          <w:sz w:val="18"/>
          <w:lang w:val="es-ES"/>
        </w:rPr>
        <w:t>Epoca</w:t>
      </w:r>
      <w:proofErr w:type="spellEnd"/>
      <w:r w:rsidRPr="00034B44">
        <w:rPr>
          <w:rFonts w:ascii="Palatino Linotype" w:hAnsi="Palatino Linotype"/>
          <w:sz w:val="18"/>
          <w:lang w:val="es-ES"/>
        </w:rPr>
        <w:t xml:space="preserve">. Semanario Judicial de la Federación y su Gaceta. Tomo III, marzo de 1996. </w:t>
      </w:r>
      <w:proofErr w:type="spellStart"/>
      <w:r w:rsidRPr="00034B44">
        <w:rPr>
          <w:rFonts w:ascii="Palatino Linotype" w:hAnsi="Palatino Linotype"/>
          <w:sz w:val="18"/>
          <w:lang w:val="es-ES"/>
        </w:rPr>
        <w:t>Pág</w:t>
      </w:r>
      <w:proofErr w:type="spellEnd"/>
      <w:r w:rsidRPr="00034B44">
        <w:rPr>
          <w:rFonts w:ascii="Palatino Linotype" w:hAnsi="Palatino Linotype"/>
          <w:sz w:val="18"/>
          <w:lang w:val="es-ES"/>
        </w:rPr>
        <w:t xml:space="preserve"> 769. Consultado en http://sjf.scjn.gob.mx/sjfsist/Documentos/Tesis/203/203143.pdf  el viernes 16 de junio de 2017.</w:t>
      </w:r>
    </w:p>
  </w:footnote>
  <w:footnote w:id="10">
    <w:p w14:paraId="586993AB" w14:textId="77777777" w:rsidR="00081064" w:rsidRPr="00034B44" w:rsidRDefault="00081064" w:rsidP="00081064">
      <w:pPr>
        <w:pStyle w:val="ADB1"/>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6552E933" w14:textId="77777777" w:rsidR="00081064" w:rsidRPr="00034B44" w:rsidRDefault="00081064" w:rsidP="00081064">
      <w:pPr>
        <w:pStyle w:val="ADB1"/>
        <w:jc w:val="both"/>
        <w:rPr>
          <w:rFonts w:ascii="Palatino Linotype" w:hAnsi="Palatino Linotype"/>
          <w:sz w:val="18"/>
          <w:lang w:val="es-ES"/>
        </w:rPr>
      </w:pPr>
      <w:r w:rsidRPr="00034B44">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38C940D0" w14:textId="77777777" w:rsidR="00081064" w:rsidRPr="00073E3B" w:rsidRDefault="00081064" w:rsidP="00081064">
      <w:pPr>
        <w:pStyle w:val="ADB1"/>
        <w:jc w:val="both"/>
        <w:rPr>
          <w:rFonts w:ascii="Palatino Linotype" w:hAnsi="Palatino Linotype"/>
          <w:sz w:val="18"/>
          <w:lang w:val="en-US"/>
        </w:rPr>
      </w:pPr>
      <w:r w:rsidRPr="00034B44">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r w:rsidRPr="00073E3B">
        <w:rPr>
          <w:rFonts w:ascii="Palatino Linotype" w:hAnsi="Palatino Linotype"/>
          <w:sz w:val="18"/>
          <w:lang w:val="en-US"/>
        </w:rPr>
        <w:t xml:space="preserve">Pp 1-19. </w:t>
      </w:r>
    </w:p>
  </w:footnote>
  <w:footnote w:id="11">
    <w:p w14:paraId="1BC84BFF"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1" w:anchor="/entry-id/E216930" w:history="1">
        <w:r w:rsidRPr="00073E3B">
          <w:rPr>
            <w:rStyle w:val="Hipervnculo151"/>
            <w:lang w:val="en-US"/>
          </w:rPr>
          <w:t>http://dej.rae.es/#/entry-id/E216930</w:t>
        </w:r>
      </w:hyperlink>
      <w:r w:rsidRPr="00073E3B">
        <w:rPr>
          <w:lang w:val="en-US"/>
        </w:rPr>
        <w:t xml:space="preserve"> </w:t>
      </w:r>
    </w:p>
  </w:footnote>
  <w:footnote w:id="12">
    <w:p w14:paraId="6E1846B5"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2" w:anchor="/entry-id/E87450" w:history="1">
        <w:r w:rsidRPr="00073E3B">
          <w:rPr>
            <w:rStyle w:val="Hipervnculo151"/>
            <w:lang w:val="en-US"/>
          </w:rPr>
          <w:t>http://dej.rae.es/#/entry-id/E87450</w:t>
        </w:r>
      </w:hyperlink>
      <w:r w:rsidRPr="00073E3B">
        <w:rPr>
          <w:lang w:val="en-US"/>
        </w:rPr>
        <w:t xml:space="preserve"> </w:t>
      </w:r>
    </w:p>
  </w:footnote>
  <w:footnote w:id="13">
    <w:p w14:paraId="345D7C20"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3" w:history="1">
        <w:r w:rsidRPr="00073E3B">
          <w:rPr>
            <w:rStyle w:val="Hipervnculo151"/>
            <w:lang w:val="en-US"/>
          </w:rPr>
          <w:t>http://dle.rae.es/?id=VGqyuLj|VGtxgAo|VGuc9Wg</w:t>
        </w:r>
      </w:hyperlink>
      <w:r w:rsidRPr="00073E3B">
        <w:rPr>
          <w:lang w:val="en-US"/>
        </w:rPr>
        <w:t xml:space="preserve"> </w:t>
      </w:r>
    </w:p>
  </w:footnote>
  <w:footnote w:id="14">
    <w:p w14:paraId="016FA089"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4" w:history="1">
        <w:r w:rsidRPr="00073E3B">
          <w:rPr>
            <w:rStyle w:val="Hipervnculo151"/>
            <w:lang w:val="en-US"/>
          </w:rPr>
          <w:t>http://dle.rae.es/?id=CAjNzMR</w:t>
        </w:r>
      </w:hyperlink>
      <w:r w:rsidRPr="00073E3B">
        <w:rPr>
          <w:lang w:val="en-US"/>
        </w:rPr>
        <w:t xml:space="preserve"> </w:t>
      </w:r>
    </w:p>
  </w:footnote>
  <w:footnote w:id="15">
    <w:p w14:paraId="326E5122"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5" w:history="1">
        <w:r w:rsidRPr="00073E3B">
          <w:rPr>
            <w:rStyle w:val="Hipervnculo151"/>
            <w:lang w:val="en-US"/>
          </w:rPr>
          <w:t>http://dle.rae.es/?id=CAqWkEB</w:t>
        </w:r>
      </w:hyperlink>
      <w:r w:rsidRPr="00073E3B">
        <w:rPr>
          <w:lang w:val="en-US"/>
        </w:rPr>
        <w:t xml:space="preserve"> </w:t>
      </w:r>
    </w:p>
  </w:footnote>
  <w:footnote w:id="16">
    <w:p w14:paraId="4D2B4305"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6" w:history="1">
        <w:r w:rsidRPr="00073E3B">
          <w:rPr>
            <w:rStyle w:val="Hipervnculo151"/>
            <w:lang w:val="en-US"/>
          </w:rPr>
          <w:t>http://dle.rae.es/?id=KtnHLLd</w:t>
        </w:r>
      </w:hyperlink>
      <w:r w:rsidRPr="00073E3B">
        <w:rPr>
          <w:lang w:val="en-US"/>
        </w:rPr>
        <w:t xml:space="preserve"> </w:t>
      </w:r>
    </w:p>
  </w:footnote>
  <w:footnote w:id="17">
    <w:p w14:paraId="0FB6E89B" w14:textId="77777777" w:rsidR="00081064" w:rsidRPr="00073E3B" w:rsidRDefault="00081064" w:rsidP="00081064">
      <w:pPr>
        <w:pStyle w:val="ADB1"/>
        <w:jc w:val="both"/>
        <w:rPr>
          <w:lang w:val="en-US"/>
        </w:rPr>
      </w:pPr>
      <w:r>
        <w:rPr>
          <w:rStyle w:val="Refdenotaalpie"/>
        </w:rPr>
        <w:footnoteRef/>
      </w:r>
      <w:r w:rsidRPr="00073E3B">
        <w:rPr>
          <w:lang w:val="en-US"/>
        </w:rPr>
        <w:t xml:space="preserve"> </w:t>
      </w:r>
      <w:hyperlink r:id="rId7" w:history="1">
        <w:r w:rsidRPr="00073E3B">
          <w:rPr>
            <w:rStyle w:val="Hipervnculo151"/>
            <w:lang w:val="en-US"/>
          </w:rPr>
          <w:t>http://dle.rae.es/?id=KtpfgjV</w:t>
        </w:r>
      </w:hyperlink>
      <w:r w:rsidRPr="00073E3B">
        <w:rPr>
          <w:lang w:val="en-US"/>
        </w:rPr>
        <w:t xml:space="preserve"> </w:t>
      </w:r>
    </w:p>
  </w:footnote>
  <w:footnote w:id="18">
    <w:p w14:paraId="77062C91" w14:textId="77777777" w:rsidR="00081064" w:rsidRPr="00C5646D" w:rsidRDefault="00081064" w:rsidP="00081064">
      <w:pPr>
        <w:jc w:val="both"/>
        <w:rPr>
          <w:color w:val="000000"/>
          <w:lang w:eastAsia="es-ES_tradnl"/>
        </w:rPr>
      </w:pPr>
      <w:r>
        <w:rPr>
          <w:rStyle w:val="Refdenotaalpie"/>
        </w:rPr>
        <w:footnoteRef/>
      </w:r>
      <w:r w:rsidRPr="00DE395A">
        <w:t xml:space="preserve"> “</w:t>
      </w:r>
      <w:r w:rsidRPr="00DE395A">
        <w:rPr>
          <w:color w:val="000000"/>
          <w:lang w:eastAsia="es-ES_tradnl"/>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w:t>
      </w:r>
      <w:proofErr w:type="spellStart"/>
      <w:r w:rsidRPr="00DE395A">
        <w:rPr>
          <w:color w:val="000000"/>
          <w:lang w:eastAsia="es-ES_tradnl"/>
        </w:rPr>
        <w:t>tests</w:t>
      </w:r>
      <w:proofErr w:type="spellEnd"/>
      <w:r w:rsidRPr="00DE395A">
        <w:rPr>
          <w:color w:val="000000"/>
          <w:lang w:eastAsia="es-ES_tradnl"/>
        </w:rPr>
        <w:t xml:space="preserve"> de igualdad. </w:t>
      </w:r>
      <w:r w:rsidRPr="00C5646D">
        <w:rPr>
          <w:color w:val="000000"/>
          <w:lang w:eastAsia="es-ES_tradnl"/>
        </w:rPr>
        <w:t xml:space="preserve">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w:t>
      </w:r>
      <w:proofErr w:type="spellStart"/>
      <w:r w:rsidRPr="00C5646D">
        <w:rPr>
          <w:color w:val="000000"/>
          <w:lang w:eastAsia="es-ES_tradnl"/>
        </w:rPr>
        <w:t>Lluy</w:t>
      </w:r>
      <w:proofErr w:type="spellEnd"/>
      <w:r w:rsidRPr="00C5646D">
        <w:rPr>
          <w:color w:val="000000"/>
          <w:lang w:eastAsia="es-ES_tradnl"/>
        </w:rPr>
        <w:t xml:space="preserve"> y otros contra Ecuador. Excepciones preliminares, fondo, reparaciones y costas. Sentencia del 01 de septiembre de 2015. Párr. 256. </w:t>
      </w:r>
    </w:p>
  </w:footnote>
  <w:footnote w:id="19">
    <w:p w14:paraId="42E8A199" w14:textId="77777777" w:rsidR="00081064" w:rsidRPr="00A4142C" w:rsidRDefault="00081064" w:rsidP="00081064">
      <w:pPr>
        <w:pStyle w:val="ADB1"/>
        <w:rPr>
          <w:lang w:val="es-ES"/>
        </w:rPr>
      </w:pPr>
      <w:r>
        <w:rPr>
          <w:rStyle w:val="Refdenotaalpie"/>
        </w:rPr>
        <w:footnoteRef/>
      </w:r>
      <w:r>
        <w:t xml:space="preserve"> </w:t>
      </w:r>
      <w:r>
        <w:rPr>
          <w:lang w:val="es-ES"/>
        </w:rPr>
        <w:t>Tribunal Constitucional Alemán. Resolución sobre los soldados son asesinos, de 10 de octubre de 1995 (</w:t>
      </w:r>
      <w:proofErr w:type="spellStart"/>
      <w:r>
        <w:rPr>
          <w:lang w:val="es-ES"/>
        </w:rPr>
        <w:t>BVerfGE</w:t>
      </w:r>
      <w:proofErr w:type="spellEnd"/>
      <w:r>
        <w:rPr>
          <w:lang w:val="es-ES"/>
        </w:rPr>
        <w:t xml:space="preserve"> 93, 266). En ALÁEZ CORRAL, Benito y ÁLVAREZ </w:t>
      </w:r>
      <w:proofErr w:type="spellStart"/>
      <w:r>
        <w:rPr>
          <w:lang w:val="es-ES"/>
        </w:rPr>
        <w:t>ÁLVAREZ</w:t>
      </w:r>
      <w:proofErr w:type="spellEnd"/>
      <w:r>
        <w:rPr>
          <w:lang w:val="es-ES"/>
        </w:rPr>
        <w:t>,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5478D5" w:rsidRDefault="00471733">
    <w:pPr>
      <w:pStyle w:val="Encabezado"/>
    </w:pPr>
    <w:r>
      <w:rPr>
        <w:noProof/>
        <w:lang w:eastAsia="es-MX"/>
      </w:rPr>
      <w:pict w14:anchorId="2893F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60" type="#_x0000_t75" alt=""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133C4830" w14:textId="77777777" w:rsidR="005478D5" w:rsidRDefault="005478D5"/>
  <w:p w14:paraId="77B719CE" w14:textId="77777777" w:rsidR="005478D5" w:rsidRDefault="005478D5"/>
  <w:p w14:paraId="50A3AAAA" w14:textId="77777777" w:rsidR="005478D5" w:rsidRDefault="005478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5478D5" w14:paraId="6255E3A4" w14:textId="77777777" w:rsidTr="00814079">
      <w:trPr>
        <w:trHeight w:val="1435"/>
      </w:trPr>
      <w:tc>
        <w:tcPr>
          <w:tcW w:w="1843" w:type="dxa"/>
          <w:shd w:val="clear" w:color="auto" w:fill="auto"/>
        </w:tcPr>
        <w:p w14:paraId="3E05202F" w14:textId="4A7C9DF8" w:rsidR="005478D5" w:rsidRDefault="005478D5">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5478D5" w:rsidRDefault="005478D5"/>
        <w:tbl>
          <w:tblPr>
            <w:tblStyle w:val="Tablaconcuadrcula"/>
            <w:tblW w:w="5811"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260"/>
          </w:tblGrid>
          <w:tr w:rsidR="005478D5" w:rsidRPr="007E6F52" w14:paraId="727F90BF" w14:textId="77777777" w:rsidTr="007E6F52">
            <w:trPr>
              <w:trHeight w:val="338"/>
            </w:trPr>
            <w:tc>
              <w:tcPr>
                <w:tcW w:w="2551" w:type="dxa"/>
              </w:tcPr>
              <w:p w14:paraId="23087CD5" w14:textId="77777777" w:rsidR="005478D5" w:rsidRPr="007E6F52" w:rsidRDefault="005478D5">
                <w:pPr>
                  <w:tabs>
                    <w:tab w:val="right" w:pos="8838"/>
                  </w:tabs>
                  <w:ind w:right="-105"/>
                  <w:rPr>
                    <w:rFonts w:ascii="Palatino Linotype" w:eastAsia="Calibri" w:hAnsi="Palatino Linotype" w:cs="Tahoma"/>
                    <w:b/>
                    <w:sz w:val="22"/>
                    <w:lang w:eastAsia="en-US"/>
                  </w:rPr>
                </w:pPr>
              </w:p>
              <w:p w14:paraId="410A3741" w14:textId="535C9D39" w:rsidR="005478D5" w:rsidRPr="007E6F52" w:rsidRDefault="005478D5">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Recurso de Revisión:</w:t>
                </w:r>
              </w:p>
            </w:tc>
            <w:tc>
              <w:tcPr>
                <w:tcW w:w="3260" w:type="dxa"/>
              </w:tcPr>
              <w:p w14:paraId="67E34D7D" w14:textId="77777777" w:rsidR="005478D5" w:rsidRPr="007E6F52" w:rsidRDefault="005478D5" w:rsidP="00427B6E">
                <w:pPr>
                  <w:tabs>
                    <w:tab w:val="right" w:pos="8838"/>
                  </w:tabs>
                  <w:ind w:right="-105" w:hanging="101"/>
                  <w:jc w:val="both"/>
                  <w:rPr>
                    <w:rFonts w:ascii="Palatino Linotype" w:eastAsia="Calibri" w:hAnsi="Palatino Linotype" w:cs="Tahoma"/>
                    <w:b/>
                    <w:sz w:val="22"/>
                    <w:lang w:eastAsia="en-US"/>
                  </w:rPr>
                </w:pPr>
              </w:p>
              <w:p w14:paraId="3FF69A05" w14:textId="2C900731" w:rsidR="005478D5" w:rsidRPr="007E6F52" w:rsidRDefault="005478D5" w:rsidP="00A87524">
                <w:pPr>
                  <w:tabs>
                    <w:tab w:val="right" w:pos="8838"/>
                  </w:tabs>
                  <w:ind w:right="-105" w:hanging="101"/>
                  <w:jc w:val="both"/>
                  <w:rPr>
                    <w:rFonts w:ascii="Palatino Linotype" w:eastAsia="Calibri" w:hAnsi="Palatino Linotype" w:cs="Tahoma"/>
                    <w:b/>
                    <w:sz w:val="22"/>
                    <w:lang w:eastAsia="en-US"/>
                  </w:rPr>
                </w:pPr>
                <w:r w:rsidRPr="007E6F52">
                  <w:rPr>
                    <w:rFonts w:ascii="Palatino Linotype" w:eastAsia="Calibri" w:hAnsi="Palatino Linotype" w:cs="Tahoma"/>
                    <w:b/>
                    <w:bCs/>
                    <w:sz w:val="22"/>
                    <w:lang w:val="es-MX" w:eastAsia="en-US"/>
                  </w:rPr>
                  <w:t>03588/INFOEM/IP/RR/2024</w:t>
                </w:r>
              </w:p>
            </w:tc>
          </w:tr>
          <w:tr w:rsidR="005478D5" w:rsidRPr="007E6F52" w14:paraId="1389436A" w14:textId="128385F2" w:rsidTr="007E6F52">
            <w:trPr>
              <w:trHeight w:val="283"/>
            </w:trPr>
            <w:tc>
              <w:tcPr>
                <w:tcW w:w="2551" w:type="dxa"/>
              </w:tcPr>
              <w:p w14:paraId="22E0F4E9" w14:textId="77777777" w:rsidR="005478D5" w:rsidRPr="007E6F52" w:rsidRDefault="005478D5">
                <w:pPr>
                  <w:tabs>
                    <w:tab w:val="right" w:pos="8838"/>
                  </w:tabs>
                  <w:ind w:right="-105"/>
                  <w:rPr>
                    <w:rFonts w:ascii="Palatino Linotype" w:eastAsia="Calibri" w:hAnsi="Palatino Linotype" w:cs="Tahoma"/>
                    <w:b/>
                    <w:sz w:val="22"/>
                    <w:lang w:eastAsia="en-US"/>
                  </w:rPr>
                </w:pPr>
                <w:bookmarkStart w:id="142" w:name="_Hlk33010189"/>
                <w:r w:rsidRPr="007E6F52">
                  <w:rPr>
                    <w:rFonts w:ascii="Palatino Linotype" w:eastAsia="Calibri" w:hAnsi="Palatino Linotype" w:cs="Tahoma"/>
                    <w:b/>
                    <w:sz w:val="22"/>
                    <w:lang w:eastAsia="en-US"/>
                  </w:rPr>
                  <w:t>Sujeto Obligado:</w:t>
                </w:r>
              </w:p>
            </w:tc>
            <w:tc>
              <w:tcPr>
                <w:tcW w:w="3260" w:type="dxa"/>
              </w:tcPr>
              <w:p w14:paraId="2B205C7F" w14:textId="51833E22" w:rsidR="005478D5" w:rsidRPr="007E6F52" w:rsidRDefault="005478D5" w:rsidP="00907C2E">
                <w:pPr>
                  <w:tabs>
                    <w:tab w:val="left" w:pos="2834"/>
                    <w:tab w:val="right" w:pos="8838"/>
                  </w:tabs>
                  <w:ind w:right="-107"/>
                  <w:jc w:val="both"/>
                  <w:rPr>
                    <w:rFonts w:ascii="Palatino Linotype" w:eastAsia="Calibri" w:hAnsi="Palatino Linotype" w:cs="Tahoma"/>
                    <w:b/>
                    <w:sz w:val="22"/>
                    <w:lang w:eastAsia="en-US"/>
                  </w:rPr>
                </w:pPr>
                <w:r w:rsidRPr="007E6F52">
                  <w:rPr>
                    <w:rFonts w:ascii="Palatino Linotype" w:hAnsi="Palatino Linotype"/>
                    <w:b/>
                    <w:color w:val="000000"/>
                    <w:sz w:val="22"/>
                  </w:rPr>
                  <w:t>Ayuntamiento de Toluca</w:t>
                </w:r>
              </w:p>
            </w:tc>
          </w:tr>
          <w:bookmarkEnd w:id="142"/>
          <w:tr w:rsidR="005478D5" w:rsidRPr="007E6F52" w14:paraId="28CCE4E5" w14:textId="77777777" w:rsidTr="007E6F52">
            <w:trPr>
              <w:trHeight w:val="283"/>
            </w:trPr>
            <w:tc>
              <w:tcPr>
                <w:tcW w:w="2551" w:type="dxa"/>
              </w:tcPr>
              <w:p w14:paraId="13EBF3BB" w14:textId="6E4ECE4B" w:rsidR="005478D5" w:rsidRPr="007E6F52" w:rsidRDefault="005478D5">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Comisionada Ponente:</w:t>
                </w:r>
              </w:p>
            </w:tc>
            <w:tc>
              <w:tcPr>
                <w:tcW w:w="3260" w:type="dxa"/>
              </w:tcPr>
              <w:p w14:paraId="5DF20594" w14:textId="1A6CDEA4" w:rsidR="005478D5" w:rsidRPr="007E6F52" w:rsidRDefault="005478D5" w:rsidP="00187E51">
                <w:pPr>
                  <w:tabs>
                    <w:tab w:val="right" w:pos="8838"/>
                  </w:tabs>
                  <w:ind w:left="-113" w:right="-105"/>
                  <w:jc w:val="both"/>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María del Rosario Mejía Ayala</w:t>
                </w:r>
              </w:p>
            </w:tc>
          </w:tr>
        </w:tbl>
        <w:p w14:paraId="5775EEC5" w14:textId="77777777" w:rsidR="005478D5" w:rsidRDefault="005478D5">
          <w:pPr>
            <w:tabs>
              <w:tab w:val="right" w:pos="8838"/>
            </w:tabs>
            <w:ind w:left="-28"/>
            <w:jc w:val="both"/>
            <w:rPr>
              <w:rFonts w:ascii="Arial" w:eastAsia="Calibri" w:hAnsi="Arial" w:cs="Arial"/>
              <w:b/>
              <w:sz w:val="22"/>
              <w:szCs w:val="22"/>
              <w:lang w:eastAsia="en-US"/>
            </w:rPr>
          </w:pPr>
        </w:p>
      </w:tc>
    </w:tr>
  </w:tbl>
  <w:p w14:paraId="07EF2D29" w14:textId="1620A8B4" w:rsidR="005478D5" w:rsidRDefault="00471733" w:rsidP="00814079">
    <w:pPr>
      <w:pStyle w:val="Encabezado"/>
      <w:rPr>
        <w:sz w:val="14"/>
      </w:rPr>
    </w:pPr>
    <w:r>
      <w:rPr>
        <w:noProof/>
        <w:sz w:val="14"/>
        <w:lang w:eastAsia="es-MX"/>
      </w:rPr>
      <w:pict w14:anchorId="3DCE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9" type="#_x0000_t75" alt="" style="position:absolute;margin-left:-104.3pt;margin-top:-133.1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p w14:paraId="0AE465A1" w14:textId="77777777" w:rsidR="005478D5" w:rsidRDefault="005478D5"/>
  <w:p w14:paraId="104386EF" w14:textId="77777777" w:rsidR="005478D5" w:rsidRDefault="005478D5"/>
  <w:p w14:paraId="60A3E393" w14:textId="77777777" w:rsidR="005478D5" w:rsidRDefault="005478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5478D5" w14:paraId="61517A1D" w14:textId="77777777" w:rsidTr="003A6126">
      <w:trPr>
        <w:trHeight w:val="1435"/>
      </w:trPr>
      <w:tc>
        <w:tcPr>
          <w:tcW w:w="1560" w:type="dxa"/>
          <w:shd w:val="clear" w:color="auto" w:fill="auto"/>
        </w:tcPr>
        <w:p w14:paraId="4B74E846" w14:textId="1E0D62B9" w:rsidR="005478D5" w:rsidRDefault="005478D5">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5478D5" w14:paraId="7F59E1EF" w14:textId="77777777" w:rsidTr="007441D8">
            <w:trPr>
              <w:trHeight w:val="144"/>
            </w:trPr>
            <w:tc>
              <w:tcPr>
                <w:tcW w:w="2444" w:type="dxa"/>
              </w:tcPr>
              <w:p w14:paraId="5EFF942E" w14:textId="77777777" w:rsidR="005478D5" w:rsidRPr="006751E8" w:rsidRDefault="005478D5" w:rsidP="000D485D">
                <w:pPr>
                  <w:tabs>
                    <w:tab w:val="right" w:pos="8838"/>
                  </w:tabs>
                  <w:ind w:left="-74" w:right="-105"/>
                  <w:rPr>
                    <w:rFonts w:ascii="Palatino Linotype" w:eastAsia="Calibri" w:hAnsi="Palatino Linotype" w:cs="Tahoma"/>
                    <w:b/>
                    <w:sz w:val="22"/>
                    <w:szCs w:val="22"/>
                    <w:lang w:eastAsia="en-US"/>
                  </w:rPr>
                </w:pPr>
                <w:bookmarkStart w:id="143" w:name="_Hlk12526980"/>
                <w:r w:rsidRPr="006751E8">
                  <w:rPr>
                    <w:rFonts w:ascii="Palatino Linotype" w:eastAsia="Calibri" w:hAnsi="Palatino Linotype" w:cs="Tahoma"/>
                    <w:b/>
                    <w:sz w:val="22"/>
                    <w:szCs w:val="22"/>
                    <w:lang w:eastAsia="en-US"/>
                  </w:rPr>
                  <w:t>Recurso de Revisión:</w:t>
                </w:r>
              </w:p>
            </w:tc>
            <w:tc>
              <w:tcPr>
                <w:tcW w:w="3084" w:type="dxa"/>
              </w:tcPr>
              <w:p w14:paraId="0DE47EE2" w14:textId="0EFDD367" w:rsidR="005478D5" w:rsidRPr="006751E8" w:rsidRDefault="004309DC" w:rsidP="00A87524">
                <w:pPr>
                  <w:tabs>
                    <w:tab w:val="right" w:pos="8838"/>
                  </w:tabs>
                  <w:ind w:left="-3" w:right="-105"/>
                  <w:jc w:val="both"/>
                  <w:rPr>
                    <w:rFonts w:ascii="Palatino Linotype" w:eastAsia="Calibri" w:hAnsi="Palatino Linotype" w:cs="Tahoma"/>
                    <w:b/>
                    <w:sz w:val="22"/>
                    <w:szCs w:val="22"/>
                    <w:lang w:eastAsia="en-US"/>
                  </w:rPr>
                </w:pPr>
                <w:r>
                  <w:rPr>
                    <w:rFonts w:ascii="Palatino Linotype" w:eastAsia="Calibri" w:hAnsi="Palatino Linotype" w:cs="Tahoma"/>
                    <w:b/>
                    <w:bCs/>
                    <w:sz w:val="22"/>
                    <w:lang w:val="es-MX" w:eastAsia="en-US"/>
                  </w:rPr>
                  <w:t>03588/INFOEM/IP/RR/2024</w:t>
                </w:r>
              </w:p>
            </w:tc>
            <w:tc>
              <w:tcPr>
                <w:tcW w:w="3402" w:type="dxa"/>
              </w:tcPr>
              <w:p w14:paraId="11E4533C" w14:textId="3B21362A" w:rsidR="005478D5" w:rsidRDefault="005478D5">
                <w:pPr>
                  <w:tabs>
                    <w:tab w:val="right" w:pos="8838"/>
                  </w:tabs>
                  <w:ind w:left="-74" w:right="-105"/>
                  <w:jc w:val="both"/>
                  <w:rPr>
                    <w:rFonts w:ascii="Palatino Linotype" w:eastAsia="Calibri" w:hAnsi="Palatino Linotype" w:cs="Tahoma"/>
                    <w:bCs/>
                    <w:sz w:val="22"/>
                    <w:szCs w:val="22"/>
                    <w:lang w:eastAsia="en-US"/>
                  </w:rPr>
                </w:pPr>
              </w:p>
            </w:tc>
          </w:tr>
          <w:tr w:rsidR="005478D5" w14:paraId="3FC4FA7D" w14:textId="77777777" w:rsidTr="007441D8">
            <w:trPr>
              <w:trHeight w:val="144"/>
            </w:trPr>
            <w:tc>
              <w:tcPr>
                <w:tcW w:w="2444" w:type="dxa"/>
              </w:tcPr>
              <w:p w14:paraId="363D966B" w14:textId="77777777" w:rsidR="005478D5" w:rsidRPr="006751E8" w:rsidRDefault="005478D5" w:rsidP="000D485D">
                <w:pPr>
                  <w:tabs>
                    <w:tab w:val="right" w:pos="8838"/>
                  </w:tabs>
                  <w:ind w:left="-74" w:right="-105"/>
                  <w:rPr>
                    <w:rFonts w:ascii="Palatino Linotype" w:eastAsia="Calibri" w:hAnsi="Palatino Linotype" w:cs="Tahoma"/>
                    <w:b/>
                    <w:sz w:val="22"/>
                    <w:szCs w:val="22"/>
                    <w:lang w:eastAsia="en-US"/>
                  </w:rPr>
                </w:pPr>
                <w:bookmarkStart w:id="144" w:name="_Hlk10641523"/>
                <w:bookmarkEnd w:id="143"/>
                <w:r w:rsidRPr="006751E8">
                  <w:rPr>
                    <w:rFonts w:ascii="Palatino Linotype" w:eastAsia="Calibri" w:hAnsi="Palatino Linotype" w:cs="Tahoma"/>
                    <w:b/>
                    <w:sz w:val="22"/>
                    <w:szCs w:val="22"/>
                    <w:lang w:eastAsia="en-US"/>
                  </w:rPr>
                  <w:t>Recurrente:</w:t>
                </w:r>
              </w:p>
            </w:tc>
            <w:tc>
              <w:tcPr>
                <w:tcW w:w="3084" w:type="dxa"/>
              </w:tcPr>
              <w:p w14:paraId="73C065CD" w14:textId="1903058A" w:rsidR="005478D5" w:rsidRPr="006751E8" w:rsidRDefault="006027AF" w:rsidP="00A36BE2">
                <w:pPr>
                  <w:tabs>
                    <w:tab w:val="left" w:pos="3122"/>
                    <w:tab w:val="right" w:pos="8838"/>
                  </w:tabs>
                  <w:ind w:right="1457"/>
                  <w:jc w:val="both"/>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XXXXXXXXX</w:t>
                </w:r>
              </w:p>
            </w:tc>
            <w:tc>
              <w:tcPr>
                <w:tcW w:w="3402" w:type="dxa"/>
              </w:tcPr>
              <w:p w14:paraId="370E6EFF" w14:textId="3B7EABB6" w:rsidR="005478D5" w:rsidRDefault="005478D5" w:rsidP="003037E1">
                <w:pPr>
                  <w:tabs>
                    <w:tab w:val="left" w:pos="3122"/>
                    <w:tab w:val="right" w:pos="8838"/>
                  </w:tabs>
                  <w:ind w:right="-105"/>
                  <w:jc w:val="both"/>
                  <w:rPr>
                    <w:rFonts w:ascii="Palatino Linotype" w:eastAsia="Calibri" w:hAnsi="Palatino Linotype" w:cs="Tahoma"/>
                    <w:sz w:val="22"/>
                    <w:szCs w:val="22"/>
                    <w:lang w:eastAsia="en-US"/>
                  </w:rPr>
                </w:pPr>
              </w:p>
            </w:tc>
          </w:tr>
          <w:bookmarkEnd w:id="144"/>
          <w:tr w:rsidR="005478D5" w14:paraId="4D832A43" w14:textId="77777777" w:rsidTr="007441D8">
            <w:trPr>
              <w:trHeight w:val="283"/>
            </w:trPr>
            <w:tc>
              <w:tcPr>
                <w:tcW w:w="2444" w:type="dxa"/>
              </w:tcPr>
              <w:p w14:paraId="02CA5CB0" w14:textId="77777777" w:rsidR="005478D5" w:rsidRPr="006751E8" w:rsidRDefault="005478D5" w:rsidP="000D485D">
                <w:pPr>
                  <w:tabs>
                    <w:tab w:val="right" w:pos="8838"/>
                  </w:tabs>
                  <w:ind w:left="-74" w:right="-105"/>
                  <w:rPr>
                    <w:rFonts w:ascii="Palatino Linotype" w:eastAsia="Calibri" w:hAnsi="Palatino Linotype" w:cs="Tahoma"/>
                    <w:b/>
                    <w:sz w:val="22"/>
                    <w:szCs w:val="22"/>
                    <w:lang w:eastAsia="en-US"/>
                  </w:rPr>
                </w:pPr>
                <w:r w:rsidRPr="006751E8">
                  <w:rPr>
                    <w:rFonts w:ascii="Palatino Linotype" w:eastAsia="Calibri" w:hAnsi="Palatino Linotype" w:cs="Tahoma"/>
                    <w:b/>
                    <w:sz w:val="22"/>
                    <w:szCs w:val="22"/>
                    <w:lang w:eastAsia="en-US"/>
                  </w:rPr>
                  <w:t>Sujeto Obligado:</w:t>
                </w:r>
              </w:p>
            </w:tc>
            <w:tc>
              <w:tcPr>
                <w:tcW w:w="3084" w:type="dxa"/>
              </w:tcPr>
              <w:p w14:paraId="28528629" w14:textId="6DFE749A" w:rsidR="005478D5" w:rsidRPr="006751E8" w:rsidRDefault="005478D5" w:rsidP="004309DC">
                <w:pPr>
                  <w:tabs>
                    <w:tab w:val="left" w:pos="2834"/>
                    <w:tab w:val="right" w:pos="8838"/>
                  </w:tabs>
                  <w:ind w:left="-3" w:right="-105"/>
                  <w:jc w:val="both"/>
                  <w:rPr>
                    <w:rFonts w:ascii="Palatino Linotype" w:eastAsia="Calibri" w:hAnsi="Palatino Linotype" w:cs="Tahoma"/>
                    <w:b/>
                    <w:lang w:eastAsia="en-US"/>
                  </w:rPr>
                </w:pPr>
                <w:r w:rsidRPr="00907C2E">
                  <w:rPr>
                    <w:rFonts w:ascii="Palatino Linotype" w:hAnsi="Palatino Linotype"/>
                    <w:b/>
                    <w:color w:val="000000"/>
                  </w:rPr>
                  <w:t xml:space="preserve">Ayuntamiento de </w:t>
                </w:r>
                <w:r w:rsidR="004309DC">
                  <w:rPr>
                    <w:rFonts w:ascii="Palatino Linotype" w:hAnsi="Palatino Linotype"/>
                    <w:b/>
                    <w:color w:val="000000"/>
                  </w:rPr>
                  <w:t>Toluca</w:t>
                </w:r>
              </w:p>
            </w:tc>
            <w:tc>
              <w:tcPr>
                <w:tcW w:w="3402" w:type="dxa"/>
              </w:tcPr>
              <w:p w14:paraId="00F18B8C" w14:textId="77777777" w:rsidR="005478D5" w:rsidRPr="006751E8" w:rsidRDefault="005478D5">
                <w:pPr>
                  <w:tabs>
                    <w:tab w:val="left" w:pos="2834"/>
                    <w:tab w:val="right" w:pos="8838"/>
                  </w:tabs>
                  <w:ind w:left="-74" w:right="-105"/>
                  <w:jc w:val="both"/>
                  <w:rPr>
                    <w:rFonts w:ascii="Palatino Linotype" w:eastAsia="Calibri" w:hAnsi="Palatino Linotype" w:cs="Tahoma"/>
                    <w:b/>
                    <w:bCs/>
                    <w:lang w:eastAsia="en-US"/>
                  </w:rPr>
                </w:pPr>
              </w:p>
            </w:tc>
          </w:tr>
          <w:tr w:rsidR="005478D5" w14:paraId="7BC74D7A" w14:textId="77777777" w:rsidTr="007441D8">
            <w:trPr>
              <w:trHeight w:val="283"/>
            </w:trPr>
            <w:tc>
              <w:tcPr>
                <w:tcW w:w="2444" w:type="dxa"/>
              </w:tcPr>
              <w:p w14:paraId="3BF93338" w14:textId="01E84F2D" w:rsidR="005478D5" w:rsidRPr="006751E8" w:rsidRDefault="005478D5" w:rsidP="000D485D">
                <w:pPr>
                  <w:tabs>
                    <w:tab w:val="right" w:pos="8838"/>
                  </w:tabs>
                  <w:ind w:left="-74" w:right="-105"/>
                  <w:rPr>
                    <w:rFonts w:ascii="Palatino Linotype" w:eastAsia="Calibri" w:hAnsi="Palatino Linotype" w:cs="Tahoma"/>
                    <w:b/>
                    <w:sz w:val="22"/>
                    <w:szCs w:val="22"/>
                    <w:lang w:eastAsia="en-US"/>
                  </w:rPr>
                </w:pPr>
                <w:r w:rsidRPr="006751E8">
                  <w:rPr>
                    <w:rFonts w:ascii="Palatino Linotype" w:eastAsia="Calibri" w:hAnsi="Palatino Linotype" w:cs="Tahoma"/>
                    <w:b/>
                    <w:sz w:val="22"/>
                    <w:szCs w:val="22"/>
                    <w:lang w:eastAsia="en-US"/>
                  </w:rPr>
                  <w:t>Comisionada Ponente:</w:t>
                </w:r>
              </w:p>
            </w:tc>
            <w:tc>
              <w:tcPr>
                <w:tcW w:w="3084" w:type="dxa"/>
              </w:tcPr>
              <w:p w14:paraId="3589422E" w14:textId="64278750" w:rsidR="005478D5" w:rsidRPr="006751E8" w:rsidRDefault="005478D5" w:rsidP="003037E1">
                <w:pPr>
                  <w:tabs>
                    <w:tab w:val="right" w:pos="8838"/>
                  </w:tabs>
                  <w:ind w:left="-3" w:right="-105"/>
                  <w:jc w:val="both"/>
                  <w:rPr>
                    <w:rFonts w:ascii="Palatino Linotype" w:eastAsia="Calibri" w:hAnsi="Palatino Linotype" w:cs="Tahoma"/>
                    <w:b/>
                    <w:lang w:eastAsia="en-US"/>
                  </w:rPr>
                </w:pPr>
                <w:r w:rsidRPr="006751E8">
                  <w:rPr>
                    <w:rFonts w:ascii="Palatino Linotype" w:eastAsia="Calibri" w:hAnsi="Palatino Linotype" w:cs="Tahoma"/>
                    <w:b/>
                    <w:lang w:eastAsia="en-US"/>
                  </w:rPr>
                  <w:t>María del Rosario Mejía Ayala</w:t>
                </w:r>
              </w:p>
            </w:tc>
            <w:tc>
              <w:tcPr>
                <w:tcW w:w="3402" w:type="dxa"/>
              </w:tcPr>
              <w:p w14:paraId="6DBCB70D" w14:textId="77777777" w:rsidR="005478D5" w:rsidRPr="006751E8" w:rsidRDefault="005478D5">
                <w:pPr>
                  <w:tabs>
                    <w:tab w:val="right" w:pos="8838"/>
                  </w:tabs>
                  <w:ind w:left="-74" w:right="-105"/>
                  <w:jc w:val="both"/>
                  <w:rPr>
                    <w:rFonts w:ascii="Palatino Linotype" w:eastAsia="Calibri" w:hAnsi="Palatino Linotype" w:cs="Tahoma"/>
                    <w:b/>
                    <w:bCs/>
                    <w:lang w:eastAsia="en-US"/>
                  </w:rPr>
                </w:pPr>
              </w:p>
            </w:tc>
          </w:tr>
        </w:tbl>
        <w:p w14:paraId="27F446EB" w14:textId="77777777" w:rsidR="005478D5" w:rsidRDefault="005478D5">
          <w:pPr>
            <w:tabs>
              <w:tab w:val="right" w:pos="8838"/>
            </w:tabs>
            <w:ind w:left="-28"/>
            <w:jc w:val="both"/>
            <w:rPr>
              <w:rFonts w:ascii="Arial" w:eastAsia="Calibri" w:hAnsi="Arial" w:cs="Arial"/>
              <w:b/>
              <w:sz w:val="22"/>
              <w:szCs w:val="22"/>
              <w:lang w:eastAsia="en-US"/>
            </w:rPr>
          </w:pPr>
        </w:p>
      </w:tc>
    </w:tr>
  </w:tbl>
  <w:p w14:paraId="5F654A99" w14:textId="6CB7D4AE" w:rsidR="005478D5" w:rsidRDefault="00471733" w:rsidP="003A6126">
    <w:pPr>
      <w:pStyle w:val="Encabezado"/>
      <w:tabs>
        <w:tab w:val="clear" w:pos="4419"/>
        <w:tab w:val="clear" w:pos="8838"/>
        <w:tab w:val="center" w:pos="4522"/>
      </w:tabs>
    </w:pPr>
    <w:r>
      <w:rPr>
        <w:noProof/>
        <w:sz w:val="14"/>
        <w:szCs w:val="22"/>
        <w:lang w:eastAsia="es-MX"/>
      </w:rPr>
      <w:pict w14:anchorId="7EFA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8" type="#_x0000_t75" alt="" style="position:absolute;margin-left:-75.8pt;margin-top:-134.3pt;width:663.5pt;height:12in;z-index:-251658240;mso-wrap-edited:f;mso-width-percent:0;mso-height-percent:0;mso-position-horizontal-relative:margin;mso-position-vertical-relative:margin;mso-width-percent:0;mso-height-percent:0" o:allowincell="f">
          <v:imagedata r:id="rId1" o:title="marcaaguaINFOEM"/>
          <w10:wrap anchorx="margin" anchory="margin"/>
        </v:shape>
      </w:pict>
    </w:r>
  </w:p>
  <w:p w14:paraId="673BC59D" w14:textId="77777777" w:rsidR="005478D5" w:rsidRDefault="005478D5"/>
  <w:p w14:paraId="69AC6122" w14:textId="77777777" w:rsidR="005478D5" w:rsidRDefault="0054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8D03BEB"/>
    <w:multiLevelType w:val="hybridMultilevel"/>
    <w:tmpl w:val="97842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2002C"/>
    <w:multiLevelType w:val="multilevel"/>
    <w:tmpl w:val="0C0C87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16B31864"/>
    <w:multiLevelType w:val="hybridMultilevel"/>
    <w:tmpl w:val="782E1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5A11A6"/>
    <w:multiLevelType w:val="hybridMultilevel"/>
    <w:tmpl w:val="C72460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B891CF8"/>
    <w:multiLevelType w:val="multilevel"/>
    <w:tmpl w:val="1DB62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D258E3"/>
    <w:multiLevelType w:val="hybridMultilevel"/>
    <w:tmpl w:val="755A9056"/>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6B3E8456">
      <w:start w:val="1"/>
      <w:numFmt w:val="lowerLetter"/>
      <w:lvlText w:val="%3)"/>
      <w:lvlJc w:val="left"/>
      <w:pPr>
        <w:ind w:left="2340" w:hanging="360"/>
      </w:pPr>
      <w:rPr>
        <w:rFonts w:hint="default"/>
      </w:rPr>
    </w:lvl>
    <w:lvl w:ilvl="3" w:tplc="B3C41A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4C5F90"/>
    <w:multiLevelType w:val="hybridMultilevel"/>
    <w:tmpl w:val="64E2C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A18D0"/>
    <w:multiLevelType w:val="hybridMultilevel"/>
    <w:tmpl w:val="68B204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C810E8"/>
    <w:multiLevelType w:val="hybridMultilevel"/>
    <w:tmpl w:val="8504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D77336"/>
    <w:multiLevelType w:val="hybridMultilevel"/>
    <w:tmpl w:val="E05EFA9C"/>
    <w:lvl w:ilvl="0" w:tplc="CEECE336">
      <w:start w:val="1"/>
      <w:numFmt w:val="upperRoman"/>
      <w:lvlText w:val="%1."/>
      <w:lvlJc w:val="left"/>
      <w:pPr>
        <w:ind w:left="1080" w:hanging="72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270B05"/>
    <w:multiLevelType w:val="hybridMultilevel"/>
    <w:tmpl w:val="0BE82DC2"/>
    <w:lvl w:ilvl="0" w:tplc="F3743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A94E56"/>
    <w:multiLevelType w:val="hybridMultilevel"/>
    <w:tmpl w:val="10E6A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375022"/>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6F26A5"/>
    <w:multiLevelType w:val="hybridMultilevel"/>
    <w:tmpl w:val="C8D2DC3E"/>
    <w:lvl w:ilvl="0" w:tplc="2312D3B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6"/>
  </w:num>
  <w:num w:numId="4">
    <w:abstractNumId w:val="2"/>
  </w:num>
  <w:num w:numId="5">
    <w:abstractNumId w:val="5"/>
  </w:num>
  <w:num w:numId="6">
    <w:abstractNumId w:val="4"/>
  </w:num>
  <w:num w:numId="7">
    <w:abstractNumId w:val="3"/>
  </w:num>
  <w:num w:numId="8">
    <w:abstractNumId w:val="15"/>
  </w:num>
  <w:num w:numId="9">
    <w:abstractNumId w:val="14"/>
  </w:num>
  <w:num w:numId="10">
    <w:abstractNumId w:val="6"/>
  </w:num>
  <w:num w:numId="11">
    <w:abstractNumId w:val="10"/>
  </w:num>
  <w:num w:numId="12">
    <w:abstractNumId w:val="1"/>
  </w:num>
  <w:num w:numId="13">
    <w:abstractNumId w:val="17"/>
  </w:num>
  <w:num w:numId="14">
    <w:abstractNumId w:val="12"/>
  </w:num>
  <w:num w:numId="15">
    <w:abstractNumId w:val="13"/>
  </w:num>
  <w:num w:numId="16">
    <w:abstractNumId w:val="11"/>
  </w:num>
  <w:num w:numId="17">
    <w:abstractNumId w:val="8"/>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2CB5"/>
    <w:rsid w:val="0000485A"/>
    <w:rsid w:val="000048DD"/>
    <w:rsid w:val="00006543"/>
    <w:rsid w:val="00006EB8"/>
    <w:rsid w:val="000077E8"/>
    <w:rsid w:val="00010B0D"/>
    <w:rsid w:val="00012CD0"/>
    <w:rsid w:val="00013A19"/>
    <w:rsid w:val="00013DD9"/>
    <w:rsid w:val="000143FA"/>
    <w:rsid w:val="00014465"/>
    <w:rsid w:val="0001556E"/>
    <w:rsid w:val="000159F0"/>
    <w:rsid w:val="00015A4E"/>
    <w:rsid w:val="00017050"/>
    <w:rsid w:val="00017348"/>
    <w:rsid w:val="00017858"/>
    <w:rsid w:val="00017D26"/>
    <w:rsid w:val="00020818"/>
    <w:rsid w:val="00020CAE"/>
    <w:rsid w:val="00020CF1"/>
    <w:rsid w:val="000212E5"/>
    <w:rsid w:val="000217A4"/>
    <w:rsid w:val="00021C64"/>
    <w:rsid w:val="00022835"/>
    <w:rsid w:val="00023C98"/>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4EF0"/>
    <w:rsid w:val="00035F9E"/>
    <w:rsid w:val="0003659E"/>
    <w:rsid w:val="000373BC"/>
    <w:rsid w:val="000378BC"/>
    <w:rsid w:val="00037B34"/>
    <w:rsid w:val="00037F4B"/>
    <w:rsid w:val="0004017A"/>
    <w:rsid w:val="00041201"/>
    <w:rsid w:val="000415F1"/>
    <w:rsid w:val="00043374"/>
    <w:rsid w:val="00043C4B"/>
    <w:rsid w:val="000441A1"/>
    <w:rsid w:val="000441C4"/>
    <w:rsid w:val="000446B3"/>
    <w:rsid w:val="00045B8E"/>
    <w:rsid w:val="0004646B"/>
    <w:rsid w:val="00050224"/>
    <w:rsid w:val="00051F91"/>
    <w:rsid w:val="000527B4"/>
    <w:rsid w:val="000528E6"/>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76D35"/>
    <w:rsid w:val="0008033A"/>
    <w:rsid w:val="00081064"/>
    <w:rsid w:val="000812BE"/>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97BBE"/>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457"/>
    <w:rsid w:val="000B36DD"/>
    <w:rsid w:val="000B5711"/>
    <w:rsid w:val="000B6020"/>
    <w:rsid w:val="000B6107"/>
    <w:rsid w:val="000B704D"/>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5AB"/>
    <w:rsid w:val="000F6834"/>
    <w:rsid w:val="000F6966"/>
    <w:rsid w:val="000F76AB"/>
    <w:rsid w:val="000F7A45"/>
    <w:rsid w:val="000F7FD8"/>
    <w:rsid w:val="001007D9"/>
    <w:rsid w:val="00100BAC"/>
    <w:rsid w:val="001011E4"/>
    <w:rsid w:val="001017B7"/>
    <w:rsid w:val="00101865"/>
    <w:rsid w:val="001024F2"/>
    <w:rsid w:val="001028A2"/>
    <w:rsid w:val="001034C6"/>
    <w:rsid w:val="001036BF"/>
    <w:rsid w:val="0010415F"/>
    <w:rsid w:val="001049B0"/>
    <w:rsid w:val="00104ADB"/>
    <w:rsid w:val="001057BC"/>
    <w:rsid w:val="001058B8"/>
    <w:rsid w:val="00105CDD"/>
    <w:rsid w:val="0010687C"/>
    <w:rsid w:val="00106FD4"/>
    <w:rsid w:val="00107D2F"/>
    <w:rsid w:val="00107EB6"/>
    <w:rsid w:val="001112C9"/>
    <w:rsid w:val="001124F0"/>
    <w:rsid w:val="001133D5"/>
    <w:rsid w:val="001139FD"/>
    <w:rsid w:val="00114068"/>
    <w:rsid w:val="00114BD2"/>
    <w:rsid w:val="001150E9"/>
    <w:rsid w:val="001166C8"/>
    <w:rsid w:val="00116F92"/>
    <w:rsid w:val="001171BD"/>
    <w:rsid w:val="00117E18"/>
    <w:rsid w:val="0012107A"/>
    <w:rsid w:val="001221B8"/>
    <w:rsid w:val="0012305A"/>
    <w:rsid w:val="001237D5"/>
    <w:rsid w:val="00127757"/>
    <w:rsid w:val="001279BF"/>
    <w:rsid w:val="00127E43"/>
    <w:rsid w:val="00127FF6"/>
    <w:rsid w:val="001301F3"/>
    <w:rsid w:val="001313F8"/>
    <w:rsid w:val="00132573"/>
    <w:rsid w:val="00132A80"/>
    <w:rsid w:val="00132F95"/>
    <w:rsid w:val="00132FE8"/>
    <w:rsid w:val="00134409"/>
    <w:rsid w:val="001350E9"/>
    <w:rsid w:val="0013647C"/>
    <w:rsid w:val="00137147"/>
    <w:rsid w:val="0013791C"/>
    <w:rsid w:val="00137AE3"/>
    <w:rsid w:val="00137B8F"/>
    <w:rsid w:val="00141895"/>
    <w:rsid w:val="0014307A"/>
    <w:rsid w:val="00143189"/>
    <w:rsid w:val="001432BD"/>
    <w:rsid w:val="00144747"/>
    <w:rsid w:val="00144D0B"/>
    <w:rsid w:val="00145B37"/>
    <w:rsid w:val="00146558"/>
    <w:rsid w:val="00146766"/>
    <w:rsid w:val="00147566"/>
    <w:rsid w:val="00147666"/>
    <w:rsid w:val="00147887"/>
    <w:rsid w:val="00147955"/>
    <w:rsid w:val="00147A67"/>
    <w:rsid w:val="001500C2"/>
    <w:rsid w:val="00150E21"/>
    <w:rsid w:val="00151053"/>
    <w:rsid w:val="001519CC"/>
    <w:rsid w:val="00151DCA"/>
    <w:rsid w:val="00151FBB"/>
    <w:rsid w:val="00153143"/>
    <w:rsid w:val="0015381E"/>
    <w:rsid w:val="00153C5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2A8"/>
    <w:rsid w:val="00170545"/>
    <w:rsid w:val="00171ADD"/>
    <w:rsid w:val="00172D4F"/>
    <w:rsid w:val="00174363"/>
    <w:rsid w:val="0017459B"/>
    <w:rsid w:val="00174A74"/>
    <w:rsid w:val="00174A8F"/>
    <w:rsid w:val="00175428"/>
    <w:rsid w:val="00175BB6"/>
    <w:rsid w:val="00175CEB"/>
    <w:rsid w:val="00176367"/>
    <w:rsid w:val="00176773"/>
    <w:rsid w:val="00176E8E"/>
    <w:rsid w:val="00177944"/>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1D10"/>
    <w:rsid w:val="00192AE6"/>
    <w:rsid w:val="0019361B"/>
    <w:rsid w:val="0019375E"/>
    <w:rsid w:val="0019389B"/>
    <w:rsid w:val="0019396A"/>
    <w:rsid w:val="00194CDF"/>
    <w:rsid w:val="00194FF3"/>
    <w:rsid w:val="00195BA5"/>
    <w:rsid w:val="001961FC"/>
    <w:rsid w:val="00196522"/>
    <w:rsid w:val="001A0C96"/>
    <w:rsid w:val="001A1B94"/>
    <w:rsid w:val="001A22F5"/>
    <w:rsid w:val="001A32CB"/>
    <w:rsid w:val="001A3EA6"/>
    <w:rsid w:val="001A3EE2"/>
    <w:rsid w:val="001A4B83"/>
    <w:rsid w:val="001A7FD2"/>
    <w:rsid w:val="001B0041"/>
    <w:rsid w:val="001B0125"/>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311"/>
    <w:rsid w:val="001D43DB"/>
    <w:rsid w:val="001D4965"/>
    <w:rsid w:val="001D4A5C"/>
    <w:rsid w:val="001D51A3"/>
    <w:rsid w:val="001D59E5"/>
    <w:rsid w:val="001D67AC"/>
    <w:rsid w:val="001D6F55"/>
    <w:rsid w:val="001D7012"/>
    <w:rsid w:val="001D7BD2"/>
    <w:rsid w:val="001E0C62"/>
    <w:rsid w:val="001E1AF6"/>
    <w:rsid w:val="001E2A4D"/>
    <w:rsid w:val="001E53C2"/>
    <w:rsid w:val="001E57C1"/>
    <w:rsid w:val="001E5979"/>
    <w:rsid w:val="001E6927"/>
    <w:rsid w:val="001E6FC5"/>
    <w:rsid w:val="001F0E9C"/>
    <w:rsid w:val="001F0EB8"/>
    <w:rsid w:val="001F1540"/>
    <w:rsid w:val="001F176D"/>
    <w:rsid w:val="001F2768"/>
    <w:rsid w:val="001F2DB2"/>
    <w:rsid w:val="001F2FF9"/>
    <w:rsid w:val="001F3D1A"/>
    <w:rsid w:val="001F4A67"/>
    <w:rsid w:val="001F652C"/>
    <w:rsid w:val="001F67A1"/>
    <w:rsid w:val="001F7690"/>
    <w:rsid w:val="001F78D9"/>
    <w:rsid w:val="0020044B"/>
    <w:rsid w:val="00201349"/>
    <w:rsid w:val="002013B6"/>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0E9"/>
    <w:rsid w:val="0021453D"/>
    <w:rsid w:val="0021599D"/>
    <w:rsid w:val="00215D0D"/>
    <w:rsid w:val="00215E41"/>
    <w:rsid w:val="00216E9C"/>
    <w:rsid w:val="0021730F"/>
    <w:rsid w:val="00217551"/>
    <w:rsid w:val="00217AEF"/>
    <w:rsid w:val="00217ED8"/>
    <w:rsid w:val="00220E2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3CFE"/>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0D3"/>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6CFD"/>
    <w:rsid w:val="00287034"/>
    <w:rsid w:val="0028757D"/>
    <w:rsid w:val="00287DB9"/>
    <w:rsid w:val="00291497"/>
    <w:rsid w:val="00291D61"/>
    <w:rsid w:val="0029209D"/>
    <w:rsid w:val="00293491"/>
    <w:rsid w:val="002934DF"/>
    <w:rsid w:val="00294301"/>
    <w:rsid w:val="00295D6A"/>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C02B9"/>
    <w:rsid w:val="002C0440"/>
    <w:rsid w:val="002C06E4"/>
    <w:rsid w:val="002C0DC2"/>
    <w:rsid w:val="002C255D"/>
    <w:rsid w:val="002C2EA7"/>
    <w:rsid w:val="002C33B4"/>
    <w:rsid w:val="002C3951"/>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7A9"/>
    <w:rsid w:val="002E78B1"/>
    <w:rsid w:val="002E7ACF"/>
    <w:rsid w:val="002F02B9"/>
    <w:rsid w:val="002F0C1A"/>
    <w:rsid w:val="002F0CE9"/>
    <w:rsid w:val="002F0FC5"/>
    <w:rsid w:val="002F3BD0"/>
    <w:rsid w:val="002F3DBF"/>
    <w:rsid w:val="002F58D8"/>
    <w:rsid w:val="002F5C8A"/>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172"/>
    <w:rsid w:val="00304E7C"/>
    <w:rsid w:val="00306418"/>
    <w:rsid w:val="003074B3"/>
    <w:rsid w:val="003100F3"/>
    <w:rsid w:val="003107D9"/>
    <w:rsid w:val="00310B76"/>
    <w:rsid w:val="00310C11"/>
    <w:rsid w:val="00310FA6"/>
    <w:rsid w:val="00311D8B"/>
    <w:rsid w:val="00312456"/>
    <w:rsid w:val="00312ED0"/>
    <w:rsid w:val="00315604"/>
    <w:rsid w:val="00315651"/>
    <w:rsid w:val="00316600"/>
    <w:rsid w:val="0031664C"/>
    <w:rsid w:val="00316EEE"/>
    <w:rsid w:val="003172EC"/>
    <w:rsid w:val="00320F16"/>
    <w:rsid w:val="0032170B"/>
    <w:rsid w:val="00321C43"/>
    <w:rsid w:val="003221F7"/>
    <w:rsid w:val="003225B5"/>
    <w:rsid w:val="00322AF7"/>
    <w:rsid w:val="00322F72"/>
    <w:rsid w:val="00323325"/>
    <w:rsid w:val="00323F56"/>
    <w:rsid w:val="00324372"/>
    <w:rsid w:val="003243B0"/>
    <w:rsid w:val="00325EC0"/>
    <w:rsid w:val="0032692F"/>
    <w:rsid w:val="00326A39"/>
    <w:rsid w:val="00330729"/>
    <w:rsid w:val="00330DA7"/>
    <w:rsid w:val="00332F55"/>
    <w:rsid w:val="00333116"/>
    <w:rsid w:val="003340EC"/>
    <w:rsid w:val="003345D8"/>
    <w:rsid w:val="00334F60"/>
    <w:rsid w:val="003350FF"/>
    <w:rsid w:val="0033581B"/>
    <w:rsid w:val="00335E24"/>
    <w:rsid w:val="003374B1"/>
    <w:rsid w:val="0034057C"/>
    <w:rsid w:val="003407FA"/>
    <w:rsid w:val="00340D51"/>
    <w:rsid w:val="00341DA8"/>
    <w:rsid w:val="00342BF2"/>
    <w:rsid w:val="00343417"/>
    <w:rsid w:val="00345880"/>
    <w:rsid w:val="00345EF4"/>
    <w:rsid w:val="00346926"/>
    <w:rsid w:val="003472DE"/>
    <w:rsid w:val="00347DE3"/>
    <w:rsid w:val="00350142"/>
    <w:rsid w:val="00350D3D"/>
    <w:rsid w:val="003514F4"/>
    <w:rsid w:val="00352BAE"/>
    <w:rsid w:val="003535F4"/>
    <w:rsid w:val="00353724"/>
    <w:rsid w:val="00353B6D"/>
    <w:rsid w:val="00354920"/>
    <w:rsid w:val="00355DC6"/>
    <w:rsid w:val="003565AB"/>
    <w:rsid w:val="00357700"/>
    <w:rsid w:val="003604D7"/>
    <w:rsid w:val="00360759"/>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29E"/>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C37"/>
    <w:rsid w:val="00394D7E"/>
    <w:rsid w:val="003956E9"/>
    <w:rsid w:val="00395809"/>
    <w:rsid w:val="00395EB4"/>
    <w:rsid w:val="003963CA"/>
    <w:rsid w:val="003965EC"/>
    <w:rsid w:val="00396BA0"/>
    <w:rsid w:val="00396CF5"/>
    <w:rsid w:val="00397543"/>
    <w:rsid w:val="00397BC9"/>
    <w:rsid w:val="003A0927"/>
    <w:rsid w:val="003A0E17"/>
    <w:rsid w:val="003A0EBA"/>
    <w:rsid w:val="003A16DB"/>
    <w:rsid w:val="003A24F5"/>
    <w:rsid w:val="003A349F"/>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54"/>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067"/>
    <w:rsid w:val="003D624F"/>
    <w:rsid w:val="003D75E8"/>
    <w:rsid w:val="003D778F"/>
    <w:rsid w:val="003D7EEF"/>
    <w:rsid w:val="003E1166"/>
    <w:rsid w:val="003E31E5"/>
    <w:rsid w:val="003E32ED"/>
    <w:rsid w:val="003E3A39"/>
    <w:rsid w:val="003E47E0"/>
    <w:rsid w:val="003E58C9"/>
    <w:rsid w:val="003E5AD4"/>
    <w:rsid w:val="003E6100"/>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09DC"/>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DD4"/>
    <w:rsid w:val="00436FD3"/>
    <w:rsid w:val="00437789"/>
    <w:rsid w:val="004406CF"/>
    <w:rsid w:val="00441804"/>
    <w:rsid w:val="004435B4"/>
    <w:rsid w:val="00443A63"/>
    <w:rsid w:val="004448B0"/>
    <w:rsid w:val="00444B20"/>
    <w:rsid w:val="0044550A"/>
    <w:rsid w:val="004461BC"/>
    <w:rsid w:val="004463BA"/>
    <w:rsid w:val="00447F7D"/>
    <w:rsid w:val="00451065"/>
    <w:rsid w:val="0045504F"/>
    <w:rsid w:val="00456223"/>
    <w:rsid w:val="00460032"/>
    <w:rsid w:val="0046048A"/>
    <w:rsid w:val="00460BA0"/>
    <w:rsid w:val="00463AE9"/>
    <w:rsid w:val="00463D81"/>
    <w:rsid w:val="004641EB"/>
    <w:rsid w:val="00465C75"/>
    <w:rsid w:val="00466346"/>
    <w:rsid w:val="00466604"/>
    <w:rsid w:val="004702B0"/>
    <w:rsid w:val="00471733"/>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63"/>
    <w:rsid w:val="00483AAE"/>
    <w:rsid w:val="0048519E"/>
    <w:rsid w:val="004851D5"/>
    <w:rsid w:val="00485C4A"/>
    <w:rsid w:val="00485E3E"/>
    <w:rsid w:val="00485EC7"/>
    <w:rsid w:val="004860BD"/>
    <w:rsid w:val="00487430"/>
    <w:rsid w:val="00490CC6"/>
    <w:rsid w:val="00492B02"/>
    <w:rsid w:val="00492B6A"/>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7387"/>
    <w:rsid w:val="004B7542"/>
    <w:rsid w:val="004B769A"/>
    <w:rsid w:val="004B7DB2"/>
    <w:rsid w:val="004C080C"/>
    <w:rsid w:val="004C14AC"/>
    <w:rsid w:val="004C201C"/>
    <w:rsid w:val="004C3224"/>
    <w:rsid w:val="004C36E5"/>
    <w:rsid w:val="004C4ACC"/>
    <w:rsid w:val="004C6B28"/>
    <w:rsid w:val="004C6F68"/>
    <w:rsid w:val="004C74C3"/>
    <w:rsid w:val="004C7AA9"/>
    <w:rsid w:val="004C7E83"/>
    <w:rsid w:val="004C7F28"/>
    <w:rsid w:val="004D0A3B"/>
    <w:rsid w:val="004D1C06"/>
    <w:rsid w:val="004D2B43"/>
    <w:rsid w:val="004D2D1A"/>
    <w:rsid w:val="004D2F08"/>
    <w:rsid w:val="004D452E"/>
    <w:rsid w:val="004D45DF"/>
    <w:rsid w:val="004D583C"/>
    <w:rsid w:val="004D5DB3"/>
    <w:rsid w:val="004D6BFF"/>
    <w:rsid w:val="004D7B0B"/>
    <w:rsid w:val="004E1DCE"/>
    <w:rsid w:val="004E2126"/>
    <w:rsid w:val="004E24D9"/>
    <w:rsid w:val="004E345F"/>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7B6E"/>
    <w:rsid w:val="005000AA"/>
    <w:rsid w:val="005034EE"/>
    <w:rsid w:val="005059CD"/>
    <w:rsid w:val="00506429"/>
    <w:rsid w:val="00506E71"/>
    <w:rsid w:val="005070C3"/>
    <w:rsid w:val="00507A11"/>
    <w:rsid w:val="00507C00"/>
    <w:rsid w:val="0051276F"/>
    <w:rsid w:val="00512D06"/>
    <w:rsid w:val="005130AC"/>
    <w:rsid w:val="005130CC"/>
    <w:rsid w:val="00513DF5"/>
    <w:rsid w:val="0051676E"/>
    <w:rsid w:val="005178F8"/>
    <w:rsid w:val="005179FB"/>
    <w:rsid w:val="00520212"/>
    <w:rsid w:val="005220BE"/>
    <w:rsid w:val="00522427"/>
    <w:rsid w:val="00522CC8"/>
    <w:rsid w:val="005244D0"/>
    <w:rsid w:val="005248FB"/>
    <w:rsid w:val="00526575"/>
    <w:rsid w:val="0053014B"/>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2A"/>
    <w:rsid w:val="00546C4E"/>
    <w:rsid w:val="005478D5"/>
    <w:rsid w:val="00547C2B"/>
    <w:rsid w:val="005502D2"/>
    <w:rsid w:val="00550C2F"/>
    <w:rsid w:val="0055126B"/>
    <w:rsid w:val="005525C5"/>
    <w:rsid w:val="00552623"/>
    <w:rsid w:val="00552EBD"/>
    <w:rsid w:val="00553108"/>
    <w:rsid w:val="00553827"/>
    <w:rsid w:val="00553943"/>
    <w:rsid w:val="00553988"/>
    <w:rsid w:val="00554A04"/>
    <w:rsid w:val="00554B85"/>
    <w:rsid w:val="00555F71"/>
    <w:rsid w:val="005601B9"/>
    <w:rsid w:val="00563BEB"/>
    <w:rsid w:val="00566849"/>
    <w:rsid w:val="00566F49"/>
    <w:rsid w:val="00570981"/>
    <w:rsid w:val="00571CE1"/>
    <w:rsid w:val="00571D56"/>
    <w:rsid w:val="0057318B"/>
    <w:rsid w:val="005740F6"/>
    <w:rsid w:val="005743D2"/>
    <w:rsid w:val="00575905"/>
    <w:rsid w:val="0057600C"/>
    <w:rsid w:val="0057608D"/>
    <w:rsid w:val="00577102"/>
    <w:rsid w:val="005774D1"/>
    <w:rsid w:val="005802BD"/>
    <w:rsid w:val="00580BBC"/>
    <w:rsid w:val="00581A10"/>
    <w:rsid w:val="00581ABD"/>
    <w:rsid w:val="00581FA4"/>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18B3"/>
    <w:rsid w:val="005A237B"/>
    <w:rsid w:val="005A474A"/>
    <w:rsid w:val="005A52AC"/>
    <w:rsid w:val="005A5EB9"/>
    <w:rsid w:val="005A5F83"/>
    <w:rsid w:val="005A62BE"/>
    <w:rsid w:val="005A7188"/>
    <w:rsid w:val="005A7326"/>
    <w:rsid w:val="005B0028"/>
    <w:rsid w:val="005B056B"/>
    <w:rsid w:val="005B08E6"/>
    <w:rsid w:val="005B0D7C"/>
    <w:rsid w:val="005B0E86"/>
    <w:rsid w:val="005B1914"/>
    <w:rsid w:val="005B1ADD"/>
    <w:rsid w:val="005B2307"/>
    <w:rsid w:val="005B290B"/>
    <w:rsid w:val="005B3306"/>
    <w:rsid w:val="005B34BE"/>
    <w:rsid w:val="005B39F2"/>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68F"/>
    <w:rsid w:val="005F2C8A"/>
    <w:rsid w:val="005F3B37"/>
    <w:rsid w:val="005F48F1"/>
    <w:rsid w:val="005F605D"/>
    <w:rsid w:val="005F6158"/>
    <w:rsid w:val="005F71AB"/>
    <w:rsid w:val="005F761F"/>
    <w:rsid w:val="0060008D"/>
    <w:rsid w:val="0060077A"/>
    <w:rsid w:val="00601011"/>
    <w:rsid w:val="00601DEF"/>
    <w:rsid w:val="00601E59"/>
    <w:rsid w:val="006027AF"/>
    <w:rsid w:val="00602AC2"/>
    <w:rsid w:val="00602CC0"/>
    <w:rsid w:val="006034C1"/>
    <w:rsid w:val="00603A46"/>
    <w:rsid w:val="00604E52"/>
    <w:rsid w:val="00606194"/>
    <w:rsid w:val="006072D7"/>
    <w:rsid w:val="0061115C"/>
    <w:rsid w:val="00611550"/>
    <w:rsid w:val="00611A49"/>
    <w:rsid w:val="006126E4"/>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2139"/>
    <w:rsid w:val="006325E4"/>
    <w:rsid w:val="00633E0D"/>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855"/>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BD7"/>
    <w:rsid w:val="00666F25"/>
    <w:rsid w:val="00666FE3"/>
    <w:rsid w:val="00667C1C"/>
    <w:rsid w:val="0067001F"/>
    <w:rsid w:val="00670A43"/>
    <w:rsid w:val="00671495"/>
    <w:rsid w:val="006725FC"/>
    <w:rsid w:val="0067273A"/>
    <w:rsid w:val="00673510"/>
    <w:rsid w:val="00673A41"/>
    <w:rsid w:val="00673B95"/>
    <w:rsid w:val="00673DD4"/>
    <w:rsid w:val="00674AEB"/>
    <w:rsid w:val="006751E8"/>
    <w:rsid w:val="0067655A"/>
    <w:rsid w:val="0067785F"/>
    <w:rsid w:val="006811F2"/>
    <w:rsid w:val="00681785"/>
    <w:rsid w:val="006828D8"/>
    <w:rsid w:val="00682AD1"/>
    <w:rsid w:val="0068455C"/>
    <w:rsid w:val="00684887"/>
    <w:rsid w:val="006850CE"/>
    <w:rsid w:val="006867FA"/>
    <w:rsid w:val="00687C4D"/>
    <w:rsid w:val="00691804"/>
    <w:rsid w:val="006918B1"/>
    <w:rsid w:val="00691B69"/>
    <w:rsid w:val="00692778"/>
    <w:rsid w:val="00692F47"/>
    <w:rsid w:val="00693AAD"/>
    <w:rsid w:val="00693BD3"/>
    <w:rsid w:val="00693C8E"/>
    <w:rsid w:val="006969BA"/>
    <w:rsid w:val="00696C0F"/>
    <w:rsid w:val="00697C93"/>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2A7B"/>
    <w:rsid w:val="006B490F"/>
    <w:rsid w:val="006B49BC"/>
    <w:rsid w:val="006B4CDA"/>
    <w:rsid w:val="006B5493"/>
    <w:rsid w:val="006B580F"/>
    <w:rsid w:val="006B72E4"/>
    <w:rsid w:val="006B7584"/>
    <w:rsid w:val="006B77E2"/>
    <w:rsid w:val="006C10C0"/>
    <w:rsid w:val="006C1136"/>
    <w:rsid w:val="006C1B1D"/>
    <w:rsid w:val="006C271A"/>
    <w:rsid w:val="006C32BB"/>
    <w:rsid w:val="006C3747"/>
    <w:rsid w:val="006C3DED"/>
    <w:rsid w:val="006C41A8"/>
    <w:rsid w:val="006C4A9F"/>
    <w:rsid w:val="006C6AD3"/>
    <w:rsid w:val="006C7015"/>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6D9B"/>
    <w:rsid w:val="006D7795"/>
    <w:rsid w:val="006D7ACB"/>
    <w:rsid w:val="006E00EF"/>
    <w:rsid w:val="006E06BB"/>
    <w:rsid w:val="006E190A"/>
    <w:rsid w:val="006E1A7A"/>
    <w:rsid w:val="006E338C"/>
    <w:rsid w:val="006E4632"/>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115"/>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3EBF"/>
    <w:rsid w:val="00714066"/>
    <w:rsid w:val="007147C2"/>
    <w:rsid w:val="00715B8D"/>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7F3"/>
    <w:rsid w:val="00734C8F"/>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AC4"/>
    <w:rsid w:val="007421DC"/>
    <w:rsid w:val="00742CA5"/>
    <w:rsid w:val="007441D8"/>
    <w:rsid w:val="00744DE1"/>
    <w:rsid w:val="007451C1"/>
    <w:rsid w:val="007460D7"/>
    <w:rsid w:val="00750566"/>
    <w:rsid w:val="007513F0"/>
    <w:rsid w:val="007515BC"/>
    <w:rsid w:val="00752606"/>
    <w:rsid w:val="0075402E"/>
    <w:rsid w:val="00755967"/>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37B5"/>
    <w:rsid w:val="00774BF5"/>
    <w:rsid w:val="00774FFE"/>
    <w:rsid w:val="00775638"/>
    <w:rsid w:val="00775677"/>
    <w:rsid w:val="0077599A"/>
    <w:rsid w:val="00776811"/>
    <w:rsid w:val="0077724D"/>
    <w:rsid w:val="00777353"/>
    <w:rsid w:val="00777D28"/>
    <w:rsid w:val="00780CD6"/>
    <w:rsid w:val="00781352"/>
    <w:rsid w:val="00781A64"/>
    <w:rsid w:val="00782EA4"/>
    <w:rsid w:val="00782F1B"/>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5398"/>
    <w:rsid w:val="007A5713"/>
    <w:rsid w:val="007A5B6E"/>
    <w:rsid w:val="007A5D0E"/>
    <w:rsid w:val="007A5D9B"/>
    <w:rsid w:val="007A5E69"/>
    <w:rsid w:val="007A75DF"/>
    <w:rsid w:val="007B0CD9"/>
    <w:rsid w:val="007B0E33"/>
    <w:rsid w:val="007B0E89"/>
    <w:rsid w:val="007B1272"/>
    <w:rsid w:val="007B1F14"/>
    <w:rsid w:val="007B2C38"/>
    <w:rsid w:val="007B2E54"/>
    <w:rsid w:val="007B46E7"/>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6F52"/>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5E95"/>
    <w:rsid w:val="00806A8E"/>
    <w:rsid w:val="00806ABD"/>
    <w:rsid w:val="00807232"/>
    <w:rsid w:val="008079E5"/>
    <w:rsid w:val="00810AA9"/>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38"/>
    <w:rsid w:val="008242C5"/>
    <w:rsid w:val="00824600"/>
    <w:rsid w:val="0082664E"/>
    <w:rsid w:val="00827AEB"/>
    <w:rsid w:val="00827F88"/>
    <w:rsid w:val="008315CE"/>
    <w:rsid w:val="008336A5"/>
    <w:rsid w:val="00833DE9"/>
    <w:rsid w:val="00835474"/>
    <w:rsid w:val="00836695"/>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59D6"/>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535"/>
    <w:rsid w:val="0089048E"/>
    <w:rsid w:val="0089173B"/>
    <w:rsid w:val="00891E76"/>
    <w:rsid w:val="0089220F"/>
    <w:rsid w:val="008924C1"/>
    <w:rsid w:val="008935AA"/>
    <w:rsid w:val="0089384F"/>
    <w:rsid w:val="00894E66"/>
    <w:rsid w:val="008951CA"/>
    <w:rsid w:val="008963F0"/>
    <w:rsid w:val="00896BD5"/>
    <w:rsid w:val="008973EC"/>
    <w:rsid w:val="00897444"/>
    <w:rsid w:val="008978CF"/>
    <w:rsid w:val="008A03A5"/>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370"/>
    <w:rsid w:val="008B1DF8"/>
    <w:rsid w:val="008B2357"/>
    <w:rsid w:val="008B4826"/>
    <w:rsid w:val="008B4FFA"/>
    <w:rsid w:val="008B5AB3"/>
    <w:rsid w:val="008B5CCB"/>
    <w:rsid w:val="008B666C"/>
    <w:rsid w:val="008B6765"/>
    <w:rsid w:val="008B6848"/>
    <w:rsid w:val="008B6A74"/>
    <w:rsid w:val="008B7265"/>
    <w:rsid w:val="008C2BBC"/>
    <w:rsid w:val="008C2F39"/>
    <w:rsid w:val="008C2FA1"/>
    <w:rsid w:val="008C3245"/>
    <w:rsid w:val="008C37E5"/>
    <w:rsid w:val="008C3F59"/>
    <w:rsid w:val="008C57C2"/>
    <w:rsid w:val="008C58DF"/>
    <w:rsid w:val="008D0090"/>
    <w:rsid w:val="008D1369"/>
    <w:rsid w:val="008D189A"/>
    <w:rsid w:val="008D189D"/>
    <w:rsid w:val="008D2C4C"/>
    <w:rsid w:val="008D36ED"/>
    <w:rsid w:val="008D41B3"/>
    <w:rsid w:val="008D60EF"/>
    <w:rsid w:val="008D62B9"/>
    <w:rsid w:val="008D7AB7"/>
    <w:rsid w:val="008D7C6E"/>
    <w:rsid w:val="008D7E0D"/>
    <w:rsid w:val="008D7EDB"/>
    <w:rsid w:val="008E019E"/>
    <w:rsid w:val="008E0927"/>
    <w:rsid w:val="008E1829"/>
    <w:rsid w:val="008E1A61"/>
    <w:rsid w:val="008E2327"/>
    <w:rsid w:val="008E2D66"/>
    <w:rsid w:val="008E2F3E"/>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5DC2"/>
    <w:rsid w:val="008F6F29"/>
    <w:rsid w:val="008F7068"/>
    <w:rsid w:val="00900320"/>
    <w:rsid w:val="00900CBA"/>
    <w:rsid w:val="009021B9"/>
    <w:rsid w:val="00902912"/>
    <w:rsid w:val="00902D00"/>
    <w:rsid w:val="0090360E"/>
    <w:rsid w:val="00903D37"/>
    <w:rsid w:val="0090553A"/>
    <w:rsid w:val="00906EAF"/>
    <w:rsid w:val="00906F91"/>
    <w:rsid w:val="009079D1"/>
    <w:rsid w:val="00907C2E"/>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395C"/>
    <w:rsid w:val="009340E4"/>
    <w:rsid w:val="0093429F"/>
    <w:rsid w:val="009347EC"/>
    <w:rsid w:val="00935ED9"/>
    <w:rsid w:val="00936574"/>
    <w:rsid w:val="00937EC5"/>
    <w:rsid w:val="00937EE1"/>
    <w:rsid w:val="00940C2D"/>
    <w:rsid w:val="009421D1"/>
    <w:rsid w:val="00943BCE"/>
    <w:rsid w:val="00945DBE"/>
    <w:rsid w:val="009508A0"/>
    <w:rsid w:val="00951C32"/>
    <w:rsid w:val="00951FBB"/>
    <w:rsid w:val="00953EDC"/>
    <w:rsid w:val="00953FF0"/>
    <w:rsid w:val="00954950"/>
    <w:rsid w:val="009566A5"/>
    <w:rsid w:val="00960346"/>
    <w:rsid w:val="009617D3"/>
    <w:rsid w:val="009629BE"/>
    <w:rsid w:val="00962C63"/>
    <w:rsid w:val="00964061"/>
    <w:rsid w:val="0096463B"/>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5A8"/>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1289"/>
    <w:rsid w:val="009B33A1"/>
    <w:rsid w:val="009B37E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0A9A"/>
    <w:rsid w:val="009D0F8D"/>
    <w:rsid w:val="009D1593"/>
    <w:rsid w:val="009D1B5C"/>
    <w:rsid w:val="009D1B5D"/>
    <w:rsid w:val="009D22C8"/>
    <w:rsid w:val="009D36A4"/>
    <w:rsid w:val="009D43FE"/>
    <w:rsid w:val="009D4856"/>
    <w:rsid w:val="009D4A04"/>
    <w:rsid w:val="009D5C33"/>
    <w:rsid w:val="009D6197"/>
    <w:rsid w:val="009D6634"/>
    <w:rsid w:val="009D69C6"/>
    <w:rsid w:val="009D6F70"/>
    <w:rsid w:val="009D7D99"/>
    <w:rsid w:val="009E0D72"/>
    <w:rsid w:val="009E10E1"/>
    <w:rsid w:val="009E110C"/>
    <w:rsid w:val="009E20AB"/>
    <w:rsid w:val="009E34CC"/>
    <w:rsid w:val="009E466A"/>
    <w:rsid w:val="009E49AA"/>
    <w:rsid w:val="009E5419"/>
    <w:rsid w:val="009E5A6E"/>
    <w:rsid w:val="009E613C"/>
    <w:rsid w:val="009E70E7"/>
    <w:rsid w:val="009F074A"/>
    <w:rsid w:val="009F2492"/>
    <w:rsid w:val="009F25A8"/>
    <w:rsid w:val="009F3A6A"/>
    <w:rsid w:val="009F3E8C"/>
    <w:rsid w:val="009F46DC"/>
    <w:rsid w:val="009F4C58"/>
    <w:rsid w:val="009F58BE"/>
    <w:rsid w:val="009F65AF"/>
    <w:rsid w:val="009F7BFD"/>
    <w:rsid w:val="00A01666"/>
    <w:rsid w:val="00A01C00"/>
    <w:rsid w:val="00A02488"/>
    <w:rsid w:val="00A025B1"/>
    <w:rsid w:val="00A03A1B"/>
    <w:rsid w:val="00A05E6F"/>
    <w:rsid w:val="00A06A67"/>
    <w:rsid w:val="00A06CC5"/>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3F08"/>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0F3B"/>
    <w:rsid w:val="00A415BA"/>
    <w:rsid w:val="00A437EC"/>
    <w:rsid w:val="00A43816"/>
    <w:rsid w:val="00A43CD2"/>
    <w:rsid w:val="00A4594F"/>
    <w:rsid w:val="00A47054"/>
    <w:rsid w:val="00A47916"/>
    <w:rsid w:val="00A47B0A"/>
    <w:rsid w:val="00A5088B"/>
    <w:rsid w:val="00A513DB"/>
    <w:rsid w:val="00A526EE"/>
    <w:rsid w:val="00A536DA"/>
    <w:rsid w:val="00A53E11"/>
    <w:rsid w:val="00A5406C"/>
    <w:rsid w:val="00A54720"/>
    <w:rsid w:val="00A54801"/>
    <w:rsid w:val="00A55271"/>
    <w:rsid w:val="00A5596D"/>
    <w:rsid w:val="00A56F39"/>
    <w:rsid w:val="00A571CD"/>
    <w:rsid w:val="00A57C3D"/>
    <w:rsid w:val="00A60A2E"/>
    <w:rsid w:val="00A64F18"/>
    <w:rsid w:val="00A65FFD"/>
    <w:rsid w:val="00A66808"/>
    <w:rsid w:val="00A6697B"/>
    <w:rsid w:val="00A67022"/>
    <w:rsid w:val="00A67F68"/>
    <w:rsid w:val="00A71340"/>
    <w:rsid w:val="00A719AA"/>
    <w:rsid w:val="00A72DB1"/>
    <w:rsid w:val="00A73DE3"/>
    <w:rsid w:val="00A74C2D"/>
    <w:rsid w:val="00A74D33"/>
    <w:rsid w:val="00A74E1B"/>
    <w:rsid w:val="00A7564A"/>
    <w:rsid w:val="00A75BBA"/>
    <w:rsid w:val="00A76B34"/>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866"/>
    <w:rsid w:val="00AD497C"/>
    <w:rsid w:val="00AD4A8A"/>
    <w:rsid w:val="00AD50F9"/>
    <w:rsid w:val="00AD7C5E"/>
    <w:rsid w:val="00AE0B4B"/>
    <w:rsid w:val="00AE0CDB"/>
    <w:rsid w:val="00AE1169"/>
    <w:rsid w:val="00AE12AA"/>
    <w:rsid w:val="00AE22EA"/>
    <w:rsid w:val="00AE370F"/>
    <w:rsid w:val="00AE3BE3"/>
    <w:rsid w:val="00AE47BF"/>
    <w:rsid w:val="00AE489D"/>
    <w:rsid w:val="00AE4BD1"/>
    <w:rsid w:val="00AE552E"/>
    <w:rsid w:val="00AF08DA"/>
    <w:rsid w:val="00AF0A77"/>
    <w:rsid w:val="00AF19F2"/>
    <w:rsid w:val="00AF28C8"/>
    <w:rsid w:val="00AF3B03"/>
    <w:rsid w:val="00AF3DDB"/>
    <w:rsid w:val="00AF4C29"/>
    <w:rsid w:val="00AF51A8"/>
    <w:rsid w:val="00AF6432"/>
    <w:rsid w:val="00AF6D3D"/>
    <w:rsid w:val="00AF6DED"/>
    <w:rsid w:val="00AF7502"/>
    <w:rsid w:val="00AF79BD"/>
    <w:rsid w:val="00AF7DB8"/>
    <w:rsid w:val="00B007F7"/>
    <w:rsid w:val="00B00C80"/>
    <w:rsid w:val="00B01191"/>
    <w:rsid w:val="00B01BB6"/>
    <w:rsid w:val="00B03392"/>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1222"/>
    <w:rsid w:val="00B31836"/>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1AA8"/>
    <w:rsid w:val="00B63BE6"/>
    <w:rsid w:val="00B643AF"/>
    <w:rsid w:val="00B64641"/>
    <w:rsid w:val="00B647DE"/>
    <w:rsid w:val="00B65BCE"/>
    <w:rsid w:val="00B672A2"/>
    <w:rsid w:val="00B704B5"/>
    <w:rsid w:val="00B7262F"/>
    <w:rsid w:val="00B727C5"/>
    <w:rsid w:val="00B73267"/>
    <w:rsid w:val="00B7364D"/>
    <w:rsid w:val="00B73FD4"/>
    <w:rsid w:val="00B74FC5"/>
    <w:rsid w:val="00B750FC"/>
    <w:rsid w:val="00B75A6C"/>
    <w:rsid w:val="00B7795B"/>
    <w:rsid w:val="00B779F7"/>
    <w:rsid w:val="00B80C3D"/>
    <w:rsid w:val="00B80E90"/>
    <w:rsid w:val="00B82F2D"/>
    <w:rsid w:val="00B83E29"/>
    <w:rsid w:val="00B83E2A"/>
    <w:rsid w:val="00B83E38"/>
    <w:rsid w:val="00B8408A"/>
    <w:rsid w:val="00B84516"/>
    <w:rsid w:val="00B84F85"/>
    <w:rsid w:val="00B85DF3"/>
    <w:rsid w:val="00B86C19"/>
    <w:rsid w:val="00B87167"/>
    <w:rsid w:val="00B90737"/>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893"/>
    <w:rsid w:val="00BA1FB0"/>
    <w:rsid w:val="00BA206A"/>
    <w:rsid w:val="00BA4CE5"/>
    <w:rsid w:val="00BA688A"/>
    <w:rsid w:val="00BB18B8"/>
    <w:rsid w:val="00BB1B3C"/>
    <w:rsid w:val="00BB375D"/>
    <w:rsid w:val="00BB391B"/>
    <w:rsid w:val="00BB3A74"/>
    <w:rsid w:val="00BB3D85"/>
    <w:rsid w:val="00BB40A3"/>
    <w:rsid w:val="00BB49A0"/>
    <w:rsid w:val="00BB515F"/>
    <w:rsid w:val="00BB532B"/>
    <w:rsid w:val="00BB545D"/>
    <w:rsid w:val="00BC0924"/>
    <w:rsid w:val="00BC1FA5"/>
    <w:rsid w:val="00BC2592"/>
    <w:rsid w:val="00BC2C0C"/>
    <w:rsid w:val="00BC3C5F"/>
    <w:rsid w:val="00BC4DAC"/>
    <w:rsid w:val="00BC6FDD"/>
    <w:rsid w:val="00BC732A"/>
    <w:rsid w:val="00BC758B"/>
    <w:rsid w:val="00BC7B92"/>
    <w:rsid w:val="00BD223D"/>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5A62"/>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67AC"/>
    <w:rsid w:val="00C06AEE"/>
    <w:rsid w:val="00C076CE"/>
    <w:rsid w:val="00C10FCF"/>
    <w:rsid w:val="00C12810"/>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040"/>
    <w:rsid w:val="00C31AF4"/>
    <w:rsid w:val="00C32A89"/>
    <w:rsid w:val="00C3345C"/>
    <w:rsid w:val="00C3426A"/>
    <w:rsid w:val="00C36A0F"/>
    <w:rsid w:val="00C36BB3"/>
    <w:rsid w:val="00C40653"/>
    <w:rsid w:val="00C407E5"/>
    <w:rsid w:val="00C41F64"/>
    <w:rsid w:val="00C42DAC"/>
    <w:rsid w:val="00C4342B"/>
    <w:rsid w:val="00C43450"/>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502"/>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183"/>
    <w:rsid w:val="00C92552"/>
    <w:rsid w:val="00C92C27"/>
    <w:rsid w:val="00C939E8"/>
    <w:rsid w:val="00C93AC2"/>
    <w:rsid w:val="00C93F1B"/>
    <w:rsid w:val="00C94EF0"/>
    <w:rsid w:val="00C95093"/>
    <w:rsid w:val="00C95AB0"/>
    <w:rsid w:val="00C96DFE"/>
    <w:rsid w:val="00C9709F"/>
    <w:rsid w:val="00C976D1"/>
    <w:rsid w:val="00C97851"/>
    <w:rsid w:val="00CA123D"/>
    <w:rsid w:val="00CA2DFC"/>
    <w:rsid w:val="00CA308F"/>
    <w:rsid w:val="00CA3902"/>
    <w:rsid w:val="00CA69DB"/>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24D"/>
    <w:rsid w:val="00CE07B8"/>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6481"/>
    <w:rsid w:val="00CF76A8"/>
    <w:rsid w:val="00CF7D0F"/>
    <w:rsid w:val="00D01349"/>
    <w:rsid w:val="00D01836"/>
    <w:rsid w:val="00D01F75"/>
    <w:rsid w:val="00D02BC6"/>
    <w:rsid w:val="00D02CFC"/>
    <w:rsid w:val="00D0310D"/>
    <w:rsid w:val="00D03A15"/>
    <w:rsid w:val="00D04099"/>
    <w:rsid w:val="00D041C8"/>
    <w:rsid w:val="00D047A7"/>
    <w:rsid w:val="00D051FE"/>
    <w:rsid w:val="00D05803"/>
    <w:rsid w:val="00D05C7C"/>
    <w:rsid w:val="00D05CA7"/>
    <w:rsid w:val="00D05EEA"/>
    <w:rsid w:val="00D06906"/>
    <w:rsid w:val="00D07742"/>
    <w:rsid w:val="00D10A0F"/>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065"/>
    <w:rsid w:val="00D3564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A7D"/>
    <w:rsid w:val="00D575F0"/>
    <w:rsid w:val="00D575F1"/>
    <w:rsid w:val="00D57A95"/>
    <w:rsid w:val="00D603BA"/>
    <w:rsid w:val="00D60578"/>
    <w:rsid w:val="00D61A0E"/>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1A8A"/>
    <w:rsid w:val="00DA22B5"/>
    <w:rsid w:val="00DA267B"/>
    <w:rsid w:val="00DA420D"/>
    <w:rsid w:val="00DA495D"/>
    <w:rsid w:val="00DA4F15"/>
    <w:rsid w:val="00DA5512"/>
    <w:rsid w:val="00DA57BE"/>
    <w:rsid w:val="00DA5DCA"/>
    <w:rsid w:val="00DA7095"/>
    <w:rsid w:val="00DA70B4"/>
    <w:rsid w:val="00DA7BA0"/>
    <w:rsid w:val="00DB1C1D"/>
    <w:rsid w:val="00DB2180"/>
    <w:rsid w:val="00DB42F5"/>
    <w:rsid w:val="00DB469A"/>
    <w:rsid w:val="00DB4B8A"/>
    <w:rsid w:val="00DB4DC0"/>
    <w:rsid w:val="00DB52C3"/>
    <w:rsid w:val="00DB5454"/>
    <w:rsid w:val="00DB5DA3"/>
    <w:rsid w:val="00DB7E5F"/>
    <w:rsid w:val="00DC10B0"/>
    <w:rsid w:val="00DC1246"/>
    <w:rsid w:val="00DC1594"/>
    <w:rsid w:val="00DC2884"/>
    <w:rsid w:val="00DC2B02"/>
    <w:rsid w:val="00DC4770"/>
    <w:rsid w:val="00DC4BCD"/>
    <w:rsid w:val="00DC4E3D"/>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4A88"/>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1FEA"/>
    <w:rsid w:val="00DF39C6"/>
    <w:rsid w:val="00DF54E4"/>
    <w:rsid w:val="00DF6537"/>
    <w:rsid w:val="00DF6A00"/>
    <w:rsid w:val="00DF6F8B"/>
    <w:rsid w:val="00DF72D9"/>
    <w:rsid w:val="00DF7526"/>
    <w:rsid w:val="00DF7C06"/>
    <w:rsid w:val="00DF7DF3"/>
    <w:rsid w:val="00DF7EC8"/>
    <w:rsid w:val="00E00EC3"/>
    <w:rsid w:val="00E028ED"/>
    <w:rsid w:val="00E02901"/>
    <w:rsid w:val="00E02A5D"/>
    <w:rsid w:val="00E0499F"/>
    <w:rsid w:val="00E04AA7"/>
    <w:rsid w:val="00E0682E"/>
    <w:rsid w:val="00E06E31"/>
    <w:rsid w:val="00E078DD"/>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B7E"/>
    <w:rsid w:val="00E22FE4"/>
    <w:rsid w:val="00E24BF5"/>
    <w:rsid w:val="00E25494"/>
    <w:rsid w:val="00E256C4"/>
    <w:rsid w:val="00E25982"/>
    <w:rsid w:val="00E2674B"/>
    <w:rsid w:val="00E272DC"/>
    <w:rsid w:val="00E27DC8"/>
    <w:rsid w:val="00E27DDF"/>
    <w:rsid w:val="00E27E01"/>
    <w:rsid w:val="00E30469"/>
    <w:rsid w:val="00E30A90"/>
    <w:rsid w:val="00E32C71"/>
    <w:rsid w:val="00E32DBA"/>
    <w:rsid w:val="00E34B25"/>
    <w:rsid w:val="00E3553C"/>
    <w:rsid w:val="00E35655"/>
    <w:rsid w:val="00E367AD"/>
    <w:rsid w:val="00E36EE1"/>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5AF7"/>
    <w:rsid w:val="00E773B4"/>
    <w:rsid w:val="00E77E5E"/>
    <w:rsid w:val="00E80DA7"/>
    <w:rsid w:val="00E8155D"/>
    <w:rsid w:val="00E816C6"/>
    <w:rsid w:val="00E82615"/>
    <w:rsid w:val="00E82D63"/>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2F71"/>
    <w:rsid w:val="00EA3156"/>
    <w:rsid w:val="00EA34A1"/>
    <w:rsid w:val="00EA40A2"/>
    <w:rsid w:val="00EA498C"/>
    <w:rsid w:val="00EA4CD5"/>
    <w:rsid w:val="00EA5D2C"/>
    <w:rsid w:val="00EA5D8E"/>
    <w:rsid w:val="00EA5D9F"/>
    <w:rsid w:val="00EA7E07"/>
    <w:rsid w:val="00EB07CF"/>
    <w:rsid w:val="00EB0D0E"/>
    <w:rsid w:val="00EB1363"/>
    <w:rsid w:val="00EB266C"/>
    <w:rsid w:val="00EB2F67"/>
    <w:rsid w:val="00EB3337"/>
    <w:rsid w:val="00EB36EC"/>
    <w:rsid w:val="00EB3B88"/>
    <w:rsid w:val="00EB3BB1"/>
    <w:rsid w:val="00EB4A02"/>
    <w:rsid w:val="00EB7B79"/>
    <w:rsid w:val="00EC0928"/>
    <w:rsid w:val="00EC0C14"/>
    <w:rsid w:val="00EC2B42"/>
    <w:rsid w:val="00EC385E"/>
    <w:rsid w:val="00EC3B8F"/>
    <w:rsid w:val="00EC5CA0"/>
    <w:rsid w:val="00EC64A8"/>
    <w:rsid w:val="00EC7372"/>
    <w:rsid w:val="00ED00D7"/>
    <w:rsid w:val="00ED0ADC"/>
    <w:rsid w:val="00ED107F"/>
    <w:rsid w:val="00ED19D1"/>
    <w:rsid w:val="00ED1A47"/>
    <w:rsid w:val="00ED2AC0"/>
    <w:rsid w:val="00ED30E8"/>
    <w:rsid w:val="00ED3438"/>
    <w:rsid w:val="00ED36D0"/>
    <w:rsid w:val="00ED3B69"/>
    <w:rsid w:val="00ED3CF9"/>
    <w:rsid w:val="00ED3ECA"/>
    <w:rsid w:val="00ED3F39"/>
    <w:rsid w:val="00ED4492"/>
    <w:rsid w:val="00ED63AE"/>
    <w:rsid w:val="00ED646D"/>
    <w:rsid w:val="00ED6CD1"/>
    <w:rsid w:val="00ED6EE7"/>
    <w:rsid w:val="00ED76D1"/>
    <w:rsid w:val="00ED7A42"/>
    <w:rsid w:val="00ED7EEC"/>
    <w:rsid w:val="00EE0395"/>
    <w:rsid w:val="00EE1D80"/>
    <w:rsid w:val="00EE1EE0"/>
    <w:rsid w:val="00EE2BFB"/>
    <w:rsid w:val="00EE2EEA"/>
    <w:rsid w:val="00EE5F2E"/>
    <w:rsid w:val="00EE6511"/>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61A6"/>
    <w:rsid w:val="00F06B3A"/>
    <w:rsid w:val="00F0710C"/>
    <w:rsid w:val="00F07A3A"/>
    <w:rsid w:val="00F07A69"/>
    <w:rsid w:val="00F07C58"/>
    <w:rsid w:val="00F07ECC"/>
    <w:rsid w:val="00F11AB3"/>
    <w:rsid w:val="00F11E70"/>
    <w:rsid w:val="00F1286E"/>
    <w:rsid w:val="00F12B32"/>
    <w:rsid w:val="00F14017"/>
    <w:rsid w:val="00F14D17"/>
    <w:rsid w:val="00F1608F"/>
    <w:rsid w:val="00F1684C"/>
    <w:rsid w:val="00F16894"/>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915"/>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6DA"/>
    <w:rsid w:val="00F638C3"/>
    <w:rsid w:val="00F645B3"/>
    <w:rsid w:val="00F6497E"/>
    <w:rsid w:val="00F65227"/>
    <w:rsid w:val="00F65512"/>
    <w:rsid w:val="00F66B06"/>
    <w:rsid w:val="00F671D1"/>
    <w:rsid w:val="00F677E2"/>
    <w:rsid w:val="00F67B74"/>
    <w:rsid w:val="00F70830"/>
    <w:rsid w:val="00F70C89"/>
    <w:rsid w:val="00F70E5B"/>
    <w:rsid w:val="00F70FBD"/>
    <w:rsid w:val="00F71320"/>
    <w:rsid w:val="00F714A9"/>
    <w:rsid w:val="00F717E6"/>
    <w:rsid w:val="00F73751"/>
    <w:rsid w:val="00F73DC5"/>
    <w:rsid w:val="00F75EAD"/>
    <w:rsid w:val="00F76073"/>
    <w:rsid w:val="00F76E51"/>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3BC"/>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08D"/>
    <w:rsid w:val="00FE1955"/>
    <w:rsid w:val="00FE19D5"/>
    <w:rsid w:val="00FE3D58"/>
    <w:rsid w:val="00FE5983"/>
    <w:rsid w:val="00FE62DC"/>
    <w:rsid w:val="00FE731D"/>
    <w:rsid w:val="00FF05B9"/>
    <w:rsid w:val="00FF0EB1"/>
    <w:rsid w:val="00FF30DE"/>
    <w:rsid w:val="00FF456A"/>
    <w:rsid w:val="00FF46FD"/>
    <w:rsid w:val="00FF6204"/>
    <w:rsid w:val="00FF634D"/>
    <w:rsid w:val="00FF7BD4"/>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customStyle="1" w:styleId="p">
    <w:name w:val="p"/>
    <w:basedOn w:val="Normal"/>
    <w:rsid w:val="00E82D63"/>
    <w:pPr>
      <w:spacing w:before="100" w:beforeAutospacing="1" w:after="100" w:afterAutospacing="1"/>
    </w:pPr>
    <w:rPr>
      <w:sz w:val="24"/>
      <w:szCs w:val="24"/>
      <w:lang w:eastAsia="es-MX"/>
    </w:rPr>
  </w:style>
  <w:style w:type="paragraph" w:styleId="Continuarlista">
    <w:name w:val="List Continue"/>
    <w:basedOn w:val="Normal"/>
    <w:uiPriority w:val="99"/>
    <w:unhideWhenUsed/>
    <w:rsid w:val="006B2A7B"/>
    <w:pPr>
      <w:spacing w:after="120"/>
      <w:ind w:left="283"/>
      <w:contextualSpacing/>
    </w:pPr>
    <w:rPr>
      <w:sz w:val="24"/>
      <w:szCs w:val="24"/>
      <w:lang w:eastAsia="es-MX"/>
    </w:rPr>
  </w:style>
  <w:style w:type="character" w:customStyle="1" w:styleId="Hipervnculo151">
    <w:name w:val="Hipervínculo151"/>
    <w:basedOn w:val="Fuentedeprrafopredeter"/>
    <w:uiPriority w:val="99"/>
    <w:unhideWhenUsed/>
    <w:rsid w:val="00081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28031448">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082209">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15789599">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0159527">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940352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8866529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79440544">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56923885">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6061800">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199367443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663569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e.rae.es/?id=FdI00O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saimex.org.mx/saimex/solicitud/downloadAttach/2148871.pa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le.rae.es/?id=VGqyuLj|VGtxgAo|VGuc9Wg" TargetMode="External"/><Relationship Id="rId7" Type="http://schemas.openxmlformats.org/officeDocument/2006/relationships/hyperlink" Target="http://dle.rae.es/?id=KtpfgjV" TargetMode="External"/><Relationship Id="rId2" Type="http://schemas.openxmlformats.org/officeDocument/2006/relationships/hyperlink" Target="http://dej.rae.es/" TargetMode="External"/><Relationship Id="rId1" Type="http://schemas.openxmlformats.org/officeDocument/2006/relationships/hyperlink" Target="http://dej.rae.es/" TargetMode="External"/><Relationship Id="rId6" Type="http://schemas.openxmlformats.org/officeDocument/2006/relationships/hyperlink" Target="http://dle.rae.es/?id=KtnHLLd" TargetMode="External"/><Relationship Id="rId5" Type="http://schemas.openxmlformats.org/officeDocument/2006/relationships/hyperlink" Target="http://dle.rae.es/?id=CAqWkEB" TargetMode="External"/><Relationship Id="rId4" Type="http://schemas.openxmlformats.org/officeDocument/2006/relationships/hyperlink" Target="http://dle.rae.es/?id=CAjNz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C3DFB-02BA-4EAA-B788-E7BF9787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77</Pages>
  <Words>14431</Words>
  <Characters>79372</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INFOEM403</cp:lastModifiedBy>
  <cp:revision>7</cp:revision>
  <cp:lastPrinted>2025-02-13T16:18:00Z</cp:lastPrinted>
  <dcterms:created xsi:type="dcterms:W3CDTF">2025-02-10T20:40:00Z</dcterms:created>
  <dcterms:modified xsi:type="dcterms:W3CDTF">2025-03-25T20:52:00Z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