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0359" w14:textId="77777777" w:rsidR="005B68DD" w:rsidRPr="00AE2394" w:rsidRDefault="00A57AF2">
      <w:pPr>
        <w:spacing w:line="360" w:lineRule="auto"/>
        <w:ind w:left="-142"/>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cuatro de junio de dos mil veinticinco. </w:t>
      </w:r>
    </w:p>
    <w:p w14:paraId="7E063EED" w14:textId="77777777" w:rsidR="005B68DD" w:rsidRPr="00AE2394" w:rsidRDefault="005B68DD">
      <w:pPr>
        <w:spacing w:line="360" w:lineRule="auto"/>
        <w:ind w:left="-142"/>
        <w:jc w:val="both"/>
        <w:rPr>
          <w:rFonts w:ascii="Palatino Linotype" w:eastAsia="Palatino Linotype" w:hAnsi="Palatino Linotype" w:cs="Palatino Linotype"/>
          <w:sz w:val="22"/>
          <w:szCs w:val="22"/>
        </w:rPr>
      </w:pPr>
    </w:p>
    <w:p w14:paraId="50A902E2" w14:textId="77777777" w:rsidR="005B68DD" w:rsidRPr="00AE2394" w:rsidRDefault="00A57AF2">
      <w:pPr>
        <w:spacing w:line="360" w:lineRule="auto"/>
        <w:ind w:left="-142"/>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Visto</w:t>
      </w:r>
      <w:r w:rsidRPr="00AE2394">
        <w:rPr>
          <w:rFonts w:ascii="Palatino Linotype" w:eastAsia="Palatino Linotype" w:hAnsi="Palatino Linotype" w:cs="Palatino Linotype"/>
          <w:sz w:val="22"/>
          <w:szCs w:val="22"/>
        </w:rPr>
        <w:t xml:space="preserve"> el expediente relativo al recurso de revisión </w:t>
      </w:r>
      <w:r w:rsidRPr="00AE2394">
        <w:rPr>
          <w:rFonts w:ascii="Palatino Linotype" w:eastAsia="Palatino Linotype" w:hAnsi="Palatino Linotype" w:cs="Palatino Linotype"/>
          <w:b/>
          <w:sz w:val="22"/>
          <w:szCs w:val="22"/>
        </w:rPr>
        <w:t>03099/INFOEM/IP/RR/2025</w:t>
      </w:r>
      <w:r w:rsidRPr="00AE2394">
        <w:rPr>
          <w:rFonts w:ascii="Palatino Linotype" w:eastAsia="Palatino Linotype" w:hAnsi="Palatino Linotype" w:cs="Palatino Linotype"/>
          <w:sz w:val="22"/>
          <w:szCs w:val="22"/>
        </w:rPr>
        <w:t>, interpuesto por una persona usuaria del Sistema de Acceso a la Información Mexiquense en lo sucesivo se le denominará la persona</w:t>
      </w:r>
      <w:r w:rsidRPr="00AE2394">
        <w:rPr>
          <w:rFonts w:ascii="Palatino Linotype" w:eastAsia="Palatino Linotype" w:hAnsi="Palatino Linotype" w:cs="Palatino Linotype"/>
          <w:b/>
          <w:sz w:val="22"/>
          <w:szCs w:val="22"/>
        </w:rPr>
        <w:t xml:space="preserve"> RECURRENTE</w:t>
      </w:r>
      <w:r w:rsidRPr="00AE2394">
        <w:rPr>
          <w:rFonts w:ascii="Palatino Linotype" w:eastAsia="Palatino Linotype" w:hAnsi="Palatino Linotype" w:cs="Palatino Linotype"/>
          <w:sz w:val="22"/>
          <w:szCs w:val="22"/>
        </w:rPr>
        <w:t>, en contra de la respuesta a su solicitud de información con número de folio</w:t>
      </w:r>
      <w:r w:rsidRPr="00AE2394">
        <w:rPr>
          <w:rFonts w:ascii="Palatino Linotype" w:eastAsia="Palatino Linotype" w:hAnsi="Palatino Linotype" w:cs="Palatino Linotype"/>
          <w:b/>
          <w:sz w:val="22"/>
          <w:szCs w:val="22"/>
        </w:rPr>
        <w:t xml:space="preserve"> 00140/ATLACOM/IP/2025</w:t>
      </w:r>
      <w:r w:rsidRPr="00AE2394">
        <w:rPr>
          <w:rFonts w:ascii="Palatino Linotype" w:eastAsia="Palatino Linotype" w:hAnsi="Palatino Linotype" w:cs="Palatino Linotype"/>
          <w:sz w:val="22"/>
          <w:szCs w:val="22"/>
        </w:rPr>
        <w:t xml:space="preserve">, por parte del </w:t>
      </w:r>
      <w:r w:rsidRPr="00AE2394">
        <w:rPr>
          <w:rFonts w:ascii="Palatino Linotype" w:eastAsia="Palatino Linotype" w:hAnsi="Palatino Linotype" w:cs="Palatino Linotype"/>
          <w:b/>
          <w:sz w:val="22"/>
          <w:szCs w:val="22"/>
        </w:rPr>
        <w:t xml:space="preserve">Ayuntamiento de Atlacomulco </w:t>
      </w:r>
      <w:r w:rsidRPr="00AE2394">
        <w:rPr>
          <w:rFonts w:ascii="Palatino Linotype" w:eastAsia="Palatino Linotype" w:hAnsi="Palatino Linotype" w:cs="Palatino Linotype"/>
          <w:sz w:val="22"/>
          <w:szCs w:val="22"/>
        </w:rPr>
        <w:t xml:space="preserve">en lo sucesivo el </w:t>
      </w:r>
      <w:r w:rsidRPr="00AE2394">
        <w:rPr>
          <w:rFonts w:ascii="Palatino Linotype" w:eastAsia="Palatino Linotype" w:hAnsi="Palatino Linotype" w:cs="Palatino Linotype"/>
          <w:b/>
          <w:sz w:val="22"/>
          <w:szCs w:val="22"/>
        </w:rPr>
        <w:t>SUJETO OBLIGADO</w:t>
      </w:r>
      <w:r w:rsidRPr="00AE2394">
        <w:rPr>
          <w:rFonts w:ascii="Palatino Linotype" w:eastAsia="Palatino Linotype" w:hAnsi="Palatino Linotype" w:cs="Palatino Linotype"/>
          <w:sz w:val="22"/>
          <w:szCs w:val="22"/>
        </w:rPr>
        <w:t>;</w:t>
      </w:r>
      <w:r w:rsidRPr="00AE2394">
        <w:rPr>
          <w:rFonts w:ascii="Palatino Linotype" w:eastAsia="Palatino Linotype" w:hAnsi="Palatino Linotype" w:cs="Palatino Linotype"/>
          <w:b/>
          <w:sz w:val="22"/>
          <w:szCs w:val="22"/>
        </w:rPr>
        <w:t xml:space="preserve"> </w:t>
      </w:r>
      <w:r w:rsidRPr="00AE2394">
        <w:rPr>
          <w:rFonts w:ascii="Palatino Linotype" w:eastAsia="Palatino Linotype" w:hAnsi="Palatino Linotype" w:cs="Palatino Linotype"/>
          <w:sz w:val="22"/>
          <w:szCs w:val="22"/>
        </w:rPr>
        <w:t>se procede a dictar la presente resolución, con base en los siguientes:</w:t>
      </w:r>
    </w:p>
    <w:p w14:paraId="7EE06A72" w14:textId="77777777" w:rsidR="005B68DD" w:rsidRPr="00AE2394" w:rsidRDefault="005B68DD">
      <w:pPr>
        <w:spacing w:line="360" w:lineRule="auto"/>
        <w:ind w:left="-142"/>
        <w:jc w:val="both"/>
        <w:rPr>
          <w:rFonts w:ascii="Palatino Linotype" w:eastAsia="Palatino Linotype" w:hAnsi="Palatino Linotype" w:cs="Palatino Linotype"/>
          <w:sz w:val="22"/>
          <w:szCs w:val="22"/>
        </w:rPr>
      </w:pPr>
    </w:p>
    <w:p w14:paraId="02608929" w14:textId="77777777" w:rsidR="005B68DD" w:rsidRPr="00AE2394" w:rsidRDefault="00A57AF2">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AE2394">
        <w:rPr>
          <w:rFonts w:ascii="Palatino Linotype" w:eastAsia="Palatino Linotype" w:hAnsi="Palatino Linotype" w:cs="Palatino Linotype"/>
          <w:b/>
          <w:sz w:val="22"/>
          <w:szCs w:val="22"/>
        </w:rPr>
        <w:t>A N T E C E D E N T E S:</w:t>
      </w:r>
    </w:p>
    <w:p w14:paraId="4C7A932E" w14:textId="77777777" w:rsidR="005B68DD" w:rsidRPr="00AE2394" w:rsidRDefault="005B68DD">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56D28C7" w14:textId="77777777" w:rsidR="005B68DD" w:rsidRPr="00AE2394" w:rsidRDefault="00A57AF2">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AE2394">
        <w:rPr>
          <w:rFonts w:ascii="Palatino Linotype" w:eastAsia="Palatino Linotype" w:hAnsi="Palatino Linotype" w:cs="Palatino Linotype"/>
          <w:b/>
          <w:sz w:val="22"/>
          <w:szCs w:val="22"/>
        </w:rPr>
        <w:t xml:space="preserve">Solicitud de acceso a la información. </w:t>
      </w:r>
      <w:r w:rsidRPr="00AE2394">
        <w:rPr>
          <w:rFonts w:ascii="Palatino Linotype" w:eastAsia="Palatino Linotype" w:hAnsi="Palatino Linotype" w:cs="Palatino Linotype"/>
          <w:sz w:val="22"/>
          <w:szCs w:val="22"/>
        </w:rPr>
        <w:t xml:space="preserve">Con fecha </w:t>
      </w:r>
      <w:r w:rsidRPr="00AE2394">
        <w:rPr>
          <w:rFonts w:ascii="Palatino Linotype" w:eastAsia="Palatino Linotype" w:hAnsi="Palatino Linotype" w:cs="Palatino Linotype"/>
          <w:b/>
          <w:sz w:val="22"/>
          <w:szCs w:val="22"/>
        </w:rPr>
        <w:t>once de febrero de dos mil veinticinco</w:t>
      </w:r>
      <w:r w:rsidRPr="00AE2394">
        <w:rPr>
          <w:rFonts w:ascii="Palatino Linotype" w:eastAsia="Palatino Linotype" w:hAnsi="Palatino Linotype" w:cs="Palatino Linotype"/>
          <w:sz w:val="22"/>
          <w:szCs w:val="22"/>
        </w:rPr>
        <w:t xml:space="preserve">, la parte </w:t>
      </w:r>
      <w:r w:rsidRPr="00AE2394">
        <w:rPr>
          <w:rFonts w:ascii="Palatino Linotype" w:eastAsia="Palatino Linotype" w:hAnsi="Palatino Linotype" w:cs="Palatino Linotype"/>
          <w:b/>
          <w:sz w:val="22"/>
          <w:szCs w:val="22"/>
        </w:rPr>
        <w:t>RECURRENTE</w:t>
      </w:r>
      <w:r w:rsidRPr="00AE2394">
        <w:rPr>
          <w:rFonts w:ascii="Palatino Linotype" w:eastAsia="Palatino Linotype" w:hAnsi="Palatino Linotype" w:cs="Palatino Linotype"/>
          <w:sz w:val="22"/>
          <w:szCs w:val="22"/>
        </w:rPr>
        <w:t xml:space="preserve"> formuló solicitud de acceso a información pública al </w:t>
      </w:r>
      <w:r w:rsidRPr="00AE2394">
        <w:rPr>
          <w:rFonts w:ascii="Palatino Linotype" w:eastAsia="Palatino Linotype" w:hAnsi="Palatino Linotype" w:cs="Palatino Linotype"/>
          <w:b/>
          <w:sz w:val="22"/>
          <w:szCs w:val="22"/>
        </w:rPr>
        <w:t>SUJETO OBLIGADO</w:t>
      </w:r>
      <w:r w:rsidRPr="00AE2394">
        <w:rPr>
          <w:rFonts w:ascii="Palatino Linotype" w:eastAsia="Palatino Linotype" w:hAnsi="Palatino Linotype" w:cs="Palatino Linotype"/>
          <w:sz w:val="22"/>
          <w:szCs w:val="22"/>
        </w:rPr>
        <w:t xml:space="preserve"> a través del Sistema de Acceso a la Información Mexiquense, en adelante </w:t>
      </w:r>
      <w:r w:rsidRPr="00AE2394">
        <w:rPr>
          <w:rFonts w:ascii="Palatino Linotype" w:eastAsia="Palatino Linotype" w:hAnsi="Palatino Linotype" w:cs="Palatino Linotype"/>
          <w:b/>
          <w:sz w:val="22"/>
          <w:szCs w:val="22"/>
        </w:rPr>
        <w:t>SAIMEX</w:t>
      </w:r>
      <w:r w:rsidRPr="00AE2394">
        <w:rPr>
          <w:rFonts w:ascii="Palatino Linotype" w:eastAsia="Palatino Linotype" w:hAnsi="Palatino Linotype" w:cs="Palatino Linotype"/>
          <w:sz w:val="22"/>
          <w:szCs w:val="22"/>
        </w:rPr>
        <w:t>, requiriéndole lo siguiente:</w:t>
      </w:r>
    </w:p>
    <w:p w14:paraId="17C21557" w14:textId="77777777" w:rsidR="005B68DD" w:rsidRPr="00AE2394" w:rsidRDefault="005B68D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BB9632E" w14:textId="77777777" w:rsidR="005B68DD" w:rsidRPr="00AE2394" w:rsidRDefault="00A57AF2">
      <w:pPr>
        <w:spacing w:line="276" w:lineRule="auto"/>
        <w:ind w:left="567" w:right="900"/>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“Número de </w:t>
      </w:r>
      <w:proofErr w:type="spellStart"/>
      <w:r w:rsidRPr="00AE2394">
        <w:rPr>
          <w:rFonts w:ascii="Palatino Linotype" w:eastAsia="Palatino Linotype" w:hAnsi="Palatino Linotype" w:cs="Palatino Linotype"/>
          <w:i/>
          <w:sz w:val="22"/>
          <w:szCs w:val="22"/>
        </w:rPr>
        <w:t>parquimetros</w:t>
      </w:r>
      <w:proofErr w:type="spellEnd"/>
      <w:r w:rsidRPr="00AE2394">
        <w:rPr>
          <w:rFonts w:ascii="Palatino Linotype" w:eastAsia="Palatino Linotype" w:hAnsi="Palatino Linotype" w:cs="Palatino Linotype"/>
          <w:i/>
          <w:sz w:val="22"/>
          <w:szCs w:val="22"/>
        </w:rPr>
        <w:t xml:space="preserve">, ubicaciones, ingresos de enero 2025 y en </w:t>
      </w:r>
      <w:proofErr w:type="spellStart"/>
      <w:r w:rsidRPr="00AE2394">
        <w:rPr>
          <w:rFonts w:ascii="Palatino Linotype" w:eastAsia="Palatino Linotype" w:hAnsi="Palatino Linotype" w:cs="Palatino Linotype"/>
          <w:i/>
          <w:sz w:val="22"/>
          <w:szCs w:val="22"/>
        </w:rPr>
        <w:t>qu</w:t>
      </w:r>
      <w:proofErr w:type="spellEnd"/>
      <w:r w:rsidRPr="00AE2394">
        <w:rPr>
          <w:rFonts w:ascii="Palatino Linotype" w:eastAsia="Palatino Linotype" w:hAnsi="Palatino Linotype" w:cs="Palatino Linotype"/>
          <w:i/>
          <w:sz w:val="22"/>
          <w:szCs w:val="22"/>
        </w:rPr>
        <w:t xml:space="preserve"> se ocupa el dinero recogido y en que se emplea con documento justificación”. </w:t>
      </w:r>
    </w:p>
    <w:p w14:paraId="621E9481" w14:textId="77777777" w:rsidR="005B68DD" w:rsidRPr="00AE2394" w:rsidRDefault="005B68DD">
      <w:pPr>
        <w:spacing w:line="360" w:lineRule="auto"/>
        <w:ind w:right="900"/>
        <w:jc w:val="both"/>
        <w:rPr>
          <w:rFonts w:ascii="Palatino Linotype" w:eastAsia="Palatino Linotype" w:hAnsi="Palatino Linotype" w:cs="Palatino Linotype"/>
          <w:b/>
          <w:i/>
          <w:sz w:val="22"/>
          <w:szCs w:val="22"/>
        </w:rPr>
      </w:pPr>
    </w:p>
    <w:p w14:paraId="4A340CED"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Modalidad elegida para la entrega de la información: </w:t>
      </w:r>
      <w:r w:rsidRPr="00AE2394">
        <w:rPr>
          <w:rFonts w:ascii="Palatino Linotype" w:eastAsia="Palatino Linotype" w:hAnsi="Palatino Linotype" w:cs="Palatino Linotype"/>
          <w:sz w:val="22"/>
          <w:szCs w:val="22"/>
        </w:rPr>
        <w:t>a través del Sistema de Acceso a la Información Mexiquense.</w:t>
      </w:r>
    </w:p>
    <w:p w14:paraId="49E0C7CC" w14:textId="77777777" w:rsidR="005B68DD" w:rsidRPr="00AE2394"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5DC5EF" w14:textId="77777777" w:rsidR="005B68DD" w:rsidRPr="00AE2394" w:rsidRDefault="00A57AF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Ampliación de plazo para emitir respuesta. </w:t>
      </w:r>
      <w:r w:rsidRPr="00AE2394">
        <w:rPr>
          <w:rFonts w:ascii="Palatino Linotype" w:eastAsia="Palatino Linotype" w:hAnsi="Palatino Linotype" w:cs="Palatino Linotype"/>
          <w:sz w:val="22"/>
          <w:szCs w:val="22"/>
        </w:rPr>
        <w:t xml:space="preserve">Con fecha </w:t>
      </w:r>
      <w:r w:rsidRPr="00AE2394">
        <w:rPr>
          <w:rFonts w:ascii="Palatino Linotype" w:eastAsia="Palatino Linotype" w:hAnsi="Palatino Linotype" w:cs="Palatino Linotype"/>
          <w:b/>
          <w:sz w:val="22"/>
          <w:szCs w:val="22"/>
        </w:rPr>
        <w:t>cinco de marzo de dos mil veinticinco</w:t>
      </w:r>
      <w:r w:rsidRPr="00AE2394">
        <w:rPr>
          <w:rFonts w:ascii="Palatino Linotype" w:eastAsia="Palatino Linotype" w:hAnsi="Palatino Linotype" w:cs="Palatino Linotype"/>
          <w:sz w:val="22"/>
          <w:szCs w:val="22"/>
        </w:rPr>
        <w:t xml:space="preserve">, el </w:t>
      </w:r>
      <w:r w:rsidRPr="00AE2394">
        <w:rPr>
          <w:rFonts w:ascii="Palatino Linotype" w:eastAsia="Palatino Linotype" w:hAnsi="Palatino Linotype" w:cs="Palatino Linotype"/>
          <w:b/>
          <w:sz w:val="22"/>
          <w:szCs w:val="22"/>
        </w:rPr>
        <w:t xml:space="preserve">SUJETO OBLIGADO </w:t>
      </w:r>
      <w:r w:rsidRPr="00AE2394">
        <w:rPr>
          <w:rFonts w:ascii="Palatino Linotype" w:eastAsia="Palatino Linotype" w:hAnsi="Palatino Linotype" w:cs="Palatino Linotype"/>
          <w:sz w:val="22"/>
          <w:szCs w:val="22"/>
        </w:rPr>
        <w:t xml:space="preserve">amplió el plazo para emitir su respuesta al tenor de lo siguiente: </w:t>
      </w:r>
    </w:p>
    <w:p w14:paraId="5B7F4015" w14:textId="77777777" w:rsidR="005B68DD" w:rsidRPr="00AE2394"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BCA52CD" w14:textId="77777777" w:rsidR="005B68DD" w:rsidRPr="00AE2394" w:rsidRDefault="00A57AF2">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BD74EE6" w14:textId="77777777" w:rsidR="005B68DD" w:rsidRPr="00AE2394" w:rsidRDefault="00A57AF2">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Se aprueba prórroga en la Octava Sesión Extraordinaria del Comité de Transparencia.</w:t>
      </w:r>
    </w:p>
    <w:p w14:paraId="6DFAB1E2" w14:textId="77777777" w:rsidR="005B68DD" w:rsidRPr="00AE2394"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870D42" w14:textId="77777777" w:rsidR="005B68DD" w:rsidRPr="00AE2394" w:rsidRDefault="00A57AF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Respuesta. </w:t>
      </w:r>
      <w:r w:rsidRPr="00AE2394">
        <w:rPr>
          <w:rFonts w:ascii="Palatino Linotype" w:eastAsia="Palatino Linotype" w:hAnsi="Palatino Linotype" w:cs="Palatino Linotype"/>
          <w:sz w:val="22"/>
          <w:szCs w:val="22"/>
        </w:rPr>
        <w:t xml:space="preserve">Con fecha </w:t>
      </w:r>
      <w:r w:rsidRPr="00AE2394">
        <w:rPr>
          <w:rFonts w:ascii="Palatino Linotype" w:eastAsia="Palatino Linotype" w:hAnsi="Palatino Linotype" w:cs="Palatino Linotype"/>
          <w:b/>
          <w:sz w:val="22"/>
          <w:szCs w:val="22"/>
        </w:rPr>
        <w:t>catorce de marzo de dos mil veinticinco</w:t>
      </w:r>
      <w:r w:rsidRPr="00AE2394">
        <w:rPr>
          <w:rFonts w:ascii="Palatino Linotype" w:eastAsia="Palatino Linotype" w:hAnsi="Palatino Linotype" w:cs="Palatino Linotype"/>
          <w:sz w:val="22"/>
          <w:szCs w:val="22"/>
        </w:rPr>
        <w:t xml:space="preserve">, el </w:t>
      </w:r>
      <w:r w:rsidRPr="00AE2394">
        <w:rPr>
          <w:rFonts w:ascii="Palatino Linotype" w:eastAsia="Palatino Linotype" w:hAnsi="Palatino Linotype" w:cs="Palatino Linotype"/>
          <w:b/>
          <w:sz w:val="22"/>
          <w:szCs w:val="22"/>
        </w:rPr>
        <w:t>SUJETO OBLIGADO</w:t>
      </w:r>
      <w:r w:rsidRPr="00AE2394">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69147504" w14:textId="77777777" w:rsidR="005B68DD" w:rsidRPr="00AE2394" w:rsidRDefault="005B68DD">
      <w:pPr>
        <w:tabs>
          <w:tab w:val="left" w:pos="7371"/>
        </w:tabs>
        <w:spacing w:line="360" w:lineRule="auto"/>
        <w:ind w:right="616"/>
        <w:jc w:val="both"/>
        <w:rPr>
          <w:rFonts w:ascii="Palatino Linotype" w:eastAsia="Palatino Linotype" w:hAnsi="Palatino Linotype" w:cs="Palatino Linotype"/>
          <w:i/>
          <w:sz w:val="22"/>
          <w:szCs w:val="22"/>
        </w:rPr>
      </w:pPr>
      <w:bookmarkStart w:id="0" w:name="_heading=h.3znysh7" w:colFirst="0" w:colLast="0"/>
      <w:bookmarkEnd w:id="0"/>
    </w:p>
    <w:p w14:paraId="50DA04B3" w14:textId="77777777" w:rsidR="005B68DD" w:rsidRPr="00AE2394" w:rsidRDefault="00A57AF2">
      <w:pPr>
        <w:tabs>
          <w:tab w:val="left" w:pos="7371"/>
        </w:tabs>
        <w:spacing w:line="276"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F33698" w14:textId="77777777" w:rsidR="005B68DD" w:rsidRPr="00AE2394" w:rsidRDefault="00A57AF2">
      <w:pPr>
        <w:tabs>
          <w:tab w:val="left" w:pos="7371"/>
        </w:tabs>
        <w:spacing w:line="276"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Se atiende solicitud de información.</w:t>
      </w:r>
    </w:p>
    <w:p w14:paraId="4B8250D1"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61633578"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Del mismo modo, el Sujeto Obligado adjuntó a su respuesta lo siguiente: </w:t>
      </w:r>
    </w:p>
    <w:p w14:paraId="36072ABD"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4BFF6EF3" w14:textId="77777777" w:rsidR="005B68DD" w:rsidRPr="00AE2394" w:rsidRDefault="00A57AF2">
      <w:pPr>
        <w:numPr>
          <w:ilvl w:val="0"/>
          <w:numId w:val="3"/>
        </w:numPr>
        <w:pBdr>
          <w:top w:val="nil"/>
          <w:left w:val="nil"/>
          <w:bottom w:val="nil"/>
          <w:right w:val="nil"/>
          <w:between w:val="nil"/>
        </w:pBdr>
        <w:tabs>
          <w:tab w:val="left" w:pos="993"/>
        </w:tabs>
        <w:spacing w:line="360" w:lineRule="auto"/>
        <w:ind w:left="567" w:right="579" w:firstLine="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Oficio de fecha cuatro de marzo, signado por el Comisario Municipal de Atlacomulco, mediante el cual informa </w:t>
      </w:r>
      <w:proofErr w:type="gramStart"/>
      <w:r w:rsidRPr="00AE2394">
        <w:rPr>
          <w:rFonts w:ascii="Palatino Linotype" w:eastAsia="Palatino Linotype" w:hAnsi="Palatino Linotype" w:cs="Palatino Linotype"/>
          <w:sz w:val="22"/>
          <w:szCs w:val="22"/>
        </w:rPr>
        <w:t>que</w:t>
      </w:r>
      <w:proofErr w:type="gramEnd"/>
      <w:r w:rsidRPr="00AE2394">
        <w:rPr>
          <w:rFonts w:ascii="Palatino Linotype" w:eastAsia="Palatino Linotype" w:hAnsi="Palatino Linotype" w:cs="Palatino Linotype"/>
          <w:sz w:val="22"/>
          <w:szCs w:val="22"/>
        </w:rPr>
        <w:t xml:space="preserve"> de la respuesta otorgada por la Coordinación de Parquímetros, se anexa una relación con el número de parquímetros y su ubicación, como se observa: </w:t>
      </w:r>
    </w:p>
    <w:p w14:paraId="21503566" w14:textId="77777777" w:rsidR="005B68DD" w:rsidRPr="00AE2394" w:rsidRDefault="00A57AF2">
      <w:pPr>
        <w:pBdr>
          <w:top w:val="nil"/>
          <w:left w:val="nil"/>
          <w:bottom w:val="nil"/>
          <w:right w:val="nil"/>
          <w:between w:val="nil"/>
        </w:pBdr>
        <w:tabs>
          <w:tab w:val="left" w:pos="993"/>
        </w:tabs>
        <w:spacing w:line="360" w:lineRule="auto"/>
        <w:ind w:left="567" w:right="579"/>
        <w:jc w:val="center"/>
        <w:rPr>
          <w:rFonts w:ascii="Palatino Linotype" w:eastAsia="Palatino Linotype" w:hAnsi="Palatino Linotype" w:cs="Palatino Linotype"/>
          <w:sz w:val="22"/>
          <w:szCs w:val="22"/>
        </w:rPr>
      </w:pPr>
      <w:r w:rsidRPr="00AE2394">
        <w:rPr>
          <w:rFonts w:ascii="Palatino Linotype" w:eastAsia="Palatino Linotype" w:hAnsi="Palatino Linotype" w:cs="Palatino Linotype"/>
          <w:noProof/>
          <w:sz w:val="22"/>
          <w:szCs w:val="22"/>
          <w:lang w:val="es-MX"/>
        </w:rPr>
        <w:drawing>
          <wp:inline distT="0" distB="0" distL="0" distR="0" wp14:anchorId="7EA07055" wp14:editId="6C0275EC">
            <wp:extent cx="3962953" cy="895475"/>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3962953" cy="895475"/>
                    </a:xfrm>
                    <a:prstGeom prst="rect">
                      <a:avLst/>
                    </a:prstGeom>
                    <a:ln/>
                  </pic:spPr>
                </pic:pic>
              </a:graphicData>
            </a:graphic>
          </wp:inline>
        </w:drawing>
      </w:r>
    </w:p>
    <w:p w14:paraId="1D1D4AB8" w14:textId="77777777" w:rsidR="005B68DD" w:rsidRPr="00AE2394" w:rsidRDefault="00A57AF2">
      <w:pPr>
        <w:numPr>
          <w:ilvl w:val="0"/>
          <w:numId w:val="3"/>
        </w:numPr>
        <w:pBdr>
          <w:top w:val="nil"/>
          <w:left w:val="nil"/>
          <w:bottom w:val="nil"/>
          <w:right w:val="nil"/>
          <w:between w:val="nil"/>
        </w:pBdr>
        <w:tabs>
          <w:tab w:val="left" w:pos="993"/>
        </w:tabs>
        <w:spacing w:line="360" w:lineRule="auto"/>
        <w:ind w:left="567" w:right="579" w:firstLine="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Oficio de fecha doce de marzo de dos mil veinticinco, signado por el Tesorero Municipal, mediante el cual informa lo siguiente: </w:t>
      </w:r>
    </w:p>
    <w:p w14:paraId="07C84552" w14:textId="77777777" w:rsidR="005B68DD" w:rsidRPr="00AE2394" w:rsidRDefault="005B68DD">
      <w:pPr>
        <w:pBdr>
          <w:top w:val="nil"/>
          <w:left w:val="nil"/>
          <w:bottom w:val="nil"/>
          <w:right w:val="nil"/>
          <w:between w:val="nil"/>
        </w:pBdr>
        <w:tabs>
          <w:tab w:val="left" w:pos="993"/>
        </w:tabs>
        <w:spacing w:line="360" w:lineRule="auto"/>
        <w:ind w:left="567" w:right="579"/>
        <w:jc w:val="both"/>
        <w:rPr>
          <w:rFonts w:ascii="Palatino Linotype" w:eastAsia="Palatino Linotype" w:hAnsi="Palatino Linotype" w:cs="Palatino Linotype"/>
          <w:sz w:val="22"/>
          <w:szCs w:val="22"/>
        </w:rPr>
      </w:pPr>
    </w:p>
    <w:p w14:paraId="2918116A" w14:textId="77777777" w:rsidR="005B68DD" w:rsidRPr="00AE2394" w:rsidRDefault="00A57AF2">
      <w:pPr>
        <w:pBdr>
          <w:top w:val="nil"/>
          <w:left w:val="nil"/>
          <w:bottom w:val="nil"/>
          <w:right w:val="nil"/>
          <w:between w:val="nil"/>
        </w:pBdr>
        <w:tabs>
          <w:tab w:val="left" w:pos="993"/>
        </w:tabs>
        <w:spacing w:line="360" w:lineRule="auto"/>
        <w:ind w:left="567" w:right="579"/>
        <w:jc w:val="both"/>
        <w:rPr>
          <w:rFonts w:ascii="Palatino Linotype" w:eastAsia="Palatino Linotype" w:hAnsi="Palatino Linotype" w:cs="Palatino Linotype"/>
          <w:b/>
          <w:i/>
          <w:sz w:val="22"/>
          <w:szCs w:val="22"/>
        </w:rPr>
      </w:pPr>
      <w:r w:rsidRPr="00AE2394">
        <w:rPr>
          <w:rFonts w:ascii="Palatino Linotype" w:eastAsia="Palatino Linotype" w:hAnsi="Palatino Linotype" w:cs="Palatino Linotype"/>
          <w:b/>
          <w:i/>
          <w:sz w:val="22"/>
          <w:szCs w:val="22"/>
        </w:rPr>
        <w:t>... ingresos de enero 2025 y en qué se ocupa el dinero recogido y en que se emplea con documento justificación…</w:t>
      </w:r>
    </w:p>
    <w:p w14:paraId="1B60D2F2" w14:textId="77777777" w:rsidR="005B68DD" w:rsidRPr="00AE2394" w:rsidRDefault="005B68DD">
      <w:pPr>
        <w:pBdr>
          <w:top w:val="nil"/>
          <w:left w:val="nil"/>
          <w:bottom w:val="nil"/>
          <w:right w:val="nil"/>
          <w:between w:val="nil"/>
        </w:pBdr>
        <w:tabs>
          <w:tab w:val="left" w:pos="993"/>
        </w:tabs>
        <w:spacing w:line="360" w:lineRule="auto"/>
        <w:ind w:left="567" w:right="579"/>
        <w:jc w:val="both"/>
        <w:rPr>
          <w:rFonts w:ascii="Palatino Linotype" w:eastAsia="Palatino Linotype" w:hAnsi="Palatino Linotype" w:cs="Palatino Linotype"/>
          <w:i/>
          <w:sz w:val="20"/>
          <w:szCs w:val="20"/>
        </w:rPr>
      </w:pPr>
    </w:p>
    <w:p w14:paraId="6C8953AB" w14:textId="473C30D7" w:rsidR="005B68DD" w:rsidRPr="00AE2394" w:rsidRDefault="00A57AF2">
      <w:pPr>
        <w:pBdr>
          <w:top w:val="nil"/>
          <w:left w:val="nil"/>
          <w:bottom w:val="nil"/>
          <w:right w:val="nil"/>
          <w:between w:val="nil"/>
        </w:pBdr>
        <w:tabs>
          <w:tab w:val="left" w:pos="993"/>
        </w:tabs>
        <w:spacing w:line="360" w:lineRule="auto"/>
        <w:ind w:left="567" w:right="57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lastRenderedPageBreak/>
        <w:t xml:space="preserve">Respuesta: Se informa que </w:t>
      </w:r>
      <w:proofErr w:type="gramStart"/>
      <w:r w:rsidRPr="00AE2394">
        <w:rPr>
          <w:rFonts w:ascii="Palatino Linotype" w:eastAsia="Palatino Linotype" w:hAnsi="Palatino Linotype" w:cs="Palatino Linotype"/>
          <w:sz w:val="22"/>
          <w:szCs w:val="22"/>
        </w:rPr>
        <w:t xml:space="preserve">los </w:t>
      </w:r>
      <w:r w:rsidRPr="00AE2394">
        <w:rPr>
          <w:rFonts w:ascii="Palatino Linotype" w:eastAsia="Palatino Linotype" w:hAnsi="Palatino Linotype" w:cs="Palatino Linotype"/>
          <w:b/>
          <w:sz w:val="22"/>
          <w:szCs w:val="22"/>
          <w:u w:val="single"/>
        </w:rPr>
        <w:t>ingresos del mes de enero de 2025</w:t>
      </w:r>
      <w:r w:rsidRPr="00AE2394">
        <w:rPr>
          <w:rFonts w:ascii="Palatino Linotype" w:eastAsia="Palatino Linotype" w:hAnsi="Palatino Linotype" w:cs="Palatino Linotype"/>
          <w:sz w:val="22"/>
          <w:szCs w:val="22"/>
        </w:rPr>
        <w:t xml:space="preserve"> por concepto de parquímetros es</w:t>
      </w:r>
      <w:proofErr w:type="gramEnd"/>
      <w:r w:rsidRPr="00AE2394">
        <w:rPr>
          <w:rFonts w:ascii="Palatino Linotype" w:eastAsia="Palatino Linotype" w:hAnsi="Palatino Linotype" w:cs="Palatino Linotype"/>
          <w:sz w:val="22"/>
          <w:szCs w:val="22"/>
        </w:rPr>
        <w:t xml:space="preserve"> de $210,847.00 (Doscientos diez mil ochocientos cuarenta y siete pesos 00/100 M.N.)</w:t>
      </w:r>
    </w:p>
    <w:p w14:paraId="6B5BCB71" w14:textId="6B47CCDE" w:rsidR="005B68DD" w:rsidRPr="00AE2394" w:rsidRDefault="00A57AF2">
      <w:pPr>
        <w:pBdr>
          <w:top w:val="nil"/>
          <w:left w:val="nil"/>
          <w:bottom w:val="nil"/>
          <w:right w:val="nil"/>
          <w:between w:val="nil"/>
        </w:pBdr>
        <w:tabs>
          <w:tab w:val="left" w:pos="993"/>
        </w:tabs>
        <w:spacing w:line="360" w:lineRule="auto"/>
        <w:ind w:left="567" w:right="57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Por lo que se refiere al rubro donde solicita</w:t>
      </w:r>
      <w:r w:rsidRPr="00AE2394">
        <w:rPr>
          <w:rFonts w:ascii="Palatino Linotype" w:eastAsia="Palatino Linotype" w:hAnsi="Palatino Linotype" w:cs="Palatino Linotype"/>
          <w:b/>
          <w:i/>
          <w:sz w:val="22"/>
          <w:szCs w:val="22"/>
        </w:rPr>
        <w:t xml:space="preserve"> "en qué se ocupa el dinero recogido y en que se emplea con documento justificación",</w:t>
      </w:r>
      <w:r w:rsidRPr="00AE2394">
        <w:rPr>
          <w:rFonts w:ascii="Palatino Linotype" w:eastAsia="Palatino Linotype" w:hAnsi="Palatino Linotype" w:cs="Palatino Linotype"/>
          <w:sz w:val="22"/>
          <w:szCs w:val="22"/>
        </w:rPr>
        <w:t xml:space="preserve"> es menester informar que no se pueden identificar los gastos relacionados con la recaudación de parquímetros, ya que se han estado cubriendo los gastos que de acuerdo a la necesidad de los servicios requiere el ayuntamiento para su funcionamiento y prestación de servicios públicos, como lo establecen los artículos 7 y 8 del Código Financiero del Estado de México y Municipios que a la letra dicen (…)</w:t>
      </w:r>
    </w:p>
    <w:p w14:paraId="3B98A5DD" w14:textId="77777777" w:rsidR="005B68DD" w:rsidRPr="00AE2394" w:rsidRDefault="00A57AF2">
      <w:pPr>
        <w:pBdr>
          <w:top w:val="nil"/>
          <w:left w:val="nil"/>
          <w:bottom w:val="nil"/>
          <w:right w:val="nil"/>
          <w:between w:val="nil"/>
        </w:pBdr>
        <w:tabs>
          <w:tab w:val="left" w:pos="993"/>
        </w:tabs>
        <w:spacing w:line="360" w:lineRule="auto"/>
        <w:ind w:left="567" w:right="579"/>
        <w:jc w:val="both"/>
        <w:rPr>
          <w:rFonts w:ascii="Palatino Linotype" w:eastAsia="Palatino Linotype" w:hAnsi="Palatino Linotype" w:cs="Palatino Linotype"/>
          <w:sz w:val="18"/>
          <w:szCs w:val="18"/>
        </w:rPr>
      </w:pPr>
      <w:r w:rsidRPr="00AE2394">
        <w:rPr>
          <w:rFonts w:ascii="Palatino Linotype" w:eastAsia="Palatino Linotype" w:hAnsi="Palatino Linotype" w:cs="Palatino Linotype"/>
          <w:sz w:val="22"/>
          <w:szCs w:val="22"/>
        </w:rPr>
        <w:t xml:space="preserve">Sin </w:t>
      </w:r>
      <w:proofErr w:type="gramStart"/>
      <w:r w:rsidRPr="00AE2394">
        <w:rPr>
          <w:rFonts w:ascii="Palatino Linotype" w:eastAsia="Palatino Linotype" w:hAnsi="Palatino Linotype" w:cs="Palatino Linotype"/>
          <w:sz w:val="22"/>
          <w:szCs w:val="22"/>
        </w:rPr>
        <w:t>embargo</w:t>
      </w:r>
      <w:proofErr w:type="gramEnd"/>
      <w:r w:rsidRPr="00AE2394">
        <w:rPr>
          <w:rFonts w:ascii="Palatino Linotype" w:eastAsia="Palatino Linotype" w:hAnsi="Palatino Linotype" w:cs="Palatino Linotype"/>
          <w:sz w:val="22"/>
          <w:szCs w:val="22"/>
        </w:rPr>
        <w:t xml:space="preserve"> se informa que aún no se cuenta con las cifras definitivas ejercidas en la partidas del gasto, toda vez que se encuentra en proceso de integración el Informe Mensual de Enero de 2025, el cual es presentado en el Primer Informe Trimestral de 2025 ante el Órgano Superior de Fiscalización del Estado de México conforme a lo establecido en el artículo 350 del Código Financiero del Estado de México y Municipios que a la letra dice: (…)</w:t>
      </w:r>
    </w:p>
    <w:p w14:paraId="6A1FD3D8" w14:textId="77777777" w:rsidR="005B68DD" w:rsidRPr="00AE2394" w:rsidRDefault="005B68D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620EE706" w14:textId="77777777" w:rsidR="005B68DD" w:rsidRPr="00AE2394" w:rsidRDefault="00A57AF2">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Interposición del recurso de revisión. </w:t>
      </w:r>
      <w:r w:rsidRPr="00AE2394">
        <w:rPr>
          <w:rFonts w:ascii="Palatino Linotype" w:eastAsia="Palatino Linotype" w:hAnsi="Palatino Linotype" w:cs="Palatino Linotype"/>
          <w:sz w:val="22"/>
          <w:szCs w:val="22"/>
        </w:rPr>
        <w:t xml:space="preserve">Inconforme con la respuesta del </w:t>
      </w:r>
      <w:r w:rsidRPr="00AE2394">
        <w:rPr>
          <w:rFonts w:ascii="Palatino Linotype" w:eastAsia="Palatino Linotype" w:hAnsi="Palatino Linotype" w:cs="Palatino Linotype"/>
          <w:b/>
          <w:sz w:val="22"/>
          <w:szCs w:val="22"/>
        </w:rPr>
        <w:t>SUJETO OBLIGADO</w:t>
      </w:r>
      <w:r w:rsidRPr="00AE2394">
        <w:rPr>
          <w:rFonts w:ascii="Palatino Linotype" w:eastAsia="Palatino Linotype" w:hAnsi="Palatino Linotype" w:cs="Palatino Linotype"/>
          <w:sz w:val="22"/>
          <w:szCs w:val="22"/>
        </w:rPr>
        <w:t>, la persona</w:t>
      </w:r>
      <w:r w:rsidRPr="00AE2394">
        <w:rPr>
          <w:rFonts w:ascii="Palatino Linotype" w:eastAsia="Palatino Linotype" w:hAnsi="Palatino Linotype" w:cs="Palatino Linotype"/>
          <w:b/>
          <w:sz w:val="22"/>
          <w:szCs w:val="22"/>
        </w:rPr>
        <w:t xml:space="preserve"> RECURRENTE</w:t>
      </w:r>
      <w:r w:rsidRPr="00AE2394">
        <w:rPr>
          <w:rFonts w:ascii="Palatino Linotype" w:eastAsia="Palatino Linotype" w:hAnsi="Palatino Linotype" w:cs="Palatino Linotype"/>
          <w:sz w:val="22"/>
          <w:szCs w:val="22"/>
        </w:rPr>
        <w:t xml:space="preserve"> interpuso recurso de revisión a través del Sistema de Acceso a la Información Mexiquense en fecha </w:t>
      </w:r>
      <w:r w:rsidRPr="00AE2394">
        <w:rPr>
          <w:rFonts w:ascii="Palatino Linotype" w:eastAsia="Palatino Linotype" w:hAnsi="Palatino Linotype" w:cs="Palatino Linotype"/>
          <w:b/>
          <w:sz w:val="22"/>
          <w:szCs w:val="22"/>
        </w:rPr>
        <w:t>dieciséis de marzo de dos mil veinticinco</w:t>
      </w:r>
      <w:r w:rsidRPr="00AE2394">
        <w:rPr>
          <w:rFonts w:ascii="Palatino Linotype" w:eastAsia="Palatino Linotype" w:hAnsi="Palatino Linotype" w:cs="Palatino Linotype"/>
          <w:sz w:val="22"/>
          <w:szCs w:val="22"/>
        </w:rPr>
        <w:t xml:space="preserve">, sin embargo, por corresponder a un día inhábil se tuvo por presentado el </w:t>
      </w:r>
      <w:r w:rsidRPr="00AE2394">
        <w:rPr>
          <w:rFonts w:ascii="Palatino Linotype" w:eastAsia="Palatino Linotype" w:hAnsi="Palatino Linotype" w:cs="Palatino Linotype"/>
          <w:b/>
          <w:sz w:val="22"/>
          <w:szCs w:val="22"/>
        </w:rPr>
        <w:t xml:space="preserve">dieciocho de marzo de dos mil veinticinco </w:t>
      </w:r>
      <w:r w:rsidRPr="00AE2394">
        <w:rPr>
          <w:rFonts w:ascii="Palatino Linotype" w:eastAsia="Palatino Linotype" w:hAnsi="Palatino Linotype" w:cs="Palatino Linotype"/>
          <w:sz w:val="22"/>
          <w:szCs w:val="22"/>
        </w:rPr>
        <w:t>a través del cual expresó lo siguiente:</w:t>
      </w:r>
    </w:p>
    <w:p w14:paraId="70C1BE0C" w14:textId="77777777" w:rsidR="005B68DD" w:rsidRPr="00AE2394" w:rsidRDefault="005B68DD">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53A4CFA3" w14:textId="77777777" w:rsidR="005B68DD" w:rsidRPr="00AE2394" w:rsidRDefault="00A57AF2">
      <w:pPr>
        <w:spacing w:line="276" w:lineRule="auto"/>
        <w:ind w:left="567" w:right="693"/>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sz w:val="22"/>
          <w:szCs w:val="22"/>
        </w:rPr>
        <w:t xml:space="preserve">Acto impugnado. </w:t>
      </w:r>
      <w:r w:rsidRPr="00AE2394">
        <w:rPr>
          <w:rFonts w:ascii="Palatino Linotype" w:eastAsia="Palatino Linotype" w:hAnsi="Palatino Linotype" w:cs="Palatino Linotype"/>
          <w:i/>
          <w:sz w:val="22"/>
          <w:szCs w:val="22"/>
        </w:rPr>
        <w:t xml:space="preserve">“Información incompleta” </w:t>
      </w:r>
    </w:p>
    <w:p w14:paraId="74BE9506" w14:textId="77777777" w:rsidR="005B68DD" w:rsidRPr="00AE2394" w:rsidRDefault="005B68DD">
      <w:pPr>
        <w:spacing w:line="276" w:lineRule="auto"/>
        <w:ind w:left="567" w:right="693"/>
        <w:rPr>
          <w:sz w:val="22"/>
          <w:szCs w:val="22"/>
        </w:rPr>
      </w:pPr>
    </w:p>
    <w:p w14:paraId="4E680E33" w14:textId="77777777" w:rsidR="005B68DD" w:rsidRPr="00AE2394" w:rsidRDefault="00A57AF2">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sz w:val="22"/>
          <w:szCs w:val="22"/>
        </w:rPr>
        <w:t xml:space="preserve">Motivos de inconformidad. </w:t>
      </w:r>
      <w:r w:rsidRPr="00AE2394">
        <w:rPr>
          <w:rFonts w:ascii="Palatino Linotype" w:eastAsia="Palatino Linotype" w:hAnsi="Palatino Linotype" w:cs="Palatino Linotype"/>
          <w:i/>
          <w:sz w:val="22"/>
          <w:szCs w:val="22"/>
        </w:rPr>
        <w:t xml:space="preserve">“incompleta”. </w:t>
      </w:r>
    </w:p>
    <w:p w14:paraId="08F5A0A9" w14:textId="77777777" w:rsidR="005B68DD" w:rsidRPr="00AE2394"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21169C" w14:textId="77777777" w:rsidR="005B68DD" w:rsidRPr="00AE2394"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Turno. </w:t>
      </w:r>
      <w:r w:rsidRPr="00AE239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AE2394">
        <w:rPr>
          <w:rFonts w:ascii="Palatino Linotype" w:eastAsia="Palatino Linotype" w:hAnsi="Palatino Linotype" w:cs="Palatino Linotype"/>
          <w:b/>
          <w:sz w:val="22"/>
          <w:szCs w:val="22"/>
        </w:rPr>
        <w:lastRenderedPageBreak/>
        <w:t>03099/INFOEM/IP/RR/2025</w:t>
      </w:r>
      <w:r w:rsidRPr="00AE2394">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AE2394">
        <w:rPr>
          <w:rFonts w:ascii="Palatino Linotype" w:eastAsia="Palatino Linotype" w:hAnsi="Palatino Linotype" w:cs="Palatino Linotype"/>
          <w:b/>
          <w:sz w:val="22"/>
          <w:szCs w:val="22"/>
        </w:rPr>
        <w:t>Guadalupe Ramírez Peña</w:t>
      </w:r>
      <w:r w:rsidRPr="00AE2394">
        <w:rPr>
          <w:rFonts w:ascii="Palatino Linotype" w:eastAsia="Palatino Linotype" w:hAnsi="Palatino Linotype" w:cs="Palatino Linotype"/>
          <w:sz w:val="22"/>
          <w:szCs w:val="22"/>
        </w:rPr>
        <w:t>, para su análisis, estudio, elaboración del proyecto y presentación ante el Pleno de este Instituto.</w:t>
      </w:r>
    </w:p>
    <w:p w14:paraId="5A6D46BF" w14:textId="77777777" w:rsidR="005B68DD" w:rsidRPr="00AE2394"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D3FF2B1" w14:textId="77777777" w:rsidR="005B68DD" w:rsidRPr="00AE2394"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AE2394">
        <w:rPr>
          <w:rFonts w:ascii="Palatino Linotype" w:eastAsia="Palatino Linotype" w:hAnsi="Palatino Linotype" w:cs="Palatino Linotype"/>
          <w:b/>
          <w:sz w:val="22"/>
          <w:szCs w:val="22"/>
        </w:rPr>
        <w:t xml:space="preserve">Admisión del recurso de revisión: </w:t>
      </w:r>
      <w:r w:rsidRPr="00AE2394">
        <w:rPr>
          <w:rFonts w:ascii="Palatino Linotype" w:eastAsia="Palatino Linotype" w:hAnsi="Palatino Linotype" w:cs="Palatino Linotype"/>
          <w:sz w:val="22"/>
          <w:szCs w:val="22"/>
        </w:rPr>
        <w:t xml:space="preserve">En fecha </w:t>
      </w:r>
      <w:r w:rsidRPr="00AE2394">
        <w:rPr>
          <w:rFonts w:ascii="Palatino Linotype" w:eastAsia="Palatino Linotype" w:hAnsi="Palatino Linotype" w:cs="Palatino Linotype"/>
          <w:b/>
          <w:sz w:val="22"/>
          <w:szCs w:val="22"/>
        </w:rPr>
        <w:t>veintiuno de marzo de dos mil veinticinco</w:t>
      </w:r>
      <w:r w:rsidRPr="00AE2394">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AE2394">
        <w:rPr>
          <w:rFonts w:ascii="Palatino Linotype" w:eastAsia="Palatino Linotype" w:hAnsi="Palatino Linotype" w:cs="Palatino Linotype"/>
          <w:b/>
          <w:sz w:val="22"/>
          <w:szCs w:val="22"/>
        </w:rPr>
        <w:t>SUJETO OBLIGADO</w:t>
      </w:r>
      <w:r w:rsidRPr="00AE2394">
        <w:rPr>
          <w:rFonts w:ascii="Palatino Linotype" w:eastAsia="Palatino Linotype" w:hAnsi="Palatino Linotype" w:cs="Palatino Linotype"/>
          <w:sz w:val="22"/>
          <w:szCs w:val="22"/>
        </w:rPr>
        <w:t xml:space="preserve"> presentara su informe justificado.</w:t>
      </w:r>
    </w:p>
    <w:p w14:paraId="094E39F5" w14:textId="77777777" w:rsidR="005B68DD" w:rsidRPr="00AE2394"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91234B0" w14:textId="77777777" w:rsidR="005B68DD" w:rsidRPr="00AE2394"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Manifestaciones</w:t>
      </w:r>
      <w:r w:rsidRPr="00AE2394">
        <w:rPr>
          <w:rFonts w:ascii="Palatino Linotype" w:eastAsia="Palatino Linotype" w:hAnsi="Palatino Linotype" w:cs="Palatino Linotype"/>
          <w:sz w:val="22"/>
          <w:szCs w:val="22"/>
        </w:rPr>
        <w:t xml:space="preserve">. </w:t>
      </w:r>
      <w:proofErr w:type="gramStart"/>
      <w:r w:rsidRPr="00AE2394">
        <w:rPr>
          <w:rFonts w:ascii="Palatino Linotype" w:eastAsia="Palatino Linotype" w:hAnsi="Palatino Linotype" w:cs="Palatino Linotype"/>
          <w:sz w:val="22"/>
          <w:szCs w:val="22"/>
        </w:rPr>
        <w:t>En  fecha</w:t>
      </w:r>
      <w:proofErr w:type="gramEnd"/>
      <w:r w:rsidRPr="00AE2394">
        <w:rPr>
          <w:rFonts w:ascii="Palatino Linotype" w:eastAsia="Palatino Linotype" w:hAnsi="Palatino Linotype" w:cs="Palatino Linotype"/>
          <w:sz w:val="22"/>
          <w:szCs w:val="22"/>
        </w:rPr>
        <w:t xml:space="preserve"> </w:t>
      </w:r>
      <w:r w:rsidRPr="00AE2394">
        <w:rPr>
          <w:rFonts w:ascii="Palatino Linotype" w:eastAsia="Palatino Linotype" w:hAnsi="Palatino Linotype" w:cs="Palatino Linotype"/>
          <w:b/>
          <w:sz w:val="22"/>
          <w:szCs w:val="22"/>
        </w:rPr>
        <w:t>veintiocho de marzo de dos mil veinticinco</w:t>
      </w:r>
      <w:r w:rsidRPr="00AE2394">
        <w:rPr>
          <w:rFonts w:ascii="Palatino Linotype" w:eastAsia="Palatino Linotype" w:hAnsi="Palatino Linotype" w:cs="Palatino Linotype"/>
          <w:sz w:val="22"/>
          <w:szCs w:val="22"/>
        </w:rPr>
        <w:t xml:space="preserve">, el Sujeto Obligado rindió su informe justificado al tenor de lo siguiente: </w:t>
      </w:r>
    </w:p>
    <w:p w14:paraId="6A7BFEC1" w14:textId="77777777" w:rsidR="005B68DD" w:rsidRPr="00AE2394"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1E92282" w14:textId="77777777" w:rsidR="005B68DD" w:rsidRPr="00AE2394" w:rsidRDefault="00A57AF2">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Oficio signado por el Titular de la Unidad de Transparencia, mediante el cual ratificó su respuesta inicial. </w:t>
      </w:r>
    </w:p>
    <w:p w14:paraId="57DD9A62" w14:textId="77777777" w:rsidR="005B68DD" w:rsidRPr="00AE2394" w:rsidRDefault="005B68DD">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6B78948A" w14:textId="77777777" w:rsidR="005B68DD" w:rsidRPr="00AE2394" w:rsidRDefault="00A57A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AE2394">
        <w:rPr>
          <w:rFonts w:ascii="Palatino Linotype" w:eastAsia="Palatino Linotype" w:hAnsi="Palatino Linotype" w:cs="Palatino Linotype"/>
          <w:sz w:val="22"/>
          <w:szCs w:val="22"/>
        </w:rPr>
        <w:t xml:space="preserve">Documento que se hizo del conocimiento del Particular el </w:t>
      </w:r>
      <w:r w:rsidRPr="00AE2394">
        <w:rPr>
          <w:rFonts w:ascii="Palatino Linotype" w:eastAsia="Palatino Linotype" w:hAnsi="Palatino Linotype" w:cs="Palatino Linotype"/>
          <w:b/>
          <w:sz w:val="22"/>
          <w:szCs w:val="22"/>
        </w:rPr>
        <w:t xml:space="preserve">veintisiete de mayo de dos mil veinticinco. </w:t>
      </w:r>
    </w:p>
    <w:p w14:paraId="0BE76467" w14:textId="77777777" w:rsidR="005B68DD" w:rsidRPr="00AE2394"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rPr>
      </w:pPr>
    </w:p>
    <w:p w14:paraId="4703770B" w14:textId="77777777" w:rsidR="005B68DD" w:rsidRPr="00AE2394" w:rsidRDefault="00A57AF2">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Ampliación de plazo. </w:t>
      </w:r>
      <w:r w:rsidRPr="00AE2394">
        <w:rPr>
          <w:rFonts w:ascii="Palatino Linotype" w:eastAsia="Palatino Linotype" w:hAnsi="Palatino Linotype" w:cs="Palatino Linotype"/>
          <w:sz w:val="22"/>
          <w:szCs w:val="22"/>
        </w:rPr>
        <w:t xml:space="preserve">El </w:t>
      </w:r>
      <w:r w:rsidRPr="00AE2394">
        <w:rPr>
          <w:rFonts w:ascii="Palatino Linotype" w:eastAsia="Palatino Linotype" w:hAnsi="Palatino Linotype" w:cs="Palatino Linotype"/>
          <w:b/>
          <w:sz w:val="22"/>
          <w:szCs w:val="22"/>
        </w:rPr>
        <w:t>veintiocho</w:t>
      </w:r>
      <w:r w:rsidRPr="00AE2394">
        <w:rPr>
          <w:rFonts w:ascii="Palatino Linotype" w:eastAsia="Palatino Linotype" w:hAnsi="Palatino Linotype" w:cs="Palatino Linotype"/>
          <w:sz w:val="22"/>
          <w:szCs w:val="22"/>
        </w:rPr>
        <w:t xml:space="preserve"> </w:t>
      </w:r>
      <w:r w:rsidRPr="00AE2394">
        <w:rPr>
          <w:rFonts w:ascii="Palatino Linotype" w:eastAsia="Palatino Linotype" w:hAnsi="Palatino Linotype" w:cs="Palatino Linotype"/>
          <w:b/>
          <w:sz w:val="22"/>
          <w:szCs w:val="22"/>
        </w:rPr>
        <w:t>de mayo de dos mil veinticinco</w:t>
      </w:r>
      <w:r w:rsidRPr="00AE2394">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AFAC09A" w14:textId="77777777" w:rsidR="005B68DD" w:rsidRPr="00AE2394" w:rsidRDefault="005B68DD">
      <w:pPr>
        <w:spacing w:line="360" w:lineRule="auto"/>
        <w:ind w:left="360" w:right="49"/>
        <w:jc w:val="both"/>
        <w:rPr>
          <w:rFonts w:ascii="Palatino Linotype" w:eastAsia="Palatino Linotype" w:hAnsi="Palatino Linotype" w:cs="Palatino Linotype"/>
          <w:sz w:val="22"/>
          <w:szCs w:val="22"/>
        </w:rPr>
      </w:pPr>
    </w:p>
    <w:p w14:paraId="30BBCB75"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Este organismo garante no pasa por alto justificar, que el plazo para emitir la resolución en el presente asunto encuentra justificación en el alto número de recursos de revisión recibidos </w:t>
      </w:r>
      <w:r w:rsidRPr="00AE2394">
        <w:rPr>
          <w:rFonts w:ascii="Palatino Linotype" w:eastAsia="Palatino Linotype" w:hAnsi="Palatino Linotype" w:cs="Palatino Linotype"/>
          <w:sz w:val="22"/>
          <w:szCs w:val="22"/>
        </w:rPr>
        <w:lastRenderedPageBreak/>
        <w:t>circunstancia atípica que ha rebasado las capacidades técnicas y humanas del personal encargado de la proyección de las resoluciones a dichos medios de impugnación.</w:t>
      </w:r>
    </w:p>
    <w:p w14:paraId="2F79168E" w14:textId="77777777" w:rsidR="005B68DD" w:rsidRPr="00AE2394" w:rsidRDefault="00A57AF2">
      <w:pPr>
        <w:spacing w:line="360" w:lineRule="auto"/>
        <w:ind w:left="360"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 </w:t>
      </w:r>
    </w:p>
    <w:p w14:paraId="53631143"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A9A22B7" w14:textId="77777777" w:rsidR="005B68DD" w:rsidRPr="00AE2394" w:rsidRDefault="005B68DD">
      <w:pPr>
        <w:spacing w:line="360" w:lineRule="auto"/>
        <w:ind w:left="360" w:right="49"/>
        <w:jc w:val="both"/>
        <w:rPr>
          <w:rFonts w:ascii="Palatino Linotype" w:eastAsia="Palatino Linotype" w:hAnsi="Palatino Linotype" w:cs="Palatino Linotype"/>
          <w:sz w:val="22"/>
          <w:szCs w:val="22"/>
        </w:rPr>
      </w:pPr>
    </w:p>
    <w:p w14:paraId="2632851F"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29CA67" w14:textId="77777777" w:rsidR="005B68DD" w:rsidRPr="00AE2394" w:rsidRDefault="005B68DD">
      <w:pPr>
        <w:spacing w:line="360" w:lineRule="auto"/>
        <w:ind w:left="360" w:right="49"/>
        <w:jc w:val="both"/>
        <w:rPr>
          <w:rFonts w:ascii="Palatino Linotype" w:eastAsia="Palatino Linotype" w:hAnsi="Palatino Linotype" w:cs="Palatino Linotype"/>
          <w:sz w:val="22"/>
          <w:szCs w:val="22"/>
        </w:rPr>
      </w:pPr>
    </w:p>
    <w:p w14:paraId="0D46D0F3"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CAB3BF" w14:textId="77777777" w:rsidR="005B68DD" w:rsidRPr="00AE2394" w:rsidRDefault="005B68DD">
      <w:pPr>
        <w:spacing w:line="360" w:lineRule="auto"/>
        <w:ind w:left="360" w:right="49"/>
        <w:jc w:val="both"/>
        <w:rPr>
          <w:rFonts w:ascii="Palatino Linotype" w:eastAsia="Palatino Linotype" w:hAnsi="Palatino Linotype" w:cs="Palatino Linotype"/>
          <w:sz w:val="22"/>
          <w:szCs w:val="22"/>
        </w:rPr>
      </w:pPr>
    </w:p>
    <w:p w14:paraId="2B5E8C71"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53E8DCF" w14:textId="77777777" w:rsidR="005B68DD" w:rsidRPr="00AE2394" w:rsidRDefault="005B68DD">
      <w:pPr>
        <w:spacing w:line="360" w:lineRule="auto"/>
        <w:ind w:left="360" w:right="49"/>
        <w:jc w:val="both"/>
        <w:rPr>
          <w:rFonts w:ascii="Palatino Linotype" w:eastAsia="Palatino Linotype" w:hAnsi="Palatino Linotype" w:cs="Palatino Linotype"/>
          <w:sz w:val="22"/>
          <w:szCs w:val="22"/>
        </w:rPr>
      </w:pPr>
    </w:p>
    <w:p w14:paraId="2BD33855" w14:textId="77777777" w:rsidR="005B68DD" w:rsidRPr="00AE2394" w:rsidRDefault="00A57AF2">
      <w:pPr>
        <w:tabs>
          <w:tab w:val="left" w:pos="709"/>
        </w:tabs>
        <w:spacing w:line="360" w:lineRule="auto"/>
        <w:ind w:left="360" w:right="56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a)    Complejidad del asunto:</w:t>
      </w:r>
      <w:r w:rsidRPr="00AE239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124F190" w14:textId="77777777" w:rsidR="005B68DD" w:rsidRPr="00AE2394" w:rsidRDefault="00A57AF2">
      <w:pPr>
        <w:tabs>
          <w:tab w:val="left" w:pos="709"/>
        </w:tabs>
        <w:spacing w:line="360" w:lineRule="auto"/>
        <w:ind w:left="360" w:right="56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b)   Actividad Procesal del interesado</w:t>
      </w:r>
      <w:r w:rsidRPr="00AE2394">
        <w:rPr>
          <w:rFonts w:ascii="Palatino Linotype" w:eastAsia="Palatino Linotype" w:hAnsi="Palatino Linotype" w:cs="Palatino Linotype"/>
          <w:sz w:val="22"/>
          <w:szCs w:val="22"/>
        </w:rPr>
        <w:t>: Acciones u omisiones del interesado.</w:t>
      </w:r>
    </w:p>
    <w:p w14:paraId="61541599" w14:textId="77777777" w:rsidR="005B68DD" w:rsidRPr="00AE2394" w:rsidRDefault="00A57AF2">
      <w:pPr>
        <w:tabs>
          <w:tab w:val="left" w:pos="851"/>
        </w:tabs>
        <w:spacing w:line="360" w:lineRule="auto"/>
        <w:ind w:left="360" w:right="56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c)  Conducta de la Autoridad:</w:t>
      </w:r>
      <w:r w:rsidRPr="00AE2394">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1CD8B2F" w14:textId="77777777" w:rsidR="005B68DD" w:rsidRPr="00AE2394" w:rsidRDefault="00A57AF2">
      <w:pPr>
        <w:tabs>
          <w:tab w:val="left" w:pos="851"/>
        </w:tabs>
        <w:spacing w:line="360" w:lineRule="auto"/>
        <w:ind w:left="360" w:right="56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lastRenderedPageBreak/>
        <w:t>d) La afectación generada en la situación jurídica de la persona involucrada en el proceso:</w:t>
      </w:r>
      <w:r w:rsidRPr="00AE2394">
        <w:rPr>
          <w:rFonts w:ascii="Palatino Linotype" w:eastAsia="Palatino Linotype" w:hAnsi="Palatino Linotype" w:cs="Palatino Linotype"/>
          <w:sz w:val="22"/>
          <w:szCs w:val="22"/>
        </w:rPr>
        <w:t xml:space="preserve"> Violación a sus derechos humanos.</w:t>
      </w:r>
    </w:p>
    <w:p w14:paraId="75618CE5" w14:textId="77777777" w:rsidR="005B68DD" w:rsidRPr="00AE2394" w:rsidRDefault="005B68DD">
      <w:pPr>
        <w:spacing w:line="360" w:lineRule="auto"/>
        <w:ind w:left="360" w:right="49"/>
        <w:jc w:val="both"/>
        <w:rPr>
          <w:rFonts w:ascii="Palatino Linotype" w:eastAsia="Palatino Linotype" w:hAnsi="Palatino Linotype" w:cs="Palatino Linotype"/>
          <w:sz w:val="22"/>
          <w:szCs w:val="22"/>
        </w:rPr>
      </w:pPr>
    </w:p>
    <w:p w14:paraId="3A673317" w14:textId="77777777" w:rsidR="005B68DD" w:rsidRPr="00AE2394" w:rsidRDefault="00A57AF2">
      <w:pPr>
        <w:spacing w:line="360" w:lineRule="auto"/>
        <w:ind w:left="360"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1FC39D" w14:textId="77777777" w:rsidR="005B68DD" w:rsidRPr="00AE2394" w:rsidRDefault="00A57AF2">
      <w:pPr>
        <w:spacing w:line="360" w:lineRule="auto"/>
        <w:ind w:left="360"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 </w:t>
      </w:r>
    </w:p>
    <w:p w14:paraId="71A011BC" w14:textId="77777777" w:rsidR="005B68DD" w:rsidRPr="00AE2394" w:rsidRDefault="00A57AF2">
      <w:pPr>
        <w:spacing w:line="360" w:lineRule="auto"/>
        <w:ind w:left="360"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AE2394">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AE2394">
        <w:rPr>
          <w:rFonts w:ascii="Palatino Linotype" w:eastAsia="Palatino Linotype" w:hAnsi="Palatino Linotype" w:cs="Palatino Linotype"/>
          <w:sz w:val="22"/>
          <w:szCs w:val="22"/>
        </w:rPr>
        <w:t>, visible en la Gaceta del Seminario Judicial de la Federación con el registro digital 205635.</w:t>
      </w:r>
    </w:p>
    <w:p w14:paraId="24D53FE0" w14:textId="77777777" w:rsidR="005B68DD" w:rsidRPr="00AE2394" w:rsidRDefault="00A57AF2">
      <w:pPr>
        <w:spacing w:line="360" w:lineRule="auto"/>
        <w:ind w:left="360"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 </w:t>
      </w:r>
    </w:p>
    <w:p w14:paraId="2400417A" w14:textId="77777777" w:rsidR="005B68DD" w:rsidRPr="00AE2394" w:rsidRDefault="00A57AF2">
      <w:pPr>
        <w:spacing w:line="360" w:lineRule="auto"/>
        <w:ind w:left="360"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DCBBA3" w14:textId="77777777" w:rsidR="005B68DD" w:rsidRPr="00AE2394" w:rsidRDefault="005B68DD">
      <w:pPr>
        <w:spacing w:line="360" w:lineRule="auto"/>
        <w:ind w:left="360" w:right="49"/>
        <w:jc w:val="both"/>
        <w:rPr>
          <w:rFonts w:ascii="Palatino Linotype" w:eastAsia="Palatino Linotype" w:hAnsi="Palatino Linotype" w:cs="Palatino Linotype"/>
          <w:sz w:val="22"/>
          <w:szCs w:val="22"/>
        </w:rPr>
      </w:pPr>
    </w:p>
    <w:p w14:paraId="07173FA6"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21F17835" w14:textId="77777777" w:rsidR="005B68DD" w:rsidRPr="00AE2394" w:rsidRDefault="005B68DD">
      <w:pPr>
        <w:spacing w:line="360" w:lineRule="auto"/>
        <w:ind w:left="360" w:right="49"/>
        <w:jc w:val="both"/>
        <w:rPr>
          <w:rFonts w:ascii="Palatino Linotype" w:eastAsia="Palatino Linotype" w:hAnsi="Palatino Linotype" w:cs="Palatino Linotype"/>
          <w:sz w:val="22"/>
          <w:szCs w:val="22"/>
        </w:rPr>
      </w:pPr>
    </w:p>
    <w:p w14:paraId="479D45DF" w14:textId="77777777" w:rsidR="005B68DD" w:rsidRPr="00AE2394" w:rsidRDefault="00A57AF2">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E2394">
        <w:rPr>
          <w:rFonts w:ascii="Palatino Linotype" w:eastAsia="Palatino Linotype" w:hAnsi="Palatino Linotype" w:cs="Palatino Linotype"/>
          <w:sz w:val="22"/>
          <w:szCs w:val="22"/>
        </w:rPr>
        <w:t xml:space="preserve"> consultable en el Seminario Judicial de la Federación y su gaceta, con el registro digital 2002351.</w:t>
      </w:r>
    </w:p>
    <w:p w14:paraId="778E53D3" w14:textId="77777777" w:rsidR="005B68DD" w:rsidRPr="00AE2394" w:rsidRDefault="005B68DD">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p>
    <w:p w14:paraId="2A32C15C" w14:textId="77777777" w:rsidR="005B68DD" w:rsidRPr="00AE2394" w:rsidRDefault="00A57AF2">
      <w:pPr>
        <w:pBdr>
          <w:top w:val="nil"/>
          <w:left w:val="nil"/>
          <w:bottom w:val="nil"/>
          <w:right w:val="nil"/>
          <w:between w:val="nil"/>
        </w:pBdr>
        <w:spacing w:line="360" w:lineRule="auto"/>
        <w:ind w:left="720" w:right="560"/>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AE2394">
        <w:rPr>
          <w:rFonts w:ascii="Palatino Linotype" w:eastAsia="Palatino Linotype" w:hAnsi="Palatino Linotype" w:cs="Palatino Linotype"/>
          <w:sz w:val="22"/>
          <w:szCs w:val="22"/>
        </w:rPr>
        <w:t xml:space="preserve"> visible en el Seminario Judicial de la Federación y su gaceta, con el registro digital 2002350.</w:t>
      </w:r>
    </w:p>
    <w:p w14:paraId="7830BC10" w14:textId="77777777" w:rsidR="005B68DD" w:rsidRPr="00AE2394" w:rsidRDefault="005B68DD">
      <w:pPr>
        <w:pBdr>
          <w:top w:val="nil"/>
          <w:left w:val="nil"/>
          <w:bottom w:val="nil"/>
          <w:right w:val="nil"/>
          <w:between w:val="nil"/>
        </w:pBdr>
        <w:spacing w:line="360" w:lineRule="auto"/>
        <w:ind w:left="720" w:right="560"/>
        <w:rPr>
          <w:rFonts w:ascii="Palatino Linotype" w:eastAsia="Palatino Linotype" w:hAnsi="Palatino Linotype" w:cs="Palatino Linotype"/>
          <w:sz w:val="22"/>
          <w:szCs w:val="22"/>
        </w:rPr>
      </w:pPr>
    </w:p>
    <w:p w14:paraId="00ABA342" w14:textId="77777777" w:rsidR="005B68DD" w:rsidRPr="00AE2394" w:rsidRDefault="00A57AF2">
      <w:pPr>
        <w:pBdr>
          <w:top w:val="nil"/>
          <w:left w:val="nil"/>
          <w:bottom w:val="nil"/>
          <w:right w:val="nil"/>
          <w:between w:val="nil"/>
        </w:pBdr>
        <w:spacing w:line="360" w:lineRule="auto"/>
        <w:ind w:right="49"/>
        <w:jc w:val="both"/>
        <w:rPr>
          <w:rFonts w:ascii="Palatino Linotype" w:eastAsia="Palatino Linotype" w:hAnsi="Palatino Linotype" w:cs="Palatino Linotype"/>
          <w:sz w:val="18"/>
          <w:szCs w:val="18"/>
        </w:rPr>
      </w:pPr>
      <w:r w:rsidRPr="00AE239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Pr="00AE2394">
        <w:rPr>
          <w:rFonts w:ascii="Palatino Linotype" w:eastAsia="Palatino Linotype" w:hAnsi="Palatino Linotype" w:cs="Palatino Linotype"/>
          <w:sz w:val="18"/>
          <w:szCs w:val="18"/>
        </w:rPr>
        <w:t xml:space="preserve"> </w:t>
      </w:r>
    </w:p>
    <w:p w14:paraId="53A2CEC0" w14:textId="77777777" w:rsidR="005B68DD" w:rsidRPr="00AE2394" w:rsidRDefault="005B68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7E2894C" w14:textId="5243D5C9" w:rsidR="005B68DD" w:rsidRPr="00AE2394" w:rsidRDefault="00A57AF2">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Cierre de instrucción. </w:t>
      </w:r>
      <w:r w:rsidRPr="00AE2394">
        <w:rPr>
          <w:rFonts w:ascii="Palatino Linotype" w:eastAsia="Palatino Linotype" w:hAnsi="Palatino Linotype" w:cs="Palatino Linotype"/>
          <w:sz w:val="22"/>
          <w:szCs w:val="22"/>
        </w:rPr>
        <w:t xml:space="preserve">El </w:t>
      </w:r>
      <w:r w:rsidR="00D8209D" w:rsidRPr="00AE2394">
        <w:rPr>
          <w:rFonts w:ascii="Palatino Linotype" w:eastAsia="Palatino Linotype" w:hAnsi="Palatino Linotype" w:cs="Palatino Linotype"/>
          <w:b/>
          <w:sz w:val="22"/>
          <w:szCs w:val="22"/>
        </w:rPr>
        <w:t>tres</w:t>
      </w:r>
      <w:r w:rsidRPr="00AE2394">
        <w:rPr>
          <w:rFonts w:ascii="Palatino Linotype" w:eastAsia="Palatino Linotype" w:hAnsi="Palatino Linotype" w:cs="Palatino Linotype"/>
          <w:b/>
          <w:sz w:val="22"/>
          <w:szCs w:val="22"/>
        </w:rPr>
        <w:t xml:space="preserve"> de junio de dos mil veinticinco</w:t>
      </w:r>
      <w:r w:rsidRPr="00AE239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8B9FCFB" w14:textId="77777777" w:rsidR="005B68DD" w:rsidRPr="00AE2394" w:rsidRDefault="005B68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22AF0E4"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4682E26"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3BBF410B"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332F29A6"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335D994D" w14:textId="77777777" w:rsidR="005B68DD" w:rsidRPr="00AE2394" w:rsidRDefault="00A57AF2">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2" w:name="_heading=h.30j0zll" w:colFirst="0" w:colLast="0"/>
      <w:bookmarkEnd w:id="2"/>
      <w:r w:rsidRPr="00AE2394">
        <w:rPr>
          <w:rFonts w:ascii="Palatino Linotype" w:eastAsia="Palatino Linotype" w:hAnsi="Palatino Linotype" w:cs="Palatino Linotype"/>
          <w:b/>
          <w:sz w:val="22"/>
          <w:szCs w:val="22"/>
        </w:rPr>
        <w:lastRenderedPageBreak/>
        <w:t>C O N S I D E R A N D O:</w:t>
      </w:r>
    </w:p>
    <w:p w14:paraId="28CEEA34" w14:textId="77777777" w:rsidR="005B68DD" w:rsidRPr="00AE2394" w:rsidRDefault="005B68DD">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28FDF20" w14:textId="38C7441D" w:rsidR="008A4FDF"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Primero. Competencia. </w:t>
      </w:r>
      <w:r w:rsidR="008A4FDF" w:rsidRPr="00AE2394">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194CF81" w14:textId="77777777" w:rsidR="005B68DD" w:rsidRPr="00AE2394" w:rsidRDefault="005B68DD">
      <w:pPr>
        <w:spacing w:line="360" w:lineRule="auto"/>
        <w:jc w:val="both"/>
        <w:rPr>
          <w:rFonts w:ascii="Palatino Linotype" w:eastAsia="Palatino Linotype" w:hAnsi="Palatino Linotype" w:cs="Palatino Linotype"/>
          <w:b/>
          <w:sz w:val="22"/>
          <w:szCs w:val="22"/>
        </w:rPr>
      </w:pPr>
    </w:p>
    <w:p w14:paraId="24E98020"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Segundo. Oportunidad y Procedibilidad del Recurso de Revisión</w:t>
      </w:r>
      <w:r w:rsidRPr="00AE239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E5138F"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6B2C16CF"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AE2394">
        <w:rPr>
          <w:rFonts w:ascii="Palatino Linotype" w:eastAsia="Palatino Linotype" w:hAnsi="Palatino Linotype" w:cs="Palatino Linotype"/>
          <w:b/>
          <w:sz w:val="22"/>
          <w:szCs w:val="22"/>
        </w:rPr>
        <w:t>SUJETO OBLIGADO</w:t>
      </w:r>
      <w:r w:rsidRPr="00AE2394">
        <w:rPr>
          <w:rFonts w:ascii="Palatino Linotype" w:eastAsia="Palatino Linotype" w:hAnsi="Palatino Linotype" w:cs="Palatino Linotype"/>
          <w:sz w:val="22"/>
          <w:szCs w:val="22"/>
        </w:rPr>
        <w:t xml:space="preserve"> proporcionó su respuesta a la solicitud de información el </w:t>
      </w:r>
      <w:r w:rsidRPr="00AE2394">
        <w:rPr>
          <w:rFonts w:ascii="Palatino Linotype" w:eastAsia="Palatino Linotype" w:hAnsi="Palatino Linotype" w:cs="Palatino Linotype"/>
          <w:b/>
          <w:sz w:val="22"/>
          <w:szCs w:val="22"/>
        </w:rPr>
        <w:t>catorce de marzo de dos mil veinticinco</w:t>
      </w:r>
      <w:r w:rsidRPr="00AE2394">
        <w:rPr>
          <w:rFonts w:ascii="Palatino Linotype" w:eastAsia="Palatino Linotype" w:hAnsi="Palatino Linotype" w:cs="Palatino Linotype"/>
          <w:sz w:val="22"/>
          <w:szCs w:val="22"/>
        </w:rPr>
        <w:t xml:space="preserve">, y la persona </w:t>
      </w:r>
      <w:r w:rsidRPr="00AE2394">
        <w:rPr>
          <w:rFonts w:ascii="Palatino Linotype" w:eastAsia="Palatino Linotype" w:hAnsi="Palatino Linotype" w:cs="Palatino Linotype"/>
          <w:b/>
          <w:sz w:val="22"/>
          <w:szCs w:val="22"/>
        </w:rPr>
        <w:t>RECURRENTE</w:t>
      </w:r>
      <w:r w:rsidRPr="00AE2394">
        <w:rPr>
          <w:rFonts w:ascii="Palatino Linotype" w:eastAsia="Palatino Linotype" w:hAnsi="Palatino Linotype" w:cs="Palatino Linotype"/>
          <w:sz w:val="22"/>
          <w:szCs w:val="22"/>
        </w:rPr>
        <w:t xml:space="preserve"> presentó su recurso de revisión el </w:t>
      </w:r>
      <w:r w:rsidRPr="00AE2394">
        <w:rPr>
          <w:rFonts w:ascii="Palatino Linotype" w:eastAsia="Palatino Linotype" w:hAnsi="Palatino Linotype" w:cs="Palatino Linotype"/>
          <w:b/>
          <w:sz w:val="22"/>
          <w:szCs w:val="22"/>
        </w:rPr>
        <w:t xml:space="preserve">dieciséis de marzo de dos mil veinticinco </w:t>
      </w:r>
      <w:r w:rsidRPr="00AE2394">
        <w:rPr>
          <w:rFonts w:ascii="Palatino Linotype" w:eastAsia="Palatino Linotype" w:hAnsi="Palatino Linotype" w:cs="Palatino Linotype"/>
          <w:sz w:val="22"/>
          <w:szCs w:val="22"/>
        </w:rPr>
        <w:t xml:space="preserve">pero quedó registrado el </w:t>
      </w:r>
      <w:r w:rsidRPr="00AE2394">
        <w:rPr>
          <w:rFonts w:ascii="Palatino Linotype" w:eastAsia="Palatino Linotype" w:hAnsi="Palatino Linotype" w:cs="Palatino Linotype"/>
          <w:b/>
          <w:sz w:val="22"/>
          <w:szCs w:val="22"/>
        </w:rPr>
        <w:t>dieciocho de marzo de dos mil veinticinco</w:t>
      </w:r>
      <w:r w:rsidRPr="00AE2394">
        <w:rPr>
          <w:rFonts w:ascii="Palatino Linotype" w:eastAsia="Palatino Linotype" w:hAnsi="Palatino Linotype" w:cs="Palatino Linotype"/>
          <w:sz w:val="22"/>
          <w:szCs w:val="22"/>
        </w:rPr>
        <w:t>;</w:t>
      </w:r>
      <w:r w:rsidRPr="00AE2394">
        <w:rPr>
          <w:rFonts w:ascii="Palatino Linotype" w:eastAsia="Palatino Linotype" w:hAnsi="Palatino Linotype" w:cs="Palatino Linotype"/>
          <w:b/>
          <w:sz w:val="22"/>
          <w:szCs w:val="22"/>
        </w:rPr>
        <w:t xml:space="preserve"> </w:t>
      </w:r>
      <w:r w:rsidRPr="00AE2394">
        <w:rPr>
          <w:rFonts w:ascii="Palatino Linotype" w:eastAsia="Palatino Linotype" w:hAnsi="Palatino Linotype" w:cs="Palatino Linotype"/>
          <w:sz w:val="22"/>
          <w:szCs w:val="22"/>
        </w:rPr>
        <w:t xml:space="preserve">por lo que, el Recurso de Revisión, se tuvo por presentado al siguiente día hábil siguiente en que tuvo conocimiento de la respuesta. </w:t>
      </w:r>
    </w:p>
    <w:p w14:paraId="1573F671" w14:textId="77777777" w:rsidR="005B68DD" w:rsidRPr="00AE2394" w:rsidRDefault="005B68DD">
      <w:pPr>
        <w:spacing w:line="276" w:lineRule="auto"/>
        <w:ind w:right="843"/>
        <w:jc w:val="both"/>
        <w:rPr>
          <w:rFonts w:ascii="Palatino Linotype" w:eastAsia="Palatino Linotype" w:hAnsi="Palatino Linotype" w:cs="Palatino Linotype"/>
          <w:i/>
          <w:sz w:val="22"/>
          <w:szCs w:val="22"/>
        </w:rPr>
      </w:pPr>
    </w:p>
    <w:p w14:paraId="1CC20E9E"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Al mismo tiempo, tras la revisión del formato de interposición del recurso, se concluye en la acreditación plena de todos y cada uno de los elementos formales exigidos por el artículo 180 de </w:t>
      </w:r>
      <w:r w:rsidRPr="00AE2394">
        <w:rPr>
          <w:rFonts w:ascii="Palatino Linotype" w:eastAsia="Palatino Linotype" w:hAnsi="Palatino Linotype" w:cs="Palatino Linotype"/>
          <w:sz w:val="22"/>
          <w:szCs w:val="22"/>
        </w:rPr>
        <w:lastRenderedPageBreak/>
        <w:t>la Ley de Transparencia y Acceso a la Información Pública del Estado de México y Municipios, toda vez que fue ingresado a través del SAIMEX.</w:t>
      </w:r>
    </w:p>
    <w:p w14:paraId="5BB77466"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27F96551"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Es de suma importancia mencionar que, si bien, la parte 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5B09C5C"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036B374A" w14:textId="77777777" w:rsidR="005B68DD" w:rsidRPr="00AE2394" w:rsidRDefault="00A57AF2">
      <w:pPr>
        <w:ind w:left="567" w:right="843"/>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334B865"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5892E277"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1606DF07" w14:textId="77777777" w:rsidR="005B68DD" w:rsidRPr="00AE2394" w:rsidRDefault="005B68DD">
      <w:pPr>
        <w:spacing w:line="360" w:lineRule="auto"/>
        <w:ind w:left="567"/>
        <w:jc w:val="both"/>
        <w:rPr>
          <w:rFonts w:ascii="Palatino Linotype" w:eastAsia="Palatino Linotype" w:hAnsi="Palatino Linotype" w:cs="Palatino Linotype"/>
          <w:sz w:val="22"/>
          <w:szCs w:val="22"/>
        </w:rPr>
      </w:pPr>
    </w:p>
    <w:p w14:paraId="20A6C352" w14:textId="77777777" w:rsidR="005B68DD" w:rsidRPr="00AE2394" w:rsidRDefault="00A57AF2">
      <w:pPr>
        <w:spacing w:line="276"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w:t>
      </w:r>
      <w:r w:rsidRPr="00AE2394">
        <w:rPr>
          <w:rFonts w:ascii="Palatino Linotype" w:eastAsia="Palatino Linotype" w:hAnsi="Palatino Linotype" w:cs="Palatino Linotype"/>
          <w:b/>
          <w:i/>
          <w:sz w:val="22"/>
          <w:szCs w:val="22"/>
        </w:rPr>
        <w:t xml:space="preserve">Artículo 179. </w:t>
      </w:r>
      <w:r w:rsidRPr="00AE239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89FE7F9" w14:textId="77777777" w:rsidR="005B68DD" w:rsidRPr="00AE2394" w:rsidRDefault="00A57AF2">
      <w:pPr>
        <w:spacing w:line="276"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w:t>
      </w:r>
    </w:p>
    <w:p w14:paraId="6993045C" w14:textId="77777777" w:rsidR="005B68DD" w:rsidRPr="00AE2394" w:rsidRDefault="00A57AF2">
      <w:pPr>
        <w:spacing w:line="276"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V. La entrega de información incompleta;</w:t>
      </w:r>
    </w:p>
    <w:p w14:paraId="481B3382" w14:textId="77777777" w:rsidR="005B68DD" w:rsidRPr="00AE2394" w:rsidRDefault="00A57AF2">
      <w:pPr>
        <w:spacing w:line="360"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 </w:t>
      </w:r>
    </w:p>
    <w:p w14:paraId="5693E641" w14:textId="77777777" w:rsidR="005B68DD" w:rsidRPr="00AE2394" w:rsidRDefault="005B68DD">
      <w:pPr>
        <w:spacing w:line="360" w:lineRule="auto"/>
        <w:ind w:right="616"/>
        <w:jc w:val="both"/>
        <w:rPr>
          <w:rFonts w:ascii="Palatino Linotype" w:eastAsia="Palatino Linotype" w:hAnsi="Palatino Linotype" w:cs="Palatino Linotype"/>
          <w:i/>
          <w:sz w:val="22"/>
          <w:szCs w:val="22"/>
        </w:rPr>
      </w:pPr>
    </w:p>
    <w:p w14:paraId="02F53843"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Tercero. Materia de Revisión</w:t>
      </w:r>
      <w:r w:rsidRPr="00AE2394">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14:paraId="147C245B"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798B6B82"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Cuarto. Estudio de fondo del asunto. </w:t>
      </w:r>
      <w:r w:rsidRPr="00AE2394">
        <w:rPr>
          <w:rFonts w:ascii="Palatino Linotype" w:eastAsia="Palatino Linotype" w:hAnsi="Palatino Linotype" w:cs="Palatino Linotype"/>
          <w:sz w:val="22"/>
          <w:szCs w:val="22"/>
        </w:rPr>
        <w:t>Es conveniente analizar si la respuesta del Sujeto Obligado</w:t>
      </w:r>
      <w:r w:rsidRPr="00AE2394">
        <w:rPr>
          <w:rFonts w:ascii="Palatino Linotype" w:eastAsia="Palatino Linotype" w:hAnsi="Palatino Linotype" w:cs="Palatino Linotype"/>
          <w:b/>
          <w:sz w:val="22"/>
          <w:szCs w:val="22"/>
        </w:rPr>
        <w:t xml:space="preserve"> </w:t>
      </w:r>
      <w:r w:rsidRPr="00AE2394">
        <w:rPr>
          <w:rFonts w:ascii="Palatino Linotype" w:eastAsia="Palatino Linotype" w:hAnsi="Palatino Linotype" w:cs="Palatino Linotype"/>
          <w:sz w:val="22"/>
          <w:szCs w:val="22"/>
        </w:rPr>
        <w:t xml:space="preserve">cumple con los requisitos y procedimientos del derecho de acceso a la información pública, en </w:t>
      </w:r>
      <w:r w:rsidRPr="00AE2394">
        <w:rPr>
          <w:rFonts w:ascii="Palatino Linotype" w:eastAsia="Palatino Linotype" w:hAnsi="Palatino Linotype" w:cs="Palatino Linotype"/>
          <w:sz w:val="22"/>
          <w:szCs w:val="22"/>
        </w:rPr>
        <w:lastRenderedPageBreak/>
        <w:t>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4A850C3"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782F3076" w14:textId="77777777" w:rsidR="005B68DD" w:rsidRPr="00AE2394"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w:t>
      </w:r>
      <w:r w:rsidRPr="00AE2394">
        <w:rPr>
          <w:rFonts w:ascii="Palatino Linotype" w:eastAsia="Palatino Linotype" w:hAnsi="Palatino Linotype" w:cs="Palatino Linotype"/>
          <w:b/>
          <w:i/>
          <w:sz w:val="22"/>
          <w:szCs w:val="22"/>
        </w:rPr>
        <w:t>Artículo 4</w:t>
      </w:r>
      <w:r w:rsidRPr="00AE239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5632729" w14:textId="77777777" w:rsidR="005B68DD" w:rsidRPr="00AE2394"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E239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7E23953" w14:textId="77777777" w:rsidR="005B68DD" w:rsidRPr="00AE2394"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E2394">
        <w:rPr>
          <w:rFonts w:ascii="Palatino Linotype" w:eastAsia="Palatino Linotype" w:hAnsi="Palatino Linotype" w:cs="Palatino Linotype"/>
          <w:i/>
          <w:sz w:val="22"/>
          <w:szCs w:val="22"/>
        </w:rPr>
        <w:t>.”</w:t>
      </w:r>
    </w:p>
    <w:p w14:paraId="0CBDC813"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67B126BD"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2281673" w14:textId="77777777" w:rsidR="005B68DD" w:rsidRPr="00AE2394" w:rsidRDefault="005B68DD">
      <w:pPr>
        <w:spacing w:line="360" w:lineRule="auto"/>
        <w:ind w:right="616"/>
        <w:jc w:val="both"/>
        <w:rPr>
          <w:rFonts w:ascii="Palatino Linotype" w:eastAsia="Palatino Linotype" w:hAnsi="Palatino Linotype" w:cs="Palatino Linotype"/>
          <w:sz w:val="22"/>
          <w:szCs w:val="22"/>
        </w:rPr>
      </w:pPr>
    </w:p>
    <w:p w14:paraId="26F201EF" w14:textId="77777777" w:rsidR="005B68DD" w:rsidRPr="00AE2394" w:rsidRDefault="00A57AF2">
      <w:pPr>
        <w:tabs>
          <w:tab w:val="left" w:pos="6804"/>
        </w:tabs>
        <w:spacing w:line="276"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lastRenderedPageBreak/>
        <w:t>“</w:t>
      </w:r>
      <w:r w:rsidRPr="00AE2394">
        <w:rPr>
          <w:rFonts w:ascii="Palatino Linotype" w:eastAsia="Palatino Linotype" w:hAnsi="Palatino Linotype" w:cs="Palatino Linotype"/>
          <w:b/>
          <w:i/>
          <w:sz w:val="22"/>
          <w:szCs w:val="22"/>
        </w:rPr>
        <w:t>Artículo 12.-</w:t>
      </w:r>
      <w:r w:rsidRPr="00AE239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D410498" w14:textId="77777777" w:rsidR="005B68DD" w:rsidRPr="00AE2394" w:rsidRDefault="00A57AF2">
      <w:pPr>
        <w:spacing w:line="276"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E2394">
        <w:rPr>
          <w:rFonts w:ascii="Palatino Linotype" w:eastAsia="Palatino Linotype" w:hAnsi="Palatino Linotype" w:cs="Palatino Linotype"/>
          <w:i/>
          <w:sz w:val="22"/>
          <w:szCs w:val="22"/>
        </w:rPr>
        <w:t xml:space="preserve">. </w:t>
      </w:r>
      <w:r w:rsidRPr="00AE239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AE2394">
        <w:rPr>
          <w:rFonts w:ascii="Palatino Linotype" w:eastAsia="Palatino Linotype" w:hAnsi="Palatino Linotype" w:cs="Palatino Linotype"/>
          <w:i/>
          <w:sz w:val="22"/>
          <w:szCs w:val="22"/>
        </w:rPr>
        <w:t xml:space="preserve">.” </w:t>
      </w:r>
    </w:p>
    <w:p w14:paraId="3259FBBC" w14:textId="77777777" w:rsidR="005B68DD" w:rsidRPr="00AE2394" w:rsidRDefault="005B68DD">
      <w:pPr>
        <w:spacing w:line="360" w:lineRule="auto"/>
        <w:ind w:right="-93"/>
        <w:jc w:val="both"/>
        <w:rPr>
          <w:rFonts w:ascii="Palatino Linotype" w:eastAsia="Palatino Linotype" w:hAnsi="Palatino Linotype" w:cs="Palatino Linotype"/>
          <w:sz w:val="22"/>
          <w:szCs w:val="22"/>
        </w:rPr>
      </w:pPr>
    </w:p>
    <w:p w14:paraId="411B1DD5" w14:textId="77777777" w:rsidR="005B68DD" w:rsidRPr="00AE2394" w:rsidRDefault="00A57AF2">
      <w:pPr>
        <w:spacing w:line="360" w:lineRule="auto"/>
        <w:ind w:right="-93"/>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854599B" w14:textId="77777777" w:rsidR="005B68DD" w:rsidRPr="00AE2394" w:rsidRDefault="005B68DD">
      <w:pPr>
        <w:spacing w:line="360" w:lineRule="auto"/>
        <w:ind w:right="-93"/>
        <w:jc w:val="both"/>
        <w:rPr>
          <w:rFonts w:ascii="Palatino Linotype" w:eastAsia="Palatino Linotype" w:hAnsi="Palatino Linotype" w:cs="Palatino Linotype"/>
          <w:sz w:val="22"/>
          <w:szCs w:val="22"/>
        </w:rPr>
      </w:pPr>
    </w:p>
    <w:p w14:paraId="66FE785B" w14:textId="77777777" w:rsidR="005B68DD" w:rsidRPr="00AE2394" w:rsidRDefault="00A57AF2">
      <w:pPr>
        <w:spacing w:line="360" w:lineRule="auto"/>
        <w:jc w:val="both"/>
        <w:rPr>
          <w:rFonts w:ascii="Palatino Linotype" w:eastAsia="Palatino Linotype" w:hAnsi="Palatino Linotype" w:cs="Palatino Linotype"/>
          <w:b/>
          <w:sz w:val="22"/>
          <w:szCs w:val="22"/>
        </w:rPr>
      </w:pPr>
      <w:r w:rsidRPr="00AE2394">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AE2394">
        <w:rPr>
          <w:rFonts w:ascii="Palatino Linotype" w:eastAsia="Palatino Linotype" w:hAnsi="Palatino Linotype" w:cs="Palatino Linotype"/>
          <w:b/>
          <w:sz w:val="22"/>
          <w:szCs w:val="22"/>
        </w:rPr>
        <w:t xml:space="preserve"> </w:t>
      </w:r>
    </w:p>
    <w:p w14:paraId="4B5C2E39" w14:textId="77777777" w:rsidR="005B68DD" w:rsidRPr="00AE2394" w:rsidRDefault="005B68DD">
      <w:pPr>
        <w:spacing w:line="276" w:lineRule="auto"/>
        <w:ind w:right="850"/>
        <w:jc w:val="both"/>
        <w:rPr>
          <w:rFonts w:ascii="Palatino Linotype" w:eastAsia="Palatino Linotype" w:hAnsi="Palatino Linotype" w:cs="Palatino Linotype"/>
          <w:sz w:val="22"/>
          <w:szCs w:val="22"/>
        </w:rPr>
      </w:pPr>
    </w:p>
    <w:p w14:paraId="2A662184" w14:textId="77777777" w:rsidR="005B68DD" w:rsidRPr="00AE2394" w:rsidRDefault="00A57AF2">
      <w:pPr>
        <w:spacing w:line="276" w:lineRule="auto"/>
        <w:ind w:left="567" w:right="616"/>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w:t>
      </w:r>
      <w:r w:rsidRPr="00AE2394">
        <w:rPr>
          <w:rFonts w:ascii="Palatino Linotype" w:eastAsia="Palatino Linotype" w:hAnsi="Palatino Linotype" w:cs="Palatino Linotype"/>
          <w:b/>
          <w:i/>
          <w:sz w:val="22"/>
          <w:szCs w:val="22"/>
        </w:rPr>
        <w:t>No existe obligación de elaborar documentos ad hoc para atender las solicitudes de acceso a la información.</w:t>
      </w:r>
      <w:r w:rsidRPr="00AE239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B209281" w14:textId="77777777" w:rsidR="005B68DD" w:rsidRPr="00AE2394" w:rsidRDefault="005B68DD">
      <w:pPr>
        <w:spacing w:line="276" w:lineRule="auto"/>
        <w:ind w:right="616"/>
        <w:jc w:val="both"/>
        <w:rPr>
          <w:rFonts w:ascii="Palatino Linotype" w:eastAsia="Palatino Linotype" w:hAnsi="Palatino Linotype" w:cs="Palatino Linotype"/>
          <w:i/>
          <w:sz w:val="22"/>
          <w:szCs w:val="22"/>
        </w:rPr>
      </w:pPr>
    </w:p>
    <w:p w14:paraId="1BA138A1"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w:t>
      </w:r>
      <w:r w:rsidRPr="00AE2394">
        <w:rPr>
          <w:rFonts w:ascii="Palatino Linotype" w:eastAsia="Palatino Linotype" w:hAnsi="Palatino Linotype" w:cs="Palatino Linotype"/>
          <w:sz w:val="22"/>
          <w:szCs w:val="22"/>
        </w:rPr>
        <w:lastRenderedPageBreak/>
        <w:t>de cualquier persona, lo que implica que es deber de los Sujetos Obligados, garantizar el Derecho de Acceso a la Información Pública.</w:t>
      </w:r>
    </w:p>
    <w:p w14:paraId="13064332"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724C8C4F"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AFA6E9"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56A32E5B"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D3640AF"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355C5B6E" w14:textId="77777777" w:rsidR="005B68DD" w:rsidRPr="00AE2394" w:rsidRDefault="00A57AF2">
      <w:pPr>
        <w:spacing w:line="276" w:lineRule="auto"/>
        <w:ind w:left="567" w:right="89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w:t>
      </w:r>
      <w:r w:rsidRPr="00AE2394">
        <w:rPr>
          <w:rFonts w:ascii="Palatino Linotype" w:eastAsia="Palatino Linotype" w:hAnsi="Palatino Linotype" w:cs="Palatino Linotype"/>
          <w:b/>
          <w:i/>
          <w:sz w:val="22"/>
          <w:szCs w:val="22"/>
        </w:rPr>
        <w:t xml:space="preserve">Artículo 3. </w:t>
      </w:r>
      <w:r w:rsidRPr="00AE2394">
        <w:rPr>
          <w:rFonts w:ascii="Palatino Linotype" w:eastAsia="Palatino Linotype" w:hAnsi="Palatino Linotype" w:cs="Palatino Linotype"/>
          <w:i/>
          <w:sz w:val="22"/>
          <w:szCs w:val="22"/>
        </w:rPr>
        <w:t>Para los efectos de la presente Ley se entenderá por:</w:t>
      </w:r>
    </w:p>
    <w:p w14:paraId="332C6D58" w14:textId="77777777" w:rsidR="005B68DD" w:rsidRPr="00AE2394" w:rsidRDefault="00A57AF2">
      <w:pPr>
        <w:spacing w:line="276" w:lineRule="auto"/>
        <w:ind w:left="567" w:right="89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w:t>
      </w:r>
    </w:p>
    <w:p w14:paraId="4A6B8F67" w14:textId="77777777" w:rsidR="005B68DD" w:rsidRPr="00AE2394" w:rsidRDefault="00A57AF2">
      <w:pPr>
        <w:spacing w:line="276" w:lineRule="auto"/>
        <w:ind w:left="567" w:right="89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i/>
          <w:sz w:val="22"/>
          <w:szCs w:val="22"/>
        </w:rPr>
        <w:t>XI. Documento:</w:t>
      </w:r>
      <w:r w:rsidRPr="00AE2394">
        <w:rPr>
          <w:rFonts w:ascii="Palatino Linotype" w:eastAsia="Palatino Linotype" w:hAnsi="Palatino Linotype" w:cs="Palatino Linotype"/>
          <w:i/>
          <w:sz w:val="22"/>
          <w:szCs w:val="22"/>
        </w:rPr>
        <w:t xml:space="preserve"> Los expedientes, reportes, estudios, actas</w:t>
      </w:r>
      <w:r w:rsidRPr="00AE2394">
        <w:rPr>
          <w:rFonts w:ascii="Palatino Linotype" w:eastAsia="Palatino Linotype" w:hAnsi="Palatino Linotype" w:cs="Palatino Linotype"/>
          <w:b/>
          <w:i/>
          <w:sz w:val="22"/>
          <w:szCs w:val="22"/>
        </w:rPr>
        <w:t>,</w:t>
      </w:r>
      <w:r w:rsidRPr="00AE239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B69325E" w14:textId="77777777" w:rsidR="005B68DD" w:rsidRPr="00AE2394" w:rsidRDefault="005B68DD">
      <w:pPr>
        <w:spacing w:line="360" w:lineRule="auto"/>
        <w:ind w:right="899"/>
        <w:jc w:val="both"/>
        <w:rPr>
          <w:rFonts w:ascii="Palatino Linotype" w:eastAsia="Palatino Linotype" w:hAnsi="Palatino Linotype" w:cs="Palatino Linotype"/>
          <w:sz w:val="22"/>
          <w:szCs w:val="22"/>
        </w:rPr>
      </w:pPr>
    </w:p>
    <w:p w14:paraId="2DBE12B9"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Pública del </w:t>
      </w:r>
      <w:r w:rsidRPr="00AE2394">
        <w:rPr>
          <w:rFonts w:ascii="Palatino Linotype" w:eastAsia="Palatino Linotype" w:hAnsi="Palatino Linotype" w:cs="Palatino Linotype"/>
          <w:sz w:val="22"/>
          <w:szCs w:val="22"/>
        </w:rPr>
        <w:lastRenderedPageBreak/>
        <w:t>Estado de México y Municipios; publicado en el Periódico Oficial del Gobierno del Estado Libre y Soberano de México “Gaceta del Gobierno”, el diecinueve de octubre de dos mil once, cuyo rubro y texto refieren lo siguiente:</w:t>
      </w:r>
    </w:p>
    <w:p w14:paraId="6FE0FD20" w14:textId="77777777" w:rsidR="005B68DD" w:rsidRPr="00AE2394" w:rsidRDefault="005B68DD">
      <w:pPr>
        <w:spacing w:line="360" w:lineRule="auto"/>
        <w:ind w:right="899"/>
        <w:jc w:val="both"/>
        <w:rPr>
          <w:rFonts w:ascii="Palatino Linotype" w:eastAsia="Palatino Linotype" w:hAnsi="Palatino Linotype" w:cs="Palatino Linotype"/>
          <w:sz w:val="22"/>
          <w:szCs w:val="22"/>
        </w:rPr>
      </w:pPr>
    </w:p>
    <w:p w14:paraId="255B9E20" w14:textId="77777777" w:rsidR="005B68DD" w:rsidRPr="00AE2394" w:rsidRDefault="00A57AF2">
      <w:pPr>
        <w:spacing w:line="276" w:lineRule="auto"/>
        <w:ind w:left="567" w:right="899"/>
        <w:jc w:val="both"/>
        <w:rPr>
          <w:rFonts w:ascii="Palatino Linotype" w:eastAsia="Palatino Linotype" w:hAnsi="Palatino Linotype" w:cs="Palatino Linotype"/>
          <w:b/>
          <w:i/>
          <w:sz w:val="22"/>
          <w:szCs w:val="22"/>
        </w:rPr>
      </w:pPr>
      <w:r w:rsidRPr="00AE2394">
        <w:rPr>
          <w:rFonts w:ascii="Palatino Linotype" w:eastAsia="Palatino Linotype" w:hAnsi="Palatino Linotype" w:cs="Palatino Linotype"/>
          <w:b/>
          <w:sz w:val="22"/>
          <w:szCs w:val="22"/>
        </w:rPr>
        <w:t>“</w:t>
      </w:r>
      <w:r w:rsidRPr="00AE239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E239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CE01E0" w14:textId="77777777" w:rsidR="005B68DD" w:rsidRPr="00AE2394" w:rsidRDefault="00A57AF2">
      <w:pPr>
        <w:spacing w:line="276" w:lineRule="auto"/>
        <w:ind w:left="567" w:right="89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En </w:t>
      </w:r>
      <w:proofErr w:type="gramStart"/>
      <w:r w:rsidRPr="00AE2394">
        <w:rPr>
          <w:rFonts w:ascii="Palatino Linotype" w:eastAsia="Palatino Linotype" w:hAnsi="Palatino Linotype" w:cs="Palatino Linotype"/>
          <w:i/>
          <w:sz w:val="22"/>
          <w:szCs w:val="22"/>
        </w:rPr>
        <w:t>consecuencia</w:t>
      </w:r>
      <w:proofErr w:type="gramEnd"/>
      <w:r w:rsidRPr="00AE2394">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82AB674" w14:textId="77777777" w:rsidR="005B68DD" w:rsidRPr="00AE2394" w:rsidRDefault="00A57AF2">
      <w:pPr>
        <w:spacing w:line="276" w:lineRule="auto"/>
        <w:ind w:left="567" w:right="89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E2394">
        <w:rPr>
          <w:rFonts w:ascii="Palatino Linotype" w:eastAsia="Palatino Linotype" w:hAnsi="Palatino Linotype" w:cs="Palatino Linotype"/>
          <w:i/>
          <w:sz w:val="22"/>
          <w:szCs w:val="22"/>
        </w:rPr>
        <w:t>que</w:t>
      </w:r>
      <w:proofErr w:type="gramEnd"/>
      <w:r w:rsidRPr="00AE2394">
        <w:rPr>
          <w:rFonts w:ascii="Palatino Linotype" w:eastAsia="Palatino Linotype" w:hAnsi="Palatino Linotype" w:cs="Palatino Linotype"/>
          <w:i/>
          <w:sz w:val="22"/>
          <w:szCs w:val="22"/>
        </w:rPr>
        <w:t xml:space="preserve"> en ejercicio de las atribuciones conferidas, sea generada por los Sujetos Obligados;</w:t>
      </w:r>
    </w:p>
    <w:p w14:paraId="49A6764D" w14:textId="77777777" w:rsidR="005B68DD" w:rsidRPr="00AE2394" w:rsidRDefault="00A57AF2">
      <w:pPr>
        <w:spacing w:line="276" w:lineRule="auto"/>
        <w:ind w:left="567" w:right="899"/>
        <w:jc w:val="both"/>
        <w:rPr>
          <w:rFonts w:ascii="Palatino Linotype" w:eastAsia="Palatino Linotype" w:hAnsi="Palatino Linotype" w:cs="Palatino Linotype"/>
          <w:b/>
          <w:i/>
          <w:sz w:val="22"/>
          <w:szCs w:val="22"/>
        </w:rPr>
      </w:pPr>
      <w:r w:rsidRPr="00AE2394">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AE2394">
        <w:rPr>
          <w:rFonts w:ascii="Palatino Linotype" w:eastAsia="Palatino Linotype" w:hAnsi="Palatino Linotype" w:cs="Palatino Linotype"/>
          <w:b/>
          <w:i/>
          <w:sz w:val="22"/>
          <w:szCs w:val="22"/>
        </w:rPr>
        <w:t>que</w:t>
      </w:r>
      <w:proofErr w:type="gramEnd"/>
      <w:r w:rsidRPr="00AE2394">
        <w:rPr>
          <w:rFonts w:ascii="Palatino Linotype" w:eastAsia="Palatino Linotype" w:hAnsi="Palatino Linotype" w:cs="Palatino Linotype"/>
          <w:b/>
          <w:i/>
          <w:sz w:val="22"/>
          <w:szCs w:val="22"/>
        </w:rPr>
        <w:t xml:space="preserve"> en ejercicio de las atribuciones conferidas, sea administrada por los Sujetos Obligados, y</w:t>
      </w:r>
    </w:p>
    <w:p w14:paraId="121552F9" w14:textId="77777777" w:rsidR="005B68DD" w:rsidRPr="00AE2394" w:rsidRDefault="00A57AF2">
      <w:pPr>
        <w:spacing w:line="276" w:lineRule="auto"/>
        <w:ind w:left="567" w:right="899"/>
        <w:jc w:val="both"/>
        <w:rPr>
          <w:rFonts w:ascii="Palatino Linotype" w:eastAsia="Palatino Linotype" w:hAnsi="Palatino Linotype" w:cs="Palatino Linotype"/>
          <w:b/>
          <w:i/>
          <w:sz w:val="22"/>
          <w:szCs w:val="22"/>
        </w:rPr>
      </w:pPr>
      <w:r w:rsidRPr="00AE2394">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AE2394">
        <w:rPr>
          <w:rFonts w:ascii="Palatino Linotype" w:eastAsia="Palatino Linotype" w:hAnsi="Palatino Linotype" w:cs="Palatino Linotype"/>
          <w:b/>
          <w:i/>
          <w:sz w:val="22"/>
          <w:szCs w:val="22"/>
        </w:rPr>
        <w:t>que</w:t>
      </w:r>
      <w:proofErr w:type="gramEnd"/>
      <w:r w:rsidRPr="00AE2394">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71CDC9E" w14:textId="77777777" w:rsidR="005B68DD" w:rsidRPr="00AE2394" w:rsidRDefault="005B68DD">
      <w:pPr>
        <w:spacing w:line="360" w:lineRule="auto"/>
        <w:ind w:left="567"/>
        <w:jc w:val="both"/>
        <w:rPr>
          <w:rFonts w:ascii="Palatino Linotype" w:eastAsia="Palatino Linotype" w:hAnsi="Palatino Linotype" w:cs="Palatino Linotype"/>
          <w:sz w:val="22"/>
          <w:szCs w:val="22"/>
        </w:rPr>
      </w:pPr>
    </w:p>
    <w:p w14:paraId="09488227"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Dicho lo anterior, por cuestiones de técnica jurídica se realiza un cuadro de análisis, con la finalidad de recordar lo que obra en el expediente electrónico, al tenor de lo siguiente:</w:t>
      </w:r>
    </w:p>
    <w:p w14:paraId="3DB5C319" w14:textId="77777777" w:rsidR="005B68DD" w:rsidRPr="00AE2394" w:rsidRDefault="005B68DD">
      <w:pPr>
        <w:spacing w:line="360" w:lineRule="auto"/>
        <w:jc w:val="both"/>
        <w:rPr>
          <w:rFonts w:ascii="Palatino Linotype" w:eastAsia="Palatino Linotype" w:hAnsi="Palatino Linotype" w:cs="Palatino Linotype"/>
          <w:sz w:val="22"/>
          <w:szCs w:val="22"/>
        </w:rPr>
      </w:pPr>
    </w:p>
    <w:tbl>
      <w:tblPr>
        <w:tblStyle w:val="a2"/>
        <w:tblW w:w="93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551"/>
        <w:gridCol w:w="3402"/>
        <w:gridCol w:w="2977"/>
      </w:tblGrid>
      <w:tr w:rsidR="006A07FF" w:rsidRPr="00AE2394" w14:paraId="1B13461F" w14:textId="77777777">
        <w:tc>
          <w:tcPr>
            <w:tcW w:w="421" w:type="dxa"/>
            <w:tcBorders>
              <w:top w:val="nil"/>
              <w:left w:val="nil"/>
            </w:tcBorders>
          </w:tcPr>
          <w:p w14:paraId="010A6104" w14:textId="77777777" w:rsidR="005B68DD" w:rsidRPr="00AE2394" w:rsidRDefault="005B68DD">
            <w:pPr>
              <w:spacing w:line="276" w:lineRule="auto"/>
              <w:jc w:val="both"/>
              <w:rPr>
                <w:rFonts w:ascii="Palatino Linotype" w:eastAsia="Palatino Linotype" w:hAnsi="Palatino Linotype" w:cs="Palatino Linotype"/>
                <w:sz w:val="20"/>
                <w:szCs w:val="20"/>
              </w:rPr>
            </w:pPr>
          </w:p>
        </w:tc>
        <w:tc>
          <w:tcPr>
            <w:tcW w:w="2551" w:type="dxa"/>
            <w:shd w:val="clear" w:color="auto" w:fill="DDD9C4"/>
          </w:tcPr>
          <w:p w14:paraId="06387C25" w14:textId="77777777" w:rsidR="005B68DD" w:rsidRPr="00AE2394" w:rsidRDefault="00A57AF2">
            <w:pPr>
              <w:spacing w:line="276" w:lineRule="auto"/>
              <w:jc w:val="center"/>
              <w:rPr>
                <w:rFonts w:ascii="Palatino Linotype" w:eastAsia="Palatino Linotype" w:hAnsi="Palatino Linotype" w:cs="Palatino Linotype"/>
                <w:b/>
                <w:sz w:val="20"/>
                <w:szCs w:val="20"/>
              </w:rPr>
            </w:pPr>
            <w:r w:rsidRPr="00AE2394">
              <w:rPr>
                <w:rFonts w:ascii="Palatino Linotype" w:eastAsia="Palatino Linotype" w:hAnsi="Palatino Linotype" w:cs="Palatino Linotype"/>
                <w:b/>
                <w:sz w:val="20"/>
                <w:szCs w:val="20"/>
              </w:rPr>
              <w:t>Requerimiento</w:t>
            </w:r>
          </w:p>
        </w:tc>
        <w:tc>
          <w:tcPr>
            <w:tcW w:w="3402" w:type="dxa"/>
            <w:shd w:val="clear" w:color="auto" w:fill="DDD9C4"/>
          </w:tcPr>
          <w:p w14:paraId="3FFF58EE" w14:textId="77777777" w:rsidR="005B68DD" w:rsidRPr="00AE2394" w:rsidRDefault="00A57AF2">
            <w:pPr>
              <w:spacing w:line="276" w:lineRule="auto"/>
              <w:jc w:val="center"/>
              <w:rPr>
                <w:rFonts w:ascii="Palatino Linotype" w:eastAsia="Palatino Linotype" w:hAnsi="Palatino Linotype" w:cs="Palatino Linotype"/>
                <w:b/>
                <w:sz w:val="20"/>
                <w:szCs w:val="20"/>
              </w:rPr>
            </w:pPr>
            <w:r w:rsidRPr="00AE2394">
              <w:rPr>
                <w:rFonts w:ascii="Palatino Linotype" w:eastAsia="Palatino Linotype" w:hAnsi="Palatino Linotype" w:cs="Palatino Linotype"/>
                <w:b/>
                <w:sz w:val="20"/>
                <w:szCs w:val="20"/>
              </w:rPr>
              <w:t>Respuesta</w:t>
            </w:r>
          </w:p>
        </w:tc>
        <w:tc>
          <w:tcPr>
            <w:tcW w:w="2977" w:type="dxa"/>
            <w:shd w:val="clear" w:color="auto" w:fill="DDD9C4"/>
          </w:tcPr>
          <w:p w14:paraId="42037E5B" w14:textId="77777777" w:rsidR="005B68DD" w:rsidRPr="00AE2394" w:rsidRDefault="00A57AF2">
            <w:pPr>
              <w:spacing w:line="276" w:lineRule="auto"/>
              <w:jc w:val="center"/>
              <w:rPr>
                <w:rFonts w:ascii="Palatino Linotype" w:eastAsia="Palatino Linotype" w:hAnsi="Palatino Linotype" w:cs="Palatino Linotype"/>
                <w:b/>
                <w:sz w:val="20"/>
                <w:szCs w:val="20"/>
              </w:rPr>
            </w:pPr>
            <w:r w:rsidRPr="00AE2394">
              <w:rPr>
                <w:rFonts w:ascii="Palatino Linotype" w:eastAsia="Palatino Linotype" w:hAnsi="Palatino Linotype" w:cs="Palatino Linotype"/>
                <w:b/>
                <w:sz w:val="20"/>
                <w:szCs w:val="20"/>
              </w:rPr>
              <w:t>Observaciones</w:t>
            </w:r>
          </w:p>
        </w:tc>
      </w:tr>
      <w:tr w:rsidR="006A07FF" w:rsidRPr="00AE2394" w14:paraId="2D09B76D" w14:textId="77777777">
        <w:tc>
          <w:tcPr>
            <w:tcW w:w="421" w:type="dxa"/>
            <w:shd w:val="clear" w:color="auto" w:fill="DDD9C4"/>
          </w:tcPr>
          <w:p w14:paraId="4D75DDAA" w14:textId="77777777" w:rsidR="005B68DD" w:rsidRPr="00AE2394" w:rsidRDefault="00A57AF2">
            <w:pPr>
              <w:spacing w:line="276" w:lineRule="auto"/>
              <w:jc w:val="center"/>
              <w:rPr>
                <w:rFonts w:ascii="Palatino Linotype" w:eastAsia="Palatino Linotype" w:hAnsi="Palatino Linotype" w:cs="Palatino Linotype"/>
                <w:b/>
                <w:sz w:val="20"/>
                <w:szCs w:val="20"/>
              </w:rPr>
            </w:pPr>
            <w:r w:rsidRPr="00AE2394">
              <w:rPr>
                <w:rFonts w:ascii="Palatino Linotype" w:eastAsia="Palatino Linotype" w:hAnsi="Palatino Linotype" w:cs="Palatino Linotype"/>
                <w:b/>
                <w:sz w:val="20"/>
                <w:szCs w:val="20"/>
              </w:rPr>
              <w:t>1</w:t>
            </w:r>
          </w:p>
        </w:tc>
        <w:tc>
          <w:tcPr>
            <w:tcW w:w="2551" w:type="dxa"/>
          </w:tcPr>
          <w:p w14:paraId="3DC5AAC2" w14:textId="77777777" w:rsidR="005B68DD" w:rsidRPr="00AE2394" w:rsidRDefault="00A57AF2">
            <w:pPr>
              <w:spacing w:line="276" w:lineRule="auto"/>
              <w:jc w:val="both"/>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Número de parquímetros</w:t>
            </w:r>
          </w:p>
        </w:tc>
        <w:tc>
          <w:tcPr>
            <w:tcW w:w="3402" w:type="dxa"/>
          </w:tcPr>
          <w:p w14:paraId="6334B2CF" w14:textId="77777777" w:rsidR="005B68DD" w:rsidRPr="00AE2394" w:rsidRDefault="00A57AF2">
            <w:pPr>
              <w:spacing w:line="276" w:lineRule="auto"/>
              <w:jc w:val="both"/>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 xml:space="preserve">Coordinador de parquímetros. Informó el número de parquímetros por ubicación y el número total de parquímetros. </w:t>
            </w:r>
          </w:p>
        </w:tc>
        <w:tc>
          <w:tcPr>
            <w:tcW w:w="2977" w:type="dxa"/>
          </w:tcPr>
          <w:p w14:paraId="77BCA356" w14:textId="77777777" w:rsidR="005B68DD" w:rsidRPr="00AE2394" w:rsidRDefault="00A57AF2">
            <w:pPr>
              <w:spacing w:line="276" w:lineRule="auto"/>
              <w:jc w:val="center"/>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Colmó</w:t>
            </w:r>
          </w:p>
          <w:p w14:paraId="1AD308EA" w14:textId="77777777" w:rsidR="005B68DD" w:rsidRPr="00AE2394" w:rsidRDefault="00A57AF2">
            <w:pPr>
              <w:spacing w:line="276" w:lineRule="auto"/>
              <w:jc w:val="center"/>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Se informó el número de parquímetros</w:t>
            </w:r>
          </w:p>
        </w:tc>
      </w:tr>
      <w:tr w:rsidR="006A07FF" w:rsidRPr="00AE2394" w14:paraId="0C2B36E9" w14:textId="77777777">
        <w:tc>
          <w:tcPr>
            <w:tcW w:w="421" w:type="dxa"/>
            <w:shd w:val="clear" w:color="auto" w:fill="DDD9C4"/>
          </w:tcPr>
          <w:p w14:paraId="68CE8FD6" w14:textId="77777777" w:rsidR="005B68DD" w:rsidRPr="00AE2394" w:rsidRDefault="00A57AF2">
            <w:pPr>
              <w:spacing w:line="276" w:lineRule="auto"/>
              <w:jc w:val="center"/>
              <w:rPr>
                <w:rFonts w:ascii="Palatino Linotype" w:eastAsia="Palatino Linotype" w:hAnsi="Palatino Linotype" w:cs="Palatino Linotype"/>
                <w:b/>
                <w:sz w:val="20"/>
                <w:szCs w:val="20"/>
              </w:rPr>
            </w:pPr>
            <w:r w:rsidRPr="00AE2394">
              <w:rPr>
                <w:rFonts w:ascii="Palatino Linotype" w:eastAsia="Palatino Linotype" w:hAnsi="Palatino Linotype" w:cs="Palatino Linotype"/>
                <w:b/>
                <w:sz w:val="20"/>
                <w:szCs w:val="20"/>
              </w:rPr>
              <w:t>2</w:t>
            </w:r>
          </w:p>
        </w:tc>
        <w:tc>
          <w:tcPr>
            <w:tcW w:w="2551" w:type="dxa"/>
          </w:tcPr>
          <w:p w14:paraId="5770EA45" w14:textId="77777777" w:rsidR="005B68DD" w:rsidRPr="00AE2394" w:rsidRDefault="00A57AF2">
            <w:pPr>
              <w:spacing w:line="276" w:lineRule="auto"/>
              <w:jc w:val="both"/>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 xml:space="preserve">Ubicaciones de los parquímetros. </w:t>
            </w:r>
          </w:p>
        </w:tc>
        <w:tc>
          <w:tcPr>
            <w:tcW w:w="3402" w:type="dxa"/>
          </w:tcPr>
          <w:p w14:paraId="21D837A1" w14:textId="77777777" w:rsidR="005B68DD" w:rsidRPr="00AE2394" w:rsidRDefault="00A57AF2">
            <w:pPr>
              <w:spacing w:line="276" w:lineRule="auto"/>
              <w:jc w:val="both"/>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Coordinador de parquímetros. Informó la ubicación de los parquímetros.</w:t>
            </w:r>
          </w:p>
        </w:tc>
        <w:tc>
          <w:tcPr>
            <w:tcW w:w="2977" w:type="dxa"/>
          </w:tcPr>
          <w:p w14:paraId="7EDAD7CD" w14:textId="77777777" w:rsidR="005B68DD" w:rsidRPr="00AE2394" w:rsidRDefault="00A57AF2">
            <w:pPr>
              <w:spacing w:line="276" w:lineRule="auto"/>
              <w:jc w:val="center"/>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Colmó</w:t>
            </w:r>
          </w:p>
          <w:p w14:paraId="2C95DC25" w14:textId="77777777" w:rsidR="005B68DD" w:rsidRPr="00AE2394" w:rsidRDefault="00A57AF2">
            <w:pPr>
              <w:spacing w:line="276" w:lineRule="auto"/>
              <w:jc w:val="center"/>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Se informó la ubicación de los parquímetros</w:t>
            </w:r>
          </w:p>
        </w:tc>
      </w:tr>
      <w:tr w:rsidR="006A07FF" w:rsidRPr="00AE2394" w14:paraId="6F44922F" w14:textId="77777777">
        <w:tc>
          <w:tcPr>
            <w:tcW w:w="421" w:type="dxa"/>
            <w:shd w:val="clear" w:color="auto" w:fill="DDD9C4"/>
          </w:tcPr>
          <w:p w14:paraId="70E63659" w14:textId="77777777" w:rsidR="005B68DD" w:rsidRPr="00AE2394" w:rsidRDefault="00A57AF2">
            <w:pPr>
              <w:spacing w:line="276" w:lineRule="auto"/>
              <w:jc w:val="center"/>
              <w:rPr>
                <w:rFonts w:ascii="Palatino Linotype" w:eastAsia="Palatino Linotype" w:hAnsi="Palatino Linotype" w:cs="Palatino Linotype"/>
                <w:b/>
                <w:sz w:val="20"/>
                <w:szCs w:val="20"/>
              </w:rPr>
            </w:pPr>
            <w:r w:rsidRPr="00AE2394">
              <w:rPr>
                <w:rFonts w:ascii="Palatino Linotype" w:eastAsia="Palatino Linotype" w:hAnsi="Palatino Linotype" w:cs="Palatino Linotype"/>
                <w:b/>
                <w:sz w:val="20"/>
                <w:szCs w:val="20"/>
              </w:rPr>
              <w:lastRenderedPageBreak/>
              <w:t>3</w:t>
            </w:r>
          </w:p>
        </w:tc>
        <w:tc>
          <w:tcPr>
            <w:tcW w:w="2551" w:type="dxa"/>
          </w:tcPr>
          <w:p w14:paraId="4ABFECE4" w14:textId="77777777" w:rsidR="005B68DD" w:rsidRPr="00AE2394" w:rsidRDefault="00A57AF2">
            <w:pPr>
              <w:spacing w:line="276" w:lineRule="auto"/>
              <w:jc w:val="both"/>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Ingresos de enero de 2025</w:t>
            </w:r>
          </w:p>
        </w:tc>
        <w:tc>
          <w:tcPr>
            <w:tcW w:w="3402" w:type="dxa"/>
          </w:tcPr>
          <w:p w14:paraId="3FEFCAB5" w14:textId="77777777" w:rsidR="005B68DD" w:rsidRPr="00AE2394" w:rsidRDefault="00A57AF2">
            <w:pPr>
              <w:spacing w:line="276" w:lineRule="auto"/>
              <w:jc w:val="both"/>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 xml:space="preserve">Tesorero Municipal. Informa que </w:t>
            </w:r>
            <w:proofErr w:type="gramStart"/>
            <w:r w:rsidRPr="00AE2394">
              <w:rPr>
                <w:rFonts w:ascii="Palatino Linotype" w:eastAsia="Palatino Linotype" w:hAnsi="Palatino Linotype" w:cs="Palatino Linotype"/>
                <w:sz w:val="20"/>
                <w:szCs w:val="20"/>
              </w:rPr>
              <w:t>los ingresos de enero de 2025 por concepto de parquímetros es</w:t>
            </w:r>
            <w:proofErr w:type="gramEnd"/>
            <w:r w:rsidRPr="00AE2394">
              <w:rPr>
                <w:rFonts w:ascii="Palatino Linotype" w:eastAsia="Palatino Linotype" w:hAnsi="Palatino Linotype" w:cs="Palatino Linotype"/>
                <w:sz w:val="20"/>
                <w:szCs w:val="20"/>
              </w:rPr>
              <w:t xml:space="preserve"> de $210,847.00.</w:t>
            </w:r>
          </w:p>
        </w:tc>
        <w:tc>
          <w:tcPr>
            <w:tcW w:w="2977" w:type="dxa"/>
          </w:tcPr>
          <w:p w14:paraId="6D406076" w14:textId="77777777" w:rsidR="005B68DD" w:rsidRPr="00AE2394" w:rsidRDefault="00A57AF2">
            <w:pPr>
              <w:spacing w:line="276" w:lineRule="auto"/>
              <w:jc w:val="center"/>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Colmó</w:t>
            </w:r>
          </w:p>
          <w:p w14:paraId="59C17F7C" w14:textId="77777777" w:rsidR="005B68DD" w:rsidRPr="00AE2394" w:rsidRDefault="00A57AF2">
            <w:pPr>
              <w:spacing w:line="276" w:lineRule="auto"/>
              <w:jc w:val="center"/>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Se informó el monto de ingreso de la temporalidad solicitada</w:t>
            </w:r>
          </w:p>
        </w:tc>
      </w:tr>
      <w:tr w:rsidR="006A07FF" w:rsidRPr="00AE2394" w14:paraId="276D15A0" w14:textId="77777777">
        <w:tc>
          <w:tcPr>
            <w:tcW w:w="421" w:type="dxa"/>
            <w:shd w:val="clear" w:color="auto" w:fill="DDD9C4"/>
          </w:tcPr>
          <w:p w14:paraId="34A9029F" w14:textId="77777777" w:rsidR="005B68DD" w:rsidRPr="00AE2394" w:rsidRDefault="00A57AF2">
            <w:pPr>
              <w:spacing w:line="276" w:lineRule="auto"/>
              <w:jc w:val="center"/>
              <w:rPr>
                <w:rFonts w:ascii="Palatino Linotype" w:eastAsia="Palatino Linotype" w:hAnsi="Palatino Linotype" w:cs="Palatino Linotype"/>
                <w:b/>
                <w:sz w:val="20"/>
                <w:szCs w:val="20"/>
              </w:rPr>
            </w:pPr>
            <w:r w:rsidRPr="00AE2394">
              <w:rPr>
                <w:rFonts w:ascii="Palatino Linotype" w:eastAsia="Palatino Linotype" w:hAnsi="Palatino Linotype" w:cs="Palatino Linotype"/>
                <w:b/>
                <w:sz w:val="20"/>
                <w:szCs w:val="20"/>
              </w:rPr>
              <w:t>4</w:t>
            </w:r>
          </w:p>
        </w:tc>
        <w:tc>
          <w:tcPr>
            <w:tcW w:w="2551" w:type="dxa"/>
          </w:tcPr>
          <w:p w14:paraId="52D656D1" w14:textId="77777777" w:rsidR="005B68DD" w:rsidRPr="00AE2394" w:rsidRDefault="00A57AF2">
            <w:pPr>
              <w:spacing w:line="276" w:lineRule="auto"/>
              <w:jc w:val="both"/>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 xml:space="preserve">En qué se ocupa el dinero y en que se emplea con documento justificación. </w:t>
            </w:r>
          </w:p>
        </w:tc>
        <w:tc>
          <w:tcPr>
            <w:tcW w:w="3402" w:type="dxa"/>
          </w:tcPr>
          <w:p w14:paraId="03CD6D97" w14:textId="77777777" w:rsidR="005B68DD" w:rsidRPr="00AE2394" w:rsidRDefault="00A57AF2">
            <w:pPr>
              <w:spacing w:line="276" w:lineRule="auto"/>
              <w:jc w:val="both"/>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Tesorero Municipal. Informa que no se pueden identificar los gastos relacionados con la recaudación de parquímetros, ya que se han estado cubriendo los gastos que de acuerdo a la necesidad de los servicios requiere el ayuntamiento para su funcionamiento y prestación de servicios públicos, como lo establecen los artículos 7 y 8 del Código Financiero del Estado de México y Municipios.</w:t>
            </w:r>
          </w:p>
          <w:p w14:paraId="7AF1EF47" w14:textId="77777777" w:rsidR="005B68DD" w:rsidRPr="00AE2394" w:rsidRDefault="005B68DD">
            <w:pPr>
              <w:spacing w:line="276" w:lineRule="auto"/>
              <w:jc w:val="both"/>
              <w:rPr>
                <w:rFonts w:ascii="Palatino Linotype" w:eastAsia="Palatino Linotype" w:hAnsi="Palatino Linotype" w:cs="Palatino Linotype"/>
                <w:sz w:val="20"/>
                <w:szCs w:val="20"/>
              </w:rPr>
            </w:pPr>
          </w:p>
          <w:p w14:paraId="2E756431" w14:textId="77777777" w:rsidR="005B68DD" w:rsidRPr="00AE2394" w:rsidRDefault="00A57AF2">
            <w:pPr>
              <w:spacing w:line="276" w:lineRule="auto"/>
              <w:jc w:val="both"/>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 xml:space="preserve">Sin embargo, se informa que aún no se cuenta con las cifras definitivas ejercidas en </w:t>
            </w:r>
            <w:proofErr w:type="gramStart"/>
            <w:r w:rsidRPr="00AE2394">
              <w:rPr>
                <w:rFonts w:ascii="Palatino Linotype" w:eastAsia="Palatino Linotype" w:hAnsi="Palatino Linotype" w:cs="Palatino Linotype"/>
                <w:sz w:val="20"/>
                <w:szCs w:val="20"/>
              </w:rPr>
              <w:t>la partidas</w:t>
            </w:r>
            <w:proofErr w:type="gramEnd"/>
            <w:r w:rsidRPr="00AE2394">
              <w:rPr>
                <w:rFonts w:ascii="Palatino Linotype" w:eastAsia="Palatino Linotype" w:hAnsi="Palatino Linotype" w:cs="Palatino Linotype"/>
                <w:sz w:val="20"/>
                <w:szCs w:val="20"/>
              </w:rPr>
              <w:t xml:space="preserve"> del gasto, toda vez que se encuentra en proceso de integración el Informe Mensual de Enero de 2025, el cual es presentado en el Primer Informe Trimestral de 2025 ante el Órgano Superior de Fiscalización del Estado de México conforme a lo establecido en el artículo 350 del Código Financiero del Estado de México y Municipios.</w:t>
            </w:r>
          </w:p>
        </w:tc>
        <w:tc>
          <w:tcPr>
            <w:tcW w:w="2977" w:type="dxa"/>
          </w:tcPr>
          <w:p w14:paraId="689166C4" w14:textId="77777777" w:rsidR="005B68DD" w:rsidRPr="00AE2394" w:rsidRDefault="00A57AF2">
            <w:pPr>
              <w:spacing w:line="276" w:lineRule="auto"/>
              <w:jc w:val="center"/>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Colmó</w:t>
            </w:r>
          </w:p>
          <w:p w14:paraId="2D206B89" w14:textId="77777777" w:rsidR="005B68DD" w:rsidRPr="00AE2394" w:rsidRDefault="00A57AF2">
            <w:pPr>
              <w:spacing w:line="276" w:lineRule="auto"/>
              <w:jc w:val="center"/>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 xml:space="preserve">Se informó que el ingreso se ha utilizado para cubrir los gastos que de acuerdo con las necesidades de los servicios requiere el ayuntamiento para su funcionamiento y prestación de servicios públicos. </w:t>
            </w:r>
          </w:p>
          <w:p w14:paraId="4FCA23B0" w14:textId="77777777" w:rsidR="005B68DD" w:rsidRPr="00AE2394" w:rsidRDefault="005B68DD">
            <w:pPr>
              <w:spacing w:line="276" w:lineRule="auto"/>
              <w:jc w:val="center"/>
              <w:rPr>
                <w:rFonts w:ascii="Palatino Linotype" w:eastAsia="Palatino Linotype" w:hAnsi="Palatino Linotype" w:cs="Palatino Linotype"/>
                <w:sz w:val="20"/>
                <w:szCs w:val="20"/>
              </w:rPr>
            </w:pPr>
          </w:p>
          <w:p w14:paraId="18C7E444" w14:textId="77777777" w:rsidR="005B68DD" w:rsidRPr="00AE2394" w:rsidRDefault="00A57AF2">
            <w:pPr>
              <w:spacing w:line="276" w:lineRule="auto"/>
              <w:jc w:val="center"/>
              <w:rPr>
                <w:rFonts w:ascii="Palatino Linotype" w:eastAsia="Palatino Linotype" w:hAnsi="Palatino Linotype" w:cs="Palatino Linotype"/>
                <w:sz w:val="20"/>
                <w:szCs w:val="20"/>
              </w:rPr>
            </w:pPr>
            <w:r w:rsidRPr="00AE2394">
              <w:rPr>
                <w:rFonts w:ascii="Palatino Linotype" w:eastAsia="Palatino Linotype" w:hAnsi="Palatino Linotype" w:cs="Palatino Linotype"/>
                <w:sz w:val="20"/>
                <w:szCs w:val="20"/>
              </w:rPr>
              <w:t xml:space="preserve">No se advierte documento donde se especifique el egreso realizado específicamente por los ingresos de parquímetros. </w:t>
            </w:r>
          </w:p>
          <w:p w14:paraId="478CC990" w14:textId="77777777" w:rsidR="005B68DD" w:rsidRPr="00AE2394" w:rsidRDefault="005B68DD">
            <w:pPr>
              <w:spacing w:line="276" w:lineRule="auto"/>
              <w:jc w:val="center"/>
              <w:rPr>
                <w:rFonts w:ascii="Palatino Linotype" w:eastAsia="Palatino Linotype" w:hAnsi="Palatino Linotype" w:cs="Palatino Linotype"/>
                <w:sz w:val="20"/>
                <w:szCs w:val="20"/>
              </w:rPr>
            </w:pPr>
          </w:p>
          <w:p w14:paraId="7F1D7060" w14:textId="77777777" w:rsidR="005B68DD" w:rsidRPr="00AE2394" w:rsidRDefault="005B68DD">
            <w:pPr>
              <w:spacing w:line="276" w:lineRule="auto"/>
              <w:jc w:val="center"/>
              <w:rPr>
                <w:rFonts w:ascii="Palatino Linotype" w:eastAsia="Palatino Linotype" w:hAnsi="Palatino Linotype" w:cs="Palatino Linotype"/>
                <w:sz w:val="20"/>
                <w:szCs w:val="20"/>
              </w:rPr>
            </w:pPr>
          </w:p>
        </w:tc>
      </w:tr>
    </w:tbl>
    <w:p w14:paraId="1EE3739E"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  </w:t>
      </w:r>
    </w:p>
    <w:p w14:paraId="16D73BBC"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Dicho lo anterior, resulta necesario contextualizar la información solicitada, para ello, es menester traer a colación lo que establece la Ley de Movilidad y Seguridad Vial del Estado de México y sus Municipios que, precisa lo siguiente: </w:t>
      </w:r>
    </w:p>
    <w:p w14:paraId="5A1B4BC6"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6436D8C6" w14:textId="77777777" w:rsidR="005B68DD" w:rsidRPr="00AE2394" w:rsidRDefault="00A57AF2">
      <w:pPr>
        <w:spacing w:line="276" w:lineRule="auto"/>
        <w:ind w:left="567" w:right="579"/>
        <w:jc w:val="both"/>
        <w:rPr>
          <w:rFonts w:ascii="Palatino Linotype" w:eastAsia="Palatino Linotype" w:hAnsi="Palatino Linotype" w:cs="Palatino Linotype"/>
          <w:b/>
          <w:i/>
          <w:sz w:val="20"/>
          <w:szCs w:val="20"/>
          <w:u w:val="single"/>
        </w:rPr>
      </w:pPr>
      <w:r w:rsidRPr="00AE2394">
        <w:rPr>
          <w:rFonts w:ascii="Palatino Linotype" w:eastAsia="Palatino Linotype" w:hAnsi="Palatino Linotype" w:cs="Palatino Linotype"/>
          <w:b/>
          <w:i/>
          <w:sz w:val="22"/>
          <w:szCs w:val="22"/>
        </w:rPr>
        <w:t>Artículo 32.</w:t>
      </w:r>
      <w:r w:rsidRPr="00AE2394">
        <w:rPr>
          <w:rFonts w:ascii="Palatino Linotype" w:eastAsia="Palatino Linotype" w:hAnsi="Palatino Linotype" w:cs="Palatino Linotype"/>
          <w:i/>
          <w:sz w:val="22"/>
          <w:szCs w:val="22"/>
        </w:rPr>
        <w:t xml:space="preserve"> </w:t>
      </w:r>
      <w:r w:rsidRPr="00AE2394">
        <w:rPr>
          <w:rFonts w:ascii="Palatino Linotype" w:eastAsia="Palatino Linotype" w:hAnsi="Palatino Linotype" w:cs="Palatino Linotype"/>
          <w:b/>
          <w:i/>
          <w:sz w:val="22"/>
          <w:szCs w:val="22"/>
        </w:rPr>
        <w:t xml:space="preserve">Objeto del Sistema Estatal. </w:t>
      </w:r>
      <w:r w:rsidRPr="00AE2394">
        <w:rPr>
          <w:rFonts w:ascii="Palatino Linotype" w:eastAsia="Palatino Linotype" w:hAnsi="Palatino Linotype" w:cs="Palatino Linotype"/>
          <w:i/>
          <w:sz w:val="22"/>
          <w:szCs w:val="22"/>
        </w:rPr>
        <w:t xml:space="preserve">El Sistema Estatal de Movilidad y Seguridad Vial es el mecanismo de coordinación entre las autoridades estatales y municipales en materia de movilidad, seguridad vial y transporte, así como con los sectores de la sociedad en la materia, </w:t>
      </w:r>
      <w:r w:rsidRPr="00AE2394">
        <w:rPr>
          <w:rFonts w:ascii="Palatino Linotype" w:eastAsia="Palatino Linotype" w:hAnsi="Palatino Linotype" w:cs="Palatino Linotype"/>
          <w:i/>
          <w:sz w:val="22"/>
          <w:szCs w:val="22"/>
        </w:rPr>
        <w:lastRenderedPageBreak/>
        <w:t>a fin de cumplir el objeto y principios de esta Ley, los</w:t>
      </w:r>
      <w:r w:rsidRPr="00AE2394">
        <w:rPr>
          <w:rFonts w:ascii="Palatino Linotype" w:eastAsia="Palatino Linotype" w:hAnsi="Palatino Linotype" w:cs="Palatino Linotype"/>
          <w:b/>
          <w:i/>
          <w:sz w:val="22"/>
          <w:szCs w:val="22"/>
          <w:u w:val="single"/>
        </w:rPr>
        <w:t xml:space="preserve"> instrumentos de planeación </w:t>
      </w:r>
      <w:r w:rsidRPr="00AE2394">
        <w:rPr>
          <w:rFonts w:ascii="Palatino Linotype" w:eastAsia="Palatino Linotype" w:hAnsi="Palatino Linotype" w:cs="Palatino Linotype"/>
          <w:i/>
          <w:sz w:val="22"/>
          <w:szCs w:val="22"/>
        </w:rPr>
        <w:t xml:space="preserve">y la implementación coordinada de los principios, elementos, acciones, programas, criterios, instrumentos, políticas públicas, servicios y normas que </w:t>
      </w:r>
      <w:r w:rsidRPr="00AE2394">
        <w:rPr>
          <w:rFonts w:ascii="Palatino Linotype" w:eastAsia="Palatino Linotype" w:hAnsi="Palatino Linotype" w:cs="Palatino Linotype"/>
          <w:b/>
          <w:i/>
          <w:sz w:val="22"/>
          <w:szCs w:val="22"/>
          <w:u w:val="single"/>
        </w:rPr>
        <w:t>se establecen con el objetivo de garantizar el derecho a la movilidad de las personas, bienes y mercancías.</w:t>
      </w:r>
    </w:p>
    <w:p w14:paraId="272708B6"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1F85ED5C"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i/>
          <w:sz w:val="22"/>
          <w:szCs w:val="22"/>
        </w:rPr>
        <w:t>Artículo 36.</w:t>
      </w:r>
      <w:r w:rsidRPr="00AE2394">
        <w:rPr>
          <w:rFonts w:ascii="Palatino Linotype" w:eastAsia="Palatino Linotype" w:hAnsi="Palatino Linotype" w:cs="Palatino Linotype"/>
          <w:i/>
          <w:sz w:val="22"/>
          <w:szCs w:val="22"/>
        </w:rPr>
        <w:t xml:space="preserve"> Elementos del Sistema Integral de Movilidad.</w:t>
      </w:r>
    </w:p>
    <w:p w14:paraId="6FEFA195"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w:t>
      </w:r>
    </w:p>
    <w:p w14:paraId="5716D60D"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i/>
          <w:sz w:val="22"/>
          <w:szCs w:val="22"/>
        </w:rPr>
        <w:t>II. Infraestructura para la movilidad:</w:t>
      </w:r>
      <w:r w:rsidRPr="00AE2394">
        <w:rPr>
          <w:rFonts w:ascii="Palatino Linotype" w:eastAsia="Palatino Linotype" w:hAnsi="Palatino Linotype" w:cs="Palatino Linotype"/>
          <w:i/>
          <w:sz w:val="22"/>
          <w:szCs w:val="22"/>
        </w:rPr>
        <w:t xml:space="preserve"> Toda aquella que tienda a mejorar la movilidad en el Estado, permita la movilidad de las personas, la operación y/o confinamiento del servicio de transporte, los centros de transferencia modal, las bahías de ascenso y descenso, bases de taxis, sitios, estaciones, terminales, depósito de vehículos, cobertizos, entre otras:</w:t>
      </w:r>
    </w:p>
    <w:p w14:paraId="221E938E"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a). Elementos incorporados a las vías públicas e infraestructura de movilidad, que no forman parte intrínseca de la misma, como banquetas, guarniciones, calles peatonales, la señalización vial, dispositivos del control del tránsito, iluminación y equipamiento de seguridad, vigilancia y protección civil y publicidad, entre otras; </w:t>
      </w:r>
    </w:p>
    <w:p w14:paraId="0A0F7878"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b). Estacionamientos públicos dentro y fuera de la vía pública; </w:t>
      </w:r>
    </w:p>
    <w:p w14:paraId="0E8D4AD2"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c). Servicios complementarios; </w:t>
      </w:r>
    </w:p>
    <w:p w14:paraId="5D7C08BE"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d). Sistemas de bicicletas compartidas; </w:t>
      </w:r>
    </w:p>
    <w:p w14:paraId="7A685289"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e). Sistemas de vías ciclistas; </w:t>
      </w:r>
    </w:p>
    <w:p w14:paraId="0F335918"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f). Sistemas de bici-estacionamientos; </w:t>
      </w:r>
    </w:p>
    <w:p w14:paraId="3FEDA2FE" w14:textId="77777777" w:rsidR="005B68DD" w:rsidRPr="00AE2394" w:rsidRDefault="00A57AF2">
      <w:pPr>
        <w:spacing w:line="276" w:lineRule="auto"/>
        <w:ind w:left="567" w:right="579"/>
        <w:jc w:val="both"/>
        <w:rPr>
          <w:rFonts w:ascii="Palatino Linotype" w:eastAsia="Palatino Linotype" w:hAnsi="Palatino Linotype" w:cs="Palatino Linotype"/>
          <w:b/>
          <w:i/>
          <w:sz w:val="22"/>
          <w:szCs w:val="22"/>
          <w:u w:val="single"/>
        </w:rPr>
      </w:pPr>
      <w:r w:rsidRPr="00AE2394">
        <w:rPr>
          <w:rFonts w:ascii="Palatino Linotype" w:eastAsia="Palatino Linotype" w:hAnsi="Palatino Linotype" w:cs="Palatino Linotype"/>
          <w:b/>
          <w:i/>
          <w:sz w:val="22"/>
          <w:szCs w:val="22"/>
          <w:u w:val="single"/>
        </w:rPr>
        <w:t xml:space="preserve">g). Parquímetros; </w:t>
      </w:r>
    </w:p>
    <w:p w14:paraId="1A92C9BC"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h). Sistemas de regulación, administración de la demanda, control de flujos peatonales, vehiculares, sistemas electrónicos de pago del servicio de transporte público; i). Sistemas de control vehicular, monitoreo y videograbación, y </w:t>
      </w:r>
    </w:p>
    <w:p w14:paraId="0C51F483" w14:textId="77777777" w:rsidR="005B68DD" w:rsidRPr="00AE2394" w:rsidRDefault="00A57AF2">
      <w:pPr>
        <w:spacing w:line="276" w:lineRule="auto"/>
        <w:ind w:left="567" w:right="579"/>
        <w:jc w:val="both"/>
        <w:rPr>
          <w:rFonts w:ascii="Palatino Linotype" w:eastAsia="Palatino Linotype" w:hAnsi="Palatino Linotype" w:cs="Palatino Linotype"/>
          <w:i/>
          <w:sz w:val="20"/>
          <w:szCs w:val="20"/>
        </w:rPr>
      </w:pPr>
      <w:r w:rsidRPr="00AE2394">
        <w:rPr>
          <w:rFonts w:ascii="Palatino Linotype" w:eastAsia="Palatino Linotype" w:hAnsi="Palatino Linotype" w:cs="Palatino Linotype"/>
          <w:i/>
          <w:sz w:val="22"/>
          <w:szCs w:val="22"/>
        </w:rPr>
        <w:t>j). Sistema de gestión del tiempo para el transporte público.</w:t>
      </w:r>
    </w:p>
    <w:p w14:paraId="3F1DF672"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7B84375F"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En lo que respecta al Sujeto Obligado, el Bando Municipal del Ayuntamiento de Atlacomulco y el Reglamento de Parquímetros señala que: </w:t>
      </w:r>
    </w:p>
    <w:p w14:paraId="1A4D2E0D"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1DEC69FD" w14:textId="77777777" w:rsidR="005B68DD" w:rsidRPr="00AE2394" w:rsidRDefault="00A57AF2">
      <w:pPr>
        <w:spacing w:line="276" w:lineRule="auto"/>
        <w:ind w:left="567" w:right="579"/>
        <w:jc w:val="both"/>
        <w:rPr>
          <w:rFonts w:ascii="Palatino Linotype" w:eastAsia="Palatino Linotype" w:hAnsi="Palatino Linotype" w:cs="Palatino Linotype"/>
          <w:b/>
          <w:i/>
          <w:sz w:val="22"/>
          <w:szCs w:val="22"/>
        </w:rPr>
      </w:pPr>
      <w:r w:rsidRPr="00AE2394">
        <w:rPr>
          <w:rFonts w:ascii="Palatino Linotype" w:eastAsia="Palatino Linotype" w:hAnsi="Palatino Linotype" w:cs="Palatino Linotype"/>
          <w:b/>
          <w:i/>
          <w:sz w:val="22"/>
          <w:szCs w:val="22"/>
        </w:rPr>
        <w:t>Bando Municipal del Ayuntamiento de Atlacomulco</w:t>
      </w:r>
    </w:p>
    <w:p w14:paraId="11AACA68"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i/>
          <w:sz w:val="22"/>
          <w:szCs w:val="22"/>
        </w:rPr>
        <w:t>Artículo 152.</w:t>
      </w:r>
      <w:r w:rsidRPr="00AE2394">
        <w:rPr>
          <w:rFonts w:ascii="Palatino Linotype" w:eastAsia="Palatino Linotype" w:hAnsi="Palatino Linotype" w:cs="Palatino Linotype"/>
          <w:i/>
          <w:sz w:val="22"/>
          <w:szCs w:val="22"/>
        </w:rPr>
        <w:t xml:space="preserve"> El sistema de parquímetros será operado por el Gobierno Municipal, debiendo prevalecer en todo tiempo el interés público sobre el privado, solo el Ayuntamiento podrá imponer las sanciones o restricciones de acuerdo al reglamento respectivo, facultando a los inspectores de parquímetros, para infraccionar y realizar el retiro de la placa a los vehículos </w:t>
      </w:r>
      <w:r w:rsidRPr="00AE2394">
        <w:rPr>
          <w:rFonts w:ascii="Palatino Linotype" w:eastAsia="Palatino Linotype" w:hAnsi="Palatino Linotype" w:cs="Palatino Linotype"/>
          <w:i/>
          <w:sz w:val="22"/>
          <w:szCs w:val="22"/>
        </w:rPr>
        <w:lastRenderedPageBreak/>
        <w:t>automotores estacionados en cajones azules para personas con alguna discapacidad, adultos mayores y personas embarazadas, y cajones de parquímetros.</w:t>
      </w:r>
    </w:p>
    <w:p w14:paraId="6023B3CC" w14:textId="77777777" w:rsidR="005B68DD" w:rsidRPr="00AE2394" w:rsidRDefault="005B68DD">
      <w:pPr>
        <w:spacing w:line="276" w:lineRule="auto"/>
        <w:ind w:left="567" w:right="579"/>
        <w:jc w:val="both"/>
        <w:rPr>
          <w:rFonts w:ascii="Palatino Linotype" w:eastAsia="Palatino Linotype" w:hAnsi="Palatino Linotype" w:cs="Palatino Linotype"/>
          <w:i/>
          <w:sz w:val="22"/>
          <w:szCs w:val="22"/>
        </w:rPr>
      </w:pPr>
    </w:p>
    <w:p w14:paraId="54B585E8" w14:textId="77777777" w:rsidR="005B68DD" w:rsidRPr="00AE2394" w:rsidRDefault="00A57AF2">
      <w:pPr>
        <w:spacing w:line="276" w:lineRule="auto"/>
        <w:ind w:left="567" w:right="579"/>
        <w:jc w:val="both"/>
        <w:rPr>
          <w:rFonts w:ascii="Palatino Linotype" w:eastAsia="Palatino Linotype" w:hAnsi="Palatino Linotype" w:cs="Palatino Linotype"/>
          <w:b/>
          <w:i/>
          <w:sz w:val="22"/>
          <w:szCs w:val="22"/>
        </w:rPr>
      </w:pPr>
      <w:r w:rsidRPr="00AE2394">
        <w:rPr>
          <w:rFonts w:ascii="Palatino Linotype" w:eastAsia="Palatino Linotype" w:hAnsi="Palatino Linotype" w:cs="Palatino Linotype"/>
          <w:b/>
          <w:i/>
          <w:sz w:val="22"/>
          <w:szCs w:val="22"/>
        </w:rPr>
        <w:t>Reglamento de Parquímetros del Ayuntamiento de Atlacomulco</w:t>
      </w:r>
    </w:p>
    <w:p w14:paraId="52DEE53B"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i/>
          <w:sz w:val="22"/>
          <w:szCs w:val="22"/>
        </w:rPr>
        <w:t>Artículo 7.-</w:t>
      </w:r>
      <w:r w:rsidRPr="00AE2394">
        <w:rPr>
          <w:rFonts w:ascii="Palatino Linotype" w:eastAsia="Palatino Linotype" w:hAnsi="Palatino Linotype" w:cs="Palatino Linotype"/>
          <w:i/>
          <w:sz w:val="22"/>
          <w:szCs w:val="22"/>
        </w:rPr>
        <w:t xml:space="preserve"> Corresponde a la Coordinación de Movilidad dependiente de la Comisaría Municipal las siguientes atribuciones: </w:t>
      </w:r>
    </w:p>
    <w:p w14:paraId="4C0CDB01"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1. Organizar administrativa y técnicamente el servicio de estacionamiento regulado por parquímetros mediante oficios, circulares, memorándums y otras disposiciones administrativas que estime pertinentes, previa autorización del Ayuntamiento en Sesión de Cabildo; </w:t>
      </w:r>
    </w:p>
    <w:p w14:paraId="243A95A6"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II. </w:t>
      </w:r>
      <w:r w:rsidRPr="00AE2394">
        <w:rPr>
          <w:rFonts w:ascii="Palatino Linotype" w:eastAsia="Palatino Linotype" w:hAnsi="Palatino Linotype" w:cs="Palatino Linotype"/>
          <w:b/>
          <w:i/>
          <w:sz w:val="22"/>
          <w:szCs w:val="22"/>
          <w:u w:val="single"/>
        </w:rPr>
        <w:t>Coordinarse con la o el Titular del Área de Parquímetros para recabar e ingresar a la Tesorería Municipal</w:t>
      </w:r>
      <w:r w:rsidRPr="00AE2394">
        <w:rPr>
          <w:rFonts w:ascii="Palatino Linotype" w:eastAsia="Palatino Linotype" w:hAnsi="Palatino Linotype" w:cs="Palatino Linotype"/>
          <w:i/>
          <w:sz w:val="22"/>
          <w:szCs w:val="22"/>
        </w:rPr>
        <w:t xml:space="preserve"> los recursos derivados del servicio de estacionamiento regulado por parquímetros y los generados por las infracciones señaladas en el presente Reglamento; y Las demás que resulten de la aplicación del presente Reglamento.</w:t>
      </w:r>
    </w:p>
    <w:p w14:paraId="768BC470" w14:textId="77777777" w:rsidR="005B68DD" w:rsidRPr="00AE2394" w:rsidRDefault="005B68DD">
      <w:pPr>
        <w:spacing w:line="276" w:lineRule="auto"/>
        <w:ind w:left="567" w:right="579"/>
        <w:jc w:val="both"/>
        <w:rPr>
          <w:rFonts w:ascii="Palatino Linotype" w:eastAsia="Palatino Linotype" w:hAnsi="Palatino Linotype" w:cs="Palatino Linotype"/>
          <w:i/>
          <w:sz w:val="22"/>
          <w:szCs w:val="22"/>
        </w:rPr>
      </w:pPr>
    </w:p>
    <w:p w14:paraId="6AFBF34C"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i/>
          <w:sz w:val="22"/>
          <w:szCs w:val="22"/>
        </w:rPr>
        <w:t>Artículo 10.-</w:t>
      </w:r>
      <w:r w:rsidRPr="00AE2394">
        <w:rPr>
          <w:rFonts w:ascii="Palatino Linotype" w:eastAsia="Palatino Linotype" w:hAnsi="Palatino Linotype" w:cs="Palatino Linotype"/>
          <w:i/>
          <w:sz w:val="22"/>
          <w:szCs w:val="22"/>
        </w:rPr>
        <w:t xml:space="preserve"> La o el Titular del Área de Parquímetros tendrá las siguientes funciones:</w:t>
      </w:r>
    </w:p>
    <w:p w14:paraId="5EB19921"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 I. Creación y seguimiento de los planes y programas de acción para el buen funcionamiento del Área de Parquímetros; </w:t>
      </w:r>
    </w:p>
    <w:p w14:paraId="5E4C5DD4"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II Coordinar, programar y ejecutar actividades para el desarrollo laboral del Área de Parquímetros; </w:t>
      </w:r>
    </w:p>
    <w:p w14:paraId="32B87BDD"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III. Asegurar el cumplimiento de los planes, programas y actividades establecidas; </w:t>
      </w:r>
    </w:p>
    <w:p w14:paraId="6A748BB3"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IV. Supervisar las actividades que realizan las diferentes áreas que integran el Área de Parquímetros; </w:t>
      </w:r>
    </w:p>
    <w:p w14:paraId="142037A2"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V. Tener bajo su mando inmediato, a los servidores públicos adscritos al área a su cargo; </w:t>
      </w:r>
    </w:p>
    <w:p w14:paraId="33030104"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VI. Atender a los usuarios del servicio de estacionamiento controlado por parquímetros; </w:t>
      </w:r>
    </w:p>
    <w:p w14:paraId="154AD504"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VII. Imponer por conducto del personal a su cargo las sanciones que se deriven de la aplicación del por infracciones del presente Reglamento en lo correspondiente al sistema de parquímetros; VIII. Asignar a los servidores públicos del Área de Parquímetros, las funciones que considere pertinentes para el buen desarrollo de sus actividades; y </w:t>
      </w:r>
    </w:p>
    <w:p w14:paraId="72DAB6C5"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i/>
          <w:sz w:val="22"/>
          <w:szCs w:val="22"/>
        </w:rPr>
        <w:t xml:space="preserve">IX. Las demás que le designe la o el </w:t>
      </w:r>
      <w:proofErr w:type="gramStart"/>
      <w:r w:rsidRPr="00AE2394">
        <w:rPr>
          <w:rFonts w:ascii="Palatino Linotype" w:eastAsia="Palatino Linotype" w:hAnsi="Palatino Linotype" w:cs="Palatino Linotype"/>
          <w:i/>
          <w:sz w:val="22"/>
          <w:szCs w:val="22"/>
        </w:rPr>
        <w:t>Presidente</w:t>
      </w:r>
      <w:proofErr w:type="gramEnd"/>
      <w:r w:rsidRPr="00AE2394">
        <w:rPr>
          <w:rFonts w:ascii="Palatino Linotype" w:eastAsia="Palatino Linotype" w:hAnsi="Palatino Linotype" w:cs="Palatino Linotype"/>
          <w:i/>
          <w:sz w:val="22"/>
          <w:szCs w:val="22"/>
        </w:rPr>
        <w:t xml:space="preserve"> Municipal.</w:t>
      </w:r>
    </w:p>
    <w:p w14:paraId="4BA285DF" w14:textId="77777777" w:rsidR="005B68DD" w:rsidRPr="00AE2394" w:rsidRDefault="005B68DD">
      <w:pPr>
        <w:spacing w:line="276" w:lineRule="auto"/>
        <w:ind w:left="567" w:right="579"/>
        <w:jc w:val="both"/>
        <w:rPr>
          <w:rFonts w:ascii="Palatino Linotype" w:eastAsia="Palatino Linotype" w:hAnsi="Palatino Linotype" w:cs="Palatino Linotype"/>
          <w:i/>
          <w:sz w:val="22"/>
          <w:szCs w:val="22"/>
        </w:rPr>
      </w:pPr>
    </w:p>
    <w:p w14:paraId="34F6A1D7" w14:textId="77777777" w:rsidR="005B68DD" w:rsidRPr="00AE2394" w:rsidRDefault="00A57AF2">
      <w:pPr>
        <w:spacing w:line="276" w:lineRule="auto"/>
        <w:ind w:left="567" w:right="579"/>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i/>
          <w:sz w:val="22"/>
          <w:szCs w:val="22"/>
        </w:rPr>
        <w:t>Artículo 22.-</w:t>
      </w:r>
      <w:r w:rsidRPr="00AE2394">
        <w:rPr>
          <w:rFonts w:ascii="Palatino Linotype" w:eastAsia="Palatino Linotype" w:hAnsi="Palatino Linotype" w:cs="Palatino Linotype"/>
          <w:i/>
          <w:sz w:val="22"/>
          <w:szCs w:val="22"/>
        </w:rPr>
        <w:t xml:space="preserve"> La extracción del dinero depositado en las alcancías de los parquímetros, por el uso de estacionamiento en la vía pública, se hará de manera conjunta y coordinada entre la o el Titular del Área de Parquímetros, </w:t>
      </w:r>
      <w:r w:rsidRPr="00AE2394">
        <w:rPr>
          <w:rFonts w:ascii="Palatino Linotype" w:eastAsia="Palatino Linotype" w:hAnsi="Palatino Linotype" w:cs="Palatino Linotype"/>
          <w:b/>
          <w:i/>
          <w:sz w:val="22"/>
          <w:szCs w:val="22"/>
          <w:u w:val="single"/>
        </w:rPr>
        <w:t>el personal autorizado por la Tesorería Municipal,</w:t>
      </w:r>
      <w:r w:rsidRPr="00AE2394">
        <w:rPr>
          <w:rFonts w:ascii="Palatino Linotype" w:eastAsia="Palatino Linotype" w:hAnsi="Palatino Linotype" w:cs="Palatino Linotype"/>
          <w:i/>
          <w:sz w:val="22"/>
          <w:szCs w:val="22"/>
        </w:rPr>
        <w:t xml:space="preserve"> Contraloría Municipal y algún integrante de la Comisión Edilicia Transitoria de Movilidad, los cuales serán cuatro días por semana y a partir de las 09:00 horas y hasta concluir la </w:t>
      </w:r>
      <w:r w:rsidRPr="00AE2394">
        <w:rPr>
          <w:rFonts w:ascii="Palatino Linotype" w:eastAsia="Palatino Linotype" w:hAnsi="Palatino Linotype" w:cs="Palatino Linotype"/>
          <w:i/>
          <w:sz w:val="22"/>
          <w:szCs w:val="22"/>
        </w:rPr>
        <w:lastRenderedPageBreak/>
        <w:t>recaudación, realizando el conteo del recurso recaudado en las oficinas Tesorería Municipal, resguardando en dichas oficinas el carro recaudador o en su defecto en el área de fiscalización.</w:t>
      </w:r>
    </w:p>
    <w:p w14:paraId="74AB892C"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73BA558B"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De lo anterior, se colige que el Sujeto Obligado, cuenta con las competencias, facultades y atribuciones para conocer, administrar y generar la información relacionada con los procedimientos de adjudicación llevados a cabo por el Municipio.</w:t>
      </w:r>
    </w:p>
    <w:p w14:paraId="4E709960"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50B8D6A9" w14:textId="77777777" w:rsidR="005B68DD" w:rsidRPr="00AE2394" w:rsidRDefault="00A57AF2">
      <w:pPr>
        <w:spacing w:line="360" w:lineRule="auto"/>
        <w:ind w:right="-93"/>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Correlativo a lo anterior, es necesario precisar que de las constancias que obran en el expediente se logra vislumbrar que el Sujeto Obligado, turnó la solicitud de información a la unidad administrativa competente, a saber la Tesorería Municipal y el Coordinador de Parquímetros,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E0FE29E" w14:textId="77777777" w:rsidR="005B68DD" w:rsidRPr="00AE2394" w:rsidRDefault="005B68DD">
      <w:pPr>
        <w:spacing w:line="360" w:lineRule="auto"/>
        <w:ind w:right="-93"/>
        <w:jc w:val="both"/>
        <w:rPr>
          <w:rFonts w:ascii="Palatino Linotype" w:eastAsia="Palatino Linotype" w:hAnsi="Palatino Linotype" w:cs="Palatino Linotype"/>
          <w:sz w:val="22"/>
          <w:szCs w:val="22"/>
        </w:rPr>
      </w:pPr>
    </w:p>
    <w:p w14:paraId="22759D58" w14:textId="77777777" w:rsidR="005B68DD" w:rsidRPr="00AE2394" w:rsidRDefault="00A57AF2">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521F98F" w14:textId="77777777" w:rsidR="005B68DD" w:rsidRPr="00AE2394" w:rsidRDefault="005B68DD">
      <w:pPr>
        <w:spacing w:line="360" w:lineRule="auto"/>
        <w:ind w:left="567" w:right="560"/>
        <w:jc w:val="both"/>
        <w:rPr>
          <w:rFonts w:ascii="Palatino Linotype" w:eastAsia="Palatino Linotype" w:hAnsi="Palatino Linotype" w:cs="Palatino Linotype"/>
          <w:sz w:val="22"/>
          <w:szCs w:val="22"/>
        </w:rPr>
      </w:pPr>
    </w:p>
    <w:p w14:paraId="536FAC74" w14:textId="77777777" w:rsidR="005B68DD" w:rsidRPr="00AE2394" w:rsidRDefault="00A57AF2">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E37BF3F"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3BB0BD50"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w:t>
      </w:r>
      <w:r w:rsidRPr="00AE2394">
        <w:rPr>
          <w:rFonts w:ascii="Palatino Linotype" w:eastAsia="Palatino Linotype" w:hAnsi="Palatino Linotype" w:cs="Palatino Linotype"/>
          <w:sz w:val="22"/>
          <w:szCs w:val="22"/>
        </w:rPr>
        <w:lastRenderedPageBreak/>
        <w:t xml:space="preserve">la Información Pública del Estado de México y Municipios, al gestionar el requerimiento de información a las áreas competentes para conocer de lo peticionado. </w:t>
      </w:r>
    </w:p>
    <w:p w14:paraId="065B6F6C" w14:textId="77777777" w:rsidR="005B68DD" w:rsidRPr="00AE2394" w:rsidRDefault="005B68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CCE2F0A" w14:textId="77777777" w:rsidR="005B68DD" w:rsidRPr="00AE2394" w:rsidRDefault="00A57AF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Ahora bien, en cuanto hace al análisis de los motivos de inconformidad hechos valer por la parte Recurrente, en lo que respecta a los requerimientos relacionados con el </w:t>
      </w:r>
      <w:r w:rsidRPr="00AE2394">
        <w:rPr>
          <w:rFonts w:ascii="Palatino Linotype" w:eastAsia="Palatino Linotype" w:hAnsi="Palatino Linotype" w:cs="Palatino Linotype"/>
          <w:b/>
          <w:sz w:val="22"/>
          <w:szCs w:val="22"/>
        </w:rPr>
        <w:t>número de parquímetros y su ubicación</w:t>
      </w:r>
      <w:r w:rsidRPr="00AE2394">
        <w:rPr>
          <w:rFonts w:ascii="Palatino Linotype" w:eastAsia="Palatino Linotype" w:hAnsi="Palatino Linotype" w:cs="Palatino Linotype"/>
          <w:sz w:val="22"/>
          <w:szCs w:val="22"/>
        </w:rPr>
        <w:t xml:space="preserve">, el servidor público habilitado informó en número de parquímetros por ubicación y el número total de parquímetros, tal como se observa a continuación: </w:t>
      </w:r>
    </w:p>
    <w:p w14:paraId="0CEF844D" w14:textId="77777777" w:rsidR="005B68DD" w:rsidRPr="00AE2394" w:rsidRDefault="005B68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BB34694" w14:textId="77777777" w:rsidR="005B68DD" w:rsidRPr="00AE2394" w:rsidRDefault="00A57AF2">
      <w:pPr>
        <w:pBdr>
          <w:top w:val="nil"/>
          <w:left w:val="nil"/>
          <w:bottom w:val="nil"/>
          <w:right w:val="nil"/>
          <w:between w:val="nil"/>
        </w:pBdr>
        <w:spacing w:line="360" w:lineRule="auto"/>
        <w:ind w:right="49"/>
        <w:jc w:val="center"/>
        <w:rPr>
          <w:rFonts w:ascii="Palatino Linotype" w:eastAsia="Palatino Linotype" w:hAnsi="Palatino Linotype" w:cs="Palatino Linotype"/>
          <w:sz w:val="22"/>
          <w:szCs w:val="22"/>
        </w:rPr>
      </w:pPr>
      <w:r w:rsidRPr="00AE2394">
        <w:rPr>
          <w:rFonts w:ascii="Palatino Linotype" w:eastAsia="Palatino Linotype" w:hAnsi="Palatino Linotype" w:cs="Palatino Linotype"/>
          <w:noProof/>
          <w:sz w:val="22"/>
          <w:szCs w:val="22"/>
          <w:lang w:val="es-MX"/>
        </w:rPr>
        <w:drawing>
          <wp:inline distT="0" distB="0" distL="0" distR="0" wp14:anchorId="3572C11E" wp14:editId="0E676269">
            <wp:extent cx="3469002" cy="3958646"/>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469002" cy="3958646"/>
                    </a:xfrm>
                    <a:prstGeom prst="rect">
                      <a:avLst/>
                    </a:prstGeom>
                    <a:ln/>
                  </pic:spPr>
                </pic:pic>
              </a:graphicData>
            </a:graphic>
          </wp:inline>
        </w:drawing>
      </w:r>
      <w:r w:rsidRPr="00AE2394">
        <w:rPr>
          <w:noProof/>
          <w:lang w:val="es-MX"/>
        </w:rPr>
        <mc:AlternateContent>
          <mc:Choice Requires="wps">
            <w:drawing>
              <wp:anchor distT="0" distB="0" distL="114300" distR="114300" simplePos="0" relativeHeight="251658240" behindDoc="0" locked="0" layoutInCell="1" hidden="0" allowOverlap="1" wp14:anchorId="2F3706B3" wp14:editId="6D08CF7A">
                <wp:simplePos x="0" y="0"/>
                <wp:positionH relativeFrom="column">
                  <wp:posOffset>3556000</wp:posOffset>
                </wp:positionH>
                <wp:positionV relativeFrom="paragraph">
                  <wp:posOffset>381000</wp:posOffset>
                </wp:positionV>
                <wp:extent cx="1066800" cy="3552825"/>
                <wp:effectExtent l="0" t="0" r="0" b="0"/>
                <wp:wrapNone/>
                <wp:docPr id="13" name="Rectángulo 13"/>
                <wp:cNvGraphicFramePr/>
                <a:graphic xmlns:a="http://schemas.openxmlformats.org/drawingml/2006/main">
                  <a:graphicData uri="http://schemas.microsoft.com/office/word/2010/wordprocessingShape">
                    <wps:wsp>
                      <wps:cNvSpPr/>
                      <wps:spPr>
                        <a:xfrm>
                          <a:off x="4831650" y="2022638"/>
                          <a:ext cx="1028700" cy="3514725"/>
                        </a:xfrm>
                        <a:prstGeom prst="rect">
                          <a:avLst/>
                        </a:prstGeom>
                        <a:noFill/>
                        <a:ln w="38100" cap="flat" cmpd="sng">
                          <a:solidFill>
                            <a:srgbClr val="FF0000"/>
                          </a:solidFill>
                          <a:prstDash val="solid"/>
                          <a:round/>
                          <a:headEnd type="none" w="sm" len="sm"/>
                          <a:tailEnd type="none" w="sm" len="sm"/>
                        </a:ln>
                      </wps:spPr>
                      <wps:txbx>
                        <w:txbxContent>
                          <w:p w14:paraId="440794F4" w14:textId="77777777" w:rsidR="00925643" w:rsidRDefault="00925643">
                            <w:pPr>
                              <w:textDirection w:val="btLr"/>
                            </w:pPr>
                          </w:p>
                        </w:txbxContent>
                      </wps:txbx>
                      <wps:bodyPr spcFirstLastPara="1" wrap="square" lIns="91425" tIns="91425" rIns="91425" bIns="91425" anchor="ctr" anchorCtr="0">
                        <a:noAutofit/>
                      </wps:bodyPr>
                    </wps:wsp>
                  </a:graphicData>
                </a:graphic>
              </wp:anchor>
            </w:drawing>
          </mc:Choice>
          <mc:Fallback>
            <w:pict>
              <v:rect w14:anchorId="2F3706B3" id="Rectángulo 13" o:spid="_x0000_s1026" style="position:absolute;left:0;text-align:left;margin-left:280pt;margin-top:30pt;width:84pt;height:279.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" filled="f" strokecolor="red" strokeweight="3pt">
                <v:stroke startarrowwidth="narrow" startarrowlength="short" endarrowwidth="narrow" endarrowlength="short" joinstyle="round"/>
                <v:textbox inset="2.53958mm,2.53958mm,2.53958mm,2.53958mm">
                  <w:txbxContent>
                    <w:p w14:paraId="440794F4" w14:textId="77777777" w:rsidR="00925643" w:rsidRDefault="00925643">
                      <w:pPr>
                        <w:textDirection w:val="btLr"/>
                      </w:pPr>
                    </w:p>
                  </w:txbxContent>
                </v:textbox>
              </v:rect>
            </w:pict>
          </mc:Fallback>
        </mc:AlternateContent>
      </w:r>
      <w:r w:rsidRPr="00AE2394">
        <w:rPr>
          <w:noProof/>
          <w:lang w:val="es-MX"/>
        </w:rPr>
        <mc:AlternateContent>
          <mc:Choice Requires="wps">
            <w:drawing>
              <wp:anchor distT="0" distB="0" distL="114300" distR="114300" simplePos="0" relativeHeight="251659264" behindDoc="0" locked="0" layoutInCell="1" hidden="0" allowOverlap="1" wp14:anchorId="060C5BFB" wp14:editId="23316BF3">
                <wp:simplePos x="0" y="0"/>
                <wp:positionH relativeFrom="column">
                  <wp:posOffset>1905000</wp:posOffset>
                </wp:positionH>
                <wp:positionV relativeFrom="paragraph">
                  <wp:posOffset>355600</wp:posOffset>
                </wp:positionV>
                <wp:extent cx="1238250" cy="3429000"/>
                <wp:effectExtent l="0" t="0" r="0" b="0"/>
                <wp:wrapNone/>
                <wp:docPr id="14" name="Rectángulo 14"/>
                <wp:cNvGraphicFramePr/>
                <a:graphic xmlns:a="http://schemas.openxmlformats.org/drawingml/2006/main">
                  <a:graphicData uri="http://schemas.microsoft.com/office/word/2010/wordprocessingShape">
                    <wps:wsp>
                      <wps:cNvSpPr/>
                      <wps:spPr>
                        <a:xfrm>
                          <a:off x="4745925" y="2084550"/>
                          <a:ext cx="1200150" cy="3390900"/>
                        </a:xfrm>
                        <a:prstGeom prst="rect">
                          <a:avLst/>
                        </a:prstGeom>
                        <a:noFill/>
                        <a:ln w="38100" cap="flat" cmpd="sng">
                          <a:solidFill>
                            <a:srgbClr val="FF0000"/>
                          </a:solidFill>
                          <a:prstDash val="solid"/>
                          <a:round/>
                          <a:headEnd type="none" w="sm" len="sm"/>
                          <a:tailEnd type="none" w="sm" len="sm"/>
                        </a:ln>
                        <a:effectLst>
                          <a:outerShdw blurRad="40000" dist="23000" dir="5400000" rotWithShape="0">
                            <a:srgbClr val="000000">
                              <a:alpha val="34901"/>
                            </a:srgbClr>
                          </a:outerShdw>
                        </a:effectLst>
                      </wps:spPr>
                      <wps:txbx>
                        <w:txbxContent>
                          <w:p w14:paraId="423C3CE1" w14:textId="77777777" w:rsidR="00925643" w:rsidRDefault="00925643">
                            <w:pPr>
                              <w:textDirection w:val="btLr"/>
                            </w:pPr>
                          </w:p>
                        </w:txbxContent>
                      </wps:txbx>
                      <wps:bodyPr spcFirstLastPara="1" wrap="square" lIns="91425" tIns="91425" rIns="91425" bIns="91425" anchor="ctr" anchorCtr="0">
                        <a:noAutofit/>
                      </wps:bodyPr>
                    </wps:wsp>
                  </a:graphicData>
                </a:graphic>
              </wp:anchor>
            </w:drawing>
          </mc:Choice>
          <mc:Fallback>
            <w:pict>
              <v:rect w14:anchorId="060C5BFB" id="Rectángulo 14" o:spid="_x0000_s1027" style="position:absolute;left:0;text-align:left;margin-left:150pt;margin-top:28pt;width:97.5pt;height:27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" filled="f" strokecolor="red" strokeweight="3pt">
                <v:stroke startarrowwidth="narrow" startarrowlength="short" endarrowwidth="narrow" endarrowlength="short" joinstyle="round"/>
                <v:shadow on="t" color="black" opacity="22872f" origin=",.5" offset="0,.63889mm"/>
                <v:textbox inset="2.53958mm,2.53958mm,2.53958mm,2.53958mm">
                  <w:txbxContent>
                    <w:p w14:paraId="423C3CE1" w14:textId="77777777" w:rsidR="00925643" w:rsidRDefault="00925643">
                      <w:pPr>
                        <w:textDirection w:val="btLr"/>
                      </w:pPr>
                    </w:p>
                  </w:txbxContent>
                </v:textbox>
              </v:rect>
            </w:pict>
          </mc:Fallback>
        </mc:AlternateContent>
      </w:r>
    </w:p>
    <w:p w14:paraId="07A775FC" w14:textId="77777777" w:rsidR="005B68DD" w:rsidRPr="00AE2394" w:rsidRDefault="005B68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E65EC56" w14:textId="77777777" w:rsidR="005B68DD" w:rsidRPr="00AE2394" w:rsidRDefault="00A57AF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E2394">
        <w:rPr>
          <w:rFonts w:ascii="Palatino Linotype" w:eastAsia="Palatino Linotype" w:hAnsi="Palatino Linotype" w:cs="Palatino Linotype"/>
          <w:sz w:val="22"/>
          <w:szCs w:val="22"/>
        </w:rPr>
        <w:t xml:space="preserve">Por lo que, estos requerimientos se tienen por </w:t>
      </w:r>
      <w:r w:rsidRPr="00AE2394">
        <w:rPr>
          <w:rFonts w:ascii="Palatino Linotype" w:eastAsia="Palatino Linotype" w:hAnsi="Palatino Linotype" w:cs="Palatino Linotype"/>
          <w:b/>
          <w:sz w:val="22"/>
          <w:szCs w:val="22"/>
        </w:rPr>
        <w:t xml:space="preserve">colmado. </w:t>
      </w:r>
    </w:p>
    <w:p w14:paraId="67286406" w14:textId="77777777" w:rsidR="005B68DD" w:rsidRPr="00AE2394" w:rsidRDefault="005B68D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1DEFA506" w14:textId="53B9397D" w:rsidR="00924DAC" w:rsidRPr="00AE2394" w:rsidRDefault="00A57AF2">
      <w:pPr>
        <w:pBdr>
          <w:top w:val="nil"/>
          <w:left w:val="nil"/>
          <w:bottom w:val="nil"/>
          <w:right w:val="nil"/>
          <w:between w:val="nil"/>
        </w:pBdr>
        <w:spacing w:line="360" w:lineRule="auto"/>
        <w:ind w:right="49"/>
        <w:jc w:val="both"/>
        <w:rPr>
          <w:rFonts w:ascii="Palatino Linotype" w:hAnsi="Palatino Linotype"/>
          <w:b/>
          <w:sz w:val="22"/>
          <w:szCs w:val="22"/>
        </w:rPr>
      </w:pPr>
      <w:r w:rsidRPr="00AE2394">
        <w:rPr>
          <w:rFonts w:ascii="Palatino Linotype" w:eastAsia="Palatino Linotype" w:hAnsi="Palatino Linotype" w:cs="Palatino Linotype"/>
          <w:sz w:val="22"/>
          <w:szCs w:val="22"/>
        </w:rPr>
        <w:t xml:space="preserve">En lo que corresponde al requerimiento relacionado con </w:t>
      </w:r>
      <w:r w:rsidR="00924DAC" w:rsidRPr="00AE2394">
        <w:rPr>
          <w:rFonts w:ascii="Palatino Linotype" w:hAnsi="Palatino Linotype"/>
          <w:b/>
          <w:sz w:val="22"/>
          <w:szCs w:val="22"/>
        </w:rPr>
        <w:t xml:space="preserve">ingresos de enero </w:t>
      </w:r>
      <w:r w:rsidR="008A4FDF" w:rsidRPr="00AE2394">
        <w:rPr>
          <w:rFonts w:ascii="Palatino Linotype" w:hAnsi="Palatino Linotype"/>
          <w:b/>
          <w:sz w:val="22"/>
          <w:szCs w:val="22"/>
        </w:rPr>
        <w:t>de dos mil veinticinco</w:t>
      </w:r>
      <w:r w:rsidR="008A4FDF" w:rsidRPr="00AE2394">
        <w:rPr>
          <w:rFonts w:ascii="Palatino Linotype" w:hAnsi="Palatino Linotype"/>
          <w:sz w:val="22"/>
          <w:szCs w:val="22"/>
        </w:rPr>
        <w:t xml:space="preserve">, en respuesta, el </w:t>
      </w:r>
      <w:r w:rsidR="008A4FDF" w:rsidRPr="00AE2394">
        <w:rPr>
          <w:rFonts w:ascii="Palatino Linotype" w:eastAsia="Palatino Linotype" w:hAnsi="Palatino Linotype" w:cs="Palatino Linotype"/>
          <w:sz w:val="22"/>
          <w:szCs w:val="22"/>
        </w:rPr>
        <w:t xml:space="preserve">Tesorero Municipal refirió que los ingresos de enero de dos mil </w:t>
      </w:r>
      <w:r w:rsidR="008A4FDF" w:rsidRPr="00AE2394">
        <w:rPr>
          <w:rFonts w:ascii="Palatino Linotype" w:eastAsia="Palatino Linotype" w:hAnsi="Palatino Linotype" w:cs="Palatino Linotype"/>
          <w:sz w:val="22"/>
          <w:szCs w:val="22"/>
        </w:rPr>
        <w:lastRenderedPageBreak/>
        <w:t xml:space="preserve">veinticinco por concepto de parquímetros fue de $210,847.00, por lo que, este punto de la solicitud se tiene por </w:t>
      </w:r>
      <w:r w:rsidR="008A4FDF" w:rsidRPr="00AE2394">
        <w:rPr>
          <w:rFonts w:ascii="Palatino Linotype" w:eastAsia="Palatino Linotype" w:hAnsi="Palatino Linotype" w:cs="Palatino Linotype"/>
          <w:b/>
          <w:sz w:val="22"/>
          <w:szCs w:val="22"/>
        </w:rPr>
        <w:t xml:space="preserve">colmado. </w:t>
      </w:r>
    </w:p>
    <w:p w14:paraId="23EBC502" w14:textId="77777777" w:rsidR="00924DAC" w:rsidRPr="00AE2394" w:rsidRDefault="00924D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39230A5" w14:textId="238D835C" w:rsidR="005B68DD" w:rsidRPr="00AE2394" w:rsidRDefault="00924D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Respecto al punto de la solicitud relativo a </w:t>
      </w:r>
      <w:r w:rsidR="00A57AF2" w:rsidRPr="00AE2394">
        <w:rPr>
          <w:rFonts w:ascii="Palatino Linotype" w:eastAsia="Palatino Linotype" w:hAnsi="Palatino Linotype" w:cs="Palatino Linotype"/>
          <w:b/>
          <w:sz w:val="22"/>
          <w:szCs w:val="22"/>
        </w:rPr>
        <w:t>en qué se ocupa el dinero y en qué se emplea</w:t>
      </w:r>
      <w:r w:rsidR="00A57AF2" w:rsidRPr="00AE2394">
        <w:rPr>
          <w:rFonts w:ascii="Palatino Linotype" w:eastAsia="Palatino Linotype" w:hAnsi="Palatino Linotype" w:cs="Palatino Linotype"/>
          <w:sz w:val="22"/>
          <w:szCs w:val="22"/>
        </w:rPr>
        <w:t xml:space="preserve">, el servidor público habilitado competente, refirió que, </w:t>
      </w:r>
      <w:r w:rsidR="00A57AF2" w:rsidRPr="00AE2394">
        <w:rPr>
          <w:rFonts w:ascii="Palatino Linotype" w:eastAsia="Palatino Linotype" w:hAnsi="Palatino Linotype" w:cs="Palatino Linotype"/>
          <w:b/>
          <w:sz w:val="22"/>
          <w:szCs w:val="22"/>
        </w:rPr>
        <w:t>no se podían identificar los gastos relacionados con la recaudación de parquímetros</w:t>
      </w:r>
      <w:r w:rsidR="00A57AF2" w:rsidRPr="00AE2394">
        <w:rPr>
          <w:rFonts w:ascii="Palatino Linotype" w:eastAsia="Palatino Linotype" w:hAnsi="Palatino Linotype" w:cs="Palatino Linotype"/>
          <w:sz w:val="22"/>
          <w:szCs w:val="22"/>
        </w:rPr>
        <w:t xml:space="preserve">, ya que se han estado cubriendo los gastos que de acuerdo con la necesidad de los servicios requiere el ayuntamiento para su funcionamiento y prestación de servicios públicos, como lo establecen los artículos 7 y 8 del Código Financiero del Estado de México y Municipios. </w:t>
      </w:r>
    </w:p>
    <w:p w14:paraId="6A60E415" w14:textId="77777777" w:rsidR="005B68DD" w:rsidRPr="00AE2394" w:rsidRDefault="005B68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738F291" w14:textId="071F9A16" w:rsidR="00924DAC" w:rsidRPr="00AE2394" w:rsidRDefault="00A57AF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E2394">
        <w:rPr>
          <w:rFonts w:ascii="Palatino Linotype" w:eastAsia="Palatino Linotype" w:hAnsi="Palatino Linotype" w:cs="Palatino Linotype"/>
          <w:sz w:val="22"/>
          <w:szCs w:val="22"/>
        </w:rPr>
        <w:t xml:space="preserve">Por lo que, se considera que, este requerimiento se tiene por </w:t>
      </w:r>
      <w:r w:rsidRPr="00AE2394">
        <w:rPr>
          <w:rFonts w:ascii="Palatino Linotype" w:eastAsia="Palatino Linotype" w:hAnsi="Palatino Linotype" w:cs="Palatino Linotype"/>
          <w:b/>
          <w:sz w:val="22"/>
          <w:szCs w:val="22"/>
        </w:rPr>
        <w:t>colmado</w:t>
      </w:r>
      <w:r w:rsidR="00924DAC" w:rsidRPr="00AE2394">
        <w:rPr>
          <w:rFonts w:ascii="Palatino Linotype" w:eastAsia="Palatino Linotype" w:hAnsi="Palatino Linotype" w:cs="Palatino Linotype"/>
          <w:b/>
          <w:sz w:val="22"/>
          <w:szCs w:val="22"/>
        </w:rPr>
        <w:t>, ya que en efecto no existe fuente obligacional para identificar específicamente los conceptos en los que se gastan los ingresos provenientes de los parquímetros</w:t>
      </w:r>
      <w:r w:rsidR="005B66A6" w:rsidRPr="00AE2394">
        <w:rPr>
          <w:rFonts w:ascii="Palatino Linotype" w:eastAsia="Palatino Linotype" w:hAnsi="Palatino Linotype" w:cs="Palatino Linotype"/>
          <w:b/>
          <w:sz w:val="22"/>
          <w:szCs w:val="22"/>
        </w:rPr>
        <w:t xml:space="preserve"> y por lo tanto tampoco obra en sus archivos documento que justifique el gasto de los ingresos por concepto de parquímetros. </w:t>
      </w:r>
    </w:p>
    <w:p w14:paraId="6DC87648" w14:textId="77777777" w:rsidR="008A4FDF" w:rsidRPr="00AE2394" w:rsidRDefault="008A4FD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367440CA" w14:textId="77777777"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En lo que compete al </w:t>
      </w:r>
      <w:r w:rsidRPr="00AE2394">
        <w:rPr>
          <w:rFonts w:ascii="Palatino Linotype" w:eastAsia="Palatino Linotype" w:hAnsi="Palatino Linotype" w:cs="Palatino Linotype"/>
          <w:b/>
          <w:sz w:val="22"/>
          <w:szCs w:val="22"/>
        </w:rPr>
        <w:t>documento justificación del dinero proveniente de parquímetros</w:t>
      </w:r>
      <w:r w:rsidRPr="00AE2394">
        <w:rPr>
          <w:rFonts w:ascii="Palatino Linotype" w:eastAsia="Palatino Linotype" w:hAnsi="Palatino Linotype" w:cs="Palatino Linotype"/>
          <w:sz w:val="22"/>
          <w:szCs w:val="22"/>
        </w:rPr>
        <w:t>, en respuesta, el Tesorero Municipal refirió que no se contaba con cifras definitivas ejercidas en las partidas del gasto, toda vez que se encuentran en proceso de integración el Informe Mensual de Enero de 2025, el cual es presentado en el Primer Informe Trimestral de 2025 ante el Órgano Superior de Fiscalización del Estado de México conforme a lo establecido en el artículo 350 del Código Financiero del Estado de México y Municipios.</w:t>
      </w:r>
    </w:p>
    <w:p w14:paraId="24E644C6" w14:textId="77777777"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0E92D08" w14:textId="77777777"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En ese sentido, es menester destacar que, de conformidad con el Código Financiero del Estado de México y Municipios, se entiende como ingresos a aquellos ingresos que se constituyen por impuestos, </w:t>
      </w:r>
      <w:r w:rsidRPr="00AE2394">
        <w:rPr>
          <w:rFonts w:ascii="Palatino Linotype" w:eastAsia="Palatino Linotype" w:hAnsi="Palatino Linotype" w:cs="Palatino Linotype"/>
          <w:b/>
          <w:sz w:val="22"/>
          <w:szCs w:val="22"/>
          <w:u w:val="single"/>
        </w:rPr>
        <w:t>derechos</w:t>
      </w:r>
      <w:r w:rsidRPr="00AE2394">
        <w:rPr>
          <w:rFonts w:ascii="Palatino Linotype" w:eastAsia="Palatino Linotype" w:hAnsi="Palatino Linotype" w:cs="Palatino Linotype"/>
          <w:sz w:val="22"/>
          <w:szCs w:val="22"/>
        </w:rPr>
        <w:t>, aprovechamientos y aquellos derivados de apoyos federales o derivados del Sistema Nacional de Coordinación Fiscal, tal como se observa a continuación</w:t>
      </w:r>
    </w:p>
    <w:p w14:paraId="7C716238" w14:textId="77777777"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BA80DF6" w14:textId="77777777" w:rsidR="004D2C07" w:rsidRPr="00AE2394" w:rsidRDefault="004D2C07"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88F020E" w14:textId="1B0439F8" w:rsidR="008A4FDF" w:rsidRPr="00AE2394" w:rsidRDefault="008A4FDF" w:rsidP="004D2C07">
      <w:pPr>
        <w:pBdr>
          <w:top w:val="nil"/>
          <w:left w:val="nil"/>
          <w:bottom w:val="nil"/>
          <w:right w:val="nil"/>
          <w:between w:val="nil"/>
        </w:pBdr>
        <w:spacing w:line="276" w:lineRule="auto"/>
        <w:ind w:left="567" w:right="579"/>
        <w:jc w:val="center"/>
        <w:rPr>
          <w:rFonts w:ascii="Palatino Linotype" w:eastAsia="Palatino Linotype" w:hAnsi="Palatino Linotype" w:cs="Palatino Linotype"/>
          <w:b/>
          <w:i/>
          <w:sz w:val="22"/>
          <w:szCs w:val="22"/>
        </w:rPr>
      </w:pPr>
      <w:r w:rsidRPr="00AE2394">
        <w:rPr>
          <w:rFonts w:ascii="Palatino Linotype" w:eastAsia="Palatino Linotype" w:hAnsi="Palatino Linotype" w:cs="Palatino Linotype"/>
          <w:b/>
          <w:i/>
          <w:sz w:val="22"/>
          <w:szCs w:val="22"/>
        </w:rPr>
        <w:lastRenderedPageBreak/>
        <w:t>Código Financiero de</w:t>
      </w:r>
      <w:r w:rsidR="004D2C07" w:rsidRPr="00AE2394">
        <w:rPr>
          <w:rFonts w:ascii="Palatino Linotype" w:eastAsia="Palatino Linotype" w:hAnsi="Palatino Linotype" w:cs="Palatino Linotype"/>
          <w:b/>
          <w:i/>
          <w:sz w:val="22"/>
          <w:szCs w:val="22"/>
        </w:rPr>
        <w:t>l Estado de México y Municipios</w:t>
      </w:r>
    </w:p>
    <w:p w14:paraId="114E96AD" w14:textId="77777777" w:rsidR="008A4FDF" w:rsidRPr="00AE2394" w:rsidRDefault="008A4FDF" w:rsidP="008A4FDF">
      <w:pPr>
        <w:pBdr>
          <w:top w:val="nil"/>
          <w:left w:val="nil"/>
          <w:bottom w:val="nil"/>
          <w:right w:val="nil"/>
          <w:between w:val="nil"/>
        </w:pBdr>
        <w:spacing w:line="276" w:lineRule="auto"/>
        <w:ind w:left="567" w:right="579"/>
        <w:jc w:val="center"/>
        <w:rPr>
          <w:rFonts w:ascii="Palatino Linotype" w:hAnsi="Palatino Linotype"/>
          <w:i/>
          <w:sz w:val="22"/>
        </w:rPr>
      </w:pPr>
      <w:r w:rsidRPr="00AE2394">
        <w:rPr>
          <w:rFonts w:ascii="Palatino Linotype" w:hAnsi="Palatino Linotype"/>
          <w:i/>
          <w:sz w:val="22"/>
        </w:rPr>
        <w:t>…</w:t>
      </w:r>
    </w:p>
    <w:p w14:paraId="0EF7182F" w14:textId="77777777" w:rsidR="008A4FDF" w:rsidRPr="00AE2394" w:rsidRDefault="008A4FDF" w:rsidP="008A4FDF">
      <w:pPr>
        <w:pBdr>
          <w:top w:val="nil"/>
          <w:left w:val="nil"/>
          <w:bottom w:val="nil"/>
          <w:right w:val="nil"/>
          <w:between w:val="nil"/>
        </w:pBdr>
        <w:spacing w:line="276" w:lineRule="auto"/>
        <w:ind w:left="567" w:right="579"/>
        <w:jc w:val="both"/>
        <w:rPr>
          <w:rFonts w:ascii="Palatino Linotype" w:hAnsi="Palatino Linotype"/>
          <w:b/>
          <w:i/>
          <w:sz w:val="22"/>
          <w:u w:val="single"/>
        </w:rPr>
      </w:pPr>
      <w:r w:rsidRPr="00AE2394">
        <w:rPr>
          <w:rFonts w:ascii="Palatino Linotype" w:hAnsi="Palatino Linotype"/>
          <w:b/>
          <w:i/>
          <w:sz w:val="22"/>
        </w:rPr>
        <w:t>XXIII-A. Ingresos Ordinarios.</w:t>
      </w:r>
      <w:r w:rsidRPr="00AE2394">
        <w:rPr>
          <w:rFonts w:ascii="Palatino Linotype" w:hAnsi="Palatino Linotype"/>
          <w:i/>
          <w:sz w:val="22"/>
        </w:rPr>
        <w:t xml:space="preserve"> Proporción de los ingresos gubernamentales que de manera permanente y previsible obtiene el Estado o Municipios, que constituyen la fuente normal y periódica de recursos fiscales para financiar sus actividades. </w:t>
      </w:r>
      <w:r w:rsidRPr="00AE2394">
        <w:rPr>
          <w:rFonts w:ascii="Palatino Linotype" w:hAnsi="Palatino Linotype"/>
          <w:b/>
          <w:i/>
          <w:sz w:val="22"/>
          <w:u w:val="single"/>
        </w:rPr>
        <w:t>Se integran por los impuestos, derechos, aprovechamientos y los ingresos derivados del Sistema Nacional de Coordinación Fiscal y de otros apoyos federales, siempre y cuando que por su naturaleza no se encuentren destinados a un fin específico.</w:t>
      </w:r>
    </w:p>
    <w:p w14:paraId="3867726E" w14:textId="77777777" w:rsidR="008A4FDF" w:rsidRPr="00AE2394" w:rsidRDefault="008A4FDF" w:rsidP="008A4FDF">
      <w:pPr>
        <w:pBdr>
          <w:top w:val="nil"/>
          <w:left w:val="nil"/>
          <w:bottom w:val="nil"/>
          <w:right w:val="nil"/>
          <w:between w:val="nil"/>
        </w:pBdr>
        <w:spacing w:line="276" w:lineRule="auto"/>
        <w:ind w:left="567" w:right="579"/>
        <w:jc w:val="center"/>
        <w:rPr>
          <w:rFonts w:ascii="Palatino Linotype" w:eastAsia="Palatino Linotype" w:hAnsi="Palatino Linotype" w:cs="Palatino Linotype"/>
          <w:i/>
          <w:sz w:val="20"/>
          <w:szCs w:val="22"/>
        </w:rPr>
      </w:pPr>
      <w:r w:rsidRPr="00AE2394">
        <w:rPr>
          <w:rFonts w:ascii="Palatino Linotype" w:hAnsi="Palatino Linotype"/>
          <w:i/>
          <w:sz w:val="22"/>
        </w:rPr>
        <w:t>…</w:t>
      </w:r>
    </w:p>
    <w:p w14:paraId="739DB801" w14:textId="77777777"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4A8FA99" w14:textId="77777777"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Asimismo, el artículo 9 del Código Financiero del Estado de México y Municipios, establece que: </w:t>
      </w:r>
    </w:p>
    <w:p w14:paraId="61A2795A" w14:textId="77777777"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1164D42" w14:textId="77777777" w:rsidR="008A4FDF" w:rsidRPr="00AE2394" w:rsidRDefault="008A4FDF" w:rsidP="008A4FDF">
      <w:pPr>
        <w:pBdr>
          <w:top w:val="nil"/>
          <w:left w:val="nil"/>
          <w:bottom w:val="nil"/>
          <w:right w:val="nil"/>
          <w:between w:val="nil"/>
        </w:pBdr>
        <w:spacing w:line="276" w:lineRule="auto"/>
        <w:ind w:left="567" w:right="579"/>
        <w:jc w:val="both"/>
        <w:rPr>
          <w:rFonts w:ascii="Palatino Linotype" w:hAnsi="Palatino Linotype"/>
          <w:i/>
          <w:sz w:val="22"/>
        </w:rPr>
      </w:pPr>
      <w:r w:rsidRPr="00AE2394">
        <w:rPr>
          <w:rFonts w:ascii="Palatino Linotype" w:hAnsi="Palatino Linotype"/>
          <w:b/>
          <w:i/>
          <w:sz w:val="22"/>
        </w:rPr>
        <w:t>Artículo 9.-</w:t>
      </w:r>
      <w:r w:rsidRPr="00AE2394">
        <w:rPr>
          <w:rFonts w:ascii="Palatino Linotype" w:hAnsi="Palatino Linotype"/>
          <w:i/>
          <w:sz w:val="22"/>
        </w:rPr>
        <w:t xml:space="preserve"> Las contribuciones se clasifican en impuestos, derechos, contribuciones o aportaciones de mejoras, y aportaciones y cuotas de seguridad social, las que se definen de la manera siguiente: </w:t>
      </w:r>
    </w:p>
    <w:p w14:paraId="3F9EB578" w14:textId="77777777" w:rsidR="008A4FDF" w:rsidRPr="00AE2394" w:rsidRDefault="008A4FDF" w:rsidP="008A4FDF">
      <w:pPr>
        <w:pBdr>
          <w:top w:val="nil"/>
          <w:left w:val="nil"/>
          <w:bottom w:val="nil"/>
          <w:right w:val="nil"/>
          <w:between w:val="nil"/>
        </w:pBdr>
        <w:spacing w:line="276" w:lineRule="auto"/>
        <w:ind w:left="567" w:right="579"/>
        <w:jc w:val="both"/>
        <w:rPr>
          <w:rFonts w:ascii="Palatino Linotype" w:hAnsi="Palatino Linotype"/>
          <w:i/>
          <w:sz w:val="22"/>
        </w:rPr>
      </w:pPr>
      <w:r w:rsidRPr="00AE2394">
        <w:rPr>
          <w:rFonts w:ascii="Palatino Linotype" w:hAnsi="Palatino Linotype"/>
          <w:i/>
          <w:sz w:val="22"/>
        </w:rPr>
        <w:t xml:space="preserve">I. Impuestos. Son los establecidos en este Código que deben pagar las personas físicas y jurídicas colectivas, que se encuentren en la situación jurídica o de hecho prevista por el mismo, y que sean distintas a las señaladas en las fracciones II y III de este artículo. </w:t>
      </w:r>
    </w:p>
    <w:p w14:paraId="46A483ED" w14:textId="77777777" w:rsidR="008A4FDF" w:rsidRPr="00AE2394" w:rsidRDefault="008A4FDF" w:rsidP="008A4FDF">
      <w:pPr>
        <w:pBdr>
          <w:top w:val="nil"/>
          <w:left w:val="nil"/>
          <w:bottom w:val="nil"/>
          <w:right w:val="nil"/>
          <w:between w:val="nil"/>
        </w:pBdr>
        <w:spacing w:line="276" w:lineRule="auto"/>
        <w:ind w:left="567" w:right="579"/>
        <w:jc w:val="both"/>
        <w:rPr>
          <w:rFonts w:ascii="Palatino Linotype" w:hAnsi="Palatino Linotype"/>
          <w:i/>
          <w:sz w:val="22"/>
        </w:rPr>
      </w:pPr>
      <w:r w:rsidRPr="00AE2394">
        <w:rPr>
          <w:rFonts w:ascii="Palatino Linotype" w:hAnsi="Palatino Linotype"/>
          <w:b/>
          <w:i/>
          <w:sz w:val="22"/>
        </w:rPr>
        <w:t>II. Derechos.</w:t>
      </w:r>
      <w:r w:rsidRPr="00AE2394">
        <w:rPr>
          <w:rFonts w:ascii="Palatino Linotype" w:hAnsi="Palatino Linotype"/>
          <w:i/>
          <w:sz w:val="22"/>
        </w:rPr>
        <w:t xml:space="preserve"> Son las </w:t>
      </w:r>
      <w:r w:rsidRPr="00AE2394">
        <w:rPr>
          <w:rFonts w:ascii="Palatino Linotype" w:hAnsi="Palatino Linotype"/>
          <w:b/>
          <w:i/>
          <w:sz w:val="22"/>
          <w:u w:val="single"/>
        </w:rPr>
        <w:t>contraprestaciones</w:t>
      </w:r>
      <w:r w:rsidRPr="00AE2394">
        <w:rPr>
          <w:rFonts w:ascii="Palatino Linotype" w:hAnsi="Palatino Linotype"/>
          <w:i/>
          <w:sz w:val="22"/>
        </w:rPr>
        <w:t xml:space="preserve"> establecidas en este Código, </w:t>
      </w:r>
      <w:r w:rsidRPr="00AE2394">
        <w:rPr>
          <w:rFonts w:ascii="Palatino Linotype" w:hAnsi="Palatino Linotype"/>
          <w:b/>
          <w:i/>
          <w:sz w:val="22"/>
          <w:u w:val="single"/>
        </w:rPr>
        <w:t>que deben pagar las personas físicas y jurídicas colectivas, por el uso</w:t>
      </w:r>
      <w:r w:rsidRPr="00AE2394">
        <w:rPr>
          <w:rFonts w:ascii="Palatino Linotype" w:hAnsi="Palatino Linotype"/>
          <w:i/>
          <w:sz w:val="22"/>
        </w:rPr>
        <w:t xml:space="preserve"> o aprovechamiento </w:t>
      </w:r>
      <w:r w:rsidRPr="00AE2394">
        <w:rPr>
          <w:rFonts w:ascii="Palatino Linotype" w:hAnsi="Palatino Linotype"/>
          <w:b/>
          <w:i/>
          <w:sz w:val="22"/>
          <w:u w:val="single"/>
        </w:rPr>
        <w:t>de los bienes del dominio público de la Entidad</w:t>
      </w:r>
      <w:r w:rsidRPr="00AE2394">
        <w:rPr>
          <w:rFonts w:ascii="Palatino Linotype" w:hAnsi="Palatino Linotype"/>
          <w:i/>
          <w:sz w:val="22"/>
        </w:rPr>
        <w:t>,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w:t>
      </w:r>
    </w:p>
    <w:p w14:paraId="3065F1F1" w14:textId="77777777" w:rsidR="008A4FDF" w:rsidRPr="00AE2394" w:rsidRDefault="008A4FDF" w:rsidP="008A4FDF">
      <w:pPr>
        <w:pBdr>
          <w:top w:val="nil"/>
          <w:left w:val="nil"/>
          <w:bottom w:val="nil"/>
          <w:right w:val="nil"/>
          <w:between w:val="nil"/>
        </w:pBdr>
        <w:spacing w:line="276" w:lineRule="auto"/>
        <w:ind w:left="567" w:right="579"/>
        <w:jc w:val="both"/>
        <w:rPr>
          <w:rFonts w:ascii="Palatino Linotype" w:hAnsi="Palatino Linotype"/>
          <w:i/>
          <w:sz w:val="22"/>
        </w:rPr>
      </w:pPr>
      <w:r w:rsidRPr="00AE2394">
        <w:rPr>
          <w:rFonts w:ascii="Palatino Linotype" w:hAnsi="Palatino Linotype"/>
          <w:i/>
          <w:sz w:val="22"/>
        </w:rPr>
        <w:t xml:space="preserve">III. Contribuciones o Aportaciones de Mejoras. Son las establecidas en este Código, a cargo de las personas físicas y jurídicas colectivas, </w:t>
      </w:r>
      <w:proofErr w:type="gramStart"/>
      <w:r w:rsidRPr="00AE2394">
        <w:rPr>
          <w:rFonts w:ascii="Palatino Linotype" w:hAnsi="Palatino Linotype"/>
          <w:i/>
          <w:sz w:val="22"/>
        </w:rPr>
        <w:t>que</w:t>
      </w:r>
      <w:proofErr w:type="gramEnd"/>
      <w:r w:rsidRPr="00AE2394">
        <w:rPr>
          <w:rFonts w:ascii="Palatino Linotype" w:hAnsi="Palatino Linotype"/>
          <w:i/>
          <w:sz w:val="22"/>
        </w:rPr>
        <w:t xml:space="preserve"> con independencia de la utilidad general, obtengan un beneficio diferencial particular derivado de la realización de obras públicas o de acciones de beneficio social; las que efectúen las personas a favor del Estado para la realización de obras de impacto vial regional, que directa o indirectamente las beneficien, así como las derivadas de Servicios Ambientales.</w:t>
      </w:r>
    </w:p>
    <w:p w14:paraId="51FF7208" w14:textId="77777777" w:rsidR="008A4FDF" w:rsidRPr="00AE2394" w:rsidRDefault="008A4FDF" w:rsidP="008A4FDF">
      <w:pPr>
        <w:pBdr>
          <w:top w:val="nil"/>
          <w:left w:val="nil"/>
          <w:bottom w:val="nil"/>
          <w:right w:val="nil"/>
          <w:between w:val="nil"/>
        </w:pBdr>
        <w:spacing w:line="276" w:lineRule="auto"/>
        <w:ind w:left="567" w:right="579"/>
        <w:jc w:val="both"/>
        <w:rPr>
          <w:rFonts w:ascii="Palatino Linotype" w:hAnsi="Palatino Linotype"/>
          <w:i/>
          <w:sz w:val="22"/>
        </w:rPr>
      </w:pPr>
      <w:r w:rsidRPr="00AE2394">
        <w:rPr>
          <w:rFonts w:ascii="Palatino Linotype" w:hAnsi="Palatino Linotype"/>
          <w:i/>
          <w:sz w:val="22"/>
        </w:rPr>
        <w:t>IV. Aportaciones y cuotas de Seguridad Social. Son las contribuciones que las instituciones públicas y sus servidores públicos, respectivamente, están obligados a cubrir en los términos de la ley en materia de seguridad social en el Estado.</w:t>
      </w:r>
    </w:p>
    <w:p w14:paraId="4FC681AF" w14:textId="77777777"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D69FC2E" w14:textId="5DFBA5FB"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lastRenderedPageBreak/>
        <w:t xml:space="preserve">De lo anterior, se colige que, el </w:t>
      </w:r>
      <w:r w:rsidRPr="00AE2394">
        <w:rPr>
          <w:rFonts w:ascii="Palatino Linotype" w:eastAsia="Palatino Linotype" w:hAnsi="Palatino Linotype" w:cs="Palatino Linotype"/>
          <w:b/>
          <w:sz w:val="22"/>
          <w:szCs w:val="22"/>
          <w:u w:val="single"/>
        </w:rPr>
        <w:t>pago de parquímetros es un pago de derechos</w:t>
      </w:r>
      <w:r w:rsidR="00925643" w:rsidRPr="00AE2394">
        <w:rPr>
          <w:rFonts w:ascii="Palatino Linotype" w:eastAsia="Palatino Linotype" w:hAnsi="Palatino Linotype" w:cs="Palatino Linotype"/>
          <w:sz w:val="22"/>
          <w:szCs w:val="22"/>
        </w:rPr>
        <w:t xml:space="preserve">, </w:t>
      </w:r>
      <w:r w:rsidRPr="00AE2394">
        <w:rPr>
          <w:rFonts w:ascii="Palatino Linotype" w:eastAsia="Palatino Linotype" w:hAnsi="Palatino Linotype" w:cs="Palatino Linotype"/>
          <w:sz w:val="22"/>
          <w:szCs w:val="22"/>
        </w:rPr>
        <w:t xml:space="preserve">por estacionamiento en la vía pública regulado por Parquímetros, tal como lo establece la página del Gobierno del Estado de México, como se observa: </w:t>
      </w:r>
    </w:p>
    <w:p w14:paraId="35FC2FE0" w14:textId="77777777"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6C582F0" w14:textId="2D018B59" w:rsidR="008A4FDF" w:rsidRPr="00AE2394" w:rsidRDefault="00925643"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noProof/>
          <w:sz w:val="22"/>
          <w:szCs w:val="22"/>
          <w:lang w:val="es-MX"/>
        </w:rPr>
        <mc:AlternateContent>
          <mc:Choice Requires="wps">
            <w:drawing>
              <wp:anchor distT="0" distB="0" distL="114300" distR="114300" simplePos="0" relativeHeight="251660288" behindDoc="0" locked="0" layoutInCell="1" allowOverlap="1" wp14:anchorId="2F4B9732" wp14:editId="3D5556F5">
                <wp:simplePos x="0" y="0"/>
                <wp:positionH relativeFrom="column">
                  <wp:posOffset>547370</wp:posOffset>
                </wp:positionH>
                <wp:positionV relativeFrom="paragraph">
                  <wp:posOffset>374015</wp:posOffset>
                </wp:positionV>
                <wp:extent cx="1247775" cy="285750"/>
                <wp:effectExtent l="57150" t="38100" r="85725" b="95250"/>
                <wp:wrapNone/>
                <wp:docPr id="1" name="Rectángulo 1"/>
                <wp:cNvGraphicFramePr/>
                <a:graphic xmlns:a="http://schemas.openxmlformats.org/drawingml/2006/main">
                  <a:graphicData uri="http://schemas.microsoft.com/office/word/2010/wordprocessingShape">
                    <wps:wsp>
                      <wps:cNvSpPr/>
                      <wps:spPr>
                        <a:xfrm>
                          <a:off x="0" y="0"/>
                          <a:ext cx="1247775" cy="28575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0E2761" id="Rectángulo 1" o:spid="_x0000_s1026" style="position:absolute;margin-left:43.1pt;margin-top:29.45pt;width:98.2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" filled="f" strokecolor="red" strokeweight="3pt">
                <v:shadow on="t" color="black" opacity="22937f" origin=",.5" offset="0,.63889mm"/>
              </v:rect>
            </w:pict>
          </mc:Fallback>
        </mc:AlternateContent>
      </w:r>
      <w:r w:rsidR="008A4FDF" w:rsidRPr="00AE2394">
        <w:rPr>
          <w:rFonts w:ascii="Palatino Linotype" w:eastAsia="Palatino Linotype" w:hAnsi="Palatino Linotype" w:cs="Palatino Linotype"/>
          <w:noProof/>
          <w:sz w:val="22"/>
          <w:szCs w:val="22"/>
          <w:lang w:val="es-MX"/>
        </w:rPr>
        <w:drawing>
          <wp:inline distT="0" distB="0" distL="0" distR="0" wp14:anchorId="6E9B608E" wp14:editId="59D42BC2">
            <wp:extent cx="5857875" cy="177673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75550" cy="1782091"/>
                    </a:xfrm>
                    <a:prstGeom prst="rect">
                      <a:avLst/>
                    </a:prstGeom>
                  </pic:spPr>
                </pic:pic>
              </a:graphicData>
            </a:graphic>
          </wp:inline>
        </w:drawing>
      </w:r>
    </w:p>
    <w:p w14:paraId="0DF5BAD7" w14:textId="77777777" w:rsidR="00925643" w:rsidRPr="00AE2394" w:rsidRDefault="00925643"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23CED82" w14:textId="1F91378C"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Hasta aquí tenemos que, el pago de parquímetros es catalogado como un pago de derechos y se</w:t>
      </w:r>
      <w:r w:rsidR="00CF0A17" w:rsidRPr="00AE2394">
        <w:rPr>
          <w:rFonts w:ascii="Palatino Linotype" w:eastAsia="Palatino Linotype" w:hAnsi="Palatino Linotype" w:cs="Palatino Linotype"/>
          <w:sz w:val="22"/>
          <w:szCs w:val="22"/>
        </w:rPr>
        <w:t xml:space="preserve"> trata</w:t>
      </w:r>
      <w:r w:rsidR="00925643" w:rsidRPr="00AE2394">
        <w:rPr>
          <w:rFonts w:ascii="Palatino Linotype" w:eastAsia="Palatino Linotype" w:hAnsi="Palatino Linotype" w:cs="Palatino Linotype"/>
          <w:sz w:val="22"/>
          <w:szCs w:val="22"/>
        </w:rPr>
        <w:t xml:space="preserve"> de un ingreso municipal, sin embargo, es de mencionar que, existen otros tipos de derechos como la expedición de licencias o permisos, usos de bienes públicos, recolección de basura o limpieza de calles, servicios catastrales, entre otros. </w:t>
      </w:r>
    </w:p>
    <w:p w14:paraId="53A9FCA1" w14:textId="77777777" w:rsidR="00925643" w:rsidRPr="00AE2394" w:rsidRDefault="00925643"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B4DA07A" w14:textId="42D0EBC6" w:rsidR="00925643" w:rsidRPr="00AE2394" w:rsidRDefault="00925643"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De tal manera que es de señalar que, cuando un ingreso (por concepto de pago de derechos) ingresa a las arcas del Ayuntamiento, </w:t>
      </w:r>
      <w:r w:rsidRPr="00AE2394">
        <w:rPr>
          <w:rFonts w:ascii="Palatino Linotype" w:eastAsia="Palatino Linotype" w:hAnsi="Palatino Linotype" w:cs="Palatino Linotype"/>
          <w:b/>
          <w:sz w:val="22"/>
          <w:szCs w:val="22"/>
        </w:rPr>
        <w:t xml:space="preserve">no se advierte específicamente por qué concepto es, </w:t>
      </w:r>
      <w:r w:rsidRPr="00AE2394">
        <w:rPr>
          <w:rFonts w:ascii="Palatino Linotype" w:eastAsia="Palatino Linotype" w:hAnsi="Palatino Linotype" w:cs="Palatino Linotype"/>
          <w:sz w:val="22"/>
          <w:szCs w:val="22"/>
        </w:rPr>
        <w:t xml:space="preserve">es </w:t>
      </w:r>
      <w:r w:rsidR="00CF0A17" w:rsidRPr="00AE2394">
        <w:rPr>
          <w:rFonts w:ascii="Palatino Linotype" w:eastAsia="Palatino Linotype" w:hAnsi="Palatino Linotype" w:cs="Palatino Linotype"/>
          <w:sz w:val="22"/>
          <w:szCs w:val="22"/>
        </w:rPr>
        <w:t xml:space="preserve">decir, se sabe que se trata </w:t>
      </w:r>
      <w:r w:rsidRPr="00AE2394">
        <w:rPr>
          <w:rFonts w:ascii="Palatino Linotype" w:eastAsia="Palatino Linotype" w:hAnsi="Palatino Linotype" w:cs="Palatino Linotype"/>
          <w:sz w:val="22"/>
          <w:szCs w:val="22"/>
        </w:rPr>
        <w:t xml:space="preserve">de derechos, pero no se desagrega por conceptos. </w:t>
      </w:r>
    </w:p>
    <w:p w14:paraId="7670502B" w14:textId="77777777"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DC06773" w14:textId="4EC7EB2B" w:rsidR="008A4FDF" w:rsidRPr="00AE2394" w:rsidRDefault="00925643"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Sirve de sustento lo anterior, </w:t>
      </w:r>
      <w:r w:rsidR="008A4FDF" w:rsidRPr="00AE2394">
        <w:rPr>
          <w:rFonts w:ascii="Palatino Linotype" w:eastAsia="Palatino Linotype" w:hAnsi="Palatino Linotype" w:cs="Palatino Linotype"/>
          <w:sz w:val="22"/>
          <w:szCs w:val="22"/>
        </w:rPr>
        <w:t xml:space="preserve">los documentos de apoyo emitidos por el Órgano Superior de Fiscalización, </w:t>
      </w:r>
      <w:r w:rsidRPr="00AE2394">
        <w:rPr>
          <w:rFonts w:ascii="Palatino Linotype" w:eastAsia="Palatino Linotype" w:hAnsi="Palatino Linotype" w:cs="Palatino Linotype"/>
          <w:sz w:val="22"/>
          <w:szCs w:val="22"/>
        </w:rPr>
        <w:t xml:space="preserve">en el cual, </w:t>
      </w:r>
      <w:r w:rsidR="008A4FDF" w:rsidRPr="00AE2394">
        <w:rPr>
          <w:rFonts w:ascii="Palatino Linotype" w:eastAsia="Palatino Linotype" w:hAnsi="Palatino Linotype" w:cs="Palatino Linotype"/>
          <w:sz w:val="22"/>
          <w:szCs w:val="22"/>
        </w:rPr>
        <w:t xml:space="preserve">se advierte que existe un documento denominado Estado Analítico de Ingresos, en el cual se observan datos como: rubro de ingreso, estimados, ampliaciones, reducciones, modificaciones, ingresos devengados, recaudados y diferencia, tal como se observa a continuación: </w:t>
      </w:r>
    </w:p>
    <w:p w14:paraId="694D91D9" w14:textId="3FEC4BC5" w:rsidR="008A4FDF" w:rsidRPr="00AE2394" w:rsidRDefault="004D2C07"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noProof/>
          <w:sz w:val="22"/>
          <w:szCs w:val="22"/>
          <w:lang w:val="es-MX"/>
        </w:rPr>
        <w:lastRenderedPageBreak/>
        <mc:AlternateContent>
          <mc:Choice Requires="wps">
            <w:drawing>
              <wp:anchor distT="0" distB="0" distL="114300" distR="114300" simplePos="0" relativeHeight="251661312" behindDoc="0" locked="0" layoutInCell="1" allowOverlap="1" wp14:anchorId="67239B2E" wp14:editId="40C95A87">
                <wp:simplePos x="0" y="0"/>
                <wp:positionH relativeFrom="column">
                  <wp:posOffset>109220</wp:posOffset>
                </wp:positionH>
                <wp:positionV relativeFrom="paragraph">
                  <wp:posOffset>2981325</wp:posOffset>
                </wp:positionV>
                <wp:extent cx="1838325" cy="123825"/>
                <wp:effectExtent l="57150" t="38100" r="85725" b="104775"/>
                <wp:wrapNone/>
                <wp:docPr id="3" name="Rectángulo 3"/>
                <wp:cNvGraphicFramePr/>
                <a:graphic xmlns:a="http://schemas.openxmlformats.org/drawingml/2006/main">
                  <a:graphicData uri="http://schemas.microsoft.com/office/word/2010/wordprocessingShape">
                    <wps:wsp>
                      <wps:cNvSpPr/>
                      <wps:spPr>
                        <a:xfrm>
                          <a:off x="0" y="0"/>
                          <a:ext cx="1838325" cy="12382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6ACA8C" id="Rectángulo 3" o:spid="_x0000_s1026" style="position:absolute;margin-left:8.6pt;margin-top:234.75pt;width:144.75pt;height: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" filled="f" strokecolor="red" strokeweight="3pt">
                <v:shadow on="t" color="black" opacity="22937f" origin=",.5" offset="0,.63889mm"/>
              </v:rect>
            </w:pict>
          </mc:Fallback>
        </mc:AlternateContent>
      </w:r>
      <w:r w:rsidR="008A4FDF" w:rsidRPr="00AE2394">
        <w:rPr>
          <w:rFonts w:ascii="Palatino Linotype" w:eastAsia="Palatino Linotype" w:hAnsi="Palatino Linotype" w:cs="Palatino Linotype"/>
          <w:noProof/>
          <w:sz w:val="22"/>
          <w:szCs w:val="22"/>
          <w:lang w:val="es-MX"/>
        </w:rPr>
        <w:drawing>
          <wp:inline distT="0" distB="0" distL="0" distR="0" wp14:anchorId="3B9F9B33" wp14:editId="37856315">
            <wp:extent cx="5819775" cy="43434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31387" cy="4352066"/>
                    </a:xfrm>
                    <a:prstGeom prst="rect">
                      <a:avLst/>
                    </a:prstGeom>
                  </pic:spPr>
                </pic:pic>
              </a:graphicData>
            </a:graphic>
          </wp:inline>
        </w:drawing>
      </w:r>
    </w:p>
    <w:p w14:paraId="1336F92B" w14:textId="77777777" w:rsidR="00925643" w:rsidRPr="00AE2394" w:rsidRDefault="00925643"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473BB0B" w14:textId="48F6E15E" w:rsidR="00925643" w:rsidRPr="00AE2394" w:rsidRDefault="00925643"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Del anterior, se advierte que, dentro del rubro de ingresos se encuentra un concepto denominado </w:t>
      </w:r>
      <w:r w:rsidRPr="00AE2394">
        <w:rPr>
          <w:rFonts w:ascii="Palatino Linotype" w:eastAsia="Palatino Linotype" w:hAnsi="Palatino Linotype" w:cs="Palatino Linotype"/>
          <w:b/>
          <w:sz w:val="22"/>
          <w:szCs w:val="22"/>
        </w:rPr>
        <w:t>derechos</w:t>
      </w:r>
      <w:r w:rsidRPr="00AE2394">
        <w:rPr>
          <w:rFonts w:ascii="Palatino Linotype" w:eastAsia="Palatino Linotype" w:hAnsi="Palatino Linotype" w:cs="Palatino Linotype"/>
          <w:sz w:val="22"/>
          <w:szCs w:val="22"/>
        </w:rPr>
        <w:t>, pero no se encuentra desagregado, es decir, no se desagrega por pago de parquímetros, de servicios de catastro, de expedición de licencias.</w:t>
      </w:r>
    </w:p>
    <w:p w14:paraId="42309FA7" w14:textId="77777777" w:rsidR="00925643" w:rsidRPr="00AE2394" w:rsidRDefault="00925643"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E698E9A" w14:textId="464E33C4" w:rsidR="00925643" w:rsidRPr="00AE2394" w:rsidRDefault="00925643" w:rsidP="008A4FD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E2394">
        <w:rPr>
          <w:rFonts w:ascii="Palatino Linotype" w:eastAsia="Palatino Linotype" w:hAnsi="Palatino Linotype" w:cs="Palatino Linotype"/>
          <w:sz w:val="22"/>
          <w:szCs w:val="22"/>
        </w:rPr>
        <w:t xml:space="preserve">En ese sentido, se considera que, incluso desde que el dinero ingresa al Ayuntamiento </w:t>
      </w:r>
      <w:r w:rsidRPr="00AE2394">
        <w:rPr>
          <w:rFonts w:ascii="Palatino Linotype" w:eastAsia="Palatino Linotype" w:hAnsi="Palatino Linotype" w:cs="Palatino Linotype"/>
          <w:b/>
          <w:sz w:val="22"/>
          <w:szCs w:val="22"/>
        </w:rPr>
        <w:t xml:space="preserve">no se advierte específicamente por qué concepto es. </w:t>
      </w:r>
    </w:p>
    <w:p w14:paraId="5AC851C8" w14:textId="77777777" w:rsidR="008A4FDF" w:rsidRPr="00AE2394" w:rsidRDefault="008A4FDF"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D65E35B" w14:textId="7774044D" w:rsidR="00925643" w:rsidRPr="00AE2394" w:rsidRDefault="00925643" w:rsidP="008A4F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Lo cual, nos lleva a mencionar qu</w:t>
      </w:r>
      <w:r w:rsidR="00CF0A17" w:rsidRPr="00AE2394">
        <w:rPr>
          <w:rFonts w:ascii="Palatino Linotype" w:eastAsia="Palatino Linotype" w:hAnsi="Palatino Linotype" w:cs="Palatino Linotype"/>
          <w:sz w:val="22"/>
          <w:szCs w:val="22"/>
        </w:rPr>
        <w:t>e, para el caso de la erogación de ingresos</w:t>
      </w:r>
      <w:r w:rsidRPr="00AE2394">
        <w:rPr>
          <w:rFonts w:ascii="Palatino Linotype" w:eastAsia="Palatino Linotype" w:hAnsi="Palatino Linotype" w:cs="Palatino Linotype"/>
          <w:sz w:val="22"/>
          <w:szCs w:val="22"/>
        </w:rPr>
        <w:t>, no exi</w:t>
      </w:r>
      <w:r w:rsidR="00CF0A17" w:rsidRPr="00AE2394">
        <w:rPr>
          <w:rFonts w:ascii="Palatino Linotype" w:eastAsia="Palatino Linotype" w:hAnsi="Palatino Linotype" w:cs="Palatino Linotype"/>
          <w:sz w:val="22"/>
          <w:szCs w:val="22"/>
        </w:rPr>
        <w:t xml:space="preserve">ste un documento que dé cuenta del concepto del cual proviene esa erogación, </w:t>
      </w:r>
      <w:r w:rsidR="00C45235" w:rsidRPr="00AE2394">
        <w:rPr>
          <w:rFonts w:ascii="Palatino Linotype" w:eastAsia="Palatino Linotype" w:hAnsi="Palatino Linotype" w:cs="Palatino Linotype"/>
          <w:sz w:val="22"/>
          <w:szCs w:val="22"/>
        </w:rPr>
        <w:t xml:space="preserve">por lo que, tal como lo señaló el Sujeto Obligado </w:t>
      </w:r>
      <w:r w:rsidR="00C45235" w:rsidRPr="00AE2394">
        <w:rPr>
          <w:rFonts w:ascii="Palatino Linotype" w:eastAsia="Palatino Linotype" w:hAnsi="Palatino Linotype" w:cs="Palatino Linotype"/>
          <w:b/>
          <w:sz w:val="22"/>
          <w:szCs w:val="22"/>
        </w:rPr>
        <w:t>no existe un documento que permita</w:t>
      </w:r>
      <w:r w:rsidR="00C45235" w:rsidRPr="00AE2394">
        <w:rPr>
          <w:rFonts w:ascii="Palatino Linotype" w:eastAsia="Palatino Linotype" w:hAnsi="Palatino Linotype" w:cs="Palatino Linotype"/>
          <w:sz w:val="22"/>
          <w:szCs w:val="22"/>
        </w:rPr>
        <w:t xml:space="preserve"> </w:t>
      </w:r>
      <w:r w:rsidR="00C45235" w:rsidRPr="00AE2394">
        <w:rPr>
          <w:rFonts w:ascii="Palatino Linotype" w:eastAsia="Palatino Linotype" w:hAnsi="Palatino Linotype" w:cs="Palatino Linotype"/>
          <w:b/>
          <w:sz w:val="22"/>
          <w:szCs w:val="22"/>
        </w:rPr>
        <w:t xml:space="preserve">identificar los gastos relacionados con la recaudación de parquímetros. </w:t>
      </w:r>
    </w:p>
    <w:p w14:paraId="5ED7108B" w14:textId="2840DE97" w:rsidR="00C45235" w:rsidRPr="00AE2394" w:rsidRDefault="00C45235">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E2394">
        <w:rPr>
          <w:rFonts w:ascii="Palatino Linotype" w:eastAsia="Palatino Linotype" w:hAnsi="Palatino Linotype" w:cs="Palatino Linotype"/>
          <w:sz w:val="22"/>
          <w:szCs w:val="22"/>
        </w:rPr>
        <w:lastRenderedPageBreak/>
        <w:t xml:space="preserve">Por otro lado, en lo que respecta a la manifestación realizada por el Sujeto Obligado relativa a que </w:t>
      </w:r>
      <w:r w:rsidR="004B67BF" w:rsidRPr="00AE2394">
        <w:rPr>
          <w:rFonts w:ascii="Palatino Linotype" w:eastAsia="Palatino Linotype" w:hAnsi="Palatino Linotype" w:cs="Palatino Linotype"/>
          <w:sz w:val="22"/>
          <w:szCs w:val="22"/>
        </w:rPr>
        <w:t xml:space="preserve">se </w:t>
      </w:r>
      <w:r w:rsidR="008A4FDF" w:rsidRPr="00AE2394">
        <w:rPr>
          <w:rFonts w:ascii="Palatino Linotype" w:eastAsia="Palatino Linotype" w:hAnsi="Palatino Linotype" w:cs="Palatino Linotype"/>
          <w:sz w:val="22"/>
          <w:szCs w:val="22"/>
        </w:rPr>
        <w:t>encontraba en proceso de integración el Informe Mensual de Enero de 2025, ya que, no había terminado el plazo de tres meses establecidos por la no</w:t>
      </w:r>
      <w:r w:rsidRPr="00AE2394">
        <w:rPr>
          <w:rFonts w:ascii="Palatino Linotype" w:eastAsia="Palatino Linotype" w:hAnsi="Palatino Linotype" w:cs="Palatino Linotype"/>
          <w:sz w:val="22"/>
          <w:szCs w:val="22"/>
        </w:rPr>
        <w:t>rmatividad para su integración, es de señalar que, si bien, el informe trimestral es integrado</w:t>
      </w:r>
      <w:r w:rsidR="004B67BF" w:rsidRPr="00AE2394">
        <w:rPr>
          <w:rFonts w:ascii="Palatino Linotype" w:eastAsia="Palatino Linotype" w:hAnsi="Palatino Linotype" w:cs="Palatino Linotype"/>
          <w:sz w:val="22"/>
          <w:szCs w:val="22"/>
        </w:rPr>
        <w:t xml:space="preserve"> con información de tres meses, también lo es que, muchos de los formatos del OSFEM se generan con información mensual, no obstante, como anteriormente se señaló, aunque el Sujeto Obligado </w:t>
      </w:r>
      <w:r w:rsidR="004D2C07" w:rsidRPr="00AE2394">
        <w:rPr>
          <w:rFonts w:ascii="Palatino Linotype" w:eastAsia="Palatino Linotype" w:hAnsi="Palatino Linotype" w:cs="Palatino Linotype"/>
          <w:sz w:val="22"/>
          <w:szCs w:val="22"/>
        </w:rPr>
        <w:t xml:space="preserve">ya hubiera generado información relacionada con los egresos, </w:t>
      </w:r>
      <w:r w:rsidR="004D2C07" w:rsidRPr="00AE2394">
        <w:rPr>
          <w:rFonts w:ascii="Palatino Linotype" w:eastAsia="Palatino Linotype" w:hAnsi="Palatino Linotype" w:cs="Palatino Linotype"/>
          <w:b/>
          <w:sz w:val="22"/>
          <w:szCs w:val="22"/>
        </w:rPr>
        <w:t xml:space="preserve">no obra documento alguno que refiera los conceptos de los cuales provienen esos egresos. </w:t>
      </w:r>
    </w:p>
    <w:p w14:paraId="2B732A87" w14:textId="77777777" w:rsidR="005B68DD" w:rsidRPr="00AE2394" w:rsidRDefault="005B68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C334C17" w14:textId="77777777" w:rsidR="005B68DD" w:rsidRPr="00AE2394" w:rsidRDefault="00A57AF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E2394">
        <w:rPr>
          <w:rFonts w:ascii="Palatino Linotype" w:eastAsia="Palatino Linotype" w:hAnsi="Palatino Linotype" w:cs="Palatino Linotype"/>
          <w:sz w:val="22"/>
          <w:szCs w:val="22"/>
        </w:rPr>
        <w:t xml:space="preserve">Por lo anterior, se considera que este requerimiento se tiene por </w:t>
      </w:r>
      <w:r w:rsidRPr="00AE2394">
        <w:rPr>
          <w:rFonts w:ascii="Palatino Linotype" w:eastAsia="Palatino Linotype" w:hAnsi="Palatino Linotype" w:cs="Palatino Linotype"/>
          <w:b/>
          <w:sz w:val="22"/>
          <w:szCs w:val="22"/>
        </w:rPr>
        <w:t>atendido.</w:t>
      </w:r>
    </w:p>
    <w:p w14:paraId="56FB0065" w14:textId="77777777" w:rsidR="005B68DD" w:rsidRPr="00AE2394" w:rsidRDefault="005B68DD">
      <w:pPr>
        <w:spacing w:line="360" w:lineRule="auto"/>
        <w:ind w:right="49"/>
        <w:jc w:val="both"/>
        <w:rPr>
          <w:rFonts w:ascii="Palatino Linotype" w:eastAsia="Palatino Linotype" w:hAnsi="Palatino Linotype" w:cs="Palatino Linotype"/>
          <w:b/>
          <w:sz w:val="22"/>
          <w:szCs w:val="22"/>
        </w:rPr>
      </w:pPr>
    </w:p>
    <w:p w14:paraId="764B0E36"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Finalmente, de conformidad con el artículo 12 de la Ley de Transparencia y Acceso a la Información Pública del Estado de México y Municipios, los sujetos obligados sólo deberán proporcionar la información que obre en sus archivos, en el estado en que esta se encuentre, asimismo, se precisa que conforme a lo establecido en el Criterio 31/10 emitido por el entonces Instituto Nacional de Transparencia, Acceso a la Información Pública y Protección de Datos Personales INAI (anteriormente IFAI) que se procede a citar a continuación:</w:t>
      </w:r>
    </w:p>
    <w:p w14:paraId="386D208F"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4D86DA00" w14:textId="77777777" w:rsidR="005B68DD" w:rsidRPr="00AE2394" w:rsidRDefault="00A57AF2">
      <w:pPr>
        <w:tabs>
          <w:tab w:val="left" w:pos="8222"/>
        </w:tabs>
        <w:ind w:left="567" w:right="567"/>
        <w:jc w:val="both"/>
        <w:rPr>
          <w:rFonts w:ascii="Palatino Linotype" w:eastAsia="Palatino Linotype" w:hAnsi="Palatino Linotype" w:cs="Palatino Linotype"/>
          <w:i/>
          <w:sz w:val="22"/>
          <w:szCs w:val="22"/>
        </w:rPr>
      </w:pPr>
      <w:r w:rsidRPr="00AE239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E239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96619DA" w14:textId="77777777" w:rsidR="005B68DD" w:rsidRPr="00AE2394" w:rsidRDefault="005B68DD">
      <w:pPr>
        <w:spacing w:line="360" w:lineRule="auto"/>
        <w:ind w:right="49"/>
        <w:jc w:val="both"/>
        <w:rPr>
          <w:rFonts w:ascii="Palatino Linotype" w:eastAsia="Palatino Linotype" w:hAnsi="Palatino Linotype" w:cs="Palatino Linotype"/>
          <w:sz w:val="22"/>
          <w:szCs w:val="22"/>
        </w:rPr>
      </w:pPr>
    </w:p>
    <w:p w14:paraId="6CFA9097"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lastRenderedPageBreak/>
        <w:t>Por lo que, este Organismo Garante carece de facultades para dudar de la veracidad de la información que el Sujeto Obligado puso a disposición de la parte Recurrente</w:t>
      </w:r>
    </w:p>
    <w:p w14:paraId="6389ED3C" w14:textId="77777777" w:rsidR="005B68DD" w:rsidRPr="00AE2394" w:rsidRDefault="005B68DD">
      <w:pPr>
        <w:spacing w:line="360" w:lineRule="auto"/>
        <w:jc w:val="both"/>
        <w:rPr>
          <w:rFonts w:ascii="Palatino Linotype" w:eastAsia="Palatino Linotype" w:hAnsi="Palatino Linotype" w:cs="Palatino Linotype"/>
        </w:rPr>
      </w:pPr>
    </w:p>
    <w:p w14:paraId="3D5F04B8"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AE2394">
        <w:rPr>
          <w:rFonts w:ascii="Palatino Linotype" w:eastAsia="Palatino Linotype" w:hAnsi="Palatino Linotype" w:cs="Palatino Linotype"/>
          <w:b/>
          <w:sz w:val="22"/>
          <w:szCs w:val="22"/>
        </w:rPr>
        <w:t>RECURRENTE</w:t>
      </w:r>
      <w:r w:rsidRPr="00AE2394">
        <w:rPr>
          <w:rFonts w:ascii="Palatino Linotype" w:eastAsia="Palatino Linotype" w:hAnsi="Palatino Linotype" w:cs="Palatino Linotype"/>
          <w:sz w:val="22"/>
          <w:szCs w:val="22"/>
        </w:rPr>
        <w:t xml:space="preserve"> dentro del recurso de revisión </w:t>
      </w:r>
      <w:r w:rsidRPr="00AE2394">
        <w:rPr>
          <w:rFonts w:ascii="Palatino Linotype" w:eastAsia="Palatino Linotype" w:hAnsi="Palatino Linotype" w:cs="Palatino Linotype"/>
          <w:b/>
          <w:sz w:val="22"/>
          <w:szCs w:val="22"/>
        </w:rPr>
        <w:t>03099/INFOEM/IP/RR/2025</w:t>
      </w:r>
      <w:r w:rsidRPr="00AE2394">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se </w:t>
      </w:r>
      <w:r w:rsidRPr="00AE2394">
        <w:rPr>
          <w:rFonts w:ascii="Palatino Linotype" w:eastAsia="Palatino Linotype" w:hAnsi="Palatino Linotype" w:cs="Palatino Linotype"/>
          <w:b/>
          <w:sz w:val="22"/>
          <w:szCs w:val="22"/>
        </w:rPr>
        <w:t xml:space="preserve">CONFIRMA </w:t>
      </w:r>
      <w:r w:rsidRPr="00AE2394">
        <w:rPr>
          <w:rFonts w:ascii="Palatino Linotype" w:eastAsia="Palatino Linotype" w:hAnsi="Palatino Linotype" w:cs="Palatino Linotype"/>
          <w:sz w:val="22"/>
          <w:szCs w:val="22"/>
        </w:rPr>
        <w:t xml:space="preserve">la respuesta del </w:t>
      </w:r>
      <w:r w:rsidRPr="00AE2394">
        <w:rPr>
          <w:rFonts w:ascii="Palatino Linotype" w:eastAsia="Palatino Linotype" w:hAnsi="Palatino Linotype" w:cs="Palatino Linotype"/>
          <w:b/>
          <w:sz w:val="22"/>
          <w:szCs w:val="22"/>
        </w:rPr>
        <w:t xml:space="preserve">SUJETO OBLIGADO </w:t>
      </w:r>
      <w:r w:rsidRPr="00AE2394">
        <w:rPr>
          <w:rFonts w:ascii="Palatino Linotype" w:eastAsia="Palatino Linotype" w:hAnsi="Palatino Linotype" w:cs="Palatino Linotype"/>
          <w:sz w:val="22"/>
          <w:szCs w:val="22"/>
        </w:rPr>
        <w:t xml:space="preserve">a la solicitud de información </w:t>
      </w:r>
      <w:r w:rsidRPr="00AE2394">
        <w:rPr>
          <w:rFonts w:ascii="Palatino Linotype" w:eastAsia="Palatino Linotype" w:hAnsi="Palatino Linotype" w:cs="Palatino Linotype"/>
          <w:b/>
          <w:sz w:val="22"/>
          <w:szCs w:val="22"/>
        </w:rPr>
        <w:t>00140/ATLACOM/IP/2025.</w:t>
      </w:r>
      <w:r w:rsidRPr="00AE2394">
        <w:rPr>
          <w:rFonts w:ascii="Palatino Linotype" w:eastAsia="Palatino Linotype" w:hAnsi="Palatino Linotype" w:cs="Palatino Linotype"/>
          <w:sz w:val="22"/>
          <w:szCs w:val="22"/>
        </w:rPr>
        <w:t xml:space="preserve">  </w:t>
      </w:r>
    </w:p>
    <w:p w14:paraId="0144CC3B" w14:textId="77777777" w:rsidR="005B68DD" w:rsidRPr="00AE2394" w:rsidRDefault="00A57AF2">
      <w:pPr>
        <w:spacing w:line="360" w:lineRule="auto"/>
        <w:ind w:right="49"/>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rPr>
        <w:t xml:space="preserve"> </w:t>
      </w:r>
    </w:p>
    <w:p w14:paraId="475BAE8D" w14:textId="77777777" w:rsidR="005B68DD" w:rsidRPr="00AE2394" w:rsidRDefault="00A57AF2">
      <w:pPr>
        <w:numPr>
          <w:ilvl w:val="0"/>
          <w:numId w:val="5"/>
        </w:numPr>
        <w:spacing w:line="360" w:lineRule="auto"/>
        <w:ind w:left="-142" w:firstLine="0"/>
        <w:jc w:val="center"/>
        <w:rPr>
          <w:rFonts w:ascii="Palatino Linotype" w:eastAsia="Palatino Linotype" w:hAnsi="Palatino Linotype" w:cs="Palatino Linotype"/>
          <w:b/>
          <w:sz w:val="22"/>
          <w:szCs w:val="22"/>
        </w:rPr>
      </w:pPr>
      <w:r w:rsidRPr="00AE2394">
        <w:rPr>
          <w:rFonts w:ascii="Palatino Linotype" w:eastAsia="Palatino Linotype" w:hAnsi="Palatino Linotype" w:cs="Palatino Linotype"/>
          <w:b/>
          <w:sz w:val="22"/>
          <w:szCs w:val="22"/>
        </w:rPr>
        <w:t>R E S U E L V E</w:t>
      </w:r>
    </w:p>
    <w:p w14:paraId="23443D21" w14:textId="77777777" w:rsidR="005B68DD" w:rsidRPr="00AE2394" w:rsidRDefault="005B68DD">
      <w:pPr>
        <w:spacing w:line="360" w:lineRule="auto"/>
        <w:ind w:left="-142"/>
        <w:rPr>
          <w:rFonts w:ascii="Palatino Linotype" w:eastAsia="Palatino Linotype" w:hAnsi="Palatino Linotype" w:cs="Palatino Linotype"/>
          <w:b/>
          <w:sz w:val="22"/>
          <w:szCs w:val="22"/>
        </w:rPr>
      </w:pPr>
    </w:p>
    <w:p w14:paraId="0BE9DB21" w14:textId="77777777" w:rsidR="005B68DD" w:rsidRPr="00AE2394" w:rsidRDefault="00A57AF2">
      <w:pPr>
        <w:spacing w:line="360" w:lineRule="auto"/>
        <w:jc w:val="both"/>
        <w:rPr>
          <w:rFonts w:ascii="Palatino Linotype" w:eastAsia="Palatino Linotype" w:hAnsi="Palatino Linotype" w:cs="Palatino Linotype"/>
          <w:b/>
          <w:sz w:val="22"/>
          <w:szCs w:val="22"/>
        </w:rPr>
      </w:pPr>
      <w:r w:rsidRPr="00AE2394">
        <w:rPr>
          <w:rFonts w:ascii="Palatino Linotype" w:eastAsia="Palatino Linotype" w:hAnsi="Palatino Linotype" w:cs="Palatino Linotype"/>
          <w:b/>
          <w:sz w:val="22"/>
          <w:szCs w:val="22"/>
        </w:rPr>
        <w:t xml:space="preserve">Primero. </w:t>
      </w:r>
      <w:r w:rsidRPr="00AE2394">
        <w:rPr>
          <w:rFonts w:ascii="Palatino Linotype" w:eastAsia="Palatino Linotype" w:hAnsi="Palatino Linotype" w:cs="Palatino Linotype"/>
          <w:sz w:val="22"/>
          <w:szCs w:val="22"/>
        </w:rPr>
        <w:t xml:space="preserve">Resultan </w:t>
      </w:r>
      <w:r w:rsidRPr="00AE2394">
        <w:rPr>
          <w:rFonts w:ascii="Palatino Linotype" w:eastAsia="Palatino Linotype" w:hAnsi="Palatino Linotype" w:cs="Palatino Linotype"/>
          <w:b/>
          <w:sz w:val="22"/>
          <w:szCs w:val="22"/>
        </w:rPr>
        <w:t>INFUNDADOS</w:t>
      </w:r>
      <w:r w:rsidRPr="00AE2394">
        <w:rPr>
          <w:rFonts w:ascii="Palatino Linotype" w:eastAsia="Palatino Linotype" w:hAnsi="Palatino Linotype" w:cs="Palatino Linotype"/>
          <w:sz w:val="22"/>
          <w:szCs w:val="22"/>
        </w:rPr>
        <w:t xml:space="preserve"> los motivos de inconformidad hechos valer por la parte </w:t>
      </w:r>
      <w:r w:rsidRPr="00AE2394">
        <w:rPr>
          <w:rFonts w:ascii="Palatino Linotype" w:eastAsia="Palatino Linotype" w:hAnsi="Palatino Linotype" w:cs="Palatino Linotype"/>
          <w:b/>
          <w:sz w:val="22"/>
          <w:szCs w:val="22"/>
        </w:rPr>
        <w:t>RECURRENTE</w:t>
      </w:r>
      <w:r w:rsidRPr="00AE2394">
        <w:rPr>
          <w:rFonts w:ascii="Palatino Linotype" w:eastAsia="Palatino Linotype" w:hAnsi="Palatino Linotype" w:cs="Palatino Linotype"/>
          <w:sz w:val="22"/>
          <w:szCs w:val="22"/>
        </w:rPr>
        <w:t xml:space="preserve"> en el Recurso de Revisión </w:t>
      </w:r>
      <w:r w:rsidRPr="00AE2394">
        <w:rPr>
          <w:rFonts w:ascii="Palatino Linotype" w:eastAsia="Palatino Linotype" w:hAnsi="Palatino Linotype" w:cs="Palatino Linotype"/>
          <w:b/>
          <w:sz w:val="22"/>
          <w:szCs w:val="22"/>
        </w:rPr>
        <w:t xml:space="preserve">03099/INFOEM/IP/RR/2025 </w:t>
      </w:r>
      <w:r w:rsidRPr="00AE2394">
        <w:rPr>
          <w:rFonts w:ascii="Palatino Linotype" w:eastAsia="Palatino Linotype" w:hAnsi="Palatino Linotype" w:cs="Palatino Linotype"/>
          <w:sz w:val="22"/>
          <w:szCs w:val="22"/>
        </w:rPr>
        <w:t>por lo que, en términos del</w:t>
      </w:r>
      <w:r w:rsidRPr="00AE2394">
        <w:rPr>
          <w:rFonts w:ascii="Palatino Linotype" w:eastAsia="Palatino Linotype" w:hAnsi="Palatino Linotype" w:cs="Palatino Linotype"/>
          <w:b/>
          <w:sz w:val="22"/>
          <w:szCs w:val="22"/>
        </w:rPr>
        <w:t xml:space="preserve"> Considerando Cuarto </w:t>
      </w:r>
      <w:r w:rsidRPr="00AE2394">
        <w:rPr>
          <w:rFonts w:ascii="Palatino Linotype" w:eastAsia="Palatino Linotype" w:hAnsi="Palatino Linotype" w:cs="Palatino Linotype"/>
          <w:sz w:val="22"/>
          <w:szCs w:val="22"/>
        </w:rPr>
        <w:t xml:space="preserve">de esta resolución, se </w:t>
      </w:r>
      <w:r w:rsidRPr="00AE2394">
        <w:rPr>
          <w:rFonts w:ascii="Palatino Linotype" w:eastAsia="Palatino Linotype" w:hAnsi="Palatino Linotype" w:cs="Palatino Linotype"/>
          <w:b/>
          <w:sz w:val="22"/>
          <w:szCs w:val="22"/>
        </w:rPr>
        <w:t xml:space="preserve">CONFIRMA </w:t>
      </w:r>
      <w:r w:rsidRPr="00AE2394">
        <w:rPr>
          <w:rFonts w:ascii="Palatino Linotype" w:eastAsia="Palatino Linotype" w:hAnsi="Palatino Linotype" w:cs="Palatino Linotype"/>
          <w:sz w:val="22"/>
          <w:szCs w:val="22"/>
        </w:rPr>
        <w:t xml:space="preserve">la respuesta emitida por el </w:t>
      </w:r>
      <w:r w:rsidRPr="00AE2394">
        <w:rPr>
          <w:rFonts w:ascii="Palatino Linotype" w:eastAsia="Palatino Linotype" w:hAnsi="Palatino Linotype" w:cs="Palatino Linotype"/>
          <w:b/>
          <w:sz w:val="22"/>
          <w:szCs w:val="22"/>
        </w:rPr>
        <w:t>SUJETO OBLIGADO</w:t>
      </w:r>
      <w:r w:rsidRPr="00AE2394">
        <w:rPr>
          <w:rFonts w:ascii="Palatino Linotype" w:eastAsia="Palatino Linotype" w:hAnsi="Palatino Linotype" w:cs="Palatino Linotype"/>
          <w:sz w:val="22"/>
          <w:szCs w:val="22"/>
        </w:rPr>
        <w:t>.</w:t>
      </w:r>
    </w:p>
    <w:p w14:paraId="2588470C"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781A6AD4"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Segundo. Notifíquese vía Sistema de Acceso a la Información Mexiquense (SAIMEX)</w:t>
      </w:r>
      <w:r w:rsidRPr="00AE2394">
        <w:rPr>
          <w:rFonts w:ascii="Palatino Linotype" w:eastAsia="Palatino Linotype" w:hAnsi="Palatino Linotype" w:cs="Palatino Linotype"/>
          <w:sz w:val="22"/>
          <w:szCs w:val="22"/>
        </w:rPr>
        <w:t>, al Titular de la Unidad de Transparencia del Sujeto Obligado, para su conocimiento.</w:t>
      </w:r>
    </w:p>
    <w:p w14:paraId="28812E32"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7ED5EC48" w14:textId="77777777" w:rsidR="005B68DD" w:rsidRPr="00AE2394" w:rsidRDefault="00A57AF2">
      <w:pPr>
        <w:spacing w:line="360" w:lineRule="auto"/>
        <w:jc w:val="both"/>
        <w:rPr>
          <w:rFonts w:ascii="Palatino Linotype" w:eastAsia="Palatino Linotype" w:hAnsi="Palatino Linotype" w:cs="Palatino Linotype"/>
          <w:sz w:val="22"/>
          <w:szCs w:val="22"/>
        </w:rPr>
      </w:pPr>
      <w:r w:rsidRPr="00AE2394">
        <w:rPr>
          <w:rFonts w:ascii="Palatino Linotype" w:eastAsia="Palatino Linotype" w:hAnsi="Palatino Linotype" w:cs="Palatino Linotype"/>
          <w:b/>
          <w:sz w:val="22"/>
          <w:szCs w:val="22"/>
        </w:rPr>
        <w:t xml:space="preserve">Tercero. Notifíquese vía Sistema de Acceso a la Información Mexiquense (SAIMEX) </w:t>
      </w:r>
      <w:r w:rsidRPr="00AE2394">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6FD6883B" w14:textId="77777777" w:rsidR="005B68DD" w:rsidRPr="00AE2394" w:rsidRDefault="005B68DD">
      <w:pPr>
        <w:spacing w:line="360" w:lineRule="auto"/>
        <w:jc w:val="both"/>
        <w:rPr>
          <w:rFonts w:ascii="Palatino Linotype" w:eastAsia="Palatino Linotype" w:hAnsi="Palatino Linotype" w:cs="Palatino Linotype"/>
          <w:sz w:val="22"/>
          <w:szCs w:val="22"/>
        </w:rPr>
      </w:pPr>
    </w:p>
    <w:p w14:paraId="143525DD" w14:textId="77777777" w:rsidR="005B68DD" w:rsidRPr="006A07FF" w:rsidRDefault="00A57AF2">
      <w:pPr>
        <w:spacing w:line="360" w:lineRule="auto"/>
        <w:jc w:val="both"/>
        <w:rPr>
          <w:rFonts w:ascii="Palatino Linotype" w:eastAsia="Palatino Linotype" w:hAnsi="Palatino Linotype" w:cs="Palatino Linotype"/>
          <w:sz w:val="22"/>
          <w:szCs w:val="22"/>
        </w:rPr>
        <w:sectPr w:rsidR="005B68DD" w:rsidRPr="006A07FF">
          <w:headerReference w:type="default" r:id="rId12"/>
          <w:footerReference w:type="default" r:id="rId13"/>
          <w:headerReference w:type="first" r:id="rId14"/>
          <w:footerReference w:type="first" r:id="rId15"/>
          <w:pgSz w:w="11920" w:h="16840"/>
          <w:pgMar w:top="1599" w:right="1134" w:bottom="278" w:left="1418" w:header="720" w:footer="720" w:gutter="0"/>
          <w:pgNumType w:start="1"/>
          <w:cols w:space="720"/>
        </w:sectPr>
      </w:pPr>
      <w:r w:rsidRPr="00AE239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w:t>
      </w:r>
      <w:r w:rsidRPr="00AE2394">
        <w:rPr>
          <w:rFonts w:ascii="Palatino Linotype" w:eastAsia="Palatino Linotype" w:hAnsi="Palatino Linotype" w:cs="Palatino Linotype"/>
          <w:sz w:val="22"/>
          <w:szCs w:val="22"/>
        </w:rPr>
        <w:lastRenderedPageBreak/>
        <w:t>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55FA4E73" w14:textId="77777777" w:rsidR="005B68DD" w:rsidRPr="006A07FF" w:rsidRDefault="005B68DD">
      <w:pPr>
        <w:spacing w:line="360" w:lineRule="auto"/>
        <w:jc w:val="both"/>
        <w:rPr>
          <w:rFonts w:ascii="Palatino Linotype" w:eastAsia="Palatino Linotype" w:hAnsi="Palatino Linotype" w:cs="Palatino Linotype"/>
          <w:sz w:val="22"/>
          <w:szCs w:val="22"/>
        </w:rPr>
      </w:pPr>
    </w:p>
    <w:sectPr w:rsidR="005B68DD" w:rsidRPr="006A07FF">
      <w:headerReference w:type="even" r:id="rId16"/>
      <w:headerReference w:type="default" r:id="rId17"/>
      <w:footerReference w:type="even" r:id="rId18"/>
      <w:footerReference w:type="default" r:id="rId19"/>
      <w:headerReference w:type="first" r:id="rId20"/>
      <w:footerReference w:type="first" r:id="rId21"/>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E049" w14:textId="77777777" w:rsidR="00F31CC0" w:rsidRDefault="00F31CC0">
      <w:r>
        <w:separator/>
      </w:r>
    </w:p>
  </w:endnote>
  <w:endnote w:type="continuationSeparator" w:id="0">
    <w:p w14:paraId="7817979A" w14:textId="77777777" w:rsidR="00F31CC0" w:rsidRDefault="00F3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CDE8" w14:textId="77777777" w:rsidR="00925643" w:rsidRDefault="00925643">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AE2394">
      <w:rPr>
        <w:rFonts w:ascii="Calibri" w:eastAsia="Calibri" w:hAnsi="Calibri" w:cs="Calibri"/>
        <w:b/>
        <w:noProof/>
        <w:color w:val="000000"/>
      </w:rPr>
      <w:t>24</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AE2394">
      <w:rPr>
        <w:rFonts w:ascii="Calibri" w:eastAsia="Calibri" w:hAnsi="Calibri" w:cs="Calibri"/>
        <w:b/>
        <w:noProof/>
        <w:color w:val="000000"/>
      </w:rPr>
      <w:t>26</w:t>
    </w:r>
    <w:r>
      <w:rPr>
        <w:rFonts w:ascii="Calibri" w:eastAsia="Calibri" w:hAnsi="Calibri" w:cs="Calibri"/>
        <w:b/>
        <w:color w:val="000000"/>
      </w:rPr>
      <w:fldChar w:fldCharType="end"/>
    </w:r>
  </w:p>
  <w:p w14:paraId="5B482296" w14:textId="77777777" w:rsidR="00925643" w:rsidRDefault="0092564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15C1" w14:textId="77777777" w:rsidR="00925643" w:rsidRDefault="00925643">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AE2394">
      <w:rPr>
        <w:rFonts w:ascii="Calibri" w:eastAsia="Calibri" w:hAnsi="Calibri" w:cs="Calibri"/>
        <w:b/>
        <w:noProof/>
        <w:color w:val="000000"/>
      </w:rPr>
      <w:t>26</w:t>
    </w:r>
    <w:r>
      <w:rPr>
        <w:rFonts w:ascii="Calibri" w:eastAsia="Calibri" w:hAnsi="Calibri" w:cs="Calibri"/>
        <w:b/>
        <w:color w:val="000000"/>
      </w:rPr>
      <w:fldChar w:fldCharType="end"/>
    </w:r>
  </w:p>
  <w:p w14:paraId="68166E71" w14:textId="77777777" w:rsidR="00925643" w:rsidRDefault="0092564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4578" w14:textId="77777777" w:rsidR="00925643" w:rsidRDefault="0092564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E1C2" w14:textId="77777777" w:rsidR="00925643" w:rsidRDefault="0092564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6CAF" w14:textId="77777777" w:rsidR="00925643" w:rsidRDefault="0092564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328A" w14:textId="77777777" w:rsidR="00F31CC0" w:rsidRDefault="00F31CC0">
      <w:r>
        <w:separator/>
      </w:r>
    </w:p>
  </w:footnote>
  <w:footnote w:type="continuationSeparator" w:id="0">
    <w:p w14:paraId="608A9789" w14:textId="77777777" w:rsidR="00F31CC0" w:rsidRDefault="00F3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C028" w14:textId="77777777" w:rsidR="00925643" w:rsidRDefault="0092564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0A0F7D05" wp14:editId="0F3BE98F">
          <wp:simplePos x="0" y="0"/>
          <wp:positionH relativeFrom="column">
            <wp:posOffset>-673733</wp:posOffset>
          </wp:positionH>
          <wp:positionV relativeFrom="paragraph">
            <wp:posOffset>-322578</wp:posOffset>
          </wp:positionV>
          <wp:extent cx="7809876" cy="10165823"/>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826" w:type="dxa"/>
      <w:tblLayout w:type="fixed"/>
      <w:tblLook w:val="0400" w:firstRow="0" w:lastRow="0" w:firstColumn="0" w:lastColumn="0" w:noHBand="0" w:noVBand="1"/>
    </w:tblPr>
    <w:tblGrid>
      <w:gridCol w:w="2551"/>
      <w:gridCol w:w="3119"/>
    </w:tblGrid>
    <w:tr w:rsidR="00925643" w14:paraId="2BEC6C2B" w14:textId="77777777">
      <w:tc>
        <w:tcPr>
          <w:tcW w:w="2551" w:type="dxa"/>
          <w:vAlign w:val="center"/>
        </w:tcPr>
        <w:p w14:paraId="2D6A790D" w14:textId="77777777" w:rsidR="00925643" w:rsidRDefault="00925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8B2BC3D" w14:textId="77777777" w:rsidR="00925643" w:rsidRDefault="0092564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03099/INFOEM/IP/RR/2025 </w:t>
          </w:r>
        </w:p>
      </w:tc>
    </w:tr>
    <w:tr w:rsidR="00925643" w14:paraId="1C8258F6" w14:textId="77777777">
      <w:trPr>
        <w:trHeight w:val="228"/>
      </w:trPr>
      <w:tc>
        <w:tcPr>
          <w:tcW w:w="2551" w:type="dxa"/>
          <w:vAlign w:val="center"/>
        </w:tcPr>
        <w:p w14:paraId="27FE78B3" w14:textId="77777777" w:rsidR="00925643" w:rsidRDefault="00925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8694504" w14:textId="77777777" w:rsidR="00925643" w:rsidRDefault="00925643">
          <w:pPr>
            <w:rPr>
              <w:rFonts w:ascii="Palatino Linotype" w:eastAsia="Palatino Linotype" w:hAnsi="Palatino Linotype" w:cs="Palatino Linotype"/>
              <w:b/>
              <w:sz w:val="22"/>
              <w:szCs w:val="22"/>
            </w:rPr>
          </w:pPr>
        </w:p>
      </w:tc>
      <w:tc>
        <w:tcPr>
          <w:tcW w:w="3119" w:type="dxa"/>
          <w:vAlign w:val="center"/>
        </w:tcPr>
        <w:p w14:paraId="29898A10" w14:textId="77777777" w:rsidR="00925643" w:rsidRDefault="00925643">
          <w:pPr>
            <w:tabs>
              <w:tab w:val="left" w:pos="1263"/>
            </w:tabs>
            <w:ind w:right="30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Atlacomulco </w:t>
          </w:r>
        </w:p>
      </w:tc>
    </w:tr>
    <w:tr w:rsidR="00925643" w14:paraId="13144458" w14:textId="77777777">
      <w:trPr>
        <w:trHeight w:val="228"/>
      </w:trPr>
      <w:tc>
        <w:tcPr>
          <w:tcW w:w="2551" w:type="dxa"/>
          <w:vAlign w:val="center"/>
        </w:tcPr>
        <w:p w14:paraId="4F9BA457" w14:textId="77777777" w:rsidR="00925643" w:rsidRDefault="00925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20FC88AE" w14:textId="77777777" w:rsidR="00925643" w:rsidRDefault="00925643">
          <w:pPr>
            <w:ind w:right="27"/>
            <w:jc w:val="both"/>
            <w:rPr>
              <w:rFonts w:ascii="Palatino Linotype" w:eastAsia="Palatino Linotype" w:hAnsi="Palatino Linotype" w:cs="Palatino Linotype"/>
              <w:b/>
              <w:sz w:val="22"/>
              <w:szCs w:val="22"/>
            </w:rPr>
          </w:pPr>
        </w:p>
      </w:tc>
    </w:tr>
    <w:tr w:rsidR="00925643" w14:paraId="6E422FA2" w14:textId="77777777">
      <w:tc>
        <w:tcPr>
          <w:tcW w:w="2551" w:type="dxa"/>
          <w:vAlign w:val="center"/>
        </w:tcPr>
        <w:p w14:paraId="0B8EA23D" w14:textId="77777777" w:rsidR="00925643" w:rsidRDefault="00925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9F2AF76" w14:textId="77777777" w:rsidR="00925643" w:rsidRDefault="0092564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2A5E19" w14:textId="77777777" w:rsidR="00925643" w:rsidRDefault="00925643">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C7A7" w14:textId="77777777" w:rsidR="00925643" w:rsidRDefault="0092564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87BC408" wp14:editId="0F1C1969">
          <wp:simplePos x="0" y="0"/>
          <wp:positionH relativeFrom="column">
            <wp:posOffset>-692783</wp:posOffset>
          </wp:positionH>
          <wp:positionV relativeFrom="paragraph">
            <wp:posOffset>-198752</wp:posOffset>
          </wp:positionV>
          <wp:extent cx="7809876" cy="10165823"/>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70" w:type="dxa"/>
      <w:tblInd w:w="3826" w:type="dxa"/>
      <w:tblLayout w:type="fixed"/>
      <w:tblLook w:val="0400" w:firstRow="0" w:lastRow="0" w:firstColumn="0" w:lastColumn="0" w:noHBand="0" w:noVBand="1"/>
    </w:tblPr>
    <w:tblGrid>
      <w:gridCol w:w="2551"/>
      <w:gridCol w:w="3119"/>
    </w:tblGrid>
    <w:tr w:rsidR="00925643" w14:paraId="007557E5" w14:textId="77777777">
      <w:tc>
        <w:tcPr>
          <w:tcW w:w="2551" w:type="dxa"/>
          <w:vAlign w:val="center"/>
        </w:tcPr>
        <w:p w14:paraId="209E4163" w14:textId="77777777" w:rsidR="00925643" w:rsidRDefault="00925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23F4635" w14:textId="77777777" w:rsidR="00925643" w:rsidRDefault="0092564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925643" w14:paraId="43EBBBB0" w14:textId="77777777">
      <w:tc>
        <w:tcPr>
          <w:tcW w:w="2551" w:type="dxa"/>
          <w:vAlign w:val="center"/>
        </w:tcPr>
        <w:p w14:paraId="30B98A64" w14:textId="77777777" w:rsidR="00925643" w:rsidRDefault="0092564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8FED985" w14:textId="77777777" w:rsidR="00925643" w:rsidRDefault="0092564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925643" w14:paraId="2797AF53" w14:textId="77777777">
      <w:trPr>
        <w:trHeight w:val="228"/>
      </w:trPr>
      <w:tc>
        <w:tcPr>
          <w:tcW w:w="2551" w:type="dxa"/>
          <w:vAlign w:val="center"/>
        </w:tcPr>
        <w:p w14:paraId="458C348A" w14:textId="77777777" w:rsidR="00925643" w:rsidRDefault="00925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EC877A9" w14:textId="77777777" w:rsidR="00925643" w:rsidRDefault="00925643">
          <w:pPr>
            <w:rPr>
              <w:rFonts w:ascii="Palatino Linotype" w:eastAsia="Palatino Linotype" w:hAnsi="Palatino Linotype" w:cs="Palatino Linotype"/>
              <w:b/>
              <w:sz w:val="22"/>
              <w:szCs w:val="22"/>
            </w:rPr>
          </w:pPr>
        </w:p>
      </w:tc>
      <w:tc>
        <w:tcPr>
          <w:tcW w:w="3119" w:type="dxa"/>
          <w:vAlign w:val="center"/>
        </w:tcPr>
        <w:p w14:paraId="5BA36CF4" w14:textId="77777777" w:rsidR="00925643" w:rsidRDefault="0092564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925643" w14:paraId="16C18BEF" w14:textId="77777777">
      <w:tc>
        <w:tcPr>
          <w:tcW w:w="2551" w:type="dxa"/>
          <w:vAlign w:val="center"/>
        </w:tcPr>
        <w:p w14:paraId="012DBF19" w14:textId="77777777" w:rsidR="00925643" w:rsidRDefault="00925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308E18C" w14:textId="77777777" w:rsidR="00925643" w:rsidRDefault="0092564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220720" w14:textId="77777777" w:rsidR="00925643" w:rsidRDefault="00925643">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E385" w14:textId="77777777" w:rsidR="00925643" w:rsidRDefault="0092564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A8CC" w14:textId="77777777" w:rsidR="00925643" w:rsidRDefault="0092564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FFCD" w14:textId="77777777" w:rsidR="00925643" w:rsidRDefault="00925643">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59C5768" w14:textId="77777777" w:rsidR="00925643" w:rsidRDefault="0092564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74327"/>
    <w:multiLevelType w:val="multilevel"/>
    <w:tmpl w:val="094ADCF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0A2E26"/>
    <w:multiLevelType w:val="multilevel"/>
    <w:tmpl w:val="4DA8B6E0"/>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94297E"/>
    <w:multiLevelType w:val="multilevel"/>
    <w:tmpl w:val="0F208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D10F8C"/>
    <w:multiLevelType w:val="multilevel"/>
    <w:tmpl w:val="45A6470A"/>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FE108B"/>
    <w:multiLevelType w:val="multilevel"/>
    <w:tmpl w:val="9A94C2B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58BC7F5E"/>
    <w:multiLevelType w:val="multilevel"/>
    <w:tmpl w:val="1CB6DAC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DD"/>
    <w:rsid w:val="002A4480"/>
    <w:rsid w:val="004B67BF"/>
    <w:rsid w:val="004D2C07"/>
    <w:rsid w:val="005B66A6"/>
    <w:rsid w:val="005B68DD"/>
    <w:rsid w:val="00632E4F"/>
    <w:rsid w:val="006A07FF"/>
    <w:rsid w:val="008A4FDF"/>
    <w:rsid w:val="00924DAC"/>
    <w:rsid w:val="00925643"/>
    <w:rsid w:val="00A57AF2"/>
    <w:rsid w:val="00AC3F69"/>
    <w:rsid w:val="00AE2394"/>
    <w:rsid w:val="00C45235"/>
    <w:rsid w:val="00CF0A17"/>
    <w:rsid w:val="00D8209D"/>
    <w:rsid w:val="00DA7D0A"/>
    <w:rsid w:val="00F31CC0"/>
    <w:rsid w:val="00FC27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1DA5"/>
  <w15:docId w15:val="{B02748CA-FE98-4351-959C-9F24E68D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87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7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Nqfo0JWWRSViHtOvUyclRCzNw==">CgMxLjAyCWguM3pueXNoNzIIaC5namRneHMyCWguMzBqMHpsbDIOaC51ZHZpOXQ3ZnVmcWc4AHIhMTNZYmtnUEs2VUZTOTdFYmhtZDBBN0dmWE5MTTdIREZP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6747</Words>
  <Characters>37110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2025-06-06T20:47:00Z</cp:lastPrinted>
  <dcterms:created xsi:type="dcterms:W3CDTF">2025-06-27T03:55:00Z</dcterms:created>
  <dcterms:modified xsi:type="dcterms:W3CDTF">2025-06-27T03:55:00Z</dcterms:modified>
</cp:coreProperties>
</file>