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70E77FFB" w:rsidR="007E2E80" w:rsidRPr="00E24229" w:rsidRDefault="007E2E80" w:rsidP="0014447C">
      <w:pPr>
        <w:pStyle w:val="Sinespaciado"/>
        <w:spacing w:line="360" w:lineRule="auto"/>
        <w:jc w:val="both"/>
        <w:rPr>
          <w:rFonts w:ascii="Palatino Linotype" w:hAnsi="Palatino Linotype"/>
          <w:sz w:val="24"/>
          <w:szCs w:val="24"/>
          <w:lang w:val="es-ES_tradnl" w:eastAsia="es-MX"/>
        </w:rPr>
      </w:pPr>
      <w:r w:rsidRPr="00E24229">
        <w:rPr>
          <w:rFonts w:ascii="Palatino Linotype" w:hAnsi="Palatino Linotype"/>
          <w:sz w:val="24"/>
          <w:szCs w:val="24"/>
          <w:lang w:val="es-ES_tradnl" w:eastAsia="es-MX"/>
        </w:rPr>
        <w:t>Resolución del Pleno del Instituto de Transparencia, Acceso a la Información</w:t>
      </w:r>
      <w:bookmarkStart w:id="0" w:name="_GoBack"/>
      <w:bookmarkEnd w:id="0"/>
      <w:r w:rsidRPr="00E24229">
        <w:rPr>
          <w:rFonts w:ascii="Palatino Linotype" w:hAnsi="Palatino Linotype"/>
          <w:sz w:val="24"/>
          <w:szCs w:val="24"/>
          <w:lang w:val="es-ES_tradnl" w:eastAsia="es-MX"/>
        </w:rPr>
        <w:t xml:space="preserve"> Pública y Protección de Datos Personales del Estado de México y Municipios, con domicilio en Metepec, Estado de México, </w:t>
      </w:r>
      <w:r w:rsidR="004A51FF" w:rsidRPr="00E24229">
        <w:rPr>
          <w:rFonts w:ascii="Palatino Linotype" w:hAnsi="Palatino Linotype"/>
          <w:sz w:val="24"/>
          <w:szCs w:val="24"/>
          <w:lang w:val="es-ES_tradnl" w:eastAsia="es-MX"/>
        </w:rPr>
        <w:t xml:space="preserve">a </w:t>
      </w:r>
      <w:r w:rsidR="00C03CC7" w:rsidRPr="00E24229">
        <w:rPr>
          <w:rFonts w:ascii="Palatino Linotype" w:hAnsi="Palatino Linotype"/>
          <w:sz w:val="24"/>
          <w:szCs w:val="24"/>
          <w:lang w:val="es-ES_tradnl" w:eastAsia="es-MX"/>
        </w:rPr>
        <w:t>veinticuatro</w:t>
      </w:r>
      <w:r w:rsidR="00E62A64" w:rsidRPr="00E24229">
        <w:rPr>
          <w:rFonts w:ascii="Palatino Linotype" w:hAnsi="Palatino Linotype"/>
          <w:sz w:val="24"/>
          <w:szCs w:val="24"/>
          <w:lang w:val="es-ES_tradnl" w:eastAsia="es-MX"/>
        </w:rPr>
        <w:t xml:space="preserve"> de septiembre</w:t>
      </w:r>
      <w:r w:rsidR="001C3053" w:rsidRPr="00E24229">
        <w:rPr>
          <w:rFonts w:ascii="Palatino Linotype" w:hAnsi="Palatino Linotype"/>
          <w:sz w:val="24"/>
          <w:szCs w:val="24"/>
          <w:lang w:val="es-ES_tradnl" w:eastAsia="es-MX"/>
        </w:rPr>
        <w:t xml:space="preserve"> de dos mil veinticinco</w:t>
      </w:r>
      <w:r w:rsidRPr="00E24229">
        <w:rPr>
          <w:rFonts w:ascii="Palatino Linotype" w:hAnsi="Palatino Linotype"/>
          <w:sz w:val="24"/>
          <w:szCs w:val="24"/>
          <w:lang w:val="es-ES_tradnl" w:eastAsia="es-MX"/>
        </w:rPr>
        <w:t>.</w:t>
      </w:r>
    </w:p>
    <w:p w14:paraId="3BA928B8" w14:textId="77777777" w:rsidR="007E2E80" w:rsidRPr="00E24229" w:rsidRDefault="007E2E80" w:rsidP="0014447C">
      <w:pPr>
        <w:pStyle w:val="Sinespaciado"/>
        <w:spacing w:line="360" w:lineRule="auto"/>
        <w:jc w:val="both"/>
        <w:rPr>
          <w:rFonts w:ascii="Palatino Linotype" w:hAnsi="Palatino Linotype"/>
          <w:sz w:val="24"/>
          <w:szCs w:val="24"/>
          <w:lang w:val="es-ES_tradnl" w:eastAsia="es-MX"/>
        </w:rPr>
      </w:pPr>
    </w:p>
    <w:p w14:paraId="638BF8F4" w14:textId="11DE0DCC" w:rsidR="007E2E80" w:rsidRPr="00E24229" w:rsidRDefault="007E2E80"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b/>
          <w:sz w:val="24"/>
          <w:szCs w:val="24"/>
          <w:lang w:val="es-ES_tradnl"/>
        </w:rPr>
        <w:t>VISTO</w:t>
      </w:r>
      <w:r w:rsidRPr="00E24229">
        <w:rPr>
          <w:rFonts w:ascii="Palatino Linotype" w:hAnsi="Palatino Linotype"/>
          <w:sz w:val="24"/>
          <w:szCs w:val="24"/>
          <w:lang w:val="es-ES_tradnl"/>
        </w:rPr>
        <w:t xml:space="preserve"> el expediente electrónico formado con motivo del recurso de revisión número </w:t>
      </w:r>
      <w:r w:rsidR="00C03CC7" w:rsidRPr="00E24229">
        <w:rPr>
          <w:rFonts w:ascii="Palatino Linotype" w:hAnsi="Palatino Linotype"/>
          <w:b/>
          <w:bCs/>
          <w:sz w:val="24"/>
          <w:szCs w:val="24"/>
          <w:lang w:val="es-ES_tradnl" w:eastAsia="es-MX"/>
        </w:rPr>
        <w:t>07255/INFOEM/IP/RR/2025</w:t>
      </w:r>
      <w:r w:rsidR="003C3124" w:rsidRPr="00E24229">
        <w:rPr>
          <w:rFonts w:ascii="Palatino Linotype" w:hAnsi="Palatino Linotype"/>
          <w:sz w:val="24"/>
          <w:szCs w:val="24"/>
          <w:lang w:val="es-ES_tradnl"/>
        </w:rPr>
        <w:t xml:space="preserve">, </w:t>
      </w:r>
      <w:r w:rsidR="001C3053" w:rsidRPr="00E24229">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1C3053" w:rsidRPr="00E24229">
        <w:rPr>
          <w:rFonts w:ascii="Palatino Linotype" w:hAnsi="Palatino Linotype" w:cs="Arial"/>
          <w:b/>
          <w:sz w:val="24"/>
          <w:szCs w:val="24"/>
        </w:rPr>
        <w:t xml:space="preserve"> </w:t>
      </w:r>
      <w:r w:rsidR="001C3053" w:rsidRPr="00E24229">
        <w:rPr>
          <w:rFonts w:ascii="Palatino Linotype" w:hAnsi="Palatino Linotype" w:cs="Arial"/>
          <w:sz w:val="24"/>
          <w:szCs w:val="24"/>
        </w:rPr>
        <w:t xml:space="preserve">en lo sucesivo </w:t>
      </w:r>
      <w:r w:rsidR="001C3053" w:rsidRPr="00E24229">
        <w:rPr>
          <w:rFonts w:ascii="Palatino Linotype" w:hAnsi="Palatino Linotype" w:cs="Arial"/>
          <w:b/>
          <w:sz w:val="24"/>
          <w:szCs w:val="24"/>
        </w:rPr>
        <w:t>El Recurrente</w:t>
      </w:r>
      <w:r w:rsidRPr="00E24229">
        <w:rPr>
          <w:rFonts w:ascii="Palatino Linotype" w:hAnsi="Palatino Linotype"/>
          <w:sz w:val="24"/>
          <w:szCs w:val="24"/>
          <w:lang w:val="es-ES_tradnl"/>
        </w:rPr>
        <w:t>, en contra de la respuesta de</w:t>
      </w:r>
      <w:r w:rsidR="00A67E7A" w:rsidRPr="00E24229">
        <w:rPr>
          <w:rFonts w:ascii="Palatino Linotype" w:hAnsi="Palatino Linotype"/>
          <w:sz w:val="24"/>
          <w:szCs w:val="24"/>
          <w:lang w:val="es-ES_tradnl"/>
        </w:rPr>
        <w:t>l</w:t>
      </w:r>
      <w:r w:rsidRPr="00E24229">
        <w:rPr>
          <w:rFonts w:ascii="Palatino Linotype" w:hAnsi="Palatino Linotype"/>
          <w:sz w:val="24"/>
          <w:szCs w:val="24"/>
          <w:lang w:val="es-ES_tradnl"/>
        </w:rPr>
        <w:t xml:space="preserve"> </w:t>
      </w:r>
      <w:r w:rsidR="006B27EC" w:rsidRPr="00E24229">
        <w:rPr>
          <w:rFonts w:ascii="Palatino Linotype" w:hAnsi="Palatino Linotype" w:cs="Arial"/>
          <w:b/>
          <w:bCs/>
          <w:sz w:val="24"/>
          <w:szCs w:val="24"/>
          <w:lang w:val="es-ES_tradnl"/>
        </w:rPr>
        <w:t>Ayuntamiento de Zinacantepec</w:t>
      </w:r>
      <w:r w:rsidRPr="00E24229">
        <w:rPr>
          <w:rFonts w:ascii="Palatino Linotype" w:hAnsi="Palatino Linotype"/>
          <w:sz w:val="24"/>
          <w:szCs w:val="24"/>
          <w:lang w:val="es-ES_tradnl"/>
        </w:rPr>
        <w:t>, en lo subsecuente</w:t>
      </w:r>
      <w:r w:rsidR="00DD2D53" w:rsidRPr="00E24229">
        <w:rPr>
          <w:rFonts w:ascii="Palatino Linotype" w:hAnsi="Palatino Linotype"/>
          <w:b/>
          <w:sz w:val="24"/>
          <w:szCs w:val="24"/>
          <w:lang w:val="es-ES_tradnl"/>
        </w:rPr>
        <w:t xml:space="preserve"> e</w:t>
      </w:r>
      <w:r w:rsidRPr="00E24229">
        <w:rPr>
          <w:rFonts w:ascii="Palatino Linotype" w:hAnsi="Palatino Linotype"/>
          <w:b/>
          <w:sz w:val="24"/>
          <w:szCs w:val="24"/>
          <w:lang w:val="es-ES_tradnl"/>
        </w:rPr>
        <w:t xml:space="preserve">l Sujeto Obligado, </w:t>
      </w:r>
      <w:r w:rsidRPr="00E24229">
        <w:rPr>
          <w:rFonts w:ascii="Palatino Linotype" w:hAnsi="Palatino Linotype"/>
          <w:sz w:val="24"/>
          <w:szCs w:val="24"/>
          <w:lang w:val="es-ES_tradnl"/>
        </w:rPr>
        <w:t>se procede a dictar la presente resolución.</w:t>
      </w:r>
    </w:p>
    <w:p w14:paraId="0BDA87E1" w14:textId="77777777" w:rsidR="007E2E80" w:rsidRPr="00E24229"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E24229" w:rsidRDefault="007E2E80" w:rsidP="0014447C">
      <w:pPr>
        <w:pStyle w:val="Sinespaciado"/>
        <w:spacing w:line="360" w:lineRule="auto"/>
        <w:jc w:val="center"/>
        <w:rPr>
          <w:rFonts w:ascii="Palatino Linotype" w:hAnsi="Palatino Linotype"/>
          <w:b/>
          <w:sz w:val="28"/>
          <w:szCs w:val="28"/>
          <w:lang w:val="es-ES_tradnl"/>
        </w:rPr>
      </w:pPr>
      <w:r w:rsidRPr="00E24229">
        <w:rPr>
          <w:rFonts w:ascii="Palatino Linotype" w:hAnsi="Palatino Linotype"/>
          <w:b/>
          <w:sz w:val="28"/>
          <w:szCs w:val="28"/>
          <w:lang w:val="es-ES_tradnl"/>
        </w:rPr>
        <w:t>A N T E C E D E N T E S   D E L   A S U N T O</w:t>
      </w:r>
    </w:p>
    <w:p w14:paraId="3B4C9694" w14:textId="77777777" w:rsidR="00DD5971" w:rsidRPr="00E24229"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E24229" w:rsidRDefault="007E2E80" w:rsidP="0014447C">
      <w:pPr>
        <w:pStyle w:val="Sinespaciado"/>
        <w:spacing w:line="360" w:lineRule="auto"/>
        <w:jc w:val="both"/>
        <w:rPr>
          <w:rFonts w:ascii="Palatino Linotype" w:hAnsi="Palatino Linotype"/>
          <w:sz w:val="26"/>
          <w:szCs w:val="26"/>
          <w:lang w:val="es-ES_tradnl"/>
        </w:rPr>
      </w:pPr>
      <w:r w:rsidRPr="00E24229">
        <w:rPr>
          <w:rFonts w:ascii="Palatino Linotype" w:hAnsi="Palatino Linotype"/>
          <w:b/>
          <w:sz w:val="26"/>
          <w:szCs w:val="26"/>
          <w:lang w:val="es-ES_tradnl"/>
        </w:rPr>
        <w:t>PRIMERO.</w:t>
      </w:r>
      <w:r w:rsidRPr="00E24229">
        <w:rPr>
          <w:rFonts w:ascii="Palatino Linotype" w:hAnsi="Palatino Linotype"/>
          <w:sz w:val="26"/>
          <w:szCs w:val="26"/>
          <w:lang w:val="es-ES_tradnl"/>
        </w:rPr>
        <w:t xml:space="preserve"> </w:t>
      </w:r>
      <w:r w:rsidRPr="00E24229">
        <w:rPr>
          <w:rFonts w:ascii="Palatino Linotype" w:hAnsi="Palatino Linotype"/>
          <w:b/>
          <w:sz w:val="26"/>
          <w:szCs w:val="26"/>
          <w:lang w:val="es-ES_tradnl"/>
        </w:rPr>
        <w:t>De la Solicitud de Información.</w:t>
      </w:r>
    </w:p>
    <w:p w14:paraId="2A54E4AF" w14:textId="5640E587" w:rsidR="00D65592" w:rsidRPr="00E24229" w:rsidRDefault="007E2E80"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Con</w:t>
      </w:r>
      <w:r w:rsidR="008C0E72" w:rsidRPr="00E24229">
        <w:rPr>
          <w:rFonts w:ascii="Palatino Linotype" w:hAnsi="Palatino Linotype"/>
          <w:sz w:val="24"/>
          <w:szCs w:val="24"/>
          <w:lang w:val="es-ES_tradnl"/>
        </w:rPr>
        <w:t xml:space="preserve"> fecha </w:t>
      </w:r>
      <w:r w:rsidR="006B27EC" w:rsidRPr="00E24229">
        <w:rPr>
          <w:rFonts w:ascii="Palatino Linotype" w:hAnsi="Palatino Linotype"/>
          <w:sz w:val="24"/>
          <w:szCs w:val="24"/>
          <w:lang w:val="es-ES_tradnl"/>
        </w:rPr>
        <w:t>seis</w:t>
      </w:r>
      <w:r w:rsidR="00E62A64" w:rsidRPr="00E24229">
        <w:rPr>
          <w:rFonts w:ascii="Palatino Linotype" w:hAnsi="Palatino Linotype"/>
          <w:sz w:val="24"/>
          <w:szCs w:val="24"/>
          <w:lang w:val="es-ES_tradnl"/>
        </w:rPr>
        <w:t xml:space="preserve"> de mayo</w:t>
      </w:r>
      <w:r w:rsidR="001C3053" w:rsidRPr="00E24229">
        <w:rPr>
          <w:rFonts w:ascii="Palatino Linotype" w:hAnsi="Palatino Linotype"/>
          <w:sz w:val="24"/>
          <w:szCs w:val="24"/>
          <w:lang w:val="es-ES_tradnl"/>
        </w:rPr>
        <w:t xml:space="preserve"> de dos mil veinticinco</w:t>
      </w:r>
      <w:r w:rsidR="00774DEF" w:rsidRPr="00E24229">
        <w:rPr>
          <w:rFonts w:ascii="Palatino Linotype" w:hAnsi="Palatino Linotype"/>
          <w:sz w:val="24"/>
          <w:szCs w:val="24"/>
          <w:lang w:val="es-ES_tradnl"/>
        </w:rPr>
        <w:t xml:space="preserve">, </w:t>
      </w:r>
      <w:r w:rsidR="005F5FE1" w:rsidRPr="00E24229">
        <w:rPr>
          <w:rFonts w:ascii="Palatino Linotype" w:hAnsi="Palatino Linotype"/>
          <w:sz w:val="24"/>
          <w:szCs w:val="24"/>
          <w:lang w:val="es-ES_tradnl"/>
        </w:rPr>
        <w:t>el</w:t>
      </w:r>
      <w:r w:rsidR="00DD2D53" w:rsidRPr="00E24229">
        <w:rPr>
          <w:rFonts w:ascii="Palatino Linotype" w:hAnsi="Palatino Linotype"/>
          <w:sz w:val="24"/>
          <w:szCs w:val="24"/>
          <w:lang w:val="es-ES_tradnl"/>
        </w:rPr>
        <w:t xml:space="preserve"> </w:t>
      </w:r>
      <w:r w:rsidRPr="00E24229">
        <w:rPr>
          <w:rFonts w:ascii="Palatino Linotype" w:hAnsi="Palatino Linotype"/>
          <w:b/>
          <w:bCs/>
          <w:sz w:val="24"/>
          <w:szCs w:val="24"/>
          <w:lang w:val="es-ES_tradnl"/>
        </w:rPr>
        <w:t>Recurrente</w:t>
      </w:r>
      <w:r w:rsidRPr="00E24229">
        <w:rPr>
          <w:rFonts w:ascii="Palatino Linotype" w:hAnsi="Palatino Linotype"/>
          <w:sz w:val="24"/>
          <w:szCs w:val="24"/>
          <w:lang w:val="es-ES_tradnl"/>
        </w:rPr>
        <w:t>, presentó a través del Sistema de Acceso a la Información Mexiquense (</w:t>
      </w:r>
      <w:r w:rsidRPr="00E24229">
        <w:rPr>
          <w:rFonts w:ascii="Palatino Linotype" w:hAnsi="Palatino Linotype"/>
          <w:b/>
          <w:sz w:val="24"/>
          <w:szCs w:val="24"/>
          <w:lang w:val="es-ES_tradnl"/>
        </w:rPr>
        <w:t>SAIMEX)</w:t>
      </w:r>
      <w:r w:rsidRPr="00E24229">
        <w:rPr>
          <w:rFonts w:ascii="Palatino Linotype" w:hAnsi="Palatino Linotype"/>
          <w:sz w:val="24"/>
          <w:szCs w:val="24"/>
          <w:lang w:val="es-ES_tradnl"/>
        </w:rPr>
        <w:t xml:space="preserve"> ante </w:t>
      </w:r>
      <w:r w:rsidR="00DD2D53" w:rsidRPr="00E24229">
        <w:rPr>
          <w:rFonts w:ascii="Palatino Linotype" w:hAnsi="Palatino Linotype"/>
          <w:sz w:val="24"/>
          <w:szCs w:val="24"/>
          <w:lang w:val="es-ES_tradnl"/>
        </w:rPr>
        <w:t>e</w:t>
      </w:r>
      <w:r w:rsidRPr="00E24229">
        <w:rPr>
          <w:rFonts w:ascii="Palatino Linotype" w:hAnsi="Palatino Linotype"/>
          <w:sz w:val="24"/>
          <w:szCs w:val="24"/>
          <w:lang w:val="es-ES_tradnl"/>
        </w:rPr>
        <w:t>l Sujeto Obligado, solicitud de acceso a la información pública, registrada bajo el número de expediente</w:t>
      </w:r>
      <w:r w:rsidR="00216B8D" w:rsidRPr="00E24229">
        <w:rPr>
          <w:rFonts w:ascii="Palatino Linotype" w:hAnsi="Palatino Linotype"/>
          <w:b/>
          <w:sz w:val="24"/>
          <w:szCs w:val="24"/>
          <w:lang w:val="es-ES_tradnl"/>
        </w:rPr>
        <w:t xml:space="preserve"> </w:t>
      </w:r>
      <w:r w:rsidR="006B27EC" w:rsidRPr="00E24229">
        <w:rPr>
          <w:rFonts w:ascii="Palatino Linotype" w:hAnsi="Palatino Linotype"/>
          <w:b/>
          <w:bCs/>
          <w:sz w:val="24"/>
          <w:szCs w:val="24"/>
          <w:lang w:val="es-ES_tradnl"/>
        </w:rPr>
        <w:t>00358/ZINACANT/IP/2025</w:t>
      </w:r>
      <w:r w:rsidRPr="00E24229">
        <w:rPr>
          <w:rFonts w:ascii="Palatino Linotype" w:hAnsi="Palatino Linotype"/>
          <w:b/>
          <w:sz w:val="24"/>
          <w:szCs w:val="24"/>
          <w:lang w:val="es-ES_tradnl" w:eastAsia="es-MX"/>
        </w:rPr>
        <w:t xml:space="preserve">, </w:t>
      </w:r>
      <w:r w:rsidRPr="00E24229">
        <w:rPr>
          <w:rFonts w:ascii="Palatino Linotype" w:hAnsi="Palatino Linotype"/>
          <w:sz w:val="24"/>
          <w:szCs w:val="24"/>
          <w:lang w:val="es-ES_tradnl"/>
        </w:rPr>
        <w:t>mediante la cual solicitó información en el tenor siguiente:</w:t>
      </w:r>
    </w:p>
    <w:p w14:paraId="15D5E624" w14:textId="77777777" w:rsidR="00D65592" w:rsidRPr="00E24229"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17A4EA4B" w:rsidR="007E2E80" w:rsidRPr="00E24229" w:rsidRDefault="007E2E80" w:rsidP="00854B26">
      <w:pPr>
        <w:pStyle w:val="Sinespaciado"/>
        <w:ind w:left="567" w:right="567"/>
        <w:jc w:val="both"/>
        <w:rPr>
          <w:rFonts w:ascii="Palatino Linotype" w:eastAsia="Times New Roman" w:hAnsi="Palatino Linotype" w:cs="Times New Roman"/>
          <w:i/>
          <w:lang w:val="es-ES_tradnl" w:eastAsia="es-ES"/>
        </w:rPr>
      </w:pPr>
      <w:r w:rsidRPr="00E24229">
        <w:rPr>
          <w:rFonts w:ascii="Palatino Linotype" w:eastAsia="Times New Roman" w:hAnsi="Palatino Linotype" w:cs="Times New Roman"/>
          <w:i/>
          <w:sz w:val="24"/>
          <w:szCs w:val="24"/>
          <w:lang w:val="es-ES_tradnl" w:eastAsia="es-ES"/>
        </w:rPr>
        <w:t>“</w:t>
      </w:r>
      <w:r w:rsidR="006B27EC" w:rsidRPr="00E24229">
        <w:rPr>
          <w:rFonts w:ascii="Palatino Linotype" w:eastAsia="Times New Roman" w:hAnsi="Palatino Linotype" w:cs="Times New Roman"/>
          <w:i/>
          <w:lang w:val="es-ES_tradnl" w:eastAsia="es-ES"/>
        </w:rPr>
        <w:t>Informe detallado de todos los gastos ejercidos entre 2022 y 2024 con recursos obtenidos fuera del presupuesto aprobado (ej. donaciones, convenios, fondos extraordinarios), especificando origen, cuentas de ingreso, contratos relacionados, proveedores, y evidencia del uso de esos recursos, aunque no figuren en el presupuesto público publicado.</w:t>
      </w:r>
      <w:r w:rsidRPr="00E24229">
        <w:rPr>
          <w:rFonts w:ascii="Palatino Linotype" w:eastAsia="Times New Roman" w:hAnsi="Palatino Linotype" w:cs="Times New Roman"/>
          <w:i/>
          <w:lang w:val="es-ES_tradnl" w:eastAsia="es-ES"/>
        </w:rPr>
        <w:t>” [Sic]</w:t>
      </w:r>
    </w:p>
    <w:p w14:paraId="6EFA9BFC" w14:textId="77777777" w:rsidR="00851958" w:rsidRPr="00E24229"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Pr="00E24229"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E24229"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E24229">
        <w:rPr>
          <w:rFonts w:ascii="Palatino Linotype" w:eastAsia="Times New Roman" w:hAnsi="Palatino Linotype" w:cs="Times New Roman"/>
          <w:sz w:val="24"/>
          <w:szCs w:val="24"/>
          <w:lang w:val="es-ES_tradnl" w:eastAsia="es-ES"/>
        </w:rPr>
        <w:lastRenderedPageBreak/>
        <w:t xml:space="preserve">Modalidad de entrega: </w:t>
      </w:r>
      <w:r w:rsidRPr="00E24229">
        <w:rPr>
          <w:rFonts w:ascii="Palatino Linotype" w:eastAsia="Times New Roman" w:hAnsi="Palatino Linotype" w:cs="Times New Roman"/>
          <w:b/>
          <w:sz w:val="24"/>
          <w:szCs w:val="24"/>
          <w:lang w:val="es-ES_tradnl" w:eastAsia="es-ES"/>
        </w:rPr>
        <w:t>A través del SAIMEX.</w:t>
      </w:r>
    </w:p>
    <w:p w14:paraId="176CBA6B" w14:textId="77777777" w:rsidR="00E62A64" w:rsidRPr="00E24229" w:rsidRDefault="00E62A64"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583508BB" w:rsidR="007E2E80" w:rsidRPr="00E24229" w:rsidRDefault="006B27EC" w:rsidP="0014447C">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t>SEGUNDO</w:t>
      </w:r>
      <w:r w:rsidR="007E2E80" w:rsidRPr="00E24229">
        <w:rPr>
          <w:rFonts w:ascii="Palatino Linotype" w:hAnsi="Palatino Linotype"/>
          <w:b/>
          <w:sz w:val="26"/>
          <w:szCs w:val="26"/>
          <w:lang w:val="es-ES_tradnl"/>
        </w:rPr>
        <w:t xml:space="preserve">. </w:t>
      </w:r>
      <w:r w:rsidR="00DA21DB" w:rsidRPr="00E24229">
        <w:rPr>
          <w:rFonts w:ascii="Palatino Linotype" w:hAnsi="Palatino Linotype"/>
          <w:b/>
          <w:sz w:val="26"/>
          <w:szCs w:val="26"/>
          <w:lang w:val="es-ES_tradnl"/>
        </w:rPr>
        <w:t xml:space="preserve">De la </w:t>
      </w:r>
      <w:r w:rsidR="007E2E80" w:rsidRPr="00E24229">
        <w:rPr>
          <w:rFonts w:ascii="Palatino Linotype" w:hAnsi="Palatino Linotype"/>
          <w:b/>
          <w:sz w:val="26"/>
          <w:szCs w:val="26"/>
          <w:lang w:val="es-ES_tradnl"/>
        </w:rPr>
        <w:t>respuesta del Sujeto Obligado.</w:t>
      </w:r>
    </w:p>
    <w:p w14:paraId="1F6DFEF9" w14:textId="3954789C" w:rsidR="008C0E72" w:rsidRPr="00E24229" w:rsidRDefault="007E2E80" w:rsidP="0014447C">
      <w:pPr>
        <w:pStyle w:val="Sinespaciado"/>
        <w:spacing w:line="360" w:lineRule="auto"/>
        <w:jc w:val="both"/>
        <w:rPr>
          <w:rFonts w:ascii="Palatino Linotype" w:hAnsi="Palatino Linotype"/>
          <w:sz w:val="24"/>
          <w:lang w:val="es-ES_tradnl"/>
        </w:rPr>
      </w:pPr>
      <w:r w:rsidRPr="00E24229">
        <w:rPr>
          <w:rFonts w:ascii="Palatino Linotype" w:hAnsi="Palatino Linotype"/>
          <w:sz w:val="24"/>
          <w:lang w:val="es-ES_tradnl"/>
        </w:rPr>
        <w:t>En el expedient</w:t>
      </w:r>
      <w:r w:rsidR="008C0E72" w:rsidRPr="00E24229">
        <w:rPr>
          <w:rFonts w:ascii="Palatino Linotype" w:hAnsi="Palatino Linotype"/>
          <w:sz w:val="24"/>
          <w:lang w:val="es-ES_tradnl"/>
        </w:rPr>
        <w:t>e electrónico</w:t>
      </w:r>
      <w:r w:rsidR="005F5FE1" w:rsidRPr="00E24229">
        <w:rPr>
          <w:rFonts w:ascii="Palatino Linotype" w:hAnsi="Palatino Linotype"/>
          <w:sz w:val="24"/>
          <w:lang w:val="es-ES_tradnl"/>
        </w:rPr>
        <w:t xml:space="preserve"> del Sistema de Acceso a la Información Mexiquense (</w:t>
      </w:r>
      <w:r w:rsidR="008C0E72" w:rsidRPr="00E24229">
        <w:rPr>
          <w:rFonts w:ascii="Palatino Linotype" w:hAnsi="Palatino Linotype"/>
          <w:b/>
          <w:bCs/>
          <w:sz w:val="24"/>
          <w:lang w:val="es-ES_tradnl"/>
        </w:rPr>
        <w:t>SAIMEX</w:t>
      </w:r>
      <w:r w:rsidR="005F5FE1" w:rsidRPr="00E24229">
        <w:rPr>
          <w:rFonts w:ascii="Palatino Linotype" w:hAnsi="Palatino Linotype"/>
          <w:sz w:val="24"/>
          <w:lang w:val="es-ES_tradnl"/>
        </w:rPr>
        <w:t>)</w:t>
      </w:r>
      <w:r w:rsidR="008C0E72" w:rsidRPr="00E24229">
        <w:rPr>
          <w:rFonts w:ascii="Palatino Linotype" w:hAnsi="Palatino Linotype"/>
          <w:sz w:val="24"/>
          <w:lang w:val="es-ES_tradnl"/>
        </w:rPr>
        <w:t>, se observa</w:t>
      </w:r>
      <w:r w:rsidRPr="00E24229">
        <w:rPr>
          <w:rFonts w:ascii="Palatino Linotype" w:hAnsi="Palatino Linotype"/>
          <w:sz w:val="24"/>
          <w:lang w:val="es-ES_tradnl"/>
        </w:rPr>
        <w:t xml:space="preserve"> que </w:t>
      </w:r>
      <w:r w:rsidR="000E7C0A" w:rsidRPr="00E24229">
        <w:rPr>
          <w:rFonts w:ascii="Palatino Linotype" w:hAnsi="Palatino Linotype"/>
          <w:sz w:val="24"/>
          <w:lang w:val="es-ES_tradnl"/>
        </w:rPr>
        <w:t>el</w:t>
      </w:r>
      <w:r w:rsidRPr="00E24229">
        <w:rPr>
          <w:rFonts w:ascii="Palatino Linotype" w:hAnsi="Palatino Linotype"/>
          <w:sz w:val="24"/>
          <w:lang w:val="es-ES_tradnl"/>
        </w:rPr>
        <w:t xml:space="preserve"> </w:t>
      </w:r>
      <w:r w:rsidRPr="00E24229">
        <w:rPr>
          <w:rFonts w:ascii="Palatino Linotype" w:hAnsi="Palatino Linotype"/>
          <w:b/>
          <w:sz w:val="24"/>
          <w:lang w:val="es-ES_tradnl"/>
        </w:rPr>
        <w:t>Sujeto Obligado</w:t>
      </w:r>
      <w:r w:rsidRPr="00E24229">
        <w:rPr>
          <w:rFonts w:ascii="Palatino Linotype" w:hAnsi="Palatino Linotype"/>
          <w:sz w:val="24"/>
          <w:lang w:val="es-ES_tradnl"/>
        </w:rPr>
        <w:t xml:space="preserve"> dio respuesta a la solicitud de información en fecha </w:t>
      </w:r>
      <w:r w:rsidR="006B27EC" w:rsidRPr="00E24229">
        <w:rPr>
          <w:rFonts w:ascii="Palatino Linotype" w:hAnsi="Palatino Linotype"/>
          <w:sz w:val="24"/>
          <w:lang w:val="es-ES_tradnl"/>
        </w:rPr>
        <w:t>veintisiete de mayo</w:t>
      </w:r>
      <w:r w:rsidR="001C3053" w:rsidRPr="00E24229">
        <w:rPr>
          <w:rFonts w:ascii="Palatino Linotype" w:hAnsi="Palatino Linotype"/>
          <w:sz w:val="24"/>
          <w:lang w:val="es-ES_tradnl"/>
        </w:rPr>
        <w:t xml:space="preserve"> de dos mil veinticinco</w:t>
      </w:r>
      <w:r w:rsidRPr="00E24229">
        <w:rPr>
          <w:rFonts w:ascii="Palatino Linotype" w:hAnsi="Palatino Linotype"/>
          <w:sz w:val="24"/>
          <w:lang w:val="es-ES_tradnl"/>
        </w:rPr>
        <w:t xml:space="preserve">, </w:t>
      </w:r>
      <w:r w:rsidR="008C0E72" w:rsidRPr="00E24229">
        <w:rPr>
          <w:rFonts w:ascii="Palatino Linotype" w:hAnsi="Palatino Linotype"/>
          <w:sz w:val="24"/>
          <w:lang w:val="es-ES_tradnl"/>
        </w:rPr>
        <w:t>manifestando lo siguiente:</w:t>
      </w:r>
    </w:p>
    <w:p w14:paraId="59DB6368" w14:textId="77777777" w:rsidR="008C0E72" w:rsidRPr="00E24229" w:rsidRDefault="008C0E72" w:rsidP="0014447C">
      <w:pPr>
        <w:pStyle w:val="Sinespaciado"/>
        <w:spacing w:line="360" w:lineRule="auto"/>
        <w:jc w:val="both"/>
        <w:rPr>
          <w:rFonts w:ascii="Palatino Linotype" w:hAnsi="Palatino Linotype"/>
          <w:sz w:val="24"/>
          <w:lang w:val="es-ES_tradnl"/>
        </w:rPr>
      </w:pPr>
    </w:p>
    <w:p w14:paraId="41DBD801" w14:textId="77777777" w:rsidR="006B27EC" w:rsidRPr="00E24229" w:rsidRDefault="008C0E72" w:rsidP="006B27EC">
      <w:pPr>
        <w:pStyle w:val="Sinespaciado"/>
        <w:ind w:left="567" w:right="567"/>
        <w:jc w:val="right"/>
        <w:rPr>
          <w:rFonts w:ascii="Palatino Linotype" w:hAnsi="Palatino Linotype"/>
          <w:i/>
          <w:lang w:val="es-ES_tradnl"/>
        </w:rPr>
      </w:pPr>
      <w:r w:rsidRPr="00E24229">
        <w:rPr>
          <w:rFonts w:ascii="Palatino Linotype" w:hAnsi="Palatino Linotype"/>
          <w:sz w:val="24"/>
          <w:lang w:val="es-ES_tradnl"/>
        </w:rPr>
        <w:t>“</w:t>
      </w:r>
      <w:r w:rsidR="006B27EC" w:rsidRPr="00E24229">
        <w:rPr>
          <w:rFonts w:ascii="Palatino Linotype" w:hAnsi="Palatino Linotype"/>
          <w:i/>
          <w:lang w:val="es-ES_tradnl"/>
        </w:rPr>
        <w:t xml:space="preserve">Folio de la solicitud: </w:t>
      </w:r>
      <w:r w:rsidR="006B27EC" w:rsidRPr="00E24229">
        <w:rPr>
          <w:rFonts w:ascii="Palatino Linotype" w:hAnsi="Palatino Linotype"/>
          <w:b/>
          <w:bCs/>
          <w:i/>
          <w:u w:val="single"/>
          <w:lang w:val="es-ES_tradnl"/>
        </w:rPr>
        <w:t>00358/ZINACANT/IP/2025</w:t>
      </w:r>
    </w:p>
    <w:p w14:paraId="2D846A88" w14:textId="77777777" w:rsidR="006B27EC" w:rsidRPr="00E24229" w:rsidRDefault="006B27EC" w:rsidP="006B27EC">
      <w:pPr>
        <w:pStyle w:val="Sinespaciado"/>
        <w:ind w:left="567" w:right="567"/>
        <w:jc w:val="both"/>
        <w:rPr>
          <w:rFonts w:ascii="Palatino Linotype" w:hAnsi="Palatino Linotype"/>
          <w:i/>
          <w:lang w:val="es-ES_tradnl"/>
        </w:rPr>
      </w:pPr>
    </w:p>
    <w:p w14:paraId="29FA6FE3" w14:textId="4CEFFB31" w:rsidR="006B27EC" w:rsidRPr="00E24229" w:rsidRDefault="006B27EC" w:rsidP="006B27EC">
      <w:pPr>
        <w:pStyle w:val="Sinespaciado"/>
        <w:ind w:left="567" w:right="567"/>
        <w:jc w:val="both"/>
        <w:rPr>
          <w:rFonts w:ascii="Palatino Linotype" w:hAnsi="Palatino Linotype"/>
          <w:i/>
          <w:lang w:val="es-ES_tradnl"/>
        </w:rPr>
      </w:pPr>
      <w:r w:rsidRPr="00E24229">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81B34" w14:textId="77777777" w:rsidR="006B27EC" w:rsidRPr="00E24229" w:rsidRDefault="006B27EC" w:rsidP="006B27EC">
      <w:pPr>
        <w:pStyle w:val="Sinespaciado"/>
        <w:ind w:left="567" w:right="567"/>
        <w:jc w:val="both"/>
        <w:rPr>
          <w:rFonts w:ascii="Palatino Linotype" w:hAnsi="Palatino Linotype"/>
          <w:i/>
          <w:lang w:val="es-ES_tradnl"/>
        </w:rPr>
      </w:pPr>
    </w:p>
    <w:p w14:paraId="07A322EC" w14:textId="77777777" w:rsidR="006B27EC" w:rsidRPr="00E24229" w:rsidRDefault="006B27EC" w:rsidP="006B27EC">
      <w:pPr>
        <w:pStyle w:val="Sinespaciado"/>
        <w:ind w:left="567" w:right="567"/>
        <w:jc w:val="both"/>
        <w:rPr>
          <w:rFonts w:ascii="Palatino Linotype" w:hAnsi="Palatino Linotype"/>
          <w:i/>
          <w:lang w:val="es-ES_tradnl"/>
        </w:rPr>
      </w:pPr>
      <w:r w:rsidRPr="00E24229">
        <w:rPr>
          <w:rFonts w:ascii="Palatino Linotype" w:hAnsi="Palatino Linotype"/>
          <w:i/>
          <w:lang w:val="es-ES_tradnl"/>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3DB83D4C" w14:textId="77777777" w:rsidR="006B27EC" w:rsidRPr="00E24229" w:rsidRDefault="006B27EC" w:rsidP="006B27EC">
      <w:pPr>
        <w:pStyle w:val="Sinespaciado"/>
        <w:ind w:left="567" w:right="567"/>
        <w:jc w:val="both"/>
        <w:rPr>
          <w:rFonts w:ascii="Palatino Linotype" w:hAnsi="Palatino Linotype"/>
          <w:i/>
          <w:lang w:val="es-ES_tradnl"/>
        </w:rPr>
      </w:pPr>
    </w:p>
    <w:p w14:paraId="187F67D7" w14:textId="2FC89992" w:rsidR="006B27EC" w:rsidRPr="00E24229" w:rsidRDefault="006B27EC" w:rsidP="006B27EC">
      <w:pPr>
        <w:pStyle w:val="Sinespaciado"/>
        <w:ind w:left="567" w:right="567"/>
        <w:jc w:val="both"/>
        <w:rPr>
          <w:rFonts w:ascii="Palatino Linotype" w:hAnsi="Palatino Linotype"/>
          <w:i/>
          <w:lang w:val="es-ES_tradnl"/>
        </w:rPr>
      </w:pPr>
      <w:r w:rsidRPr="00E24229">
        <w:rPr>
          <w:rFonts w:ascii="Palatino Linotype" w:hAnsi="Palatino Linotype"/>
          <w:i/>
          <w:lang w:val="es-ES_tradnl"/>
        </w:rPr>
        <w:t>ATENTAMENTE</w:t>
      </w:r>
    </w:p>
    <w:p w14:paraId="7B1A6F45" w14:textId="6ABF6E1B" w:rsidR="008C0E72" w:rsidRPr="00E24229" w:rsidRDefault="006B27EC" w:rsidP="006B27EC">
      <w:pPr>
        <w:pStyle w:val="Sinespaciado"/>
        <w:ind w:left="567" w:right="567"/>
        <w:jc w:val="both"/>
        <w:rPr>
          <w:rFonts w:ascii="Palatino Linotype" w:hAnsi="Palatino Linotype"/>
          <w:i/>
          <w:lang w:val="es-ES_tradnl"/>
        </w:rPr>
      </w:pPr>
      <w:r w:rsidRPr="00E24229">
        <w:rPr>
          <w:rFonts w:ascii="Palatino Linotype" w:hAnsi="Palatino Linotype"/>
          <w:i/>
          <w:lang w:val="es-ES_tradnl"/>
        </w:rPr>
        <w:t>BRENDA SELENE HERNANDEZ LOPEZ</w:t>
      </w:r>
      <w:r w:rsidR="008C0E72" w:rsidRPr="00E24229">
        <w:rPr>
          <w:rFonts w:ascii="Palatino Linotype" w:hAnsi="Palatino Linotype"/>
          <w:i/>
          <w:lang w:val="es-ES_tradnl"/>
        </w:rPr>
        <w:t>” (Sic)</w:t>
      </w:r>
    </w:p>
    <w:p w14:paraId="402B9F41" w14:textId="77777777" w:rsidR="008C0E72" w:rsidRPr="00E24229" w:rsidRDefault="008C0E72" w:rsidP="001C3053">
      <w:pPr>
        <w:pStyle w:val="Sinespaciado"/>
        <w:spacing w:line="360" w:lineRule="auto"/>
        <w:jc w:val="both"/>
        <w:rPr>
          <w:rFonts w:ascii="Palatino Linotype" w:hAnsi="Palatino Linotype"/>
          <w:sz w:val="24"/>
          <w:lang w:val="es-ES_tradnl"/>
        </w:rPr>
      </w:pPr>
    </w:p>
    <w:p w14:paraId="7CFBFEE8" w14:textId="0120757F" w:rsidR="00AD7C61" w:rsidRPr="00E24229" w:rsidRDefault="00D04234"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A su respuesta anexó </w:t>
      </w:r>
      <w:r w:rsidR="001F0824" w:rsidRPr="00E24229">
        <w:rPr>
          <w:rFonts w:ascii="Palatino Linotype" w:hAnsi="Palatino Linotype"/>
          <w:sz w:val="24"/>
          <w:szCs w:val="24"/>
          <w:lang w:val="es-ES_tradnl"/>
        </w:rPr>
        <w:t>los</w:t>
      </w:r>
      <w:r w:rsidRPr="00E24229">
        <w:rPr>
          <w:rFonts w:ascii="Palatino Linotype" w:hAnsi="Palatino Linotype"/>
          <w:sz w:val="24"/>
          <w:szCs w:val="24"/>
          <w:lang w:val="es-ES_tradnl"/>
        </w:rPr>
        <w:t xml:space="preserve"> archivo</w:t>
      </w:r>
      <w:r w:rsidR="001F0824" w:rsidRPr="00E24229">
        <w:rPr>
          <w:rFonts w:ascii="Palatino Linotype" w:hAnsi="Palatino Linotype"/>
          <w:sz w:val="24"/>
          <w:szCs w:val="24"/>
          <w:lang w:val="es-ES_tradnl"/>
        </w:rPr>
        <w:t>s</w:t>
      </w:r>
      <w:r w:rsidRPr="00E24229">
        <w:rPr>
          <w:rFonts w:ascii="Palatino Linotype" w:hAnsi="Palatino Linotype"/>
          <w:sz w:val="24"/>
          <w:szCs w:val="24"/>
          <w:lang w:val="es-ES_tradnl"/>
        </w:rPr>
        <w:t xml:space="preserve"> electrónico</w:t>
      </w:r>
      <w:r w:rsidR="001F0824" w:rsidRPr="00E24229">
        <w:rPr>
          <w:rFonts w:ascii="Palatino Linotype" w:hAnsi="Palatino Linotype"/>
          <w:sz w:val="24"/>
          <w:szCs w:val="24"/>
          <w:lang w:val="es-ES_tradnl"/>
        </w:rPr>
        <w:t>s</w:t>
      </w:r>
      <w:r w:rsidRPr="00E24229">
        <w:rPr>
          <w:rFonts w:ascii="Palatino Linotype" w:hAnsi="Palatino Linotype"/>
          <w:sz w:val="24"/>
          <w:szCs w:val="24"/>
          <w:lang w:val="es-ES_tradnl"/>
        </w:rPr>
        <w:t xml:space="preserve"> denominado</w:t>
      </w:r>
      <w:r w:rsidR="001F0824" w:rsidRPr="00E24229">
        <w:rPr>
          <w:rFonts w:ascii="Palatino Linotype" w:hAnsi="Palatino Linotype"/>
          <w:sz w:val="24"/>
          <w:szCs w:val="24"/>
          <w:lang w:val="es-ES_tradnl"/>
        </w:rPr>
        <w:t>s</w:t>
      </w:r>
      <w:r w:rsidRPr="00E24229">
        <w:rPr>
          <w:rFonts w:ascii="Palatino Linotype" w:hAnsi="Palatino Linotype"/>
          <w:sz w:val="24"/>
          <w:szCs w:val="24"/>
          <w:lang w:val="es-ES_tradnl"/>
        </w:rPr>
        <w:t xml:space="preserve"> </w:t>
      </w:r>
      <w:r w:rsidRPr="00E24229">
        <w:rPr>
          <w:rFonts w:ascii="Palatino Linotype" w:hAnsi="Palatino Linotype"/>
          <w:b/>
          <w:sz w:val="24"/>
          <w:szCs w:val="24"/>
          <w:lang w:val="es-ES_tradnl"/>
        </w:rPr>
        <w:t>“</w:t>
      </w:r>
      <w:r w:rsidR="006B27EC" w:rsidRPr="00E24229">
        <w:rPr>
          <w:rFonts w:ascii="Palatino Linotype" w:hAnsi="Palatino Linotype"/>
          <w:b/>
          <w:sz w:val="24"/>
          <w:szCs w:val="24"/>
          <w:lang w:val="es-ES_tradnl"/>
        </w:rPr>
        <w:t>Oficio 0697 Solicitud 0358.pdf</w:t>
      </w:r>
      <w:r w:rsidR="001F0824" w:rsidRPr="00E24229">
        <w:rPr>
          <w:rFonts w:ascii="Palatino Linotype" w:hAnsi="Palatino Linotype"/>
          <w:b/>
          <w:sz w:val="24"/>
          <w:szCs w:val="24"/>
          <w:lang w:val="es-ES_tradnl"/>
        </w:rPr>
        <w:t xml:space="preserve">” </w:t>
      </w:r>
      <w:r w:rsidR="001F0824" w:rsidRPr="00E24229">
        <w:rPr>
          <w:rFonts w:ascii="Palatino Linotype" w:hAnsi="Palatino Linotype"/>
          <w:bCs/>
          <w:sz w:val="24"/>
          <w:szCs w:val="24"/>
          <w:lang w:val="es-ES_tradnl"/>
        </w:rPr>
        <w:t>y</w:t>
      </w:r>
      <w:r w:rsidR="001F0824" w:rsidRPr="00E24229">
        <w:rPr>
          <w:rFonts w:ascii="Palatino Linotype" w:hAnsi="Palatino Linotype"/>
          <w:b/>
          <w:sz w:val="24"/>
          <w:szCs w:val="24"/>
          <w:lang w:val="es-ES_tradnl"/>
        </w:rPr>
        <w:t xml:space="preserve"> “</w:t>
      </w:r>
      <w:r w:rsidR="006B27EC" w:rsidRPr="00E24229">
        <w:rPr>
          <w:rFonts w:ascii="Palatino Linotype" w:hAnsi="Palatino Linotype"/>
          <w:b/>
          <w:sz w:val="24"/>
          <w:szCs w:val="24"/>
          <w:lang w:val="es-ES_tradnl"/>
        </w:rPr>
        <w:t>RESPUESTA SOLICITUD 358.pdf</w:t>
      </w:r>
      <w:r w:rsidR="001F0824" w:rsidRPr="00E24229">
        <w:rPr>
          <w:rFonts w:ascii="Palatino Linotype" w:hAnsi="Palatino Linotype"/>
          <w:b/>
          <w:sz w:val="24"/>
          <w:szCs w:val="24"/>
          <w:lang w:val="es-ES_tradnl"/>
        </w:rPr>
        <w:t>”</w:t>
      </w:r>
      <w:r w:rsidR="00EA2AAB" w:rsidRPr="00E24229">
        <w:rPr>
          <w:rFonts w:ascii="Palatino Linotype" w:hAnsi="Palatino Linotype"/>
          <w:sz w:val="24"/>
          <w:szCs w:val="24"/>
          <w:lang w:val="es-ES_tradnl"/>
        </w:rPr>
        <w:t xml:space="preserve">, </w:t>
      </w:r>
      <w:r w:rsidR="001F0824" w:rsidRPr="00E24229">
        <w:rPr>
          <w:rFonts w:ascii="Palatino Linotype" w:hAnsi="Palatino Linotype"/>
          <w:sz w:val="24"/>
          <w:szCs w:val="24"/>
          <w:lang w:val="es-ES_tradnl"/>
        </w:rPr>
        <w:t>los</w:t>
      </w:r>
      <w:r w:rsidRPr="00E24229">
        <w:rPr>
          <w:rFonts w:ascii="Palatino Linotype" w:hAnsi="Palatino Linotype"/>
          <w:sz w:val="24"/>
          <w:szCs w:val="24"/>
          <w:lang w:val="es-ES_tradnl"/>
        </w:rPr>
        <w:t xml:space="preserve"> cual</w:t>
      </w:r>
      <w:r w:rsidR="001F0824" w:rsidRPr="00E24229">
        <w:rPr>
          <w:rFonts w:ascii="Palatino Linotype" w:hAnsi="Palatino Linotype"/>
          <w:sz w:val="24"/>
          <w:szCs w:val="24"/>
          <w:lang w:val="es-ES_tradnl"/>
        </w:rPr>
        <w:t>es</w:t>
      </w:r>
      <w:r w:rsidR="00047D72" w:rsidRPr="00E24229">
        <w:rPr>
          <w:rFonts w:ascii="Palatino Linotype" w:hAnsi="Palatino Linotype"/>
          <w:sz w:val="24"/>
          <w:szCs w:val="24"/>
          <w:lang w:val="es-ES_tradnl"/>
        </w:rPr>
        <w:t xml:space="preserve"> no se </w:t>
      </w:r>
      <w:r w:rsidR="00C12DAE" w:rsidRPr="00E24229">
        <w:rPr>
          <w:rFonts w:ascii="Palatino Linotype" w:hAnsi="Palatino Linotype"/>
          <w:sz w:val="24"/>
          <w:szCs w:val="24"/>
          <w:lang w:val="es-ES_tradnl"/>
        </w:rPr>
        <w:t>reproduce</w:t>
      </w:r>
      <w:r w:rsidR="001F0824" w:rsidRPr="00E24229">
        <w:rPr>
          <w:rFonts w:ascii="Palatino Linotype" w:hAnsi="Palatino Linotype"/>
          <w:sz w:val="24"/>
          <w:szCs w:val="24"/>
          <w:lang w:val="es-ES_tradnl"/>
        </w:rPr>
        <w:t>n</w:t>
      </w:r>
      <w:r w:rsidRPr="00E24229">
        <w:rPr>
          <w:rFonts w:ascii="Palatino Linotype" w:hAnsi="Palatino Linotype"/>
          <w:sz w:val="24"/>
          <w:szCs w:val="24"/>
          <w:lang w:val="es-ES_tradnl"/>
        </w:rPr>
        <w:t xml:space="preserve"> </w:t>
      </w:r>
      <w:r w:rsidR="008E63C2" w:rsidRPr="00E24229">
        <w:rPr>
          <w:rFonts w:ascii="Palatino Linotype" w:hAnsi="Palatino Linotype"/>
          <w:sz w:val="24"/>
          <w:szCs w:val="24"/>
          <w:lang w:val="es-ES_tradnl"/>
        </w:rPr>
        <w:t xml:space="preserve">toda </w:t>
      </w:r>
      <w:r w:rsidR="008E63C2" w:rsidRPr="00E24229">
        <w:rPr>
          <w:rFonts w:ascii="Palatino Linotype" w:hAnsi="Palatino Linotype"/>
          <w:sz w:val="24"/>
          <w:szCs w:val="24"/>
          <w:lang w:val="es-ES_tradnl"/>
        </w:rPr>
        <w:lastRenderedPageBreak/>
        <w:t xml:space="preserve">vez que </w:t>
      </w:r>
      <w:r w:rsidR="001F0824" w:rsidRPr="00E24229">
        <w:rPr>
          <w:rFonts w:ascii="Palatino Linotype" w:hAnsi="Palatino Linotype"/>
          <w:sz w:val="24"/>
          <w:szCs w:val="24"/>
          <w:lang w:val="es-ES_tradnl"/>
        </w:rPr>
        <w:t>son</w:t>
      </w:r>
      <w:r w:rsidR="008E63C2" w:rsidRPr="00E24229">
        <w:rPr>
          <w:rFonts w:ascii="Palatino Linotype" w:hAnsi="Palatino Linotype"/>
          <w:sz w:val="24"/>
          <w:szCs w:val="24"/>
          <w:lang w:val="es-ES_tradnl"/>
        </w:rPr>
        <w:t xml:space="preserve"> del </w:t>
      </w:r>
      <w:r w:rsidRPr="00E24229">
        <w:rPr>
          <w:rFonts w:ascii="Palatino Linotype" w:hAnsi="Palatino Linotype"/>
          <w:sz w:val="24"/>
          <w:szCs w:val="24"/>
          <w:lang w:val="es-ES_tradnl"/>
        </w:rPr>
        <w:t>conocimiento de las partes; no obstante, se hará mérito de su contenido más adelante</w:t>
      </w:r>
      <w:r w:rsidR="00BE6D77" w:rsidRPr="00E24229">
        <w:rPr>
          <w:rFonts w:ascii="Palatino Linotype" w:hAnsi="Palatino Linotype"/>
          <w:sz w:val="24"/>
          <w:szCs w:val="24"/>
          <w:lang w:val="es-ES_tradnl"/>
        </w:rPr>
        <w:t>.</w:t>
      </w:r>
    </w:p>
    <w:p w14:paraId="5E591CAF" w14:textId="77777777" w:rsidR="001C3053" w:rsidRPr="00E24229" w:rsidRDefault="001C3053" w:rsidP="0014447C">
      <w:pPr>
        <w:pStyle w:val="Sinespaciado"/>
        <w:spacing w:line="360" w:lineRule="auto"/>
        <w:jc w:val="both"/>
        <w:rPr>
          <w:rFonts w:ascii="Palatino Linotype" w:hAnsi="Palatino Linotype"/>
          <w:sz w:val="24"/>
          <w:szCs w:val="24"/>
          <w:lang w:val="es-ES_tradnl"/>
        </w:rPr>
      </w:pPr>
    </w:p>
    <w:p w14:paraId="621A6924" w14:textId="7BCA05D7" w:rsidR="007E2E80" w:rsidRPr="00E24229" w:rsidRDefault="006B27EC" w:rsidP="0014447C">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t>TERCERO</w:t>
      </w:r>
      <w:r w:rsidR="007E2E80" w:rsidRPr="00E24229">
        <w:rPr>
          <w:rFonts w:ascii="Palatino Linotype" w:hAnsi="Palatino Linotype"/>
          <w:b/>
          <w:sz w:val="26"/>
          <w:szCs w:val="26"/>
          <w:lang w:val="es-ES_tradnl"/>
        </w:rPr>
        <w:t>. Del recurso de revisión.</w:t>
      </w:r>
    </w:p>
    <w:p w14:paraId="2A4068CA" w14:textId="2E72768C" w:rsidR="007E2E80" w:rsidRPr="00E24229" w:rsidRDefault="007E2E80"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Inconforme c</w:t>
      </w:r>
      <w:r w:rsidR="00D04234" w:rsidRPr="00E24229">
        <w:rPr>
          <w:rFonts w:ascii="Palatino Linotype" w:hAnsi="Palatino Linotype"/>
          <w:sz w:val="24"/>
          <w:szCs w:val="24"/>
          <w:lang w:val="es-ES_tradnl"/>
        </w:rPr>
        <w:t xml:space="preserve">on la respuesta emitida por el </w:t>
      </w:r>
      <w:r w:rsidR="00D04234" w:rsidRPr="00E24229">
        <w:rPr>
          <w:rFonts w:ascii="Palatino Linotype" w:hAnsi="Palatino Linotype"/>
          <w:b/>
          <w:bCs/>
          <w:sz w:val="24"/>
          <w:szCs w:val="24"/>
          <w:lang w:val="es-ES_tradnl"/>
        </w:rPr>
        <w:t>Sujeto O</w:t>
      </w:r>
      <w:r w:rsidRPr="00E24229">
        <w:rPr>
          <w:rFonts w:ascii="Palatino Linotype" w:hAnsi="Palatino Linotype"/>
          <w:b/>
          <w:bCs/>
          <w:sz w:val="24"/>
          <w:szCs w:val="24"/>
          <w:lang w:val="es-ES_tradnl"/>
        </w:rPr>
        <w:t>bligado</w:t>
      </w:r>
      <w:r w:rsidRPr="00E24229">
        <w:rPr>
          <w:rFonts w:ascii="Palatino Linotype" w:hAnsi="Palatino Linotype"/>
          <w:sz w:val="24"/>
          <w:szCs w:val="24"/>
          <w:lang w:val="es-ES_tradnl"/>
        </w:rPr>
        <w:t xml:space="preserve">, </w:t>
      </w:r>
      <w:r w:rsidR="00527333" w:rsidRPr="00E24229">
        <w:rPr>
          <w:rFonts w:ascii="Palatino Linotype" w:hAnsi="Palatino Linotype"/>
          <w:sz w:val="24"/>
          <w:szCs w:val="24"/>
          <w:lang w:val="es-ES_tradnl"/>
        </w:rPr>
        <w:t>el</w:t>
      </w:r>
      <w:r w:rsidRPr="00E24229">
        <w:rPr>
          <w:rFonts w:ascii="Palatino Linotype" w:hAnsi="Palatino Linotype"/>
          <w:sz w:val="24"/>
          <w:szCs w:val="24"/>
          <w:lang w:val="es-ES_tradnl"/>
        </w:rPr>
        <w:t xml:space="preserve"> </w:t>
      </w:r>
      <w:r w:rsidRPr="00E24229">
        <w:rPr>
          <w:rFonts w:ascii="Palatino Linotype" w:hAnsi="Palatino Linotype"/>
          <w:b/>
          <w:bCs/>
          <w:sz w:val="24"/>
          <w:szCs w:val="24"/>
          <w:lang w:val="es-ES_tradnl"/>
        </w:rPr>
        <w:t xml:space="preserve">Recurrente </w:t>
      </w:r>
      <w:r w:rsidRPr="00E24229">
        <w:rPr>
          <w:rFonts w:ascii="Palatino Linotype" w:hAnsi="Palatino Linotype"/>
          <w:sz w:val="24"/>
          <w:szCs w:val="24"/>
          <w:lang w:val="es-ES_tradnl"/>
        </w:rPr>
        <w:t xml:space="preserve">interpuso el </w:t>
      </w:r>
      <w:r w:rsidR="00D04234" w:rsidRPr="00E24229">
        <w:rPr>
          <w:rFonts w:ascii="Palatino Linotype" w:hAnsi="Palatino Linotype"/>
          <w:sz w:val="24"/>
          <w:szCs w:val="24"/>
          <w:lang w:val="es-ES_tradnl"/>
        </w:rPr>
        <w:t xml:space="preserve">presente </w:t>
      </w:r>
      <w:r w:rsidRPr="00E24229">
        <w:rPr>
          <w:rFonts w:ascii="Palatino Linotype" w:hAnsi="Palatino Linotype"/>
          <w:sz w:val="24"/>
          <w:szCs w:val="24"/>
          <w:lang w:val="es-ES_tradnl"/>
        </w:rPr>
        <w:t xml:space="preserve">recurso de revisión, en fecha </w:t>
      </w:r>
      <w:r w:rsidR="006B27EC" w:rsidRPr="00E24229">
        <w:rPr>
          <w:rFonts w:ascii="Palatino Linotype" w:hAnsi="Palatino Linotype"/>
          <w:sz w:val="24"/>
          <w:szCs w:val="24"/>
          <w:lang w:val="es-ES_tradnl"/>
        </w:rPr>
        <w:t>dieciséis de junio</w:t>
      </w:r>
      <w:r w:rsidR="001C3053" w:rsidRPr="00E24229">
        <w:rPr>
          <w:rFonts w:ascii="Palatino Linotype" w:hAnsi="Palatino Linotype"/>
          <w:sz w:val="24"/>
          <w:szCs w:val="24"/>
          <w:lang w:val="es-ES_tradnl"/>
        </w:rPr>
        <w:t xml:space="preserve"> de dos mil veinticinco</w:t>
      </w:r>
      <w:r w:rsidRPr="00E24229">
        <w:rPr>
          <w:rFonts w:ascii="Palatino Linotype" w:hAnsi="Palatino Linotype"/>
          <w:sz w:val="24"/>
          <w:szCs w:val="24"/>
          <w:lang w:val="es-ES_tradnl"/>
        </w:rPr>
        <w:t xml:space="preserve">, en el sistema electrónico con el expediente número </w:t>
      </w:r>
      <w:r w:rsidR="006B27EC" w:rsidRPr="00E24229">
        <w:rPr>
          <w:rFonts w:ascii="Palatino Linotype" w:hAnsi="Palatino Linotype"/>
          <w:b/>
          <w:bCs/>
          <w:sz w:val="24"/>
          <w:szCs w:val="24"/>
          <w:lang w:val="es-ES_tradnl" w:eastAsia="es-MX"/>
        </w:rPr>
        <w:t>07255/INFOEM/IP/RR/2025</w:t>
      </w:r>
      <w:r w:rsidRPr="00E24229">
        <w:rPr>
          <w:rFonts w:ascii="Palatino Linotype" w:hAnsi="Palatino Linotype"/>
          <w:sz w:val="24"/>
          <w:szCs w:val="24"/>
          <w:lang w:val="es-ES_tradnl"/>
        </w:rPr>
        <w:t>, en el cual arguye</w:t>
      </w:r>
      <w:r w:rsidR="00D04234" w:rsidRPr="00E24229">
        <w:rPr>
          <w:rFonts w:ascii="Palatino Linotype" w:hAnsi="Palatino Linotype"/>
          <w:sz w:val="24"/>
          <w:szCs w:val="24"/>
          <w:lang w:val="es-ES_tradnl"/>
        </w:rPr>
        <w:t xml:space="preserve"> l</w:t>
      </w:r>
      <w:r w:rsidRPr="00E24229">
        <w:rPr>
          <w:rFonts w:ascii="Palatino Linotype" w:hAnsi="Palatino Linotype"/>
          <w:sz w:val="24"/>
          <w:szCs w:val="24"/>
          <w:lang w:val="es-ES_tradnl"/>
        </w:rPr>
        <w:t>as siguientes manifestaciones:</w:t>
      </w:r>
    </w:p>
    <w:p w14:paraId="0400D7A4" w14:textId="77777777" w:rsidR="007E2E80" w:rsidRPr="00E24229" w:rsidRDefault="007E2E80" w:rsidP="0014447C">
      <w:pPr>
        <w:spacing w:before="240"/>
        <w:jc w:val="both"/>
        <w:rPr>
          <w:rFonts w:ascii="Palatino Linotype" w:hAnsi="Palatino Linotype" w:cs="Arial"/>
          <w:b/>
          <w:sz w:val="24"/>
          <w:szCs w:val="24"/>
        </w:rPr>
      </w:pPr>
      <w:r w:rsidRPr="00E24229">
        <w:rPr>
          <w:rFonts w:ascii="Palatino Linotype" w:hAnsi="Palatino Linotype" w:cs="Arial"/>
          <w:b/>
          <w:sz w:val="24"/>
          <w:szCs w:val="24"/>
        </w:rPr>
        <w:t>Acto Impugnado:</w:t>
      </w:r>
    </w:p>
    <w:p w14:paraId="2F5D6248" w14:textId="1F9292F3" w:rsidR="007E2E80" w:rsidRPr="00E24229" w:rsidRDefault="007E2E80" w:rsidP="0014447C">
      <w:pPr>
        <w:spacing w:line="240" w:lineRule="auto"/>
        <w:ind w:left="851" w:right="850"/>
        <w:jc w:val="both"/>
        <w:rPr>
          <w:rFonts w:ascii="Palatino Linotype" w:hAnsi="Palatino Linotype" w:cs="Arial"/>
          <w:i/>
        </w:rPr>
      </w:pPr>
      <w:r w:rsidRPr="00E24229">
        <w:rPr>
          <w:rFonts w:ascii="Palatino Linotype" w:hAnsi="Palatino Linotype" w:cs="Arial"/>
          <w:i/>
        </w:rPr>
        <w:t>“</w:t>
      </w:r>
      <w:r w:rsidR="006B27EC" w:rsidRPr="00E24229">
        <w:rPr>
          <w:rFonts w:ascii="Palatino Linotype" w:hAnsi="Palatino Linotype" w:cs="Arial"/>
          <w:i/>
        </w:rPr>
        <w:t>NO ENTREGA INFORMACION</w:t>
      </w:r>
      <w:r w:rsidR="006A3A54" w:rsidRPr="00E24229">
        <w:rPr>
          <w:rFonts w:ascii="Palatino Linotype" w:hAnsi="Palatino Linotype" w:cs="Arial"/>
          <w:i/>
        </w:rPr>
        <w:t>"(Sic)</w:t>
      </w:r>
    </w:p>
    <w:p w14:paraId="2C90245F" w14:textId="77777777" w:rsidR="007E2E80" w:rsidRPr="00E24229" w:rsidRDefault="007E2E80" w:rsidP="0014447C">
      <w:pPr>
        <w:spacing w:before="240"/>
        <w:jc w:val="both"/>
        <w:rPr>
          <w:rFonts w:ascii="Palatino Linotype" w:hAnsi="Palatino Linotype" w:cs="Arial"/>
          <w:sz w:val="24"/>
          <w:szCs w:val="24"/>
        </w:rPr>
      </w:pPr>
      <w:r w:rsidRPr="00E24229">
        <w:rPr>
          <w:rFonts w:ascii="Palatino Linotype" w:hAnsi="Palatino Linotype" w:cs="Arial"/>
          <w:b/>
          <w:sz w:val="24"/>
          <w:szCs w:val="24"/>
        </w:rPr>
        <w:t>Razones o Motivos de Inconformidad</w:t>
      </w:r>
      <w:r w:rsidRPr="00E24229">
        <w:rPr>
          <w:rFonts w:ascii="Palatino Linotype" w:hAnsi="Palatino Linotype" w:cs="Arial"/>
          <w:sz w:val="24"/>
          <w:szCs w:val="24"/>
        </w:rPr>
        <w:t xml:space="preserve">: </w:t>
      </w:r>
    </w:p>
    <w:p w14:paraId="30D01D8A" w14:textId="6FE782D2" w:rsidR="007E2E80" w:rsidRPr="00E24229" w:rsidRDefault="005F6C02" w:rsidP="0014447C">
      <w:pPr>
        <w:spacing w:line="240" w:lineRule="auto"/>
        <w:ind w:left="851" w:right="850"/>
        <w:jc w:val="both"/>
        <w:rPr>
          <w:rFonts w:ascii="Palatino Linotype" w:hAnsi="Palatino Linotype" w:cs="Arial"/>
          <w:i/>
        </w:rPr>
      </w:pPr>
      <w:r w:rsidRPr="00E24229">
        <w:rPr>
          <w:rFonts w:ascii="Palatino Linotype" w:hAnsi="Palatino Linotype" w:cs="Arial"/>
          <w:i/>
        </w:rPr>
        <w:t>“</w:t>
      </w:r>
      <w:r w:rsidR="006B27EC" w:rsidRPr="00E24229">
        <w:rPr>
          <w:rFonts w:ascii="Palatino Linotype" w:hAnsi="Palatino Linotype" w:cs="Arial"/>
          <w:i/>
        </w:rPr>
        <w:t>NO ENTREGA INFORMACION</w:t>
      </w:r>
      <w:r w:rsidR="006A3A54" w:rsidRPr="00E24229">
        <w:rPr>
          <w:rFonts w:ascii="Palatino Linotype" w:hAnsi="Palatino Linotype" w:cs="Arial"/>
          <w:i/>
        </w:rPr>
        <w:t>” (Sic)</w:t>
      </w:r>
    </w:p>
    <w:p w14:paraId="4486FFE3" w14:textId="77777777" w:rsidR="005C4FC9" w:rsidRPr="00E24229" w:rsidRDefault="005C4FC9" w:rsidP="004657BE">
      <w:pPr>
        <w:pStyle w:val="Sinespaciado"/>
        <w:spacing w:line="360" w:lineRule="auto"/>
        <w:jc w:val="both"/>
        <w:rPr>
          <w:rFonts w:ascii="Palatino Linotype" w:hAnsi="Palatino Linotype"/>
          <w:b/>
          <w:sz w:val="26"/>
          <w:szCs w:val="26"/>
          <w:lang w:val="es-ES_tradnl"/>
        </w:rPr>
      </w:pPr>
    </w:p>
    <w:p w14:paraId="36213C14" w14:textId="53553084" w:rsidR="007E2E80" w:rsidRPr="00E24229" w:rsidRDefault="006B27EC" w:rsidP="004657BE">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t>CUARTO</w:t>
      </w:r>
      <w:r w:rsidR="007E2E80" w:rsidRPr="00E24229">
        <w:rPr>
          <w:rFonts w:ascii="Palatino Linotype" w:hAnsi="Palatino Linotype"/>
          <w:b/>
          <w:sz w:val="26"/>
          <w:szCs w:val="26"/>
          <w:lang w:val="es-ES_tradnl"/>
        </w:rPr>
        <w:t xml:space="preserve">. Del turno </w:t>
      </w:r>
      <w:r w:rsidR="000E7C0A" w:rsidRPr="00E24229">
        <w:rPr>
          <w:rFonts w:ascii="Palatino Linotype" w:hAnsi="Palatino Linotype"/>
          <w:b/>
          <w:sz w:val="26"/>
          <w:szCs w:val="26"/>
          <w:lang w:val="es-ES_tradnl"/>
        </w:rPr>
        <w:t xml:space="preserve">y admisión </w:t>
      </w:r>
      <w:r w:rsidR="007E2E80" w:rsidRPr="00E24229">
        <w:rPr>
          <w:rFonts w:ascii="Palatino Linotype" w:hAnsi="Palatino Linotype"/>
          <w:b/>
          <w:sz w:val="26"/>
          <w:szCs w:val="26"/>
          <w:lang w:val="es-ES_tradnl"/>
        </w:rPr>
        <w:t>del recurso de revisión.</w:t>
      </w:r>
    </w:p>
    <w:p w14:paraId="340A9153" w14:textId="1FF768E4" w:rsidR="007E2E80" w:rsidRPr="00E24229" w:rsidRDefault="007E2E80" w:rsidP="004657BE">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Medio de impugnación que le fue turnado a</w:t>
      </w:r>
      <w:r w:rsidR="00C40A1A" w:rsidRPr="00E24229">
        <w:rPr>
          <w:rFonts w:ascii="Palatino Linotype" w:hAnsi="Palatino Linotype"/>
          <w:sz w:val="24"/>
          <w:szCs w:val="24"/>
          <w:lang w:val="es-ES_tradnl"/>
        </w:rPr>
        <w:t>l</w:t>
      </w:r>
      <w:r w:rsidRPr="00E24229">
        <w:rPr>
          <w:rFonts w:ascii="Palatino Linotype" w:hAnsi="Palatino Linotype"/>
          <w:sz w:val="24"/>
          <w:szCs w:val="24"/>
          <w:lang w:val="es-ES_tradnl"/>
        </w:rPr>
        <w:t xml:space="preserve"> </w:t>
      </w:r>
      <w:r w:rsidRPr="00E24229">
        <w:rPr>
          <w:rFonts w:ascii="Palatino Linotype" w:hAnsi="Palatino Linotype"/>
          <w:b/>
          <w:sz w:val="24"/>
          <w:szCs w:val="24"/>
          <w:lang w:val="es-ES_tradnl"/>
        </w:rPr>
        <w:t>Comisionad</w:t>
      </w:r>
      <w:r w:rsidR="00C40A1A" w:rsidRPr="00E24229">
        <w:rPr>
          <w:rFonts w:ascii="Palatino Linotype" w:hAnsi="Palatino Linotype"/>
          <w:b/>
          <w:sz w:val="24"/>
          <w:szCs w:val="24"/>
          <w:lang w:val="es-ES_tradnl"/>
        </w:rPr>
        <w:t>o</w:t>
      </w:r>
      <w:r w:rsidR="00AD2D04" w:rsidRPr="00E24229">
        <w:rPr>
          <w:rFonts w:ascii="Palatino Linotype" w:hAnsi="Palatino Linotype"/>
          <w:b/>
          <w:sz w:val="24"/>
          <w:szCs w:val="24"/>
          <w:lang w:val="es-ES_tradnl"/>
        </w:rPr>
        <w:t xml:space="preserve"> Presidente</w:t>
      </w:r>
      <w:r w:rsidRPr="00E24229">
        <w:rPr>
          <w:rFonts w:ascii="Palatino Linotype" w:hAnsi="Palatino Linotype"/>
          <w:b/>
          <w:sz w:val="24"/>
          <w:szCs w:val="24"/>
          <w:lang w:val="es-ES_tradnl"/>
        </w:rPr>
        <w:t xml:space="preserve"> </w:t>
      </w:r>
      <w:r w:rsidR="00C40A1A" w:rsidRPr="00E24229">
        <w:rPr>
          <w:rFonts w:ascii="Palatino Linotype" w:hAnsi="Palatino Linotype"/>
          <w:b/>
          <w:sz w:val="24"/>
          <w:szCs w:val="24"/>
          <w:lang w:val="es-ES_tradnl"/>
        </w:rPr>
        <w:t>José Martínez Vilchis</w:t>
      </w:r>
      <w:r w:rsidRPr="00E24229">
        <w:rPr>
          <w:rFonts w:ascii="Palatino Linotype" w:hAnsi="Palatino Linotype"/>
          <w:sz w:val="24"/>
          <w:szCs w:val="24"/>
          <w:lang w:val="es-ES_tradnl"/>
        </w:rPr>
        <w:t xml:space="preserve">, por medio del sistema electrónico en términos del </w:t>
      </w:r>
      <w:r w:rsidR="00BE6D77" w:rsidRPr="00E24229">
        <w:rPr>
          <w:rFonts w:ascii="Palatino Linotype" w:hAnsi="Palatino Linotype"/>
          <w:sz w:val="24"/>
          <w:szCs w:val="24"/>
          <w:lang w:val="es-ES_tradnl"/>
        </w:rPr>
        <w:t>numeral</w:t>
      </w:r>
      <w:r w:rsidRPr="00E24229">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6B27EC" w:rsidRPr="00E24229">
        <w:rPr>
          <w:rFonts w:ascii="Palatino Linotype" w:hAnsi="Palatino Linotype"/>
          <w:sz w:val="24"/>
          <w:szCs w:val="24"/>
          <w:lang w:val="es-ES_tradnl"/>
        </w:rPr>
        <w:t>veinte de junio</w:t>
      </w:r>
      <w:r w:rsidR="0086195D" w:rsidRPr="00E24229">
        <w:rPr>
          <w:rFonts w:ascii="Palatino Linotype" w:hAnsi="Palatino Linotype"/>
          <w:sz w:val="24"/>
          <w:szCs w:val="24"/>
          <w:lang w:val="es-ES_tradnl"/>
        </w:rPr>
        <w:t xml:space="preserve"> de dos mil veinticinco</w:t>
      </w:r>
      <w:r w:rsidRPr="00E24229">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8160F7C" w14:textId="77777777" w:rsidR="006B27EC" w:rsidRPr="00E24229" w:rsidRDefault="006B27EC" w:rsidP="004657BE">
      <w:pPr>
        <w:pStyle w:val="Sinespaciado"/>
        <w:spacing w:line="360" w:lineRule="auto"/>
        <w:jc w:val="both"/>
        <w:rPr>
          <w:rFonts w:ascii="Palatino Linotype" w:hAnsi="Palatino Linotype"/>
          <w:sz w:val="24"/>
          <w:szCs w:val="24"/>
          <w:lang w:val="es-ES_tradnl"/>
        </w:rPr>
      </w:pPr>
    </w:p>
    <w:p w14:paraId="66DC0A8C" w14:textId="77777777" w:rsidR="006B27EC" w:rsidRPr="00E24229" w:rsidRDefault="006B27EC" w:rsidP="004657BE">
      <w:pPr>
        <w:pStyle w:val="Sinespaciado"/>
        <w:spacing w:line="360" w:lineRule="auto"/>
        <w:jc w:val="both"/>
        <w:rPr>
          <w:rFonts w:ascii="Palatino Linotype" w:hAnsi="Palatino Linotype"/>
          <w:sz w:val="24"/>
          <w:szCs w:val="24"/>
          <w:lang w:val="es-ES_tradnl"/>
        </w:rPr>
      </w:pPr>
    </w:p>
    <w:p w14:paraId="750E61C7" w14:textId="77777777" w:rsidR="001C3053" w:rsidRPr="00E24229" w:rsidRDefault="001C3053" w:rsidP="004657BE">
      <w:pPr>
        <w:pStyle w:val="Sinespaciado"/>
        <w:spacing w:line="360" w:lineRule="auto"/>
        <w:jc w:val="both"/>
        <w:rPr>
          <w:rFonts w:ascii="Palatino Linotype" w:hAnsi="Palatino Linotype"/>
          <w:sz w:val="24"/>
          <w:szCs w:val="24"/>
          <w:lang w:val="es-ES_tradnl"/>
        </w:rPr>
      </w:pPr>
    </w:p>
    <w:p w14:paraId="0B9CEAF1" w14:textId="63FC42CE" w:rsidR="007E2E80" w:rsidRPr="00E24229" w:rsidRDefault="006B27EC" w:rsidP="0014447C">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lastRenderedPageBreak/>
        <w:t>QUINTO</w:t>
      </w:r>
      <w:r w:rsidR="007E2E80" w:rsidRPr="00E24229">
        <w:rPr>
          <w:rFonts w:ascii="Palatino Linotype" w:hAnsi="Palatino Linotype"/>
          <w:b/>
          <w:sz w:val="26"/>
          <w:szCs w:val="26"/>
          <w:lang w:val="es-ES_tradnl"/>
        </w:rPr>
        <w:t>. De la etapa de instrucción.</w:t>
      </w:r>
    </w:p>
    <w:p w14:paraId="09F69F14" w14:textId="77777777" w:rsidR="006B27EC" w:rsidRPr="00E24229" w:rsidRDefault="006B27EC" w:rsidP="006B27EC">
      <w:pPr>
        <w:spacing w:after="0" w:line="360" w:lineRule="auto"/>
        <w:jc w:val="both"/>
        <w:rPr>
          <w:rFonts w:ascii="Palatino Linotype" w:eastAsia="Calibri" w:hAnsi="Palatino Linotype" w:cs="Arial"/>
          <w:sz w:val="24"/>
          <w:lang w:eastAsia="es-MX"/>
        </w:rPr>
      </w:pPr>
      <w:r w:rsidRPr="00E24229">
        <w:rPr>
          <w:rFonts w:ascii="Palatino Linotype" w:eastAsia="Calibri" w:hAnsi="Palatino Linotype" w:cs="Arial"/>
          <w:sz w:val="24"/>
          <w:lang w:eastAsia="es-MX"/>
        </w:rPr>
        <w:t xml:space="preserve">Así, una vez transcurrido el término legal referido, </w:t>
      </w:r>
      <w:r w:rsidRPr="00E24229">
        <w:rPr>
          <w:rFonts w:ascii="Palatino Linotype" w:eastAsia="Calibri" w:hAnsi="Palatino Linotype" w:cs="Arial"/>
          <w:b/>
          <w:sz w:val="24"/>
          <w:lang w:eastAsia="es-MX"/>
        </w:rPr>
        <w:t xml:space="preserve">El Sujeto Obligado </w:t>
      </w:r>
      <w:r w:rsidRPr="00E24229">
        <w:rPr>
          <w:rFonts w:ascii="Palatino Linotype" w:eastAsia="Calibri" w:hAnsi="Palatino Linotype" w:cs="Arial"/>
          <w:sz w:val="24"/>
          <w:lang w:eastAsia="es-MX"/>
        </w:rPr>
        <w:t xml:space="preserve">fue omiso en remitir su informe justificado; por otra parte, la parte </w:t>
      </w:r>
      <w:r w:rsidRPr="00E24229">
        <w:rPr>
          <w:rFonts w:ascii="Palatino Linotype" w:eastAsia="Calibri" w:hAnsi="Palatino Linotype" w:cs="Arial"/>
          <w:b/>
          <w:sz w:val="24"/>
          <w:lang w:eastAsia="es-MX"/>
        </w:rPr>
        <w:t>Recurrente</w:t>
      </w:r>
      <w:r w:rsidRPr="00E24229">
        <w:rPr>
          <w:rFonts w:ascii="Palatino Linotype" w:eastAsia="Calibri" w:hAnsi="Palatino Linotype" w:cs="Arial"/>
          <w:sz w:val="24"/>
          <w:lang w:eastAsia="es-MX"/>
        </w:rPr>
        <w:t>, tampoco remitió alegatos, pruebas o manifestaciones, de conformidad con la siguiente captura de pantalla:</w:t>
      </w:r>
    </w:p>
    <w:p w14:paraId="462A4192" w14:textId="77777777" w:rsidR="006B27EC" w:rsidRPr="00E24229" w:rsidRDefault="006B27EC" w:rsidP="006B27EC">
      <w:pPr>
        <w:spacing w:after="0" w:line="360" w:lineRule="auto"/>
        <w:jc w:val="both"/>
        <w:rPr>
          <w:rFonts w:ascii="Palatino Linotype" w:eastAsia="Calibri" w:hAnsi="Palatino Linotype" w:cs="Arial"/>
          <w:sz w:val="24"/>
          <w:lang w:eastAsia="es-MX"/>
        </w:rPr>
      </w:pPr>
    </w:p>
    <w:p w14:paraId="673BBCC7" w14:textId="0C0CAE5F" w:rsidR="006B27EC" w:rsidRPr="00E24229" w:rsidRDefault="006B27EC" w:rsidP="006B27EC">
      <w:pPr>
        <w:spacing w:after="0" w:line="360" w:lineRule="auto"/>
        <w:jc w:val="both"/>
        <w:rPr>
          <w:rFonts w:ascii="Palatino Linotype" w:eastAsia="Calibri" w:hAnsi="Palatino Linotype" w:cs="Arial"/>
          <w:sz w:val="24"/>
          <w:lang w:eastAsia="es-MX"/>
        </w:rPr>
      </w:pPr>
      <w:r w:rsidRPr="00E24229">
        <w:rPr>
          <w:rFonts w:ascii="Palatino Linotype" w:eastAsia="Calibri" w:hAnsi="Palatino Linotype" w:cs="Arial"/>
          <w:noProof/>
          <w:sz w:val="24"/>
          <w:lang w:val="es-MX" w:eastAsia="es-MX"/>
        </w:rPr>
        <w:drawing>
          <wp:inline distT="0" distB="0" distL="0" distR="0" wp14:anchorId="5D8A3891" wp14:editId="21BC5435">
            <wp:extent cx="5760720" cy="1589405"/>
            <wp:effectExtent l="190500" t="190500" r="182880" b="182245"/>
            <wp:docPr id="1511474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74013" name=""/>
                    <pic:cNvPicPr/>
                  </pic:nvPicPr>
                  <pic:blipFill>
                    <a:blip r:embed="rId8"/>
                    <a:stretch>
                      <a:fillRect/>
                    </a:stretch>
                  </pic:blipFill>
                  <pic:spPr>
                    <a:xfrm>
                      <a:off x="0" y="0"/>
                      <a:ext cx="5760720" cy="1589405"/>
                    </a:xfrm>
                    <a:prstGeom prst="rect">
                      <a:avLst/>
                    </a:prstGeom>
                    <a:ln>
                      <a:noFill/>
                    </a:ln>
                    <a:effectLst>
                      <a:outerShdw blurRad="190500" algn="tl" rotWithShape="0">
                        <a:srgbClr val="000000">
                          <a:alpha val="70000"/>
                        </a:srgbClr>
                      </a:outerShdw>
                    </a:effectLst>
                  </pic:spPr>
                </pic:pic>
              </a:graphicData>
            </a:graphic>
          </wp:inline>
        </w:drawing>
      </w:r>
    </w:p>
    <w:p w14:paraId="4DA9009A" w14:textId="50F72CDA" w:rsidR="006B27EC" w:rsidRPr="00E24229" w:rsidRDefault="006B27EC" w:rsidP="006B27EC">
      <w:pPr>
        <w:spacing w:after="0" w:line="360" w:lineRule="auto"/>
        <w:jc w:val="both"/>
        <w:rPr>
          <w:rFonts w:ascii="Palatino Linotype" w:eastAsia="Calibri" w:hAnsi="Palatino Linotype" w:cs="Arial"/>
          <w:sz w:val="24"/>
          <w:lang w:eastAsia="es-MX"/>
        </w:rPr>
      </w:pPr>
    </w:p>
    <w:p w14:paraId="0E994B3D" w14:textId="77777777" w:rsidR="00AD2D04" w:rsidRPr="00E24229" w:rsidRDefault="00AD2D04" w:rsidP="00AD2D04">
      <w:pPr>
        <w:spacing w:after="0" w:line="360" w:lineRule="auto"/>
        <w:jc w:val="both"/>
        <w:rPr>
          <w:rFonts w:ascii="Palatino Linotype" w:hAnsi="Palatino Linotype" w:cs="Arial"/>
          <w:sz w:val="16"/>
          <w:szCs w:val="24"/>
        </w:rPr>
      </w:pPr>
    </w:p>
    <w:p w14:paraId="29E81583" w14:textId="6DD188E8" w:rsidR="00AD2D04" w:rsidRPr="00E24229" w:rsidRDefault="006B27EC" w:rsidP="00AD2D04">
      <w:pPr>
        <w:tabs>
          <w:tab w:val="left" w:pos="3206"/>
        </w:tabs>
        <w:spacing w:after="0" w:line="360" w:lineRule="auto"/>
        <w:jc w:val="both"/>
        <w:rPr>
          <w:rFonts w:ascii="Palatino Linotype" w:hAnsi="Palatino Linotype" w:cs="Arial"/>
          <w:b/>
          <w:sz w:val="26"/>
          <w:szCs w:val="26"/>
        </w:rPr>
      </w:pPr>
      <w:r w:rsidRPr="00E24229">
        <w:rPr>
          <w:rFonts w:ascii="Palatino Linotype" w:hAnsi="Palatino Linotype" w:cs="Arial"/>
          <w:b/>
          <w:sz w:val="26"/>
          <w:szCs w:val="26"/>
        </w:rPr>
        <w:t>SEXTO</w:t>
      </w:r>
      <w:r w:rsidR="00AD2D04" w:rsidRPr="00E24229">
        <w:rPr>
          <w:rFonts w:ascii="Palatino Linotype" w:hAnsi="Palatino Linotype" w:cs="Arial"/>
          <w:b/>
          <w:sz w:val="26"/>
          <w:szCs w:val="26"/>
        </w:rPr>
        <w:t>. Del cierre de instrucción.</w:t>
      </w:r>
      <w:r w:rsidR="00AD2D04" w:rsidRPr="00E24229">
        <w:rPr>
          <w:rFonts w:ascii="Palatino Linotype" w:hAnsi="Palatino Linotype" w:cs="Arial"/>
          <w:b/>
          <w:sz w:val="26"/>
          <w:szCs w:val="26"/>
        </w:rPr>
        <w:tab/>
      </w:r>
    </w:p>
    <w:p w14:paraId="478E1ED4" w14:textId="07DB5642" w:rsidR="00AD2D04" w:rsidRPr="00E24229" w:rsidRDefault="00AD2D04" w:rsidP="00AD2D04">
      <w:pPr>
        <w:spacing w:after="0" w:line="360" w:lineRule="auto"/>
        <w:jc w:val="both"/>
        <w:rPr>
          <w:rFonts w:ascii="Palatino Linotype" w:hAnsi="Palatino Linotype" w:cs="Arial"/>
          <w:sz w:val="24"/>
          <w:szCs w:val="24"/>
        </w:rPr>
      </w:pPr>
      <w:r w:rsidRPr="00E24229">
        <w:rPr>
          <w:rFonts w:ascii="Palatino Linotype" w:hAnsi="Palatino Linotype" w:cs="Arial"/>
          <w:sz w:val="24"/>
          <w:szCs w:val="24"/>
        </w:rPr>
        <w:t xml:space="preserve">Así, una vez transcurrido el término legal, se decretó el cierre de instrucción en fecha </w:t>
      </w:r>
      <w:r w:rsidR="006B27EC" w:rsidRPr="00E24229">
        <w:rPr>
          <w:rFonts w:ascii="Palatino Linotype" w:hAnsi="Palatino Linotype" w:cs="Arial"/>
          <w:sz w:val="24"/>
          <w:szCs w:val="24"/>
        </w:rPr>
        <w:t>once</w:t>
      </w:r>
      <w:r w:rsidR="008441E8" w:rsidRPr="00E24229">
        <w:rPr>
          <w:rFonts w:ascii="Palatino Linotype" w:hAnsi="Palatino Linotype" w:cs="Arial"/>
          <w:sz w:val="24"/>
          <w:szCs w:val="24"/>
        </w:rPr>
        <w:t xml:space="preserve"> de septiembre</w:t>
      </w:r>
      <w:r w:rsidR="0086195D" w:rsidRPr="00E24229">
        <w:rPr>
          <w:rFonts w:ascii="Palatino Linotype" w:hAnsi="Palatino Linotype" w:cs="Arial"/>
          <w:sz w:val="24"/>
          <w:szCs w:val="24"/>
        </w:rPr>
        <w:t xml:space="preserve"> de dos mil veinticinco</w:t>
      </w:r>
      <w:r w:rsidRPr="00E2422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Pr="00E24229" w:rsidRDefault="00854B26" w:rsidP="00AD2D04">
      <w:pPr>
        <w:spacing w:after="0" w:line="360" w:lineRule="auto"/>
        <w:jc w:val="both"/>
        <w:rPr>
          <w:rFonts w:ascii="Palatino Linotype" w:hAnsi="Palatino Linotype" w:cs="Arial"/>
          <w:sz w:val="24"/>
          <w:szCs w:val="24"/>
        </w:rPr>
      </w:pPr>
    </w:p>
    <w:p w14:paraId="637DD653" w14:textId="3F744ED4" w:rsidR="00854B26" w:rsidRPr="00E24229" w:rsidRDefault="006B27EC"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6"/>
          <w:szCs w:val="26"/>
          <w:lang w:eastAsia="es-MX"/>
        </w:rPr>
      </w:pPr>
      <w:r w:rsidRPr="00E24229">
        <w:rPr>
          <w:rFonts w:ascii="Palatino Linotype" w:eastAsia="Times New Roman" w:hAnsi="Palatino Linotype" w:cs="Times New Roman"/>
          <w:b/>
          <w:sz w:val="26"/>
          <w:szCs w:val="26"/>
          <w:lang w:eastAsia="es-MX"/>
        </w:rPr>
        <w:t>SÉPTIMO</w:t>
      </w:r>
      <w:r w:rsidR="00854B26" w:rsidRPr="00E24229">
        <w:rPr>
          <w:rFonts w:ascii="Palatino Linotype" w:eastAsia="Times New Roman" w:hAnsi="Palatino Linotype" w:cs="Times New Roman"/>
          <w:b/>
          <w:sz w:val="26"/>
          <w:szCs w:val="26"/>
          <w:lang w:eastAsia="es-MX"/>
        </w:rPr>
        <w:t>. De la ampliación del término para resolver.</w:t>
      </w:r>
    </w:p>
    <w:p w14:paraId="19B8D987" w14:textId="74746C22" w:rsidR="00854B26" w:rsidRPr="00E24229" w:rsidRDefault="00854B26" w:rsidP="00AD2D04">
      <w:pPr>
        <w:spacing w:after="0" w:line="360" w:lineRule="auto"/>
        <w:jc w:val="both"/>
        <w:rPr>
          <w:rFonts w:ascii="Palatino Linotype" w:eastAsia="Times New Roman" w:hAnsi="Palatino Linotype" w:cs="Times New Roman"/>
          <w:sz w:val="24"/>
          <w:szCs w:val="24"/>
          <w:lang w:eastAsia="es-MX"/>
        </w:rPr>
      </w:pPr>
      <w:r w:rsidRPr="00E24229">
        <w:rPr>
          <w:rFonts w:ascii="Palatino Linotype" w:eastAsia="Times New Roman" w:hAnsi="Palatino Linotype" w:cs="Times New Roman"/>
          <w:sz w:val="24"/>
          <w:szCs w:val="24"/>
          <w:lang w:eastAsia="es-MX"/>
        </w:rPr>
        <w:t xml:space="preserve">En fecha </w:t>
      </w:r>
      <w:r w:rsidR="006B27EC" w:rsidRPr="00E24229">
        <w:rPr>
          <w:rFonts w:ascii="Palatino Linotype" w:eastAsia="Times New Roman" w:hAnsi="Palatino Linotype" w:cs="Times New Roman"/>
          <w:sz w:val="24"/>
          <w:szCs w:val="24"/>
          <w:lang w:eastAsia="es-MX"/>
        </w:rPr>
        <w:t>once</w:t>
      </w:r>
      <w:r w:rsidR="008441E8" w:rsidRPr="00E24229">
        <w:rPr>
          <w:rFonts w:ascii="Palatino Linotype" w:eastAsia="Times New Roman" w:hAnsi="Palatino Linotype" w:cs="Times New Roman"/>
          <w:sz w:val="24"/>
          <w:szCs w:val="24"/>
          <w:lang w:eastAsia="es-MX"/>
        </w:rPr>
        <w:t xml:space="preserve"> de septiembre</w:t>
      </w:r>
      <w:r w:rsidRPr="00E24229">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w:t>
      </w:r>
      <w:r w:rsidRPr="00E24229">
        <w:rPr>
          <w:rFonts w:ascii="Palatino Linotype" w:eastAsia="Times New Roman" w:hAnsi="Palatino Linotype" w:cs="Times New Roman"/>
          <w:sz w:val="24"/>
          <w:szCs w:val="24"/>
          <w:lang w:eastAsia="es-MX"/>
        </w:rPr>
        <w:lastRenderedPageBreak/>
        <w:t>Transparencia y Acceso a la Información Pública del Estado de México y Municipios por un plazo de quince días hábiles.</w:t>
      </w:r>
    </w:p>
    <w:p w14:paraId="3241757F" w14:textId="77777777" w:rsidR="00AD2D04" w:rsidRPr="00E24229" w:rsidRDefault="00AD2D04" w:rsidP="00AD2D04">
      <w:pPr>
        <w:spacing w:after="0" w:line="360" w:lineRule="auto"/>
        <w:jc w:val="both"/>
        <w:rPr>
          <w:rFonts w:ascii="Palatino Linotype" w:hAnsi="Palatino Linotype" w:cs="Arial"/>
          <w:sz w:val="24"/>
          <w:szCs w:val="24"/>
        </w:rPr>
      </w:pPr>
    </w:p>
    <w:p w14:paraId="6F3C257E" w14:textId="77777777" w:rsidR="00423C27" w:rsidRPr="00E24229"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E24229" w:rsidRDefault="007E2E80" w:rsidP="0014447C">
      <w:pPr>
        <w:pStyle w:val="Sinespaciado"/>
        <w:spacing w:line="360" w:lineRule="auto"/>
        <w:jc w:val="center"/>
        <w:rPr>
          <w:rFonts w:ascii="Palatino Linotype" w:hAnsi="Palatino Linotype"/>
          <w:b/>
          <w:sz w:val="28"/>
          <w:szCs w:val="28"/>
          <w:lang w:val="es-ES_tradnl"/>
        </w:rPr>
      </w:pPr>
      <w:r w:rsidRPr="00E24229">
        <w:rPr>
          <w:rFonts w:ascii="Palatino Linotype" w:hAnsi="Palatino Linotype"/>
          <w:b/>
          <w:sz w:val="28"/>
          <w:szCs w:val="28"/>
          <w:lang w:val="es-ES_tradnl"/>
        </w:rPr>
        <w:t>C O N S I D E R A N D O</w:t>
      </w:r>
    </w:p>
    <w:p w14:paraId="06E2B329" w14:textId="77777777" w:rsidR="0014447C" w:rsidRPr="00E24229"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E24229" w:rsidRDefault="007E2E80" w:rsidP="0014447C">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t>PRIMERO. De la competencia.</w:t>
      </w:r>
    </w:p>
    <w:p w14:paraId="7CA05BE7" w14:textId="32A87C99" w:rsidR="007E2E80" w:rsidRPr="00E24229" w:rsidRDefault="00854B26" w:rsidP="00854B26">
      <w:pPr>
        <w:spacing w:after="0" w:line="360" w:lineRule="auto"/>
        <w:jc w:val="both"/>
        <w:rPr>
          <w:rFonts w:ascii="Palatino Linotype" w:hAnsi="Palatino Linotype" w:cs="Arial"/>
          <w:sz w:val="24"/>
          <w:szCs w:val="24"/>
        </w:rPr>
      </w:pPr>
      <w:r w:rsidRPr="00E2422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0C9FF2" w14:textId="77777777" w:rsidR="000F1A39" w:rsidRPr="00E24229" w:rsidRDefault="000F1A39"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E24229" w:rsidRDefault="007E2E80" w:rsidP="0014447C">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t xml:space="preserve">SEGUNDO. Sobre los alcances del recurso de revisión. </w:t>
      </w:r>
    </w:p>
    <w:p w14:paraId="6261EC5A" w14:textId="63E26AC3" w:rsidR="007E2E80" w:rsidRPr="00E24229" w:rsidRDefault="007E2E80"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E24229">
        <w:rPr>
          <w:rFonts w:ascii="Palatino Linotype" w:hAnsi="Palatino Linotype"/>
          <w:sz w:val="24"/>
          <w:szCs w:val="24"/>
          <w:lang w:val="es-ES_tradnl"/>
        </w:rPr>
        <w:lastRenderedPageBreak/>
        <w:t>expediente electrónico, con la finalidad de reparar cualquier posible afectación al derecho de acceso a la información pública y garantizando el principio rector de máxima publicidad.</w:t>
      </w:r>
    </w:p>
    <w:p w14:paraId="689E5C9F" w14:textId="77777777" w:rsidR="001C3053" w:rsidRPr="00E24229" w:rsidRDefault="001C3053" w:rsidP="0014447C">
      <w:pPr>
        <w:pStyle w:val="Sinespaciado"/>
        <w:spacing w:line="360" w:lineRule="auto"/>
        <w:jc w:val="both"/>
        <w:rPr>
          <w:rFonts w:ascii="Palatino Linotype" w:hAnsi="Palatino Linotype"/>
          <w:sz w:val="24"/>
          <w:szCs w:val="24"/>
          <w:lang w:val="es-ES_tradnl"/>
        </w:rPr>
      </w:pPr>
    </w:p>
    <w:p w14:paraId="7A1683D5" w14:textId="77777777" w:rsidR="001C3053" w:rsidRPr="00E24229" w:rsidRDefault="001C3053" w:rsidP="001C3053">
      <w:pPr>
        <w:pStyle w:val="Sinespaciado"/>
        <w:spacing w:line="360" w:lineRule="auto"/>
        <w:jc w:val="both"/>
        <w:rPr>
          <w:rFonts w:ascii="Palatino Linotype" w:hAnsi="Palatino Linotype" w:cs="Palatino Linotype"/>
          <w:sz w:val="26"/>
          <w:szCs w:val="26"/>
        </w:rPr>
      </w:pPr>
      <w:r w:rsidRPr="00E24229">
        <w:rPr>
          <w:rFonts w:ascii="Palatino Linotype" w:hAnsi="Palatino Linotype" w:cs="Arial"/>
          <w:b/>
          <w:sz w:val="26"/>
          <w:szCs w:val="26"/>
        </w:rPr>
        <w:t>TERCERO. Cuestiones de previo y especial pronunciamiento.</w:t>
      </w:r>
    </w:p>
    <w:p w14:paraId="4CCC8115" w14:textId="77777777" w:rsidR="001C3053" w:rsidRPr="00E24229" w:rsidRDefault="001C3053" w:rsidP="001C3053">
      <w:pPr>
        <w:pStyle w:val="Sinespaciado"/>
        <w:spacing w:line="360" w:lineRule="auto"/>
        <w:jc w:val="both"/>
        <w:rPr>
          <w:rFonts w:ascii="Palatino Linotype" w:hAnsi="Palatino Linotype" w:cs="Palatino Linotype"/>
          <w:sz w:val="24"/>
          <w:szCs w:val="24"/>
          <w:lang w:val="es-ES_tradnl" w:eastAsia="es-MX"/>
        </w:rPr>
      </w:pPr>
      <w:r w:rsidRPr="00E24229">
        <w:rPr>
          <w:rFonts w:ascii="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5C80E276" w14:textId="77777777" w:rsidR="001C3053" w:rsidRPr="00E24229" w:rsidRDefault="001C3053" w:rsidP="001C3053">
      <w:pPr>
        <w:spacing w:line="360" w:lineRule="auto"/>
        <w:contextualSpacing/>
        <w:jc w:val="both"/>
        <w:rPr>
          <w:rFonts w:ascii="Palatino Linotype" w:hAnsi="Palatino Linotype" w:cs="Palatino Linotype"/>
        </w:rPr>
      </w:pPr>
    </w:p>
    <w:p w14:paraId="577CAEEB"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 xml:space="preserve">Artículo 180. </w:t>
      </w:r>
      <w:r w:rsidRPr="00E24229">
        <w:rPr>
          <w:rFonts w:ascii="Palatino Linotype" w:hAnsi="Palatino Linotype" w:cs="Palatino Linotype"/>
          <w:i/>
        </w:rPr>
        <w:t>El recurso de revisión contendrá:</w:t>
      </w:r>
    </w:p>
    <w:p w14:paraId="654F5658" w14:textId="77777777" w:rsidR="001C3053" w:rsidRPr="00E24229" w:rsidRDefault="001C3053" w:rsidP="001C3053">
      <w:pPr>
        <w:ind w:left="567" w:right="567"/>
        <w:contextualSpacing/>
        <w:jc w:val="both"/>
        <w:rPr>
          <w:rFonts w:ascii="Palatino Linotype" w:hAnsi="Palatino Linotype" w:cs="Palatino Linotype"/>
          <w:i/>
        </w:rPr>
      </w:pPr>
    </w:p>
    <w:p w14:paraId="2FB05A2B"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I. El sujeto obligado ante la cual se presentó la solicitud;</w:t>
      </w:r>
    </w:p>
    <w:p w14:paraId="1B7FE230"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II. El nombre del solicitante que recurre</w:t>
      </w:r>
      <w:r w:rsidRPr="00E24229">
        <w:rPr>
          <w:rFonts w:ascii="Palatino Linotype" w:hAnsi="Palatino Linotype" w:cs="Palatino Linotype"/>
          <w:i/>
        </w:rPr>
        <w:t xml:space="preserve"> o de su representante y, en su caso, del tercero interesado, así como la dirección o medio que señale para recibir notificaciones;</w:t>
      </w:r>
    </w:p>
    <w:p w14:paraId="1415189E"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III. El número de folio de respuesta de la solicitud de acceso;</w:t>
      </w:r>
    </w:p>
    <w:p w14:paraId="085E1C53"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IV. La fecha en que fue notificada la respuesta al solicitante o tuvo conocimiento del acto reclamado, o de presentación de la solicitud, en caso de falta de respuesta;</w:t>
      </w:r>
    </w:p>
    <w:p w14:paraId="1D71551A"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V. El acto que se recurre;</w:t>
      </w:r>
    </w:p>
    <w:p w14:paraId="1FDA7BB9"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VI. Las razones o motivos de inconformidad;</w:t>
      </w:r>
    </w:p>
    <w:p w14:paraId="1BC9214E"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VII. La copia de la respuesta que se impugna y, en su caso, de la notificación correspondiente, en el caso de respuesta de la solicitud; y</w:t>
      </w:r>
    </w:p>
    <w:p w14:paraId="0E0F708D"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VIII. Firma del recurrente, en su caso, cuando se presente por escrito, requisito sin el cual se dará trámite al recurso.</w:t>
      </w:r>
    </w:p>
    <w:p w14:paraId="015D8214" w14:textId="77777777" w:rsidR="001C3053" w:rsidRPr="00E24229" w:rsidRDefault="001C3053" w:rsidP="001C3053">
      <w:pPr>
        <w:ind w:left="567" w:right="567"/>
        <w:contextualSpacing/>
        <w:jc w:val="both"/>
        <w:rPr>
          <w:rFonts w:ascii="Palatino Linotype" w:hAnsi="Palatino Linotype" w:cs="Palatino Linotype"/>
          <w:i/>
        </w:rPr>
      </w:pPr>
    </w:p>
    <w:p w14:paraId="7B53FD39"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Adicionalmente, se podrán anexar las pruebas y demás elementos que considere procedentes someter a juicio del Instituto.</w:t>
      </w:r>
    </w:p>
    <w:p w14:paraId="60266A3E" w14:textId="77777777" w:rsidR="001C3053" w:rsidRPr="00E24229" w:rsidRDefault="001C3053" w:rsidP="001C3053">
      <w:pPr>
        <w:ind w:left="567" w:right="567"/>
        <w:contextualSpacing/>
        <w:jc w:val="both"/>
        <w:rPr>
          <w:rFonts w:ascii="Palatino Linotype" w:hAnsi="Palatino Linotype" w:cs="Palatino Linotype"/>
          <w:i/>
        </w:rPr>
      </w:pPr>
    </w:p>
    <w:p w14:paraId="3CC6BF8A"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En ningún caso será necesario que el particular ratifique el recurso de revisión interpuesto.</w:t>
      </w:r>
    </w:p>
    <w:p w14:paraId="2FAEE401" w14:textId="77777777" w:rsidR="001C3053" w:rsidRPr="00E24229" w:rsidRDefault="001C3053" w:rsidP="001C3053">
      <w:pPr>
        <w:ind w:left="567" w:right="567"/>
        <w:contextualSpacing/>
        <w:jc w:val="both"/>
        <w:rPr>
          <w:rFonts w:ascii="Palatino Linotype" w:hAnsi="Palatino Linotype" w:cs="Palatino Linotype"/>
          <w:i/>
        </w:rPr>
      </w:pPr>
    </w:p>
    <w:p w14:paraId="636DD028"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b/>
          <w:bCs/>
          <w:i/>
          <w:iCs/>
        </w:rPr>
        <w:t>En caso de que el recurso se interponga de manera electrónica no será indispensable que contengan los requisitos establecidos en las fracciones II</w:t>
      </w:r>
      <w:r w:rsidRPr="00E24229">
        <w:rPr>
          <w:rFonts w:ascii="Palatino Linotype" w:hAnsi="Palatino Linotype" w:cs="Palatino Linotype"/>
          <w:i/>
          <w:iCs/>
        </w:rPr>
        <w:t>, IV, VII y VIII.</w:t>
      </w:r>
    </w:p>
    <w:p w14:paraId="06D7678D" w14:textId="77777777" w:rsidR="001C3053" w:rsidRPr="00E24229" w:rsidRDefault="001C3053" w:rsidP="001C3053">
      <w:pPr>
        <w:spacing w:line="360" w:lineRule="auto"/>
        <w:contextualSpacing/>
        <w:jc w:val="both"/>
        <w:rPr>
          <w:rFonts w:ascii="Palatino Linotype" w:hAnsi="Palatino Linotype" w:cs="Palatino Linotype"/>
          <w:bCs/>
          <w:iCs/>
        </w:rPr>
      </w:pPr>
    </w:p>
    <w:p w14:paraId="10AC379C" w14:textId="77777777" w:rsidR="001C3053" w:rsidRPr="00E24229" w:rsidRDefault="001C3053" w:rsidP="001C3053">
      <w:pPr>
        <w:spacing w:line="360" w:lineRule="auto"/>
        <w:contextualSpacing/>
        <w:jc w:val="both"/>
        <w:rPr>
          <w:rFonts w:ascii="Palatino Linotype" w:hAnsi="Palatino Linotype" w:cs="Palatino Linotype"/>
          <w:sz w:val="24"/>
          <w:szCs w:val="24"/>
        </w:rPr>
      </w:pPr>
      <w:r w:rsidRPr="00E24229">
        <w:rPr>
          <w:rFonts w:ascii="Palatino Linotype" w:hAnsi="Palatino Linotype" w:cs="Palatino Linotype"/>
          <w:sz w:val="24"/>
          <w:szCs w:val="24"/>
        </w:rPr>
        <w:t xml:space="preserve">Cabe señalar que el hoy Recurrente </w:t>
      </w:r>
      <w:r w:rsidRPr="00E24229">
        <w:rPr>
          <w:rFonts w:ascii="Palatino Linotype" w:hAnsi="Palatino Linotype"/>
          <w:sz w:val="24"/>
          <w:szCs w:val="24"/>
        </w:rPr>
        <w:t xml:space="preserve">en ejercicio de su derecho de acceso a la información pública, no proporcionó un nombre para que </w:t>
      </w:r>
      <w:r w:rsidRPr="00E24229">
        <w:rPr>
          <w:rFonts w:ascii="Palatino Linotype" w:hAnsi="Palatino Linotype" w:cs="Arial"/>
          <w:sz w:val="24"/>
          <w:szCs w:val="24"/>
        </w:rPr>
        <w:t>sea</w:t>
      </w:r>
      <w:r w:rsidRPr="00E24229">
        <w:rPr>
          <w:rFonts w:ascii="Palatino Linotype" w:hAnsi="Palatino Linotype"/>
          <w:sz w:val="24"/>
          <w:szCs w:val="24"/>
        </w:rPr>
        <w:t xml:space="preserve"> identificado; por lo que no tiene certeza sobre su identidad</w:t>
      </w:r>
      <w:r w:rsidRPr="00E24229">
        <w:rPr>
          <w:rFonts w:ascii="Palatino Linotype" w:hAnsi="Palatino Linotype" w:cs="Palatino Linotype"/>
          <w:sz w:val="24"/>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9DE15AB" w14:textId="77777777" w:rsidR="001C3053" w:rsidRPr="00E24229" w:rsidRDefault="001C3053" w:rsidP="001C3053">
      <w:pPr>
        <w:spacing w:line="360" w:lineRule="auto"/>
        <w:contextualSpacing/>
        <w:jc w:val="both"/>
        <w:rPr>
          <w:rFonts w:ascii="Palatino Linotype" w:hAnsi="Palatino Linotype" w:cs="Palatino Linotype"/>
        </w:rPr>
      </w:pPr>
    </w:p>
    <w:p w14:paraId="17F20B3A"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Artículo 155.</w:t>
      </w:r>
      <w:r w:rsidRPr="00E24229">
        <w:rPr>
          <w:rFonts w:ascii="Palatino Linotype" w:hAnsi="Palatino Linotype" w:cs="Palatino Linotype"/>
          <w:i/>
        </w:rPr>
        <w:t xml:space="preserve"> […]</w:t>
      </w:r>
    </w:p>
    <w:p w14:paraId="3BA57C33" w14:textId="77777777" w:rsidR="001C3053" w:rsidRPr="00E24229" w:rsidRDefault="001C3053" w:rsidP="001C3053">
      <w:pPr>
        <w:ind w:left="567" w:right="567"/>
        <w:contextualSpacing/>
        <w:jc w:val="both"/>
        <w:rPr>
          <w:rFonts w:ascii="Palatino Linotype" w:hAnsi="Palatino Linotype" w:cs="Palatino Linotype"/>
          <w:i/>
        </w:rPr>
      </w:pPr>
    </w:p>
    <w:p w14:paraId="569A78FB"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Las solicitudes anónimas</w:t>
      </w:r>
      <w:r w:rsidRPr="00E24229">
        <w:rPr>
          <w:rFonts w:ascii="Palatino Linotype" w:hAnsi="Palatino Linotype" w:cs="Palatino Linotype"/>
          <w:i/>
        </w:rPr>
        <w:t xml:space="preserve">, con nombre incompleto o seudónimo </w:t>
      </w:r>
      <w:r w:rsidRPr="00E24229">
        <w:rPr>
          <w:rFonts w:ascii="Palatino Linotype" w:hAnsi="Palatino Linotype" w:cs="Palatino Linotype"/>
          <w:b/>
          <w:i/>
        </w:rPr>
        <w:t>serán procedentes para su trámite</w:t>
      </w:r>
      <w:r w:rsidRPr="00E24229">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7F2027D2" w14:textId="77777777" w:rsidR="001C3053" w:rsidRPr="00E24229" w:rsidRDefault="001C3053" w:rsidP="001C3053">
      <w:pPr>
        <w:spacing w:line="360" w:lineRule="auto"/>
        <w:contextualSpacing/>
        <w:jc w:val="both"/>
        <w:rPr>
          <w:rFonts w:ascii="Palatino Linotype" w:hAnsi="Palatino Linotype" w:cs="Palatino Linotype"/>
        </w:rPr>
      </w:pPr>
    </w:p>
    <w:p w14:paraId="0FA4A00C" w14:textId="77777777" w:rsidR="001C3053" w:rsidRPr="00E24229" w:rsidRDefault="001C3053" w:rsidP="001C3053">
      <w:pPr>
        <w:spacing w:line="360" w:lineRule="auto"/>
        <w:contextualSpacing/>
        <w:jc w:val="both"/>
        <w:rPr>
          <w:rFonts w:ascii="Palatino Linotype" w:hAnsi="Palatino Linotype" w:cs="Palatino Linotype"/>
          <w:sz w:val="24"/>
          <w:szCs w:val="24"/>
        </w:rPr>
      </w:pPr>
      <w:r w:rsidRPr="00E24229">
        <w:rPr>
          <w:rFonts w:ascii="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99CB078" w14:textId="77777777" w:rsidR="001C3053" w:rsidRPr="00E24229" w:rsidRDefault="001C3053" w:rsidP="001C3053">
      <w:pPr>
        <w:spacing w:line="360" w:lineRule="auto"/>
        <w:contextualSpacing/>
        <w:jc w:val="both"/>
        <w:rPr>
          <w:rFonts w:ascii="Palatino Linotype" w:hAnsi="Palatino Linotype" w:cs="Palatino Linotype"/>
        </w:rPr>
      </w:pPr>
    </w:p>
    <w:p w14:paraId="4B2AC9B4" w14:textId="77777777" w:rsidR="001C3053" w:rsidRPr="00E24229" w:rsidRDefault="001C3053" w:rsidP="001C3053">
      <w:pPr>
        <w:ind w:left="567" w:right="567"/>
        <w:contextualSpacing/>
        <w:jc w:val="center"/>
        <w:rPr>
          <w:rFonts w:ascii="Palatino Linotype" w:hAnsi="Palatino Linotype" w:cs="Palatino Linotype"/>
          <w:b/>
          <w:i/>
          <w:u w:val="single"/>
        </w:rPr>
      </w:pPr>
      <w:r w:rsidRPr="00E24229">
        <w:rPr>
          <w:rFonts w:ascii="Palatino Linotype" w:hAnsi="Palatino Linotype" w:cs="Palatino Linotype"/>
          <w:b/>
          <w:i/>
          <w:u w:val="single"/>
        </w:rPr>
        <w:t>Constitución Política de los Estados Unidos Mexicanos</w:t>
      </w:r>
    </w:p>
    <w:p w14:paraId="4388DDA0"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b/>
          <w:bCs/>
          <w:i/>
          <w:iCs/>
        </w:rPr>
        <w:t xml:space="preserve">Artículo 6.- </w:t>
      </w:r>
      <w:r w:rsidRPr="00E24229">
        <w:rPr>
          <w:rFonts w:ascii="Palatino Linotype" w:hAnsi="Palatino Linotype"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AB17CB"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62BCAA53"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 xml:space="preserve">Para efectos de lo dispuesto en el presente artículo se observará lo siguiente: </w:t>
      </w:r>
    </w:p>
    <w:p w14:paraId="7ADF1B6C" w14:textId="77777777" w:rsidR="001C3053" w:rsidRPr="00E24229" w:rsidRDefault="001C3053" w:rsidP="001C3053">
      <w:pPr>
        <w:ind w:left="567" w:right="567"/>
        <w:contextualSpacing/>
        <w:jc w:val="both"/>
        <w:rPr>
          <w:rFonts w:ascii="Palatino Linotype" w:hAnsi="Palatino Linotype" w:cs="Palatino Linotype"/>
          <w:i/>
        </w:rPr>
      </w:pPr>
    </w:p>
    <w:p w14:paraId="5C2C064E"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lastRenderedPageBreak/>
        <w:t>A. Para el ejercicio del derecho de acceso a la información, la Federación y las entidades federativas, en el ámbito de sus respectivas competencias, se regirán por los siguientes principios y bases:</w:t>
      </w:r>
    </w:p>
    <w:p w14:paraId="1FFAB2C8"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6FA97154"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526D9914"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1966DF4" w14:textId="77777777" w:rsidR="001C3053" w:rsidRPr="00E24229" w:rsidRDefault="001C3053" w:rsidP="001C3053">
      <w:pPr>
        <w:ind w:left="567" w:right="567"/>
        <w:contextualSpacing/>
        <w:jc w:val="both"/>
        <w:rPr>
          <w:rFonts w:ascii="Palatino Linotype" w:hAnsi="Palatino Linotype" w:cs="Palatino Linotype"/>
          <w:i/>
        </w:rPr>
      </w:pPr>
    </w:p>
    <w:p w14:paraId="130513BE" w14:textId="77777777" w:rsidR="001C3053" w:rsidRPr="00E24229" w:rsidRDefault="001C3053" w:rsidP="001C3053">
      <w:pPr>
        <w:ind w:left="567" w:right="567"/>
        <w:contextualSpacing/>
        <w:jc w:val="center"/>
        <w:rPr>
          <w:rFonts w:ascii="Palatino Linotype" w:hAnsi="Palatino Linotype" w:cs="Palatino Linotype"/>
          <w:b/>
          <w:i/>
          <w:u w:val="single"/>
        </w:rPr>
      </w:pPr>
      <w:r w:rsidRPr="00E24229">
        <w:rPr>
          <w:rFonts w:ascii="Palatino Linotype" w:hAnsi="Palatino Linotype" w:cs="Palatino Linotype"/>
          <w:b/>
          <w:i/>
          <w:u w:val="single"/>
        </w:rPr>
        <w:t>Constitución Política del Estado Libre y Soberano de México</w:t>
      </w:r>
    </w:p>
    <w:p w14:paraId="44D31B4B"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Artículo 5</w:t>
      </w:r>
      <w:r w:rsidRPr="00E24229">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CAD9B8"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0E0F6102"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7F093242"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1EDA1872"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FE89AAB" w14:textId="77777777" w:rsidR="001C3053" w:rsidRPr="00E24229" w:rsidRDefault="001C3053" w:rsidP="001C3053">
      <w:pPr>
        <w:ind w:left="567" w:right="567"/>
        <w:contextualSpacing/>
        <w:jc w:val="both"/>
        <w:rPr>
          <w:rFonts w:ascii="Palatino Linotype" w:hAnsi="Palatino Linotype" w:cs="Palatino Linotype"/>
          <w:i/>
        </w:rPr>
      </w:pPr>
    </w:p>
    <w:p w14:paraId="09825004"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7445E47" w14:textId="77777777" w:rsidR="001C3053" w:rsidRPr="00E24229" w:rsidRDefault="001C3053" w:rsidP="001C3053">
      <w:pPr>
        <w:ind w:left="567" w:right="567"/>
        <w:contextualSpacing/>
        <w:jc w:val="both"/>
        <w:rPr>
          <w:rFonts w:ascii="Palatino Linotype" w:hAnsi="Palatino Linotype" w:cs="Palatino Linotype"/>
          <w:i/>
        </w:rPr>
      </w:pPr>
    </w:p>
    <w:p w14:paraId="44E1A5CE"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Este derecho se regirá por los principios y bases siguientes:</w:t>
      </w:r>
    </w:p>
    <w:p w14:paraId="1FA2ABC6"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3EA49FE6"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III.</w:t>
      </w:r>
      <w:r w:rsidRPr="00E24229">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C9713A5"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lastRenderedPageBreak/>
        <w:t>IV.</w:t>
      </w:r>
      <w:r w:rsidRPr="00E24229">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AD979A8"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641CFE44"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VIII.</w:t>
      </w:r>
      <w:r w:rsidRPr="00E24229">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753678C"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i/>
        </w:rPr>
        <w:t>[…]</w:t>
      </w:r>
    </w:p>
    <w:p w14:paraId="65B82E77" w14:textId="77777777" w:rsidR="001C3053" w:rsidRPr="00E24229" w:rsidRDefault="001C3053" w:rsidP="001C3053">
      <w:pPr>
        <w:spacing w:line="360" w:lineRule="auto"/>
        <w:ind w:left="567" w:right="567"/>
        <w:contextualSpacing/>
        <w:jc w:val="both"/>
        <w:rPr>
          <w:rFonts w:ascii="Palatino Linotype" w:hAnsi="Palatino Linotype" w:cs="Palatino Linotype"/>
        </w:rPr>
      </w:pPr>
    </w:p>
    <w:p w14:paraId="65DB6571" w14:textId="77777777" w:rsidR="001C3053" w:rsidRPr="00E24229" w:rsidRDefault="001C3053" w:rsidP="001C3053">
      <w:pPr>
        <w:spacing w:line="360" w:lineRule="auto"/>
        <w:ind w:right="49"/>
        <w:contextualSpacing/>
        <w:jc w:val="both"/>
        <w:rPr>
          <w:rFonts w:ascii="Palatino Linotype" w:hAnsi="Palatino Linotype" w:cs="Palatino Linotype"/>
          <w:sz w:val="24"/>
          <w:szCs w:val="24"/>
        </w:rPr>
      </w:pPr>
      <w:r w:rsidRPr="00E24229">
        <w:rPr>
          <w:rFonts w:ascii="Palatino Linotype" w:hAnsi="Palatino Linotype" w:cs="Palatino Linotype"/>
          <w:sz w:val="24"/>
          <w:szCs w:val="24"/>
        </w:rPr>
        <w:t>Por otra parte, del contenido del artículo 1 de la Constitución Política de los Estados Unidos Mexicanos, se destaca lo siguiente:</w:t>
      </w:r>
    </w:p>
    <w:p w14:paraId="2CCF9491" w14:textId="77777777" w:rsidR="001C3053" w:rsidRPr="00E24229" w:rsidRDefault="001C3053" w:rsidP="001C3053">
      <w:pPr>
        <w:spacing w:line="360" w:lineRule="auto"/>
        <w:ind w:right="49"/>
        <w:contextualSpacing/>
        <w:jc w:val="both"/>
        <w:rPr>
          <w:rFonts w:ascii="Palatino Linotype" w:hAnsi="Palatino Linotype" w:cs="Palatino Linotype"/>
        </w:rPr>
      </w:pPr>
    </w:p>
    <w:p w14:paraId="32834376" w14:textId="77777777" w:rsidR="001C3053" w:rsidRPr="00E24229" w:rsidRDefault="001C3053" w:rsidP="001C3053">
      <w:pPr>
        <w:ind w:left="567" w:right="567"/>
        <w:contextualSpacing/>
        <w:jc w:val="both"/>
        <w:rPr>
          <w:rFonts w:ascii="Palatino Linotype" w:hAnsi="Palatino Linotype" w:cs="Palatino Linotype"/>
          <w:i/>
        </w:rPr>
      </w:pPr>
      <w:r w:rsidRPr="00E24229">
        <w:rPr>
          <w:rFonts w:ascii="Palatino Linotype" w:hAnsi="Palatino Linotype" w:cs="Palatino Linotype"/>
          <w:b/>
          <w:i/>
        </w:rPr>
        <w:t>Artículo 1o</w:t>
      </w:r>
      <w:r w:rsidRPr="00E24229">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BFD5F6" w14:textId="77777777" w:rsidR="001C3053" w:rsidRPr="00E24229" w:rsidRDefault="001C3053" w:rsidP="001C3053">
      <w:pPr>
        <w:ind w:left="567" w:right="567"/>
        <w:contextualSpacing/>
        <w:jc w:val="both"/>
        <w:rPr>
          <w:rFonts w:ascii="Palatino Linotype" w:hAnsi="Palatino Linotype" w:cs="Palatino Linotype"/>
          <w:i/>
        </w:rPr>
      </w:pPr>
    </w:p>
    <w:p w14:paraId="0A80453E"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75ED0D33" w14:textId="77777777" w:rsidR="001C3053" w:rsidRPr="00E24229" w:rsidRDefault="001C3053" w:rsidP="001C3053">
      <w:pPr>
        <w:ind w:left="567" w:right="567"/>
        <w:contextualSpacing/>
        <w:jc w:val="both"/>
        <w:rPr>
          <w:rFonts w:ascii="Palatino Linotype" w:hAnsi="Palatino Linotype" w:cs="Palatino Linotype"/>
          <w:i/>
        </w:rPr>
      </w:pPr>
    </w:p>
    <w:p w14:paraId="222047C7" w14:textId="77777777" w:rsidR="001C3053" w:rsidRPr="00E24229" w:rsidRDefault="001C3053" w:rsidP="001C3053">
      <w:pPr>
        <w:ind w:left="567" w:right="567"/>
        <w:contextualSpacing/>
        <w:jc w:val="both"/>
        <w:rPr>
          <w:rFonts w:ascii="Palatino Linotype" w:hAnsi="Palatino Linotype" w:cs="Palatino Linotype"/>
          <w:i/>
          <w:iCs/>
        </w:rPr>
      </w:pPr>
      <w:r w:rsidRPr="00E24229">
        <w:rPr>
          <w:rFonts w:ascii="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6E66A6" w14:textId="77777777" w:rsidR="001C3053" w:rsidRPr="00E24229" w:rsidRDefault="001C3053" w:rsidP="001C3053">
      <w:pPr>
        <w:spacing w:line="360" w:lineRule="auto"/>
        <w:jc w:val="both"/>
        <w:rPr>
          <w:rFonts w:ascii="Palatino Linotype" w:hAnsi="Palatino Linotype" w:cs="Calibri"/>
        </w:rPr>
      </w:pPr>
    </w:p>
    <w:p w14:paraId="655F309F" w14:textId="63BE57A0" w:rsidR="001C3053" w:rsidRPr="00E24229" w:rsidRDefault="001C3053" w:rsidP="001C3053">
      <w:pPr>
        <w:spacing w:after="0" w:line="360" w:lineRule="auto"/>
        <w:jc w:val="both"/>
        <w:rPr>
          <w:rFonts w:ascii="Palatino Linotype" w:hAnsi="Palatino Linotype" w:cs="Palatino Linotype"/>
          <w:sz w:val="24"/>
          <w:szCs w:val="24"/>
        </w:rPr>
      </w:pPr>
      <w:r w:rsidRPr="00E24229">
        <w:rPr>
          <w:rFonts w:ascii="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sidRPr="00E24229">
        <w:rPr>
          <w:rFonts w:ascii="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808C2E" w14:textId="77777777" w:rsidR="001C3053" w:rsidRPr="00E24229" w:rsidRDefault="001C3053" w:rsidP="001C3053">
      <w:pPr>
        <w:spacing w:after="0" w:line="360" w:lineRule="auto"/>
        <w:jc w:val="both"/>
        <w:rPr>
          <w:rFonts w:ascii="Palatino Linotype" w:hAnsi="Palatino Linotype" w:cs="Palatino Linotype"/>
          <w:sz w:val="24"/>
          <w:szCs w:val="24"/>
        </w:rPr>
      </w:pPr>
    </w:p>
    <w:p w14:paraId="1BB49721" w14:textId="79D52138" w:rsidR="001C3053" w:rsidRPr="00E24229" w:rsidRDefault="001C3053" w:rsidP="001C3053">
      <w:pPr>
        <w:pStyle w:val="Prrafodelista"/>
        <w:autoSpaceDE w:val="0"/>
        <w:autoSpaceDN w:val="0"/>
        <w:adjustRightInd w:val="0"/>
        <w:spacing w:line="360" w:lineRule="auto"/>
        <w:ind w:left="0"/>
        <w:jc w:val="both"/>
        <w:rPr>
          <w:rFonts w:ascii="Palatino Linotype" w:hAnsi="Palatino Linotype" w:cs="Arial"/>
        </w:rPr>
      </w:pPr>
      <w:r w:rsidRPr="00E24229">
        <w:rPr>
          <w:rFonts w:ascii="Palatino Linotype" w:hAnsi="Palatino Linotype" w:cs="Palatino Linotype"/>
          <w:color w:val="000000"/>
        </w:rPr>
        <w:t>En conclusión, se cubrieron los requisitos de procedencia y procedibilidad y conforme a las constancias que obran en el expediente.</w:t>
      </w:r>
    </w:p>
    <w:p w14:paraId="625E16A7" w14:textId="77777777" w:rsidR="00476211" w:rsidRPr="00E24229" w:rsidRDefault="00476211" w:rsidP="0014447C">
      <w:pPr>
        <w:pStyle w:val="Sinespaciado"/>
        <w:spacing w:line="360" w:lineRule="auto"/>
        <w:jc w:val="both"/>
        <w:rPr>
          <w:rFonts w:ascii="Palatino Linotype" w:hAnsi="Palatino Linotype"/>
          <w:sz w:val="24"/>
          <w:szCs w:val="24"/>
          <w:lang w:val="es-ES_tradnl"/>
        </w:rPr>
      </w:pPr>
    </w:p>
    <w:p w14:paraId="61B51BAD" w14:textId="272914AF" w:rsidR="00705D1C" w:rsidRPr="00E24229" w:rsidRDefault="008A1B36" w:rsidP="00705D1C">
      <w:pPr>
        <w:pStyle w:val="Sinespaciado"/>
        <w:spacing w:line="360" w:lineRule="auto"/>
        <w:jc w:val="both"/>
        <w:rPr>
          <w:rFonts w:ascii="Palatino Linotype" w:hAnsi="Palatino Linotype"/>
          <w:b/>
          <w:sz w:val="26"/>
          <w:szCs w:val="26"/>
          <w:lang w:val="es-ES_tradnl"/>
        </w:rPr>
      </w:pPr>
      <w:r w:rsidRPr="00E24229">
        <w:rPr>
          <w:rFonts w:ascii="Palatino Linotype" w:hAnsi="Palatino Linotype"/>
          <w:b/>
          <w:sz w:val="26"/>
          <w:szCs w:val="26"/>
          <w:lang w:val="es-ES_tradnl"/>
        </w:rPr>
        <w:t>CUARTO</w:t>
      </w:r>
      <w:r w:rsidR="007E2E80" w:rsidRPr="00E24229">
        <w:rPr>
          <w:rFonts w:ascii="Palatino Linotype" w:hAnsi="Palatino Linotype"/>
          <w:b/>
          <w:sz w:val="26"/>
          <w:szCs w:val="26"/>
          <w:lang w:val="es-ES_tradnl"/>
        </w:rPr>
        <w:t xml:space="preserve">. </w:t>
      </w:r>
      <w:r w:rsidR="00705D1C" w:rsidRPr="00E24229">
        <w:rPr>
          <w:rFonts w:ascii="Palatino Linotype" w:hAnsi="Palatino Linotype"/>
          <w:b/>
          <w:sz w:val="26"/>
          <w:szCs w:val="26"/>
          <w:lang w:val="es-ES_tradnl"/>
        </w:rPr>
        <w:t>De las causas de improcedencia.</w:t>
      </w:r>
    </w:p>
    <w:p w14:paraId="0A532482" w14:textId="77777777" w:rsidR="006B288E" w:rsidRPr="00E24229"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E24229">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E24229"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E24229"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E24229">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E24229">
        <w:rPr>
          <w:rFonts w:ascii="Palatino Linotype" w:hAnsi="Palatino Linotype" w:cs="Arial"/>
          <w:lang w:val="es-ES_tradn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4229">
        <w:rPr>
          <w:rStyle w:val="Refdenotaalpie"/>
          <w:rFonts w:ascii="Palatino Linotype" w:hAnsi="Palatino Linotype" w:cs="Arial"/>
          <w:lang w:val="es-ES_tradnl"/>
        </w:rPr>
        <w:footnoteReference w:id="1"/>
      </w:r>
      <w:r w:rsidRPr="00E24229">
        <w:rPr>
          <w:rFonts w:ascii="Palatino Linotype" w:hAnsi="Palatino Linotype" w:cs="Arial"/>
          <w:lang w:val="es-ES_tradnl"/>
        </w:rPr>
        <w:t>.</w:t>
      </w:r>
    </w:p>
    <w:p w14:paraId="6565F447" w14:textId="77777777" w:rsidR="006B288E" w:rsidRPr="00E24229"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E24229"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E24229">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0DD1BB27" w14:textId="77777777" w:rsidR="006B288E" w:rsidRPr="00E24229" w:rsidRDefault="006B288E" w:rsidP="0014447C">
      <w:pPr>
        <w:pStyle w:val="Sinespaciado"/>
        <w:spacing w:line="360" w:lineRule="auto"/>
        <w:jc w:val="both"/>
        <w:rPr>
          <w:rFonts w:ascii="Palatino Linotype" w:hAnsi="Palatino Linotype"/>
          <w:sz w:val="26"/>
          <w:szCs w:val="26"/>
          <w:lang w:val="es-ES_tradnl"/>
        </w:rPr>
      </w:pPr>
    </w:p>
    <w:p w14:paraId="1CA90D6A" w14:textId="5280FE5D" w:rsidR="007E2E80" w:rsidRPr="00E24229" w:rsidRDefault="008A1B36" w:rsidP="0014447C">
      <w:pPr>
        <w:pStyle w:val="Sinespaciado"/>
        <w:spacing w:line="360" w:lineRule="auto"/>
        <w:jc w:val="both"/>
        <w:rPr>
          <w:rFonts w:ascii="Palatino Linotype" w:hAnsi="Palatino Linotype"/>
          <w:sz w:val="26"/>
          <w:szCs w:val="26"/>
          <w:lang w:val="es-ES_tradnl"/>
        </w:rPr>
      </w:pPr>
      <w:r w:rsidRPr="00E24229">
        <w:rPr>
          <w:rFonts w:ascii="Palatino Linotype" w:hAnsi="Palatino Linotype"/>
          <w:b/>
          <w:sz w:val="26"/>
          <w:szCs w:val="26"/>
          <w:lang w:val="es-ES_tradnl"/>
        </w:rPr>
        <w:t>QUINTO</w:t>
      </w:r>
      <w:r w:rsidR="00705D1C" w:rsidRPr="00E24229">
        <w:rPr>
          <w:rFonts w:ascii="Palatino Linotype" w:hAnsi="Palatino Linotype"/>
          <w:b/>
          <w:sz w:val="26"/>
          <w:szCs w:val="26"/>
          <w:lang w:val="es-ES_tradnl"/>
        </w:rPr>
        <w:t xml:space="preserve">. </w:t>
      </w:r>
      <w:r w:rsidR="007E2E80" w:rsidRPr="00E24229">
        <w:rPr>
          <w:rFonts w:ascii="Palatino Linotype" w:hAnsi="Palatino Linotype"/>
          <w:b/>
          <w:sz w:val="26"/>
          <w:szCs w:val="26"/>
          <w:lang w:val="es-ES_tradnl"/>
        </w:rPr>
        <w:t>Estudio y resolución del asunto.</w:t>
      </w:r>
    </w:p>
    <w:p w14:paraId="1C746B3C" w14:textId="77777777" w:rsidR="007E2E80" w:rsidRPr="00E24229" w:rsidRDefault="007E2E80"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w:t>
      </w:r>
      <w:r w:rsidRPr="00E24229">
        <w:rPr>
          <w:rFonts w:ascii="Palatino Linotype" w:hAnsi="Palatino Linotype"/>
          <w:sz w:val="24"/>
          <w:szCs w:val="24"/>
          <w:lang w:val="es-ES_tradn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E24229" w:rsidRDefault="00301A01" w:rsidP="0014447C">
      <w:pPr>
        <w:pStyle w:val="Sinespaciado"/>
        <w:spacing w:line="360" w:lineRule="auto"/>
        <w:jc w:val="both"/>
        <w:rPr>
          <w:rFonts w:ascii="Palatino Linotype" w:hAnsi="Palatino Linotype"/>
          <w:sz w:val="24"/>
          <w:szCs w:val="24"/>
          <w:lang w:val="es-ES_tradnl"/>
        </w:rPr>
      </w:pPr>
    </w:p>
    <w:p w14:paraId="4B2C8D83" w14:textId="5DDAB385" w:rsidR="00B56587" w:rsidRPr="00E24229" w:rsidRDefault="00A9172E"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Por tanto, es conveniente recordar que</w:t>
      </w:r>
      <w:r w:rsidR="00D43390" w:rsidRPr="00E24229">
        <w:rPr>
          <w:rFonts w:ascii="Palatino Linotype" w:hAnsi="Palatino Linotype"/>
          <w:sz w:val="24"/>
          <w:szCs w:val="24"/>
          <w:lang w:val="es-ES_tradnl"/>
        </w:rPr>
        <w:t xml:space="preserve"> </w:t>
      </w:r>
      <w:r w:rsidR="007E71E5" w:rsidRPr="00E24229">
        <w:rPr>
          <w:rFonts w:ascii="Palatino Linotype" w:hAnsi="Palatino Linotype"/>
          <w:sz w:val="24"/>
          <w:szCs w:val="24"/>
          <w:lang w:val="es-ES_tradnl"/>
        </w:rPr>
        <w:t>el</w:t>
      </w:r>
      <w:r w:rsidR="00336EDF" w:rsidRPr="00E24229">
        <w:rPr>
          <w:rFonts w:ascii="Palatino Linotype" w:hAnsi="Palatino Linotype"/>
          <w:sz w:val="24"/>
          <w:szCs w:val="24"/>
          <w:lang w:val="es-ES_tradnl"/>
        </w:rPr>
        <w:t xml:space="preserve"> hoy </w:t>
      </w:r>
      <w:r w:rsidR="00336EDF" w:rsidRPr="00E24229">
        <w:rPr>
          <w:rFonts w:ascii="Palatino Linotype" w:hAnsi="Palatino Linotype"/>
          <w:b/>
          <w:bCs/>
          <w:sz w:val="24"/>
          <w:szCs w:val="24"/>
          <w:lang w:val="es-ES_tradnl"/>
        </w:rPr>
        <w:t>Recurrente</w:t>
      </w:r>
      <w:r w:rsidR="00336EDF" w:rsidRPr="00E24229">
        <w:rPr>
          <w:rFonts w:ascii="Palatino Linotype" w:hAnsi="Palatino Linotype"/>
          <w:sz w:val="24"/>
          <w:szCs w:val="24"/>
          <w:lang w:val="es-ES_tradnl"/>
        </w:rPr>
        <w:t xml:space="preserve"> requirió</w:t>
      </w:r>
      <w:r w:rsidR="00DB7432" w:rsidRPr="00E24229">
        <w:rPr>
          <w:rFonts w:ascii="Palatino Linotype" w:hAnsi="Palatino Linotype"/>
          <w:sz w:val="24"/>
          <w:szCs w:val="24"/>
          <w:lang w:val="es-ES_tradnl"/>
        </w:rPr>
        <w:t xml:space="preserve"> medularmente</w:t>
      </w:r>
      <w:r w:rsidR="00B457BB" w:rsidRPr="00E24229">
        <w:rPr>
          <w:rFonts w:ascii="Palatino Linotype" w:hAnsi="Palatino Linotype"/>
          <w:sz w:val="24"/>
          <w:szCs w:val="24"/>
          <w:lang w:val="es-ES_tradnl"/>
        </w:rPr>
        <w:t xml:space="preserve"> se l</w:t>
      </w:r>
      <w:r w:rsidR="008C7DB5" w:rsidRPr="00E24229">
        <w:rPr>
          <w:rFonts w:ascii="Palatino Linotype" w:hAnsi="Palatino Linotype"/>
          <w:sz w:val="24"/>
          <w:szCs w:val="24"/>
          <w:lang w:val="es-ES_tradnl"/>
        </w:rPr>
        <w:t>e</w:t>
      </w:r>
      <w:r w:rsidR="00B457BB" w:rsidRPr="00E24229">
        <w:rPr>
          <w:rFonts w:ascii="Palatino Linotype" w:hAnsi="Palatino Linotype"/>
          <w:sz w:val="24"/>
          <w:szCs w:val="24"/>
          <w:lang w:val="es-ES_tradnl"/>
        </w:rPr>
        <w:t xml:space="preserve"> proporcionara</w:t>
      </w:r>
      <w:r w:rsidR="008C7DB5" w:rsidRPr="00E24229">
        <w:rPr>
          <w:rFonts w:ascii="Palatino Linotype" w:hAnsi="Palatino Linotype"/>
          <w:sz w:val="24"/>
          <w:szCs w:val="24"/>
          <w:lang w:val="es-ES_tradnl"/>
        </w:rPr>
        <w:t>, el o los documentos en donde conste lo siguiente:</w:t>
      </w:r>
    </w:p>
    <w:p w14:paraId="694A393F" w14:textId="77777777" w:rsidR="00582B06" w:rsidRPr="00E24229" w:rsidRDefault="00582B06" w:rsidP="0014447C">
      <w:pPr>
        <w:pStyle w:val="Sinespaciado"/>
        <w:spacing w:line="360" w:lineRule="auto"/>
        <w:jc w:val="both"/>
        <w:rPr>
          <w:rFonts w:ascii="Palatino Linotype" w:hAnsi="Palatino Linotype"/>
          <w:sz w:val="24"/>
          <w:szCs w:val="24"/>
          <w:lang w:val="es-ES_tradnl"/>
        </w:rPr>
      </w:pPr>
    </w:p>
    <w:p w14:paraId="5B139100" w14:textId="63518286" w:rsidR="00582B06" w:rsidRPr="00E24229" w:rsidRDefault="00014EBB" w:rsidP="006D1DB8">
      <w:pPr>
        <w:pStyle w:val="Sinespaciado"/>
        <w:numPr>
          <w:ilvl w:val="0"/>
          <w:numId w:val="22"/>
        </w:numPr>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Gastos ejercidos con recursos obtenidos fuera del presupuesto aprobado, provenientes de donaciones, convenios y fondos extraordinarios; especificando el origen, cuentas de ingreso, contratos relacionados, proveedores y evidencia del uso de recursos, en el periodo que comprende del 01 de enero de 2022 al 31 de diciembre de 2024.</w:t>
      </w:r>
    </w:p>
    <w:p w14:paraId="44D2821B" w14:textId="77777777" w:rsidR="00014EBB" w:rsidRPr="00E24229" w:rsidRDefault="00014EBB" w:rsidP="0014447C">
      <w:pPr>
        <w:pStyle w:val="Sinespaciado"/>
        <w:spacing w:line="360" w:lineRule="auto"/>
        <w:jc w:val="both"/>
        <w:rPr>
          <w:rFonts w:ascii="Palatino Linotype" w:hAnsi="Palatino Linotype"/>
          <w:sz w:val="24"/>
          <w:szCs w:val="24"/>
          <w:lang w:val="es-ES_tradnl"/>
        </w:rPr>
      </w:pPr>
    </w:p>
    <w:p w14:paraId="676D588B" w14:textId="59A90931" w:rsidR="00F42D68" w:rsidRPr="00E24229" w:rsidRDefault="00B56587"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El </w:t>
      </w:r>
      <w:r w:rsidRPr="00E24229">
        <w:rPr>
          <w:rFonts w:ascii="Palatino Linotype" w:hAnsi="Palatino Linotype"/>
          <w:b/>
          <w:bCs/>
          <w:sz w:val="24"/>
          <w:szCs w:val="24"/>
          <w:lang w:val="es-ES_tradnl"/>
        </w:rPr>
        <w:t>Sujeto Obligado</w:t>
      </w:r>
      <w:r w:rsidRPr="00E24229">
        <w:rPr>
          <w:rFonts w:ascii="Palatino Linotype" w:hAnsi="Palatino Linotype"/>
          <w:sz w:val="24"/>
          <w:szCs w:val="24"/>
          <w:lang w:val="es-ES_tradnl"/>
        </w:rPr>
        <w:t xml:space="preserve"> turnó la solicitud a la</w:t>
      </w:r>
      <w:r w:rsidR="004E3D04" w:rsidRPr="00E24229">
        <w:rPr>
          <w:rFonts w:ascii="Palatino Linotype" w:hAnsi="Palatino Linotype"/>
          <w:sz w:val="24"/>
          <w:szCs w:val="24"/>
          <w:lang w:val="es-ES_tradnl"/>
        </w:rPr>
        <w:t>s</w:t>
      </w:r>
      <w:r w:rsidRPr="00E24229">
        <w:rPr>
          <w:rFonts w:ascii="Palatino Linotype" w:hAnsi="Palatino Linotype"/>
          <w:sz w:val="24"/>
          <w:szCs w:val="24"/>
          <w:lang w:val="es-ES_tradnl"/>
        </w:rPr>
        <w:t xml:space="preserve"> unidad</w:t>
      </w:r>
      <w:r w:rsidR="004E3D04" w:rsidRPr="00E24229">
        <w:rPr>
          <w:rFonts w:ascii="Palatino Linotype" w:hAnsi="Palatino Linotype"/>
          <w:sz w:val="24"/>
          <w:szCs w:val="24"/>
          <w:lang w:val="es-ES_tradnl"/>
        </w:rPr>
        <w:t>es</w:t>
      </w:r>
      <w:r w:rsidRPr="00E24229">
        <w:rPr>
          <w:rFonts w:ascii="Palatino Linotype" w:hAnsi="Palatino Linotype"/>
          <w:sz w:val="24"/>
          <w:szCs w:val="24"/>
          <w:lang w:val="es-ES_tradnl"/>
        </w:rPr>
        <w:t xml:space="preserve"> administrativa</w:t>
      </w:r>
      <w:r w:rsidR="004E3D04" w:rsidRPr="00E24229">
        <w:rPr>
          <w:rFonts w:ascii="Palatino Linotype" w:hAnsi="Palatino Linotype"/>
          <w:sz w:val="24"/>
          <w:szCs w:val="24"/>
          <w:lang w:val="es-ES_tradnl"/>
        </w:rPr>
        <w:t>s</w:t>
      </w:r>
      <w:r w:rsidRPr="00E24229">
        <w:rPr>
          <w:rFonts w:ascii="Palatino Linotype" w:hAnsi="Palatino Linotype"/>
          <w:sz w:val="24"/>
          <w:szCs w:val="24"/>
          <w:lang w:val="es-ES_tradnl"/>
        </w:rPr>
        <w:t xml:space="preserve"> que consideró competente</w:t>
      </w:r>
      <w:r w:rsidR="004E3D04" w:rsidRPr="00E24229">
        <w:rPr>
          <w:rFonts w:ascii="Palatino Linotype" w:hAnsi="Palatino Linotype"/>
          <w:sz w:val="24"/>
          <w:szCs w:val="24"/>
          <w:lang w:val="es-ES_tradnl"/>
        </w:rPr>
        <w:t>s</w:t>
      </w:r>
      <w:r w:rsidRPr="00E24229">
        <w:rPr>
          <w:rFonts w:ascii="Palatino Linotype" w:hAnsi="Palatino Linotype"/>
          <w:sz w:val="24"/>
          <w:szCs w:val="24"/>
          <w:lang w:val="es-ES_tradnl"/>
        </w:rPr>
        <w:t xml:space="preserve"> y </w:t>
      </w:r>
      <w:r w:rsidR="00D81B31" w:rsidRPr="00E24229">
        <w:rPr>
          <w:rFonts w:ascii="Palatino Linotype" w:hAnsi="Palatino Linotype"/>
          <w:sz w:val="24"/>
          <w:szCs w:val="24"/>
          <w:lang w:val="es-ES_tradnl"/>
        </w:rPr>
        <w:t>remiti</w:t>
      </w:r>
      <w:r w:rsidR="00582B06" w:rsidRPr="00E24229">
        <w:rPr>
          <w:rFonts w:ascii="Palatino Linotype" w:hAnsi="Palatino Linotype"/>
          <w:sz w:val="24"/>
          <w:szCs w:val="24"/>
          <w:lang w:val="es-ES_tradnl"/>
        </w:rPr>
        <w:t xml:space="preserve">ó </w:t>
      </w:r>
      <w:r w:rsidR="007934CF" w:rsidRPr="00E24229">
        <w:rPr>
          <w:rFonts w:ascii="Palatino Linotype" w:hAnsi="Palatino Linotype"/>
          <w:sz w:val="24"/>
          <w:szCs w:val="24"/>
          <w:lang w:val="es-ES_tradnl"/>
        </w:rPr>
        <w:t>los</w:t>
      </w:r>
      <w:r w:rsidR="00854B26" w:rsidRPr="00E24229">
        <w:rPr>
          <w:rFonts w:ascii="Palatino Linotype" w:hAnsi="Palatino Linotype"/>
          <w:sz w:val="24"/>
          <w:szCs w:val="24"/>
          <w:lang w:val="es-ES_tradnl"/>
        </w:rPr>
        <w:t xml:space="preserve"> archivo</w:t>
      </w:r>
      <w:r w:rsidR="007934CF" w:rsidRPr="00E24229">
        <w:rPr>
          <w:rFonts w:ascii="Palatino Linotype" w:hAnsi="Palatino Linotype"/>
          <w:sz w:val="24"/>
          <w:szCs w:val="24"/>
          <w:lang w:val="es-ES_tradnl"/>
        </w:rPr>
        <w:t>s</w:t>
      </w:r>
      <w:r w:rsidR="00854B26" w:rsidRPr="00E24229">
        <w:rPr>
          <w:rFonts w:ascii="Palatino Linotype" w:hAnsi="Palatino Linotype"/>
          <w:sz w:val="24"/>
          <w:szCs w:val="24"/>
          <w:lang w:val="es-ES_tradnl"/>
        </w:rPr>
        <w:t xml:space="preserve"> electrónico</w:t>
      </w:r>
      <w:r w:rsidR="007934CF" w:rsidRPr="00E24229">
        <w:rPr>
          <w:rFonts w:ascii="Palatino Linotype" w:hAnsi="Palatino Linotype"/>
          <w:sz w:val="24"/>
          <w:szCs w:val="24"/>
          <w:lang w:val="es-ES_tradnl"/>
        </w:rPr>
        <w:t>s</w:t>
      </w:r>
      <w:r w:rsidR="00582B06" w:rsidRPr="00E24229">
        <w:rPr>
          <w:rFonts w:ascii="Palatino Linotype" w:hAnsi="Palatino Linotype"/>
          <w:sz w:val="24"/>
          <w:szCs w:val="24"/>
          <w:lang w:val="es-ES_tradnl"/>
        </w:rPr>
        <w:t xml:space="preserve"> </w:t>
      </w:r>
      <w:r w:rsidR="00854B26" w:rsidRPr="00E24229">
        <w:rPr>
          <w:rFonts w:ascii="Palatino Linotype" w:hAnsi="Palatino Linotype"/>
          <w:sz w:val="24"/>
          <w:szCs w:val="24"/>
          <w:lang w:val="es-ES_tradnl"/>
        </w:rPr>
        <w:t>de</w:t>
      </w:r>
      <w:r w:rsidR="007934CF" w:rsidRPr="00E24229">
        <w:rPr>
          <w:rFonts w:ascii="Palatino Linotype" w:hAnsi="Palatino Linotype"/>
          <w:sz w:val="24"/>
          <w:szCs w:val="24"/>
          <w:lang w:val="es-ES_tradnl"/>
        </w:rPr>
        <w:t xml:space="preserve"> los</w:t>
      </w:r>
      <w:r w:rsidR="00854B26" w:rsidRPr="00E24229">
        <w:rPr>
          <w:rFonts w:ascii="Palatino Linotype" w:hAnsi="Palatino Linotype"/>
          <w:sz w:val="24"/>
          <w:szCs w:val="24"/>
          <w:lang w:val="es-ES_tradnl"/>
        </w:rPr>
        <w:t xml:space="preserve"> que </w:t>
      </w:r>
      <w:r w:rsidR="00582B06" w:rsidRPr="00E24229">
        <w:rPr>
          <w:rFonts w:ascii="Palatino Linotype" w:hAnsi="Palatino Linotype"/>
          <w:sz w:val="24"/>
          <w:szCs w:val="24"/>
          <w:lang w:val="es-ES_tradnl"/>
        </w:rPr>
        <w:t>se detalla su contenido enseguida:</w:t>
      </w:r>
    </w:p>
    <w:p w14:paraId="68EAAC07" w14:textId="77777777" w:rsidR="00F42D68" w:rsidRPr="00E24229" w:rsidRDefault="00F42D68" w:rsidP="0014447C">
      <w:pPr>
        <w:pStyle w:val="Sinespaciado"/>
        <w:spacing w:line="360" w:lineRule="auto"/>
        <w:jc w:val="both"/>
        <w:rPr>
          <w:rFonts w:ascii="Palatino Linotype" w:hAnsi="Palatino Linotype"/>
          <w:sz w:val="24"/>
          <w:szCs w:val="24"/>
          <w:lang w:val="es-ES_tradnl"/>
        </w:rPr>
      </w:pPr>
    </w:p>
    <w:p w14:paraId="765AAC1C" w14:textId="2EA9ED45" w:rsidR="00854B26" w:rsidRPr="00E24229" w:rsidRDefault="003D3F95" w:rsidP="003D3F95">
      <w:pPr>
        <w:pStyle w:val="Sinespaciado"/>
        <w:numPr>
          <w:ilvl w:val="0"/>
          <w:numId w:val="15"/>
        </w:numPr>
        <w:spacing w:after="240" w:line="360" w:lineRule="auto"/>
        <w:jc w:val="both"/>
        <w:rPr>
          <w:rFonts w:ascii="Palatino Linotype" w:hAnsi="Palatino Linotype"/>
          <w:sz w:val="24"/>
          <w:szCs w:val="24"/>
          <w:lang w:val="es-ES_tradnl"/>
        </w:rPr>
      </w:pPr>
      <w:r w:rsidRPr="00E24229">
        <w:rPr>
          <w:rFonts w:ascii="Palatino Linotype" w:hAnsi="Palatino Linotype"/>
          <w:b/>
          <w:bCs/>
          <w:sz w:val="24"/>
          <w:szCs w:val="24"/>
          <w:lang w:val="es-ES_tradnl"/>
        </w:rPr>
        <w:t>“</w:t>
      </w:r>
      <w:r w:rsidR="00597257" w:rsidRPr="00E24229">
        <w:rPr>
          <w:rFonts w:ascii="Palatino Linotype" w:hAnsi="Palatino Linotype"/>
          <w:b/>
          <w:bCs/>
          <w:sz w:val="24"/>
          <w:szCs w:val="24"/>
          <w:lang w:val="es-ES_tradnl"/>
        </w:rPr>
        <w:t>Oficio 0697 Solicitud 0358.pdf</w:t>
      </w:r>
      <w:r w:rsidRPr="00E24229">
        <w:rPr>
          <w:rFonts w:ascii="Palatino Linotype" w:hAnsi="Palatino Linotype"/>
          <w:b/>
          <w:bCs/>
          <w:sz w:val="24"/>
          <w:szCs w:val="24"/>
          <w:lang w:val="es-ES_tradnl"/>
        </w:rPr>
        <w:t>”</w:t>
      </w:r>
      <w:r w:rsidR="009F63E4" w:rsidRPr="00E24229">
        <w:rPr>
          <w:rFonts w:ascii="Palatino Linotype" w:hAnsi="Palatino Linotype"/>
          <w:b/>
          <w:bCs/>
          <w:sz w:val="24"/>
          <w:szCs w:val="24"/>
          <w:lang w:val="es-ES_tradnl"/>
        </w:rPr>
        <w:t xml:space="preserve">: </w:t>
      </w:r>
      <w:r w:rsidR="00597257" w:rsidRPr="00E24229">
        <w:rPr>
          <w:rFonts w:ascii="Palatino Linotype" w:hAnsi="Palatino Linotype"/>
          <w:sz w:val="24"/>
          <w:szCs w:val="24"/>
          <w:lang w:val="es-ES_tradnl"/>
        </w:rPr>
        <w:t>O</w:t>
      </w:r>
      <w:r w:rsidR="002755AF" w:rsidRPr="00E24229">
        <w:rPr>
          <w:rFonts w:ascii="Palatino Linotype" w:hAnsi="Palatino Linotype"/>
          <w:sz w:val="24"/>
          <w:szCs w:val="24"/>
          <w:lang w:val="es-ES_tradnl"/>
        </w:rPr>
        <w:t xml:space="preserve">ficio </w:t>
      </w:r>
      <w:r w:rsidR="00B457BB" w:rsidRPr="00E24229">
        <w:rPr>
          <w:rFonts w:ascii="Palatino Linotype" w:hAnsi="Palatino Linotype"/>
          <w:sz w:val="24"/>
          <w:szCs w:val="24"/>
          <w:lang w:val="es-ES_tradnl"/>
        </w:rPr>
        <w:t>n</w:t>
      </w:r>
      <w:r w:rsidR="002755AF" w:rsidRPr="00E24229">
        <w:rPr>
          <w:rFonts w:ascii="Palatino Linotype" w:hAnsi="Palatino Linotype"/>
          <w:sz w:val="24"/>
          <w:szCs w:val="24"/>
          <w:lang w:val="es-ES_tradnl"/>
        </w:rPr>
        <w:t>úmero</w:t>
      </w:r>
      <w:r w:rsidR="009F63E4" w:rsidRPr="00E24229">
        <w:rPr>
          <w:rFonts w:ascii="Palatino Linotype" w:hAnsi="Palatino Linotype"/>
          <w:sz w:val="24"/>
          <w:szCs w:val="24"/>
          <w:lang w:val="es-ES_tradnl"/>
        </w:rPr>
        <w:t xml:space="preserve"> </w:t>
      </w:r>
      <w:r w:rsidR="00597257" w:rsidRPr="00E24229">
        <w:rPr>
          <w:rFonts w:ascii="Palatino Linotype" w:hAnsi="Palatino Linotype"/>
          <w:sz w:val="24"/>
          <w:szCs w:val="24"/>
          <w:lang w:val="es-ES_tradnl"/>
        </w:rPr>
        <w:t>ZIN/TM/0697/2025</w:t>
      </w:r>
      <w:r w:rsidR="009F63E4" w:rsidRPr="00E24229">
        <w:rPr>
          <w:rFonts w:ascii="Palatino Linotype" w:hAnsi="Palatino Linotype"/>
          <w:sz w:val="24"/>
          <w:szCs w:val="24"/>
          <w:lang w:val="es-ES_tradnl"/>
        </w:rPr>
        <w:t xml:space="preserve">, signado </w:t>
      </w:r>
      <w:r w:rsidR="00597257" w:rsidRPr="00E24229">
        <w:rPr>
          <w:rFonts w:ascii="Palatino Linotype" w:hAnsi="Palatino Linotype"/>
          <w:sz w:val="24"/>
          <w:szCs w:val="24"/>
          <w:lang w:val="es-ES_tradnl"/>
        </w:rPr>
        <w:t xml:space="preserve">por el </w:t>
      </w:r>
      <w:r w:rsidR="00597257" w:rsidRPr="00E24229">
        <w:rPr>
          <w:rFonts w:ascii="Palatino Linotype" w:hAnsi="Palatino Linotype"/>
          <w:b/>
          <w:bCs/>
          <w:sz w:val="24"/>
          <w:szCs w:val="24"/>
          <w:lang w:val="es-ES_tradnl"/>
        </w:rPr>
        <w:t>Tesorero Municipal</w:t>
      </w:r>
      <w:r w:rsidR="009F63E4" w:rsidRPr="00E24229">
        <w:rPr>
          <w:rFonts w:ascii="Palatino Linotype" w:hAnsi="Palatino Linotype"/>
          <w:sz w:val="24"/>
          <w:szCs w:val="24"/>
          <w:lang w:val="es-ES_tradnl"/>
        </w:rPr>
        <w:t xml:space="preserve">, </w:t>
      </w:r>
      <w:r w:rsidR="002C4DE3" w:rsidRPr="00E24229">
        <w:rPr>
          <w:rFonts w:ascii="Palatino Linotype" w:hAnsi="Palatino Linotype"/>
          <w:sz w:val="24"/>
          <w:szCs w:val="24"/>
          <w:lang w:val="es-ES_tradnl"/>
        </w:rPr>
        <w:t>mismo que fue</w:t>
      </w:r>
      <w:r w:rsidR="009F63E4" w:rsidRPr="00E24229">
        <w:rPr>
          <w:rFonts w:ascii="Palatino Linotype" w:hAnsi="Palatino Linotype"/>
          <w:sz w:val="24"/>
          <w:szCs w:val="24"/>
          <w:lang w:val="es-ES_tradnl"/>
        </w:rPr>
        <w:t xml:space="preserve"> remitido </w:t>
      </w:r>
      <w:r w:rsidR="007934CF" w:rsidRPr="00E24229">
        <w:rPr>
          <w:rFonts w:ascii="Palatino Linotype" w:hAnsi="Palatino Linotype"/>
          <w:sz w:val="24"/>
          <w:szCs w:val="24"/>
          <w:lang w:val="es-ES_tradnl"/>
        </w:rPr>
        <w:t>a la Titular de la Unidad de Transparencia</w:t>
      </w:r>
      <w:r w:rsidR="009F63E4" w:rsidRPr="00E24229">
        <w:rPr>
          <w:rFonts w:ascii="Palatino Linotype" w:hAnsi="Palatino Linotype"/>
          <w:sz w:val="24"/>
          <w:szCs w:val="24"/>
          <w:lang w:val="es-ES_tradnl"/>
        </w:rPr>
        <w:t xml:space="preserve">, a </w:t>
      </w:r>
      <w:r w:rsidR="00E54EE3" w:rsidRPr="00E24229">
        <w:rPr>
          <w:rFonts w:ascii="Palatino Linotype" w:hAnsi="Palatino Linotype"/>
          <w:sz w:val="24"/>
          <w:szCs w:val="24"/>
          <w:lang w:val="es-ES_tradnl"/>
        </w:rPr>
        <w:t>través del cual informa que</w:t>
      </w:r>
      <w:r w:rsidR="00B457BB" w:rsidRPr="00E24229">
        <w:rPr>
          <w:rFonts w:ascii="Palatino Linotype" w:hAnsi="Palatino Linotype"/>
          <w:sz w:val="24"/>
          <w:szCs w:val="24"/>
          <w:lang w:val="es-ES_tradnl"/>
        </w:rPr>
        <w:t>,</w:t>
      </w:r>
      <w:r w:rsidR="00854B26" w:rsidRPr="00E24229">
        <w:rPr>
          <w:rFonts w:ascii="Palatino Linotype" w:hAnsi="Palatino Linotype"/>
          <w:sz w:val="24"/>
          <w:szCs w:val="24"/>
          <w:lang w:val="es-ES_tradnl"/>
        </w:rPr>
        <w:t xml:space="preserve"> </w:t>
      </w:r>
      <w:r w:rsidR="00597257" w:rsidRPr="00E24229">
        <w:rPr>
          <w:rFonts w:ascii="Palatino Linotype" w:hAnsi="Palatino Linotype"/>
          <w:b/>
          <w:bCs/>
          <w:sz w:val="24"/>
          <w:szCs w:val="24"/>
          <w:u w:val="single"/>
          <w:lang w:val="es-ES_tradnl"/>
        </w:rPr>
        <w:t xml:space="preserve">después de una búsqueda razonable y exhaustiva dentro de los archivos que obran bajo su resguardo </w:t>
      </w:r>
      <w:r w:rsidR="00597257" w:rsidRPr="00E24229">
        <w:rPr>
          <w:rFonts w:ascii="Palatino Linotype" w:hAnsi="Palatino Linotype"/>
          <w:b/>
          <w:bCs/>
          <w:sz w:val="24"/>
          <w:szCs w:val="24"/>
          <w:u w:val="single"/>
          <w:lang w:val="es-ES_tradnl"/>
        </w:rPr>
        <w:lastRenderedPageBreak/>
        <w:t>no se encontró documental de gastos ejercidos con recursos obtenidos fuera del presupuesto aprobado, toda vez que todos los gastos ejercidos se encuentran dentro del presupuesto aprobado; esto con fundamento a lo señalado en los artículos 12 segundo párrafo, 24 último párrafo, 59 fracciones I, II y III de la Ley de Transparencia y Acceso a la Información Pública del Estado de México.</w:t>
      </w:r>
    </w:p>
    <w:p w14:paraId="4B812542" w14:textId="5AB791BD" w:rsidR="009759F9" w:rsidRPr="00E24229" w:rsidRDefault="007934CF" w:rsidP="005F7DE7">
      <w:pPr>
        <w:pStyle w:val="Sinespaciado"/>
        <w:numPr>
          <w:ilvl w:val="0"/>
          <w:numId w:val="15"/>
        </w:numPr>
        <w:spacing w:after="240" w:line="360" w:lineRule="auto"/>
        <w:jc w:val="both"/>
        <w:rPr>
          <w:rFonts w:ascii="Palatino Linotype" w:hAnsi="Palatino Linotype"/>
          <w:sz w:val="24"/>
          <w:szCs w:val="24"/>
          <w:lang w:val="es-ES_tradnl"/>
        </w:rPr>
      </w:pPr>
      <w:r w:rsidRPr="00E24229">
        <w:rPr>
          <w:rFonts w:ascii="Palatino Linotype" w:hAnsi="Palatino Linotype"/>
          <w:b/>
          <w:bCs/>
          <w:sz w:val="24"/>
          <w:szCs w:val="24"/>
          <w:lang w:val="es-ES_tradnl"/>
        </w:rPr>
        <w:t>“0373_RESP_2025.pdf”:</w:t>
      </w:r>
      <w:r w:rsidRPr="00E24229">
        <w:rPr>
          <w:rFonts w:ascii="Palatino Linotype" w:hAnsi="Palatino Linotype"/>
          <w:sz w:val="24"/>
          <w:szCs w:val="24"/>
          <w:lang w:val="es-ES_tradnl"/>
        </w:rPr>
        <w:t xml:space="preserve"> Escrito signado por </w:t>
      </w:r>
      <w:r w:rsidR="00597257" w:rsidRPr="00E24229">
        <w:rPr>
          <w:rFonts w:ascii="Palatino Linotype" w:hAnsi="Palatino Linotype"/>
          <w:sz w:val="24"/>
          <w:szCs w:val="24"/>
          <w:lang w:val="es-ES_tradnl"/>
        </w:rPr>
        <w:t>la</w:t>
      </w:r>
      <w:r w:rsidRPr="00E24229">
        <w:rPr>
          <w:rFonts w:ascii="Palatino Linotype" w:hAnsi="Palatino Linotype"/>
          <w:sz w:val="24"/>
          <w:szCs w:val="24"/>
          <w:lang w:val="es-ES_tradnl"/>
        </w:rPr>
        <w:t xml:space="preserve"> Titular de la Unidad de Transparencia, con el cual informa al solicitante de información medularmente que, </w:t>
      </w:r>
      <w:r w:rsidR="00597257" w:rsidRPr="00E24229">
        <w:rPr>
          <w:rFonts w:ascii="Palatino Linotype" w:hAnsi="Palatino Linotype"/>
          <w:sz w:val="24"/>
          <w:szCs w:val="24"/>
          <w:lang w:val="es-ES_tradnl"/>
        </w:rPr>
        <w:t>remite la respuesta proporcionada por el área competente.</w:t>
      </w:r>
    </w:p>
    <w:p w14:paraId="072C39C2" w14:textId="77777777" w:rsidR="00597257" w:rsidRPr="00E24229" w:rsidRDefault="00597257" w:rsidP="00E462F9">
      <w:pPr>
        <w:spacing w:after="0" w:line="360" w:lineRule="auto"/>
        <w:jc w:val="both"/>
        <w:rPr>
          <w:rFonts w:ascii="Palatino Linotype" w:hAnsi="Palatino Linotype" w:cs="Arial"/>
          <w:bCs/>
          <w:sz w:val="24"/>
          <w:szCs w:val="24"/>
        </w:rPr>
      </w:pPr>
    </w:p>
    <w:p w14:paraId="5799D3CB" w14:textId="73024511" w:rsidR="00E462F9" w:rsidRPr="00E24229" w:rsidRDefault="00E462F9" w:rsidP="00E462F9">
      <w:pPr>
        <w:spacing w:after="0" w:line="360" w:lineRule="auto"/>
        <w:jc w:val="both"/>
        <w:rPr>
          <w:rFonts w:ascii="Palatino Linotype" w:hAnsi="Palatino Linotype" w:cs="Arial"/>
          <w:bCs/>
          <w:i/>
          <w:sz w:val="24"/>
          <w:szCs w:val="24"/>
        </w:rPr>
      </w:pPr>
      <w:r w:rsidRPr="00E24229">
        <w:rPr>
          <w:rFonts w:ascii="Palatino Linotype" w:hAnsi="Palatino Linotype" w:cs="Arial"/>
          <w:bCs/>
          <w:sz w:val="24"/>
          <w:szCs w:val="24"/>
        </w:rPr>
        <w:t xml:space="preserve">Es así que derivado de la respuesta emitida por </w:t>
      </w:r>
      <w:r w:rsidRPr="00E24229">
        <w:rPr>
          <w:rFonts w:ascii="Palatino Linotype" w:hAnsi="Palatino Linotype" w:cs="Arial"/>
          <w:b/>
          <w:bCs/>
          <w:sz w:val="24"/>
          <w:szCs w:val="24"/>
        </w:rPr>
        <w:t>El Sujeto Obligado</w:t>
      </w:r>
      <w:r w:rsidRPr="00E24229">
        <w:rPr>
          <w:rFonts w:ascii="Palatino Linotype" w:hAnsi="Palatino Linotype" w:cs="Arial"/>
          <w:bCs/>
          <w:sz w:val="24"/>
          <w:szCs w:val="24"/>
        </w:rPr>
        <w:t xml:space="preserve">, </w:t>
      </w:r>
      <w:r w:rsidRPr="00E24229">
        <w:rPr>
          <w:rFonts w:ascii="Palatino Linotype" w:hAnsi="Palatino Linotype" w:cs="Arial"/>
          <w:b/>
          <w:bCs/>
          <w:sz w:val="24"/>
          <w:szCs w:val="24"/>
        </w:rPr>
        <w:t>El Recurrente</w:t>
      </w:r>
      <w:r w:rsidRPr="00E24229">
        <w:rPr>
          <w:rFonts w:ascii="Palatino Linotype" w:hAnsi="Palatino Linotype" w:cs="Arial"/>
          <w:bCs/>
          <w:sz w:val="24"/>
          <w:szCs w:val="24"/>
        </w:rPr>
        <w:t>, interpuso el presente recurso de revisión, señalando sustancialmente como</w:t>
      </w:r>
      <w:r w:rsidR="00597257" w:rsidRPr="00E24229">
        <w:rPr>
          <w:rFonts w:ascii="Palatino Linotype" w:hAnsi="Palatino Linotype" w:cs="Arial"/>
          <w:bCs/>
          <w:sz w:val="24"/>
          <w:szCs w:val="24"/>
        </w:rPr>
        <w:t xml:space="preserve"> Acto Impugnado y como</w:t>
      </w:r>
      <w:r w:rsidRPr="00E24229">
        <w:rPr>
          <w:rFonts w:ascii="Palatino Linotype" w:hAnsi="Palatino Linotype" w:cs="Arial"/>
          <w:bCs/>
          <w:sz w:val="24"/>
          <w:szCs w:val="24"/>
        </w:rPr>
        <w:t xml:space="preserve"> Razones o Motivos de Inconformidad, lo siguiente: </w:t>
      </w:r>
      <w:r w:rsidRPr="00E24229">
        <w:rPr>
          <w:rFonts w:ascii="Palatino Linotype" w:hAnsi="Palatino Linotype" w:cs="Arial"/>
          <w:bCs/>
          <w:i/>
          <w:sz w:val="24"/>
          <w:szCs w:val="24"/>
        </w:rPr>
        <w:t>“</w:t>
      </w:r>
      <w:r w:rsidR="00597257" w:rsidRPr="00E24229">
        <w:rPr>
          <w:rFonts w:ascii="Palatino Linotype" w:hAnsi="Palatino Linotype" w:cs="Arial"/>
          <w:b/>
          <w:bCs/>
          <w:i/>
          <w:sz w:val="24"/>
          <w:szCs w:val="24"/>
          <w:u w:val="single"/>
        </w:rPr>
        <w:t>NO ENTREGA INFORMACION</w:t>
      </w:r>
      <w:r w:rsidRPr="00E24229">
        <w:rPr>
          <w:rFonts w:ascii="Palatino Linotype" w:hAnsi="Palatino Linotype" w:cs="Arial"/>
          <w:bCs/>
          <w:i/>
          <w:sz w:val="24"/>
          <w:szCs w:val="24"/>
        </w:rPr>
        <w:t>” (Sic).</w:t>
      </w:r>
    </w:p>
    <w:p w14:paraId="059C9AED" w14:textId="77777777" w:rsidR="00A7420E" w:rsidRPr="00E24229"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E24229" w:rsidRDefault="00407282" w:rsidP="00E462F9">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Con base en lo anterior, este Instituto estima que las razones o motivos de inconformidad planteados por </w:t>
      </w:r>
      <w:r w:rsidR="00B075E3" w:rsidRPr="00E24229">
        <w:rPr>
          <w:rFonts w:ascii="Palatino Linotype" w:hAnsi="Palatino Linotype"/>
          <w:sz w:val="24"/>
          <w:szCs w:val="24"/>
          <w:lang w:val="es-ES_tradnl"/>
        </w:rPr>
        <w:t>el</w:t>
      </w:r>
      <w:r w:rsidRPr="00E24229">
        <w:rPr>
          <w:rFonts w:ascii="Palatino Linotype" w:hAnsi="Palatino Linotype"/>
          <w:sz w:val="24"/>
          <w:szCs w:val="24"/>
          <w:lang w:val="es-ES_tradnl"/>
        </w:rPr>
        <w:t xml:space="preserve"> </w:t>
      </w:r>
      <w:r w:rsidRPr="00E24229">
        <w:rPr>
          <w:rFonts w:ascii="Palatino Linotype" w:hAnsi="Palatino Linotype"/>
          <w:b/>
          <w:bCs/>
          <w:sz w:val="24"/>
          <w:szCs w:val="24"/>
          <w:lang w:val="es-ES_tradnl"/>
        </w:rPr>
        <w:t>Recurrente</w:t>
      </w:r>
      <w:r w:rsidRPr="00E24229">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E24229"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E24229" w:rsidRDefault="00407282" w:rsidP="00407282">
      <w:pPr>
        <w:pStyle w:val="Sinespaciado"/>
        <w:spacing w:line="360" w:lineRule="auto"/>
        <w:jc w:val="both"/>
        <w:rPr>
          <w:rFonts w:ascii="Palatino Linotype" w:hAnsi="Palatino Linotype"/>
          <w:color w:val="000000"/>
          <w:sz w:val="24"/>
          <w:szCs w:val="24"/>
          <w:lang w:val="es-ES_tradnl"/>
        </w:rPr>
      </w:pPr>
      <w:r w:rsidRPr="00E24229">
        <w:rPr>
          <w:rFonts w:ascii="Palatino Linotype" w:hAnsi="Palatino Linotype"/>
          <w:sz w:val="24"/>
          <w:szCs w:val="24"/>
          <w:lang w:val="es-ES_tradnl"/>
        </w:rPr>
        <w:t xml:space="preserve">En primer lugar </w:t>
      </w:r>
      <w:r w:rsidRPr="00E24229">
        <w:rPr>
          <w:rFonts w:ascii="Palatino Linotype" w:hAnsi="Palatino Linotype"/>
          <w:color w:val="000000"/>
          <w:sz w:val="24"/>
          <w:szCs w:val="24"/>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E24229">
        <w:rPr>
          <w:rFonts w:ascii="Palatino Linotype" w:hAnsi="Palatino Linotype"/>
          <w:color w:val="000000"/>
          <w:sz w:val="24"/>
          <w:szCs w:val="24"/>
          <w:lang w:val="es-ES_tradnl"/>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E24229"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E24229" w:rsidRDefault="00407282" w:rsidP="00407282">
      <w:pPr>
        <w:pStyle w:val="Sinespaciado"/>
        <w:ind w:left="567" w:right="567"/>
        <w:jc w:val="both"/>
        <w:rPr>
          <w:rFonts w:ascii="Palatino Linotype" w:hAnsi="Palatino Linotype"/>
          <w:b/>
          <w:i/>
          <w:lang w:val="es-ES_tradnl"/>
        </w:rPr>
      </w:pPr>
      <w:r w:rsidRPr="00E24229">
        <w:rPr>
          <w:rFonts w:ascii="Palatino Linotype" w:hAnsi="Palatino Linotype"/>
          <w:b/>
          <w:i/>
          <w:lang w:val="es-ES_tradnl"/>
        </w:rPr>
        <w:t>Artículo 6</w:t>
      </w:r>
    </w:p>
    <w:p w14:paraId="4F381BF6" w14:textId="77777777" w:rsidR="00407282" w:rsidRPr="00E24229" w:rsidRDefault="00407282" w:rsidP="00407282">
      <w:pPr>
        <w:pStyle w:val="Sinespaciado"/>
        <w:ind w:left="567" w:right="567"/>
        <w:jc w:val="both"/>
        <w:rPr>
          <w:rFonts w:ascii="Palatino Linotype" w:hAnsi="Palatino Linotype"/>
          <w:i/>
          <w:lang w:val="es-ES_tradnl"/>
        </w:rPr>
      </w:pPr>
      <w:r w:rsidRPr="00E24229">
        <w:rPr>
          <w:rFonts w:ascii="Palatino Linotype" w:hAnsi="Palatino Linotype"/>
          <w:i/>
          <w:lang w:val="es-ES_tradnl"/>
        </w:rPr>
        <w:t>…</w:t>
      </w:r>
    </w:p>
    <w:p w14:paraId="36959173" w14:textId="77777777" w:rsidR="00407282" w:rsidRPr="00E24229" w:rsidRDefault="00407282" w:rsidP="00407282">
      <w:pPr>
        <w:pStyle w:val="Sinespaciado"/>
        <w:ind w:left="567" w:right="567"/>
        <w:jc w:val="both"/>
        <w:rPr>
          <w:rFonts w:ascii="Palatino Linotype" w:hAnsi="Palatino Linotype"/>
          <w:i/>
          <w:lang w:val="es-ES_tradnl"/>
        </w:rPr>
      </w:pPr>
      <w:r w:rsidRPr="00E24229">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E24229" w:rsidRDefault="00407282" w:rsidP="00407282">
      <w:pPr>
        <w:pStyle w:val="Sinespaciado"/>
        <w:ind w:left="567" w:right="567"/>
        <w:jc w:val="both"/>
        <w:rPr>
          <w:rFonts w:ascii="Palatino Linotype" w:hAnsi="Palatino Linotype"/>
          <w:i/>
          <w:lang w:val="es-ES_tradnl"/>
        </w:rPr>
      </w:pPr>
    </w:p>
    <w:p w14:paraId="608F9162" w14:textId="77777777" w:rsidR="00407282" w:rsidRPr="00E24229" w:rsidRDefault="00407282" w:rsidP="00407282">
      <w:pPr>
        <w:pStyle w:val="Sinespaciado"/>
        <w:numPr>
          <w:ilvl w:val="0"/>
          <w:numId w:val="14"/>
        </w:numPr>
        <w:ind w:left="993" w:right="567"/>
        <w:jc w:val="both"/>
        <w:rPr>
          <w:rFonts w:ascii="Palatino Linotype" w:hAnsi="Palatino Linotype"/>
          <w:i/>
          <w:lang w:val="es-ES_tradnl"/>
        </w:rPr>
      </w:pPr>
      <w:r w:rsidRPr="00E24229">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E24229"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E24229" w:rsidRDefault="00407282" w:rsidP="00407282">
      <w:pPr>
        <w:pStyle w:val="Sinespaciado"/>
        <w:spacing w:line="360" w:lineRule="auto"/>
        <w:jc w:val="both"/>
        <w:rPr>
          <w:rFonts w:ascii="Palatino Linotype" w:hAnsi="Palatino Linotype" w:cs="Arial"/>
          <w:sz w:val="24"/>
          <w:szCs w:val="24"/>
          <w:lang w:val="es-ES_tradnl"/>
        </w:rPr>
      </w:pPr>
      <w:r w:rsidRPr="00E24229">
        <w:rPr>
          <w:rFonts w:ascii="Palatino Linotype" w:hAnsi="Palatino Linotype" w:cs="Arial"/>
          <w:sz w:val="24"/>
          <w:szCs w:val="24"/>
          <w:lang w:val="es-ES_tradnl"/>
        </w:rPr>
        <w:t xml:space="preserve">Ahora bien, en atención a lo dispuesto por los artículos 3, fracción XI y 12 </w:t>
      </w:r>
      <w:r w:rsidRPr="00E24229">
        <w:rPr>
          <w:rFonts w:ascii="Palatino Linotype" w:hAnsi="Palatino Linotype" w:cs="Arial"/>
          <w:bCs/>
          <w:sz w:val="24"/>
          <w:szCs w:val="24"/>
          <w:lang w:val="es-ES_tradnl"/>
        </w:rPr>
        <w:t>de la Ley de Transparencia y Acceso a la Información Pública del Estado de México y Municipios</w:t>
      </w:r>
      <w:r w:rsidRPr="00E24229">
        <w:rPr>
          <w:rFonts w:ascii="Palatino Linotype" w:hAnsi="Palatino Linotype" w:cs="Arial"/>
          <w:sz w:val="24"/>
          <w:szCs w:val="24"/>
          <w:lang w:val="es-ES_tradnl"/>
        </w:rPr>
        <w:t>, los cuales son del tenor literal siguiente:</w:t>
      </w:r>
    </w:p>
    <w:p w14:paraId="402B9A52" w14:textId="77777777" w:rsidR="00407282" w:rsidRPr="00E24229"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E24229" w:rsidRDefault="00407282" w:rsidP="006F562A">
      <w:pPr>
        <w:pStyle w:val="Sinespaciado"/>
        <w:ind w:left="851" w:right="851"/>
        <w:jc w:val="both"/>
        <w:rPr>
          <w:rFonts w:ascii="Palatino Linotype" w:hAnsi="Palatino Linotype"/>
          <w:i/>
          <w:lang w:val="es-ES_tradnl"/>
        </w:rPr>
      </w:pPr>
      <w:r w:rsidRPr="00E24229">
        <w:rPr>
          <w:rFonts w:ascii="Palatino Linotype" w:hAnsi="Palatino Linotype"/>
          <w:b/>
          <w:bCs/>
          <w:i/>
          <w:lang w:val="es-ES_tradnl"/>
        </w:rPr>
        <w:t xml:space="preserve">Artículo 3.- </w:t>
      </w:r>
      <w:r w:rsidRPr="00E24229">
        <w:rPr>
          <w:rFonts w:ascii="Palatino Linotype" w:hAnsi="Palatino Linotype"/>
          <w:i/>
          <w:lang w:val="es-ES_tradnl"/>
        </w:rPr>
        <w:t>Para los efectos de la presente Ley se entenderá por:</w:t>
      </w:r>
    </w:p>
    <w:p w14:paraId="25304CA4" w14:textId="77777777" w:rsidR="00407282" w:rsidRPr="00E24229" w:rsidRDefault="00407282" w:rsidP="006F562A">
      <w:pPr>
        <w:pStyle w:val="Sinespaciado"/>
        <w:ind w:left="851" w:right="851"/>
        <w:jc w:val="both"/>
        <w:rPr>
          <w:rFonts w:ascii="Palatino Linotype" w:hAnsi="Palatino Linotype"/>
          <w:i/>
          <w:lang w:val="es-ES_tradnl"/>
        </w:rPr>
      </w:pPr>
      <w:r w:rsidRPr="00E24229">
        <w:rPr>
          <w:rFonts w:ascii="Palatino Linotype" w:hAnsi="Palatino Linotype"/>
          <w:i/>
          <w:lang w:val="es-ES_tradnl"/>
        </w:rPr>
        <w:t>…</w:t>
      </w:r>
    </w:p>
    <w:p w14:paraId="48F8E8D3" w14:textId="77777777" w:rsidR="00407282" w:rsidRPr="00E24229" w:rsidRDefault="00407282" w:rsidP="006F562A">
      <w:pPr>
        <w:pStyle w:val="Sinespaciado"/>
        <w:ind w:left="851" w:right="851"/>
        <w:jc w:val="both"/>
        <w:rPr>
          <w:rFonts w:ascii="Palatino Linotype" w:hAnsi="Palatino Linotype"/>
          <w:i/>
          <w:lang w:val="es-ES_tradnl"/>
        </w:rPr>
      </w:pPr>
      <w:r w:rsidRPr="00E24229">
        <w:rPr>
          <w:rFonts w:ascii="Palatino Linotype" w:hAnsi="Palatino Linotype"/>
          <w:b/>
          <w:i/>
          <w:lang w:val="es-ES_tradnl"/>
        </w:rPr>
        <w:t>XI.</w:t>
      </w:r>
      <w:r w:rsidRPr="00E24229">
        <w:rPr>
          <w:rFonts w:ascii="Palatino Linotype" w:hAnsi="Palatino Linotype"/>
          <w:i/>
          <w:lang w:val="es-ES_tradnl"/>
        </w:rPr>
        <w:t xml:space="preserve"> </w:t>
      </w:r>
      <w:r w:rsidRPr="00E24229">
        <w:rPr>
          <w:rFonts w:ascii="Palatino Linotype" w:hAnsi="Palatino Linotype"/>
          <w:b/>
          <w:i/>
          <w:lang w:val="es-ES_tradnl"/>
        </w:rPr>
        <w:t>Documento:</w:t>
      </w:r>
      <w:r w:rsidRPr="00E24229">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E24229">
        <w:rPr>
          <w:rFonts w:ascii="Palatino Linotype" w:hAnsi="Palatino Linotype"/>
          <w:b/>
          <w:i/>
          <w:u w:val="single"/>
          <w:lang w:val="es-ES_tradnl"/>
        </w:rPr>
        <w:t xml:space="preserve">cualquier otro registro que documente el ejercicio de las facultades, funciones y competencias de los </w:t>
      </w:r>
      <w:r w:rsidRPr="00E24229">
        <w:rPr>
          <w:rFonts w:ascii="Palatino Linotype" w:hAnsi="Palatino Linotype"/>
          <w:b/>
          <w:i/>
          <w:u w:val="single"/>
          <w:lang w:val="es-ES_tradnl"/>
        </w:rPr>
        <w:lastRenderedPageBreak/>
        <w:t>sujetos obligados, sus servidores públicos e integrantes, sin importar su fuente o fecha de elaboración.</w:t>
      </w:r>
      <w:r w:rsidRPr="00E24229">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E24229" w:rsidRDefault="00407282" w:rsidP="006F562A">
      <w:pPr>
        <w:pStyle w:val="Sinespaciado"/>
        <w:ind w:left="851" w:right="851"/>
        <w:jc w:val="both"/>
        <w:rPr>
          <w:rFonts w:ascii="Palatino Linotype" w:hAnsi="Palatino Linotype"/>
          <w:i/>
          <w:lang w:val="es-ES_tradnl"/>
        </w:rPr>
      </w:pPr>
    </w:p>
    <w:p w14:paraId="39800273" w14:textId="77777777" w:rsidR="00407282" w:rsidRPr="00E24229" w:rsidRDefault="00407282" w:rsidP="006F562A">
      <w:pPr>
        <w:pStyle w:val="Sinespaciado"/>
        <w:ind w:left="851" w:right="851"/>
        <w:jc w:val="both"/>
        <w:rPr>
          <w:rFonts w:ascii="Palatino Linotype" w:hAnsi="Palatino Linotype"/>
          <w:bCs/>
          <w:i/>
          <w:lang w:val="es-ES_tradnl"/>
        </w:rPr>
      </w:pPr>
      <w:r w:rsidRPr="00E24229">
        <w:rPr>
          <w:rFonts w:ascii="Palatino Linotype" w:hAnsi="Palatino Linotype"/>
          <w:b/>
          <w:bCs/>
          <w:i/>
          <w:lang w:val="es-ES_tradnl"/>
        </w:rPr>
        <w:t>Artículo 4.</w:t>
      </w:r>
      <w:r w:rsidRPr="00E24229">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E24229" w:rsidRDefault="00407282" w:rsidP="006F562A">
      <w:pPr>
        <w:pStyle w:val="Sinespaciado"/>
        <w:ind w:left="851" w:right="851"/>
        <w:jc w:val="both"/>
        <w:rPr>
          <w:rFonts w:ascii="Palatino Linotype" w:hAnsi="Palatino Linotype"/>
          <w:bCs/>
          <w:i/>
          <w:lang w:val="es-ES_tradnl"/>
        </w:rPr>
      </w:pPr>
    </w:p>
    <w:p w14:paraId="0E01168B" w14:textId="77777777" w:rsidR="00407282" w:rsidRPr="00E24229" w:rsidRDefault="00407282" w:rsidP="006F562A">
      <w:pPr>
        <w:pStyle w:val="Sinespaciado"/>
        <w:ind w:left="851" w:right="851"/>
        <w:jc w:val="both"/>
        <w:rPr>
          <w:rFonts w:ascii="Palatino Linotype" w:hAnsi="Palatino Linotype"/>
          <w:bCs/>
          <w:i/>
          <w:lang w:val="es-ES_tradnl"/>
        </w:rPr>
      </w:pPr>
      <w:r w:rsidRPr="00E24229">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E24229">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E24229" w:rsidRDefault="00407282" w:rsidP="006F562A">
      <w:pPr>
        <w:pStyle w:val="Sinespaciado"/>
        <w:ind w:left="851" w:right="851"/>
        <w:jc w:val="both"/>
        <w:rPr>
          <w:rFonts w:ascii="Palatino Linotype" w:hAnsi="Palatino Linotype"/>
          <w:bCs/>
          <w:i/>
          <w:lang w:val="es-ES_tradnl"/>
        </w:rPr>
      </w:pPr>
    </w:p>
    <w:p w14:paraId="28206082" w14:textId="77777777" w:rsidR="00407282" w:rsidRPr="00E24229" w:rsidRDefault="00407282" w:rsidP="006F562A">
      <w:pPr>
        <w:pStyle w:val="Sinespaciado"/>
        <w:ind w:left="851" w:right="851"/>
        <w:jc w:val="both"/>
        <w:rPr>
          <w:rFonts w:ascii="Palatino Linotype" w:hAnsi="Palatino Linotype"/>
          <w:bCs/>
          <w:i/>
          <w:lang w:val="es-ES_tradnl"/>
        </w:rPr>
      </w:pPr>
      <w:r w:rsidRPr="00E24229">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E24229" w:rsidRDefault="00407282" w:rsidP="006F562A">
      <w:pPr>
        <w:pStyle w:val="Sinespaciado"/>
        <w:ind w:left="851" w:right="851"/>
        <w:jc w:val="both"/>
        <w:rPr>
          <w:rFonts w:ascii="Palatino Linotype" w:hAnsi="Palatino Linotype"/>
          <w:i/>
          <w:lang w:val="es-ES_tradnl"/>
        </w:rPr>
      </w:pPr>
    </w:p>
    <w:p w14:paraId="47F47EA9" w14:textId="77777777" w:rsidR="00407282" w:rsidRPr="00E24229" w:rsidRDefault="00407282" w:rsidP="006F562A">
      <w:pPr>
        <w:pStyle w:val="Sinespaciado"/>
        <w:ind w:left="851" w:right="851"/>
        <w:jc w:val="both"/>
        <w:rPr>
          <w:rFonts w:ascii="Palatino Linotype" w:hAnsi="Palatino Linotype"/>
          <w:i/>
          <w:lang w:val="es-ES_tradnl"/>
        </w:rPr>
      </w:pPr>
      <w:r w:rsidRPr="00E24229">
        <w:rPr>
          <w:rFonts w:ascii="Palatino Linotype" w:hAnsi="Palatino Linotype"/>
          <w:b/>
          <w:i/>
          <w:lang w:val="es-ES_tradnl"/>
        </w:rPr>
        <w:t>Artículo 12.</w:t>
      </w:r>
      <w:r w:rsidRPr="00E24229">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E24229" w:rsidRDefault="00407282" w:rsidP="006F562A">
      <w:pPr>
        <w:pStyle w:val="Sinespaciado"/>
        <w:ind w:left="851" w:right="851"/>
        <w:jc w:val="both"/>
        <w:rPr>
          <w:rFonts w:ascii="Palatino Linotype" w:hAnsi="Palatino Linotype"/>
          <w:i/>
          <w:lang w:val="es-ES_tradnl"/>
        </w:rPr>
      </w:pPr>
    </w:p>
    <w:p w14:paraId="27007B0E" w14:textId="77777777" w:rsidR="00407282" w:rsidRPr="00E24229" w:rsidRDefault="00407282" w:rsidP="006F562A">
      <w:pPr>
        <w:pStyle w:val="Sinespaciado"/>
        <w:ind w:left="851" w:right="851"/>
        <w:jc w:val="both"/>
        <w:rPr>
          <w:rFonts w:ascii="Palatino Linotype" w:hAnsi="Palatino Linotype"/>
          <w:i/>
          <w:u w:val="single"/>
          <w:lang w:val="es-ES_tradnl"/>
        </w:rPr>
      </w:pPr>
      <w:r w:rsidRPr="00E24229">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24229">
        <w:rPr>
          <w:rFonts w:ascii="Palatino Linotype" w:hAnsi="Palatino Linotype"/>
          <w:i/>
          <w:lang w:val="es-ES_tradnl"/>
        </w:rPr>
        <w:t>.</w:t>
      </w:r>
    </w:p>
    <w:p w14:paraId="587D83CD" w14:textId="77777777" w:rsidR="00407282" w:rsidRPr="00E24229"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E24229" w:rsidRDefault="00407282" w:rsidP="00407282">
      <w:pPr>
        <w:pStyle w:val="Sinespaciado"/>
        <w:spacing w:line="360" w:lineRule="auto"/>
        <w:jc w:val="both"/>
        <w:rPr>
          <w:rFonts w:ascii="Palatino Linotype" w:hAnsi="Palatino Linotype"/>
          <w:sz w:val="24"/>
          <w:szCs w:val="24"/>
          <w:lang w:val="es-ES_tradnl"/>
        </w:rPr>
      </w:pPr>
      <w:r w:rsidRPr="00E24229">
        <w:rPr>
          <w:rFonts w:ascii="Palatino Linotype" w:hAnsi="Palatino Linotype" w:cs="Arial"/>
          <w:sz w:val="24"/>
          <w:szCs w:val="24"/>
          <w:lang w:val="es-ES_tradn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E24229">
        <w:rPr>
          <w:rFonts w:ascii="Palatino Linotype" w:hAnsi="Palatino Linotype" w:cs="Arial"/>
          <w:sz w:val="24"/>
          <w:szCs w:val="24"/>
          <w:lang w:val="es-ES_tradnl"/>
        </w:rPr>
        <w:lastRenderedPageBreak/>
        <w:t>generada, obtenida, adquirida, transformada, administrada o en posesión de los sujetos obligados es pública y accesible de manera permanente a cualquier persona.</w:t>
      </w:r>
    </w:p>
    <w:p w14:paraId="574560E8" w14:textId="77777777" w:rsidR="009759F9" w:rsidRPr="00E24229" w:rsidRDefault="009759F9" w:rsidP="0014447C">
      <w:pPr>
        <w:pStyle w:val="Sinespaciado"/>
        <w:spacing w:line="360" w:lineRule="auto"/>
        <w:jc w:val="both"/>
        <w:rPr>
          <w:rFonts w:ascii="Palatino Linotype" w:hAnsi="Palatino Linotype"/>
          <w:sz w:val="24"/>
          <w:szCs w:val="24"/>
          <w:lang w:val="es-ES_tradnl"/>
        </w:rPr>
      </w:pPr>
    </w:p>
    <w:p w14:paraId="28F9AFDA" w14:textId="08770446" w:rsidR="00D71D99" w:rsidRPr="00E24229" w:rsidRDefault="00596856" w:rsidP="00D71D99">
      <w:pPr>
        <w:pStyle w:val="Sinespaciado"/>
        <w:spacing w:line="360" w:lineRule="auto"/>
        <w:jc w:val="both"/>
        <w:rPr>
          <w:rFonts w:ascii="Palatino Linotype" w:eastAsia="MS Mincho" w:hAnsi="Palatino Linotype" w:cs="Times New Roman"/>
          <w:sz w:val="24"/>
          <w:szCs w:val="24"/>
          <w:lang w:val="es-ES_tradnl" w:eastAsia="es-ES"/>
        </w:rPr>
      </w:pPr>
      <w:r w:rsidRPr="00E24229">
        <w:rPr>
          <w:rFonts w:ascii="Palatino Linotype" w:hAnsi="Palatino Linotype"/>
          <w:sz w:val="24"/>
          <w:szCs w:val="24"/>
          <w:lang w:val="es-ES_tradnl"/>
        </w:rPr>
        <w:t xml:space="preserve">En ese tenor, </w:t>
      </w:r>
      <w:r w:rsidR="0094481C" w:rsidRPr="00E24229">
        <w:rPr>
          <w:rFonts w:ascii="Palatino Linotype" w:hAnsi="Palatino Linotype"/>
          <w:sz w:val="24"/>
          <w:szCs w:val="24"/>
          <w:lang w:val="es-ES_tradnl"/>
        </w:rPr>
        <w:t>e</w:t>
      </w:r>
      <w:r w:rsidR="004E3A2C" w:rsidRPr="00E24229">
        <w:rPr>
          <w:rFonts w:ascii="Palatino Linotype" w:hAnsi="Palatino Linotype"/>
          <w:sz w:val="24"/>
          <w:szCs w:val="24"/>
          <w:lang w:val="es-ES_tradnl"/>
        </w:rPr>
        <w:t>n</w:t>
      </w:r>
      <w:r w:rsidR="0094481C" w:rsidRPr="00E24229">
        <w:rPr>
          <w:rFonts w:ascii="Palatino Linotype" w:hAnsi="Palatino Linotype"/>
          <w:sz w:val="24"/>
          <w:szCs w:val="24"/>
          <w:lang w:val="es-ES_tradnl"/>
        </w:rPr>
        <w:t xml:space="preserve"> virtud de que la solicitud del particular consiste en conocer </w:t>
      </w:r>
      <w:r w:rsidR="00C632D6" w:rsidRPr="00E24229">
        <w:rPr>
          <w:rFonts w:ascii="Palatino Linotype" w:hAnsi="Palatino Linotype"/>
          <w:sz w:val="24"/>
          <w:szCs w:val="24"/>
          <w:lang w:val="es-ES_tradnl"/>
        </w:rPr>
        <w:t>información relacionada con</w:t>
      </w:r>
      <w:r w:rsidR="001F50D4" w:rsidRPr="00E24229">
        <w:rPr>
          <w:rFonts w:ascii="Palatino Linotype" w:hAnsi="Palatino Linotype"/>
          <w:sz w:val="24"/>
          <w:szCs w:val="24"/>
          <w:lang w:val="es-ES_tradnl"/>
        </w:rPr>
        <w:t xml:space="preserve"> los documentos en donde consten los gastos ejercidos con recursos obtenidos fuera del presupuesto aprobado, provenientes de donaciones, convenios y fondos extraordinarios</w:t>
      </w:r>
      <w:r w:rsidR="00D71D99" w:rsidRPr="00E24229">
        <w:rPr>
          <w:rFonts w:ascii="Palatino Linotype" w:eastAsia="MS Mincho" w:hAnsi="Palatino Linotype" w:cs="Times New Roman"/>
          <w:sz w:val="24"/>
          <w:szCs w:val="24"/>
          <w:lang w:val="es-ES_tradnl" w:eastAsia="es-ES"/>
        </w:rPr>
        <w:t xml:space="preserve">, resulta oportuno remitirnos a lo establecido en </w:t>
      </w:r>
      <w:r w:rsidR="00F405D4" w:rsidRPr="00E24229">
        <w:rPr>
          <w:rFonts w:ascii="Palatino Linotype" w:eastAsia="MS Mincho" w:hAnsi="Palatino Linotype" w:cs="Times New Roman"/>
          <w:sz w:val="24"/>
          <w:szCs w:val="24"/>
          <w:lang w:val="es-ES_tradnl" w:eastAsia="es-ES"/>
        </w:rPr>
        <w:t xml:space="preserve">Bando Municipal de </w:t>
      </w:r>
      <w:r w:rsidR="001F50D4" w:rsidRPr="00E24229">
        <w:rPr>
          <w:rFonts w:ascii="Palatino Linotype" w:eastAsia="MS Mincho" w:hAnsi="Palatino Linotype" w:cs="Times New Roman"/>
          <w:sz w:val="24"/>
          <w:szCs w:val="24"/>
          <w:lang w:val="es-ES_tradnl" w:eastAsia="es-ES"/>
        </w:rPr>
        <w:t>Zinacantepec</w:t>
      </w:r>
      <w:r w:rsidR="00F405D4" w:rsidRPr="00E24229">
        <w:rPr>
          <w:rFonts w:ascii="Palatino Linotype" w:eastAsia="MS Mincho" w:hAnsi="Palatino Linotype" w:cs="Times New Roman"/>
          <w:sz w:val="24"/>
          <w:szCs w:val="24"/>
          <w:lang w:val="es-ES_tradnl" w:eastAsia="es-ES"/>
        </w:rPr>
        <w:t xml:space="preserve"> 2025</w:t>
      </w:r>
      <w:r w:rsidR="00D71D99" w:rsidRPr="00E24229">
        <w:rPr>
          <w:rFonts w:ascii="Palatino Linotype" w:eastAsia="MS Mincho" w:hAnsi="Palatino Linotype" w:cs="Times New Roman"/>
          <w:sz w:val="24"/>
          <w:szCs w:val="24"/>
          <w:lang w:val="es-ES_tradnl" w:eastAsia="es-ES"/>
        </w:rPr>
        <w:t>, que en su parte conducente señala lo siguiente:</w:t>
      </w:r>
    </w:p>
    <w:p w14:paraId="0DDC0A53" w14:textId="77777777" w:rsidR="00D71D99" w:rsidRPr="00E24229" w:rsidRDefault="00D71D99" w:rsidP="00D71D99">
      <w:pPr>
        <w:spacing w:after="0" w:line="240" w:lineRule="auto"/>
        <w:ind w:left="567" w:right="899"/>
        <w:jc w:val="both"/>
        <w:rPr>
          <w:rFonts w:ascii="Palatino Linotype" w:eastAsia="MS Mincho" w:hAnsi="Palatino Linotype" w:cs="Times New Roman"/>
          <w:b/>
          <w:i/>
          <w:szCs w:val="24"/>
          <w:lang w:eastAsia="es-ES"/>
        </w:rPr>
      </w:pPr>
    </w:p>
    <w:p w14:paraId="59177EA8" w14:textId="77777777" w:rsidR="001F50D4" w:rsidRPr="00E24229" w:rsidRDefault="001F50D4" w:rsidP="00D71D99">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b/>
          <w:bCs/>
          <w:i/>
          <w:szCs w:val="24"/>
          <w:lang w:eastAsia="es-ES"/>
        </w:rPr>
        <w:t xml:space="preserve">Artículo 54. </w:t>
      </w:r>
      <w:r w:rsidRPr="00E24229">
        <w:rPr>
          <w:rFonts w:ascii="Palatino Linotype" w:eastAsia="MS Mincho" w:hAnsi="Palatino Linotype" w:cs="Times New Roman"/>
          <w:i/>
          <w:szCs w:val="24"/>
          <w:lang w:eastAsia="es-ES"/>
        </w:rPr>
        <w:t xml:space="preserve">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6EBB663E" w14:textId="77777777" w:rsidR="001F50D4" w:rsidRPr="00E24229" w:rsidRDefault="001F50D4" w:rsidP="00D71D99">
      <w:pPr>
        <w:spacing w:after="0" w:line="240" w:lineRule="auto"/>
        <w:ind w:left="567" w:right="899"/>
        <w:jc w:val="both"/>
        <w:rPr>
          <w:rFonts w:ascii="Palatino Linotype" w:eastAsia="MS Mincho" w:hAnsi="Palatino Linotype" w:cs="Times New Roman"/>
          <w:i/>
          <w:szCs w:val="24"/>
          <w:lang w:eastAsia="es-ES"/>
        </w:rPr>
      </w:pPr>
    </w:p>
    <w:p w14:paraId="0D743D7C" w14:textId="7562EA17" w:rsidR="00D71D99" w:rsidRPr="00E24229" w:rsidRDefault="001F50D4" w:rsidP="00D71D99">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b/>
          <w:bCs/>
          <w:i/>
          <w:szCs w:val="24"/>
          <w:lang w:eastAsia="es-ES"/>
        </w:rPr>
        <w:t>Artículo 55</w:t>
      </w:r>
      <w:r w:rsidRPr="00E24229">
        <w:rPr>
          <w:rFonts w:ascii="Palatino Linotype" w:eastAsia="MS Mincho" w:hAnsi="Palatino Linotype" w:cs="Times New Roman"/>
          <w:i/>
          <w:szCs w:val="24"/>
          <w:lang w:eastAsia="es-ES"/>
        </w:rPr>
        <w:t>. La Tesorería Municipal a través del Tesorero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7E6C93FF" w14:textId="77777777" w:rsidR="00D71D99" w:rsidRPr="00E2422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1F98617F" w14:textId="52540616" w:rsidR="00D71D99" w:rsidRPr="00E24229" w:rsidRDefault="00F405D4" w:rsidP="006722F8">
      <w:pPr>
        <w:pStyle w:val="Sinespaciado"/>
        <w:spacing w:line="360" w:lineRule="auto"/>
        <w:jc w:val="both"/>
        <w:rPr>
          <w:rFonts w:ascii="Palatino Linotype" w:eastAsia="MS Mincho" w:hAnsi="Palatino Linotype" w:cs="Times New Roman"/>
          <w:sz w:val="24"/>
          <w:szCs w:val="24"/>
          <w:lang w:val="es-ES_tradnl" w:eastAsia="es-ES"/>
        </w:rPr>
      </w:pPr>
      <w:r w:rsidRPr="00E24229">
        <w:rPr>
          <w:rFonts w:ascii="Palatino Linotype" w:eastAsia="MS Mincho" w:hAnsi="Palatino Linotype" w:cs="Times New Roman"/>
          <w:sz w:val="24"/>
          <w:szCs w:val="24"/>
          <w:lang w:val="es-ES_tradnl" w:eastAsia="es-ES"/>
        </w:rPr>
        <w:t xml:space="preserve">Sirve a manera de Robustecer lo antes señalado, lo establecido en el </w:t>
      </w:r>
      <w:r w:rsidR="007A3FFC" w:rsidRPr="00E24229">
        <w:rPr>
          <w:rFonts w:ascii="Palatino Linotype" w:eastAsia="MS Mincho" w:hAnsi="Palatino Linotype" w:cs="Times New Roman"/>
          <w:sz w:val="24"/>
          <w:szCs w:val="24"/>
          <w:lang w:val="es-ES_tradnl" w:eastAsia="es-ES"/>
        </w:rPr>
        <w:t>Reglamento Orgánico Municipal de Zinacantepec</w:t>
      </w:r>
      <w:r w:rsidRPr="00E24229">
        <w:rPr>
          <w:rFonts w:ascii="Palatino Linotype" w:eastAsia="MS Mincho" w:hAnsi="Palatino Linotype" w:cs="Times New Roman"/>
          <w:sz w:val="24"/>
          <w:szCs w:val="24"/>
          <w:lang w:val="es-ES_tradnl" w:eastAsia="es-ES"/>
        </w:rPr>
        <w:t xml:space="preserve">, que en su parte conducente establece: </w:t>
      </w:r>
    </w:p>
    <w:p w14:paraId="3FD5ADB5" w14:textId="77777777" w:rsidR="00F405D4" w:rsidRPr="00E24229" w:rsidRDefault="00F405D4" w:rsidP="006722F8">
      <w:pPr>
        <w:pStyle w:val="Sinespaciado"/>
        <w:spacing w:line="360" w:lineRule="auto"/>
        <w:jc w:val="both"/>
        <w:rPr>
          <w:rFonts w:ascii="Palatino Linotype" w:eastAsia="MS Mincho" w:hAnsi="Palatino Linotype" w:cs="Times New Roman"/>
          <w:sz w:val="24"/>
          <w:szCs w:val="24"/>
          <w:lang w:val="es-ES_tradnl" w:eastAsia="es-ES"/>
        </w:rPr>
      </w:pPr>
    </w:p>
    <w:p w14:paraId="45DE8CC4" w14:textId="7FEE3BB4" w:rsidR="00F405D4"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b/>
          <w:bCs/>
          <w:i/>
          <w:szCs w:val="24"/>
          <w:lang w:eastAsia="es-ES"/>
        </w:rPr>
        <w:t>Artículo 44</w:t>
      </w:r>
      <w:r w:rsidRPr="00E24229">
        <w:rPr>
          <w:rFonts w:ascii="Palatino Linotype" w:eastAsia="MS Mincho" w:hAnsi="Palatino Linotype" w:cs="Times New Roman"/>
          <w:i/>
          <w:szCs w:val="24"/>
          <w:lang w:eastAsia="es-ES"/>
        </w:rPr>
        <w:t xml:space="preserve">. La Tesorería Municipal es la Dependencia Administrativa encargada de </w:t>
      </w:r>
      <w:bookmarkStart w:id="1" w:name="_Hlk208493807"/>
      <w:r w:rsidRPr="00E24229">
        <w:rPr>
          <w:rFonts w:ascii="Palatino Linotype" w:eastAsia="MS Mincho" w:hAnsi="Palatino Linotype" w:cs="Times New Roman"/>
          <w:i/>
          <w:szCs w:val="24"/>
          <w:lang w:eastAsia="es-ES"/>
        </w:rPr>
        <w:t>recaudar los ingresos municipales, captar recursos Estatales y Federales, así como conducir la política presupuestal del Municipio a través de una adecuada integración del presupuesto de ingresos y egresos, para la correcta administración de la hacienda municipal.</w:t>
      </w:r>
      <w:bookmarkEnd w:id="1"/>
    </w:p>
    <w:p w14:paraId="14457D60" w14:textId="77777777" w:rsidR="00F405D4" w:rsidRPr="00E24229" w:rsidRDefault="00F405D4" w:rsidP="00F405D4">
      <w:pPr>
        <w:spacing w:after="0" w:line="240" w:lineRule="auto"/>
        <w:ind w:left="567" w:right="899"/>
        <w:jc w:val="both"/>
        <w:rPr>
          <w:rFonts w:ascii="Palatino Linotype" w:eastAsia="MS Mincho" w:hAnsi="Palatino Linotype" w:cs="Times New Roman"/>
          <w:i/>
          <w:szCs w:val="24"/>
          <w:lang w:eastAsia="es-ES"/>
        </w:rPr>
      </w:pPr>
    </w:p>
    <w:p w14:paraId="7C180314" w14:textId="1B96623B" w:rsidR="00F405D4"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b/>
          <w:bCs/>
          <w:i/>
          <w:szCs w:val="24"/>
          <w:lang w:eastAsia="es-ES"/>
        </w:rPr>
        <w:t>Artículo 45</w:t>
      </w:r>
      <w:r w:rsidRPr="00E24229">
        <w:rPr>
          <w:rFonts w:ascii="Palatino Linotype" w:eastAsia="MS Mincho" w:hAnsi="Palatino Linotype" w:cs="Times New Roman"/>
          <w:i/>
          <w:szCs w:val="24"/>
          <w:lang w:eastAsia="es-ES"/>
        </w:rPr>
        <w:t>. Además de las previstas en las disposiciones normativas y administrativas en la materia, la Tesorería Municipal tiene las siguientes funciones y atribuciones:</w:t>
      </w:r>
    </w:p>
    <w:p w14:paraId="61C5BBE8" w14:textId="77777777"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p>
    <w:p w14:paraId="54794965" w14:textId="3B327CE0"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i/>
          <w:szCs w:val="24"/>
          <w:lang w:eastAsia="es-ES"/>
        </w:rPr>
        <w:t>(…)</w:t>
      </w:r>
    </w:p>
    <w:p w14:paraId="757B0751" w14:textId="77777777"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p>
    <w:p w14:paraId="78E02C5F" w14:textId="575CE8E2"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i/>
          <w:szCs w:val="24"/>
          <w:lang w:eastAsia="es-ES"/>
        </w:rPr>
        <w:t xml:space="preserve">XXII. </w:t>
      </w:r>
      <w:bookmarkStart w:id="2" w:name="_Hlk208493963"/>
      <w:r w:rsidRPr="00E24229">
        <w:rPr>
          <w:rFonts w:ascii="Palatino Linotype" w:eastAsia="MS Mincho" w:hAnsi="Palatino Linotype" w:cs="Times New Roman"/>
          <w:i/>
          <w:szCs w:val="24"/>
          <w:lang w:eastAsia="es-ES"/>
        </w:rPr>
        <w:t>Autorizar la suficiencia presupuestal para la adquisición de bienes y servicios requeridos por las áreas, de conformidad con su presupuesto autorizado para cada ejercicio</w:t>
      </w:r>
      <w:bookmarkEnd w:id="2"/>
      <w:r w:rsidRPr="00E24229">
        <w:rPr>
          <w:rFonts w:ascii="Palatino Linotype" w:eastAsia="MS Mincho" w:hAnsi="Palatino Linotype" w:cs="Times New Roman"/>
          <w:i/>
          <w:szCs w:val="24"/>
          <w:lang w:eastAsia="es-ES"/>
        </w:rPr>
        <w:t>, vigilando que se ajuste a la liquidez del Municipio, con los principios de austeridad, disciplina y transparencia;</w:t>
      </w:r>
    </w:p>
    <w:p w14:paraId="24A13808" w14:textId="77777777"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p>
    <w:p w14:paraId="1335A4E0" w14:textId="2558DAE1"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i/>
          <w:szCs w:val="24"/>
          <w:lang w:eastAsia="es-ES"/>
        </w:rPr>
        <w:t>XXIII. 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w:t>
      </w:r>
    </w:p>
    <w:p w14:paraId="763A01A5" w14:textId="77777777"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p>
    <w:p w14:paraId="72DF23E6" w14:textId="5BB3C9C2" w:rsidR="007A3FFC" w:rsidRPr="00E24229" w:rsidRDefault="007A3FFC" w:rsidP="00F405D4">
      <w:pPr>
        <w:spacing w:after="0" w:line="240" w:lineRule="auto"/>
        <w:ind w:left="567" w:right="899"/>
        <w:jc w:val="both"/>
        <w:rPr>
          <w:rFonts w:ascii="Palatino Linotype" w:eastAsia="MS Mincho" w:hAnsi="Palatino Linotype" w:cs="Times New Roman"/>
          <w:i/>
          <w:szCs w:val="24"/>
          <w:lang w:eastAsia="es-ES"/>
        </w:rPr>
      </w:pPr>
      <w:r w:rsidRPr="00E24229">
        <w:rPr>
          <w:rFonts w:ascii="Palatino Linotype" w:eastAsia="MS Mincho" w:hAnsi="Palatino Linotype" w:cs="Times New Roman"/>
          <w:i/>
          <w:szCs w:val="24"/>
          <w:lang w:eastAsia="es-ES"/>
        </w:rPr>
        <w:t>XXIV. Aplicar el sistema de contabilidad gubernamental y las políticas para el registro contable y presupuestal de las operaciones financieras que realicen las áreas de la Administración Pública Municipal;</w:t>
      </w:r>
    </w:p>
    <w:p w14:paraId="767D4C4E" w14:textId="77777777" w:rsidR="00F405D4" w:rsidRPr="00E24229" w:rsidRDefault="00F405D4" w:rsidP="00F405D4">
      <w:pPr>
        <w:spacing w:after="0" w:line="240" w:lineRule="auto"/>
        <w:ind w:left="567" w:right="899"/>
        <w:jc w:val="both"/>
        <w:rPr>
          <w:rFonts w:ascii="Palatino Linotype" w:eastAsia="MS Mincho" w:hAnsi="Palatino Linotype" w:cs="Times New Roman"/>
          <w:i/>
          <w:szCs w:val="24"/>
          <w:lang w:eastAsia="es-ES"/>
        </w:rPr>
      </w:pPr>
    </w:p>
    <w:p w14:paraId="46A12B77" w14:textId="77777777" w:rsidR="00A63EF2" w:rsidRPr="00E24229" w:rsidRDefault="00A63EF2" w:rsidP="007A3FFC">
      <w:pPr>
        <w:spacing w:after="0" w:line="240" w:lineRule="auto"/>
        <w:ind w:right="899"/>
        <w:jc w:val="both"/>
        <w:rPr>
          <w:rFonts w:ascii="Palatino Linotype" w:eastAsia="MS Mincho" w:hAnsi="Palatino Linotype" w:cs="Times New Roman"/>
          <w:i/>
          <w:szCs w:val="24"/>
          <w:lang w:eastAsia="es-ES"/>
        </w:rPr>
      </w:pPr>
    </w:p>
    <w:p w14:paraId="595AE8F2" w14:textId="77777777" w:rsidR="00D71D99" w:rsidRPr="00E24229" w:rsidRDefault="00D71D99" w:rsidP="006722F8">
      <w:pPr>
        <w:pStyle w:val="Sinespaciado"/>
        <w:spacing w:line="360" w:lineRule="auto"/>
        <w:jc w:val="both"/>
        <w:rPr>
          <w:rFonts w:ascii="Palatino Linotype" w:eastAsia="MS Mincho" w:hAnsi="Palatino Linotype" w:cs="Times New Roman"/>
          <w:sz w:val="24"/>
          <w:szCs w:val="24"/>
          <w:lang w:val="es-ES_tradnl" w:eastAsia="es-ES"/>
        </w:rPr>
      </w:pPr>
    </w:p>
    <w:p w14:paraId="42C3C420" w14:textId="657BB32A" w:rsidR="00D71D99" w:rsidRPr="00E24229" w:rsidRDefault="00D71D99" w:rsidP="00D71D99">
      <w:pPr>
        <w:spacing w:after="0" w:line="360" w:lineRule="auto"/>
        <w:jc w:val="both"/>
        <w:rPr>
          <w:rFonts w:ascii="Palatino Linotype" w:eastAsia="MS Mincho" w:hAnsi="Palatino Linotype" w:cs="Times New Roman"/>
          <w:sz w:val="24"/>
          <w:szCs w:val="24"/>
          <w:u w:val="single"/>
          <w:lang w:eastAsia="es-ES"/>
        </w:rPr>
      </w:pPr>
      <w:r w:rsidRPr="00E24229">
        <w:rPr>
          <w:rFonts w:ascii="Palatino Linotype" w:eastAsia="MS Mincho" w:hAnsi="Palatino Linotype" w:cs="Times New Roman"/>
          <w:sz w:val="24"/>
          <w:szCs w:val="24"/>
          <w:lang w:eastAsia="es-ES"/>
        </w:rPr>
        <w:t xml:space="preserve">De los preceptos legales referidos, se advierte que </w:t>
      </w:r>
      <w:bookmarkStart w:id="3" w:name="_Hlk168934242"/>
      <w:r w:rsidRPr="00E24229">
        <w:rPr>
          <w:rFonts w:ascii="Palatino Linotype" w:eastAsia="MS Mincho" w:hAnsi="Palatino Linotype" w:cs="Times New Roman"/>
          <w:sz w:val="24"/>
          <w:szCs w:val="24"/>
          <w:lang w:eastAsia="es-ES"/>
        </w:rPr>
        <w:t xml:space="preserve">la </w:t>
      </w:r>
      <w:r w:rsidR="00A63EF2" w:rsidRPr="00E24229">
        <w:rPr>
          <w:rFonts w:ascii="Palatino Linotype" w:eastAsia="MS Mincho" w:hAnsi="Palatino Linotype" w:cs="Times New Roman"/>
          <w:b/>
          <w:bCs/>
          <w:iCs/>
          <w:sz w:val="24"/>
          <w:szCs w:val="24"/>
          <w:lang w:val="es-MX" w:eastAsia="es-ES"/>
        </w:rPr>
        <w:t>Tesorería Municipal</w:t>
      </w:r>
      <w:r w:rsidRPr="00E24229">
        <w:rPr>
          <w:rFonts w:ascii="Palatino Linotype" w:eastAsia="MS Mincho" w:hAnsi="Palatino Linotype" w:cs="Times New Roman"/>
          <w:iCs/>
          <w:sz w:val="24"/>
          <w:szCs w:val="24"/>
          <w:lang w:eastAsia="es-ES"/>
        </w:rPr>
        <w:t xml:space="preserve"> </w:t>
      </w:r>
      <w:r w:rsidRPr="00E24229">
        <w:rPr>
          <w:rFonts w:ascii="Palatino Linotype" w:eastAsia="MS Mincho" w:hAnsi="Palatino Linotype" w:cs="Times New Roman"/>
          <w:sz w:val="24"/>
          <w:szCs w:val="24"/>
          <w:lang w:eastAsia="es-ES"/>
        </w:rPr>
        <w:t>es la Unidad Administrativa</w:t>
      </w:r>
      <w:bookmarkEnd w:id="3"/>
      <w:r w:rsidR="00B52F71" w:rsidRPr="00E24229">
        <w:t xml:space="preserve"> </w:t>
      </w:r>
      <w:r w:rsidR="00B52F71" w:rsidRPr="00E24229">
        <w:rPr>
          <w:rFonts w:ascii="Palatino Linotype" w:eastAsia="MS Mincho" w:hAnsi="Palatino Linotype" w:cs="Times New Roman"/>
          <w:sz w:val="24"/>
          <w:szCs w:val="24"/>
          <w:lang w:eastAsia="es-ES"/>
        </w:rPr>
        <w:t xml:space="preserve">responsable </w:t>
      </w:r>
      <w:r w:rsidR="00B52F71" w:rsidRPr="00E24229">
        <w:rPr>
          <w:rFonts w:ascii="Palatino Linotype" w:eastAsia="MS Mincho" w:hAnsi="Palatino Linotype" w:cs="Times New Roman"/>
          <w:sz w:val="24"/>
          <w:szCs w:val="24"/>
          <w:u w:val="single"/>
          <w:lang w:eastAsia="es-ES"/>
        </w:rPr>
        <w:t>de efectuar las erogaciones que realice únicamente con cargo al presupuesto aprobado por el Ayuntamiento</w:t>
      </w:r>
      <w:r w:rsidR="00B52F71" w:rsidRPr="00E24229">
        <w:rPr>
          <w:rFonts w:ascii="Palatino Linotype" w:eastAsia="MS Mincho" w:hAnsi="Palatino Linotype" w:cs="Times New Roman"/>
          <w:sz w:val="24"/>
          <w:szCs w:val="24"/>
          <w:lang w:eastAsia="es-ES"/>
        </w:rPr>
        <w:t xml:space="preserve">, así como encargada de  recaudar los ingresos municipales, captar recursos Estatales y Federales, </w:t>
      </w:r>
      <w:r w:rsidR="00B52F71" w:rsidRPr="00E24229">
        <w:rPr>
          <w:rFonts w:ascii="Palatino Linotype" w:eastAsia="MS Mincho" w:hAnsi="Palatino Linotype" w:cs="Times New Roman"/>
          <w:sz w:val="24"/>
          <w:szCs w:val="24"/>
          <w:u w:val="single"/>
          <w:lang w:eastAsia="es-ES"/>
        </w:rPr>
        <w:t>así como conducir la política presupuestal del Municipio a través de una adecuada integración del presupuesto de ingresos y egresos</w:t>
      </w:r>
      <w:r w:rsidR="00B52F71" w:rsidRPr="00E24229">
        <w:rPr>
          <w:rFonts w:ascii="Palatino Linotype" w:eastAsia="MS Mincho" w:hAnsi="Palatino Linotype" w:cs="Times New Roman"/>
          <w:sz w:val="24"/>
          <w:szCs w:val="24"/>
          <w:lang w:eastAsia="es-ES"/>
        </w:rPr>
        <w:t>, para la correcta administración de la hacienda municipal.</w:t>
      </w:r>
    </w:p>
    <w:p w14:paraId="1A611DDD" w14:textId="77777777" w:rsidR="00A63EF2" w:rsidRPr="00E24229" w:rsidRDefault="00A63EF2" w:rsidP="00D71D99">
      <w:pPr>
        <w:spacing w:after="0" w:line="360" w:lineRule="auto"/>
        <w:jc w:val="both"/>
        <w:rPr>
          <w:rFonts w:ascii="Palatino Linotype" w:eastAsia="MS Mincho" w:hAnsi="Palatino Linotype" w:cs="Times New Roman"/>
          <w:sz w:val="24"/>
          <w:szCs w:val="24"/>
          <w:u w:val="single"/>
          <w:lang w:eastAsia="es-ES"/>
        </w:rPr>
      </w:pPr>
    </w:p>
    <w:p w14:paraId="55C54242" w14:textId="709C1E7C" w:rsidR="00A63EF2" w:rsidRPr="00E24229" w:rsidRDefault="00A63EF2" w:rsidP="00D71D99">
      <w:pPr>
        <w:spacing w:after="0" w:line="360" w:lineRule="auto"/>
        <w:jc w:val="both"/>
        <w:rPr>
          <w:rFonts w:ascii="Palatino Linotype" w:eastAsia="MS Mincho" w:hAnsi="Palatino Linotype" w:cs="Times New Roman"/>
          <w:bCs/>
          <w:iCs/>
          <w:sz w:val="24"/>
          <w:szCs w:val="24"/>
          <w:lang w:eastAsia="es-ES"/>
        </w:rPr>
      </w:pPr>
      <w:r w:rsidRPr="00E24229">
        <w:rPr>
          <w:rFonts w:ascii="Palatino Linotype" w:eastAsia="MS Mincho" w:hAnsi="Palatino Linotype" w:cs="Times New Roman"/>
          <w:sz w:val="24"/>
          <w:szCs w:val="24"/>
          <w:lang w:eastAsia="es-ES"/>
        </w:rPr>
        <w:t xml:space="preserve">Aunado a lo anterior la </w:t>
      </w:r>
      <w:r w:rsidR="00B52F71" w:rsidRPr="00E24229">
        <w:rPr>
          <w:rFonts w:ascii="Palatino Linotype" w:eastAsia="MS Mincho" w:hAnsi="Palatino Linotype" w:cs="Times New Roman"/>
          <w:b/>
          <w:bCs/>
          <w:sz w:val="24"/>
          <w:szCs w:val="24"/>
          <w:lang w:eastAsia="es-ES"/>
        </w:rPr>
        <w:t>Tesorería Municipal</w:t>
      </w:r>
      <w:r w:rsidRPr="00E24229">
        <w:rPr>
          <w:rFonts w:ascii="Palatino Linotype" w:eastAsia="MS Mincho" w:hAnsi="Palatino Linotype" w:cs="Times New Roman"/>
          <w:sz w:val="24"/>
          <w:szCs w:val="24"/>
          <w:lang w:eastAsia="es-ES"/>
        </w:rPr>
        <w:t xml:space="preserve"> en comento, </w:t>
      </w:r>
      <w:r w:rsidR="00B52F71" w:rsidRPr="00E24229">
        <w:rPr>
          <w:rFonts w:ascii="Palatino Linotype" w:eastAsia="MS Mincho" w:hAnsi="Palatino Linotype" w:cs="Times New Roman"/>
          <w:sz w:val="24"/>
          <w:szCs w:val="24"/>
          <w:lang w:eastAsia="es-ES"/>
        </w:rPr>
        <w:t xml:space="preserve">tiene conferidas como algunas de sus funciones, el autorizar la suficiencia presupuestal para la adquisición </w:t>
      </w:r>
      <w:r w:rsidR="00B52F71" w:rsidRPr="00E24229">
        <w:rPr>
          <w:rFonts w:ascii="Palatino Linotype" w:eastAsia="MS Mincho" w:hAnsi="Palatino Linotype" w:cs="Times New Roman"/>
          <w:sz w:val="24"/>
          <w:szCs w:val="24"/>
          <w:lang w:eastAsia="es-ES"/>
        </w:rPr>
        <w:lastRenderedPageBreak/>
        <w:t xml:space="preserve">de bienes y servicios requeridos por las áreas de la administración pública, de conformidad con su presupuesto autorizado para cada ejercicio, así como realizar los pagos por cualquiera de dichos conceptos, llevando además el </w:t>
      </w:r>
      <w:r w:rsidR="00B52F71" w:rsidRPr="00E24229">
        <w:rPr>
          <w:rFonts w:ascii="Palatino Linotype" w:eastAsia="MS Mincho" w:hAnsi="Palatino Linotype" w:cs="Times New Roman"/>
          <w:sz w:val="24"/>
          <w:szCs w:val="24"/>
          <w:u w:val="single"/>
          <w:lang w:eastAsia="es-ES"/>
        </w:rPr>
        <w:t>registro contable y presupuestal de las operaciones financieras que realicen las áreas de la Administración Pública Municipal.</w:t>
      </w:r>
    </w:p>
    <w:p w14:paraId="6B47E9B9" w14:textId="77777777" w:rsidR="00D71D99" w:rsidRPr="00E24229" w:rsidRDefault="00D71D99" w:rsidP="00D71D99">
      <w:pPr>
        <w:spacing w:after="0" w:line="360" w:lineRule="auto"/>
        <w:jc w:val="both"/>
        <w:rPr>
          <w:rFonts w:ascii="Palatino Linotype" w:eastAsia="MS Mincho" w:hAnsi="Palatino Linotype" w:cs="Times New Roman"/>
          <w:sz w:val="24"/>
          <w:szCs w:val="24"/>
          <w:lang w:eastAsia="es-ES"/>
        </w:rPr>
      </w:pPr>
    </w:p>
    <w:p w14:paraId="40DE3FD7" w14:textId="55F1D3B2" w:rsidR="00D71D99" w:rsidRPr="00E24229" w:rsidRDefault="00D71D99" w:rsidP="00D71D99">
      <w:pPr>
        <w:spacing w:after="0" w:line="360" w:lineRule="auto"/>
        <w:jc w:val="both"/>
        <w:rPr>
          <w:rFonts w:ascii="Palatino Linotype" w:eastAsia="MS Mincho" w:hAnsi="Palatino Linotype" w:cs="Times New Roman"/>
          <w:sz w:val="24"/>
          <w:szCs w:val="24"/>
          <w:lang w:eastAsia="es-ES"/>
        </w:rPr>
      </w:pPr>
      <w:r w:rsidRPr="00E24229">
        <w:rPr>
          <w:rFonts w:ascii="Palatino Linotype" w:eastAsia="MS Mincho" w:hAnsi="Palatino Linotype" w:cs="Times New Roman"/>
          <w:sz w:val="24"/>
          <w:szCs w:val="24"/>
          <w:lang w:eastAsia="es-ES"/>
        </w:rPr>
        <w:t>En ese orden de ideas advertimos que, mediante respuesta primigenia a la solicitud de información de mérito, se pronunci</w:t>
      </w:r>
      <w:r w:rsidR="00B52F71" w:rsidRPr="00E24229">
        <w:rPr>
          <w:rFonts w:ascii="Palatino Linotype" w:eastAsia="MS Mincho" w:hAnsi="Palatino Linotype" w:cs="Times New Roman"/>
          <w:sz w:val="24"/>
          <w:szCs w:val="24"/>
          <w:lang w:eastAsia="es-ES"/>
        </w:rPr>
        <w:t>ó el</w:t>
      </w:r>
      <w:r w:rsidRPr="00E24229">
        <w:rPr>
          <w:rFonts w:ascii="Palatino Linotype" w:eastAsia="MS Mincho" w:hAnsi="Palatino Linotype" w:cs="Times New Roman"/>
          <w:sz w:val="24"/>
          <w:szCs w:val="24"/>
          <w:lang w:eastAsia="es-ES"/>
        </w:rPr>
        <w:t xml:space="preserve"> área competente que pudiera conocer de la información requerida por el particular, siendo esta </w:t>
      </w:r>
      <w:bookmarkStart w:id="4" w:name="_Hlk207294608"/>
      <w:r w:rsidR="00033D2F" w:rsidRPr="00E24229">
        <w:rPr>
          <w:rFonts w:ascii="Palatino Linotype" w:eastAsia="MS Mincho" w:hAnsi="Palatino Linotype" w:cs="Times New Roman"/>
          <w:sz w:val="24"/>
          <w:szCs w:val="24"/>
          <w:lang w:eastAsia="es-ES"/>
        </w:rPr>
        <w:t xml:space="preserve">la </w:t>
      </w:r>
      <w:r w:rsidR="00033D2F" w:rsidRPr="00E24229">
        <w:rPr>
          <w:rFonts w:ascii="Palatino Linotype" w:eastAsia="MS Mincho" w:hAnsi="Palatino Linotype" w:cs="Times New Roman"/>
          <w:b/>
          <w:bCs/>
          <w:iCs/>
          <w:sz w:val="24"/>
          <w:szCs w:val="24"/>
          <w:lang w:val="es-MX" w:eastAsia="es-ES"/>
        </w:rPr>
        <w:t>Tesorería Municipal</w:t>
      </w:r>
      <w:bookmarkEnd w:id="4"/>
      <w:r w:rsidR="00933D11" w:rsidRPr="00E24229">
        <w:rPr>
          <w:rFonts w:ascii="Palatino Linotype" w:eastAsia="MS Mincho" w:hAnsi="Palatino Linotype" w:cs="Times New Roman"/>
          <w:b/>
          <w:bCs/>
          <w:iCs/>
          <w:sz w:val="24"/>
          <w:szCs w:val="24"/>
          <w:lang w:val="es-MX" w:eastAsia="es-ES"/>
        </w:rPr>
        <w:t>.</w:t>
      </w:r>
    </w:p>
    <w:p w14:paraId="552243E9" w14:textId="1E942647" w:rsidR="00221B41" w:rsidRPr="00E24229" w:rsidRDefault="00221B41" w:rsidP="00221B41">
      <w:pPr>
        <w:spacing w:after="0" w:line="360" w:lineRule="auto"/>
        <w:jc w:val="both"/>
        <w:rPr>
          <w:rFonts w:ascii="Palatino Linotype" w:eastAsia="MS Mincho" w:hAnsi="Palatino Linotype" w:cs="Times New Roman"/>
          <w:sz w:val="24"/>
          <w:szCs w:val="24"/>
          <w:lang w:eastAsia="es-ES"/>
        </w:rPr>
      </w:pPr>
    </w:p>
    <w:p w14:paraId="348D2319" w14:textId="08AE716E" w:rsidR="00221B41" w:rsidRPr="00E24229" w:rsidRDefault="00221B41" w:rsidP="00221B41">
      <w:pPr>
        <w:spacing w:after="0" w:line="360" w:lineRule="auto"/>
        <w:jc w:val="both"/>
        <w:rPr>
          <w:rFonts w:ascii="Palatino Linotype" w:eastAsia="MS Mincho" w:hAnsi="Palatino Linotype" w:cs="Times New Roman"/>
          <w:sz w:val="24"/>
          <w:szCs w:val="24"/>
          <w:lang w:eastAsia="es-ES"/>
        </w:rPr>
      </w:pPr>
      <w:r w:rsidRPr="00E24229">
        <w:rPr>
          <w:rFonts w:ascii="Palatino Linotype" w:eastAsia="MS Mincho" w:hAnsi="Palatino Linotype" w:cs="Times New Roman"/>
          <w:sz w:val="24"/>
          <w:szCs w:val="24"/>
          <w:lang w:eastAsia="es-ES"/>
        </w:rPr>
        <w:t>En ese orden de ideas,</w:t>
      </w:r>
      <w:r w:rsidR="0096284D" w:rsidRPr="00E24229">
        <w:rPr>
          <w:rFonts w:ascii="Palatino Linotype" w:eastAsia="MS Mincho" w:hAnsi="Palatino Linotype" w:cs="Times New Roman"/>
          <w:sz w:val="24"/>
          <w:szCs w:val="24"/>
          <w:lang w:eastAsia="es-ES"/>
        </w:rPr>
        <w:t xml:space="preserve"> si bien es cierto,</w:t>
      </w:r>
      <w:r w:rsidRPr="00E24229">
        <w:rPr>
          <w:rFonts w:ascii="Palatino Linotype" w:eastAsia="MS Mincho" w:hAnsi="Palatino Linotype" w:cs="Times New Roman"/>
          <w:sz w:val="24"/>
          <w:szCs w:val="24"/>
          <w:lang w:eastAsia="es-ES"/>
        </w:rPr>
        <w:t xml:space="preserve"> mediante respuesta primigenia a la solicitud de información de mérito, se pronunci</w:t>
      </w:r>
      <w:r w:rsidR="00933D11" w:rsidRPr="00E24229">
        <w:rPr>
          <w:rFonts w:ascii="Palatino Linotype" w:eastAsia="MS Mincho" w:hAnsi="Palatino Linotype" w:cs="Times New Roman"/>
          <w:sz w:val="24"/>
          <w:szCs w:val="24"/>
          <w:lang w:eastAsia="es-ES"/>
        </w:rPr>
        <w:t>ó el</w:t>
      </w:r>
      <w:r w:rsidRPr="00E24229">
        <w:rPr>
          <w:rFonts w:ascii="Palatino Linotype" w:eastAsia="MS Mincho" w:hAnsi="Palatino Linotype" w:cs="Times New Roman"/>
          <w:sz w:val="24"/>
          <w:szCs w:val="24"/>
          <w:lang w:eastAsia="es-ES"/>
        </w:rPr>
        <w:t xml:space="preserve"> área competent</w:t>
      </w:r>
      <w:r w:rsidR="00933D11" w:rsidRPr="00E24229">
        <w:rPr>
          <w:rFonts w:ascii="Palatino Linotype" w:eastAsia="MS Mincho" w:hAnsi="Palatino Linotype" w:cs="Times New Roman"/>
          <w:sz w:val="24"/>
          <w:szCs w:val="24"/>
          <w:lang w:eastAsia="es-ES"/>
        </w:rPr>
        <w:t>e</w:t>
      </w:r>
      <w:r w:rsidRPr="00E24229">
        <w:rPr>
          <w:rFonts w:ascii="Palatino Linotype" w:eastAsia="MS Mincho" w:hAnsi="Palatino Linotype" w:cs="Times New Roman"/>
          <w:sz w:val="24"/>
          <w:szCs w:val="24"/>
          <w:lang w:eastAsia="es-ES"/>
        </w:rPr>
        <w:t xml:space="preserve"> </w:t>
      </w:r>
      <w:r w:rsidR="00C632D6" w:rsidRPr="00E24229">
        <w:rPr>
          <w:rFonts w:ascii="Palatino Linotype" w:eastAsia="MS Mincho" w:hAnsi="Palatino Linotype" w:cs="Times New Roman"/>
          <w:sz w:val="24"/>
          <w:szCs w:val="24"/>
          <w:lang w:eastAsia="es-ES"/>
        </w:rPr>
        <w:t xml:space="preserve">que </w:t>
      </w:r>
      <w:r w:rsidR="00BC1E63" w:rsidRPr="00E24229">
        <w:rPr>
          <w:rFonts w:ascii="Palatino Linotype" w:eastAsia="MS Mincho" w:hAnsi="Palatino Linotype" w:cs="Times New Roman"/>
          <w:sz w:val="24"/>
          <w:szCs w:val="24"/>
          <w:lang w:eastAsia="es-ES"/>
        </w:rPr>
        <w:t>podría</w:t>
      </w:r>
      <w:r w:rsidRPr="00E24229">
        <w:rPr>
          <w:rFonts w:ascii="Palatino Linotype" w:eastAsia="MS Mincho" w:hAnsi="Palatino Linotype" w:cs="Times New Roman"/>
          <w:sz w:val="24"/>
          <w:szCs w:val="24"/>
          <w:lang w:eastAsia="es-ES"/>
        </w:rPr>
        <w:t xml:space="preserve"> conocer de la información requerida por el particular</w:t>
      </w:r>
      <w:r w:rsidR="0013247C" w:rsidRPr="00E24229">
        <w:rPr>
          <w:rFonts w:ascii="Palatino Linotype" w:eastAsia="MS Mincho" w:hAnsi="Palatino Linotype" w:cs="Times New Roman"/>
          <w:sz w:val="24"/>
          <w:szCs w:val="24"/>
          <w:lang w:eastAsia="es-ES"/>
        </w:rPr>
        <w:t>,</w:t>
      </w:r>
      <w:r w:rsidRPr="00E24229">
        <w:rPr>
          <w:rFonts w:ascii="Palatino Linotype" w:eastAsia="MS Mincho" w:hAnsi="Palatino Linotype" w:cs="Times New Roman"/>
          <w:sz w:val="24"/>
          <w:szCs w:val="24"/>
          <w:lang w:eastAsia="es-ES"/>
        </w:rPr>
        <w:t xml:space="preserve"> </w:t>
      </w:r>
      <w:r w:rsidR="00BC1E63" w:rsidRPr="00E24229">
        <w:rPr>
          <w:rFonts w:ascii="Palatino Linotype" w:eastAsia="MS Mincho" w:hAnsi="Palatino Linotype" w:cs="Times New Roman"/>
          <w:sz w:val="24"/>
          <w:szCs w:val="24"/>
          <w:lang w:eastAsia="es-ES"/>
        </w:rPr>
        <w:t>también lo es que</w:t>
      </w:r>
      <w:r w:rsidR="005D3606" w:rsidRPr="00E24229">
        <w:rPr>
          <w:rFonts w:ascii="Palatino Linotype" w:eastAsia="MS Mincho" w:hAnsi="Palatino Linotype" w:cs="Times New Roman"/>
          <w:sz w:val="24"/>
          <w:szCs w:val="24"/>
          <w:lang w:eastAsia="es-ES"/>
        </w:rPr>
        <w:t xml:space="preserve"> al informar</w:t>
      </w:r>
      <w:r w:rsidR="004C3C1C" w:rsidRPr="00E24229">
        <w:rPr>
          <w:rFonts w:ascii="Palatino Linotype" w:eastAsia="MS Mincho" w:hAnsi="Palatino Linotype" w:cs="Times New Roman"/>
          <w:sz w:val="24"/>
          <w:szCs w:val="24"/>
          <w:lang w:eastAsia="es-ES"/>
        </w:rPr>
        <w:t xml:space="preserve"> que </w:t>
      </w:r>
      <w:r w:rsidR="00933D11" w:rsidRPr="00E24229">
        <w:rPr>
          <w:rFonts w:ascii="Palatino Linotype" w:eastAsia="MS Mincho" w:hAnsi="Palatino Linotype" w:cs="Times New Roman"/>
          <w:sz w:val="24"/>
          <w:szCs w:val="24"/>
          <w:lang w:eastAsia="es-ES"/>
        </w:rPr>
        <w:t>no se encontró documental de gastos ejercidos con recursos obtenidos fuera del presupuesto aprobado, toda vez que todos los gastos ejercidos se encuentran dentro del presupuesto aprobado</w:t>
      </w:r>
      <w:r w:rsidR="008A0DF6" w:rsidRPr="00E24229">
        <w:rPr>
          <w:rFonts w:ascii="Palatino Linotype" w:eastAsia="MS Mincho" w:hAnsi="Palatino Linotype" w:cs="Times New Roman"/>
          <w:sz w:val="24"/>
          <w:szCs w:val="24"/>
          <w:lang w:eastAsia="es-ES"/>
        </w:rPr>
        <w:t>,</w:t>
      </w:r>
      <w:r w:rsidR="005D3606" w:rsidRPr="00E24229">
        <w:rPr>
          <w:rFonts w:ascii="Palatino Linotype" w:eastAsia="MS Mincho" w:hAnsi="Palatino Linotype" w:cs="Times New Roman"/>
          <w:sz w:val="24"/>
          <w:szCs w:val="24"/>
          <w:lang w:eastAsia="es-ES"/>
        </w:rPr>
        <w:t xml:space="preserve"> se colige que no </w:t>
      </w:r>
      <w:r w:rsidR="0013247C" w:rsidRPr="00E24229">
        <w:rPr>
          <w:rFonts w:ascii="Palatino Linotype" w:eastAsia="MS Mincho" w:hAnsi="Palatino Linotype" w:cs="Times New Roman"/>
          <w:sz w:val="24"/>
          <w:szCs w:val="24"/>
          <w:lang w:eastAsia="es-ES"/>
        </w:rPr>
        <w:t>existe</w:t>
      </w:r>
      <w:r w:rsidR="00262F00" w:rsidRPr="00E24229">
        <w:rPr>
          <w:rFonts w:ascii="Palatino Linotype" w:eastAsia="MS Mincho" w:hAnsi="Palatino Linotype" w:cs="Times New Roman"/>
          <w:sz w:val="24"/>
          <w:szCs w:val="24"/>
          <w:lang w:eastAsia="es-ES"/>
        </w:rPr>
        <w:t xml:space="preserve"> ni ha existido registro</w:t>
      </w:r>
      <w:r w:rsidR="0013247C" w:rsidRPr="00E24229">
        <w:rPr>
          <w:rFonts w:ascii="Palatino Linotype" w:eastAsia="MS Mincho" w:hAnsi="Palatino Linotype" w:cs="Times New Roman"/>
          <w:sz w:val="24"/>
          <w:szCs w:val="24"/>
          <w:lang w:eastAsia="es-ES"/>
        </w:rPr>
        <w:t xml:space="preserve"> </w:t>
      </w:r>
      <w:r w:rsidR="009B59FC" w:rsidRPr="00E24229">
        <w:rPr>
          <w:rFonts w:ascii="Palatino Linotype" w:eastAsia="MS Mincho" w:hAnsi="Palatino Linotype" w:cs="Times New Roman"/>
          <w:sz w:val="24"/>
          <w:szCs w:val="24"/>
          <w:lang w:eastAsia="es-ES"/>
        </w:rPr>
        <w:t>de la información antes señalada</w:t>
      </w:r>
      <w:r w:rsidR="00262F00" w:rsidRPr="00E24229">
        <w:rPr>
          <w:rFonts w:ascii="Palatino Linotype" w:eastAsia="MS Mincho" w:hAnsi="Palatino Linotype" w:cs="Times New Roman"/>
          <w:sz w:val="24"/>
          <w:szCs w:val="24"/>
          <w:lang w:eastAsia="es-ES"/>
        </w:rPr>
        <w:t xml:space="preserve"> y por ende</w:t>
      </w:r>
      <w:r w:rsidR="00262F00" w:rsidRPr="00E24229">
        <w:t xml:space="preserve"> </w:t>
      </w:r>
      <w:r w:rsidR="00262F00" w:rsidRPr="00E24229">
        <w:rPr>
          <w:rFonts w:ascii="Palatino Linotype" w:eastAsia="MS Mincho" w:hAnsi="Palatino Linotype" w:cs="Times New Roman"/>
          <w:sz w:val="24"/>
          <w:szCs w:val="24"/>
          <w:lang w:eastAsia="es-ES"/>
        </w:rPr>
        <w:t>no puede</w:t>
      </w:r>
      <w:r w:rsidR="00D14BFB" w:rsidRPr="00E24229">
        <w:rPr>
          <w:rFonts w:ascii="Palatino Linotype" w:eastAsia="MS Mincho" w:hAnsi="Palatino Linotype" w:cs="Times New Roman"/>
          <w:sz w:val="24"/>
          <w:szCs w:val="24"/>
          <w:lang w:eastAsia="es-ES"/>
        </w:rPr>
        <w:t>n</w:t>
      </w:r>
      <w:r w:rsidR="00262F00" w:rsidRPr="00E24229">
        <w:rPr>
          <w:rFonts w:ascii="Palatino Linotype" w:eastAsia="MS Mincho" w:hAnsi="Palatino Linotype" w:cs="Times New Roman"/>
          <w:sz w:val="24"/>
          <w:szCs w:val="24"/>
          <w:lang w:eastAsia="es-ES"/>
        </w:rPr>
        <w:t xml:space="preserve"> existir</w:t>
      </w:r>
      <w:r w:rsidR="00D14BFB" w:rsidRPr="00E24229">
        <w:rPr>
          <w:rFonts w:ascii="Palatino Linotype" w:eastAsia="MS Mincho" w:hAnsi="Palatino Linotype" w:cs="Times New Roman"/>
          <w:sz w:val="24"/>
          <w:szCs w:val="24"/>
          <w:lang w:eastAsia="es-ES"/>
        </w:rPr>
        <w:t xml:space="preserve"> los documentos requeridos por el particular.</w:t>
      </w:r>
    </w:p>
    <w:p w14:paraId="3092908C" w14:textId="77777777" w:rsidR="00BC1E63" w:rsidRPr="00E24229" w:rsidRDefault="00BC1E63" w:rsidP="00100E72">
      <w:pPr>
        <w:pStyle w:val="Sinespaciado"/>
        <w:spacing w:line="360" w:lineRule="auto"/>
        <w:jc w:val="both"/>
        <w:rPr>
          <w:rFonts w:ascii="Palatino Linotype" w:hAnsi="Palatino Linotype"/>
          <w:sz w:val="24"/>
          <w:szCs w:val="24"/>
          <w:lang w:val="es-ES_tradnl"/>
        </w:rPr>
      </w:pPr>
    </w:p>
    <w:p w14:paraId="78A0A1A1" w14:textId="3DD43630" w:rsidR="00100E72" w:rsidRPr="00E24229" w:rsidRDefault="00100E72" w:rsidP="00100E72">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A hora bien, de lo manifestado por el </w:t>
      </w:r>
      <w:r w:rsidRPr="00E24229">
        <w:rPr>
          <w:rFonts w:ascii="Palatino Linotype" w:hAnsi="Palatino Linotype"/>
          <w:b/>
          <w:sz w:val="24"/>
          <w:szCs w:val="24"/>
          <w:lang w:val="es-ES_tradnl"/>
        </w:rPr>
        <w:t>Sujeto Obligado</w:t>
      </w:r>
      <w:r w:rsidRPr="00E24229">
        <w:rPr>
          <w:rFonts w:ascii="Palatino Linotype" w:hAnsi="Palatino Linotype"/>
          <w:sz w:val="24"/>
          <w:szCs w:val="24"/>
          <w:lang w:val="es-ES_tradnl"/>
        </w:rPr>
        <w:t xml:space="preserve"> se colige que no ha generado, poseído o administrado la documentación </w:t>
      </w:r>
      <w:r w:rsidR="00262F00" w:rsidRPr="00E24229">
        <w:rPr>
          <w:rFonts w:ascii="Palatino Linotype" w:hAnsi="Palatino Linotype"/>
          <w:sz w:val="24"/>
          <w:szCs w:val="24"/>
          <w:lang w:val="es-ES_tradnl"/>
        </w:rPr>
        <w:t>solicitada</w:t>
      </w:r>
      <w:r w:rsidR="00E447BB" w:rsidRPr="00E24229">
        <w:rPr>
          <w:rFonts w:ascii="Palatino Linotype" w:hAnsi="Palatino Linotype"/>
          <w:sz w:val="24"/>
          <w:szCs w:val="24"/>
          <w:lang w:val="es-ES_tradnl"/>
        </w:rPr>
        <w:t xml:space="preserve"> </w:t>
      </w:r>
      <w:r w:rsidR="007354A6" w:rsidRPr="00E24229">
        <w:rPr>
          <w:rFonts w:ascii="Palatino Linotype" w:hAnsi="Palatino Linotype"/>
          <w:sz w:val="24"/>
          <w:szCs w:val="24"/>
          <w:lang w:val="es-ES_tradnl"/>
        </w:rPr>
        <w:t xml:space="preserve">respecto </w:t>
      </w:r>
      <w:r w:rsidR="004C3C1C" w:rsidRPr="00E24229">
        <w:rPr>
          <w:rFonts w:ascii="Palatino Linotype" w:hAnsi="Palatino Linotype"/>
          <w:sz w:val="24"/>
          <w:szCs w:val="24"/>
          <w:lang w:val="es-ES_tradnl"/>
        </w:rPr>
        <w:t>a</w:t>
      </w:r>
      <w:r w:rsidR="00C37240" w:rsidRPr="00E24229">
        <w:rPr>
          <w:rFonts w:ascii="Palatino Linotype" w:hAnsi="Palatino Linotype"/>
          <w:sz w:val="24"/>
          <w:szCs w:val="24"/>
          <w:lang w:val="es-ES_tradnl"/>
        </w:rPr>
        <w:t xml:space="preserve">l </w:t>
      </w:r>
      <w:r w:rsidR="00933D11" w:rsidRPr="00E24229">
        <w:rPr>
          <w:rFonts w:ascii="Palatino Linotype" w:hAnsi="Palatino Linotype"/>
          <w:sz w:val="24"/>
          <w:szCs w:val="24"/>
          <w:lang w:val="es-ES_tradnl"/>
        </w:rPr>
        <w:t>los documentos en donde consten los gastos ejercidos con recursos obtenidos fuera del presupuesto aprobado, provenientes de donaciones, convenios y fondos extraordinarios</w:t>
      </w:r>
      <w:r w:rsidRPr="00E24229">
        <w:rPr>
          <w:rFonts w:ascii="Palatino Linotype" w:hAnsi="Palatino Linotype"/>
          <w:sz w:val="24"/>
          <w:szCs w:val="24"/>
          <w:lang w:val="es-ES_tradnl"/>
        </w:rPr>
        <w:t xml:space="preserve">. Además, no se debe pasar por desapercibido que la naturaleza del derecho de acceso a la </w:t>
      </w:r>
      <w:r w:rsidRPr="00E24229">
        <w:rPr>
          <w:rFonts w:ascii="Palatino Linotype" w:hAnsi="Palatino Linotype"/>
          <w:sz w:val="24"/>
          <w:szCs w:val="24"/>
          <w:lang w:val="es-ES_tradnl"/>
        </w:rPr>
        <w:lastRenderedPageBreak/>
        <w:t xml:space="preserve">información es de índole documental, y por tanto se delimita a los documentos que los sujetos obligados generen, administren o posean, conforme </w:t>
      </w:r>
      <w:r w:rsidRPr="00E24229">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E24229"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E24229"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E24229">
        <w:rPr>
          <w:rFonts w:ascii="Palatino Linotype" w:eastAsia="Calibri" w:hAnsi="Palatino Linotype" w:cs="Arial"/>
          <w:i/>
          <w:szCs w:val="24"/>
        </w:rPr>
        <w:t>“</w:t>
      </w:r>
      <w:r w:rsidRPr="00E24229">
        <w:rPr>
          <w:rFonts w:ascii="Palatino Linotype" w:eastAsia="Calibri" w:hAnsi="Palatino Linotype" w:cs="Arial"/>
          <w:b/>
          <w:i/>
          <w:szCs w:val="24"/>
        </w:rPr>
        <w:t>Artículo 24.</w:t>
      </w:r>
      <w:r w:rsidRPr="00E24229">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E24229"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E24229"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E24229">
        <w:rPr>
          <w:rFonts w:ascii="Palatino Linotype" w:eastAsia="Calibri" w:hAnsi="Palatino Linotype" w:cs="Arial"/>
          <w:i/>
          <w:szCs w:val="24"/>
        </w:rPr>
        <w:t>[…]</w:t>
      </w:r>
    </w:p>
    <w:p w14:paraId="35EF17F6" w14:textId="77777777" w:rsidR="00100E72" w:rsidRPr="00E24229"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E24229">
        <w:rPr>
          <w:rFonts w:ascii="Palatino Linotype" w:eastAsia="Calibri" w:hAnsi="Palatino Linotype" w:cs="Arial"/>
          <w:b/>
          <w:i/>
          <w:szCs w:val="24"/>
        </w:rPr>
        <w:t>Los sujetos obligados solo proporcionarán la información pública que generen, administren o posean en el ejercicio de sus atribuciones</w:t>
      </w:r>
      <w:r w:rsidRPr="00E24229">
        <w:rPr>
          <w:rFonts w:ascii="Palatino Linotype" w:eastAsia="Calibri" w:hAnsi="Palatino Linotype" w:cs="Times New Roman"/>
          <w:szCs w:val="24"/>
        </w:rPr>
        <w:t>.”</w:t>
      </w:r>
    </w:p>
    <w:p w14:paraId="3076FCEE" w14:textId="77777777" w:rsidR="00100E72" w:rsidRPr="00E24229"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E24229"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E24229" w:rsidRDefault="00100E72" w:rsidP="00100E72">
      <w:pPr>
        <w:spacing w:after="0" w:line="360" w:lineRule="auto"/>
        <w:jc w:val="both"/>
        <w:rPr>
          <w:rFonts w:ascii="Palatino Linotype" w:hAnsi="Palatino Linotype" w:cs="Arial"/>
          <w:sz w:val="24"/>
          <w:szCs w:val="24"/>
          <w:lang w:eastAsia="es-MX"/>
        </w:rPr>
      </w:pPr>
      <w:r w:rsidRPr="00E24229">
        <w:rPr>
          <w:rFonts w:ascii="Palatino Linotype" w:eastAsia="Calibri" w:hAnsi="Palatino Linotype" w:cs="Times New Roman"/>
          <w:sz w:val="24"/>
        </w:rPr>
        <w:t xml:space="preserve">Por lo que </w:t>
      </w:r>
      <w:r w:rsidRPr="00E24229">
        <w:rPr>
          <w:rFonts w:ascii="Palatino Linotype" w:eastAsia="Calibri" w:hAnsi="Palatino Linotype" w:cs="Arial"/>
          <w:sz w:val="24"/>
          <w:szCs w:val="24"/>
        </w:rPr>
        <w:t xml:space="preserve">se entiende que, </w:t>
      </w:r>
      <w:r w:rsidRPr="00E24229">
        <w:rPr>
          <w:rFonts w:ascii="Palatino Linotype" w:eastAsia="Calibri" w:hAnsi="Palatino Linotype" w:cs="Arial"/>
          <w:bCs/>
          <w:sz w:val="24"/>
          <w:szCs w:val="24"/>
        </w:rPr>
        <w:t>el</w:t>
      </w:r>
      <w:r w:rsidRPr="00E24229">
        <w:rPr>
          <w:rFonts w:ascii="Palatino Linotype" w:eastAsia="Calibri" w:hAnsi="Palatino Linotype" w:cs="Arial"/>
          <w:b/>
          <w:sz w:val="24"/>
          <w:szCs w:val="24"/>
        </w:rPr>
        <w:t xml:space="preserve"> Sujeto Obligado</w:t>
      </w:r>
      <w:r w:rsidRPr="00E24229">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E24229">
        <w:rPr>
          <w:rFonts w:ascii="Palatino Linotype" w:hAnsi="Palatino Linotype" w:cs="Arial"/>
          <w:sz w:val="24"/>
          <w:szCs w:val="24"/>
          <w:lang w:eastAsia="es-MX"/>
        </w:rPr>
        <w:t xml:space="preserve">lo que </w:t>
      </w:r>
      <w:r w:rsidRPr="00E24229">
        <w:rPr>
          <w:rFonts w:ascii="Palatino Linotype" w:hAnsi="Palatino Linotype" w:cs="Arial"/>
          <w:i/>
          <w:sz w:val="24"/>
          <w:szCs w:val="24"/>
          <w:lang w:eastAsia="es-MX"/>
        </w:rPr>
        <w:t>a contrario sensu</w:t>
      </w:r>
      <w:r w:rsidRPr="00E24229">
        <w:rPr>
          <w:rFonts w:ascii="Palatino Linotype" w:hAnsi="Palatino Linotype" w:cs="Arial"/>
          <w:sz w:val="24"/>
          <w:szCs w:val="24"/>
          <w:lang w:eastAsia="es-MX"/>
        </w:rPr>
        <w:t xml:space="preserve"> significa que </w:t>
      </w:r>
      <w:r w:rsidRPr="00E24229">
        <w:rPr>
          <w:rFonts w:ascii="Palatino Linotype" w:hAnsi="Palatino Linotype" w:cs="Arial"/>
          <w:b/>
          <w:bCs/>
          <w:sz w:val="24"/>
          <w:szCs w:val="24"/>
          <w:lang w:eastAsia="es-MX"/>
        </w:rPr>
        <w:t>no se está obligado a proporcionar lo que no obre en sus archivos</w:t>
      </w:r>
      <w:r w:rsidRPr="00E24229">
        <w:rPr>
          <w:rFonts w:ascii="Palatino Linotype" w:hAnsi="Palatino Linotype" w:cs="Arial"/>
          <w:sz w:val="24"/>
          <w:szCs w:val="24"/>
          <w:lang w:eastAsia="es-MX"/>
        </w:rPr>
        <w:t>, mismo que se transcribe a continuación:</w:t>
      </w:r>
    </w:p>
    <w:p w14:paraId="23C0050D" w14:textId="77777777" w:rsidR="00100E72" w:rsidRPr="00E24229"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E24229" w:rsidRDefault="00100E72" w:rsidP="00100E72">
      <w:pPr>
        <w:spacing w:after="0" w:line="240" w:lineRule="auto"/>
        <w:ind w:left="851" w:right="851"/>
        <w:jc w:val="both"/>
        <w:rPr>
          <w:rFonts w:ascii="Palatino Linotype" w:hAnsi="Palatino Linotype" w:cs="Arial"/>
          <w:i/>
          <w:lang w:eastAsia="es-MX"/>
        </w:rPr>
      </w:pPr>
      <w:r w:rsidRPr="00E24229">
        <w:rPr>
          <w:rFonts w:ascii="Palatino Linotype" w:hAnsi="Palatino Linotype" w:cs="Arial"/>
          <w:b/>
          <w:i/>
          <w:lang w:eastAsia="es-MX"/>
        </w:rPr>
        <w:t>Artículo 12.</w:t>
      </w:r>
      <w:r w:rsidRPr="00E24229">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E24229"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E24229" w:rsidRDefault="00100E72" w:rsidP="007354A6">
      <w:pPr>
        <w:spacing w:after="0" w:line="240" w:lineRule="auto"/>
        <w:ind w:left="851" w:right="851"/>
        <w:jc w:val="both"/>
        <w:rPr>
          <w:rFonts w:ascii="Palatino Linotype" w:hAnsi="Palatino Linotype" w:cs="Arial"/>
          <w:i/>
          <w:lang w:eastAsia="es-MX"/>
        </w:rPr>
      </w:pPr>
      <w:r w:rsidRPr="00E24229">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24229">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E24229"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E24229"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E24229">
        <w:rPr>
          <w:rFonts w:ascii="Palatino Linotype" w:eastAsia="Calibri" w:hAnsi="Palatino Linotype" w:cs="Arial"/>
          <w:sz w:val="24"/>
          <w:szCs w:val="24"/>
        </w:rPr>
        <w:t xml:space="preserve">En tal tesitura, la respuesta emitida por </w:t>
      </w:r>
      <w:r w:rsidRPr="00E24229">
        <w:rPr>
          <w:rFonts w:ascii="Palatino Linotype" w:eastAsia="Calibri" w:hAnsi="Palatino Linotype" w:cs="Arial"/>
          <w:b/>
          <w:sz w:val="24"/>
          <w:szCs w:val="24"/>
        </w:rPr>
        <w:t>el Sujeto Obligado</w:t>
      </w:r>
      <w:r w:rsidRPr="00E24229">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E24229"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E24229" w:rsidRDefault="00100E72" w:rsidP="00100E72">
      <w:pPr>
        <w:spacing w:after="0" w:line="360" w:lineRule="auto"/>
        <w:jc w:val="both"/>
        <w:rPr>
          <w:rFonts w:ascii="Palatino Linotype" w:hAnsi="Palatino Linotype" w:cs="Arial"/>
          <w:sz w:val="24"/>
          <w:szCs w:val="24"/>
          <w:lang w:eastAsia="es-MX"/>
        </w:rPr>
      </w:pPr>
      <w:r w:rsidRPr="00E24229">
        <w:rPr>
          <w:rFonts w:ascii="Palatino Linotype" w:hAnsi="Palatino Linotype"/>
          <w:sz w:val="24"/>
          <w:szCs w:val="24"/>
        </w:rPr>
        <w:t xml:space="preserve">En ese tenor, se tiene que el </w:t>
      </w:r>
      <w:r w:rsidRPr="00E24229">
        <w:rPr>
          <w:rFonts w:ascii="Palatino Linotype" w:hAnsi="Palatino Linotype"/>
          <w:b/>
          <w:sz w:val="24"/>
          <w:szCs w:val="24"/>
        </w:rPr>
        <w:t>Sujeto Obligado</w:t>
      </w:r>
      <w:r w:rsidRPr="00E24229">
        <w:rPr>
          <w:rFonts w:ascii="Palatino Linotype" w:hAnsi="Palatino Linotype"/>
          <w:sz w:val="24"/>
          <w:szCs w:val="24"/>
        </w:rPr>
        <w:t xml:space="preserve"> no puede presentar la información solicitada por </w:t>
      </w:r>
      <w:r w:rsidR="00B075E3" w:rsidRPr="00E24229">
        <w:rPr>
          <w:rFonts w:ascii="Palatino Linotype" w:hAnsi="Palatino Linotype"/>
          <w:sz w:val="24"/>
          <w:szCs w:val="24"/>
        </w:rPr>
        <w:t>el</w:t>
      </w:r>
      <w:r w:rsidRPr="00E24229">
        <w:rPr>
          <w:rFonts w:ascii="Palatino Linotype" w:hAnsi="Palatino Linotype"/>
          <w:sz w:val="24"/>
          <w:szCs w:val="24"/>
        </w:rPr>
        <w:t xml:space="preserve"> </w:t>
      </w:r>
      <w:r w:rsidRPr="00E24229">
        <w:rPr>
          <w:rFonts w:ascii="Palatino Linotype" w:hAnsi="Palatino Linotype"/>
          <w:b/>
          <w:sz w:val="24"/>
          <w:szCs w:val="24"/>
        </w:rPr>
        <w:t>Recurrente</w:t>
      </w:r>
      <w:r w:rsidRPr="00E24229">
        <w:rPr>
          <w:rFonts w:ascii="Palatino Linotype" w:hAnsi="Palatino Linotype"/>
          <w:sz w:val="24"/>
          <w:szCs w:val="24"/>
        </w:rPr>
        <w:t xml:space="preserve">, toda vez que no existe, pues esta no ha sido generada, administrada o poseída por el </w:t>
      </w:r>
      <w:r w:rsidRPr="00E24229">
        <w:rPr>
          <w:rFonts w:ascii="Palatino Linotype" w:hAnsi="Palatino Linotype"/>
          <w:b/>
          <w:sz w:val="24"/>
          <w:szCs w:val="24"/>
        </w:rPr>
        <w:t>Sujeto Obligado</w:t>
      </w:r>
      <w:r w:rsidRPr="00E24229">
        <w:rPr>
          <w:rFonts w:ascii="Palatino Linotype" w:hAnsi="Palatino Linotype"/>
          <w:sz w:val="24"/>
          <w:szCs w:val="24"/>
        </w:rPr>
        <w:t xml:space="preserve"> en ejercicio de sus atribuciones. </w:t>
      </w:r>
      <w:r w:rsidRPr="00E24229">
        <w:rPr>
          <w:rFonts w:ascii="Palatino Linotype" w:hAnsi="Palatino Linotype" w:cs="Arial"/>
          <w:sz w:val="24"/>
          <w:szCs w:val="24"/>
          <w:lang w:eastAsia="es-MX"/>
        </w:rPr>
        <w:t xml:space="preserve">Por lo </w:t>
      </w:r>
      <w:r w:rsidR="00502DDC" w:rsidRPr="00E24229">
        <w:rPr>
          <w:rFonts w:ascii="Palatino Linotype" w:hAnsi="Palatino Linotype" w:cs="Arial"/>
          <w:sz w:val="24"/>
          <w:szCs w:val="24"/>
          <w:lang w:eastAsia="es-MX"/>
        </w:rPr>
        <w:t>tanto,</w:t>
      </w:r>
      <w:r w:rsidRPr="00E24229">
        <w:rPr>
          <w:rFonts w:ascii="Palatino Linotype" w:hAnsi="Palatino Linotype" w:cs="Arial"/>
          <w:sz w:val="24"/>
          <w:szCs w:val="24"/>
          <w:lang w:eastAsia="es-MX"/>
        </w:rPr>
        <w:t xml:space="preserve"> resulta evidente que el </w:t>
      </w:r>
      <w:r w:rsidRPr="00E24229">
        <w:rPr>
          <w:rFonts w:ascii="Palatino Linotype" w:hAnsi="Palatino Linotype" w:cs="Arial"/>
          <w:b/>
          <w:sz w:val="24"/>
          <w:szCs w:val="24"/>
          <w:lang w:eastAsia="es-MX"/>
        </w:rPr>
        <w:t>Sujeto Obligado</w:t>
      </w:r>
      <w:r w:rsidRPr="00E24229">
        <w:rPr>
          <w:rFonts w:ascii="Palatino Linotype" w:hAnsi="Palatino Linotype" w:cs="Arial"/>
          <w:sz w:val="24"/>
          <w:szCs w:val="24"/>
          <w:lang w:eastAsia="es-MX"/>
        </w:rPr>
        <w:t xml:space="preserve"> no generó, administró o poseyó dicha información en los términos referidos por </w:t>
      </w:r>
      <w:r w:rsidR="00262F00" w:rsidRPr="00E24229">
        <w:rPr>
          <w:rFonts w:ascii="Palatino Linotype" w:hAnsi="Palatino Linotype" w:cs="Arial"/>
          <w:sz w:val="24"/>
          <w:szCs w:val="24"/>
          <w:lang w:eastAsia="es-MX"/>
        </w:rPr>
        <w:t>el</w:t>
      </w:r>
      <w:r w:rsidRPr="00E24229">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E24229">
        <w:rPr>
          <w:rFonts w:ascii="Palatino Linotype" w:hAnsi="Palatino Linotype" w:cs="Arial"/>
          <w:b/>
          <w:sz w:val="24"/>
          <w:szCs w:val="24"/>
          <w:lang w:eastAsia="es-MX"/>
        </w:rPr>
        <w:t>Sujeto Obligado</w:t>
      </w:r>
      <w:r w:rsidRPr="00E24229">
        <w:rPr>
          <w:rFonts w:ascii="Palatino Linotype" w:hAnsi="Palatino Linotype" w:cs="Arial"/>
          <w:sz w:val="24"/>
          <w:szCs w:val="24"/>
          <w:lang w:eastAsia="es-MX"/>
        </w:rPr>
        <w:t>, ya que no puede probarse por ser lógica y materialmente imposible.</w:t>
      </w:r>
    </w:p>
    <w:p w14:paraId="06C062D7" w14:textId="77777777" w:rsidR="00035872" w:rsidRPr="00E24229"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E24229" w:rsidRDefault="00100E72" w:rsidP="00100E72">
      <w:pPr>
        <w:spacing w:after="0" w:line="360" w:lineRule="auto"/>
        <w:jc w:val="both"/>
        <w:rPr>
          <w:rFonts w:ascii="Palatino Linotype" w:hAnsi="Palatino Linotype" w:cs="Arial"/>
          <w:sz w:val="24"/>
          <w:szCs w:val="24"/>
          <w:lang w:eastAsia="es-MX"/>
        </w:rPr>
      </w:pPr>
      <w:r w:rsidRPr="00E24229">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E24229" w:rsidRDefault="007354A6" w:rsidP="00100E72">
      <w:pPr>
        <w:spacing w:after="0" w:line="360" w:lineRule="auto"/>
        <w:jc w:val="both"/>
        <w:rPr>
          <w:rFonts w:ascii="Palatino Linotype" w:hAnsi="Palatino Linotype" w:cs="Arial"/>
          <w:sz w:val="24"/>
          <w:szCs w:val="24"/>
          <w:lang w:eastAsia="es-MX"/>
        </w:rPr>
      </w:pPr>
    </w:p>
    <w:p w14:paraId="3A842D20" w14:textId="77777777" w:rsidR="00100E72" w:rsidRPr="00E24229" w:rsidRDefault="00100E72" w:rsidP="00100E72">
      <w:pPr>
        <w:spacing w:after="0" w:line="360" w:lineRule="auto"/>
        <w:jc w:val="both"/>
        <w:rPr>
          <w:rFonts w:ascii="Palatino Linotype" w:hAnsi="Palatino Linotype" w:cs="Arial"/>
          <w:sz w:val="24"/>
          <w:szCs w:val="24"/>
          <w:lang w:eastAsia="es-MX"/>
        </w:rPr>
      </w:pPr>
      <w:r w:rsidRPr="00E24229">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Pr="00E24229"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E24229" w:rsidRDefault="00100E72" w:rsidP="00100E72">
      <w:pPr>
        <w:spacing w:after="0" w:line="240" w:lineRule="auto"/>
        <w:ind w:left="567" w:right="567"/>
        <w:jc w:val="both"/>
        <w:rPr>
          <w:rFonts w:ascii="Palatino Linotype" w:hAnsi="Palatino Linotype" w:cs="Arial"/>
          <w:i/>
          <w:sz w:val="24"/>
          <w:szCs w:val="24"/>
          <w:lang w:eastAsia="es-MX"/>
        </w:rPr>
      </w:pPr>
      <w:r w:rsidRPr="00E24229">
        <w:rPr>
          <w:rFonts w:ascii="Palatino Linotype" w:hAnsi="Palatino Linotype" w:cs="Arial"/>
          <w:b/>
          <w:i/>
          <w:sz w:val="24"/>
          <w:szCs w:val="24"/>
          <w:lang w:eastAsia="es-MX"/>
        </w:rPr>
        <w:t>HECHOS NEGATIVOS, NO SON SUSCEPTIBLES DE DEMOSTRACIÓN</w:t>
      </w:r>
      <w:r w:rsidRPr="00E24229">
        <w:rPr>
          <w:rFonts w:ascii="Palatino Linotype" w:hAnsi="Palatino Linotype" w:cs="Arial"/>
          <w:i/>
          <w:sz w:val="24"/>
          <w:szCs w:val="24"/>
          <w:lang w:eastAsia="es-MX"/>
        </w:rPr>
        <w:t xml:space="preserve">. </w:t>
      </w:r>
    </w:p>
    <w:p w14:paraId="017A0ABC" w14:textId="77777777" w:rsidR="00100E72" w:rsidRPr="00E24229" w:rsidRDefault="00100E72" w:rsidP="00100E72">
      <w:pPr>
        <w:spacing w:after="0" w:line="240" w:lineRule="auto"/>
        <w:ind w:left="567" w:right="567"/>
        <w:jc w:val="both"/>
        <w:rPr>
          <w:rFonts w:ascii="Palatino Linotype" w:hAnsi="Palatino Linotype" w:cs="Arial"/>
          <w:i/>
          <w:sz w:val="24"/>
          <w:szCs w:val="24"/>
          <w:lang w:eastAsia="es-MX"/>
        </w:rPr>
      </w:pPr>
      <w:r w:rsidRPr="00E24229">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41FA7DF4" w14:textId="77777777" w:rsidR="00100E72" w:rsidRPr="00E24229"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E24229" w:rsidRDefault="00100E72" w:rsidP="00100E72">
      <w:pPr>
        <w:spacing w:after="0" w:line="240" w:lineRule="auto"/>
        <w:ind w:left="567" w:right="567"/>
        <w:jc w:val="both"/>
        <w:rPr>
          <w:rFonts w:ascii="Palatino Linotype" w:hAnsi="Palatino Linotype" w:cs="Arial"/>
          <w:i/>
          <w:sz w:val="24"/>
          <w:szCs w:val="24"/>
          <w:lang w:eastAsia="es-MX"/>
        </w:rPr>
      </w:pPr>
      <w:r w:rsidRPr="00E24229">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E24229" w:rsidRDefault="00100E72" w:rsidP="00100E72">
      <w:pPr>
        <w:pStyle w:val="Sinespaciado"/>
        <w:spacing w:line="360" w:lineRule="auto"/>
        <w:jc w:val="both"/>
        <w:rPr>
          <w:rFonts w:ascii="Palatino Linotype" w:hAnsi="Palatino Linotype"/>
          <w:sz w:val="24"/>
          <w:szCs w:val="24"/>
          <w:lang w:val="es-ES_tradnl"/>
        </w:rPr>
      </w:pPr>
    </w:p>
    <w:p w14:paraId="6D2A4656" w14:textId="1D6D5718" w:rsidR="00100E72" w:rsidRPr="00E24229" w:rsidRDefault="00100E72" w:rsidP="00684482">
      <w:pPr>
        <w:tabs>
          <w:tab w:val="left" w:pos="709"/>
        </w:tabs>
        <w:spacing w:after="0" w:line="360" w:lineRule="auto"/>
        <w:jc w:val="both"/>
        <w:rPr>
          <w:rFonts w:ascii="Palatino Linotype" w:eastAsia="Calibri" w:hAnsi="Palatino Linotype" w:cs="Times New Roman"/>
          <w:sz w:val="24"/>
          <w:szCs w:val="24"/>
        </w:rPr>
      </w:pPr>
      <w:r w:rsidRPr="00E24229">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E24229">
        <w:rPr>
          <w:rFonts w:ascii="Palatino Linotype" w:eastAsia="Calibri" w:hAnsi="Palatino Linotype" w:cs="Times New Roman"/>
          <w:b/>
          <w:sz w:val="24"/>
          <w:szCs w:val="24"/>
        </w:rPr>
        <w:t>Sujeto Obligado</w:t>
      </w:r>
      <w:r w:rsidRPr="00E24229">
        <w:rPr>
          <w:rFonts w:ascii="Palatino Linotype" w:eastAsia="Calibri" w:hAnsi="Palatino Linotype" w:cs="Times New Roman"/>
          <w:sz w:val="24"/>
          <w:szCs w:val="24"/>
        </w:rPr>
        <w:t xml:space="preserve"> </w:t>
      </w:r>
      <w:r w:rsidR="00933D11" w:rsidRPr="00E24229">
        <w:rPr>
          <w:rFonts w:ascii="Palatino Linotype" w:eastAsia="Calibri" w:hAnsi="Palatino Linotype" w:cs="Times New Roman"/>
          <w:sz w:val="24"/>
          <w:szCs w:val="24"/>
        </w:rPr>
        <w:t>y,</w:t>
      </w:r>
      <w:r w:rsidRPr="00E24229">
        <w:rPr>
          <w:rFonts w:ascii="Palatino Linotype" w:eastAsia="Calibri" w:hAnsi="Palatino Linotype" w:cs="Times New Roman"/>
          <w:sz w:val="24"/>
          <w:szCs w:val="24"/>
        </w:rPr>
        <w:t xml:space="preserve"> en conclusión, la información no podría obrar en los archivos del Sujeto Obligado si esta no fue generada.</w:t>
      </w:r>
    </w:p>
    <w:p w14:paraId="0AD828B4" w14:textId="77777777" w:rsidR="00615E13" w:rsidRPr="00E24229"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E24229" w:rsidRDefault="00615E13" w:rsidP="00684482">
      <w:pPr>
        <w:spacing w:after="0" w:line="360" w:lineRule="auto"/>
        <w:jc w:val="both"/>
        <w:rPr>
          <w:rFonts w:ascii="Palatino Linotype" w:eastAsia="Calibri" w:hAnsi="Palatino Linotype" w:cs="Arial"/>
          <w:sz w:val="24"/>
        </w:rPr>
      </w:pPr>
      <w:r w:rsidRPr="00E24229">
        <w:rPr>
          <w:rFonts w:ascii="Palatino Linotype" w:eastAsia="Calibri" w:hAnsi="Palatino Linotype" w:cs="Times New Roman"/>
          <w:sz w:val="24"/>
        </w:rPr>
        <w:t>En ese sentido, es oportuno remitirnos</w:t>
      </w:r>
      <w:r w:rsidR="00100E72" w:rsidRPr="00E24229">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E24229">
        <w:rPr>
          <w:rFonts w:ascii="Palatino Linotype" w:eastAsia="Calibri" w:hAnsi="Palatino Linotype" w:cs="Times New Roman"/>
          <w:sz w:val="24"/>
        </w:rPr>
        <w:t>en sus artículos 3, 4 y 12 citados con anterioridad</w:t>
      </w:r>
      <w:r w:rsidR="00100E72" w:rsidRPr="00E24229">
        <w:rPr>
          <w:rFonts w:ascii="Palatino Linotype" w:eastAsia="Calibri" w:hAnsi="Palatino Linotype" w:cs="Arial"/>
          <w:sz w:val="24"/>
        </w:rPr>
        <w:t>,</w:t>
      </w:r>
      <w:r w:rsidR="007D065D" w:rsidRPr="00E24229">
        <w:rPr>
          <w:rFonts w:ascii="Palatino Linotype" w:eastAsia="Calibri" w:hAnsi="Palatino Linotype" w:cs="Arial"/>
          <w:sz w:val="24"/>
        </w:rPr>
        <w:t xml:space="preserve"> de los cuales</w:t>
      </w:r>
      <w:r w:rsidR="00100E72" w:rsidRPr="00E24229">
        <w:rPr>
          <w:rFonts w:ascii="Palatino Linotype" w:eastAsia="Calibri" w:hAnsi="Palatino Linotype" w:cs="Arial"/>
          <w:sz w:val="24"/>
        </w:rPr>
        <w:t xml:space="preserve"> se desprende que </w:t>
      </w:r>
      <w:r w:rsidR="00100E72" w:rsidRPr="00E24229">
        <w:rPr>
          <w:rFonts w:ascii="Palatino Linotype" w:eastAsia="Calibri" w:hAnsi="Palatino Linotype" w:cs="Arial"/>
          <w:sz w:val="24"/>
          <w:u w:val="single"/>
        </w:rPr>
        <w:t>la información pública es la contenida en los documentos que los Sujetos Obligados generan en ejercicio de sus atribuciones</w:t>
      </w:r>
      <w:r w:rsidR="00100E72" w:rsidRPr="00E24229">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E24229" w:rsidRDefault="004C4F5F" w:rsidP="00684482">
      <w:pPr>
        <w:spacing w:after="0" w:line="360" w:lineRule="auto"/>
        <w:jc w:val="both"/>
        <w:rPr>
          <w:rFonts w:ascii="Palatino Linotype" w:eastAsia="Calibri" w:hAnsi="Palatino Linotype" w:cs="Arial"/>
          <w:sz w:val="24"/>
        </w:rPr>
      </w:pPr>
    </w:p>
    <w:p w14:paraId="1A1CD219" w14:textId="0680C8A1" w:rsidR="00100E72" w:rsidRPr="00E24229" w:rsidRDefault="00100E72" w:rsidP="00684482">
      <w:pPr>
        <w:spacing w:after="0" w:line="360" w:lineRule="auto"/>
        <w:jc w:val="both"/>
        <w:rPr>
          <w:rFonts w:ascii="Palatino Linotype" w:eastAsia="Calibri" w:hAnsi="Palatino Linotype" w:cs="Arial"/>
          <w:sz w:val="24"/>
        </w:rPr>
      </w:pPr>
      <w:r w:rsidRPr="00E24229">
        <w:rPr>
          <w:rFonts w:ascii="Palatino Linotype" w:eastAsia="Calibri" w:hAnsi="Palatino Linotype" w:cs="Arial"/>
          <w:sz w:val="24"/>
        </w:rPr>
        <w:t>Así también, se dispone que</w:t>
      </w:r>
      <w:r w:rsidRPr="00E24229">
        <w:rPr>
          <w:rFonts w:ascii="Palatino Linotype" w:eastAsia="Calibri" w:hAnsi="Palatino Linotype" w:cs="Times New Roman"/>
          <w:sz w:val="24"/>
        </w:rPr>
        <w:t xml:space="preserve"> </w:t>
      </w:r>
      <w:r w:rsidRPr="00E24229">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E24229" w:rsidRDefault="00684482" w:rsidP="00684482">
      <w:pPr>
        <w:spacing w:after="0" w:line="360" w:lineRule="auto"/>
        <w:jc w:val="both"/>
        <w:rPr>
          <w:rFonts w:ascii="Palatino Linotype" w:eastAsia="Calibri" w:hAnsi="Palatino Linotype" w:cs="Arial"/>
          <w:sz w:val="24"/>
        </w:rPr>
      </w:pPr>
    </w:p>
    <w:p w14:paraId="5EB4B6B6" w14:textId="77777777" w:rsidR="00100E72" w:rsidRPr="00E24229" w:rsidRDefault="00100E72" w:rsidP="00684482">
      <w:pPr>
        <w:spacing w:after="0" w:line="360" w:lineRule="auto"/>
        <w:jc w:val="both"/>
        <w:rPr>
          <w:rFonts w:ascii="Palatino Linotype" w:eastAsia="Calibri" w:hAnsi="Palatino Linotype" w:cs="Arial"/>
          <w:sz w:val="24"/>
        </w:rPr>
      </w:pPr>
      <w:r w:rsidRPr="00E24229">
        <w:rPr>
          <w:rFonts w:ascii="Palatino Linotype" w:eastAsia="Calibri" w:hAnsi="Palatino Linotype" w:cs="Arial"/>
          <w:sz w:val="24"/>
        </w:rPr>
        <w:t xml:space="preserve">En este contexto, </w:t>
      </w:r>
      <w:r w:rsidRPr="00E24229">
        <w:rPr>
          <w:rFonts w:ascii="Palatino Linotype" w:eastAsia="Calibri" w:hAnsi="Palatino Linotype" w:cs="Arial"/>
          <w:sz w:val="24"/>
          <w:lang w:eastAsia="es-MX"/>
        </w:rPr>
        <w:t xml:space="preserve">el </w:t>
      </w:r>
      <w:r w:rsidRPr="00E24229">
        <w:rPr>
          <w:rFonts w:ascii="Palatino Linotype" w:eastAsia="Calibri" w:hAnsi="Palatino Linotype" w:cs="Arial"/>
          <w:b/>
          <w:sz w:val="24"/>
          <w:lang w:eastAsia="es-MX"/>
        </w:rPr>
        <w:t>Sujeto Obligado</w:t>
      </w:r>
      <w:r w:rsidRPr="00E24229">
        <w:rPr>
          <w:rFonts w:ascii="Palatino Linotype" w:eastAsia="Calibri" w:hAnsi="Palatino Linotype" w:cs="Arial"/>
          <w:sz w:val="24"/>
        </w:rPr>
        <w:t xml:space="preserve"> no está obligado a generar documento </w:t>
      </w:r>
      <w:r w:rsidRPr="00E24229">
        <w:rPr>
          <w:rFonts w:ascii="Palatino Linotype" w:eastAsia="Calibri" w:hAnsi="Palatino Linotype" w:cs="Arial"/>
          <w:b/>
          <w:i/>
          <w:sz w:val="24"/>
        </w:rPr>
        <w:t>ad hoc</w:t>
      </w:r>
      <w:r w:rsidRPr="00E24229">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24229"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E24229" w:rsidRDefault="00100E72" w:rsidP="00100E72">
      <w:pPr>
        <w:spacing w:line="360" w:lineRule="auto"/>
        <w:jc w:val="both"/>
        <w:rPr>
          <w:rFonts w:ascii="Palatino Linotype" w:eastAsia="Calibri" w:hAnsi="Palatino Linotype" w:cs="Times New Roman"/>
          <w:b/>
          <w:bCs/>
          <w:color w:val="000000"/>
          <w:sz w:val="24"/>
        </w:rPr>
      </w:pPr>
      <w:r w:rsidRPr="00E24229">
        <w:rPr>
          <w:rFonts w:ascii="Palatino Linotype" w:eastAsia="Calibri" w:hAnsi="Palatino Linotype" w:cs="Arial"/>
          <w:color w:val="000000"/>
          <w:sz w:val="24"/>
        </w:rPr>
        <w:t xml:space="preserve">Como apoyo a lo anterior, es aplicable el Criterio 03-17, emitido por </w:t>
      </w:r>
      <w:r w:rsidRPr="00E24229">
        <w:rPr>
          <w:rFonts w:ascii="Palatino Linotype" w:eastAsia="Arial Unicode MS" w:hAnsi="Palatino Linotype" w:cs="Arial"/>
          <w:color w:val="000000"/>
          <w:sz w:val="24"/>
        </w:rPr>
        <w:t>el</w:t>
      </w:r>
      <w:r w:rsidR="004C3C1C" w:rsidRPr="00E24229">
        <w:rPr>
          <w:rFonts w:ascii="Palatino Linotype" w:eastAsia="Arial Unicode MS" w:hAnsi="Palatino Linotype" w:cs="Arial"/>
          <w:color w:val="000000"/>
          <w:sz w:val="24"/>
        </w:rPr>
        <w:t xml:space="preserve"> entonces</w:t>
      </w:r>
      <w:r w:rsidRPr="00E24229">
        <w:rPr>
          <w:rFonts w:ascii="Palatino Linotype" w:eastAsia="Arial Unicode MS" w:hAnsi="Palatino Linotype" w:cs="Arial"/>
          <w:color w:val="000000"/>
          <w:sz w:val="24"/>
        </w:rPr>
        <w:t xml:space="preserve"> Instituto Nacional de Transparencia, Acceso a la Información y Protección de Datos Personales,</w:t>
      </w:r>
      <w:r w:rsidRPr="00E24229">
        <w:rPr>
          <w:rFonts w:ascii="Palatino Linotype" w:eastAsia="Calibri" w:hAnsi="Palatino Linotype" w:cs="Times New Roman"/>
          <w:bCs/>
          <w:color w:val="000000"/>
          <w:sz w:val="24"/>
        </w:rPr>
        <w:t xml:space="preserve"> que dice:</w:t>
      </w:r>
      <w:r w:rsidRPr="00E24229">
        <w:rPr>
          <w:rFonts w:ascii="Palatino Linotype" w:eastAsia="Calibri" w:hAnsi="Palatino Linotype" w:cs="Times New Roman"/>
          <w:b/>
          <w:bCs/>
          <w:color w:val="000000"/>
          <w:sz w:val="24"/>
        </w:rPr>
        <w:t xml:space="preserve"> </w:t>
      </w:r>
    </w:p>
    <w:p w14:paraId="7FA13293" w14:textId="77777777" w:rsidR="00100E72" w:rsidRPr="00E24229"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24229" w:rsidRDefault="00100E72" w:rsidP="00100E72">
      <w:pPr>
        <w:spacing w:line="256" w:lineRule="auto"/>
        <w:ind w:left="851" w:right="901"/>
        <w:jc w:val="both"/>
        <w:rPr>
          <w:rFonts w:ascii="Palatino Linotype" w:eastAsia="Calibri" w:hAnsi="Palatino Linotype" w:cs="Arial"/>
          <w:i/>
          <w:color w:val="000000"/>
        </w:rPr>
      </w:pPr>
      <w:r w:rsidRPr="00E24229">
        <w:rPr>
          <w:rFonts w:ascii="Palatino Linotype" w:eastAsia="Calibri" w:hAnsi="Palatino Linotype" w:cs="Arial"/>
          <w:i/>
          <w:color w:val="000000"/>
        </w:rPr>
        <w:t>“</w:t>
      </w:r>
      <w:r w:rsidRPr="00E24229">
        <w:rPr>
          <w:rFonts w:ascii="Palatino Linotype" w:eastAsia="Calibri" w:hAnsi="Palatino Linotype" w:cs="Arial"/>
          <w:b/>
          <w:i/>
          <w:color w:val="000000"/>
        </w:rPr>
        <w:t>No existe obligación de elaborar documentos ad hoc para atender las solicitudes de acceso a la información.</w:t>
      </w:r>
      <w:r w:rsidRPr="00E24229">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24229"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24229" w:rsidRDefault="00100E72" w:rsidP="00100E72">
      <w:pPr>
        <w:spacing w:line="256" w:lineRule="auto"/>
        <w:ind w:left="851" w:right="901"/>
        <w:jc w:val="both"/>
        <w:rPr>
          <w:rFonts w:ascii="Palatino Linotype" w:eastAsia="Calibri" w:hAnsi="Palatino Linotype" w:cs="Arial"/>
          <w:i/>
          <w:color w:val="000000"/>
          <w:sz w:val="20"/>
        </w:rPr>
      </w:pPr>
      <w:r w:rsidRPr="00E24229">
        <w:rPr>
          <w:rFonts w:ascii="Palatino Linotype" w:eastAsia="Calibri" w:hAnsi="Palatino Linotype" w:cs="Arial"/>
          <w:i/>
          <w:color w:val="000000"/>
          <w:sz w:val="20"/>
        </w:rPr>
        <w:lastRenderedPageBreak/>
        <w:t xml:space="preserve">Resoluciones: </w:t>
      </w:r>
    </w:p>
    <w:p w14:paraId="794F332F" w14:textId="77777777" w:rsidR="00100E72" w:rsidRPr="00E24229" w:rsidRDefault="00100E72" w:rsidP="00100E72">
      <w:pPr>
        <w:spacing w:line="256" w:lineRule="auto"/>
        <w:ind w:left="851" w:right="901"/>
        <w:jc w:val="both"/>
        <w:rPr>
          <w:rFonts w:ascii="Palatino Linotype" w:eastAsia="Calibri" w:hAnsi="Palatino Linotype" w:cs="Arial"/>
          <w:i/>
          <w:color w:val="000000"/>
          <w:sz w:val="20"/>
        </w:rPr>
      </w:pPr>
      <w:r w:rsidRPr="00E24229">
        <w:rPr>
          <w:rFonts w:ascii="Palatino Linotype" w:eastAsia="Calibri" w:hAnsi="Palatino Linotype" w:cs="Arial"/>
          <w:i/>
          <w:color w:val="000000"/>
          <w:sz w:val="20"/>
        </w:rPr>
        <w:sym w:font="Symbol" w:char="F0B7"/>
      </w:r>
      <w:r w:rsidRPr="00E24229">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24229" w:rsidRDefault="00100E72" w:rsidP="00100E72">
      <w:pPr>
        <w:spacing w:line="256" w:lineRule="auto"/>
        <w:ind w:left="851" w:right="901"/>
        <w:jc w:val="both"/>
        <w:rPr>
          <w:rFonts w:ascii="Palatino Linotype" w:eastAsia="Calibri" w:hAnsi="Palatino Linotype" w:cs="Arial"/>
          <w:i/>
          <w:color w:val="000000"/>
          <w:sz w:val="20"/>
        </w:rPr>
      </w:pPr>
      <w:r w:rsidRPr="00E24229">
        <w:rPr>
          <w:rFonts w:ascii="Palatino Linotype" w:eastAsia="Calibri" w:hAnsi="Palatino Linotype" w:cs="Arial"/>
          <w:i/>
          <w:color w:val="000000"/>
          <w:sz w:val="20"/>
        </w:rPr>
        <w:sym w:font="Symbol" w:char="F0B7"/>
      </w:r>
      <w:r w:rsidRPr="00E24229">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24229" w:rsidRDefault="00100E72" w:rsidP="00100E72">
      <w:pPr>
        <w:spacing w:line="256" w:lineRule="auto"/>
        <w:ind w:left="851" w:right="901"/>
        <w:jc w:val="both"/>
        <w:rPr>
          <w:rFonts w:ascii="Palatino Linotype" w:eastAsia="Calibri" w:hAnsi="Palatino Linotype" w:cs="Arial"/>
          <w:i/>
          <w:color w:val="000000"/>
          <w:sz w:val="20"/>
        </w:rPr>
      </w:pPr>
      <w:r w:rsidRPr="00E24229">
        <w:rPr>
          <w:rFonts w:ascii="Palatino Linotype" w:eastAsia="Calibri" w:hAnsi="Palatino Linotype" w:cs="Arial"/>
          <w:i/>
          <w:color w:val="000000"/>
          <w:sz w:val="20"/>
        </w:rPr>
        <w:sym w:font="Symbol" w:char="F0B7"/>
      </w:r>
      <w:r w:rsidRPr="00E24229">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E24229" w:rsidRDefault="00D70911" w:rsidP="002638FF">
      <w:pPr>
        <w:pStyle w:val="Sinespaciado"/>
        <w:spacing w:line="360" w:lineRule="auto"/>
        <w:jc w:val="both"/>
        <w:rPr>
          <w:rFonts w:ascii="Palatino Linotype" w:hAnsi="Palatino Linotype"/>
          <w:sz w:val="24"/>
          <w:szCs w:val="24"/>
          <w:lang w:val="es-ES_tradnl"/>
        </w:rPr>
      </w:pPr>
    </w:p>
    <w:p w14:paraId="2E133C8B" w14:textId="22CA9629" w:rsidR="005571F1" w:rsidRPr="00E24229"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E24229">
        <w:rPr>
          <w:rFonts w:ascii="Palatino Linotype" w:eastAsia="Times New Roman" w:hAnsi="Palatino Linotype" w:cs="Arial"/>
          <w:color w:val="000000"/>
          <w:sz w:val="24"/>
          <w:szCs w:val="24"/>
          <w:lang w:eastAsia="es-ES"/>
        </w:rPr>
        <w:t xml:space="preserve">En conclusión, le asiste la razón al </w:t>
      </w:r>
      <w:r w:rsidRPr="00E24229">
        <w:rPr>
          <w:rFonts w:ascii="Palatino Linotype" w:eastAsia="Times New Roman" w:hAnsi="Palatino Linotype" w:cs="Arial"/>
          <w:b/>
          <w:color w:val="000000"/>
          <w:sz w:val="24"/>
          <w:szCs w:val="24"/>
          <w:lang w:eastAsia="es-ES"/>
        </w:rPr>
        <w:t>Sujeto Obligado</w:t>
      </w:r>
      <w:r w:rsidRPr="00E24229">
        <w:rPr>
          <w:rFonts w:ascii="Palatino Linotype" w:eastAsia="Times New Roman" w:hAnsi="Palatino Linotype" w:cs="Arial"/>
          <w:color w:val="000000"/>
          <w:sz w:val="24"/>
          <w:szCs w:val="24"/>
          <w:lang w:eastAsia="es-ES"/>
        </w:rPr>
        <w:t xml:space="preserve"> porque al informar </w:t>
      </w:r>
      <w:r w:rsidRPr="00E24229">
        <w:rPr>
          <w:rFonts w:ascii="Palatino Linotype" w:hAnsi="Palatino Linotype"/>
          <w:sz w:val="24"/>
          <w:szCs w:val="24"/>
        </w:rPr>
        <w:t xml:space="preserve">que </w:t>
      </w:r>
      <w:r w:rsidR="00BC1E63" w:rsidRPr="00E24229">
        <w:rPr>
          <w:rFonts w:ascii="Palatino Linotype" w:hAnsi="Palatino Linotype"/>
          <w:sz w:val="24"/>
          <w:szCs w:val="24"/>
        </w:rPr>
        <w:t>lo requerido no es documentación pública generada, administrada o que esté en posesión de</w:t>
      </w:r>
      <w:r w:rsidR="0010180E" w:rsidRPr="00E24229">
        <w:rPr>
          <w:rFonts w:ascii="Palatino Linotype" w:hAnsi="Palatino Linotype"/>
          <w:sz w:val="24"/>
          <w:szCs w:val="24"/>
        </w:rPr>
        <w:t xml:space="preserve"> </w:t>
      </w:r>
      <w:r w:rsidR="00C37240" w:rsidRPr="00E24229">
        <w:rPr>
          <w:rFonts w:ascii="Palatino Linotype" w:hAnsi="Palatino Linotype"/>
          <w:sz w:val="24"/>
          <w:szCs w:val="24"/>
        </w:rPr>
        <w:t xml:space="preserve">la </w:t>
      </w:r>
      <w:r w:rsidR="00C37240" w:rsidRPr="00E24229">
        <w:rPr>
          <w:rFonts w:ascii="Palatino Linotype" w:hAnsi="Palatino Linotype"/>
          <w:b/>
          <w:bCs/>
          <w:iCs/>
          <w:sz w:val="24"/>
          <w:szCs w:val="24"/>
          <w:lang w:val="es-MX"/>
        </w:rPr>
        <w:t>Tesorería Municipal</w:t>
      </w:r>
      <w:r w:rsidRPr="00E24229">
        <w:rPr>
          <w:rFonts w:ascii="Palatino Linotype" w:eastAsia="Times New Roman" w:hAnsi="Palatino Linotype" w:cs="Arial"/>
          <w:color w:val="000000"/>
          <w:sz w:val="24"/>
          <w:szCs w:val="24"/>
          <w:lang w:eastAsia="es-ES"/>
        </w:rPr>
        <w:t xml:space="preserve"> y al no existir obligación en materia de transparencia que lo constriña a poseer o generar dichos documentales</w:t>
      </w:r>
      <w:r w:rsidR="004C3C1C" w:rsidRPr="00E24229">
        <w:rPr>
          <w:rFonts w:ascii="Palatino Linotype" w:eastAsia="Times New Roman" w:hAnsi="Palatino Linotype" w:cs="Arial"/>
          <w:color w:val="000000"/>
          <w:sz w:val="24"/>
          <w:szCs w:val="24"/>
          <w:lang w:eastAsia="es-ES"/>
        </w:rPr>
        <w:t xml:space="preserve"> en la temporalidad especifica que demanda el particular</w:t>
      </w:r>
      <w:r w:rsidRPr="00E24229">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E24229"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134D7D88" w:rsidR="00EF4D17" w:rsidRPr="00E24229" w:rsidRDefault="00EF4D17"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sz w:val="24"/>
          <w:szCs w:val="24"/>
          <w:lang w:val="es-ES_tradnl"/>
        </w:rPr>
        <w:t xml:space="preserve">Así, en mérito de lo expuesto en líneas anteriores </w:t>
      </w:r>
      <w:r w:rsidRPr="00E24229">
        <w:rPr>
          <w:rFonts w:ascii="Palatino Linotype" w:hAnsi="Palatino Linotype"/>
          <w:noProof/>
          <w:sz w:val="24"/>
          <w:szCs w:val="24"/>
          <w:lang w:val="es-ES_tradnl" w:eastAsia="es-MX"/>
        </w:rPr>
        <w:t>resultan infundadas las razones o motivo</w:t>
      </w:r>
      <w:r w:rsidR="002E2D4C" w:rsidRPr="00E24229">
        <w:rPr>
          <w:rFonts w:ascii="Palatino Linotype" w:hAnsi="Palatino Linotype"/>
          <w:noProof/>
          <w:sz w:val="24"/>
          <w:szCs w:val="24"/>
          <w:lang w:val="es-ES_tradnl" w:eastAsia="es-MX"/>
        </w:rPr>
        <w:t>s de inconf</w:t>
      </w:r>
      <w:r w:rsidR="00C31F17" w:rsidRPr="00E24229">
        <w:rPr>
          <w:rFonts w:ascii="Palatino Linotype" w:hAnsi="Palatino Linotype"/>
          <w:noProof/>
          <w:sz w:val="24"/>
          <w:szCs w:val="24"/>
          <w:lang w:val="es-ES_tradnl" w:eastAsia="es-MX"/>
        </w:rPr>
        <w:t xml:space="preserve">ormidad que arguye </w:t>
      </w:r>
      <w:r w:rsidR="00AB3507" w:rsidRPr="00E24229">
        <w:rPr>
          <w:rFonts w:ascii="Palatino Linotype" w:hAnsi="Palatino Linotype"/>
          <w:noProof/>
          <w:sz w:val="24"/>
          <w:szCs w:val="24"/>
          <w:lang w:val="es-ES_tradnl" w:eastAsia="es-MX"/>
        </w:rPr>
        <w:t>el</w:t>
      </w:r>
      <w:r w:rsidRPr="00E24229">
        <w:rPr>
          <w:rFonts w:ascii="Palatino Linotype" w:hAnsi="Palatino Linotype"/>
          <w:noProof/>
          <w:sz w:val="24"/>
          <w:szCs w:val="24"/>
          <w:lang w:val="es-ES_tradnl" w:eastAsia="es-MX"/>
        </w:rPr>
        <w:t xml:space="preserve"> Recurrente; </w:t>
      </w:r>
      <w:r w:rsidRPr="00E24229">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E24229">
        <w:rPr>
          <w:rFonts w:ascii="Palatino Linotype" w:hAnsi="Palatino Linotype"/>
          <w:b/>
          <w:sz w:val="24"/>
          <w:szCs w:val="24"/>
          <w:lang w:val="es-ES_tradnl"/>
        </w:rPr>
        <w:t>CONFIRMA</w:t>
      </w:r>
      <w:r w:rsidRPr="00E24229">
        <w:rPr>
          <w:rFonts w:ascii="Palatino Linotype" w:hAnsi="Palatino Linotype"/>
          <w:sz w:val="24"/>
          <w:szCs w:val="24"/>
          <w:lang w:val="es-ES_tradnl"/>
        </w:rPr>
        <w:t xml:space="preserve"> la respuesta a la solicitud de información pública </w:t>
      </w:r>
      <w:r w:rsidR="00933D11" w:rsidRPr="00E24229">
        <w:rPr>
          <w:rFonts w:ascii="Palatino Linotype" w:hAnsi="Palatino Linotype"/>
          <w:b/>
          <w:bCs/>
          <w:sz w:val="24"/>
          <w:szCs w:val="24"/>
          <w:lang w:val="es-ES_tradnl"/>
        </w:rPr>
        <w:t>00358/ZINACANT/IP/2025</w:t>
      </w:r>
      <w:r w:rsidR="00BC1E63" w:rsidRPr="00E24229">
        <w:rPr>
          <w:rFonts w:ascii="Palatino Linotype" w:hAnsi="Palatino Linotype"/>
          <w:b/>
          <w:bCs/>
          <w:sz w:val="24"/>
          <w:szCs w:val="24"/>
          <w:lang w:val="es-ES_tradnl"/>
        </w:rPr>
        <w:t xml:space="preserve"> </w:t>
      </w:r>
      <w:r w:rsidRPr="00E24229">
        <w:rPr>
          <w:rFonts w:ascii="Palatino Linotype" w:hAnsi="Palatino Linotype"/>
          <w:bCs/>
          <w:sz w:val="24"/>
          <w:szCs w:val="24"/>
          <w:lang w:val="es-ES_tradnl"/>
        </w:rPr>
        <w:t>que ha sido materia del presente fallo</w:t>
      </w:r>
      <w:r w:rsidRPr="00E24229">
        <w:rPr>
          <w:rFonts w:ascii="Palatino Linotype" w:hAnsi="Palatino Linotype"/>
          <w:sz w:val="24"/>
          <w:szCs w:val="24"/>
          <w:lang w:val="es-ES_tradnl"/>
        </w:rPr>
        <w:t>, por lo que este Pleno:</w:t>
      </w:r>
    </w:p>
    <w:p w14:paraId="1E047B38" w14:textId="77777777" w:rsidR="00671D39" w:rsidRPr="00E24229" w:rsidRDefault="00671D39" w:rsidP="008E6336">
      <w:pPr>
        <w:pStyle w:val="Sinespaciado"/>
        <w:spacing w:line="360" w:lineRule="auto"/>
        <w:rPr>
          <w:rFonts w:ascii="Palatino Linotype" w:hAnsi="Palatino Linotype"/>
          <w:b/>
          <w:sz w:val="28"/>
          <w:szCs w:val="28"/>
          <w:lang w:val="es-ES_tradnl"/>
        </w:rPr>
      </w:pPr>
    </w:p>
    <w:p w14:paraId="00874A8D" w14:textId="77777777" w:rsidR="00933D11" w:rsidRPr="00E24229" w:rsidRDefault="00933D11" w:rsidP="008E6336">
      <w:pPr>
        <w:pStyle w:val="Sinespaciado"/>
        <w:spacing w:line="360" w:lineRule="auto"/>
        <w:rPr>
          <w:rFonts w:ascii="Palatino Linotype" w:hAnsi="Palatino Linotype"/>
          <w:b/>
          <w:sz w:val="28"/>
          <w:szCs w:val="28"/>
          <w:lang w:val="es-ES_tradnl"/>
        </w:rPr>
      </w:pPr>
    </w:p>
    <w:p w14:paraId="6A419591" w14:textId="77777777" w:rsidR="00C37240" w:rsidRPr="00E24229" w:rsidRDefault="00C37240" w:rsidP="008E6336">
      <w:pPr>
        <w:pStyle w:val="Sinespaciado"/>
        <w:spacing w:line="360" w:lineRule="auto"/>
        <w:rPr>
          <w:rFonts w:ascii="Palatino Linotype" w:hAnsi="Palatino Linotype"/>
          <w:b/>
          <w:sz w:val="28"/>
          <w:szCs w:val="28"/>
          <w:lang w:val="es-ES_tradnl"/>
        </w:rPr>
      </w:pPr>
    </w:p>
    <w:p w14:paraId="1DB408C8" w14:textId="77777777" w:rsidR="00C37240" w:rsidRPr="00E24229" w:rsidRDefault="00C37240" w:rsidP="008E6336">
      <w:pPr>
        <w:pStyle w:val="Sinespaciado"/>
        <w:spacing w:line="360" w:lineRule="auto"/>
        <w:rPr>
          <w:rFonts w:ascii="Palatino Linotype" w:hAnsi="Palatino Linotype"/>
          <w:b/>
          <w:sz w:val="28"/>
          <w:szCs w:val="28"/>
          <w:lang w:val="es-ES_tradnl"/>
        </w:rPr>
      </w:pPr>
    </w:p>
    <w:p w14:paraId="52C5EC5C" w14:textId="0703208D" w:rsidR="00EF4D17" w:rsidRPr="00E24229" w:rsidRDefault="00EF4D17" w:rsidP="0014447C">
      <w:pPr>
        <w:pStyle w:val="Sinespaciado"/>
        <w:spacing w:line="360" w:lineRule="auto"/>
        <w:jc w:val="center"/>
        <w:rPr>
          <w:rFonts w:ascii="Palatino Linotype" w:hAnsi="Palatino Linotype"/>
          <w:b/>
          <w:sz w:val="28"/>
          <w:szCs w:val="28"/>
          <w:lang w:val="es-ES_tradnl"/>
        </w:rPr>
      </w:pPr>
      <w:r w:rsidRPr="00E24229">
        <w:rPr>
          <w:rFonts w:ascii="Palatino Linotype" w:hAnsi="Palatino Linotype"/>
          <w:b/>
          <w:sz w:val="28"/>
          <w:szCs w:val="28"/>
          <w:lang w:val="es-ES_tradnl"/>
        </w:rPr>
        <w:lastRenderedPageBreak/>
        <w:t>R E S U E L V E</w:t>
      </w:r>
    </w:p>
    <w:p w14:paraId="0E0975AB" w14:textId="77777777" w:rsidR="00EF4D17" w:rsidRPr="00E24229" w:rsidRDefault="00EF4D17" w:rsidP="0014447C">
      <w:pPr>
        <w:pStyle w:val="Sinespaciado"/>
        <w:spacing w:line="360" w:lineRule="auto"/>
        <w:jc w:val="both"/>
        <w:rPr>
          <w:rFonts w:ascii="Palatino Linotype" w:hAnsi="Palatino Linotype"/>
          <w:b/>
          <w:sz w:val="2"/>
          <w:szCs w:val="24"/>
          <w:lang w:val="es-ES_tradnl"/>
        </w:rPr>
      </w:pPr>
    </w:p>
    <w:p w14:paraId="1BF3D859" w14:textId="3342AF8D" w:rsidR="00EF4D17" w:rsidRPr="00E24229" w:rsidRDefault="00EF4D17"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b/>
          <w:sz w:val="24"/>
          <w:szCs w:val="24"/>
          <w:lang w:val="es-ES_tradnl"/>
        </w:rPr>
        <w:t xml:space="preserve">PRIMERO. </w:t>
      </w:r>
      <w:r w:rsidRPr="00E24229">
        <w:rPr>
          <w:rFonts w:ascii="Palatino Linotype" w:hAnsi="Palatino Linotype"/>
          <w:sz w:val="24"/>
          <w:szCs w:val="24"/>
          <w:lang w:val="es-ES_tradnl"/>
        </w:rPr>
        <w:t xml:space="preserve">Se </w:t>
      </w:r>
      <w:r w:rsidRPr="00E24229">
        <w:rPr>
          <w:rFonts w:ascii="Palatino Linotype" w:hAnsi="Palatino Linotype"/>
          <w:b/>
          <w:sz w:val="24"/>
          <w:szCs w:val="24"/>
          <w:lang w:val="es-ES_tradnl"/>
        </w:rPr>
        <w:t>CONFIRMA</w:t>
      </w:r>
      <w:r w:rsidRPr="00E24229">
        <w:rPr>
          <w:rFonts w:ascii="Palatino Linotype" w:hAnsi="Palatino Linotype"/>
          <w:sz w:val="24"/>
          <w:szCs w:val="24"/>
          <w:lang w:val="es-ES_tradnl"/>
        </w:rPr>
        <w:t xml:space="preserve"> la respuesta del Sujeto Obligado</w:t>
      </w:r>
      <w:r w:rsidRPr="00E24229">
        <w:rPr>
          <w:rFonts w:ascii="Palatino Linotype" w:hAnsi="Palatino Linotype"/>
          <w:b/>
          <w:sz w:val="24"/>
          <w:szCs w:val="24"/>
          <w:lang w:val="es-ES_tradnl"/>
        </w:rPr>
        <w:t xml:space="preserve"> </w:t>
      </w:r>
      <w:r w:rsidRPr="00E24229">
        <w:rPr>
          <w:rFonts w:ascii="Palatino Linotype" w:hAnsi="Palatino Linotype"/>
          <w:bCs/>
          <w:sz w:val="24"/>
          <w:szCs w:val="24"/>
          <w:lang w:val="es-ES_tradnl"/>
        </w:rPr>
        <w:t xml:space="preserve">a la solicitud de información </w:t>
      </w:r>
      <w:r w:rsidR="00933D11" w:rsidRPr="00E24229">
        <w:rPr>
          <w:rFonts w:ascii="Palatino Linotype" w:hAnsi="Palatino Linotype"/>
          <w:b/>
          <w:bCs/>
          <w:sz w:val="24"/>
          <w:szCs w:val="24"/>
          <w:lang w:val="es-ES_tradnl"/>
        </w:rPr>
        <w:t>00358/ZINACANT/IP/2025</w:t>
      </w:r>
      <w:r w:rsidR="00C37240" w:rsidRPr="00E24229">
        <w:rPr>
          <w:rFonts w:ascii="Palatino Linotype" w:hAnsi="Palatino Linotype"/>
          <w:b/>
          <w:bCs/>
          <w:sz w:val="24"/>
          <w:szCs w:val="24"/>
          <w:lang w:val="es-ES_tradnl"/>
        </w:rPr>
        <w:t xml:space="preserve"> </w:t>
      </w:r>
      <w:r w:rsidRPr="00E24229">
        <w:rPr>
          <w:rFonts w:ascii="Palatino Linotype" w:hAnsi="Palatino Linotype"/>
          <w:sz w:val="24"/>
          <w:szCs w:val="24"/>
          <w:lang w:val="es-ES_tradnl"/>
        </w:rPr>
        <w:t>por resultar infundadas las razones o motivos de i</w:t>
      </w:r>
      <w:r w:rsidR="001A6270" w:rsidRPr="00E24229">
        <w:rPr>
          <w:rFonts w:ascii="Palatino Linotype" w:hAnsi="Palatino Linotype"/>
          <w:sz w:val="24"/>
          <w:szCs w:val="24"/>
          <w:lang w:val="es-ES_tradnl"/>
        </w:rPr>
        <w:t xml:space="preserve">nconformidad hechos valer por </w:t>
      </w:r>
      <w:r w:rsidR="00AB3507" w:rsidRPr="00E24229">
        <w:rPr>
          <w:rFonts w:ascii="Palatino Linotype" w:hAnsi="Palatino Linotype"/>
          <w:sz w:val="24"/>
          <w:szCs w:val="24"/>
          <w:lang w:val="es-ES_tradnl"/>
        </w:rPr>
        <w:t>el</w:t>
      </w:r>
      <w:r w:rsidRPr="00E24229">
        <w:rPr>
          <w:rFonts w:ascii="Palatino Linotype" w:hAnsi="Palatino Linotype"/>
          <w:sz w:val="24"/>
          <w:szCs w:val="24"/>
          <w:lang w:val="es-ES_tradnl"/>
        </w:rPr>
        <w:t xml:space="preserve"> Recurrente, en términos del Considerando </w:t>
      </w:r>
      <w:r w:rsidR="008A1B36" w:rsidRPr="00E24229">
        <w:rPr>
          <w:rFonts w:ascii="Palatino Linotype" w:hAnsi="Palatino Linotype"/>
          <w:b/>
          <w:sz w:val="24"/>
          <w:szCs w:val="24"/>
          <w:lang w:val="es-ES_tradnl"/>
        </w:rPr>
        <w:t>QUINTO</w:t>
      </w:r>
      <w:r w:rsidRPr="00E24229">
        <w:rPr>
          <w:rFonts w:ascii="Palatino Linotype" w:hAnsi="Palatino Linotype"/>
          <w:b/>
          <w:sz w:val="24"/>
          <w:szCs w:val="24"/>
          <w:lang w:val="es-ES_tradnl"/>
        </w:rPr>
        <w:t xml:space="preserve"> </w:t>
      </w:r>
      <w:r w:rsidRPr="00E24229">
        <w:rPr>
          <w:rFonts w:ascii="Palatino Linotype" w:hAnsi="Palatino Linotype"/>
          <w:sz w:val="24"/>
          <w:szCs w:val="24"/>
          <w:lang w:val="es-ES_tradnl"/>
        </w:rPr>
        <w:t>de esta resolución.</w:t>
      </w:r>
    </w:p>
    <w:p w14:paraId="74BF7CC9" w14:textId="77777777" w:rsidR="00EF4D17" w:rsidRPr="00E24229"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E24229" w:rsidRDefault="006E6394"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b/>
          <w:sz w:val="24"/>
          <w:szCs w:val="24"/>
          <w:lang w:val="es-ES_tradnl"/>
        </w:rPr>
        <w:t>SEGUNDO.</w:t>
      </w:r>
      <w:r w:rsidRPr="00E24229">
        <w:rPr>
          <w:rFonts w:ascii="Palatino Linotype" w:hAnsi="Palatino Linotype"/>
          <w:sz w:val="24"/>
          <w:szCs w:val="24"/>
          <w:lang w:val="es-ES_tradnl"/>
        </w:rPr>
        <w:t xml:space="preserve"> </w:t>
      </w:r>
      <w:r w:rsidRPr="00E24229">
        <w:rPr>
          <w:rFonts w:ascii="Palatino Linotype" w:hAnsi="Palatino Linotype"/>
          <w:b/>
          <w:sz w:val="24"/>
          <w:szCs w:val="24"/>
          <w:lang w:val="es-ES_tradnl"/>
        </w:rPr>
        <w:t>NOTIFÍQUESE</w:t>
      </w:r>
      <w:r w:rsidRPr="00E24229">
        <w:rPr>
          <w:rFonts w:ascii="Palatino Linotype" w:hAnsi="Palatino Linotype"/>
          <w:sz w:val="24"/>
          <w:szCs w:val="24"/>
          <w:lang w:val="es-ES_tradnl"/>
        </w:rPr>
        <w:t xml:space="preserve"> la presente resolución vía </w:t>
      </w:r>
      <w:r w:rsidR="00171F38" w:rsidRPr="00E24229">
        <w:rPr>
          <w:rFonts w:ascii="Palatino Linotype" w:hAnsi="Palatino Linotype"/>
          <w:sz w:val="24"/>
          <w:szCs w:val="24"/>
          <w:lang w:val="es-ES_tradnl"/>
        </w:rPr>
        <w:t>Sistema de Acceso a la Información Mexiquense (</w:t>
      </w:r>
      <w:r w:rsidRPr="00E24229">
        <w:rPr>
          <w:rFonts w:ascii="Palatino Linotype" w:hAnsi="Palatino Linotype"/>
          <w:b/>
          <w:bCs/>
          <w:sz w:val="24"/>
          <w:szCs w:val="24"/>
          <w:lang w:val="es-ES_tradnl"/>
        </w:rPr>
        <w:t>SAIMEX</w:t>
      </w:r>
      <w:r w:rsidR="00171F38" w:rsidRPr="00E24229">
        <w:rPr>
          <w:rFonts w:ascii="Palatino Linotype" w:hAnsi="Palatino Linotype"/>
          <w:sz w:val="24"/>
          <w:szCs w:val="24"/>
          <w:lang w:val="es-ES_tradnl"/>
        </w:rPr>
        <w:t>)</w:t>
      </w:r>
      <w:r w:rsidRPr="00E24229">
        <w:rPr>
          <w:rFonts w:ascii="Palatino Linotype" w:hAnsi="Palatino Linotype"/>
          <w:sz w:val="24"/>
          <w:szCs w:val="24"/>
          <w:lang w:val="es-ES_tradnl"/>
        </w:rPr>
        <w:t xml:space="preserve"> al Titular de la Unidad de Transparencia del Sujeto Obligado.</w:t>
      </w:r>
    </w:p>
    <w:p w14:paraId="6B0A94CD" w14:textId="77777777" w:rsidR="00EF4D17" w:rsidRPr="00E24229"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Pr="00E24229" w:rsidRDefault="00EF4D17" w:rsidP="0014447C">
      <w:pPr>
        <w:pStyle w:val="Sinespaciado"/>
        <w:spacing w:line="360" w:lineRule="auto"/>
        <w:jc w:val="both"/>
        <w:rPr>
          <w:rFonts w:ascii="Palatino Linotype" w:hAnsi="Palatino Linotype"/>
          <w:sz w:val="24"/>
          <w:szCs w:val="24"/>
          <w:lang w:val="es-ES_tradnl"/>
        </w:rPr>
      </w:pPr>
      <w:r w:rsidRPr="00E24229">
        <w:rPr>
          <w:rFonts w:ascii="Palatino Linotype" w:hAnsi="Palatino Linotype"/>
          <w:b/>
          <w:sz w:val="24"/>
          <w:szCs w:val="24"/>
          <w:lang w:val="es-ES_tradnl"/>
        </w:rPr>
        <w:t>TERCERO.</w:t>
      </w:r>
      <w:r w:rsidRPr="00E24229">
        <w:rPr>
          <w:rFonts w:ascii="Palatino Linotype" w:hAnsi="Palatino Linotype"/>
          <w:sz w:val="24"/>
          <w:szCs w:val="24"/>
          <w:lang w:val="es-ES_tradnl"/>
        </w:rPr>
        <w:t xml:space="preserve"> </w:t>
      </w:r>
      <w:r w:rsidRPr="00E24229">
        <w:rPr>
          <w:rFonts w:ascii="Palatino Linotype" w:hAnsi="Palatino Linotype"/>
          <w:b/>
          <w:sz w:val="24"/>
          <w:szCs w:val="24"/>
          <w:lang w:val="es-ES_tradnl"/>
        </w:rPr>
        <w:t>NOTIFÍQUESE</w:t>
      </w:r>
      <w:r w:rsidRPr="00E24229">
        <w:rPr>
          <w:rFonts w:ascii="Palatino Linotype" w:hAnsi="Palatino Linotype"/>
          <w:sz w:val="24"/>
          <w:szCs w:val="24"/>
          <w:lang w:val="es-ES_tradnl"/>
        </w:rPr>
        <w:t xml:space="preserve"> a</w:t>
      </w:r>
      <w:r w:rsidR="00AB3507" w:rsidRPr="00E24229">
        <w:rPr>
          <w:rFonts w:ascii="Palatino Linotype" w:hAnsi="Palatino Linotype"/>
          <w:sz w:val="24"/>
          <w:szCs w:val="24"/>
          <w:lang w:val="es-ES_tradnl"/>
        </w:rPr>
        <w:t>l</w:t>
      </w:r>
      <w:r w:rsidRPr="00E24229">
        <w:rPr>
          <w:rFonts w:ascii="Palatino Linotype" w:hAnsi="Palatino Linotype"/>
          <w:sz w:val="24"/>
          <w:szCs w:val="24"/>
          <w:lang w:val="es-ES_tradnl"/>
        </w:rPr>
        <w:t xml:space="preserve"> Recurrente</w:t>
      </w:r>
      <w:r w:rsidRPr="00E24229">
        <w:rPr>
          <w:rFonts w:ascii="Palatino Linotype" w:hAnsi="Palatino Linotype"/>
          <w:b/>
          <w:sz w:val="24"/>
          <w:szCs w:val="24"/>
          <w:lang w:val="es-ES_tradnl"/>
        </w:rPr>
        <w:t xml:space="preserve"> </w:t>
      </w:r>
      <w:r w:rsidRPr="00E24229">
        <w:rPr>
          <w:rFonts w:ascii="Palatino Linotype" w:hAnsi="Palatino Linotype"/>
          <w:sz w:val="24"/>
          <w:szCs w:val="24"/>
          <w:lang w:val="es-ES_tradnl"/>
        </w:rPr>
        <w:t>la presente resolución</w:t>
      </w:r>
      <w:r w:rsidR="00B46201" w:rsidRPr="00E24229">
        <w:rPr>
          <w:rFonts w:ascii="Palatino Linotype" w:hAnsi="Palatino Linotype"/>
          <w:sz w:val="24"/>
          <w:szCs w:val="24"/>
          <w:lang w:val="es-ES_tradnl"/>
        </w:rPr>
        <w:t xml:space="preserve"> vía Sistema de Acceso a la Información Mexiquense (</w:t>
      </w:r>
      <w:r w:rsidR="00B46201" w:rsidRPr="00E24229">
        <w:rPr>
          <w:rFonts w:ascii="Palatino Linotype" w:hAnsi="Palatino Linotype"/>
          <w:b/>
          <w:bCs/>
          <w:sz w:val="24"/>
          <w:szCs w:val="24"/>
          <w:lang w:val="es-ES_tradnl"/>
        </w:rPr>
        <w:t>SAIMEX</w:t>
      </w:r>
      <w:r w:rsidR="00B46201" w:rsidRPr="00E24229">
        <w:rPr>
          <w:rFonts w:ascii="Palatino Linotype" w:hAnsi="Palatino Linotype"/>
          <w:sz w:val="24"/>
          <w:szCs w:val="24"/>
          <w:lang w:val="es-ES_tradnl"/>
        </w:rPr>
        <w:t>)</w:t>
      </w:r>
      <w:r w:rsidRPr="00E24229">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E24229" w:rsidRDefault="004C3C1C" w:rsidP="0014447C">
      <w:pPr>
        <w:pStyle w:val="Sinespaciado"/>
        <w:spacing w:line="360" w:lineRule="auto"/>
        <w:jc w:val="both"/>
        <w:rPr>
          <w:rFonts w:ascii="Palatino Linotype" w:hAnsi="Palatino Linotype"/>
          <w:sz w:val="24"/>
          <w:szCs w:val="24"/>
          <w:lang w:val="es-ES_tradnl"/>
        </w:rPr>
      </w:pPr>
    </w:p>
    <w:p w14:paraId="36E558BD" w14:textId="056DE501" w:rsidR="00A225A3" w:rsidRPr="00E24229" w:rsidRDefault="00171F38" w:rsidP="00D40A03">
      <w:pPr>
        <w:widowControl w:val="0"/>
        <w:spacing w:after="0" w:line="360" w:lineRule="auto"/>
        <w:ind w:left="20"/>
        <w:jc w:val="both"/>
        <w:rPr>
          <w:rFonts w:ascii="Palatino Linotype" w:eastAsia="Times New Roman" w:hAnsi="Palatino Linotype" w:cs="Arial"/>
          <w:sz w:val="24"/>
          <w:szCs w:val="24"/>
        </w:rPr>
      </w:pPr>
      <w:r w:rsidRPr="00E24229">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0180E" w:rsidRPr="00E24229">
        <w:rPr>
          <w:rFonts w:ascii="Palatino Linotype" w:eastAsia="Times New Roman" w:hAnsi="Palatino Linotype" w:cs="Arial"/>
          <w:sz w:val="24"/>
          <w:szCs w:val="24"/>
        </w:rPr>
        <w:t xml:space="preserve"> </w:t>
      </w:r>
      <w:r w:rsidRPr="00E24229">
        <w:rPr>
          <w:rFonts w:ascii="Palatino Linotype" w:eastAsia="Times New Roman" w:hAnsi="Palatino Linotype" w:cs="Arial"/>
          <w:sz w:val="24"/>
          <w:szCs w:val="24"/>
        </w:rPr>
        <w:t xml:space="preserve">Y GUADALUPE RAMÍREZ PEÑA EN </w:t>
      </w:r>
      <w:r w:rsidR="008A0DF6" w:rsidRPr="00E24229">
        <w:rPr>
          <w:rFonts w:ascii="Palatino Linotype" w:eastAsia="Times New Roman" w:hAnsi="Palatino Linotype" w:cs="Arial"/>
          <w:sz w:val="24"/>
          <w:szCs w:val="24"/>
        </w:rPr>
        <w:t xml:space="preserve">LA </w:t>
      </w:r>
      <w:r w:rsidR="00C37240" w:rsidRPr="00E24229">
        <w:rPr>
          <w:rFonts w:ascii="Palatino Linotype" w:eastAsia="Times New Roman" w:hAnsi="Palatino Linotype" w:cs="Arial"/>
          <w:sz w:val="24"/>
          <w:szCs w:val="24"/>
        </w:rPr>
        <w:t xml:space="preserve">TRIGÉSIMA </w:t>
      </w:r>
      <w:r w:rsidR="00933D11" w:rsidRPr="00E24229">
        <w:rPr>
          <w:rFonts w:ascii="Palatino Linotype" w:eastAsia="Times New Roman" w:hAnsi="Palatino Linotype" w:cs="Arial"/>
          <w:sz w:val="24"/>
          <w:szCs w:val="24"/>
        </w:rPr>
        <w:t>CUARTA</w:t>
      </w:r>
      <w:r w:rsidR="00162A30" w:rsidRPr="00E24229">
        <w:rPr>
          <w:rFonts w:ascii="Palatino Linotype" w:eastAsia="Times New Roman" w:hAnsi="Palatino Linotype" w:cs="Arial"/>
          <w:sz w:val="24"/>
          <w:szCs w:val="24"/>
        </w:rPr>
        <w:t xml:space="preserve"> SESIÓN</w:t>
      </w:r>
      <w:r w:rsidRPr="00E24229">
        <w:rPr>
          <w:rFonts w:ascii="Palatino Linotype" w:eastAsia="Times New Roman" w:hAnsi="Palatino Linotype" w:cs="Arial"/>
          <w:sz w:val="24"/>
          <w:szCs w:val="24"/>
        </w:rPr>
        <w:t xml:space="preserve"> ORDINARIA CELEBRADA EL </w:t>
      </w:r>
      <w:r w:rsidR="00933D11" w:rsidRPr="00E24229">
        <w:rPr>
          <w:rFonts w:ascii="Palatino Linotype" w:eastAsia="Times New Roman" w:hAnsi="Palatino Linotype" w:cs="Arial"/>
          <w:sz w:val="24"/>
          <w:szCs w:val="24"/>
        </w:rPr>
        <w:t>VEINTICUATRO</w:t>
      </w:r>
      <w:r w:rsidR="00C37240" w:rsidRPr="00E24229">
        <w:rPr>
          <w:rFonts w:ascii="Palatino Linotype" w:eastAsia="Times New Roman" w:hAnsi="Palatino Linotype" w:cs="Arial"/>
          <w:sz w:val="24"/>
          <w:szCs w:val="24"/>
        </w:rPr>
        <w:t xml:space="preserve"> DE </w:t>
      </w:r>
      <w:r w:rsidR="00C37240" w:rsidRPr="00E24229">
        <w:rPr>
          <w:rFonts w:ascii="Palatino Linotype" w:eastAsia="Times New Roman" w:hAnsi="Palatino Linotype" w:cs="Arial"/>
          <w:sz w:val="24"/>
          <w:szCs w:val="24"/>
        </w:rPr>
        <w:lastRenderedPageBreak/>
        <w:t>SEPTIEMBRE</w:t>
      </w:r>
      <w:r w:rsidR="00BC1E63" w:rsidRPr="00E24229">
        <w:rPr>
          <w:rFonts w:ascii="Palatino Linotype" w:eastAsia="Times New Roman" w:hAnsi="Palatino Linotype" w:cs="Arial"/>
          <w:sz w:val="24"/>
          <w:szCs w:val="24"/>
        </w:rPr>
        <w:t xml:space="preserve"> DE DOS MIL VEINTICINCO</w:t>
      </w:r>
      <w:r w:rsidRPr="00E24229">
        <w:rPr>
          <w:rFonts w:ascii="Palatino Linotype" w:eastAsia="Times New Roman" w:hAnsi="Palatino Linotype" w:cs="Arial"/>
          <w:sz w:val="24"/>
          <w:szCs w:val="24"/>
        </w:rPr>
        <w:t>, ANTE EL SECRETARIO TÉCNICO DEL PLENO, ALEXIS TAPIA RAMÍREZ</w:t>
      </w:r>
      <w:r w:rsidR="008E6336" w:rsidRPr="00E24229">
        <w:rPr>
          <w:rFonts w:ascii="Palatino Linotype" w:eastAsia="Times New Roman" w:hAnsi="Palatino Linotype" w:cs="Arial"/>
          <w:sz w:val="24"/>
          <w:szCs w:val="24"/>
        </w:rPr>
        <w:t>.----------------------</w:t>
      </w:r>
      <w:r w:rsidR="00EA0E98" w:rsidRPr="00E24229">
        <w:rPr>
          <w:rFonts w:ascii="Palatino Linotype" w:eastAsia="Times New Roman" w:hAnsi="Palatino Linotype" w:cs="Arial"/>
          <w:sz w:val="24"/>
          <w:szCs w:val="24"/>
        </w:rPr>
        <w:t>-----------------------------------------------------------------------------------------</w:t>
      </w:r>
      <w:r w:rsidR="00162A30" w:rsidRPr="00E24229">
        <w:rPr>
          <w:rFonts w:ascii="Palatino Linotype" w:eastAsia="Times New Roman" w:hAnsi="Palatino Linotype" w:cs="Arial"/>
          <w:sz w:val="24"/>
          <w:szCs w:val="24"/>
        </w:rPr>
        <w:t>-------------------------------------</w:t>
      </w:r>
      <w:r w:rsidR="004410A6" w:rsidRPr="00E24229">
        <w:rPr>
          <w:rFonts w:ascii="Palatino Linotype" w:eastAsia="Times New Roman" w:hAnsi="Palatino Linotype" w:cs="Arial"/>
          <w:sz w:val="24"/>
          <w:szCs w:val="24"/>
        </w:rPr>
        <w:t>---------</w:t>
      </w:r>
      <w:r w:rsidR="00BC1E63" w:rsidRPr="00E24229">
        <w:rPr>
          <w:rFonts w:ascii="Palatino Linotype" w:eastAsia="Times New Roman" w:hAnsi="Palatino Linotype" w:cs="Arial"/>
          <w:sz w:val="24"/>
          <w:szCs w:val="24"/>
        </w:rPr>
        <w:t>---------------------</w:t>
      </w:r>
      <w:r w:rsidR="00C37240" w:rsidRPr="00E24229">
        <w:rPr>
          <w:rFonts w:ascii="Palatino Linotype" w:eastAsia="Times New Roman" w:hAnsi="Palatino Linotype" w:cs="Arial"/>
          <w:sz w:val="24"/>
          <w:szCs w:val="24"/>
        </w:rPr>
        <w:t xml:space="preserve"> ----------------------------------------------------------------------------------------------------------------------------------------------------------------------------------------------------------------------------------------------------------------------------------------------------------------------------------------------------------------------------------------------------------------------------------------------------------------------------------------------------------------------------------------------------------------------------------------------------------------------------------------------------------------------------------------------------------------------------------------------------------------------------------------------------------------------------------------------------------------------------------------------------------------------------------------------------------------------------------------------------------------------------------------------------------------------------------------------------------------------------------------------------------------------------------------------------------------------------------------------------------------------------------------------------------------------------------------------------------------------------------------------------------------------------------------------------------------------------------------------------------------------------------------------------------------------------------------------------------------------------------------------------------------------------------------------------------------------------------------------------------------------------------------------------------------------------------------------------------------------------------------------------------------------------------------------------------------------------------------------------------------------------------------------------------------------------------------------------------------------------------------------------------------------------------------------------------------------------------------------------------------------------------------------------------------------------------------------------</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E24229">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BC35A" w14:textId="77777777" w:rsidR="00C861BC" w:rsidRDefault="00C861BC" w:rsidP="007E2E80">
      <w:pPr>
        <w:spacing w:after="0" w:line="240" w:lineRule="auto"/>
      </w:pPr>
      <w:r>
        <w:separator/>
      </w:r>
    </w:p>
  </w:endnote>
  <w:endnote w:type="continuationSeparator" w:id="0">
    <w:p w14:paraId="1D066CE6" w14:textId="77777777" w:rsidR="00C861BC" w:rsidRDefault="00C861B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77D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77D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77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77DC">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2ECCF" w14:textId="77777777" w:rsidR="00C861BC" w:rsidRDefault="00C861BC" w:rsidP="007E2E80">
      <w:pPr>
        <w:spacing w:after="0" w:line="240" w:lineRule="auto"/>
      </w:pPr>
      <w:r>
        <w:separator/>
      </w:r>
    </w:p>
  </w:footnote>
  <w:footnote w:type="continuationSeparator" w:id="0">
    <w:p w14:paraId="51DEFE91" w14:textId="77777777" w:rsidR="00C861BC" w:rsidRDefault="00C861BC"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0C77DC">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0C62D324" w:rsidR="00D77F62" w:rsidRDefault="00C03CC7" w:rsidP="006446F7">
          <w:pPr>
            <w:spacing w:after="120" w:line="256" w:lineRule="auto"/>
            <w:ind w:left="208" w:right="214"/>
            <w:jc w:val="right"/>
            <w:rPr>
              <w:rFonts w:ascii="Palatino Linotype" w:hAnsi="Palatino Linotype" w:cs="Arial"/>
              <w:szCs w:val="20"/>
            </w:rPr>
          </w:pPr>
          <w:r w:rsidRPr="00C03CC7">
            <w:rPr>
              <w:rFonts w:ascii="Palatino Linotype" w:hAnsi="Palatino Linotype" w:cs="Arial"/>
              <w:b/>
              <w:bCs/>
              <w:sz w:val="24"/>
              <w:lang w:eastAsia="es-MX"/>
            </w:rPr>
            <w:t>07255/INFOEM/IP/RR/2025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4757A2E4" w:rsidR="00D77F62" w:rsidRPr="00851958" w:rsidRDefault="006B27EC" w:rsidP="00BC7E0B">
          <w:pPr>
            <w:spacing w:after="120" w:line="256" w:lineRule="auto"/>
            <w:ind w:left="-67" w:right="214"/>
            <w:jc w:val="right"/>
            <w:rPr>
              <w:rFonts w:ascii="Palatino Linotype" w:hAnsi="Palatino Linotype" w:cs="Arial"/>
              <w:szCs w:val="20"/>
            </w:rPr>
          </w:pPr>
          <w:r w:rsidRPr="006B27EC">
            <w:rPr>
              <w:rFonts w:ascii="Palatino Linotype" w:hAnsi="Palatino Linotype" w:cs="Arial"/>
              <w:szCs w:val="20"/>
            </w:rPr>
            <w:t>Ayuntamiento de Zinacantepec</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2D8E6302" w:rsidR="00D77F62" w:rsidRPr="00B4142F" w:rsidRDefault="00C03CC7" w:rsidP="00A67E7A">
          <w:pPr>
            <w:spacing w:after="120" w:line="256" w:lineRule="auto"/>
            <w:ind w:left="208" w:right="78"/>
            <w:jc w:val="right"/>
            <w:rPr>
              <w:rFonts w:ascii="Palatino Linotype" w:hAnsi="Palatino Linotype" w:cs="Arial"/>
              <w:szCs w:val="20"/>
            </w:rPr>
          </w:pPr>
          <w:r w:rsidRPr="00C03CC7">
            <w:rPr>
              <w:rFonts w:ascii="Palatino Linotype" w:hAnsi="Palatino Linotype" w:cs="Arial"/>
              <w:b/>
              <w:bCs/>
              <w:sz w:val="24"/>
              <w:lang w:eastAsia="es-MX"/>
            </w:rPr>
            <w:t>07255/INFOEM/IP/RR/2025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19CAFAE4" w:rsidR="00D77F62" w:rsidRPr="00851958" w:rsidRDefault="000C77DC"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B552C10" w:rsidR="00D77F62" w:rsidRPr="00851958" w:rsidRDefault="006B27EC" w:rsidP="00A67E7A">
          <w:pPr>
            <w:spacing w:after="120" w:line="256" w:lineRule="auto"/>
            <w:ind w:left="-69" w:right="78" w:hanging="141"/>
            <w:jc w:val="right"/>
            <w:rPr>
              <w:rFonts w:ascii="Palatino Linotype" w:hAnsi="Palatino Linotype" w:cs="Arial"/>
              <w:szCs w:val="20"/>
            </w:rPr>
          </w:pPr>
          <w:r w:rsidRPr="006B27EC">
            <w:rPr>
              <w:rFonts w:ascii="Palatino Linotype" w:hAnsi="Palatino Linotype" w:cs="Arial"/>
              <w:szCs w:val="20"/>
            </w:rPr>
            <w:t>Ayuntamiento de Zinacantepec</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0C77DC">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4EBB"/>
    <w:rsid w:val="0001564E"/>
    <w:rsid w:val="00015A5D"/>
    <w:rsid w:val="00021E67"/>
    <w:rsid w:val="00022E72"/>
    <w:rsid w:val="00026271"/>
    <w:rsid w:val="000276E0"/>
    <w:rsid w:val="0003197C"/>
    <w:rsid w:val="00032DBD"/>
    <w:rsid w:val="00033949"/>
    <w:rsid w:val="00033A37"/>
    <w:rsid w:val="00033D2F"/>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C77DC"/>
    <w:rsid w:val="000D470A"/>
    <w:rsid w:val="000D47AB"/>
    <w:rsid w:val="000D6982"/>
    <w:rsid w:val="000D756B"/>
    <w:rsid w:val="000E2F7E"/>
    <w:rsid w:val="000E7C0A"/>
    <w:rsid w:val="000F0944"/>
    <w:rsid w:val="000F199E"/>
    <w:rsid w:val="000F1A39"/>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21C"/>
    <w:rsid w:val="001F0824"/>
    <w:rsid w:val="001F50D4"/>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2C2C"/>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539CB"/>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CA"/>
    <w:rsid w:val="00400852"/>
    <w:rsid w:val="00404F9D"/>
    <w:rsid w:val="00406B61"/>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C7"/>
    <w:rsid w:val="004657BE"/>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7379"/>
    <w:rsid w:val="0051020F"/>
    <w:rsid w:val="00515461"/>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33EB"/>
    <w:rsid w:val="0057534D"/>
    <w:rsid w:val="0057743C"/>
    <w:rsid w:val="00582B06"/>
    <w:rsid w:val="00590126"/>
    <w:rsid w:val="00591988"/>
    <w:rsid w:val="00596856"/>
    <w:rsid w:val="00596D53"/>
    <w:rsid w:val="00597257"/>
    <w:rsid w:val="005A5989"/>
    <w:rsid w:val="005A6F55"/>
    <w:rsid w:val="005B2A31"/>
    <w:rsid w:val="005B7E58"/>
    <w:rsid w:val="005B7FD6"/>
    <w:rsid w:val="005C057C"/>
    <w:rsid w:val="005C2A51"/>
    <w:rsid w:val="005C4FC9"/>
    <w:rsid w:val="005C76D5"/>
    <w:rsid w:val="005D02A8"/>
    <w:rsid w:val="005D3606"/>
    <w:rsid w:val="005D5EEB"/>
    <w:rsid w:val="005E3CF3"/>
    <w:rsid w:val="005E4421"/>
    <w:rsid w:val="005F0462"/>
    <w:rsid w:val="005F3A7E"/>
    <w:rsid w:val="005F4099"/>
    <w:rsid w:val="005F5FE1"/>
    <w:rsid w:val="005F6C02"/>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27EC"/>
    <w:rsid w:val="006B288E"/>
    <w:rsid w:val="006B5ED2"/>
    <w:rsid w:val="006C419B"/>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76AF"/>
    <w:rsid w:val="00774DEF"/>
    <w:rsid w:val="00776087"/>
    <w:rsid w:val="00785145"/>
    <w:rsid w:val="00786497"/>
    <w:rsid w:val="007934CF"/>
    <w:rsid w:val="00797BE3"/>
    <w:rsid w:val="007A0571"/>
    <w:rsid w:val="007A223B"/>
    <w:rsid w:val="007A3FFC"/>
    <w:rsid w:val="007A4E13"/>
    <w:rsid w:val="007B0292"/>
    <w:rsid w:val="007B0E30"/>
    <w:rsid w:val="007C23B1"/>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41E8"/>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594B"/>
    <w:rsid w:val="00927243"/>
    <w:rsid w:val="009272C6"/>
    <w:rsid w:val="00930F68"/>
    <w:rsid w:val="00932254"/>
    <w:rsid w:val="009339EC"/>
    <w:rsid w:val="00933D11"/>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286C"/>
    <w:rsid w:val="00A57B27"/>
    <w:rsid w:val="00A62727"/>
    <w:rsid w:val="00A63EF2"/>
    <w:rsid w:val="00A65C29"/>
    <w:rsid w:val="00A666CE"/>
    <w:rsid w:val="00A67E7A"/>
    <w:rsid w:val="00A7420E"/>
    <w:rsid w:val="00A77603"/>
    <w:rsid w:val="00A871F0"/>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2F71"/>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3CC7"/>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37240"/>
    <w:rsid w:val="00C40345"/>
    <w:rsid w:val="00C40A1A"/>
    <w:rsid w:val="00C40F3C"/>
    <w:rsid w:val="00C43477"/>
    <w:rsid w:val="00C52BC7"/>
    <w:rsid w:val="00C54C06"/>
    <w:rsid w:val="00C557DB"/>
    <w:rsid w:val="00C557FD"/>
    <w:rsid w:val="00C632D6"/>
    <w:rsid w:val="00C67A59"/>
    <w:rsid w:val="00C8573E"/>
    <w:rsid w:val="00C861BC"/>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1D99"/>
    <w:rsid w:val="00D72377"/>
    <w:rsid w:val="00D760EF"/>
    <w:rsid w:val="00D77F62"/>
    <w:rsid w:val="00D80239"/>
    <w:rsid w:val="00D81B31"/>
    <w:rsid w:val="00D82C3F"/>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4229"/>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2A64"/>
    <w:rsid w:val="00E65AE8"/>
    <w:rsid w:val="00E65CE5"/>
    <w:rsid w:val="00E70CAE"/>
    <w:rsid w:val="00E726BA"/>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05D4"/>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D4"/>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50759752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2603-9107-402B-BE99-BFFE175A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26</Pages>
  <Words>6339</Words>
  <Characters>34869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11</cp:revision>
  <cp:lastPrinted>2025-09-26T17:05:00Z</cp:lastPrinted>
  <dcterms:created xsi:type="dcterms:W3CDTF">2025-09-11T19:41:00Z</dcterms:created>
  <dcterms:modified xsi:type="dcterms:W3CDTF">2026-01-16T15:25:00Z</dcterms:modified>
</cp:coreProperties>
</file>