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Times New Roman" w:hAnsi="Palatino Linotype" w:cs="Times New Roman"/>
          <w:color w:val="auto"/>
          <w:sz w:val="22"/>
          <w:szCs w:val="22"/>
          <w:lang w:val="es-ES" w:eastAsia="es-ES"/>
        </w:rPr>
        <w:id w:val="1492215735"/>
        <w:docPartObj>
          <w:docPartGallery w:val="Table of Contents"/>
          <w:docPartUnique/>
        </w:docPartObj>
      </w:sdtPr>
      <w:sdtEndPr>
        <w:rPr>
          <w:b/>
          <w:bCs/>
        </w:rPr>
      </w:sdtEndPr>
      <w:sdtContent>
        <w:p w14:paraId="1AE18B79" w14:textId="6B195B53" w:rsidR="00AE3DA7" w:rsidRPr="00BC5CCA" w:rsidRDefault="00AE3DA7" w:rsidP="00BC5CCA">
          <w:pPr>
            <w:pStyle w:val="TtulodeTDC"/>
            <w:spacing w:before="0" w:line="240" w:lineRule="auto"/>
            <w:rPr>
              <w:rFonts w:ascii="Palatino Linotype" w:hAnsi="Palatino Linotype"/>
              <w:color w:val="auto"/>
              <w:sz w:val="22"/>
              <w:szCs w:val="22"/>
              <w:lang w:val="es-ES"/>
            </w:rPr>
          </w:pPr>
          <w:r w:rsidRPr="00BC5CCA">
            <w:rPr>
              <w:rFonts w:ascii="Palatino Linotype" w:hAnsi="Palatino Linotype"/>
              <w:color w:val="auto"/>
              <w:sz w:val="22"/>
              <w:szCs w:val="22"/>
              <w:lang w:val="es-ES"/>
            </w:rPr>
            <w:t>Contenido</w:t>
          </w:r>
        </w:p>
        <w:p w14:paraId="3EB312A7" w14:textId="77777777" w:rsidR="00AA6EA9" w:rsidRPr="00BC5CCA" w:rsidRDefault="00AA6EA9" w:rsidP="00BC5CCA">
          <w:pPr>
            <w:spacing w:line="240" w:lineRule="auto"/>
            <w:rPr>
              <w:szCs w:val="22"/>
              <w:lang w:val="es-ES" w:eastAsia="es-MX"/>
            </w:rPr>
          </w:pPr>
        </w:p>
        <w:p w14:paraId="4C383727" w14:textId="77777777" w:rsidR="003341BC" w:rsidRPr="00BC5CCA" w:rsidRDefault="00AE3DA7" w:rsidP="00BC5CCA">
          <w:pPr>
            <w:pStyle w:val="TDC1"/>
            <w:tabs>
              <w:tab w:val="right" w:leader="dot" w:pos="9034"/>
            </w:tabs>
            <w:rPr>
              <w:rFonts w:asciiTheme="minorHAnsi" w:eastAsiaTheme="minorEastAsia" w:hAnsiTheme="minorHAnsi" w:cstheme="minorBidi"/>
              <w:noProof/>
              <w:szCs w:val="22"/>
              <w:lang w:eastAsia="es-MX"/>
            </w:rPr>
          </w:pPr>
          <w:r w:rsidRPr="00BC5CCA">
            <w:rPr>
              <w:szCs w:val="22"/>
            </w:rPr>
            <w:fldChar w:fldCharType="begin"/>
          </w:r>
          <w:r w:rsidRPr="00BC5CCA">
            <w:rPr>
              <w:szCs w:val="22"/>
            </w:rPr>
            <w:instrText xml:space="preserve"> TOC \o "1-3" \h \z \u </w:instrText>
          </w:r>
          <w:r w:rsidRPr="00BC5CCA">
            <w:rPr>
              <w:szCs w:val="22"/>
            </w:rPr>
            <w:fldChar w:fldCharType="separate"/>
          </w:r>
          <w:hyperlink w:anchor="_Toc199960438" w:history="1">
            <w:r w:rsidR="003341BC" w:rsidRPr="00BC5CCA">
              <w:rPr>
                <w:rStyle w:val="Hipervnculo"/>
                <w:noProof/>
                <w:color w:val="auto"/>
              </w:rPr>
              <w:t>ANTECEDENTES</w:t>
            </w:r>
            <w:r w:rsidR="003341BC" w:rsidRPr="00BC5CCA">
              <w:rPr>
                <w:noProof/>
                <w:webHidden/>
              </w:rPr>
              <w:tab/>
            </w:r>
            <w:r w:rsidR="003341BC" w:rsidRPr="00BC5CCA">
              <w:rPr>
                <w:noProof/>
                <w:webHidden/>
              </w:rPr>
              <w:fldChar w:fldCharType="begin"/>
            </w:r>
            <w:r w:rsidR="003341BC" w:rsidRPr="00BC5CCA">
              <w:rPr>
                <w:noProof/>
                <w:webHidden/>
              </w:rPr>
              <w:instrText xml:space="preserve"> PAGEREF _Toc199960438 \h </w:instrText>
            </w:r>
            <w:r w:rsidR="003341BC" w:rsidRPr="00BC5CCA">
              <w:rPr>
                <w:noProof/>
                <w:webHidden/>
              </w:rPr>
            </w:r>
            <w:r w:rsidR="003341BC" w:rsidRPr="00BC5CCA">
              <w:rPr>
                <w:noProof/>
                <w:webHidden/>
              </w:rPr>
              <w:fldChar w:fldCharType="separate"/>
            </w:r>
            <w:r w:rsidR="00966367">
              <w:rPr>
                <w:noProof/>
                <w:webHidden/>
              </w:rPr>
              <w:t>1</w:t>
            </w:r>
            <w:r w:rsidR="003341BC" w:rsidRPr="00BC5CCA">
              <w:rPr>
                <w:noProof/>
                <w:webHidden/>
              </w:rPr>
              <w:fldChar w:fldCharType="end"/>
            </w:r>
          </w:hyperlink>
        </w:p>
        <w:p w14:paraId="23A8A956" w14:textId="77777777" w:rsidR="003341BC" w:rsidRPr="00BC5CCA" w:rsidRDefault="00C32BAC" w:rsidP="00BC5CCA">
          <w:pPr>
            <w:pStyle w:val="TDC2"/>
            <w:rPr>
              <w:rFonts w:asciiTheme="minorHAnsi" w:eastAsiaTheme="minorEastAsia" w:hAnsiTheme="minorHAnsi" w:cstheme="minorBidi"/>
              <w:noProof/>
              <w:szCs w:val="22"/>
              <w:lang w:eastAsia="es-MX"/>
            </w:rPr>
          </w:pPr>
          <w:hyperlink w:anchor="_Toc199960439" w:history="1">
            <w:r w:rsidR="003341BC" w:rsidRPr="00BC5CCA">
              <w:rPr>
                <w:rStyle w:val="Hipervnculo"/>
                <w:noProof/>
                <w:color w:val="auto"/>
              </w:rPr>
              <w:t>DE LA SOLICITUD DE INFORMACIÓN</w:t>
            </w:r>
            <w:r w:rsidR="003341BC" w:rsidRPr="00BC5CCA">
              <w:rPr>
                <w:noProof/>
                <w:webHidden/>
              </w:rPr>
              <w:tab/>
            </w:r>
            <w:r w:rsidR="003341BC" w:rsidRPr="00BC5CCA">
              <w:rPr>
                <w:noProof/>
                <w:webHidden/>
              </w:rPr>
              <w:fldChar w:fldCharType="begin"/>
            </w:r>
            <w:r w:rsidR="003341BC" w:rsidRPr="00BC5CCA">
              <w:rPr>
                <w:noProof/>
                <w:webHidden/>
              </w:rPr>
              <w:instrText xml:space="preserve"> PAGEREF _Toc199960439 \h </w:instrText>
            </w:r>
            <w:r w:rsidR="003341BC" w:rsidRPr="00BC5CCA">
              <w:rPr>
                <w:noProof/>
                <w:webHidden/>
              </w:rPr>
            </w:r>
            <w:r w:rsidR="003341BC" w:rsidRPr="00BC5CCA">
              <w:rPr>
                <w:noProof/>
                <w:webHidden/>
              </w:rPr>
              <w:fldChar w:fldCharType="separate"/>
            </w:r>
            <w:r w:rsidR="00966367">
              <w:rPr>
                <w:noProof/>
                <w:webHidden/>
              </w:rPr>
              <w:t>1</w:t>
            </w:r>
            <w:r w:rsidR="003341BC" w:rsidRPr="00BC5CCA">
              <w:rPr>
                <w:noProof/>
                <w:webHidden/>
              </w:rPr>
              <w:fldChar w:fldCharType="end"/>
            </w:r>
          </w:hyperlink>
        </w:p>
        <w:p w14:paraId="18751DBD" w14:textId="77777777" w:rsidR="003341BC" w:rsidRPr="00BC5CCA" w:rsidRDefault="00C32BAC" w:rsidP="00BC5CCA">
          <w:pPr>
            <w:pStyle w:val="TDC3"/>
            <w:rPr>
              <w:rFonts w:asciiTheme="minorHAnsi" w:eastAsiaTheme="minorEastAsia" w:hAnsiTheme="minorHAnsi" w:cstheme="minorBidi"/>
              <w:noProof/>
              <w:szCs w:val="22"/>
              <w:lang w:eastAsia="es-MX"/>
            </w:rPr>
          </w:pPr>
          <w:hyperlink w:anchor="_Toc199960440" w:history="1">
            <w:r w:rsidR="003341BC" w:rsidRPr="00BC5CCA">
              <w:rPr>
                <w:rStyle w:val="Hipervnculo"/>
                <w:noProof/>
                <w:color w:val="auto"/>
              </w:rPr>
              <w:t>a) Solicitud de información</w:t>
            </w:r>
            <w:r w:rsidR="003341BC" w:rsidRPr="00BC5CCA">
              <w:rPr>
                <w:noProof/>
                <w:webHidden/>
              </w:rPr>
              <w:tab/>
            </w:r>
            <w:r w:rsidR="003341BC" w:rsidRPr="00BC5CCA">
              <w:rPr>
                <w:noProof/>
                <w:webHidden/>
              </w:rPr>
              <w:fldChar w:fldCharType="begin"/>
            </w:r>
            <w:r w:rsidR="003341BC" w:rsidRPr="00BC5CCA">
              <w:rPr>
                <w:noProof/>
                <w:webHidden/>
              </w:rPr>
              <w:instrText xml:space="preserve"> PAGEREF _Toc199960440 \h </w:instrText>
            </w:r>
            <w:r w:rsidR="003341BC" w:rsidRPr="00BC5CCA">
              <w:rPr>
                <w:noProof/>
                <w:webHidden/>
              </w:rPr>
            </w:r>
            <w:r w:rsidR="003341BC" w:rsidRPr="00BC5CCA">
              <w:rPr>
                <w:noProof/>
                <w:webHidden/>
              </w:rPr>
              <w:fldChar w:fldCharType="separate"/>
            </w:r>
            <w:r w:rsidR="00966367">
              <w:rPr>
                <w:noProof/>
                <w:webHidden/>
              </w:rPr>
              <w:t>1</w:t>
            </w:r>
            <w:r w:rsidR="003341BC" w:rsidRPr="00BC5CCA">
              <w:rPr>
                <w:noProof/>
                <w:webHidden/>
              </w:rPr>
              <w:fldChar w:fldCharType="end"/>
            </w:r>
          </w:hyperlink>
        </w:p>
        <w:p w14:paraId="600298CD" w14:textId="77777777" w:rsidR="003341BC" w:rsidRPr="00BC5CCA" w:rsidRDefault="00C32BAC" w:rsidP="00BC5CCA">
          <w:pPr>
            <w:pStyle w:val="TDC3"/>
            <w:rPr>
              <w:rFonts w:asciiTheme="minorHAnsi" w:eastAsiaTheme="minorEastAsia" w:hAnsiTheme="minorHAnsi" w:cstheme="minorBidi"/>
              <w:noProof/>
              <w:szCs w:val="22"/>
              <w:lang w:eastAsia="es-MX"/>
            </w:rPr>
          </w:pPr>
          <w:hyperlink w:anchor="_Toc199960441" w:history="1">
            <w:r w:rsidR="003341BC" w:rsidRPr="00BC5CCA">
              <w:rPr>
                <w:rStyle w:val="Hipervnculo"/>
                <w:noProof/>
                <w:color w:val="auto"/>
              </w:rPr>
              <w:t>b) Turno de la solicitud de información</w:t>
            </w:r>
            <w:r w:rsidR="003341BC" w:rsidRPr="00BC5CCA">
              <w:rPr>
                <w:noProof/>
                <w:webHidden/>
              </w:rPr>
              <w:tab/>
            </w:r>
            <w:r w:rsidR="003341BC" w:rsidRPr="00BC5CCA">
              <w:rPr>
                <w:noProof/>
                <w:webHidden/>
              </w:rPr>
              <w:fldChar w:fldCharType="begin"/>
            </w:r>
            <w:r w:rsidR="003341BC" w:rsidRPr="00BC5CCA">
              <w:rPr>
                <w:noProof/>
                <w:webHidden/>
              </w:rPr>
              <w:instrText xml:space="preserve"> PAGEREF _Toc199960441 \h </w:instrText>
            </w:r>
            <w:r w:rsidR="003341BC" w:rsidRPr="00BC5CCA">
              <w:rPr>
                <w:noProof/>
                <w:webHidden/>
              </w:rPr>
            </w:r>
            <w:r w:rsidR="003341BC" w:rsidRPr="00BC5CCA">
              <w:rPr>
                <w:noProof/>
                <w:webHidden/>
              </w:rPr>
              <w:fldChar w:fldCharType="separate"/>
            </w:r>
            <w:r w:rsidR="00966367">
              <w:rPr>
                <w:noProof/>
                <w:webHidden/>
              </w:rPr>
              <w:t>2</w:t>
            </w:r>
            <w:r w:rsidR="003341BC" w:rsidRPr="00BC5CCA">
              <w:rPr>
                <w:noProof/>
                <w:webHidden/>
              </w:rPr>
              <w:fldChar w:fldCharType="end"/>
            </w:r>
          </w:hyperlink>
        </w:p>
        <w:p w14:paraId="5EACD2B4" w14:textId="77777777" w:rsidR="003341BC" w:rsidRPr="00BC5CCA" w:rsidRDefault="00C32BAC" w:rsidP="00BC5CCA">
          <w:pPr>
            <w:pStyle w:val="TDC3"/>
            <w:rPr>
              <w:rFonts w:asciiTheme="minorHAnsi" w:eastAsiaTheme="minorEastAsia" w:hAnsiTheme="minorHAnsi" w:cstheme="minorBidi"/>
              <w:noProof/>
              <w:szCs w:val="22"/>
              <w:lang w:eastAsia="es-MX"/>
            </w:rPr>
          </w:pPr>
          <w:hyperlink w:anchor="_Toc199960442" w:history="1">
            <w:r w:rsidR="003341BC" w:rsidRPr="00BC5CCA">
              <w:rPr>
                <w:rStyle w:val="Hipervnculo"/>
                <w:noProof/>
                <w:color w:val="auto"/>
                <w:lang w:val="es-ES"/>
              </w:rPr>
              <w:t xml:space="preserve">c) Respuesta </w:t>
            </w:r>
            <w:r w:rsidR="003341BC" w:rsidRPr="00BC5CCA">
              <w:rPr>
                <w:rStyle w:val="Hipervnculo"/>
                <w:rFonts w:eastAsia="Calibri"/>
                <w:noProof/>
                <w:color w:val="auto"/>
                <w:lang w:eastAsia="en-US"/>
              </w:rPr>
              <w:t>del Sujeto Obligado</w:t>
            </w:r>
            <w:r w:rsidR="003341BC" w:rsidRPr="00BC5CCA">
              <w:rPr>
                <w:noProof/>
                <w:webHidden/>
              </w:rPr>
              <w:tab/>
            </w:r>
            <w:r w:rsidR="003341BC" w:rsidRPr="00BC5CCA">
              <w:rPr>
                <w:noProof/>
                <w:webHidden/>
              </w:rPr>
              <w:fldChar w:fldCharType="begin"/>
            </w:r>
            <w:r w:rsidR="003341BC" w:rsidRPr="00BC5CCA">
              <w:rPr>
                <w:noProof/>
                <w:webHidden/>
              </w:rPr>
              <w:instrText xml:space="preserve"> PAGEREF _Toc199960442 \h </w:instrText>
            </w:r>
            <w:r w:rsidR="003341BC" w:rsidRPr="00BC5CCA">
              <w:rPr>
                <w:noProof/>
                <w:webHidden/>
              </w:rPr>
            </w:r>
            <w:r w:rsidR="003341BC" w:rsidRPr="00BC5CCA">
              <w:rPr>
                <w:noProof/>
                <w:webHidden/>
              </w:rPr>
              <w:fldChar w:fldCharType="separate"/>
            </w:r>
            <w:r w:rsidR="00966367">
              <w:rPr>
                <w:noProof/>
                <w:webHidden/>
              </w:rPr>
              <w:t>2</w:t>
            </w:r>
            <w:r w:rsidR="003341BC" w:rsidRPr="00BC5CCA">
              <w:rPr>
                <w:noProof/>
                <w:webHidden/>
              </w:rPr>
              <w:fldChar w:fldCharType="end"/>
            </w:r>
          </w:hyperlink>
        </w:p>
        <w:p w14:paraId="271C2240" w14:textId="77777777" w:rsidR="003341BC" w:rsidRPr="00BC5CCA" w:rsidRDefault="00C32BAC" w:rsidP="00BC5CCA">
          <w:pPr>
            <w:pStyle w:val="TDC2"/>
            <w:rPr>
              <w:rFonts w:asciiTheme="minorHAnsi" w:eastAsiaTheme="minorEastAsia" w:hAnsiTheme="minorHAnsi" w:cstheme="minorBidi"/>
              <w:noProof/>
              <w:szCs w:val="22"/>
              <w:lang w:eastAsia="es-MX"/>
            </w:rPr>
          </w:pPr>
          <w:hyperlink w:anchor="_Toc199960443" w:history="1">
            <w:r w:rsidR="003341BC" w:rsidRPr="00BC5CCA">
              <w:rPr>
                <w:rStyle w:val="Hipervnculo"/>
                <w:noProof/>
                <w:color w:val="auto"/>
              </w:rPr>
              <w:t>DEL RECURSO DE REVISIÓN</w:t>
            </w:r>
            <w:r w:rsidR="003341BC" w:rsidRPr="00BC5CCA">
              <w:rPr>
                <w:noProof/>
                <w:webHidden/>
              </w:rPr>
              <w:tab/>
            </w:r>
            <w:r w:rsidR="003341BC" w:rsidRPr="00BC5CCA">
              <w:rPr>
                <w:noProof/>
                <w:webHidden/>
              </w:rPr>
              <w:fldChar w:fldCharType="begin"/>
            </w:r>
            <w:r w:rsidR="003341BC" w:rsidRPr="00BC5CCA">
              <w:rPr>
                <w:noProof/>
                <w:webHidden/>
              </w:rPr>
              <w:instrText xml:space="preserve"> PAGEREF _Toc199960443 \h </w:instrText>
            </w:r>
            <w:r w:rsidR="003341BC" w:rsidRPr="00BC5CCA">
              <w:rPr>
                <w:noProof/>
                <w:webHidden/>
              </w:rPr>
            </w:r>
            <w:r w:rsidR="003341BC" w:rsidRPr="00BC5CCA">
              <w:rPr>
                <w:noProof/>
                <w:webHidden/>
              </w:rPr>
              <w:fldChar w:fldCharType="separate"/>
            </w:r>
            <w:r w:rsidR="00966367">
              <w:rPr>
                <w:noProof/>
                <w:webHidden/>
              </w:rPr>
              <w:t>3</w:t>
            </w:r>
            <w:r w:rsidR="003341BC" w:rsidRPr="00BC5CCA">
              <w:rPr>
                <w:noProof/>
                <w:webHidden/>
              </w:rPr>
              <w:fldChar w:fldCharType="end"/>
            </w:r>
          </w:hyperlink>
        </w:p>
        <w:p w14:paraId="7D5AC970" w14:textId="77777777" w:rsidR="003341BC" w:rsidRPr="00BC5CCA" w:rsidRDefault="00C32BAC" w:rsidP="00BC5CCA">
          <w:pPr>
            <w:pStyle w:val="TDC3"/>
            <w:rPr>
              <w:rFonts w:asciiTheme="minorHAnsi" w:eastAsiaTheme="minorEastAsia" w:hAnsiTheme="minorHAnsi" w:cstheme="minorBidi"/>
              <w:noProof/>
              <w:szCs w:val="22"/>
              <w:lang w:eastAsia="es-MX"/>
            </w:rPr>
          </w:pPr>
          <w:hyperlink w:anchor="_Toc199960444" w:history="1">
            <w:r w:rsidR="003341BC" w:rsidRPr="00BC5CCA">
              <w:rPr>
                <w:rStyle w:val="Hipervnculo"/>
                <w:noProof/>
                <w:color w:val="auto"/>
              </w:rPr>
              <w:t>a) Interposición del Recurso de Revisión</w:t>
            </w:r>
            <w:r w:rsidR="003341BC" w:rsidRPr="00BC5CCA">
              <w:rPr>
                <w:noProof/>
                <w:webHidden/>
              </w:rPr>
              <w:tab/>
            </w:r>
            <w:r w:rsidR="003341BC" w:rsidRPr="00BC5CCA">
              <w:rPr>
                <w:noProof/>
                <w:webHidden/>
              </w:rPr>
              <w:fldChar w:fldCharType="begin"/>
            </w:r>
            <w:r w:rsidR="003341BC" w:rsidRPr="00BC5CCA">
              <w:rPr>
                <w:noProof/>
                <w:webHidden/>
              </w:rPr>
              <w:instrText xml:space="preserve"> PAGEREF _Toc199960444 \h </w:instrText>
            </w:r>
            <w:r w:rsidR="003341BC" w:rsidRPr="00BC5CCA">
              <w:rPr>
                <w:noProof/>
                <w:webHidden/>
              </w:rPr>
            </w:r>
            <w:r w:rsidR="003341BC" w:rsidRPr="00BC5CCA">
              <w:rPr>
                <w:noProof/>
                <w:webHidden/>
              </w:rPr>
              <w:fldChar w:fldCharType="separate"/>
            </w:r>
            <w:r w:rsidR="00966367">
              <w:rPr>
                <w:noProof/>
                <w:webHidden/>
              </w:rPr>
              <w:t>3</w:t>
            </w:r>
            <w:r w:rsidR="003341BC" w:rsidRPr="00BC5CCA">
              <w:rPr>
                <w:noProof/>
                <w:webHidden/>
              </w:rPr>
              <w:fldChar w:fldCharType="end"/>
            </w:r>
          </w:hyperlink>
        </w:p>
        <w:p w14:paraId="1EEEC5E0" w14:textId="77777777" w:rsidR="003341BC" w:rsidRPr="00BC5CCA" w:rsidRDefault="00C32BAC" w:rsidP="00BC5CCA">
          <w:pPr>
            <w:pStyle w:val="TDC3"/>
            <w:rPr>
              <w:rFonts w:asciiTheme="minorHAnsi" w:eastAsiaTheme="minorEastAsia" w:hAnsiTheme="minorHAnsi" w:cstheme="minorBidi"/>
              <w:noProof/>
              <w:szCs w:val="22"/>
              <w:lang w:eastAsia="es-MX"/>
            </w:rPr>
          </w:pPr>
          <w:hyperlink w:anchor="_Toc199960445" w:history="1">
            <w:r w:rsidR="003341BC" w:rsidRPr="00BC5CCA">
              <w:rPr>
                <w:rStyle w:val="Hipervnculo"/>
                <w:noProof/>
                <w:color w:val="auto"/>
              </w:rPr>
              <w:t>b) Turno del Recurso de Revisión</w:t>
            </w:r>
            <w:r w:rsidR="003341BC" w:rsidRPr="00BC5CCA">
              <w:rPr>
                <w:noProof/>
                <w:webHidden/>
              </w:rPr>
              <w:tab/>
            </w:r>
            <w:r w:rsidR="003341BC" w:rsidRPr="00BC5CCA">
              <w:rPr>
                <w:noProof/>
                <w:webHidden/>
              </w:rPr>
              <w:fldChar w:fldCharType="begin"/>
            </w:r>
            <w:r w:rsidR="003341BC" w:rsidRPr="00BC5CCA">
              <w:rPr>
                <w:noProof/>
                <w:webHidden/>
              </w:rPr>
              <w:instrText xml:space="preserve"> PAGEREF _Toc199960445 \h </w:instrText>
            </w:r>
            <w:r w:rsidR="003341BC" w:rsidRPr="00BC5CCA">
              <w:rPr>
                <w:noProof/>
                <w:webHidden/>
              </w:rPr>
            </w:r>
            <w:r w:rsidR="003341BC" w:rsidRPr="00BC5CCA">
              <w:rPr>
                <w:noProof/>
                <w:webHidden/>
              </w:rPr>
              <w:fldChar w:fldCharType="separate"/>
            </w:r>
            <w:r w:rsidR="00966367">
              <w:rPr>
                <w:noProof/>
                <w:webHidden/>
              </w:rPr>
              <w:t>6</w:t>
            </w:r>
            <w:r w:rsidR="003341BC" w:rsidRPr="00BC5CCA">
              <w:rPr>
                <w:noProof/>
                <w:webHidden/>
              </w:rPr>
              <w:fldChar w:fldCharType="end"/>
            </w:r>
          </w:hyperlink>
        </w:p>
        <w:p w14:paraId="4929E356" w14:textId="77777777" w:rsidR="003341BC" w:rsidRPr="00BC5CCA" w:rsidRDefault="00C32BAC" w:rsidP="00BC5CCA">
          <w:pPr>
            <w:pStyle w:val="TDC3"/>
            <w:rPr>
              <w:rFonts w:asciiTheme="minorHAnsi" w:eastAsiaTheme="minorEastAsia" w:hAnsiTheme="minorHAnsi" w:cstheme="minorBidi"/>
              <w:noProof/>
              <w:szCs w:val="22"/>
              <w:lang w:eastAsia="es-MX"/>
            </w:rPr>
          </w:pPr>
          <w:hyperlink w:anchor="_Toc199960446" w:history="1">
            <w:r w:rsidR="003341BC" w:rsidRPr="00BC5CCA">
              <w:rPr>
                <w:rStyle w:val="Hipervnculo"/>
                <w:noProof/>
                <w:color w:val="auto"/>
              </w:rPr>
              <w:t>c) Admisión del Recurso de Revisión</w:t>
            </w:r>
            <w:r w:rsidR="003341BC" w:rsidRPr="00BC5CCA">
              <w:rPr>
                <w:noProof/>
                <w:webHidden/>
              </w:rPr>
              <w:tab/>
            </w:r>
            <w:r w:rsidR="003341BC" w:rsidRPr="00BC5CCA">
              <w:rPr>
                <w:noProof/>
                <w:webHidden/>
              </w:rPr>
              <w:fldChar w:fldCharType="begin"/>
            </w:r>
            <w:r w:rsidR="003341BC" w:rsidRPr="00BC5CCA">
              <w:rPr>
                <w:noProof/>
                <w:webHidden/>
              </w:rPr>
              <w:instrText xml:space="preserve"> PAGEREF _Toc199960446 \h </w:instrText>
            </w:r>
            <w:r w:rsidR="003341BC" w:rsidRPr="00BC5CCA">
              <w:rPr>
                <w:noProof/>
                <w:webHidden/>
              </w:rPr>
            </w:r>
            <w:r w:rsidR="003341BC" w:rsidRPr="00BC5CCA">
              <w:rPr>
                <w:noProof/>
                <w:webHidden/>
              </w:rPr>
              <w:fldChar w:fldCharType="separate"/>
            </w:r>
            <w:r w:rsidR="00966367">
              <w:rPr>
                <w:noProof/>
                <w:webHidden/>
              </w:rPr>
              <w:t>6</w:t>
            </w:r>
            <w:r w:rsidR="003341BC" w:rsidRPr="00BC5CCA">
              <w:rPr>
                <w:noProof/>
                <w:webHidden/>
              </w:rPr>
              <w:fldChar w:fldCharType="end"/>
            </w:r>
          </w:hyperlink>
        </w:p>
        <w:p w14:paraId="67034696" w14:textId="77777777" w:rsidR="003341BC" w:rsidRPr="00BC5CCA" w:rsidRDefault="00C32BAC" w:rsidP="00BC5CCA">
          <w:pPr>
            <w:pStyle w:val="TDC3"/>
            <w:rPr>
              <w:rFonts w:asciiTheme="minorHAnsi" w:eastAsiaTheme="minorEastAsia" w:hAnsiTheme="minorHAnsi" w:cstheme="minorBidi"/>
              <w:noProof/>
              <w:szCs w:val="22"/>
              <w:lang w:eastAsia="es-MX"/>
            </w:rPr>
          </w:pPr>
          <w:hyperlink w:anchor="_Toc199960447" w:history="1">
            <w:r w:rsidR="003341BC" w:rsidRPr="00BC5CCA">
              <w:rPr>
                <w:rStyle w:val="Hipervnculo"/>
                <w:noProof/>
                <w:color w:val="auto"/>
              </w:rPr>
              <w:t>d) Informe Justificado del Sujeto Obligado</w:t>
            </w:r>
            <w:r w:rsidR="003341BC" w:rsidRPr="00BC5CCA">
              <w:rPr>
                <w:noProof/>
                <w:webHidden/>
              </w:rPr>
              <w:tab/>
            </w:r>
            <w:r w:rsidR="003341BC" w:rsidRPr="00BC5CCA">
              <w:rPr>
                <w:noProof/>
                <w:webHidden/>
              </w:rPr>
              <w:fldChar w:fldCharType="begin"/>
            </w:r>
            <w:r w:rsidR="003341BC" w:rsidRPr="00BC5CCA">
              <w:rPr>
                <w:noProof/>
                <w:webHidden/>
              </w:rPr>
              <w:instrText xml:space="preserve"> PAGEREF _Toc199960447 \h </w:instrText>
            </w:r>
            <w:r w:rsidR="003341BC" w:rsidRPr="00BC5CCA">
              <w:rPr>
                <w:noProof/>
                <w:webHidden/>
              </w:rPr>
            </w:r>
            <w:r w:rsidR="003341BC" w:rsidRPr="00BC5CCA">
              <w:rPr>
                <w:noProof/>
                <w:webHidden/>
              </w:rPr>
              <w:fldChar w:fldCharType="separate"/>
            </w:r>
            <w:r w:rsidR="00966367">
              <w:rPr>
                <w:noProof/>
                <w:webHidden/>
              </w:rPr>
              <w:t>6</w:t>
            </w:r>
            <w:r w:rsidR="003341BC" w:rsidRPr="00BC5CCA">
              <w:rPr>
                <w:noProof/>
                <w:webHidden/>
              </w:rPr>
              <w:fldChar w:fldCharType="end"/>
            </w:r>
          </w:hyperlink>
        </w:p>
        <w:p w14:paraId="03B7DB5C" w14:textId="77777777" w:rsidR="003341BC" w:rsidRPr="00BC5CCA" w:rsidRDefault="00C32BAC" w:rsidP="00BC5CCA">
          <w:pPr>
            <w:pStyle w:val="TDC3"/>
            <w:rPr>
              <w:rFonts w:asciiTheme="minorHAnsi" w:eastAsiaTheme="minorEastAsia" w:hAnsiTheme="minorHAnsi" w:cstheme="minorBidi"/>
              <w:noProof/>
              <w:szCs w:val="22"/>
              <w:lang w:eastAsia="es-MX"/>
            </w:rPr>
          </w:pPr>
          <w:hyperlink w:anchor="_Toc199960448" w:history="1">
            <w:r w:rsidR="003341BC" w:rsidRPr="00BC5CCA">
              <w:rPr>
                <w:rStyle w:val="Hipervnculo"/>
                <w:rFonts w:eastAsia="Calibri"/>
                <w:bCs/>
                <w:noProof/>
                <w:color w:val="auto"/>
                <w:lang w:eastAsia="en-US"/>
              </w:rPr>
              <w:t>e)</w:t>
            </w:r>
            <w:r w:rsidR="003341BC" w:rsidRPr="00BC5CCA">
              <w:rPr>
                <w:rStyle w:val="Hipervnculo"/>
                <w:noProof/>
                <w:color w:val="auto"/>
              </w:rPr>
              <w:t xml:space="preserve"> </w:t>
            </w:r>
            <w:r w:rsidR="003341BC" w:rsidRPr="00BC5CCA">
              <w:rPr>
                <w:rStyle w:val="Hipervnculo"/>
                <w:noProof/>
                <w:color w:val="auto"/>
                <w:lang w:val="es-ES"/>
              </w:rPr>
              <w:t>Manifestaciones de la Parte Recurrente</w:t>
            </w:r>
            <w:r w:rsidR="003341BC" w:rsidRPr="00BC5CCA">
              <w:rPr>
                <w:noProof/>
                <w:webHidden/>
              </w:rPr>
              <w:tab/>
            </w:r>
            <w:r w:rsidR="003341BC" w:rsidRPr="00BC5CCA">
              <w:rPr>
                <w:noProof/>
                <w:webHidden/>
              </w:rPr>
              <w:fldChar w:fldCharType="begin"/>
            </w:r>
            <w:r w:rsidR="003341BC" w:rsidRPr="00BC5CCA">
              <w:rPr>
                <w:noProof/>
                <w:webHidden/>
              </w:rPr>
              <w:instrText xml:space="preserve"> PAGEREF _Toc199960448 \h </w:instrText>
            </w:r>
            <w:r w:rsidR="003341BC" w:rsidRPr="00BC5CCA">
              <w:rPr>
                <w:noProof/>
                <w:webHidden/>
              </w:rPr>
            </w:r>
            <w:r w:rsidR="003341BC" w:rsidRPr="00BC5CCA">
              <w:rPr>
                <w:noProof/>
                <w:webHidden/>
              </w:rPr>
              <w:fldChar w:fldCharType="separate"/>
            </w:r>
            <w:r w:rsidR="00966367">
              <w:rPr>
                <w:noProof/>
                <w:webHidden/>
              </w:rPr>
              <w:t>7</w:t>
            </w:r>
            <w:r w:rsidR="003341BC" w:rsidRPr="00BC5CCA">
              <w:rPr>
                <w:noProof/>
                <w:webHidden/>
              </w:rPr>
              <w:fldChar w:fldCharType="end"/>
            </w:r>
          </w:hyperlink>
        </w:p>
        <w:p w14:paraId="3F671D5B" w14:textId="77777777" w:rsidR="003341BC" w:rsidRPr="00BC5CCA" w:rsidRDefault="00C32BAC" w:rsidP="00BC5CCA">
          <w:pPr>
            <w:pStyle w:val="TDC3"/>
            <w:rPr>
              <w:rFonts w:asciiTheme="minorHAnsi" w:eastAsiaTheme="minorEastAsia" w:hAnsiTheme="minorHAnsi" w:cstheme="minorBidi"/>
              <w:noProof/>
              <w:szCs w:val="22"/>
              <w:lang w:eastAsia="es-MX"/>
            </w:rPr>
          </w:pPr>
          <w:hyperlink w:anchor="_Toc199960449" w:history="1">
            <w:r w:rsidR="003341BC" w:rsidRPr="00BC5CCA">
              <w:rPr>
                <w:rStyle w:val="Hipervnculo"/>
                <w:rFonts w:eastAsia="Calibri"/>
                <w:bCs/>
                <w:noProof/>
                <w:color w:val="auto"/>
                <w:lang w:eastAsia="en-US"/>
              </w:rPr>
              <w:t>f)</w:t>
            </w:r>
            <w:r w:rsidR="003341BC" w:rsidRPr="00BC5CCA">
              <w:rPr>
                <w:rStyle w:val="Hipervnculo"/>
                <w:noProof/>
                <w:color w:val="auto"/>
              </w:rPr>
              <w:t xml:space="preserve"> </w:t>
            </w:r>
            <w:r w:rsidR="003341BC" w:rsidRPr="00BC5CCA">
              <w:rPr>
                <w:rStyle w:val="Hipervnculo"/>
                <w:rFonts w:eastAsia="Calibri" w:cs="Tahoma"/>
                <w:noProof/>
                <w:color w:val="auto"/>
                <w:lang w:eastAsia="en-US"/>
              </w:rPr>
              <w:t>Requerimiento de información adicional</w:t>
            </w:r>
            <w:r w:rsidR="003341BC" w:rsidRPr="00BC5CCA">
              <w:rPr>
                <w:noProof/>
                <w:webHidden/>
              </w:rPr>
              <w:tab/>
            </w:r>
            <w:r w:rsidR="003341BC" w:rsidRPr="00BC5CCA">
              <w:rPr>
                <w:noProof/>
                <w:webHidden/>
              </w:rPr>
              <w:fldChar w:fldCharType="begin"/>
            </w:r>
            <w:r w:rsidR="003341BC" w:rsidRPr="00BC5CCA">
              <w:rPr>
                <w:noProof/>
                <w:webHidden/>
              </w:rPr>
              <w:instrText xml:space="preserve"> PAGEREF _Toc199960449 \h </w:instrText>
            </w:r>
            <w:r w:rsidR="003341BC" w:rsidRPr="00BC5CCA">
              <w:rPr>
                <w:noProof/>
                <w:webHidden/>
              </w:rPr>
            </w:r>
            <w:r w:rsidR="003341BC" w:rsidRPr="00BC5CCA">
              <w:rPr>
                <w:noProof/>
                <w:webHidden/>
              </w:rPr>
              <w:fldChar w:fldCharType="separate"/>
            </w:r>
            <w:r w:rsidR="00966367">
              <w:rPr>
                <w:noProof/>
                <w:webHidden/>
              </w:rPr>
              <w:t>8</w:t>
            </w:r>
            <w:r w:rsidR="003341BC" w:rsidRPr="00BC5CCA">
              <w:rPr>
                <w:noProof/>
                <w:webHidden/>
              </w:rPr>
              <w:fldChar w:fldCharType="end"/>
            </w:r>
          </w:hyperlink>
        </w:p>
        <w:p w14:paraId="71DE0A17" w14:textId="77777777" w:rsidR="003341BC" w:rsidRPr="00BC5CCA" w:rsidRDefault="00C32BAC" w:rsidP="00BC5CCA">
          <w:pPr>
            <w:pStyle w:val="TDC3"/>
            <w:rPr>
              <w:rFonts w:asciiTheme="minorHAnsi" w:eastAsiaTheme="minorEastAsia" w:hAnsiTheme="minorHAnsi" w:cstheme="minorBidi"/>
              <w:noProof/>
              <w:szCs w:val="22"/>
              <w:lang w:eastAsia="es-MX"/>
            </w:rPr>
          </w:pPr>
          <w:hyperlink w:anchor="_Toc199960450" w:history="1">
            <w:r w:rsidR="003341BC" w:rsidRPr="00BC5CCA">
              <w:rPr>
                <w:rStyle w:val="Hipervnculo"/>
                <w:rFonts w:eastAsia="Calibri"/>
                <w:noProof/>
                <w:color w:val="auto"/>
              </w:rPr>
              <w:t>g) Ampliación de plazo para resolver el Recurso de Revisión</w:t>
            </w:r>
            <w:r w:rsidR="003341BC" w:rsidRPr="00BC5CCA">
              <w:rPr>
                <w:noProof/>
                <w:webHidden/>
              </w:rPr>
              <w:tab/>
            </w:r>
            <w:r w:rsidR="003341BC" w:rsidRPr="00BC5CCA">
              <w:rPr>
                <w:noProof/>
                <w:webHidden/>
              </w:rPr>
              <w:fldChar w:fldCharType="begin"/>
            </w:r>
            <w:r w:rsidR="003341BC" w:rsidRPr="00BC5CCA">
              <w:rPr>
                <w:noProof/>
                <w:webHidden/>
              </w:rPr>
              <w:instrText xml:space="preserve"> PAGEREF _Toc199960450 \h </w:instrText>
            </w:r>
            <w:r w:rsidR="003341BC" w:rsidRPr="00BC5CCA">
              <w:rPr>
                <w:noProof/>
                <w:webHidden/>
              </w:rPr>
            </w:r>
            <w:r w:rsidR="003341BC" w:rsidRPr="00BC5CCA">
              <w:rPr>
                <w:noProof/>
                <w:webHidden/>
              </w:rPr>
              <w:fldChar w:fldCharType="separate"/>
            </w:r>
            <w:r w:rsidR="00966367">
              <w:rPr>
                <w:noProof/>
                <w:webHidden/>
              </w:rPr>
              <w:t>10</w:t>
            </w:r>
            <w:r w:rsidR="003341BC" w:rsidRPr="00BC5CCA">
              <w:rPr>
                <w:noProof/>
                <w:webHidden/>
              </w:rPr>
              <w:fldChar w:fldCharType="end"/>
            </w:r>
          </w:hyperlink>
        </w:p>
        <w:p w14:paraId="6E3612FB" w14:textId="77777777" w:rsidR="003341BC" w:rsidRPr="00BC5CCA" w:rsidRDefault="00C32BAC" w:rsidP="00BC5CCA">
          <w:pPr>
            <w:pStyle w:val="TDC3"/>
            <w:rPr>
              <w:rFonts w:asciiTheme="minorHAnsi" w:eastAsiaTheme="minorEastAsia" w:hAnsiTheme="minorHAnsi" w:cstheme="minorBidi"/>
              <w:noProof/>
              <w:szCs w:val="22"/>
              <w:lang w:eastAsia="es-MX"/>
            </w:rPr>
          </w:pPr>
          <w:hyperlink w:anchor="_Toc199960451" w:history="1">
            <w:r w:rsidR="003341BC" w:rsidRPr="00BC5CCA">
              <w:rPr>
                <w:rStyle w:val="Hipervnculo"/>
                <w:noProof/>
                <w:color w:val="auto"/>
              </w:rPr>
              <w:t>h) Cierre de instrucción</w:t>
            </w:r>
            <w:r w:rsidR="003341BC" w:rsidRPr="00BC5CCA">
              <w:rPr>
                <w:noProof/>
                <w:webHidden/>
              </w:rPr>
              <w:tab/>
            </w:r>
            <w:r w:rsidR="003341BC" w:rsidRPr="00BC5CCA">
              <w:rPr>
                <w:noProof/>
                <w:webHidden/>
              </w:rPr>
              <w:fldChar w:fldCharType="begin"/>
            </w:r>
            <w:r w:rsidR="003341BC" w:rsidRPr="00BC5CCA">
              <w:rPr>
                <w:noProof/>
                <w:webHidden/>
              </w:rPr>
              <w:instrText xml:space="preserve"> PAGEREF _Toc199960451 \h </w:instrText>
            </w:r>
            <w:r w:rsidR="003341BC" w:rsidRPr="00BC5CCA">
              <w:rPr>
                <w:noProof/>
                <w:webHidden/>
              </w:rPr>
            </w:r>
            <w:r w:rsidR="003341BC" w:rsidRPr="00BC5CCA">
              <w:rPr>
                <w:noProof/>
                <w:webHidden/>
              </w:rPr>
              <w:fldChar w:fldCharType="separate"/>
            </w:r>
            <w:r w:rsidR="00966367">
              <w:rPr>
                <w:noProof/>
                <w:webHidden/>
              </w:rPr>
              <w:t>13</w:t>
            </w:r>
            <w:r w:rsidR="003341BC" w:rsidRPr="00BC5CCA">
              <w:rPr>
                <w:noProof/>
                <w:webHidden/>
              </w:rPr>
              <w:fldChar w:fldCharType="end"/>
            </w:r>
          </w:hyperlink>
        </w:p>
        <w:p w14:paraId="2B83267D" w14:textId="77777777" w:rsidR="003341BC" w:rsidRPr="00BC5CCA" w:rsidRDefault="00C32BAC" w:rsidP="00BC5CCA">
          <w:pPr>
            <w:pStyle w:val="TDC1"/>
            <w:tabs>
              <w:tab w:val="right" w:leader="dot" w:pos="9034"/>
            </w:tabs>
            <w:rPr>
              <w:rFonts w:asciiTheme="minorHAnsi" w:eastAsiaTheme="minorEastAsia" w:hAnsiTheme="minorHAnsi" w:cstheme="minorBidi"/>
              <w:noProof/>
              <w:szCs w:val="22"/>
              <w:lang w:eastAsia="es-MX"/>
            </w:rPr>
          </w:pPr>
          <w:hyperlink w:anchor="_Toc199960452" w:history="1">
            <w:r w:rsidR="003341BC" w:rsidRPr="00BC5CCA">
              <w:rPr>
                <w:rStyle w:val="Hipervnculo"/>
                <w:rFonts w:eastAsiaTheme="minorHAnsi"/>
                <w:noProof/>
                <w:color w:val="auto"/>
                <w:lang w:eastAsia="en-US"/>
              </w:rPr>
              <w:t>CONSIDERANDOS</w:t>
            </w:r>
            <w:r w:rsidR="003341BC" w:rsidRPr="00BC5CCA">
              <w:rPr>
                <w:noProof/>
                <w:webHidden/>
              </w:rPr>
              <w:tab/>
            </w:r>
            <w:r w:rsidR="003341BC" w:rsidRPr="00BC5CCA">
              <w:rPr>
                <w:noProof/>
                <w:webHidden/>
              </w:rPr>
              <w:fldChar w:fldCharType="begin"/>
            </w:r>
            <w:r w:rsidR="003341BC" w:rsidRPr="00BC5CCA">
              <w:rPr>
                <w:noProof/>
                <w:webHidden/>
              </w:rPr>
              <w:instrText xml:space="preserve"> PAGEREF _Toc199960452 \h </w:instrText>
            </w:r>
            <w:r w:rsidR="003341BC" w:rsidRPr="00BC5CCA">
              <w:rPr>
                <w:noProof/>
                <w:webHidden/>
              </w:rPr>
            </w:r>
            <w:r w:rsidR="003341BC" w:rsidRPr="00BC5CCA">
              <w:rPr>
                <w:noProof/>
                <w:webHidden/>
              </w:rPr>
              <w:fldChar w:fldCharType="separate"/>
            </w:r>
            <w:r w:rsidR="00966367">
              <w:rPr>
                <w:noProof/>
                <w:webHidden/>
              </w:rPr>
              <w:t>13</w:t>
            </w:r>
            <w:r w:rsidR="003341BC" w:rsidRPr="00BC5CCA">
              <w:rPr>
                <w:noProof/>
                <w:webHidden/>
              </w:rPr>
              <w:fldChar w:fldCharType="end"/>
            </w:r>
          </w:hyperlink>
        </w:p>
        <w:p w14:paraId="61685443" w14:textId="77777777" w:rsidR="003341BC" w:rsidRPr="00BC5CCA" w:rsidRDefault="00C32BAC" w:rsidP="00BC5CCA">
          <w:pPr>
            <w:pStyle w:val="TDC2"/>
            <w:rPr>
              <w:rFonts w:asciiTheme="minorHAnsi" w:eastAsiaTheme="minorEastAsia" w:hAnsiTheme="minorHAnsi" w:cstheme="minorBidi"/>
              <w:noProof/>
              <w:szCs w:val="22"/>
              <w:lang w:eastAsia="es-MX"/>
            </w:rPr>
          </w:pPr>
          <w:hyperlink w:anchor="_Toc199960453" w:history="1">
            <w:r w:rsidR="003341BC" w:rsidRPr="00BC5CCA">
              <w:rPr>
                <w:rStyle w:val="Hipervnculo"/>
                <w:rFonts w:eastAsia="Batang"/>
                <w:noProof/>
                <w:color w:val="auto"/>
              </w:rPr>
              <w:t>PRIMERO. Procedibilidad</w:t>
            </w:r>
            <w:r w:rsidR="003341BC" w:rsidRPr="00BC5CCA">
              <w:rPr>
                <w:noProof/>
                <w:webHidden/>
              </w:rPr>
              <w:tab/>
            </w:r>
            <w:r w:rsidR="003341BC" w:rsidRPr="00BC5CCA">
              <w:rPr>
                <w:noProof/>
                <w:webHidden/>
              </w:rPr>
              <w:fldChar w:fldCharType="begin"/>
            </w:r>
            <w:r w:rsidR="003341BC" w:rsidRPr="00BC5CCA">
              <w:rPr>
                <w:noProof/>
                <w:webHidden/>
              </w:rPr>
              <w:instrText xml:space="preserve"> PAGEREF _Toc199960453 \h </w:instrText>
            </w:r>
            <w:r w:rsidR="003341BC" w:rsidRPr="00BC5CCA">
              <w:rPr>
                <w:noProof/>
                <w:webHidden/>
              </w:rPr>
            </w:r>
            <w:r w:rsidR="003341BC" w:rsidRPr="00BC5CCA">
              <w:rPr>
                <w:noProof/>
                <w:webHidden/>
              </w:rPr>
              <w:fldChar w:fldCharType="separate"/>
            </w:r>
            <w:r w:rsidR="00966367">
              <w:rPr>
                <w:noProof/>
                <w:webHidden/>
              </w:rPr>
              <w:t>13</w:t>
            </w:r>
            <w:r w:rsidR="003341BC" w:rsidRPr="00BC5CCA">
              <w:rPr>
                <w:noProof/>
                <w:webHidden/>
              </w:rPr>
              <w:fldChar w:fldCharType="end"/>
            </w:r>
          </w:hyperlink>
        </w:p>
        <w:p w14:paraId="7A7579C9" w14:textId="77777777" w:rsidR="003341BC" w:rsidRPr="00BC5CCA" w:rsidRDefault="00C32BAC" w:rsidP="00BC5CCA">
          <w:pPr>
            <w:pStyle w:val="TDC3"/>
            <w:rPr>
              <w:rFonts w:asciiTheme="minorHAnsi" w:eastAsiaTheme="minorEastAsia" w:hAnsiTheme="minorHAnsi" w:cstheme="minorBidi"/>
              <w:noProof/>
              <w:szCs w:val="22"/>
              <w:lang w:eastAsia="es-MX"/>
            </w:rPr>
          </w:pPr>
          <w:hyperlink w:anchor="_Toc199960454" w:history="1">
            <w:r w:rsidR="003341BC" w:rsidRPr="00BC5CCA">
              <w:rPr>
                <w:rStyle w:val="Hipervnculo"/>
                <w:noProof/>
                <w:color w:val="auto"/>
              </w:rPr>
              <w:t>a) Competencia del Instituto</w:t>
            </w:r>
            <w:r w:rsidR="003341BC" w:rsidRPr="00BC5CCA">
              <w:rPr>
                <w:noProof/>
                <w:webHidden/>
              </w:rPr>
              <w:tab/>
            </w:r>
            <w:r w:rsidR="003341BC" w:rsidRPr="00BC5CCA">
              <w:rPr>
                <w:noProof/>
                <w:webHidden/>
              </w:rPr>
              <w:fldChar w:fldCharType="begin"/>
            </w:r>
            <w:r w:rsidR="003341BC" w:rsidRPr="00BC5CCA">
              <w:rPr>
                <w:noProof/>
                <w:webHidden/>
              </w:rPr>
              <w:instrText xml:space="preserve"> PAGEREF _Toc199960454 \h </w:instrText>
            </w:r>
            <w:r w:rsidR="003341BC" w:rsidRPr="00BC5CCA">
              <w:rPr>
                <w:noProof/>
                <w:webHidden/>
              </w:rPr>
            </w:r>
            <w:r w:rsidR="003341BC" w:rsidRPr="00BC5CCA">
              <w:rPr>
                <w:noProof/>
                <w:webHidden/>
              </w:rPr>
              <w:fldChar w:fldCharType="separate"/>
            </w:r>
            <w:r w:rsidR="00966367">
              <w:rPr>
                <w:noProof/>
                <w:webHidden/>
              </w:rPr>
              <w:t>13</w:t>
            </w:r>
            <w:r w:rsidR="003341BC" w:rsidRPr="00BC5CCA">
              <w:rPr>
                <w:noProof/>
                <w:webHidden/>
              </w:rPr>
              <w:fldChar w:fldCharType="end"/>
            </w:r>
          </w:hyperlink>
        </w:p>
        <w:p w14:paraId="07CDFFFF" w14:textId="77777777" w:rsidR="003341BC" w:rsidRPr="00BC5CCA" w:rsidRDefault="00C32BAC" w:rsidP="00BC5CCA">
          <w:pPr>
            <w:pStyle w:val="TDC3"/>
            <w:rPr>
              <w:rFonts w:asciiTheme="minorHAnsi" w:eastAsiaTheme="minorEastAsia" w:hAnsiTheme="minorHAnsi" w:cstheme="minorBidi"/>
              <w:noProof/>
              <w:szCs w:val="22"/>
              <w:lang w:eastAsia="es-MX"/>
            </w:rPr>
          </w:pPr>
          <w:hyperlink w:anchor="_Toc199960455" w:history="1">
            <w:r w:rsidR="003341BC" w:rsidRPr="00BC5CCA">
              <w:rPr>
                <w:rStyle w:val="Hipervnculo"/>
                <w:noProof/>
                <w:color w:val="auto"/>
              </w:rPr>
              <w:t>b) Legitimidad de la parte recurrente</w:t>
            </w:r>
            <w:r w:rsidR="003341BC" w:rsidRPr="00BC5CCA">
              <w:rPr>
                <w:noProof/>
                <w:webHidden/>
              </w:rPr>
              <w:tab/>
            </w:r>
            <w:r w:rsidR="003341BC" w:rsidRPr="00BC5CCA">
              <w:rPr>
                <w:noProof/>
                <w:webHidden/>
              </w:rPr>
              <w:fldChar w:fldCharType="begin"/>
            </w:r>
            <w:r w:rsidR="003341BC" w:rsidRPr="00BC5CCA">
              <w:rPr>
                <w:noProof/>
                <w:webHidden/>
              </w:rPr>
              <w:instrText xml:space="preserve"> PAGEREF _Toc199960455 \h </w:instrText>
            </w:r>
            <w:r w:rsidR="003341BC" w:rsidRPr="00BC5CCA">
              <w:rPr>
                <w:noProof/>
                <w:webHidden/>
              </w:rPr>
            </w:r>
            <w:r w:rsidR="003341BC" w:rsidRPr="00BC5CCA">
              <w:rPr>
                <w:noProof/>
                <w:webHidden/>
              </w:rPr>
              <w:fldChar w:fldCharType="separate"/>
            </w:r>
            <w:r w:rsidR="00966367">
              <w:rPr>
                <w:noProof/>
                <w:webHidden/>
              </w:rPr>
              <w:t>14</w:t>
            </w:r>
            <w:r w:rsidR="003341BC" w:rsidRPr="00BC5CCA">
              <w:rPr>
                <w:noProof/>
                <w:webHidden/>
              </w:rPr>
              <w:fldChar w:fldCharType="end"/>
            </w:r>
          </w:hyperlink>
        </w:p>
        <w:p w14:paraId="04E28360" w14:textId="77777777" w:rsidR="003341BC" w:rsidRPr="00BC5CCA" w:rsidRDefault="00C32BAC" w:rsidP="00BC5CCA">
          <w:pPr>
            <w:pStyle w:val="TDC3"/>
            <w:rPr>
              <w:rFonts w:asciiTheme="minorHAnsi" w:eastAsiaTheme="minorEastAsia" w:hAnsiTheme="minorHAnsi" w:cstheme="minorBidi"/>
              <w:noProof/>
              <w:szCs w:val="22"/>
              <w:lang w:eastAsia="es-MX"/>
            </w:rPr>
          </w:pPr>
          <w:hyperlink w:anchor="_Toc199960456" w:history="1">
            <w:r w:rsidR="003341BC" w:rsidRPr="00BC5CCA">
              <w:rPr>
                <w:rStyle w:val="Hipervnculo"/>
                <w:rFonts w:eastAsia="Calibri"/>
                <w:noProof/>
                <w:color w:val="auto"/>
                <w:lang w:eastAsia="es-ES_tradnl"/>
              </w:rPr>
              <w:t>c) Plazo para interponer el recurso</w:t>
            </w:r>
            <w:r w:rsidR="003341BC" w:rsidRPr="00BC5CCA">
              <w:rPr>
                <w:noProof/>
                <w:webHidden/>
              </w:rPr>
              <w:tab/>
            </w:r>
            <w:r w:rsidR="003341BC" w:rsidRPr="00BC5CCA">
              <w:rPr>
                <w:noProof/>
                <w:webHidden/>
              </w:rPr>
              <w:fldChar w:fldCharType="begin"/>
            </w:r>
            <w:r w:rsidR="003341BC" w:rsidRPr="00BC5CCA">
              <w:rPr>
                <w:noProof/>
                <w:webHidden/>
              </w:rPr>
              <w:instrText xml:space="preserve"> PAGEREF _Toc199960456 \h </w:instrText>
            </w:r>
            <w:r w:rsidR="003341BC" w:rsidRPr="00BC5CCA">
              <w:rPr>
                <w:noProof/>
                <w:webHidden/>
              </w:rPr>
            </w:r>
            <w:r w:rsidR="003341BC" w:rsidRPr="00BC5CCA">
              <w:rPr>
                <w:noProof/>
                <w:webHidden/>
              </w:rPr>
              <w:fldChar w:fldCharType="separate"/>
            </w:r>
            <w:r w:rsidR="00966367">
              <w:rPr>
                <w:noProof/>
                <w:webHidden/>
              </w:rPr>
              <w:t>14</w:t>
            </w:r>
            <w:r w:rsidR="003341BC" w:rsidRPr="00BC5CCA">
              <w:rPr>
                <w:noProof/>
                <w:webHidden/>
              </w:rPr>
              <w:fldChar w:fldCharType="end"/>
            </w:r>
          </w:hyperlink>
        </w:p>
        <w:p w14:paraId="00D6B406" w14:textId="77777777" w:rsidR="003341BC" w:rsidRPr="00BC5CCA" w:rsidRDefault="00C32BAC" w:rsidP="00BC5CCA">
          <w:pPr>
            <w:pStyle w:val="TDC3"/>
            <w:rPr>
              <w:rFonts w:asciiTheme="minorHAnsi" w:eastAsiaTheme="minorEastAsia" w:hAnsiTheme="minorHAnsi" w:cstheme="minorBidi"/>
              <w:noProof/>
              <w:szCs w:val="22"/>
              <w:lang w:eastAsia="es-MX"/>
            </w:rPr>
          </w:pPr>
          <w:hyperlink w:anchor="_Toc199960457" w:history="1">
            <w:r w:rsidR="003341BC" w:rsidRPr="00BC5CCA">
              <w:rPr>
                <w:rStyle w:val="Hipervnculo"/>
                <w:rFonts w:eastAsia="Calibri"/>
                <w:noProof/>
                <w:color w:val="auto"/>
                <w:lang w:eastAsia="es-ES_tradnl"/>
              </w:rPr>
              <w:t>d) Causal de Procedencia</w:t>
            </w:r>
            <w:r w:rsidR="003341BC" w:rsidRPr="00BC5CCA">
              <w:rPr>
                <w:noProof/>
                <w:webHidden/>
              </w:rPr>
              <w:tab/>
            </w:r>
            <w:r w:rsidR="003341BC" w:rsidRPr="00BC5CCA">
              <w:rPr>
                <w:noProof/>
                <w:webHidden/>
              </w:rPr>
              <w:fldChar w:fldCharType="begin"/>
            </w:r>
            <w:r w:rsidR="003341BC" w:rsidRPr="00BC5CCA">
              <w:rPr>
                <w:noProof/>
                <w:webHidden/>
              </w:rPr>
              <w:instrText xml:space="preserve"> PAGEREF _Toc199960457 \h </w:instrText>
            </w:r>
            <w:r w:rsidR="003341BC" w:rsidRPr="00BC5CCA">
              <w:rPr>
                <w:noProof/>
                <w:webHidden/>
              </w:rPr>
            </w:r>
            <w:r w:rsidR="003341BC" w:rsidRPr="00BC5CCA">
              <w:rPr>
                <w:noProof/>
                <w:webHidden/>
              </w:rPr>
              <w:fldChar w:fldCharType="separate"/>
            </w:r>
            <w:r w:rsidR="00966367">
              <w:rPr>
                <w:noProof/>
                <w:webHidden/>
              </w:rPr>
              <w:t>14</w:t>
            </w:r>
            <w:r w:rsidR="003341BC" w:rsidRPr="00BC5CCA">
              <w:rPr>
                <w:noProof/>
                <w:webHidden/>
              </w:rPr>
              <w:fldChar w:fldCharType="end"/>
            </w:r>
          </w:hyperlink>
        </w:p>
        <w:p w14:paraId="47C4FBDB" w14:textId="77777777" w:rsidR="003341BC" w:rsidRPr="00BC5CCA" w:rsidRDefault="00C32BAC" w:rsidP="00BC5CCA">
          <w:pPr>
            <w:pStyle w:val="TDC3"/>
            <w:rPr>
              <w:rFonts w:asciiTheme="minorHAnsi" w:eastAsiaTheme="minorEastAsia" w:hAnsiTheme="minorHAnsi" w:cstheme="minorBidi"/>
              <w:noProof/>
              <w:szCs w:val="22"/>
              <w:lang w:eastAsia="es-MX"/>
            </w:rPr>
          </w:pPr>
          <w:hyperlink w:anchor="_Toc199960458" w:history="1">
            <w:r w:rsidR="003341BC" w:rsidRPr="00BC5CCA">
              <w:rPr>
                <w:rStyle w:val="Hipervnculo"/>
                <w:noProof/>
                <w:color w:val="auto"/>
              </w:rPr>
              <w:t>e) Requisitos formales para la interposición del recurso</w:t>
            </w:r>
            <w:r w:rsidR="003341BC" w:rsidRPr="00BC5CCA">
              <w:rPr>
                <w:noProof/>
                <w:webHidden/>
              </w:rPr>
              <w:tab/>
            </w:r>
            <w:r w:rsidR="003341BC" w:rsidRPr="00BC5CCA">
              <w:rPr>
                <w:noProof/>
                <w:webHidden/>
              </w:rPr>
              <w:fldChar w:fldCharType="begin"/>
            </w:r>
            <w:r w:rsidR="003341BC" w:rsidRPr="00BC5CCA">
              <w:rPr>
                <w:noProof/>
                <w:webHidden/>
              </w:rPr>
              <w:instrText xml:space="preserve"> PAGEREF _Toc199960458 \h </w:instrText>
            </w:r>
            <w:r w:rsidR="003341BC" w:rsidRPr="00BC5CCA">
              <w:rPr>
                <w:noProof/>
                <w:webHidden/>
              </w:rPr>
            </w:r>
            <w:r w:rsidR="003341BC" w:rsidRPr="00BC5CCA">
              <w:rPr>
                <w:noProof/>
                <w:webHidden/>
              </w:rPr>
              <w:fldChar w:fldCharType="separate"/>
            </w:r>
            <w:r w:rsidR="00966367">
              <w:rPr>
                <w:noProof/>
                <w:webHidden/>
              </w:rPr>
              <w:t>14</w:t>
            </w:r>
            <w:r w:rsidR="003341BC" w:rsidRPr="00BC5CCA">
              <w:rPr>
                <w:noProof/>
                <w:webHidden/>
              </w:rPr>
              <w:fldChar w:fldCharType="end"/>
            </w:r>
          </w:hyperlink>
        </w:p>
        <w:p w14:paraId="6AFEEACE" w14:textId="77777777" w:rsidR="003341BC" w:rsidRPr="00BC5CCA" w:rsidRDefault="00C32BAC" w:rsidP="00BC5CCA">
          <w:pPr>
            <w:pStyle w:val="TDC2"/>
            <w:rPr>
              <w:rFonts w:asciiTheme="minorHAnsi" w:eastAsiaTheme="minorEastAsia" w:hAnsiTheme="minorHAnsi" w:cstheme="minorBidi"/>
              <w:noProof/>
              <w:szCs w:val="22"/>
              <w:lang w:eastAsia="es-MX"/>
            </w:rPr>
          </w:pPr>
          <w:hyperlink w:anchor="_Toc199960459" w:history="1">
            <w:r w:rsidR="003341BC" w:rsidRPr="00BC5CCA">
              <w:rPr>
                <w:rStyle w:val="Hipervnculo"/>
                <w:noProof/>
                <w:color w:val="auto"/>
              </w:rPr>
              <w:t>SEGUNDO. Estudio de Fondo</w:t>
            </w:r>
            <w:r w:rsidR="003341BC" w:rsidRPr="00BC5CCA">
              <w:rPr>
                <w:noProof/>
                <w:webHidden/>
              </w:rPr>
              <w:tab/>
            </w:r>
            <w:r w:rsidR="003341BC" w:rsidRPr="00BC5CCA">
              <w:rPr>
                <w:noProof/>
                <w:webHidden/>
              </w:rPr>
              <w:fldChar w:fldCharType="begin"/>
            </w:r>
            <w:r w:rsidR="003341BC" w:rsidRPr="00BC5CCA">
              <w:rPr>
                <w:noProof/>
                <w:webHidden/>
              </w:rPr>
              <w:instrText xml:space="preserve"> PAGEREF _Toc199960459 \h </w:instrText>
            </w:r>
            <w:r w:rsidR="003341BC" w:rsidRPr="00BC5CCA">
              <w:rPr>
                <w:noProof/>
                <w:webHidden/>
              </w:rPr>
            </w:r>
            <w:r w:rsidR="003341BC" w:rsidRPr="00BC5CCA">
              <w:rPr>
                <w:noProof/>
                <w:webHidden/>
              </w:rPr>
              <w:fldChar w:fldCharType="separate"/>
            </w:r>
            <w:r w:rsidR="00966367">
              <w:rPr>
                <w:noProof/>
                <w:webHidden/>
              </w:rPr>
              <w:t>15</w:t>
            </w:r>
            <w:r w:rsidR="003341BC" w:rsidRPr="00BC5CCA">
              <w:rPr>
                <w:noProof/>
                <w:webHidden/>
              </w:rPr>
              <w:fldChar w:fldCharType="end"/>
            </w:r>
          </w:hyperlink>
        </w:p>
        <w:p w14:paraId="5082DBDE" w14:textId="77777777" w:rsidR="003341BC" w:rsidRPr="00BC5CCA" w:rsidRDefault="00C32BAC" w:rsidP="00BC5CCA">
          <w:pPr>
            <w:pStyle w:val="TDC3"/>
            <w:rPr>
              <w:rFonts w:asciiTheme="minorHAnsi" w:eastAsiaTheme="minorEastAsia" w:hAnsiTheme="minorHAnsi" w:cstheme="minorBidi"/>
              <w:noProof/>
              <w:szCs w:val="22"/>
              <w:lang w:eastAsia="es-MX"/>
            </w:rPr>
          </w:pPr>
          <w:hyperlink w:anchor="_Toc199960460" w:history="1">
            <w:r w:rsidR="003341BC" w:rsidRPr="00BC5CCA">
              <w:rPr>
                <w:rStyle w:val="Hipervnculo"/>
                <w:noProof/>
                <w:color w:val="auto"/>
              </w:rPr>
              <w:t>a) Mandato de transparencia y responsabilidad del Sujeto Obligado</w:t>
            </w:r>
            <w:r w:rsidR="003341BC" w:rsidRPr="00BC5CCA">
              <w:rPr>
                <w:noProof/>
                <w:webHidden/>
              </w:rPr>
              <w:tab/>
            </w:r>
            <w:r w:rsidR="003341BC" w:rsidRPr="00BC5CCA">
              <w:rPr>
                <w:noProof/>
                <w:webHidden/>
              </w:rPr>
              <w:fldChar w:fldCharType="begin"/>
            </w:r>
            <w:r w:rsidR="003341BC" w:rsidRPr="00BC5CCA">
              <w:rPr>
                <w:noProof/>
                <w:webHidden/>
              </w:rPr>
              <w:instrText xml:space="preserve"> PAGEREF _Toc199960460 \h </w:instrText>
            </w:r>
            <w:r w:rsidR="003341BC" w:rsidRPr="00BC5CCA">
              <w:rPr>
                <w:noProof/>
                <w:webHidden/>
              </w:rPr>
            </w:r>
            <w:r w:rsidR="003341BC" w:rsidRPr="00BC5CCA">
              <w:rPr>
                <w:noProof/>
                <w:webHidden/>
              </w:rPr>
              <w:fldChar w:fldCharType="separate"/>
            </w:r>
            <w:r w:rsidR="00966367">
              <w:rPr>
                <w:noProof/>
                <w:webHidden/>
              </w:rPr>
              <w:t>15</w:t>
            </w:r>
            <w:r w:rsidR="003341BC" w:rsidRPr="00BC5CCA">
              <w:rPr>
                <w:noProof/>
                <w:webHidden/>
              </w:rPr>
              <w:fldChar w:fldCharType="end"/>
            </w:r>
          </w:hyperlink>
        </w:p>
        <w:p w14:paraId="4739B761" w14:textId="77777777" w:rsidR="003341BC" w:rsidRPr="00BC5CCA" w:rsidRDefault="00C32BAC" w:rsidP="00BC5CCA">
          <w:pPr>
            <w:pStyle w:val="TDC3"/>
            <w:rPr>
              <w:rFonts w:asciiTheme="minorHAnsi" w:eastAsiaTheme="minorEastAsia" w:hAnsiTheme="minorHAnsi" w:cstheme="minorBidi"/>
              <w:noProof/>
              <w:szCs w:val="22"/>
              <w:lang w:eastAsia="es-MX"/>
            </w:rPr>
          </w:pPr>
          <w:hyperlink w:anchor="_Toc199960461" w:history="1">
            <w:r w:rsidR="003341BC" w:rsidRPr="00BC5CCA">
              <w:rPr>
                <w:rStyle w:val="Hipervnculo"/>
                <w:rFonts w:eastAsia="Calibri"/>
                <w:noProof/>
                <w:color w:val="auto"/>
                <w:lang w:eastAsia="es-ES_tradnl"/>
              </w:rPr>
              <w:t>b) Controversia a resolver</w:t>
            </w:r>
            <w:r w:rsidR="003341BC" w:rsidRPr="00BC5CCA">
              <w:rPr>
                <w:noProof/>
                <w:webHidden/>
              </w:rPr>
              <w:tab/>
            </w:r>
            <w:r w:rsidR="003341BC" w:rsidRPr="00BC5CCA">
              <w:rPr>
                <w:noProof/>
                <w:webHidden/>
              </w:rPr>
              <w:fldChar w:fldCharType="begin"/>
            </w:r>
            <w:r w:rsidR="003341BC" w:rsidRPr="00BC5CCA">
              <w:rPr>
                <w:noProof/>
                <w:webHidden/>
              </w:rPr>
              <w:instrText xml:space="preserve"> PAGEREF _Toc199960461 \h </w:instrText>
            </w:r>
            <w:r w:rsidR="003341BC" w:rsidRPr="00BC5CCA">
              <w:rPr>
                <w:noProof/>
                <w:webHidden/>
              </w:rPr>
            </w:r>
            <w:r w:rsidR="003341BC" w:rsidRPr="00BC5CCA">
              <w:rPr>
                <w:noProof/>
                <w:webHidden/>
              </w:rPr>
              <w:fldChar w:fldCharType="separate"/>
            </w:r>
            <w:r w:rsidR="00966367">
              <w:rPr>
                <w:noProof/>
                <w:webHidden/>
              </w:rPr>
              <w:t>17</w:t>
            </w:r>
            <w:r w:rsidR="003341BC" w:rsidRPr="00BC5CCA">
              <w:rPr>
                <w:noProof/>
                <w:webHidden/>
              </w:rPr>
              <w:fldChar w:fldCharType="end"/>
            </w:r>
          </w:hyperlink>
        </w:p>
        <w:p w14:paraId="0C3CD504" w14:textId="77777777" w:rsidR="003341BC" w:rsidRPr="00BC5CCA" w:rsidRDefault="00C32BAC" w:rsidP="00BC5CCA">
          <w:pPr>
            <w:pStyle w:val="TDC3"/>
            <w:rPr>
              <w:rFonts w:asciiTheme="minorHAnsi" w:eastAsiaTheme="minorEastAsia" w:hAnsiTheme="minorHAnsi" w:cstheme="minorBidi"/>
              <w:noProof/>
              <w:szCs w:val="22"/>
              <w:lang w:eastAsia="es-MX"/>
            </w:rPr>
          </w:pPr>
          <w:hyperlink w:anchor="_Toc199960462" w:history="1">
            <w:r w:rsidR="003341BC" w:rsidRPr="00BC5CCA">
              <w:rPr>
                <w:rStyle w:val="Hipervnculo"/>
                <w:noProof/>
                <w:color w:val="auto"/>
              </w:rPr>
              <w:t>c) Estudio de la controversia</w:t>
            </w:r>
            <w:r w:rsidR="003341BC" w:rsidRPr="00BC5CCA">
              <w:rPr>
                <w:noProof/>
                <w:webHidden/>
              </w:rPr>
              <w:tab/>
            </w:r>
            <w:r w:rsidR="003341BC" w:rsidRPr="00BC5CCA">
              <w:rPr>
                <w:noProof/>
                <w:webHidden/>
              </w:rPr>
              <w:fldChar w:fldCharType="begin"/>
            </w:r>
            <w:r w:rsidR="003341BC" w:rsidRPr="00BC5CCA">
              <w:rPr>
                <w:noProof/>
                <w:webHidden/>
              </w:rPr>
              <w:instrText xml:space="preserve"> PAGEREF _Toc199960462 \h </w:instrText>
            </w:r>
            <w:r w:rsidR="003341BC" w:rsidRPr="00BC5CCA">
              <w:rPr>
                <w:noProof/>
                <w:webHidden/>
              </w:rPr>
            </w:r>
            <w:r w:rsidR="003341BC" w:rsidRPr="00BC5CCA">
              <w:rPr>
                <w:noProof/>
                <w:webHidden/>
              </w:rPr>
              <w:fldChar w:fldCharType="separate"/>
            </w:r>
            <w:r w:rsidR="00966367">
              <w:rPr>
                <w:noProof/>
                <w:webHidden/>
              </w:rPr>
              <w:t>18</w:t>
            </w:r>
            <w:r w:rsidR="003341BC" w:rsidRPr="00BC5CCA">
              <w:rPr>
                <w:noProof/>
                <w:webHidden/>
              </w:rPr>
              <w:fldChar w:fldCharType="end"/>
            </w:r>
          </w:hyperlink>
        </w:p>
        <w:p w14:paraId="14C4A697" w14:textId="77777777" w:rsidR="003341BC" w:rsidRPr="00BC5CCA" w:rsidRDefault="00C32BAC" w:rsidP="00BC5CCA">
          <w:pPr>
            <w:pStyle w:val="TDC3"/>
            <w:rPr>
              <w:rFonts w:asciiTheme="minorHAnsi" w:eastAsiaTheme="minorEastAsia" w:hAnsiTheme="minorHAnsi" w:cstheme="minorBidi"/>
              <w:noProof/>
              <w:szCs w:val="22"/>
              <w:lang w:eastAsia="es-MX"/>
            </w:rPr>
          </w:pPr>
          <w:hyperlink w:anchor="_Toc199960463" w:history="1">
            <w:r w:rsidR="003341BC" w:rsidRPr="00BC5CCA">
              <w:rPr>
                <w:rStyle w:val="Hipervnculo"/>
                <w:noProof/>
                <w:color w:val="auto"/>
              </w:rPr>
              <w:t>d) Versión pública</w:t>
            </w:r>
            <w:r w:rsidR="003341BC" w:rsidRPr="00BC5CCA">
              <w:rPr>
                <w:noProof/>
                <w:webHidden/>
              </w:rPr>
              <w:tab/>
            </w:r>
            <w:r w:rsidR="003341BC" w:rsidRPr="00BC5CCA">
              <w:rPr>
                <w:noProof/>
                <w:webHidden/>
              </w:rPr>
              <w:fldChar w:fldCharType="begin"/>
            </w:r>
            <w:r w:rsidR="003341BC" w:rsidRPr="00BC5CCA">
              <w:rPr>
                <w:noProof/>
                <w:webHidden/>
              </w:rPr>
              <w:instrText xml:space="preserve"> PAGEREF _Toc199960463 \h </w:instrText>
            </w:r>
            <w:r w:rsidR="003341BC" w:rsidRPr="00BC5CCA">
              <w:rPr>
                <w:noProof/>
                <w:webHidden/>
              </w:rPr>
            </w:r>
            <w:r w:rsidR="003341BC" w:rsidRPr="00BC5CCA">
              <w:rPr>
                <w:noProof/>
                <w:webHidden/>
              </w:rPr>
              <w:fldChar w:fldCharType="separate"/>
            </w:r>
            <w:r w:rsidR="00966367">
              <w:rPr>
                <w:noProof/>
                <w:webHidden/>
              </w:rPr>
              <w:t>27</w:t>
            </w:r>
            <w:r w:rsidR="003341BC" w:rsidRPr="00BC5CCA">
              <w:rPr>
                <w:noProof/>
                <w:webHidden/>
              </w:rPr>
              <w:fldChar w:fldCharType="end"/>
            </w:r>
          </w:hyperlink>
        </w:p>
        <w:p w14:paraId="5737A1CE" w14:textId="77777777" w:rsidR="003341BC" w:rsidRPr="00BC5CCA" w:rsidRDefault="00C32BAC" w:rsidP="00BC5CCA">
          <w:pPr>
            <w:pStyle w:val="TDC3"/>
            <w:rPr>
              <w:rFonts w:asciiTheme="minorHAnsi" w:eastAsiaTheme="minorEastAsia" w:hAnsiTheme="minorHAnsi" w:cstheme="minorBidi"/>
              <w:noProof/>
              <w:szCs w:val="22"/>
              <w:lang w:eastAsia="es-MX"/>
            </w:rPr>
          </w:pPr>
          <w:hyperlink w:anchor="_Toc199960464" w:history="1">
            <w:r w:rsidR="003341BC" w:rsidRPr="00BC5CCA">
              <w:rPr>
                <w:rStyle w:val="Hipervnculo"/>
                <w:noProof/>
                <w:color w:val="auto"/>
              </w:rPr>
              <w:t>e) Conclusión</w:t>
            </w:r>
            <w:r w:rsidR="003341BC" w:rsidRPr="00BC5CCA">
              <w:rPr>
                <w:noProof/>
                <w:webHidden/>
              </w:rPr>
              <w:tab/>
            </w:r>
            <w:r w:rsidR="003341BC" w:rsidRPr="00BC5CCA">
              <w:rPr>
                <w:noProof/>
                <w:webHidden/>
              </w:rPr>
              <w:fldChar w:fldCharType="begin"/>
            </w:r>
            <w:r w:rsidR="003341BC" w:rsidRPr="00BC5CCA">
              <w:rPr>
                <w:noProof/>
                <w:webHidden/>
              </w:rPr>
              <w:instrText xml:space="preserve"> PAGEREF _Toc199960464 \h </w:instrText>
            </w:r>
            <w:r w:rsidR="003341BC" w:rsidRPr="00BC5CCA">
              <w:rPr>
                <w:noProof/>
                <w:webHidden/>
              </w:rPr>
            </w:r>
            <w:r w:rsidR="003341BC" w:rsidRPr="00BC5CCA">
              <w:rPr>
                <w:noProof/>
                <w:webHidden/>
              </w:rPr>
              <w:fldChar w:fldCharType="separate"/>
            </w:r>
            <w:r w:rsidR="00966367">
              <w:rPr>
                <w:noProof/>
                <w:webHidden/>
              </w:rPr>
              <w:t>33</w:t>
            </w:r>
            <w:r w:rsidR="003341BC" w:rsidRPr="00BC5CCA">
              <w:rPr>
                <w:noProof/>
                <w:webHidden/>
              </w:rPr>
              <w:fldChar w:fldCharType="end"/>
            </w:r>
          </w:hyperlink>
        </w:p>
        <w:p w14:paraId="0C474976" w14:textId="77777777" w:rsidR="003341BC" w:rsidRPr="00BC5CCA" w:rsidRDefault="00C32BAC" w:rsidP="00BC5CCA">
          <w:pPr>
            <w:pStyle w:val="TDC1"/>
            <w:tabs>
              <w:tab w:val="right" w:leader="dot" w:pos="9034"/>
            </w:tabs>
            <w:rPr>
              <w:rFonts w:asciiTheme="minorHAnsi" w:eastAsiaTheme="minorEastAsia" w:hAnsiTheme="minorHAnsi" w:cstheme="minorBidi"/>
              <w:noProof/>
              <w:szCs w:val="22"/>
              <w:lang w:eastAsia="es-MX"/>
            </w:rPr>
          </w:pPr>
          <w:hyperlink w:anchor="_Toc199960465" w:history="1">
            <w:r w:rsidR="003341BC" w:rsidRPr="00BC5CCA">
              <w:rPr>
                <w:rStyle w:val="Hipervnculo"/>
                <w:noProof/>
                <w:color w:val="auto"/>
              </w:rPr>
              <w:t>RESUELVE</w:t>
            </w:r>
            <w:r w:rsidR="003341BC" w:rsidRPr="00BC5CCA">
              <w:rPr>
                <w:noProof/>
                <w:webHidden/>
              </w:rPr>
              <w:tab/>
            </w:r>
            <w:r w:rsidR="003341BC" w:rsidRPr="00BC5CCA">
              <w:rPr>
                <w:noProof/>
                <w:webHidden/>
              </w:rPr>
              <w:fldChar w:fldCharType="begin"/>
            </w:r>
            <w:r w:rsidR="003341BC" w:rsidRPr="00BC5CCA">
              <w:rPr>
                <w:noProof/>
                <w:webHidden/>
              </w:rPr>
              <w:instrText xml:space="preserve"> PAGEREF _Toc199960465 \h </w:instrText>
            </w:r>
            <w:r w:rsidR="003341BC" w:rsidRPr="00BC5CCA">
              <w:rPr>
                <w:noProof/>
                <w:webHidden/>
              </w:rPr>
            </w:r>
            <w:r w:rsidR="003341BC" w:rsidRPr="00BC5CCA">
              <w:rPr>
                <w:noProof/>
                <w:webHidden/>
              </w:rPr>
              <w:fldChar w:fldCharType="separate"/>
            </w:r>
            <w:r w:rsidR="00966367">
              <w:rPr>
                <w:noProof/>
                <w:webHidden/>
              </w:rPr>
              <w:t>34</w:t>
            </w:r>
            <w:r w:rsidR="003341BC" w:rsidRPr="00BC5CCA">
              <w:rPr>
                <w:noProof/>
                <w:webHidden/>
              </w:rPr>
              <w:fldChar w:fldCharType="end"/>
            </w:r>
          </w:hyperlink>
        </w:p>
        <w:p w14:paraId="0C82FD7A" w14:textId="56536608" w:rsidR="009B2945" w:rsidRPr="00BC5CCA" w:rsidRDefault="00AE3DA7" w:rsidP="00BC5CCA">
          <w:pPr>
            <w:spacing w:line="240" w:lineRule="auto"/>
            <w:rPr>
              <w:b/>
              <w:bCs/>
              <w:szCs w:val="22"/>
              <w:lang w:val="es-ES"/>
            </w:rPr>
          </w:pPr>
          <w:r w:rsidRPr="00BC5CCA">
            <w:rPr>
              <w:b/>
              <w:bCs/>
              <w:szCs w:val="22"/>
              <w:lang w:val="es-ES"/>
            </w:rPr>
            <w:fldChar w:fldCharType="end"/>
          </w:r>
        </w:p>
      </w:sdtContent>
    </w:sdt>
    <w:p w14:paraId="603A07E2" w14:textId="77777777" w:rsidR="00646436" w:rsidRPr="00BC5CCA" w:rsidRDefault="00646436" w:rsidP="00BC5CCA">
      <w:pPr>
        <w:rPr>
          <w:rFonts w:cs="Tahoma"/>
          <w:szCs w:val="22"/>
        </w:rPr>
        <w:sectPr w:rsidR="00646436" w:rsidRPr="00BC5CCA" w:rsidSect="00EE2AF2">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320E9DD8" w:rsidR="00775BFC" w:rsidRPr="00BC5CCA" w:rsidRDefault="00775BFC" w:rsidP="00BC5CCA">
      <w:pPr>
        <w:rPr>
          <w:szCs w:val="22"/>
        </w:rPr>
      </w:pPr>
      <w:r w:rsidRPr="00BC5CCA">
        <w:rPr>
          <w:szCs w:val="22"/>
        </w:rPr>
        <w:lastRenderedPageBreak/>
        <w:t>Resolución del Pleno del Instituto de Transparencia, Acceso a la Información Pública y Protección de Datos Personales del Estado de México y Municipios, con domicilio en Metepec, Estado de México, de</w:t>
      </w:r>
      <w:r w:rsidR="003341BC" w:rsidRPr="00BC5CCA">
        <w:rPr>
          <w:szCs w:val="22"/>
        </w:rPr>
        <w:t>l</w:t>
      </w:r>
      <w:r w:rsidRPr="00BC5CCA">
        <w:rPr>
          <w:szCs w:val="22"/>
        </w:rPr>
        <w:t xml:space="preserve"> </w:t>
      </w:r>
      <w:r w:rsidR="00831F72" w:rsidRPr="00BC5CCA">
        <w:rPr>
          <w:b/>
          <w:szCs w:val="22"/>
        </w:rPr>
        <w:t>cuatro de junio</w:t>
      </w:r>
      <w:r w:rsidR="00E07957" w:rsidRPr="00BC5CCA">
        <w:rPr>
          <w:b/>
          <w:szCs w:val="22"/>
        </w:rPr>
        <w:t xml:space="preserve"> de dos mil veinticinco</w:t>
      </w:r>
      <w:r w:rsidR="003341BC" w:rsidRPr="00BC5CCA">
        <w:rPr>
          <w:b/>
          <w:szCs w:val="22"/>
        </w:rPr>
        <w:t>.</w:t>
      </w:r>
    </w:p>
    <w:p w14:paraId="0AF3AAC4" w14:textId="77777777" w:rsidR="00775BFC" w:rsidRPr="00BC5CCA" w:rsidRDefault="00775BFC" w:rsidP="00BC5CCA">
      <w:pPr>
        <w:rPr>
          <w:szCs w:val="22"/>
        </w:rPr>
      </w:pPr>
    </w:p>
    <w:p w14:paraId="40EAE038" w14:textId="639352D7" w:rsidR="00775BFC" w:rsidRPr="00BC5CCA" w:rsidRDefault="00775BFC" w:rsidP="00BC5CCA">
      <w:pPr>
        <w:rPr>
          <w:szCs w:val="22"/>
        </w:rPr>
      </w:pPr>
      <w:r w:rsidRPr="00BC5CCA">
        <w:rPr>
          <w:b/>
          <w:szCs w:val="22"/>
        </w:rPr>
        <w:t xml:space="preserve">VISTO </w:t>
      </w:r>
      <w:r w:rsidRPr="00BC5CCA">
        <w:rPr>
          <w:szCs w:val="22"/>
        </w:rPr>
        <w:t xml:space="preserve">el expediente formado con motivo del Recurso de Revisión </w:t>
      </w:r>
      <w:r w:rsidR="00E07957" w:rsidRPr="00BC5CCA">
        <w:rPr>
          <w:rFonts w:eastAsia="Calibri"/>
          <w:b/>
          <w:szCs w:val="22"/>
          <w:lang w:eastAsia="en-US"/>
        </w:rPr>
        <w:t>03332</w:t>
      </w:r>
      <w:r w:rsidRPr="00BC5CCA">
        <w:rPr>
          <w:rFonts w:eastAsia="Calibri"/>
          <w:b/>
          <w:szCs w:val="22"/>
          <w:lang w:eastAsia="en-US"/>
        </w:rPr>
        <w:t>/INFOEM/IP/RR/</w:t>
      </w:r>
      <w:r w:rsidR="00E07957" w:rsidRPr="00BC5CCA">
        <w:rPr>
          <w:rFonts w:eastAsia="Calibri"/>
          <w:b/>
          <w:szCs w:val="22"/>
          <w:lang w:eastAsia="en-US"/>
        </w:rPr>
        <w:t>2025</w:t>
      </w:r>
      <w:r w:rsidRPr="00BC5CCA">
        <w:rPr>
          <w:rFonts w:eastAsia="Calibri"/>
          <w:szCs w:val="22"/>
          <w:lang w:eastAsia="en-US"/>
        </w:rPr>
        <w:t xml:space="preserve"> </w:t>
      </w:r>
      <w:r w:rsidRPr="00BC5CCA">
        <w:rPr>
          <w:szCs w:val="22"/>
        </w:rPr>
        <w:t xml:space="preserve">interpuesto por </w:t>
      </w:r>
      <w:r w:rsidR="00C32BAC">
        <w:rPr>
          <w:b/>
          <w:szCs w:val="22"/>
        </w:rPr>
        <w:t>XXXXX XXXXX XXXXXXXX XXXXXX</w:t>
      </w:r>
      <w:r w:rsidRPr="00BC5CCA">
        <w:rPr>
          <w:szCs w:val="22"/>
        </w:rPr>
        <w:t xml:space="preserve">, a quien en lo subsecuente se le denominará </w:t>
      </w:r>
      <w:r w:rsidRPr="00BC5CCA">
        <w:rPr>
          <w:b/>
          <w:bCs/>
          <w:szCs w:val="22"/>
        </w:rPr>
        <w:t>LA PARTE RECURRENTE</w:t>
      </w:r>
      <w:r w:rsidRPr="00BC5CCA">
        <w:rPr>
          <w:szCs w:val="22"/>
        </w:rPr>
        <w:t>, en contra de la respuesta emitida por</w:t>
      </w:r>
      <w:r w:rsidR="00E07957" w:rsidRPr="00BC5CCA">
        <w:rPr>
          <w:szCs w:val="22"/>
        </w:rPr>
        <w:t xml:space="preserve"> el </w:t>
      </w:r>
      <w:r w:rsidR="00E07957" w:rsidRPr="00BC5CCA">
        <w:rPr>
          <w:rFonts w:eastAsia="Calibri" w:cs="Tahoma"/>
          <w:b/>
          <w:szCs w:val="22"/>
          <w:lang w:eastAsia="en-US"/>
        </w:rPr>
        <w:t>Ayuntamiento de Texcoco</w:t>
      </w:r>
      <w:r w:rsidRPr="00BC5CCA">
        <w:rPr>
          <w:szCs w:val="22"/>
        </w:rPr>
        <w:t xml:space="preserve">, en adelante </w:t>
      </w:r>
      <w:r w:rsidRPr="00BC5CCA">
        <w:rPr>
          <w:b/>
          <w:bCs/>
          <w:szCs w:val="22"/>
        </w:rPr>
        <w:t>EL SUJETO OBLIGADO</w:t>
      </w:r>
      <w:r w:rsidRPr="00BC5CCA">
        <w:rPr>
          <w:rFonts w:eastAsia="Calibri"/>
          <w:szCs w:val="22"/>
          <w:lang w:eastAsia="en-US"/>
        </w:rPr>
        <w:t xml:space="preserve">, </w:t>
      </w:r>
      <w:r w:rsidRPr="00BC5CCA">
        <w:rPr>
          <w:szCs w:val="22"/>
        </w:rPr>
        <w:t>se emite la presente Resolución con base en los Antecedentes y Considerandos que se exponen a continuación:</w:t>
      </w:r>
    </w:p>
    <w:p w14:paraId="2116968C" w14:textId="77777777" w:rsidR="00775BFC" w:rsidRPr="00BC5CCA" w:rsidRDefault="00775BFC" w:rsidP="00BC5CCA">
      <w:pPr>
        <w:rPr>
          <w:szCs w:val="22"/>
        </w:rPr>
      </w:pPr>
    </w:p>
    <w:p w14:paraId="5A444FB6" w14:textId="639D3567" w:rsidR="00664420" w:rsidRPr="00BC5CCA" w:rsidRDefault="00664420" w:rsidP="00BC5CCA">
      <w:pPr>
        <w:pStyle w:val="Ttulo1"/>
        <w:rPr>
          <w:szCs w:val="22"/>
        </w:rPr>
      </w:pPr>
      <w:bookmarkStart w:id="2" w:name="_Toc199960438"/>
      <w:r w:rsidRPr="00BC5CCA">
        <w:rPr>
          <w:szCs w:val="22"/>
        </w:rPr>
        <w:t>ANTECEDENTES</w:t>
      </w:r>
      <w:bookmarkEnd w:id="2"/>
    </w:p>
    <w:p w14:paraId="5CB5034E" w14:textId="77777777" w:rsidR="00AC2DB8" w:rsidRPr="00BC5CCA" w:rsidRDefault="00AC2DB8" w:rsidP="00BC5CCA">
      <w:pPr>
        <w:rPr>
          <w:szCs w:val="22"/>
        </w:rPr>
      </w:pPr>
    </w:p>
    <w:p w14:paraId="09B2D38F" w14:textId="6E49D146" w:rsidR="00664420" w:rsidRPr="00BC5CCA" w:rsidRDefault="00E37A3F" w:rsidP="00BC5CCA">
      <w:pPr>
        <w:pStyle w:val="Ttulo2"/>
        <w:rPr>
          <w:szCs w:val="22"/>
        </w:rPr>
      </w:pPr>
      <w:bookmarkStart w:id="3" w:name="_Toc199960439"/>
      <w:r w:rsidRPr="00BC5CCA">
        <w:rPr>
          <w:szCs w:val="22"/>
        </w:rPr>
        <w:t>DE LA SOLICITUD DE INFORMACIÓN</w:t>
      </w:r>
      <w:bookmarkEnd w:id="3"/>
    </w:p>
    <w:p w14:paraId="2C6AD1A5" w14:textId="0405B3CD" w:rsidR="00664420" w:rsidRPr="00BC5CCA" w:rsidRDefault="00E37A3F" w:rsidP="00BC5CCA">
      <w:pPr>
        <w:pStyle w:val="Ttulo3"/>
        <w:rPr>
          <w:szCs w:val="22"/>
        </w:rPr>
      </w:pPr>
      <w:bookmarkStart w:id="4" w:name="_Toc199960440"/>
      <w:r w:rsidRPr="00BC5CCA">
        <w:rPr>
          <w:szCs w:val="22"/>
        </w:rPr>
        <w:t xml:space="preserve">a) </w:t>
      </w:r>
      <w:r w:rsidR="006B10B0" w:rsidRPr="00BC5CCA">
        <w:rPr>
          <w:szCs w:val="22"/>
        </w:rPr>
        <w:t>S</w:t>
      </w:r>
      <w:r w:rsidR="00664420" w:rsidRPr="00BC5CCA">
        <w:rPr>
          <w:szCs w:val="22"/>
        </w:rPr>
        <w:t xml:space="preserve">olicitud de </w:t>
      </w:r>
      <w:r w:rsidR="006B10B0" w:rsidRPr="00BC5CCA">
        <w:rPr>
          <w:szCs w:val="22"/>
        </w:rPr>
        <w:t>i</w:t>
      </w:r>
      <w:r w:rsidR="00664420" w:rsidRPr="00BC5CCA">
        <w:rPr>
          <w:szCs w:val="22"/>
        </w:rPr>
        <w:t>nformación</w:t>
      </w:r>
      <w:bookmarkEnd w:id="4"/>
    </w:p>
    <w:p w14:paraId="06DCD29D" w14:textId="56223666" w:rsidR="009A2D78" w:rsidRPr="00BC5CCA" w:rsidRDefault="006B10B0" w:rsidP="00BC5CCA">
      <w:pPr>
        <w:pStyle w:val="Prrafodelista"/>
        <w:tabs>
          <w:tab w:val="left" w:pos="0"/>
        </w:tabs>
        <w:ind w:left="0"/>
        <w:contextualSpacing w:val="0"/>
        <w:rPr>
          <w:rFonts w:cs="Tahoma"/>
          <w:szCs w:val="22"/>
        </w:rPr>
      </w:pPr>
      <w:r w:rsidRPr="00BC5CCA">
        <w:rPr>
          <w:rFonts w:cs="Tahoma"/>
          <w:szCs w:val="22"/>
        </w:rPr>
        <w:t>El</w:t>
      </w:r>
      <w:r w:rsidR="00E07957" w:rsidRPr="00BC5CCA">
        <w:rPr>
          <w:rFonts w:cs="Tahoma"/>
          <w:szCs w:val="22"/>
        </w:rPr>
        <w:t xml:space="preserve"> </w:t>
      </w:r>
      <w:r w:rsidR="00E07957" w:rsidRPr="00BC5CCA">
        <w:rPr>
          <w:rFonts w:cs="Tahoma"/>
          <w:b/>
          <w:szCs w:val="22"/>
        </w:rPr>
        <w:t>catorce de marzo de dos mil veinticinco</w:t>
      </w:r>
      <w:r w:rsidR="00664420" w:rsidRPr="00BC5CCA">
        <w:rPr>
          <w:rFonts w:cs="Tahoma"/>
          <w:szCs w:val="22"/>
        </w:rPr>
        <w:t xml:space="preserve">, </w:t>
      </w:r>
      <w:r w:rsidRPr="00BC5CCA">
        <w:rPr>
          <w:b/>
          <w:bCs/>
          <w:szCs w:val="22"/>
        </w:rPr>
        <w:t>LA PARTE RECURRENTE</w:t>
      </w:r>
      <w:r w:rsidR="00664420" w:rsidRPr="00BC5CCA">
        <w:rPr>
          <w:rFonts w:cs="Tahoma"/>
          <w:szCs w:val="22"/>
        </w:rPr>
        <w:t xml:space="preserve"> presentó una solicitud de acceso a la información pública </w:t>
      </w:r>
      <w:r w:rsidR="001F3515" w:rsidRPr="00BC5CCA">
        <w:rPr>
          <w:rFonts w:cs="Tahoma"/>
          <w:szCs w:val="22"/>
        </w:rPr>
        <w:t xml:space="preserve">ante el </w:t>
      </w:r>
      <w:r w:rsidR="001F3515" w:rsidRPr="00BC5CCA">
        <w:rPr>
          <w:rFonts w:cs="Tahoma"/>
          <w:b/>
          <w:bCs/>
          <w:szCs w:val="22"/>
        </w:rPr>
        <w:t>SUJETO OBLIGADO</w:t>
      </w:r>
      <w:r w:rsidR="001F3515" w:rsidRPr="00BC5CCA">
        <w:rPr>
          <w:rFonts w:cs="Tahoma"/>
          <w:szCs w:val="22"/>
        </w:rPr>
        <w:t xml:space="preserve">, </w:t>
      </w:r>
      <w:r w:rsidR="00664420" w:rsidRPr="00BC5CCA">
        <w:rPr>
          <w:rFonts w:cs="Tahoma"/>
          <w:szCs w:val="22"/>
        </w:rPr>
        <w:t>a través del Sistema de Acceso a la Información Mexiquense</w:t>
      </w:r>
      <w:r w:rsidRPr="00BC5CCA">
        <w:rPr>
          <w:rFonts w:cs="Tahoma"/>
          <w:szCs w:val="22"/>
        </w:rPr>
        <w:t xml:space="preserve"> </w:t>
      </w:r>
      <w:r w:rsidR="009A2D78" w:rsidRPr="00BC5CCA">
        <w:rPr>
          <w:rFonts w:cs="Tahoma"/>
          <w:szCs w:val="22"/>
        </w:rPr>
        <w:t>(</w:t>
      </w:r>
      <w:r w:rsidRPr="00BC5CCA">
        <w:rPr>
          <w:rFonts w:cs="Tahoma"/>
          <w:szCs w:val="22"/>
        </w:rPr>
        <w:t>SAIMEX</w:t>
      </w:r>
      <w:r w:rsidR="009A2D78" w:rsidRPr="00BC5CCA">
        <w:rPr>
          <w:rFonts w:cs="Tahoma"/>
          <w:szCs w:val="22"/>
        </w:rPr>
        <w:t>). Dicha solicitud quedó</w:t>
      </w:r>
      <w:r w:rsidRPr="00BC5CCA">
        <w:rPr>
          <w:rFonts w:cs="Tahoma"/>
          <w:szCs w:val="22"/>
        </w:rPr>
        <w:t xml:space="preserve"> registrada c</w:t>
      </w:r>
      <w:r w:rsidR="00664420" w:rsidRPr="00BC5CCA">
        <w:rPr>
          <w:rFonts w:cs="Tahoma"/>
          <w:szCs w:val="22"/>
        </w:rPr>
        <w:t>on el número de folio</w:t>
      </w:r>
      <w:r w:rsidR="00664420" w:rsidRPr="00BC5CCA">
        <w:rPr>
          <w:rFonts w:cs="Tahoma"/>
          <w:b/>
          <w:bCs/>
          <w:szCs w:val="22"/>
        </w:rPr>
        <w:t xml:space="preserve"> </w:t>
      </w:r>
      <w:r w:rsidR="00E07957" w:rsidRPr="00BC5CCA">
        <w:rPr>
          <w:rFonts w:cs="Tahoma"/>
          <w:b/>
          <w:bCs/>
          <w:szCs w:val="22"/>
        </w:rPr>
        <w:t>00047/TEXCOCO/IP/2025</w:t>
      </w:r>
      <w:r w:rsidR="002A3601" w:rsidRPr="00BC5CCA">
        <w:rPr>
          <w:rFonts w:cs="Tahoma"/>
          <w:szCs w:val="22"/>
        </w:rPr>
        <w:t xml:space="preserve"> y en ella </w:t>
      </w:r>
      <w:r w:rsidR="009A2D78" w:rsidRPr="00BC5CCA">
        <w:rPr>
          <w:rFonts w:cs="Tahoma"/>
          <w:szCs w:val="22"/>
        </w:rPr>
        <w:t>se requirió la siguiente información:</w:t>
      </w:r>
      <w:bookmarkStart w:id="5" w:name="_GoBack"/>
      <w:bookmarkEnd w:id="5"/>
    </w:p>
    <w:p w14:paraId="7E0203FF" w14:textId="77777777" w:rsidR="00E07957" w:rsidRPr="00BC5CCA" w:rsidRDefault="00E07957" w:rsidP="00BC5CCA">
      <w:pPr>
        <w:pStyle w:val="Puesto"/>
        <w:rPr>
          <w:szCs w:val="22"/>
        </w:rPr>
      </w:pPr>
      <w:r w:rsidRPr="00BC5CCA">
        <w:rPr>
          <w:szCs w:val="22"/>
        </w:rPr>
        <w:tab/>
      </w:r>
    </w:p>
    <w:p w14:paraId="179FB369" w14:textId="77AD458D" w:rsidR="00664420" w:rsidRPr="00BC5CCA" w:rsidRDefault="0046150A" w:rsidP="00BC5CCA">
      <w:pPr>
        <w:pStyle w:val="Puesto"/>
        <w:rPr>
          <w:szCs w:val="22"/>
        </w:rPr>
      </w:pPr>
      <w:r w:rsidRPr="00BC5CCA">
        <w:rPr>
          <w:szCs w:val="22"/>
        </w:rPr>
        <w:t>“</w:t>
      </w:r>
      <w:r w:rsidR="00E07957" w:rsidRPr="00BC5CCA">
        <w:rPr>
          <w:szCs w:val="22"/>
        </w:rPr>
        <w:t>Solicito copia del expediente de la licitación y el nombre de la empresa adjudicada para la organización de la Fer</w:t>
      </w:r>
      <w:r w:rsidRPr="00BC5CCA">
        <w:rPr>
          <w:szCs w:val="22"/>
        </w:rPr>
        <w:t>ia del Caballo 2025 en Texcoco"</w:t>
      </w:r>
    </w:p>
    <w:p w14:paraId="64B27DE3" w14:textId="77777777" w:rsidR="00664420" w:rsidRPr="00BC5CCA" w:rsidRDefault="00664420" w:rsidP="00BC5CCA">
      <w:pPr>
        <w:tabs>
          <w:tab w:val="left" w:pos="4667"/>
        </w:tabs>
        <w:ind w:left="567" w:right="567"/>
        <w:rPr>
          <w:rFonts w:cs="Tahoma"/>
          <w:bCs/>
          <w:i/>
          <w:szCs w:val="22"/>
        </w:rPr>
      </w:pPr>
    </w:p>
    <w:p w14:paraId="0BD6321D" w14:textId="56D9ABBC" w:rsidR="00664420" w:rsidRPr="00BC5CCA" w:rsidRDefault="009A2D78" w:rsidP="00BC5CCA">
      <w:pPr>
        <w:tabs>
          <w:tab w:val="left" w:pos="4667"/>
        </w:tabs>
        <w:ind w:left="567" w:right="567"/>
        <w:rPr>
          <w:rFonts w:cs="Tahoma"/>
          <w:bCs/>
          <w:szCs w:val="22"/>
        </w:rPr>
      </w:pPr>
      <w:r w:rsidRPr="00BC5CCA">
        <w:rPr>
          <w:rFonts w:cs="Tahoma"/>
          <w:b/>
          <w:bCs/>
          <w:szCs w:val="22"/>
        </w:rPr>
        <w:t>Modalidad de entrega</w:t>
      </w:r>
      <w:r w:rsidRPr="00BC5CCA">
        <w:rPr>
          <w:rFonts w:cs="Tahoma"/>
          <w:bCs/>
          <w:szCs w:val="22"/>
        </w:rPr>
        <w:t>: a</w:t>
      </w:r>
      <w:r w:rsidR="00664420" w:rsidRPr="00BC5CCA">
        <w:rPr>
          <w:rFonts w:cs="Tahoma"/>
          <w:bCs/>
          <w:i/>
          <w:szCs w:val="22"/>
        </w:rPr>
        <w:t xml:space="preserve"> través del SAIMEX</w:t>
      </w:r>
      <w:r w:rsidRPr="00BC5CCA">
        <w:rPr>
          <w:rFonts w:cs="Tahoma"/>
          <w:bCs/>
          <w:i/>
          <w:szCs w:val="22"/>
        </w:rPr>
        <w:t>.</w:t>
      </w:r>
    </w:p>
    <w:p w14:paraId="334D2860" w14:textId="77777777" w:rsidR="00664420" w:rsidRPr="00BC5CCA" w:rsidRDefault="00664420" w:rsidP="00BC5CCA">
      <w:pPr>
        <w:autoSpaceDE w:val="0"/>
        <w:autoSpaceDN w:val="0"/>
        <w:adjustRightInd w:val="0"/>
        <w:ind w:right="-28"/>
        <w:rPr>
          <w:rFonts w:cs="Tahoma"/>
          <w:bCs/>
          <w:i/>
          <w:szCs w:val="22"/>
        </w:rPr>
      </w:pPr>
    </w:p>
    <w:p w14:paraId="5AC1EE52" w14:textId="34C34E77" w:rsidR="00D036D3" w:rsidRPr="00BC5CCA" w:rsidRDefault="00E37A3F" w:rsidP="00BC5CCA">
      <w:pPr>
        <w:pStyle w:val="Ttulo3"/>
        <w:rPr>
          <w:szCs w:val="22"/>
        </w:rPr>
      </w:pPr>
      <w:bookmarkStart w:id="6" w:name="_Toc199960441"/>
      <w:r w:rsidRPr="00BC5CCA">
        <w:rPr>
          <w:szCs w:val="22"/>
        </w:rPr>
        <w:lastRenderedPageBreak/>
        <w:t xml:space="preserve">b) </w:t>
      </w:r>
      <w:r w:rsidR="00D036D3" w:rsidRPr="00BC5CCA">
        <w:rPr>
          <w:szCs w:val="22"/>
        </w:rPr>
        <w:t>Turno de la solicitud de información</w:t>
      </w:r>
      <w:bookmarkEnd w:id="6"/>
    </w:p>
    <w:p w14:paraId="7CEE6F8C" w14:textId="1539BBA3" w:rsidR="007D1C55" w:rsidRPr="00BC5CCA" w:rsidRDefault="00D036D3" w:rsidP="00BC5CCA">
      <w:pPr>
        <w:rPr>
          <w:szCs w:val="22"/>
        </w:rPr>
      </w:pPr>
      <w:r w:rsidRPr="00BC5CCA">
        <w:rPr>
          <w:szCs w:val="22"/>
        </w:rPr>
        <w:t>En cumplimiento al artículo 162 de la Ley de Transparencia y Acceso a la Información Pública del Estado de México y Municipios, el</w:t>
      </w:r>
      <w:r w:rsidR="00E07957" w:rsidRPr="00BC5CCA">
        <w:rPr>
          <w:szCs w:val="22"/>
        </w:rPr>
        <w:t xml:space="preserve"> </w:t>
      </w:r>
      <w:r w:rsidR="00E07957" w:rsidRPr="00BC5CCA">
        <w:rPr>
          <w:b/>
          <w:szCs w:val="22"/>
        </w:rPr>
        <w:t>catorce de marzo de dos mil veinticinco</w:t>
      </w:r>
      <w:r w:rsidRPr="00BC5CCA">
        <w:rPr>
          <w:szCs w:val="22"/>
        </w:rPr>
        <w:t xml:space="preserve">, el Titular de la Unidad de Transparencia del </w:t>
      </w:r>
      <w:r w:rsidRPr="00BC5CCA">
        <w:rPr>
          <w:b/>
          <w:szCs w:val="22"/>
        </w:rPr>
        <w:t>SUJETO OBLIGADO</w:t>
      </w:r>
      <w:r w:rsidRPr="00BC5CCA">
        <w:rPr>
          <w:szCs w:val="22"/>
        </w:rPr>
        <w:t xml:space="preserve"> turnó la solicitud de información </w:t>
      </w:r>
      <w:r w:rsidR="00163D12" w:rsidRPr="00BC5CCA">
        <w:rPr>
          <w:szCs w:val="22"/>
        </w:rPr>
        <w:t xml:space="preserve">a los </w:t>
      </w:r>
      <w:r w:rsidRPr="00BC5CCA">
        <w:rPr>
          <w:szCs w:val="22"/>
        </w:rPr>
        <w:t>servidor</w:t>
      </w:r>
      <w:r w:rsidR="007D1C55" w:rsidRPr="00BC5CCA">
        <w:rPr>
          <w:szCs w:val="22"/>
        </w:rPr>
        <w:t>es</w:t>
      </w:r>
      <w:r w:rsidRPr="00BC5CCA">
        <w:rPr>
          <w:szCs w:val="22"/>
        </w:rPr>
        <w:t xml:space="preserve"> público</w:t>
      </w:r>
      <w:r w:rsidR="007D1C55" w:rsidRPr="00BC5CCA">
        <w:rPr>
          <w:szCs w:val="22"/>
        </w:rPr>
        <w:t>s</w:t>
      </w:r>
      <w:r w:rsidRPr="00BC5CCA">
        <w:rPr>
          <w:szCs w:val="22"/>
        </w:rPr>
        <w:t xml:space="preserve"> habilitado</w:t>
      </w:r>
      <w:r w:rsidR="007D1C55" w:rsidRPr="00BC5CCA">
        <w:rPr>
          <w:szCs w:val="22"/>
        </w:rPr>
        <w:t>s</w:t>
      </w:r>
      <w:r w:rsidRPr="00BC5CCA">
        <w:rPr>
          <w:szCs w:val="22"/>
        </w:rPr>
        <w:t xml:space="preserve"> que estimó pertinente</w:t>
      </w:r>
      <w:r w:rsidR="00163D12" w:rsidRPr="00BC5CCA">
        <w:rPr>
          <w:szCs w:val="22"/>
        </w:rPr>
        <w:t>s</w:t>
      </w:r>
      <w:r w:rsidR="007D1C55" w:rsidRPr="00BC5CCA">
        <w:rPr>
          <w:szCs w:val="22"/>
        </w:rPr>
        <w:t>.</w:t>
      </w:r>
    </w:p>
    <w:p w14:paraId="2C4045D7" w14:textId="77777777" w:rsidR="00AF03C4" w:rsidRPr="00BC5CCA" w:rsidRDefault="00AF03C4" w:rsidP="00BC5CCA">
      <w:pPr>
        <w:rPr>
          <w:szCs w:val="22"/>
          <w:lang w:val="es-ES"/>
        </w:rPr>
      </w:pPr>
    </w:p>
    <w:p w14:paraId="3212BA4D" w14:textId="2A12E59F" w:rsidR="00664420" w:rsidRPr="00BC5CCA" w:rsidRDefault="000B2FC5" w:rsidP="00BC5CCA">
      <w:pPr>
        <w:pStyle w:val="Ttulo3"/>
        <w:rPr>
          <w:rFonts w:eastAsia="Calibri"/>
          <w:szCs w:val="22"/>
          <w:lang w:eastAsia="en-US"/>
        </w:rPr>
      </w:pPr>
      <w:bookmarkStart w:id="7" w:name="_Toc199960442"/>
      <w:r w:rsidRPr="00BC5CCA">
        <w:rPr>
          <w:szCs w:val="22"/>
          <w:lang w:val="es-ES"/>
        </w:rPr>
        <w:t>c</w:t>
      </w:r>
      <w:r w:rsidR="00E37A3F" w:rsidRPr="00BC5CCA">
        <w:rPr>
          <w:szCs w:val="22"/>
          <w:lang w:val="es-ES"/>
        </w:rPr>
        <w:t xml:space="preserve">) </w:t>
      </w:r>
      <w:r w:rsidR="00664420" w:rsidRPr="00BC5CCA">
        <w:rPr>
          <w:szCs w:val="22"/>
          <w:lang w:val="es-ES"/>
        </w:rPr>
        <w:t xml:space="preserve">Respuesta </w:t>
      </w:r>
      <w:r w:rsidR="00664420" w:rsidRPr="00BC5CCA">
        <w:rPr>
          <w:rFonts w:eastAsia="Calibri"/>
          <w:szCs w:val="22"/>
          <w:lang w:eastAsia="en-US"/>
        </w:rPr>
        <w:t>del Sujeto Obligado</w:t>
      </w:r>
      <w:bookmarkEnd w:id="7"/>
    </w:p>
    <w:p w14:paraId="79199CC1" w14:textId="11FB16B1" w:rsidR="00664420" w:rsidRPr="00BC5CCA" w:rsidRDefault="00664420" w:rsidP="00BC5CCA">
      <w:pPr>
        <w:pStyle w:val="Sinespaciado"/>
        <w:spacing w:line="360" w:lineRule="auto"/>
        <w:rPr>
          <w:szCs w:val="22"/>
          <w:lang w:val="es-ES"/>
        </w:rPr>
      </w:pPr>
      <w:r w:rsidRPr="00BC5CCA">
        <w:rPr>
          <w:szCs w:val="22"/>
          <w:lang w:val="es-ES"/>
        </w:rPr>
        <w:t>El</w:t>
      </w:r>
      <w:r w:rsidR="00E07957" w:rsidRPr="00BC5CCA">
        <w:rPr>
          <w:szCs w:val="22"/>
          <w:lang w:val="es-ES"/>
        </w:rPr>
        <w:t xml:space="preserve"> </w:t>
      </w:r>
      <w:r w:rsidR="00E07957" w:rsidRPr="00BC5CCA">
        <w:rPr>
          <w:b/>
          <w:szCs w:val="22"/>
          <w:lang w:val="es-ES"/>
        </w:rPr>
        <w:t>diecinueve de marzo de dos mil veinticinco</w:t>
      </w:r>
      <w:r w:rsidRPr="00BC5CCA">
        <w:rPr>
          <w:szCs w:val="22"/>
          <w:lang w:val="es-ES"/>
        </w:rPr>
        <w:t xml:space="preserve">, </w:t>
      </w:r>
      <w:r w:rsidR="00F07EE6" w:rsidRPr="00BC5CCA">
        <w:rPr>
          <w:szCs w:val="22"/>
          <w:lang w:val="es-ES"/>
        </w:rPr>
        <w:t xml:space="preserve">el Titular de la Unidad de Transparencia del </w:t>
      </w:r>
      <w:r w:rsidR="00F07EE6" w:rsidRPr="00BC5CCA">
        <w:rPr>
          <w:b/>
          <w:szCs w:val="22"/>
          <w:lang w:val="es-ES"/>
        </w:rPr>
        <w:t>SUJETO OBLIGADO</w:t>
      </w:r>
      <w:r w:rsidR="00F07EE6" w:rsidRPr="00BC5CCA">
        <w:rPr>
          <w:szCs w:val="22"/>
          <w:lang w:val="es-ES"/>
        </w:rPr>
        <w:t xml:space="preserve"> notificó la siguiente respuesta a través del </w:t>
      </w:r>
      <w:r w:rsidRPr="00BC5CCA">
        <w:rPr>
          <w:szCs w:val="22"/>
          <w:lang w:val="es-ES"/>
        </w:rPr>
        <w:t>SAIMEX</w:t>
      </w:r>
      <w:r w:rsidR="00F07EE6" w:rsidRPr="00BC5CCA">
        <w:rPr>
          <w:szCs w:val="22"/>
          <w:lang w:val="es-ES"/>
        </w:rPr>
        <w:t>:</w:t>
      </w:r>
    </w:p>
    <w:p w14:paraId="669F7EFD" w14:textId="77777777" w:rsidR="00664420" w:rsidRPr="00BC5CCA" w:rsidRDefault="00664420" w:rsidP="00BC5CCA">
      <w:pPr>
        <w:tabs>
          <w:tab w:val="left" w:pos="4667"/>
        </w:tabs>
        <w:ind w:left="567" w:right="567"/>
        <w:rPr>
          <w:rFonts w:cs="Tahoma"/>
          <w:b/>
          <w:bCs/>
          <w:szCs w:val="22"/>
        </w:rPr>
      </w:pPr>
    </w:p>
    <w:p w14:paraId="26748E51" w14:textId="4532EA22" w:rsidR="009C7DAD" w:rsidRPr="00BC5CCA" w:rsidRDefault="009C7DAD" w:rsidP="00BC5CCA">
      <w:pPr>
        <w:pStyle w:val="Puesto"/>
        <w:jc w:val="right"/>
        <w:rPr>
          <w:szCs w:val="22"/>
        </w:rPr>
      </w:pPr>
      <w:r w:rsidRPr="00BC5CCA">
        <w:rPr>
          <w:szCs w:val="22"/>
        </w:rPr>
        <w:t>“Texcoco, México a 19 de Marzo de 2025</w:t>
      </w:r>
    </w:p>
    <w:p w14:paraId="60848481" w14:textId="77777777" w:rsidR="009C7DAD" w:rsidRPr="00BC5CCA" w:rsidRDefault="009C7DAD" w:rsidP="00BC5CCA">
      <w:pPr>
        <w:pStyle w:val="Puesto"/>
        <w:jc w:val="right"/>
        <w:rPr>
          <w:szCs w:val="22"/>
        </w:rPr>
      </w:pPr>
      <w:r w:rsidRPr="00BC5CCA">
        <w:rPr>
          <w:szCs w:val="22"/>
        </w:rPr>
        <w:t>Nombre del solicitante: C. Solicitante</w:t>
      </w:r>
    </w:p>
    <w:p w14:paraId="56DC22DA" w14:textId="77777777" w:rsidR="009C7DAD" w:rsidRPr="00BC5CCA" w:rsidRDefault="009C7DAD" w:rsidP="00BC5CCA">
      <w:pPr>
        <w:pStyle w:val="Puesto"/>
        <w:jc w:val="right"/>
        <w:rPr>
          <w:szCs w:val="22"/>
        </w:rPr>
      </w:pPr>
      <w:r w:rsidRPr="00BC5CCA">
        <w:rPr>
          <w:szCs w:val="22"/>
        </w:rPr>
        <w:t>Folio de la solicitud: 00047/TEXCOCO/IP/2025</w:t>
      </w:r>
    </w:p>
    <w:p w14:paraId="2266868D" w14:textId="77777777" w:rsidR="009C7DAD" w:rsidRPr="00BC5CCA" w:rsidRDefault="009C7DAD" w:rsidP="00BC5CCA">
      <w:pPr>
        <w:pStyle w:val="Puesto"/>
        <w:rPr>
          <w:szCs w:val="22"/>
        </w:rPr>
      </w:pPr>
    </w:p>
    <w:p w14:paraId="5631E4CE" w14:textId="1350FC93" w:rsidR="009C7DAD" w:rsidRPr="00BC5CCA" w:rsidRDefault="009C7DAD" w:rsidP="00BC5CCA">
      <w:pPr>
        <w:pStyle w:val="Puesto"/>
        <w:rPr>
          <w:szCs w:val="22"/>
        </w:rPr>
      </w:pPr>
      <w:r w:rsidRPr="00BC5CCA">
        <w:rPr>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4F65651" w14:textId="4BC89CCE" w:rsidR="009C7DAD" w:rsidRPr="00BC5CCA" w:rsidRDefault="009C7DAD" w:rsidP="00BC5CCA">
      <w:pPr>
        <w:rPr>
          <w:szCs w:val="22"/>
        </w:rPr>
      </w:pPr>
    </w:p>
    <w:p w14:paraId="042FE73D" w14:textId="700CA2F1" w:rsidR="00F07EE6" w:rsidRPr="00BC5CCA" w:rsidRDefault="009C7DAD" w:rsidP="00BC5CCA">
      <w:pPr>
        <w:pStyle w:val="Puesto"/>
        <w:rPr>
          <w:szCs w:val="22"/>
        </w:rPr>
      </w:pPr>
      <w:r w:rsidRPr="00BC5CCA">
        <w:rPr>
          <w:szCs w:val="22"/>
        </w:rPr>
        <w:t>SE ANEXA RESPUESTA EN FORMATO PDF RESPECTO A SU SOLICITUD DE INFORMACIÓN PÚBLICA”</w:t>
      </w:r>
    </w:p>
    <w:p w14:paraId="5D11024C" w14:textId="77777777" w:rsidR="00664420" w:rsidRPr="00BC5CCA" w:rsidRDefault="00664420" w:rsidP="00BC5CCA">
      <w:pPr>
        <w:autoSpaceDE w:val="0"/>
        <w:autoSpaceDN w:val="0"/>
        <w:adjustRightInd w:val="0"/>
        <w:ind w:right="-28"/>
        <w:rPr>
          <w:rFonts w:cs="Tahoma"/>
          <w:bCs/>
          <w:szCs w:val="22"/>
        </w:rPr>
      </w:pPr>
    </w:p>
    <w:p w14:paraId="70920289" w14:textId="1734249B" w:rsidR="00664420" w:rsidRPr="00BC5CCA" w:rsidRDefault="00F07EE6" w:rsidP="00BC5CCA">
      <w:pPr>
        <w:autoSpaceDE w:val="0"/>
        <w:autoSpaceDN w:val="0"/>
        <w:adjustRightInd w:val="0"/>
        <w:ind w:right="-28"/>
        <w:rPr>
          <w:rFonts w:cs="Tahoma"/>
          <w:bCs/>
          <w:szCs w:val="22"/>
          <w:lang w:val="es-ES"/>
        </w:rPr>
      </w:pPr>
      <w:r w:rsidRPr="00BC5CCA">
        <w:rPr>
          <w:rFonts w:cs="Tahoma"/>
          <w:bCs/>
          <w:szCs w:val="22"/>
          <w:lang w:val="es-ES"/>
        </w:rPr>
        <w:t xml:space="preserve">Asimismo, </w:t>
      </w:r>
      <w:r w:rsidRPr="00BC5CCA">
        <w:rPr>
          <w:rFonts w:cs="Tahoma"/>
          <w:b/>
          <w:szCs w:val="22"/>
          <w:lang w:val="es-ES"/>
        </w:rPr>
        <w:t xml:space="preserve">EL SUJETO OBLIGADO </w:t>
      </w:r>
      <w:r w:rsidRPr="00BC5CCA">
        <w:rPr>
          <w:rFonts w:cs="Tahoma"/>
          <w:bCs/>
          <w:szCs w:val="22"/>
          <w:lang w:val="es-ES"/>
        </w:rPr>
        <w:t>adjuntó a su respuesta los archivos electrónicos que se describen a continuación</w:t>
      </w:r>
      <w:r w:rsidR="00664420" w:rsidRPr="00BC5CCA">
        <w:rPr>
          <w:rFonts w:cs="Tahoma"/>
          <w:bCs/>
          <w:szCs w:val="22"/>
          <w:lang w:val="es-ES"/>
        </w:rPr>
        <w:t>:</w:t>
      </w:r>
    </w:p>
    <w:p w14:paraId="2C78354F" w14:textId="77777777" w:rsidR="00664420" w:rsidRPr="00BC5CCA" w:rsidRDefault="00664420" w:rsidP="00BC5CCA">
      <w:pPr>
        <w:autoSpaceDE w:val="0"/>
        <w:autoSpaceDN w:val="0"/>
        <w:adjustRightInd w:val="0"/>
        <w:ind w:right="-28"/>
        <w:rPr>
          <w:rFonts w:cs="Tahoma"/>
          <w:bCs/>
          <w:szCs w:val="22"/>
          <w:lang w:val="es-ES"/>
        </w:rPr>
      </w:pPr>
    </w:p>
    <w:p w14:paraId="52460699" w14:textId="517EA550" w:rsidR="00664420" w:rsidRPr="00BC5CCA" w:rsidRDefault="00A36B4D" w:rsidP="00BC5CCA">
      <w:pPr>
        <w:autoSpaceDE w:val="0"/>
        <w:autoSpaceDN w:val="0"/>
        <w:adjustRightInd w:val="0"/>
        <w:ind w:right="-28"/>
        <w:rPr>
          <w:szCs w:val="22"/>
        </w:rPr>
      </w:pPr>
      <w:r w:rsidRPr="00BC5CCA">
        <w:rPr>
          <w:rFonts w:cs="Tahoma"/>
          <w:b/>
          <w:bCs/>
          <w:szCs w:val="22"/>
          <w:lang w:val="es-ES"/>
        </w:rPr>
        <w:t xml:space="preserve">FORMATO RESPIUESTA A SOLICITUD 00047.pdf.- </w:t>
      </w:r>
      <w:r w:rsidRPr="00BC5CCA">
        <w:rPr>
          <w:rFonts w:cs="Tahoma"/>
          <w:bCs/>
          <w:szCs w:val="22"/>
          <w:lang w:val="es-ES"/>
        </w:rPr>
        <w:t>Archivo que co</w:t>
      </w:r>
      <w:r w:rsidR="006B4535" w:rsidRPr="00BC5CCA">
        <w:rPr>
          <w:rFonts w:cs="Tahoma"/>
          <w:bCs/>
          <w:szCs w:val="22"/>
          <w:lang w:val="es-ES"/>
        </w:rPr>
        <w:t>ntiene un oficio firmado por el t</w:t>
      </w:r>
      <w:r w:rsidRPr="00BC5CCA">
        <w:rPr>
          <w:rFonts w:cs="Tahoma"/>
          <w:bCs/>
          <w:szCs w:val="22"/>
          <w:lang w:val="es-ES"/>
        </w:rPr>
        <w:t xml:space="preserve">itular de </w:t>
      </w:r>
      <w:r w:rsidR="006B4535" w:rsidRPr="00BC5CCA">
        <w:rPr>
          <w:rFonts w:cs="Tahoma"/>
          <w:bCs/>
          <w:szCs w:val="22"/>
          <w:lang w:val="es-ES"/>
        </w:rPr>
        <w:t>Transparencia</w:t>
      </w:r>
      <w:r w:rsidRPr="00BC5CCA">
        <w:rPr>
          <w:rFonts w:cs="Tahoma"/>
          <w:bCs/>
          <w:szCs w:val="22"/>
          <w:lang w:val="es-ES"/>
        </w:rPr>
        <w:t xml:space="preserve"> </w:t>
      </w:r>
      <w:r w:rsidR="006B4535" w:rsidRPr="00BC5CCA">
        <w:rPr>
          <w:rFonts w:cs="Tahoma"/>
          <w:bCs/>
          <w:szCs w:val="22"/>
          <w:lang w:val="es-ES"/>
        </w:rPr>
        <w:t>mediante</w:t>
      </w:r>
      <w:r w:rsidRPr="00BC5CCA">
        <w:rPr>
          <w:rFonts w:cs="Tahoma"/>
          <w:bCs/>
          <w:szCs w:val="22"/>
          <w:lang w:val="es-ES"/>
        </w:rPr>
        <w:t xml:space="preserve"> el cual hace del </w:t>
      </w:r>
      <w:r w:rsidR="006B4535" w:rsidRPr="00BC5CCA">
        <w:rPr>
          <w:rFonts w:cs="Tahoma"/>
          <w:bCs/>
          <w:szCs w:val="22"/>
          <w:lang w:val="es-ES"/>
        </w:rPr>
        <w:t>conocimiento</w:t>
      </w:r>
      <w:r w:rsidRPr="00BC5CCA">
        <w:rPr>
          <w:rFonts w:cs="Tahoma"/>
          <w:bCs/>
          <w:szCs w:val="22"/>
          <w:lang w:val="es-ES"/>
        </w:rPr>
        <w:t xml:space="preserve"> la respuesta de</w:t>
      </w:r>
      <w:r w:rsidR="006B4535" w:rsidRPr="00BC5CCA">
        <w:rPr>
          <w:rFonts w:cs="Tahoma"/>
          <w:bCs/>
          <w:szCs w:val="22"/>
          <w:lang w:val="es-ES"/>
        </w:rPr>
        <w:t xml:space="preserve"> </w:t>
      </w:r>
      <w:r w:rsidRPr="00BC5CCA">
        <w:rPr>
          <w:rFonts w:cs="Tahoma"/>
          <w:bCs/>
          <w:szCs w:val="22"/>
          <w:lang w:val="es-ES"/>
        </w:rPr>
        <w:t>l</w:t>
      </w:r>
      <w:r w:rsidR="006B4535" w:rsidRPr="00BC5CCA">
        <w:rPr>
          <w:rFonts w:cs="Tahoma"/>
          <w:bCs/>
          <w:szCs w:val="22"/>
          <w:lang w:val="es-ES"/>
        </w:rPr>
        <w:t>os</w:t>
      </w:r>
      <w:r w:rsidRPr="00BC5CCA">
        <w:rPr>
          <w:rFonts w:cs="Tahoma"/>
          <w:bCs/>
          <w:szCs w:val="22"/>
          <w:lang w:val="es-ES"/>
        </w:rPr>
        <w:t xml:space="preserve"> servidor</w:t>
      </w:r>
      <w:r w:rsidR="006B4535" w:rsidRPr="00BC5CCA">
        <w:rPr>
          <w:rFonts w:cs="Tahoma"/>
          <w:bCs/>
          <w:szCs w:val="22"/>
          <w:lang w:val="es-ES"/>
        </w:rPr>
        <w:t>es</w:t>
      </w:r>
      <w:r w:rsidRPr="00BC5CCA">
        <w:rPr>
          <w:rFonts w:cs="Tahoma"/>
          <w:bCs/>
          <w:szCs w:val="22"/>
          <w:lang w:val="es-ES"/>
        </w:rPr>
        <w:t xml:space="preserve"> público</w:t>
      </w:r>
      <w:r w:rsidR="006B4535" w:rsidRPr="00BC5CCA">
        <w:rPr>
          <w:rFonts w:cs="Tahoma"/>
          <w:bCs/>
          <w:szCs w:val="22"/>
          <w:lang w:val="es-ES"/>
        </w:rPr>
        <w:t>s</w:t>
      </w:r>
      <w:r w:rsidRPr="00BC5CCA">
        <w:rPr>
          <w:rFonts w:cs="Tahoma"/>
          <w:bCs/>
          <w:szCs w:val="22"/>
          <w:lang w:val="es-ES"/>
        </w:rPr>
        <w:t xml:space="preserve"> habilitado</w:t>
      </w:r>
      <w:r w:rsidR="006B4535" w:rsidRPr="00BC5CCA">
        <w:rPr>
          <w:rFonts w:cs="Tahoma"/>
          <w:bCs/>
          <w:szCs w:val="22"/>
          <w:lang w:val="es-ES"/>
        </w:rPr>
        <w:t>s</w:t>
      </w:r>
      <w:r w:rsidRPr="00BC5CCA">
        <w:rPr>
          <w:rFonts w:cs="Tahoma"/>
          <w:bCs/>
          <w:szCs w:val="22"/>
          <w:lang w:val="es-ES"/>
        </w:rPr>
        <w:t xml:space="preserve"> siendo</w:t>
      </w:r>
      <w:r w:rsidRPr="00BC5CCA">
        <w:rPr>
          <w:szCs w:val="22"/>
        </w:rPr>
        <w:t xml:space="preserve"> la Dirección General de Administración y a la Tesorería Municipal, </w:t>
      </w:r>
      <w:r w:rsidR="006B4535" w:rsidRPr="00BC5CCA">
        <w:rPr>
          <w:szCs w:val="22"/>
        </w:rPr>
        <w:t>los cuales informa</w:t>
      </w:r>
      <w:r w:rsidR="00E914BE" w:rsidRPr="00BC5CCA">
        <w:rPr>
          <w:szCs w:val="22"/>
        </w:rPr>
        <w:t>n</w:t>
      </w:r>
      <w:r w:rsidR="006B4535" w:rsidRPr="00BC5CCA">
        <w:rPr>
          <w:szCs w:val="22"/>
        </w:rPr>
        <w:t xml:space="preserve"> que</w:t>
      </w:r>
      <w:r w:rsidR="00E914BE" w:rsidRPr="00BC5CCA">
        <w:rPr>
          <w:szCs w:val="22"/>
        </w:rPr>
        <w:t>,</w:t>
      </w:r>
      <w:r w:rsidR="006B4535" w:rsidRPr="00BC5CCA">
        <w:rPr>
          <w:szCs w:val="22"/>
        </w:rPr>
        <w:t xml:space="preserve"> a</w:t>
      </w:r>
      <w:r w:rsidRPr="00BC5CCA">
        <w:rPr>
          <w:szCs w:val="22"/>
        </w:rPr>
        <w:t xml:space="preserve"> la fecha</w:t>
      </w:r>
      <w:r w:rsidR="00E914BE" w:rsidRPr="00BC5CCA">
        <w:rPr>
          <w:szCs w:val="22"/>
        </w:rPr>
        <w:t>,</w:t>
      </w:r>
      <w:r w:rsidRPr="00BC5CCA">
        <w:rPr>
          <w:szCs w:val="22"/>
        </w:rPr>
        <w:t xml:space="preserve"> se encuentra en proceso de revisión </w:t>
      </w:r>
      <w:r w:rsidRPr="00BC5CCA">
        <w:rPr>
          <w:szCs w:val="22"/>
        </w:rPr>
        <w:lastRenderedPageBreak/>
        <w:t>del contrato</w:t>
      </w:r>
      <w:r w:rsidR="00E914BE" w:rsidRPr="00BC5CCA">
        <w:rPr>
          <w:szCs w:val="22"/>
        </w:rPr>
        <w:t xml:space="preserve"> y que</w:t>
      </w:r>
      <w:r w:rsidRPr="00BC5CCA">
        <w:rPr>
          <w:szCs w:val="22"/>
        </w:rPr>
        <w:t>, una vez que se encuentre concluido dicho proceso</w:t>
      </w:r>
      <w:r w:rsidR="00E914BE" w:rsidRPr="00BC5CCA">
        <w:rPr>
          <w:szCs w:val="22"/>
        </w:rPr>
        <w:t>,</w:t>
      </w:r>
      <w:r w:rsidRPr="00BC5CCA">
        <w:rPr>
          <w:szCs w:val="22"/>
        </w:rPr>
        <w:t xml:space="preserve"> se podrá proporcionar la información solicitada. Respecto a que, si existió adjudicación directa o licitación pública, se aclara que, las figuras de Adjudicación o Licitación Pública, son procedimientos administrativos que permiten adquirir bienes, obras o servicios por parte de la Administración Pública Municipal, en este sentido, el contrato de la Feria del Caballo Texcoco 2025, no otorga un bien o servicio, por lo que, no entra en los supuestos establecidos en la Ley de Contratación Pública del Estado de México y Municipios.</w:t>
      </w:r>
    </w:p>
    <w:p w14:paraId="18D33E7A" w14:textId="77777777" w:rsidR="006B4535" w:rsidRPr="00BC5CCA" w:rsidRDefault="006B4535" w:rsidP="00BC5CCA">
      <w:pPr>
        <w:autoSpaceDE w:val="0"/>
        <w:autoSpaceDN w:val="0"/>
        <w:adjustRightInd w:val="0"/>
        <w:ind w:right="-28"/>
        <w:rPr>
          <w:rFonts w:cs="Tahoma"/>
          <w:b/>
          <w:bCs/>
          <w:szCs w:val="22"/>
          <w:lang w:val="es-ES"/>
        </w:rPr>
      </w:pPr>
    </w:p>
    <w:p w14:paraId="5A5DAB9E" w14:textId="77777777" w:rsidR="00E37A3F" w:rsidRPr="00BC5CCA" w:rsidRDefault="00E37A3F" w:rsidP="00BC5CCA">
      <w:pPr>
        <w:pStyle w:val="Ttulo2"/>
        <w:jc w:val="left"/>
        <w:rPr>
          <w:szCs w:val="22"/>
        </w:rPr>
      </w:pPr>
      <w:bookmarkStart w:id="8" w:name="_Toc199960443"/>
      <w:r w:rsidRPr="00BC5CCA">
        <w:rPr>
          <w:szCs w:val="22"/>
        </w:rPr>
        <w:t>DEL RECURSO DE REVISIÓN</w:t>
      </w:r>
      <w:bookmarkEnd w:id="8"/>
    </w:p>
    <w:p w14:paraId="0B17CD08" w14:textId="77777777" w:rsidR="00664420" w:rsidRPr="00BC5CCA" w:rsidRDefault="00664420" w:rsidP="00BC5CCA">
      <w:pPr>
        <w:autoSpaceDE w:val="0"/>
        <w:autoSpaceDN w:val="0"/>
        <w:adjustRightInd w:val="0"/>
        <w:ind w:right="-28"/>
        <w:rPr>
          <w:rFonts w:cs="Tahoma"/>
          <w:bCs/>
          <w:szCs w:val="22"/>
          <w:lang w:val="es-ES"/>
        </w:rPr>
      </w:pPr>
    </w:p>
    <w:p w14:paraId="2B216813" w14:textId="61ADBB2B" w:rsidR="00664420" w:rsidRPr="00BC5CCA" w:rsidRDefault="006E25BC" w:rsidP="00BC5CCA">
      <w:pPr>
        <w:pStyle w:val="Ttulo3"/>
        <w:rPr>
          <w:szCs w:val="22"/>
        </w:rPr>
      </w:pPr>
      <w:bookmarkStart w:id="9" w:name="_Toc199960444"/>
      <w:r w:rsidRPr="00BC5CCA">
        <w:rPr>
          <w:szCs w:val="22"/>
        </w:rPr>
        <w:t xml:space="preserve">a) </w:t>
      </w:r>
      <w:r w:rsidR="00664420" w:rsidRPr="00BC5CCA">
        <w:rPr>
          <w:szCs w:val="22"/>
        </w:rPr>
        <w:t>Interposición del Recurso de Revisión</w:t>
      </w:r>
      <w:bookmarkEnd w:id="9"/>
    </w:p>
    <w:p w14:paraId="6279C622" w14:textId="7C5C223B" w:rsidR="00664420" w:rsidRPr="00BC5CCA" w:rsidRDefault="00664420" w:rsidP="00BC5CCA">
      <w:pPr>
        <w:autoSpaceDE w:val="0"/>
        <w:autoSpaceDN w:val="0"/>
        <w:adjustRightInd w:val="0"/>
        <w:ind w:right="-28"/>
        <w:rPr>
          <w:rFonts w:cs="Tahoma"/>
          <w:szCs w:val="22"/>
        </w:rPr>
      </w:pPr>
      <w:r w:rsidRPr="00BC5CCA">
        <w:rPr>
          <w:rFonts w:cs="Tahoma"/>
          <w:szCs w:val="22"/>
        </w:rPr>
        <w:t xml:space="preserve">El </w:t>
      </w:r>
      <w:r w:rsidR="006B4535" w:rsidRPr="00BC5CCA">
        <w:rPr>
          <w:rFonts w:cs="Tahoma"/>
          <w:b/>
          <w:szCs w:val="22"/>
        </w:rPr>
        <w:t>veintiuno de marzo de dos mil veinticinco</w:t>
      </w:r>
      <w:r w:rsidR="006B4535" w:rsidRPr="00BC5CCA">
        <w:rPr>
          <w:rFonts w:cs="Tahoma"/>
          <w:szCs w:val="22"/>
        </w:rPr>
        <w:t>,</w:t>
      </w:r>
      <w:r w:rsidRPr="00BC5CCA">
        <w:rPr>
          <w:rFonts w:cs="Tahoma"/>
          <w:szCs w:val="22"/>
        </w:rPr>
        <w:t xml:space="preserve"> </w:t>
      </w:r>
      <w:r w:rsidR="00F75D23" w:rsidRPr="00BC5CCA">
        <w:rPr>
          <w:rFonts w:cs="Tahoma"/>
          <w:b/>
          <w:bCs/>
          <w:szCs w:val="22"/>
        </w:rPr>
        <w:t>LA PARTE RECURRENTE</w:t>
      </w:r>
      <w:r w:rsidR="00F75D23" w:rsidRPr="00BC5CCA">
        <w:rPr>
          <w:rFonts w:cs="Tahoma"/>
          <w:szCs w:val="22"/>
        </w:rPr>
        <w:t xml:space="preserve"> interpuso el recurso de revisión en contra de la respuesta emitida por el </w:t>
      </w:r>
      <w:r w:rsidR="00F75D23" w:rsidRPr="00BC5CCA">
        <w:rPr>
          <w:rFonts w:cs="Tahoma"/>
          <w:b/>
          <w:bCs/>
          <w:szCs w:val="22"/>
        </w:rPr>
        <w:t>SUJETO OBLIGADO</w:t>
      </w:r>
      <w:r w:rsidR="00953430" w:rsidRPr="00BC5CCA">
        <w:rPr>
          <w:rFonts w:cs="Tahoma"/>
          <w:szCs w:val="22"/>
        </w:rPr>
        <w:t xml:space="preserve">, mismo que fue registrado en el SAIMEX con el número de expediente </w:t>
      </w:r>
      <w:r w:rsidR="006B4535" w:rsidRPr="00BC5CCA">
        <w:rPr>
          <w:rFonts w:cs="Tahoma"/>
          <w:b/>
          <w:bCs/>
          <w:szCs w:val="22"/>
        </w:rPr>
        <w:t>03332</w:t>
      </w:r>
      <w:r w:rsidR="00953430" w:rsidRPr="00BC5CCA">
        <w:rPr>
          <w:rFonts w:cs="Tahoma"/>
          <w:b/>
          <w:bCs/>
          <w:szCs w:val="22"/>
        </w:rPr>
        <w:t>/INFOEM/IP/RR/</w:t>
      </w:r>
      <w:r w:rsidR="006B4535" w:rsidRPr="00BC5CCA">
        <w:rPr>
          <w:rFonts w:cs="Tahoma"/>
          <w:b/>
          <w:bCs/>
          <w:szCs w:val="22"/>
        </w:rPr>
        <w:t>2025</w:t>
      </w:r>
      <w:r w:rsidR="00953430" w:rsidRPr="00BC5CCA">
        <w:rPr>
          <w:rFonts w:cs="Tahoma"/>
          <w:szCs w:val="22"/>
        </w:rPr>
        <w:t>, y en el cual manifiesta lo siguiente</w:t>
      </w:r>
      <w:r w:rsidRPr="00BC5CCA">
        <w:rPr>
          <w:rFonts w:cs="Tahoma"/>
          <w:szCs w:val="22"/>
        </w:rPr>
        <w:t>:</w:t>
      </w:r>
    </w:p>
    <w:p w14:paraId="74B30008" w14:textId="77777777" w:rsidR="00664420" w:rsidRPr="00BC5CCA" w:rsidRDefault="00664420" w:rsidP="00BC5CCA">
      <w:pPr>
        <w:tabs>
          <w:tab w:val="left" w:pos="4667"/>
        </w:tabs>
        <w:ind w:right="539"/>
        <w:rPr>
          <w:rFonts w:cs="Tahoma"/>
          <w:szCs w:val="22"/>
        </w:rPr>
      </w:pPr>
    </w:p>
    <w:p w14:paraId="12153283" w14:textId="77777777" w:rsidR="00664420" w:rsidRPr="00BC5CCA" w:rsidRDefault="00664420" w:rsidP="00BC5CCA">
      <w:pPr>
        <w:tabs>
          <w:tab w:val="left" w:pos="4667"/>
        </w:tabs>
        <w:ind w:left="567" w:right="539"/>
        <w:rPr>
          <w:rFonts w:cs="Tahoma"/>
          <w:b/>
          <w:iCs/>
          <w:szCs w:val="22"/>
        </w:rPr>
      </w:pPr>
      <w:r w:rsidRPr="00BC5CCA">
        <w:rPr>
          <w:rFonts w:cs="Tahoma"/>
          <w:b/>
          <w:iCs/>
          <w:szCs w:val="22"/>
        </w:rPr>
        <w:t>ACTO IMPUGNADO</w:t>
      </w:r>
      <w:r w:rsidRPr="00BC5CCA">
        <w:rPr>
          <w:rFonts w:cs="Tahoma"/>
          <w:b/>
          <w:iCs/>
          <w:szCs w:val="22"/>
        </w:rPr>
        <w:tab/>
      </w:r>
    </w:p>
    <w:p w14:paraId="523F8BF4" w14:textId="522C92D6" w:rsidR="00664420" w:rsidRPr="00BC5CCA" w:rsidRDefault="006B4535" w:rsidP="00BC5CCA">
      <w:pPr>
        <w:pStyle w:val="Puesto"/>
      </w:pPr>
      <w:r w:rsidRPr="00BC5CCA">
        <w:t xml:space="preserve">Principio de Máxima Publicidad y Derecho de Acceso a la Información El derecho de acceso a la información es un derecho fundamental consagrado en el Artículo 6° de la Constitución Política de los Estados Unidos Mexicanos, el cual establece el principio de máxima publicidad y la obligación de las autoridades de proporcionar información pública sin demora injustificada. La respuesta proporcionada por la Unidad de Transparencia argumenta que el contrato de la Feria del Caballo Texcoco 2025 aún está en proceso de revisión y, por lo tanto, no se puede proporcionar. Sin embargo, esto no justifica la negativa total o parcial de acceso a la información, pues el artículo 6° constitucional obliga a los sujetos obligados a garantizar el derecho a la información con excepciones estrictamente delimitadas, que deben estar previstas en la ley y debidamente fundamentadas. El Artículo 4 de la Ley de Transparencia y Acceso a la Información Pública del Estado de México y Municipios establece que toda la información en posesión de los sujetos obligados es pública y accesible, salvo las excepciones expresamente previstas. La falta de conclusión de un </w:t>
      </w:r>
      <w:r w:rsidRPr="00BC5CCA">
        <w:lastRenderedPageBreak/>
        <w:t>contrato no es una causal de reserva establecida El oficio menciona que el contrato de la Feria del Caballo Texcoco 2025 no entra en los supuestos de adjudicación directa o licitación pública, ya que no implica la adquisición de bienes, obras o servicios. Sin embargo: La Ley de Contratación Pública del Estado de México y Municipios regula la contratación de bienes, arrendamientos, servicios y obra pública. El contrato de la Feria debe implicar recursos públicos ya sea en forma de permisos, concesiones, cesión de espacios, ingresos derivados de la explotación comercial o patrocinio, lo cual hace que sí deba sujetarse a principios de transparencia y rendición de cuentas. La falta de un procedimiento de contratación no implica que la información no deba ser pública, ya que el contrato mismo es un documento público sujeto a transparencia, conforme al Artículo 12 de la Ley de Transparencia del Estado de México. Falta de Fundamentación y Motivación en la Negativa de Información El Artículo 8 de la Constitución establece el derecho de petición, el cual implica que toda respuesta de autoridad debe ser fundada y motivada. La respuesta proporcionada: No fundamenta en qué artículo o causal específica se basa la negativa a proporcionar la información. No acredita que el contrato esté sujeto a reserva o confidencialidad. No menciona si existe un acuerdo formal de clasificación de la información conforme al Artículo 157 de la Ley de Transparencia del Estado de México. La simple mención de que el contrato está en proceso de revisión no es un motivo válido para negar la información, ya que los contratos en trámite también pueden ser proporcionados con las versiones que existan hasta la fecha. Obligación de Entregar la Información en el Estado en que se Encuentra El Artículo 12, párrafo segundo de la Ley de Transparencia del Estado de México señala que los sujetos obligados deben entregar la información en el estado en que se encuentre. Esto significa que, aunque el contrato no esté concluido, debe entregarse en su versión más actual, ya que la ley no permite negar información bajo el argumento de que está en proceso de revisión. La negativa de la Unidad de Transparencia carece de fundamento legal suficiente y contradice los principios constitucionales y legales de transparencia. Conforme a lo establecido en el Artículo 178 de la Ley de Transparencia del Estado de México, el solicitante puede interponer un recurso de revisión ante el Instituto de Transparencia, argumentando que: El contrato debe proporcionarse en su versión actual. No se fundamentó adecuadamente la negativa. El principio de máxima publicidad obliga a proporcionar la información salvo causa legal de reserva, la cual no se acredita en la respuesta. Por lo tanto, el solicitante tiene elementos sólidos para impugnar la respuesta ante las instancias correspondientes.</w:t>
      </w:r>
    </w:p>
    <w:p w14:paraId="6AE8EA9A" w14:textId="77777777" w:rsidR="00664420" w:rsidRPr="00BC5CCA" w:rsidRDefault="00664420" w:rsidP="00BC5CCA">
      <w:pPr>
        <w:tabs>
          <w:tab w:val="left" w:pos="4667"/>
        </w:tabs>
        <w:ind w:left="567" w:right="539"/>
        <w:rPr>
          <w:rFonts w:cs="Tahoma"/>
          <w:bCs/>
          <w:i/>
          <w:szCs w:val="22"/>
        </w:rPr>
      </w:pPr>
    </w:p>
    <w:p w14:paraId="047D036B" w14:textId="77777777" w:rsidR="00664420" w:rsidRPr="00BC5CCA" w:rsidRDefault="00664420" w:rsidP="00BC5CCA">
      <w:pPr>
        <w:tabs>
          <w:tab w:val="left" w:pos="4667"/>
        </w:tabs>
        <w:ind w:left="567" w:right="539"/>
        <w:rPr>
          <w:rFonts w:cs="Tahoma"/>
          <w:b/>
          <w:iCs/>
          <w:szCs w:val="22"/>
        </w:rPr>
      </w:pPr>
      <w:r w:rsidRPr="00BC5CCA">
        <w:rPr>
          <w:rFonts w:cs="Tahoma"/>
          <w:b/>
          <w:iCs/>
          <w:szCs w:val="22"/>
        </w:rPr>
        <w:t>RAZONES O MOTIVOS DE LA INCONFORMIDAD</w:t>
      </w:r>
      <w:r w:rsidRPr="00BC5CCA">
        <w:rPr>
          <w:rFonts w:cs="Tahoma"/>
          <w:b/>
          <w:iCs/>
          <w:szCs w:val="22"/>
        </w:rPr>
        <w:tab/>
      </w:r>
    </w:p>
    <w:p w14:paraId="1DAE2563" w14:textId="1B129E5A" w:rsidR="00953430" w:rsidRPr="00BC5CCA" w:rsidRDefault="006B4535" w:rsidP="00BC5CCA">
      <w:pPr>
        <w:pStyle w:val="Puesto"/>
      </w:pPr>
      <w:r w:rsidRPr="00BC5CCA">
        <w:t xml:space="preserve">Principio de Máxima Publicidad y Derecho de Acceso a la Información El derecho de acceso a la información es un derecho fundamental consagrado en el Artículo 6° de la Constitución Política de los Estados Unidos Mexicanos, el cual establece el principio de máxima </w:t>
      </w:r>
      <w:r w:rsidRPr="00BC5CCA">
        <w:lastRenderedPageBreak/>
        <w:t xml:space="preserve">publicidad y la obligación de las autoridades de proporcionar información pública sin demora injustificada. La respuesta proporcionada por la Unidad de Transparencia argumenta que el contrato de la Feria del Caballo Texcoco 2025 aún está en proceso de revisión y, por lo tanto, no se puede proporcionar. Sin embargo, esto no justifica la negativa total o parcial de acceso a la información, pues el artículo 6° constitucional obliga a los sujetos obligados a garantizar el derecho a la información con excepciones estrictamente delimitadas, que deben estar previstas en la ley y debidamente fundamentadas. El Artículo 4 de la Ley de Transparencia y Acceso a la Información Pública del Estado de México y Municipios establece que toda la información en posesión de los sujetos obligados es pública y accesible, salvo las excepciones expresamente previstas. La falta de conclusión de un contrato no es una causal de reserva establecida El oficio menciona que el contrato de la Feria del Caballo Texcoco 2025 no entra en los supuestos de adjudicación directa o licitación pública, ya que no implica la adquisición de bienes, obras o servicios. Sin embargo: La Ley de Contratación Pública del Estado de México y Municipios regula la contratación de bienes, arrendamientos, servicios y obra pública. El contrato de la Feria debe implicar recursos públicos ya sea en forma de permisos, concesiones, cesión de espacios, ingresos derivados de la explotación comercial o patrocinio, lo cual hace que sí deba sujetarse a principios de transparencia y rendición de cuentas. La falta de un procedimiento de contratación no implica que la información no deba ser pública, ya que el contrato mismo es un documento público sujeto a transparencia, conforme al Artículo 12 de la Ley de Transparencia del Estado de México. Falta de Fundamentación y Motivación en la Negativa de Información El Artículo 8 de la Constitución establece el derecho de petición, el cual implica que toda respuesta de autoridad debe ser fundada y motivada. La respuesta proporcionada: No fundamenta en qué artículo o causal específica se basa la negativa a proporcionar la información. No acredita que el contrato esté sujeto a reserva o confidencialidad. No menciona si existe un acuerdo formal de clasificación de la información conforme al Artículo 157 de la Ley de Transparencia del Estado de México. La simple mención de que el contrato está en proceso de revisión no es un motivo válido para negar la información, ya que los contratos en trámite también pueden ser proporcionados con las versiones que existan hasta la fecha. Obligación de Entregar la Información en el Estado en que se Encuentra El Artículo 12, párrafo segundo de la Ley de Transparencia del Estado de México señala que los sujetos obligados deben entregar la información en el estado en que se encuentre. Esto significa que, aunque el contrato no esté concluido, debe entregarse en su versión más actual, ya que la ley no permite negar información bajo el argumento de que está en proceso de revisión. La negativa de la Unidad de Transparencia carece de fundamento legal suficiente y contradice los principios constitucionales y legales de transparencia. Conforme a lo establecido en el Artículo 178 de la Ley de Transparencia del Estado de México, el solicitante puede interponer un recurso de revisión ante el Instituto de Transparencia, argumentando que: El contrato debe </w:t>
      </w:r>
      <w:r w:rsidRPr="00BC5CCA">
        <w:lastRenderedPageBreak/>
        <w:t>proporcionarse en su versión actual. No se fundamentó adecuadamente la negativa. El principio de máxima publicidad obliga a proporcionar la información salvo causa legal de reserva, la cual no se acredita en la respuesta. Por lo tanto, el solicitante tiene elementos sólidos para impugnar la respuesta ante las instancias correspondientes.</w:t>
      </w:r>
    </w:p>
    <w:p w14:paraId="48FE75EA" w14:textId="77777777" w:rsidR="00664420" w:rsidRPr="00BC5CCA" w:rsidRDefault="00664420" w:rsidP="00BC5CCA">
      <w:pPr>
        <w:tabs>
          <w:tab w:val="left" w:pos="4667"/>
        </w:tabs>
        <w:ind w:right="567"/>
        <w:rPr>
          <w:rFonts w:cs="Tahoma"/>
          <w:b/>
          <w:bCs/>
          <w:szCs w:val="22"/>
        </w:rPr>
      </w:pPr>
    </w:p>
    <w:p w14:paraId="6804DEF1" w14:textId="3C4F6CB5" w:rsidR="00664420" w:rsidRPr="00BC5CCA" w:rsidRDefault="006E25BC" w:rsidP="00BC5CCA">
      <w:pPr>
        <w:pStyle w:val="Ttulo3"/>
        <w:rPr>
          <w:szCs w:val="22"/>
        </w:rPr>
      </w:pPr>
      <w:bookmarkStart w:id="10" w:name="_Toc199960445"/>
      <w:r w:rsidRPr="00BC5CCA">
        <w:rPr>
          <w:szCs w:val="22"/>
        </w:rPr>
        <w:t>b</w:t>
      </w:r>
      <w:r w:rsidR="00664420" w:rsidRPr="00BC5CCA">
        <w:rPr>
          <w:szCs w:val="22"/>
        </w:rPr>
        <w:t>) Turno del Recurso de Revisión</w:t>
      </w:r>
      <w:bookmarkEnd w:id="10"/>
    </w:p>
    <w:p w14:paraId="1173671B" w14:textId="7AD9FDD8" w:rsidR="00C72DAA" w:rsidRPr="00BC5CCA" w:rsidRDefault="00C72DAA" w:rsidP="00BC5CCA">
      <w:pPr>
        <w:rPr>
          <w:szCs w:val="22"/>
        </w:rPr>
      </w:pPr>
      <w:r w:rsidRPr="00BC5CCA">
        <w:rPr>
          <w:szCs w:val="22"/>
        </w:rPr>
        <w:t>Con fundamento en el artículo 185, fracción I de la Ley de Transparencia y Acceso a la Información Pública del Estado de México y Municipios, el</w:t>
      </w:r>
      <w:r w:rsidRPr="00BC5CCA">
        <w:rPr>
          <w:b/>
          <w:bCs/>
          <w:szCs w:val="22"/>
        </w:rPr>
        <w:t xml:space="preserve"> </w:t>
      </w:r>
      <w:r w:rsidR="006B4535" w:rsidRPr="00BC5CCA">
        <w:rPr>
          <w:rFonts w:eastAsia="Palatino Linotype" w:cs="Palatino Linotype"/>
          <w:b/>
          <w:szCs w:val="22"/>
        </w:rPr>
        <w:t>veintiuno de marzo de dos mil veinticinco</w:t>
      </w:r>
      <w:r w:rsidRPr="00BC5CCA">
        <w:rPr>
          <w:szCs w:val="22"/>
        </w:rPr>
        <w:t xml:space="preserve"> se turnó el recurso de revisión a través del</w:t>
      </w:r>
      <w:r w:rsidRPr="00BC5CCA">
        <w:rPr>
          <w:rFonts w:eastAsia="Arial Unicode MS"/>
          <w:szCs w:val="22"/>
        </w:rPr>
        <w:t xml:space="preserve"> </w:t>
      </w:r>
      <w:r w:rsidRPr="00BC5CCA">
        <w:rPr>
          <w:rFonts w:eastAsia="Arial Unicode MS"/>
          <w:bCs/>
          <w:szCs w:val="22"/>
        </w:rPr>
        <w:t>SAIMEX</w:t>
      </w:r>
      <w:r w:rsidRPr="00BC5CCA">
        <w:rPr>
          <w:szCs w:val="22"/>
        </w:rPr>
        <w:t xml:space="preserve"> a la </w:t>
      </w:r>
      <w:r w:rsidRPr="00BC5CCA">
        <w:rPr>
          <w:b/>
          <w:szCs w:val="22"/>
        </w:rPr>
        <w:t>Comisionada Sharon Cristina Morales Martínez</w:t>
      </w:r>
      <w:r w:rsidRPr="00BC5CCA">
        <w:rPr>
          <w:bCs/>
          <w:szCs w:val="22"/>
        </w:rPr>
        <w:t xml:space="preserve">, </w:t>
      </w:r>
      <w:r w:rsidRPr="00BC5CCA">
        <w:rPr>
          <w:szCs w:val="22"/>
        </w:rPr>
        <w:t xml:space="preserve">a efecto de decretar su admisión o desechamiento. </w:t>
      </w:r>
    </w:p>
    <w:p w14:paraId="18F305CB" w14:textId="77777777" w:rsidR="00664420" w:rsidRPr="00BC5CCA" w:rsidRDefault="00664420" w:rsidP="00BC5CCA">
      <w:pPr>
        <w:rPr>
          <w:rFonts w:eastAsia="Batang" w:cs="Tahoma"/>
          <w:bCs/>
          <w:szCs w:val="22"/>
        </w:rPr>
      </w:pPr>
    </w:p>
    <w:p w14:paraId="3E31EC2D" w14:textId="295256A1" w:rsidR="00664420" w:rsidRPr="00BC5CCA" w:rsidRDefault="006E25BC" w:rsidP="00BC5CCA">
      <w:pPr>
        <w:pStyle w:val="Ttulo3"/>
        <w:rPr>
          <w:szCs w:val="22"/>
        </w:rPr>
      </w:pPr>
      <w:bookmarkStart w:id="11" w:name="_Toc199960446"/>
      <w:r w:rsidRPr="00BC5CCA">
        <w:rPr>
          <w:szCs w:val="22"/>
        </w:rPr>
        <w:t>c</w:t>
      </w:r>
      <w:r w:rsidR="00664420" w:rsidRPr="00BC5CCA">
        <w:rPr>
          <w:szCs w:val="22"/>
        </w:rPr>
        <w:t>) Admisión del Recurso de Revisión</w:t>
      </w:r>
      <w:bookmarkEnd w:id="11"/>
    </w:p>
    <w:p w14:paraId="240447D5" w14:textId="2FEAA7EF" w:rsidR="000E09C4" w:rsidRPr="00BC5CCA" w:rsidRDefault="000E09C4" w:rsidP="00BC5CCA">
      <w:pPr>
        <w:rPr>
          <w:rFonts w:cs="Arial"/>
          <w:szCs w:val="22"/>
        </w:rPr>
      </w:pPr>
      <w:r w:rsidRPr="00BC5CCA">
        <w:rPr>
          <w:rFonts w:cs="Arial"/>
          <w:szCs w:val="22"/>
        </w:rPr>
        <w:t xml:space="preserve">El </w:t>
      </w:r>
      <w:r w:rsidR="006B4535" w:rsidRPr="00BC5CCA">
        <w:rPr>
          <w:rFonts w:cs="Arial"/>
          <w:b/>
          <w:szCs w:val="22"/>
        </w:rPr>
        <w:t>veinticuatro de marzo de dos mil veinticinco</w:t>
      </w:r>
      <w:r w:rsidR="006B4535" w:rsidRPr="00BC5CCA">
        <w:rPr>
          <w:rFonts w:cs="Arial"/>
          <w:szCs w:val="22"/>
        </w:rPr>
        <w:t>,</w:t>
      </w:r>
      <w:r w:rsidRPr="00BC5CCA">
        <w:rPr>
          <w:rFonts w:cs="Arial"/>
          <w:szCs w:val="22"/>
        </w:rPr>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w:t>
      </w:r>
      <w:r w:rsidR="00865CF4" w:rsidRPr="00BC5CCA">
        <w:rPr>
          <w:rFonts w:cs="Arial"/>
          <w:szCs w:val="22"/>
        </w:rPr>
        <w:t>, fracción II</w:t>
      </w:r>
      <w:r w:rsidRPr="00BC5CCA">
        <w:rPr>
          <w:rFonts w:cs="Arial"/>
          <w:szCs w:val="22"/>
        </w:rPr>
        <w:t xml:space="preserve"> de la Ley de Transparencia y Acceso a la Información Pública del Estado de México y Municipios.</w:t>
      </w:r>
    </w:p>
    <w:p w14:paraId="58394660" w14:textId="77777777" w:rsidR="006B4535" w:rsidRPr="00BC5CCA" w:rsidRDefault="006B4535" w:rsidP="00BC5CCA">
      <w:pPr>
        <w:rPr>
          <w:rFonts w:cs="Arial"/>
          <w:szCs w:val="22"/>
        </w:rPr>
      </w:pPr>
    </w:p>
    <w:p w14:paraId="3B820F58" w14:textId="3E7EDD77" w:rsidR="00865CF4" w:rsidRPr="00BC5CCA" w:rsidRDefault="000B2FC5" w:rsidP="00BC5CCA">
      <w:pPr>
        <w:pStyle w:val="Ttulo3"/>
        <w:rPr>
          <w:szCs w:val="22"/>
        </w:rPr>
      </w:pPr>
      <w:bookmarkStart w:id="12" w:name="_Toc199960447"/>
      <w:r w:rsidRPr="00BC5CCA">
        <w:rPr>
          <w:szCs w:val="22"/>
        </w:rPr>
        <w:t>d</w:t>
      </w:r>
      <w:r w:rsidR="00664420" w:rsidRPr="00BC5CCA">
        <w:rPr>
          <w:szCs w:val="22"/>
        </w:rPr>
        <w:t xml:space="preserve">) </w:t>
      </w:r>
      <w:r w:rsidR="00865CF4" w:rsidRPr="00BC5CCA">
        <w:rPr>
          <w:szCs w:val="22"/>
        </w:rPr>
        <w:t>Informe Justificado del Sujeto Obligado</w:t>
      </w:r>
      <w:bookmarkEnd w:id="12"/>
    </w:p>
    <w:p w14:paraId="195F0D72" w14:textId="03620A16" w:rsidR="00865CF4" w:rsidRPr="00BC5CCA" w:rsidRDefault="00865CF4" w:rsidP="00BC5CCA">
      <w:pPr>
        <w:rPr>
          <w:rFonts w:eastAsia="Calibri" w:cs="Tahoma"/>
          <w:szCs w:val="22"/>
          <w:lang w:eastAsia="en-US"/>
        </w:rPr>
      </w:pPr>
      <w:r w:rsidRPr="00BC5CCA">
        <w:rPr>
          <w:rFonts w:cs="Tahoma"/>
          <w:bCs/>
          <w:szCs w:val="22"/>
        </w:rPr>
        <w:t xml:space="preserve">El </w:t>
      </w:r>
      <w:r w:rsidR="000C52E9" w:rsidRPr="00BC5CCA">
        <w:rPr>
          <w:rFonts w:cs="Tahoma"/>
          <w:b/>
          <w:bCs/>
          <w:szCs w:val="22"/>
        </w:rPr>
        <w:t>veintiséis de marzo de dos mil veinticinco</w:t>
      </w:r>
      <w:r w:rsidR="000C52E9" w:rsidRPr="00BC5CCA">
        <w:rPr>
          <w:rFonts w:cs="Tahoma"/>
          <w:bCs/>
          <w:szCs w:val="22"/>
        </w:rPr>
        <w:t>,</w:t>
      </w:r>
      <w:r w:rsidRPr="00BC5CCA">
        <w:rPr>
          <w:rFonts w:cs="Tahoma"/>
          <w:b/>
          <w:szCs w:val="22"/>
        </w:rPr>
        <w:t xml:space="preserve"> EL SUJETO OBLIGADO</w:t>
      </w:r>
      <w:r w:rsidRPr="00BC5CCA">
        <w:rPr>
          <w:rFonts w:cs="Tahoma"/>
          <w:bCs/>
          <w:szCs w:val="22"/>
        </w:rPr>
        <w:t xml:space="preserve"> rindió su informe justificado a través del </w:t>
      </w:r>
      <w:r w:rsidRPr="00BC5CCA">
        <w:rPr>
          <w:rFonts w:cs="Tahoma"/>
          <w:b/>
          <w:bCs/>
          <w:szCs w:val="22"/>
        </w:rPr>
        <w:t>SAIMEX</w:t>
      </w:r>
      <w:r w:rsidRPr="00BC5CCA">
        <w:rPr>
          <w:rFonts w:cs="Tahoma"/>
          <w:bCs/>
          <w:szCs w:val="22"/>
        </w:rPr>
        <w:t xml:space="preserve">, </w:t>
      </w:r>
      <w:r w:rsidRPr="00BC5CCA">
        <w:rPr>
          <w:rFonts w:eastAsia="Calibri" w:cs="Tahoma"/>
          <w:szCs w:val="22"/>
          <w:lang w:eastAsia="en-US"/>
        </w:rPr>
        <w:t xml:space="preserve">en el cual </w:t>
      </w:r>
      <w:r w:rsidR="000C52E9" w:rsidRPr="00BC5CCA">
        <w:rPr>
          <w:rFonts w:eastAsia="Calibri" w:cs="Tahoma"/>
          <w:szCs w:val="22"/>
          <w:lang w:eastAsia="en-US"/>
        </w:rPr>
        <w:t>remitió el mismo oficio entregado en respuesta.</w:t>
      </w:r>
    </w:p>
    <w:p w14:paraId="6E939452" w14:textId="77777777" w:rsidR="00865CF4" w:rsidRPr="00BC5CCA" w:rsidRDefault="00865CF4" w:rsidP="00BC5CCA">
      <w:pPr>
        <w:rPr>
          <w:rFonts w:eastAsia="Calibri" w:cs="Tahoma"/>
          <w:szCs w:val="22"/>
          <w:lang w:eastAsia="en-US"/>
        </w:rPr>
      </w:pPr>
    </w:p>
    <w:p w14:paraId="2D130A9D" w14:textId="48B2BC13" w:rsidR="00865CF4" w:rsidRPr="00BC5CCA" w:rsidRDefault="00865CF4" w:rsidP="00BC5CCA">
      <w:pPr>
        <w:rPr>
          <w:rFonts w:cs="Tahoma"/>
          <w:bCs/>
          <w:szCs w:val="22"/>
        </w:rPr>
      </w:pPr>
      <w:r w:rsidRPr="00BC5CCA">
        <w:rPr>
          <w:rFonts w:cs="Tahoma"/>
          <w:bCs/>
          <w:szCs w:val="22"/>
        </w:rPr>
        <w:t xml:space="preserve">Esta información fue puesta a la vista de </w:t>
      </w:r>
      <w:r w:rsidRPr="00BC5CCA">
        <w:rPr>
          <w:rFonts w:cs="Tahoma"/>
          <w:b/>
          <w:szCs w:val="22"/>
        </w:rPr>
        <w:t xml:space="preserve">LA PARTE RECURRENTE </w:t>
      </w:r>
      <w:r w:rsidRPr="00BC5CCA">
        <w:rPr>
          <w:rFonts w:cs="Tahoma"/>
          <w:bCs/>
          <w:szCs w:val="22"/>
        </w:rPr>
        <w:t xml:space="preserve">el </w:t>
      </w:r>
      <w:r w:rsidR="000C52E9" w:rsidRPr="00BC5CCA">
        <w:rPr>
          <w:rFonts w:cs="Tahoma"/>
          <w:b/>
          <w:bCs/>
          <w:szCs w:val="22"/>
        </w:rPr>
        <w:t>trece de mayo de dos mil veinticinco</w:t>
      </w:r>
      <w:r w:rsidRPr="00BC5CCA">
        <w:rPr>
          <w:rFonts w:cs="Tahoma"/>
          <w:bCs/>
          <w:szCs w:val="22"/>
        </w:rPr>
        <w:t xml:space="preserve"> para que, en un plazo de tres días hábiles, manifestara lo que a su derecho conviniera, de conformidad con lo establecido en el </w:t>
      </w:r>
      <w:r w:rsidRPr="00BC5CCA">
        <w:rPr>
          <w:rFonts w:cs="Arial"/>
          <w:szCs w:val="22"/>
        </w:rPr>
        <w:t>artículo 185, fracción III de la Ley de Transparencia y Acceso a la Información Pública del Estado de México y Municipios</w:t>
      </w:r>
      <w:r w:rsidRPr="00BC5CCA">
        <w:rPr>
          <w:rFonts w:cs="Tahoma"/>
          <w:bCs/>
          <w:szCs w:val="22"/>
        </w:rPr>
        <w:t>.</w:t>
      </w:r>
    </w:p>
    <w:p w14:paraId="3B386B4C" w14:textId="77777777" w:rsidR="003A40C1" w:rsidRPr="00BC5CCA" w:rsidRDefault="003A40C1" w:rsidP="00BC5CCA">
      <w:pPr>
        <w:ind w:right="539"/>
        <w:rPr>
          <w:rFonts w:cs="Tahoma"/>
          <w:bCs/>
          <w:szCs w:val="22"/>
        </w:rPr>
      </w:pPr>
    </w:p>
    <w:p w14:paraId="755B7730" w14:textId="1FDFA8A1" w:rsidR="00664420" w:rsidRPr="00BC5CCA" w:rsidRDefault="000B2FC5" w:rsidP="00BC5CCA">
      <w:pPr>
        <w:pStyle w:val="Ttulo3"/>
        <w:rPr>
          <w:szCs w:val="22"/>
          <w:lang w:val="es-ES"/>
        </w:rPr>
      </w:pPr>
      <w:bookmarkStart w:id="13" w:name="_Toc199960448"/>
      <w:r w:rsidRPr="00BC5CCA">
        <w:rPr>
          <w:rFonts w:eastAsia="Calibri"/>
          <w:bCs/>
          <w:szCs w:val="22"/>
          <w:lang w:eastAsia="en-US"/>
        </w:rPr>
        <w:t>e</w:t>
      </w:r>
      <w:r w:rsidR="00664420" w:rsidRPr="00BC5CCA">
        <w:rPr>
          <w:rFonts w:eastAsia="Calibri"/>
          <w:bCs/>
          <w:szCs w:val="22"/>
          <w:lang w:eastAsia="en-US"/>
        </w:rPr>
        <w:t>)</w:t>
      </w:r>
      <w:r w:rsidR="00664420" w:rsidRPr="00BC5CCA">
        <w:rPr>
          <w:szCs w:val="22"/>
        </w:rPr>
        <w:t xml:space="preserve"> </w:t>
      </w:r>
      <w:r w:rsidR="00865CF4" w:rsidRPr="00BC5CCA">
        <w:rPr>
          <w:szCs w:val="22"/>
          <w:lang w:val="es-ES"/>
        </w:rPr>
        <w:t>Manifestaciones de la Parte Recurrente</w:t>
      </w:r>
      <w:bookmarkEnd w:id="13"/>
    </w:p>
    <w:p w14:paraId="082F5C32" w14:textId="5B56D3AD" w:rsidR="00865CF4" w:rsidRPr="00BC5CCA" w:rsidRDefault="00865CF4" w:rsidP="00BC5CCA">
      <w:pPr>
        <w:rPr>
          <w:rFonts w:cs="Tahoma"/>
          <w:bCs/>
          <w:szCs w:val="22"/>
        </w:rPr>
      </w:pPr>
      <w:r w:rsidRPr="00BC5CCA">
        <w:rPr>
          <w:rFonts w:cs="Tahoma"/>
          <w:b/>
          <w:szCs w:val="22"/>
        </w:rPr>
        <w:t xml:space="preserve">LA PARTE RECURRENTE </w:t>
      </w:r>
      <w:r w:rsidRPr="00BC5CCA">
        <w:rPr>
          <w:rFonts w:cs="Tahoma"/>
          <w:bCs/>
          <w:szCs w:val="22"/>
        </w:rPr>
        <w:t xml:space="preserve">remitió sus manifestaciones a través del SAIMEX el </w:t>
      </w:r>
      <w:r w:rsidR="000C52E9" w:rsidRPr="00BC5CCA">
        <w:rPr>
          <w:rFonts w:cs="Tahoma"/>
          <w:b/>
          <w:bCs/>
          <w:szCs w:val="22"/>
        </w:rPr>
        <w:t>veinticinco de marzo de dos mil veinticinco</w:t>
      </w:r>
      <w:r w:rsidRPr="00BC5CCA">
        <w:rPr>
          <w:rFonts w:cs="Tahoma"/>
          <w:bCs/>
          <w:szCs w:val="22"/>
        </w:rPr>
        <w:t>, en las cuales expresó lo siguiente:</w:t>
      </w:r>
    </w:p>
    <w:p w14:paraId="1BF0A715" w14:textId="77777777" w:rsidR="00865CF4" w:rsidRPr="00BC5CCA" w:rsidRDefault="00865CF4" w:rsidP="00BC5CCA">
      <w:pPr>
        <w:rPr>
          <w:rFonts w:cs="Tahoma"/>
          <w:bCs/>
          <w:szCs w:val="22"/>
        </w:rPr>
      </w:pPr>
    </w:p>
    <w:p w14:paraId="7A469DF4" w14:textId="6AABFFE6" w:rsidR="00865CF4" w:rsidRPr="00BC5CCA" w:rsidRDefault="000C52E9" w:rsidP="00BC5CCA">
      <w:pPr>
        <w:pStyle w:val="Puesto"/>
      </w:pPr>
      <w:r w:rsidRPr="00BC5CCA">
        <w:t xml:space="preserve">“Contraargumento conforme a la Constitución Política de los Estados Unidos Mexicanos y la legislación aplicable 1. Principio de Máxima Publicidad y Derecho de Acceso a la Información El derecho de acceso a la información es un derecho fundamental consagrado en el Artículo 6° de la Constitución Política de los Estados Unidos Mexicanos, el cual establece el principio de máxima publicidad y la obligación de las autoridades de proporcionar información pública sin demora injustificada. La respuesta proporcionada por la Unidad de Transparencia argumenta que el contrato de la Feria del Caballo Texcoco 2025 aún está en proceso de revisión y, por lo tanto, no se puede proporcionar. Sin embargo, esto no justifica la negativa total o parcial de acceso a la información, pues el artículo 6° constitucional obliga a los sujetos obligados a garantizar el derecho a la información con excepciones estrictamente delimitadas, que deben estar previstas en la ley y debidamente fundamentadas. El Artículo 4 de la Ley de Transparencia y Acceso a la Información Pública del Estado de México y Municipios establece que toda la información en posesión de los sujetos obligados es pública y accesible, salvo las excepciones expresamente previstas. La falta de conclusión de un contrato no es una causal de reserva establecida en la ley. 2. Improcedencia del argumento sobre Adjudicación Directa o Licitación Pública El oficio menciona que el contrato de la Feria del Caballo Texcoco 2025 no entra en los supuestos de adjudicación directa o licitación pública, ya que no implica la adquisición de bienes, obras o servicios. Sin embargo: La Ley de Contratación Pública del Estado de México y Municipios regula la contratación de bienes, arrendamientos, servicios y obra pública. El contrato de la Feria debe implicar recursos públicos ya sea en forma de permisos, concesiones, cesión de espacios, ingresos derivados de la explotación comercial o patrocinio, lo cual hace que sí deba sujetarse a principios de transparencia y rendición de cuentas. La falta de un procedimiento de contratación no implica que la información no deba ser pública, ya que el contrato mismo es un documento público sujeto a transparencia, conforme al Artículo 12 de la Ley de Transparencia del Estado de México. 3. Falta de Fundamentación y Motivación en la Negativa de Información El Artículo 8 de la Constitución establece el derecho de petición, el cual implica que toda respuesta de autoridad debe ser fundada y motivada. La respuesta proporcionada: No fundamenta en qué artículo o causal específica se basa la negativa a proporcionar la información. No acredita que el contrato esté sujeto a reserva o confidencialidad. No menciona si existe un </w:t>
      </w:r>
      <w:r w:rsidRPr="00BC5CCA">
        <w:lastRenderedPageBreak/>
        <w:t>acuerdo formal de clasificación de la información conforme al Artículo 157 de la Ley de Transparencia del Estado de México. La simple mención de que el contrato está en proceso de revisión no es un motivo válido para negar la información, ya que los contratos en trámite también pueden ser proporcionados con las versiones que existan hasta la fecha. 4. Obligación de Entregar la Información en el Estado en que se Encuentra El Artículo 12, párrafo segundo de la Ley de Transparencia del Estado de México señala que los sujetos obligados deben entregar la información en el estado en que se encuentre. Esto significa que, aunque el contrato no esté concluido, debe entregarse en su versión más actual, ya que la ley no permite negar información bajo el argumento de que está en proceso de revisión. Conclusión La negativa de la Unidad de Transparencia carece de fundamento legal suficiente y contradice los principios constitucionales y legales de transparencia. Conforme a lo establecido en el Artículo 178 de la Ley de Transparencia del Estado de México, el solicitante puede interponer un recurso de revisión ante el Instituto de Transparencia, argumentando que: El contrato debe proporcionarse en su versión actual. No se fundamentó adecuadamente la negativa.”</w:t>
      </w:r>
    </w:p>
    <w:p w14:paraId="24F87764" w14:textId="77777777" w:rsidR="00664420" w:rsidRPr="00BC5CCA" w:rsidRDefault="00664420" w:rsidP="00BC5CCA">
      <w:pPr>
        <w:rPr>
          <w:rFonts w:cs="Tahoma"/>
          <w:bCs/>
          <w:szCs w:val="22"/>
        </w:rPr>
      </w:pPr>
    </w:p>
    <w:p w14:paraId="66E0233D" w14:textId="6E42107C" w:rsidR="000B2FC5" w:rsidRPr="00BC5CCA" w:rsidRDefault="000B2FC5" w:rsidP="00BC5CCA">
      <w:pPr>
        <w:pStyle w:val="Ttulo3"/>
        <w:rPr>
          <w:szCs w:val="22"/>
          <w:lang w:val="es-ES"/>
        </w:rPr>
      </w:pPr>
      <w:bookmarkStart w:id="14" w:name="_Toc199960449"/>
      <w:r w:rsidRPr="00BC5CCA">
        <w:rPr>
          <w:rFonts w:eastAsia="Calibri"/>
          <w:bCs/>
          <w:szCs w:val="22"/>
          <w:lang w:eastAsia="en-US"/>
        </w:rPr>
        <w:t>f)</w:t>
      </w:r>
      <w:r w:rsidRPr="00BC5CCA">
        <w:rPr>
          <w:szCs w:val="22"/>
        </w:rPr>
        <w:t xml:space="preserve"> </w:t>
      </w:r>
      <w:r w:rsidRPr="00BC5CCA">
        <w:rPr>
          <w:rFonts w:eastAsia="Calibri" w:cs="Tahoma"/>
          <w:szCs w:val="22"/>
          <w:lang w:eastAsia="en-US"/>
        </w:rPr>
        <w:t>Requerimiento de información adicional</w:t>
      </w:r>
      <w:bookmarkEnd w:id="14"/>
    </w:p>
    <w:p w14:paraId="07FBD1ED" w14:textId="170480A9" w:rsidR="000B2FC5" w:rsidRPr="00BC5CCA" w:rsidRDefault="00CE01DC" w:rsidP="00BC5CCA">
      <w:pPr>
        <w:ind w:right="-28"/>
        <w:rPr>
          <w:rFonts w:eastAsia="Calibri" w:cs="Tahoma"/>
          <w:bCs/>
          <w:szCs w:val="22"/>
          <w:lang w:eastAsia="en-US"/>
        </w:rPr>
      </w:pPr>
      <w:r w:rsidRPr="00BC5CCA">
        <w:rPr>
          <w:rFonts w:eastAsia="Calibri" w:cs="Tahoma"/>
          <w:bCs/>
          <w:szCs w:val="22"/>
          <w:lang w:eastAsia="en-US"/>
        </w:rPr>
        <w:t xml:space="preserve">El </w:t>
      </w:r>
      <w:r w:rsidRPr="00BC5CCA">
        <w:rPr>
          <w:rFonts w:eastAsia="Calibri" w:cs="Tahoma"/>
          <w:b/>
          <w:bCs/>
          <w:szCs w:val="22"/>
          <w:lang w:eastAsia="en-US"/>
        </w:rPr>
        <w:t>veintidós de mayo de dos mil veinticinco</w:t>
      </w:r>
      <w:r w:rsidR="000B2FC5" w:rsidRPr="00BC5CCA">
        <w:rPr>
          <w:rFonts w:eastAsia="Calibri" w:cs="Tahoma"/>
          <w:bCs/>
          <w:szCs w:val="22"/>
          <w:lang w:eastAsia="en-US"/>
        </w:rPr>
        <w:t xml:space="preserve"> se </w:t>
      </w:r>
      <w:r w:rsidR="00E914BE" w:rsidRPr="00BC5CCA">
        <w:rPr>
          <w:rFonts w:eastAsia="Calibri" w:cs="Tahoma"/>
          <w:bCs/>
          <w:szCs w:val="22"/>
          <w:lang w:eastAsia="en-US"/>
        </w:rPr>
        <w:t>realizó</w:t>
      </w:r>
      <w:r w:rsidR="000B2FC5" w:rsidRPr="00BC5CCA">
        <w:rPr>
          <w:rFonts w:eastAsia="Calibri" w:cs="Tahoma"/>
          <w:bCs/>
          <w:szCs w:val="22"/>
          <w:lang w:eastAsia="en-US"/>
        </w:rPr>
        <w:t xml:space="preserve"> un requerimiento de información adicional</w:t>
      </w:r>
      <w:r w:rsidR="00E914BE" w:rsidRPr="00BC5CCA">
        <w:rPr>
          <w:rFonts w:eastAsia="Calibri" w:cs="Tahoma"/>
          <w:bCs/>
          <w:szCs w:val="22"/>
          <w:lang w:eastAsia="en-US"/>
        </w:rPr>
        <w:t xml:space="preserve"> </w:t>
      </w:r>
      <w:r w:rsidR="000B2FC5" w:rsidRPr="00BC5CCA">
        <w:rPr>
          <w:rFonts w:eastAsia="Calibri" w:cs="Tahoma"/>
          <w:bCs/>
          <w:szCs w:val="22"/>
          <w:lang w:eastAsia="en-US"/>
        </w:rPr>
        <w:t xml:space="preserve">dirigido a la Titular de la Unidad de Transparencia del Sujeto Obligado, lo anterior de conformidad con </w:t>
      </w:r>
      <w:r w:rsidR="000B2FC5" w:rsidRPr="00BC5CCA">
        <w:rPr>
          <w:rFonts w:eastAsia="Calibri" w:cs="Tahoma"/>
          <w:bCs/>
          <w:szCs w:val="22"/>
          <w:lang w:val="es-ES_tradnl" w:eastAsia="en-US"/>
        </w:rPr>
        <w:t xml:space="preserve">los artículos 14, fracciones I, II, V y XVI, del Reglamento Interior del Instituto de Transparencia, Acceso a la Información Pública y Protección de Datos Personales del Estado de México y Municipios, mismo que fue notificado al </w:t>
      </w:r>
      <w:r w:rsidRPr="00BC5CCA">
        <w:rPr>
          <w:rFonts w:eastAsia="Calibri" w:cs="Tahoma"/>
          <w:bCs/>
          <w:szCs w:val="22"/>
          <w:lang w:val="es-ES_tradnl" w:eastAsia="en-US"/>
        </w:rPr>
        <w:t>Ayuntamiento de Texcoco</w:t>
      </w:r>
      <w:r w:rsidR="000B2FC5" w:rsidRPr="00BC5CCA">
        <w:rPr>
          <w:rFonts w:eastAsia="Calibri" w:cs="Tahoma"/>
          <w:bCs/>
          <w:szCs w:val="22"/>
          <w:lang w:eastAsia="en-US"/>
        </w:rPr>
        <w:t xml:space="preserve">, </w:t>
      </w:r>
      <w:r w:rsidR="000B2FC5" w:rsidRPr="00BC5CCA">
        <w:rPr>
          <w:rFonts w:eastAsia="Calibri" w:cs="Tahoma"/>
          <w:bCs/>
          <w:szCs w:val="22"/>
          <w:lang w:val="es-ES_tradnl" w:eastAsia="en-US"/>
        </w:rPr>
        <w:t>a través del Sistema de Acceso a la Información Mexiquense (SAIMEX), por medio del cual se le solicitó lo siguiente:</w:t>
      </w:r>
    </w:p>
    <w:p w14:paraId="62B12C37" w14:textId="77777777" w:rsidR="000B2FC5" w:rsidRPr="00BC5CCA" w:rsidRDefault="000B2FC5" w:rsidP="00BC5CCA">
      <w:pPr>
        <w:pStyle w:val="Puesto"/>
        <w:rPr>
          <w:rFonts w:eastAsia="Calibri"/>
          <w:lang w:eastAsia="en-US"/>
        </w:rPr>
      </w:pPr>
    </w:p>
    <w:p w14:paraId="225AC7D0" w14:textId="0BA4FF5A" w:rsidR="00267F0D" w:rsidRPr="00BC5CCA" w:rsidRDefault="00267F0D" w:rsidP="00BC5CCA">
      <w:pPr>
        <w:pStyle w:val="Puesto"/>
      </w:pPr>
      <w:r w:rsidRPr="00BC5CCA">
        <w:t xml:space="preserve">“En virtud de lo anterior, y con el propósito de contar con los elementos necesarios para que esta ponencia pueda resolver de manera adecuada el recurso de revisión que nos ocupa, se le requiere para que: </w:t>
      </w:r>
    </w:p>
    <w:p w14:paraId="64FD3B7F" w14:textId="77777777" w:rsidR="00267F0D" w:rsidRPr="00BC5CCA" w:rsidRDefault="00267F0D" w:rsidP="00BC5CCA">
      <w:pPr>
        <w:pStyle w:val="Puesto"/>
      </w:pPr>
    </w:p>
    <w:p w14:paraId="022F0919" w14:textId="77777777" w:rsidR="00267F0D" w:rsidRPr="00BC5CCA" w:rsidRDefault="00267F0D" w:rsidP="00BC5CCA">
      <w:pPr>
        <w:pStyle w:val="Puesto"/>
      </w:pPr>
      <w:r w:rsidRPr="00BC5CCA">
        <w:t xml:space="preserve">1. Informe la naturaleza jurídica del Contrato referido en la respuesta otorgada a la solicitud de información 00047/TEXCOCO/IP/2025; </w:t>
      </w:r>
    </w:p>
    <w:p w14:paraId="0A94A3DE" w14:textId="77777777" w:rsidR="00267F0D" w:rsidRPr="00BC5CCA" w:rsidRDefault="00267F0D" w:rsidP="00BC5CCA">
      <w:pPr>
        <w:pStyle w:val="Puesto"/>
      </w:pPr>
      <w:r w:rsidRPr="00BC5CCA">
        <w:t xml:space="preserve">2. Informe la normatividad que regula dicho contrato; y </w:t>
      </w:r>
    </w:p>
    <w:p w14:paraId="6B7AB15B" w14:textId="1DAF3126" w:rsidR="000B2FC5" w:rsidRPr="00BC5CCA" w:rsidRDefault="00267F0D" w:rsidP="00BC5CCA">
      <w:pPr>
        <w:pStyle w:val="Puesto"/>
        <w:rPr>
          <w:rFonts w:eastAsia="Calibri"/>
          <w:lang w:eastAsia="en-US"/>
        </w:rPr>
      </w:pPr>
      <w:r w:rsidRPr="00BC5CCA">
        <w:t>3. Informe el proceso mediante el cual se seleccionó a la persona física o jurídico colectiva con quien se suscribió o pretende suscribir dicho instrumento jurídico.”</w:t>
      </w:r>
    </w:p>
    <w:p w14:paraId="08D2B8DA" w14:textId="77777777" w:rsidR="00267F0D" w:rsidRPr="00BC5CCA" w:rsidRDefault="00267F0D" w:rsidP="00BC5CCA">
      <w:pPr>
        <w:ind w:left="851" w:right="822"/>
        <w:contextualSpacing/>
        <w:rPr>
          <w:rFonts w:eastAsia="Calibri" w:cs="Tahoma"/>
          <w:bCs/>
          <w:i/>
          <w:szCs w:val="22"/>
          <w:lang w:eastAsia="en-US"/>
        </w:rPr>
      </w:pPr>
    </w:p>
    <w:p w14:paraId="5CF2E8EB" w14:textId="540517FB" w:rsidR="000B2FC5" w:rsidRPr="00BC5CCA" w:rsidRDefault="000B2FC5" w:rsidP="00BC5CCA">
      <w:pPr>
        <w:ind w:right="-28"/>
        <w:contextualSpacing/>
        <w:rPr>
          <w:rFonts w:eastAsia="Calibri" w:cs="Tahoma"/>
          <w:bCs/>
          <w:szCs w:val="22"/>
          <w:lang w:eastAsia="en-US"/>
        </w:rPr>
      </w:pPr>
      <w:r w:rsidRPr="00BC5CCA">
        <w:rPr>
          <w:rFonts w:eastAsia="Calibri" w:cs="Tahoma"/>
          <w:b/>
          <w:szCs w:val="22"/>
          <w:lang w:eastAsia="en-US"/>
        </w:rPr>
        <w:t xml:space="preserve">Desahogo del Requerimiento de Información Adicional: </w:t>
      </w:r>
      <w:r w:rsidRPr="00BC5CCA">
        <w:rPr>
          <w:rFonts w:eastAsia="Calibri" w:cs="Tahoma"/>
          <w:bCs/>
          <w:szCs w:val="22"/>
          <w:lang w:eastAsia="en-US"/>
        </w:rPr>
        <w:t xml:space="preserve">El </w:t>
      </w:r>
      <w:r w:rsidR="00267F0D" w:rsidRPr="00BC5CCA">
        <w:rPr>
          <w:rFonts w:eastAsia="Calibri" w:cs="Tahoma"/>
          <w:b/>
          <w:bCs/>
          <w:szCs w:val="22"/>
          <w:lang w:eastAsia="en-US"/>
        </w:rPr>
        <w:t>veintisiete de mayo de dos mil veinticinco</w:t>
      </w:r>
      <w:r w:rsidRPr="00BC5CCA">
        <w:rPr>
          <w:rFonts w:eastAsia="Calibri" w:cs="Tahoma"/>
          <w:bCs/>
          <w:szCs w:val="22"/>
          <w:lang w:eastAsia="en-US"/>
        </w:rPr>
        <w:t xml:space="preserve">, se recibió, a través del Sistema de Acceso a la Información Mexiquense (SAIMEX), el oficio sin número, del mismo mes y año, suscrito por </w:t>
      </w:r>
      <w:r w:rsidR="00267F0D" w:rsidRPr="00BC5CCA">
        <w:rPr>
          <w:rFonts w:eastAsia="Calibri" w:cs="Tahoma"/>
          <w:bCs/>
          <w:szCs w:val="22"/>
          <w:lang w:eastAsia="en-US"/>
        </w:rPr>
        <w:t>el</w:t>
      </w:r>
      <w:r w:rsidRPr="00BC5CCA">
        <w:rPr>
          <w:rFonts w:eastAsia="Calibri" w:cs="Tahoma"/>
          <w:bCs/>
          <w:szCs w:val="22"/>
          <w:lang w:eastAsia="en-US"/>
        </w:rPr>
        <w:t xml:space="preserve"> Titular de la Unidad de </w:t>
      </w:r>
      <w:r w:rsidR="00267F0D" w:rsidRPr="00BC5CCA">
        <w:rPr>
          <w:rFonts w:eastAsia="Calibri" w:cs="Tahoma"/>
          <w:bCs/>
          <w:szCs w:val="22"/>
          <w:lang w:eastAsia="en-US"/>
        </w:rPr>
        <w:t>Transparencia del Sistema p</w:t>
      </w:r>
      <w:r w:rsidRPr="00BC5CCA">
        <w:rPr>
          <w:rFonts w:eastAsia="Calibri" w:cs="Tahoma"/>
          <w:bCs/>
          <w:szCs w:val="22"/>
          <w:lang w:eastAsia="en-US"/>
        </w:rPr>
        <w:t xml:space="preserve">ara el </w:t>
      </w:r>
      <w:r w:rsidR="00267F0D" w:rsidRPr="00BC5CCA">
        <w:rPr>
          <w:rFonts w:eastAsia="Calibri" w:cs="Tahoma"/>
          <w:bCs/>
          <w:szCs w:val="22"/>
          <w:lang w:eastAsia="en-US"/>
        </w:rPr>
        <w:t>Ayuntamiento de Texcoco</w:t>
      </w:r>
      <w:r w:rsidRPr="00BC5CCA">
        <w:rPr>
          <w:rFonts w:eastAsia="Calibri" w:cs="Tahoma"/>
          <w:bCs/>
          <w:szCs w:val="22"/>
          <w:lang w:eastAsia="en-US"/>
        </w:rPr>
        <w:t xml:space="preserve"> y dirigido al Comisionado Ponente, por medio del cual desahogó el requerimiento de información adicional,</w:t>
      </w:r>
      <w:r w:rsidR="00267F0D" w:rsidRPr="00BC5CCA">
        <w:rPr>
          <w:rFonts w:eastAsia="Calibri" w:cs="Tahoma"/>
          <w:bCs/>
          <w:szCs w:val="22"/>
          <w:lang w:eastAsia="en-US"/>
        </w:rPr>
        <w:t xml:space="preserve"> de la siguiente manera:</w:t>
      </w:r>
    </w:p>
    <w:p w14:paraId="32F3903F" w14:textId="77777777" w:rsidR="00267F0D" w:rsidRPr="00BC5CCA" w:rsidRDefault="00267F0D" w:rsidP="00BC5CCA">
      <w:pPr>
        <w:ind w:right="-28"/>
        <w:contextualSpacing/>
        <w:rPr>
          <w:rFonts w:eastAsia="Calibri" w:cs="Tahoma"/>
          <w:bCs/>
          <w:szCs w:val="22"/>
          <w:lang w:eastAsia="en-US"/>
        </w:rPr>
      </w:pPr>
    </w:p>
    <w:p w14:paraId="44F19362" w14:textId="0F483440" w:rsidR="00267F0D" w:rsidRPr="00BC5CCA" w:rsidRDefault="00267F0D" w:rsidP="00BC5CCA">
      <w:pPr>
        <w:ind w:right="-28"/>
        <w:contextualSpacing/>
        <w:rPr>
          <w:rFonts w:eastAsia="Calibri" w:cs="Tahoma"/>
          <w:b/>
          <w:bCs/>
          <w:szCs w:val="22"/>
          <w:lang w:eastAsia="en-US"/>
        </w:rPr>
      </w:pPr>
      <w:r w:rsidRPr="00BC5CCA">
        <w:rPr>
          <w:rFonts w:eastAsia="Calibri" w:cs="Tahoma"/>
          <w:b/>
          <w:bCs/>
          <w:szCs w:val="22"/>
          <w:lang w:eastAsia="en-US"/>
        </w:rPr>
        <w:t>-FORMATO RESPIUESTA A REQUERIMIENTO 00047.pdf:</w:t>
      </w:r>
    </w:p>
    <w:p w14:paraId="60092E93" w14:textId="77777777" w:rsidR="00267F0D" w:rsidRPr="00BC5CCA" w:rsidRDefault="00267F0D" w:rsidP="00BC5CCA">
      <w:pPr>
        <w:ind w:right="-28"/>
        <w:contextualSpacing/>
        <w:rPr>
          <w:rFonts w:eastAsia="Calibri" w:cs="Tahoma"/>
          <w:b/>
          <w:bCs/>
          <w:szCs w:val="22"/>
          <w:lang w:eastAsia="en-US"/>
        </w:rPr>
      </w:pPr>
    </w:p>
    <w:p w14:paraId="5B4CA780" w14:textId="629476F7" w:rsidR="00267F0D" w:rsidRPr="00BC5CCA" w:rsidRDefault="00267F0D" w:rsidP="00BC5CCA">
      <w:pPr>
        <w:ind w:right="-28"/>
        <w:contextualSpacing/>
        <w:jc w:val="center"/>
        <w:rPr>
          <w:rFonts w:eastAsia="Calibri" w:cs="Tahoma"/>
          <w:b/>
          <w:bCs/>
          <w:szCs w:val="22"/>
          <w:lang w:eastAsia="en-US"/>
        </w:rPr>
      </w:pPr>
      <w:r w:rsidRPr="00BC5CCA">
        <w:rPr>
          <w:rFonts w:eastAsia="Calibri" w:cs="Tahoma"/>
          <w:b/>
          <w:bCs/>
          <w:noProof/>
          <w:szCs w:val="22"/>
          <w:lang w:eastAsia="es-MX"/>
        </w:rPr>
        <w:drawing>
          <wp:inline distT="0" distB="0" distL="0" distR="0" wp14:anchorId="74A4DA10" wp14:editId="0FF9F054">
            <wp:extent cx="5742722" cy="4347713"/>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52838" cy="4355372"/>
                    </a:xfrm>
                    <a:prstGeom prst="rect">
                      <a:avLst/>
                    </a:prstGeom>
                  </pic:spPr>
                </pic:pic>
              </a:graphicData>
            </a:graphic>
          </wp:inline>
        </w:drawing>
      </w:r>
    </w:p>
    <w:p w14:paraId="6B09022E" w14:textId="6A2BBEB9" w:rsidR="00664420" w:rsidRPr="00BC5CCA" w:rsidRDefault="000B2FC5" w:rsidP="00BC5CCA">
      <w:pPr>
        <w:pStyle w:val="Ttulo3"/>
        <w:rPr>
          <w:rFonts w:eastAsia="Calibri"/>
          <w:szCs w:val="22"/>
        </w:rPr>
      </w:pPr>
      <w:bookmarkStart w:id="15" w:name="_Toc199960450"/>
      <w:r w:rsidRPr="00BC5CCA">
        <w:rPr>
          <w:rFonts w:eastAsia="Calibri"/>
          <w:szCs w:val="22"/>
        </w:rPr>
        <w:lastRenderedPageBreak/>
        <w:t>g</w:t>
      </w:r>
      <w:r w:rsidR="00664420" w:rsidRPr="00BC5CCA">
        <w:rPr>
          <w:rFonts w:eastAsia="Calibri"/>
          <w:szCs w:val="22"/>
        </w:rPr>
        <w:t>) Ampliación de plazo</w:t>
      </w:r>
      <w:r w:rsidR="00865CF4" w:rsidRPr="00BC5CCA">
        <w:rPr>
          <w:rFonts w:eastAsia="Calibri"/>
          <w:szCs w:val="22"/>
        </w:rPr>
        <w:t xml:space="preserve"> para resolver el Recurso de Revisión</w:t>
      </w:r>
      <w:bookmarkEnd w:id="15"/>
    </w:p>
    <w:p w14:paraId="10B20CA8" w14:textId="3C20B79A" w:rsidR="00664420" w:rsidRPr="00BC5CCA" w:rsidRDefault="00865CF4" w:rsidP="00BC5CCA">
      <w:pPr>
        <w:tabs>
          <w:tab w:val="left" w:pos="3261"/>
        </w:tabs>
        <w:rPr>
          <w:rFonts w:eastAsia="Calibri" w:cs="Tahoma"/>
          <w:szCs w:val="22"/>
        </w:rPr>
      </w:pPr>
      <w:r w:rsidRPr="00BC5CCA">
        <w:rPr>
          <w:rFonts w:eastAsia="Calibri" w:cs="Tahoma"/>
          <w:szCs w:val="22"/>
        </w:rPr>
        <w:t xml:space="preserve">Con fundamento en lo dispuesto en el artículo 181, párrafo tercero, de la Ley de Transparencia y Acceso a la Información Pública del Estado de México y Municipios, </w:t>
      </w:r>
      <w:r w:rsidRPr="00BC5CCA">
        <w:rPr>
          <w:rFonts w:eastAsia="Calibri" w:cs="Tahoma"/>
          <w:b/>
          <w:bCs/>
          <w:szCs w:val="22"/>
        </w:rPr>
        <w:t>e</w:t>
      </w:r>
      <w:r w:rsidR="00664420" w:rsidRPr="00BC5CCA">
        <w:rPr>
          <w:rFonts w:eastAsia="Calibri" w:cs="Tahoma"/>
          <w:b/>
          <w:bCs/>
          <w:szCs w:val="22"/>
        </w:rPr>
        <w:t xml:space="preserve">l </w:t>
      </w:r>
      <w:r w:rsidR="000C52E9" w:rsidRPr="00BC5CCA">
        <w:rPr>
          <w:rFonts w:eastAsia="Calibri" w:cs="Tahoma"/>
          <w:b/>
          <w:bCs/>
          <w:szCs w:val="22"/>
        </w:rPr>
        <w:t>trece de mayo de dos m</w:t>
      </w:r>
      <w:r w:rsidR="00B60C63" w:rsidRPr="00BC5CCA">
        <w:rPr>
          <w:rFonts w:eastAsia="Calibri" w:cs="Tahoma"/>
          <w:b/>
          <w:bCs/>
          <w:szCs w:val="22"/>
        </w:rPr>
        <w:t>i</w:t>
      </w:r>
      <w:r w:rsidR="000C52E9" w:rsidRPr="00BC5CCA">
        <w:rPr>
          <w:rFonts w:eastAsia="Calibri" w:cs="Tahoma"/>
          <w:b/>
          <w:bCs/>
          <w:szCs w:val="22"/>
        </w:rPr>
        <w:t>l veinticinco,</w:t>
      </w:r>
      <w:r w:rsidR="005723CB" w:rsidRPr="00BC5CCA">
        <w:rPr>
          <w:rFonts w:eastAsia="Calibri" w:cs="Tahoma"/>
          <w:szCs w:val="22"/>
        </w:rPr>
        <w:t xml:space="preserve"> se </w:t>
      </w:r>
      <w:r w:rsidR="00664420" w:rsidRPr="00BC5CCA">
        <w:rPr>
          <w:rFonts w:eastAsia="Calibri" w:cs="Tahoma"/>
          <w:szCs w:val="22"/>
        </w:rPr>
        <w:t xml:space="preserve">acordó ampliar por un periodo razonable el plazo para resolver el </w:t>
      </w:r>
      <w:r w:rsidR="005723CB" w:rsidRPr="00BC5CCA">
        <w:rPr>
          <w:rFonts w:eastAsia="Calibri" w:cs="Tahoma"/>
          <w:szCs w:val="22"/>
        </w:rPr>
        <w:t xml:space="preserve">presente </w:t>
      </w:r>
      <w:r w:rsidR="00664420" w:rsidRPr="00BC5CCA">
        <w:rPr>
          <w:rFonts w:eastAsia="Calibri" w:cs="Tahoma"/>
          <w:szCs w:val="22"/>
        </w:rPr>
        <w:t>Recurso de Revisión</w:t>
      </w:r>
      <w:r w:rsidR="00606A65" w:rsidRPr="00BC5CCA">
        <w:rPr>
          <w:rFonts w:eastAsia="Calibri" w:cs="Tahoma"/>
          <w:szCs w:val="22"/>
        </w:rPr>
        <w:t>.</w:t>
      </w:r>
    </w:p>
    <w:p w14:paraId="199C40A1" w14:textId="77777777" w:rsidR="00664420" w:rsidRPr="00BC5CCA" w:rsidRDefault="00664420" w:rsidP="00BC5CCA">
      <w:pPr>
        <w:tabs>
          <w:tab w:val="left" w:pos="3261"/>
        </w:tabs>
        <w:rPr>
          <w:rFonts w:eastAsia="Calibri" w:cs="Tahoma"/>
          <w:szCs w:val="22"/>
        </w:rPr>
      </w:pPr>
    </w:p>
    <w:p w14:paraId="1A6831CA" w14:textId="2E616716" w:rsidR="00664420" w:rsidRPr="00BC5CCA" w:rsidRDefault="005723CB" w:rsidP="00BC5CCA">
      <w:pPr>
        <w:pStyle w:val="paragraph"/>
        <w:spacing w:before="0" w:beforeAutospacing="0" w:after="0" w:afterAutospacing="0"/>
        <w:textAlignment w:val="baseline"/>
        <w:rPr>
          <w:rStyle w:val="eop"/>
          <w:rFonts w:cs="Segoe UI"/>
          <w:sz w:val="22"/>
          <w:szCs w:val="22"/>
        </w:rPr>
      </w:pPr>
      <w:r w:rsidRPr="00BC5CCA">
        <w:rPr>
          <w:rStyle w:val="eop"/>
          <w:rFonts w:cs="Segoe UI"/>
          <w:sz w:val="22"/>
          <w:szCs w:val="22"/>
        </w:rPr>
        <w:t>E</w:t>
      </w:r>
      <w:r w:rsidR="00664420" w:rsidRPr="00BC5CCA">
        <w:rPr>
          <w:rStyle w:val="eop"/>
          <w:rFonts w:cs="Segoe UI"/>
          <w:sz w:val="22"/>
          <w:szCs w:val="22"/>
        </w:rPr>
        <w:t>l plazo para emitir resolución en el presente asunto encuentra justificación en el alto número de recursos de revisión recibidos</w:t>
      </w:r>
      <w:r w:rsidRPr="00BC5CCA">
        <w:rPr>
          <w:rStyle w:val="eop"/>
          <w:rFonts w:cs="Segoe UI"/>
          <w:sz w:val="22"/>
          <w:szCs w:val="22"/>
        </w:rPr>
        <w:t xml:space="preserve"> por este Instituto</w:t>
      </w:r>
      <w:r w:rsidR="00664420" w:rsidRPr="00BC5CCA">
        <w:rPr>
          <w:rStyle w:val="eop"/>
          <w:rFonts w:cs="Segoe UI"/>
          <w:sz w:val="22"/>
          <w:szCs w:val="22"/>
        </w:rPr>
        <w:t>, circunstancia atípica que ha rebasado las capacidades técnicas y humanas del personal encargado de la proyección de las resoluciones a dichos medios de impugnación.</w:t>
      </w:r>
    </w:p>
    <w:p w14:paraId="2A4AC8EF" w14:textId="77777777" w:rsidR="00664420" w:rsidRPr="00BC5CCA" w:rsidRDefault="00664420" w:rsidP="00BC5CCA">
      <w:pPr>
        <w:pStyle w:val="paragraph"/>
        <w:spacing w:before="0" w:beforeAutospacing="0" w:after="0" w:afterAutospacing="0"/>
        <w:textAlignment w:val="baseline"/>
        <w:rPr>
          <w:rStyle w:val="eop"/>
          <w:rFonts w:cs="Segoe UI"/>
          <w:sz w:val="22"/>
          <w:szCs w:val="22"/>
        </w:rPr>
      </w:pPr>
    </w:p>
    <w:p w14:paraId="120B354B" w14:textId="2CC39431" w:rsidR="00664420" w:rsidRPr="00BC5CCA" w:rsidRDefault="005723CB" w:rsidP="00BC5CCA">
      <w:pPr>
        <w:pStyle w:val="paragraph"/>
        <w:spacing w:before="0" w:beforeAutospacing="0" w:after="0" w:afterAutospacing="0"/>
        <w:textAlignment w:val="baseline"/>
        <w:rPr>
          <w:rStyle w:val="eop"/>
          <w:rFonts w:cs="Segoe UI"/>
          <w:sz w:val="22"/>
          <w:szCs w:val="22"/>
        </w:rPr>
      </w:pPr>
      <w:r w:rsidRPr="00BC5CCA">
        <w:rPr>
          <w:rStyle w:val="eop"/>
          <w:rFonts w:cs="Segoe UI"/>
          <w:sz w:val="22"/>
          <w:szCs w:val="22"/>
        </w:rPr>
        <w:t>Es importante</w:t>
      </w:r>
      <w:r w:rsidR="00664420" w:rsidRPr="00BC5CCA">
        <w:rPr>
          <w:rStyle w:val="eop"/>
          <w:rFonts w:cs="Segoe UI"/>
          <w:sz w:val="22"/>
          <w:szCs w:val="22"/>
        </w:rPr>
        <w:t xml:space="preserve"> precisar que, si bien se ha excedido el plazo para resolver el presente medio de impugnación, el plazo para emitir resolución se encuentra justificado en parámetros establecidos por diversos órganos jurisdiccionales federales, aplicables también en procedimientos análogos, como el que nos ocupa.</w:t>
      </w:r>
    </w:p>
    <w:p w14:paraId="53084820" w14:textId="77777777" w:rsidR="00664420" w:rsidRPr="00BC5CCA" w:rsidRDefault="00664420" w:rsidP="00BC5CCA">
      <w:pPr>
        <w:pStyle w:val="paragraph"/>
        <w:spacing w:before="0" w:beforeAutospacing="0" w:after="0" w:afterAutospacing="0"/>
        <w:textAlignment w:val="baseline"/>
        <w:rPr>
          <w:rStyle w:val="eop"/>
          <w:rFonts w:cs="Segoe UI"/>
          <w:sz w:val="22"/>
          <w:szCs w:val="22"/>
        </w:rPr>
      </w:pPr>
    </w:p>
    <w:p w14:paraId="163DD970" w14:textId="5C982D0D" w:rsidR="00664420" w:rsidRPr="00BC5CCA" w:rsidRDefault="00664420" w:rsidP="00BC5CCA">
      <w:pPr>
        <w:pStyle w:val="paragraph"/>
        <w:spacing w:before="0" w:beforeAutospacing="0" w:after="0" w:afterAutospacing="0"/>
        <w:textAlignment w:val="baseline"/>
        <w:rPr>
          <w:rStyle w:val="eop"/>
          <w:rFonts w:cs="Segoe UI"/>
          <w:sz w:val="22"/>
          <w:szCs w:val="22"/>
        </w:rPr>
      </w:pPr>
      <w:r w:rsidRPr="00BC5CCA">
        <w:rPr>
          <w:rStyle w:val="eop"/>
          <w:rFonts w:cs="Segoe UI"/>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r w:rsidR="005723CB" w:rsidRPr="00BC5CCA">
        <w:rPr>
          <w:rStyle w:val="eop"/>
          <w:rFonts w:cs="Segoe UI"/>
          <w:sz w:val="22"/>
          <w:szCs w:val="22"/>
        </w:rPr>
        <w:t xml:space="preserve"> </w:t>
      </w:r>
      <w:r w:rsidRPr="00BC5CCA">
        <w:rPr>
          <w:rStyle w:val="eop"/>
          <w:rFonts w:cs="Segoe UI"/>
          <w:sz w:val="22"/>
          <w:szCs w:val="22"/>
        </w:rPr>
        <w:t xml:space="preserve">En ese sentido, el legislador </w:t>
      </w:r>
      <w:r w:rsidR="005723CB" w:rsidRPr="00BC5CCA">
        <w:rPr>
          <w:rStyle w:val="eop"/>
          <w:rFonts w:cs="Segoe UI"/>
          <w:sz w:val="22"/>
          <w:szCs w:val="22"/>
        </w:rPr>
        <w:t>estableció</w:t>
      </w:r>
      <w:r w:rsidRPr="00BC5CCA">
        <w:rPr>
          <w:rStyle w:val="eop"/>
          <w:rFonts w:cs="Segoe UI"/>
          <w:sz w:val="22"/>
          <w:szCs w:val="22"/>
        </w:rPr>
        <w:t xml:space="preserve"> los términos procesales </w:t>
      </w:r>
      <w:r w:rsidR="005723CB" w:rsidRPr="00BC5CCA">
        <w:rPr>
          <w:rStyle w:val="eop"/>
          <w:rFonts w:cs="Segoe UI"/>
          <w:sz w:val="22"/>
          <w:szCs w:val="22"/>
        </w:rPr>
        <w:t>de forma general</w:t>
      </w:r>
      <w:r w:rsidRPr="00BC5CCA">
        <w:rPr>
          <w:rStyle w:val="eop"/>
          <w:rFonts w:cs="Segoe UI"/>
          <w:sz w:val="22"/>
          <w:szCs w:val="22"/>
        </w:rPr>
        <w:t>, sin que pudiera prever la variada gama de casos que son resueltos por los órganos jurisdiccionales o cuasi jurisdiccionales, tanto por la complejidad de los hechos, como por el número de casos que conocen.</w:t>
      </w:r>
    </w:p>
    <w:p w14:paraId="5DCB68D7" w14:textId="77777777" w:rsidR="00664420" w:rsidRPr="00BC5CCA" w:rsidRDefault="00664420" w:rsidP="00BC5CCA">
      <w:pPr>
        <w:pStyle w:val="paragraph"/>
        <w:spacing w:before="0" w:beforeAutospacing="0" w:after="0" w:afterAutospacing="0"/>
        <w:textAlignment w:val="baseline"/>
        <w:rPr>
          <w:rStyle w:val="eop"/>
          <w:rFonts w:cs="Segoe UI"/>
          <w:sz w:val="22"/>
          <w:szCs w:val="22"/>
        </w:rPr>
      </w:pPr>
    </w:p>
    <w:p w14:paraId="5F81E110" w14:textId="4B11413C" w:rsidR="00664420" w:rsidRPr="00BC5CCA" w:rsidRDefault="00664420" w:rsidP="00BC5CCA">
      <w:pPr>
        <w:pStyle w:val="paragraph"/>
        <w:spacing w:before="0" w:beforeAutospacing="0" w:after="0" w:afterAutospacing="0"/>
        <w:textAlignment w:val="baseline"/>
        <w:rPr>
          <w:rStyle w:val="eop"/>
          <w:rFonts w:cs="Segoe UI"/>
          <w:sz w:val="22"/>
          <w:szCs w:val="22"/>
        </w:rPr>
      </w:pPr>
      <w:r w:rsidRPr="00BC5CCA">
        <w:rPr>
          <w:rStyle w:val="eop"/>
          <w:rFonts w:cs="Segoe UI"/>
          <w:sz w:val="22"/>
          <w:szCs w:val="22"/>
        </w:rPr>
        <w:lastRenderedPageBreak/>
        <w:t>Por ello, excepcionalmente, si un asunto es resuelto con posterioridad a los plazos señalados por la norma</w:t>
      </w:r>
      <w:r w:rsidR="00BF091A" w:rsidRPr="00BC5CCA">
        <w:rPr>
          <w:rStyle w:val="eop"/>
          <w:rFonts w:cs="Segoe UI"/>
          <w:sz w:val="22"/>
          <w:szCs w:val="22"/>
        </w:rPr>
        <w:t>,</w:t>
      </w:r>
      <w:r w:rsidRPr="00BC5CCA">
        <w:rPr>
          <w:rStyle w:val="eop"/>
          <w:rFonts w:cs="Segoe UI"/>
          <w:sz w:val="22"/>
          <w:szCs w:val="22"/>
        </w:rPr>
        <w:t xml:space="preserve"> debe analizarse la razonabilidad del tiempo necesario para su resolución, atentos a los siguientes criterios:</w:t>
      </w:r>
    </w:p>
    <w:p w14:paraId="14A3FE4E" w14:textId="77777777" w:rsidR="00664420" w:rsidRPr="00BC5CCA" w:rsidRDefault="00664420" w:rsidP="00BC5CCA">
      <w:pPr>
        <w:pStyle w:val="paragraph"/>
        <w:spacing w:before="0" w:beforeAutospacing="0" w:after="0" w:afterAutospacing="0"/>
        <w:textAlignment w:val="baseline"/>
        <w:rPr>
          <w:rStyle w:val="eop"/>
          <w:rFonts w:cs="Segoe UI"/>
          <w:sz w:val="22"/>
          <w:szCs w:val="22"/>
        </w:rPr>
      </w:pPr>
    </w:p>
    <w:p w14:paraId="725FA17E" w14:textId="1C9900DC" w:rsidR="00664420" w:rsidRPr="00BC5CCA" w:rsidRDefault="00664420" w:rsidP="00BC5CCA">
      <w:pPr>
        <w:pStyle w:val="paragraph"/>
        <w:spacing w:before="0" w:beforeAutospacing="0" w:after="0" w:afterAutospacing="0"/>
        <w:ind w:left="567" w:right="539"/>
        <w:textAlignment w:val="baseline"/>
        <w:rPr>
          <w:rStyle w:val="eop"/>
          <w:rFonts w:cs="Segoe UI"/>
          <w:sz w:val="22"/>
          <w:szCs w:val="22"/>
        </w:rPr>
      </w:pPr>
      <w:r w:rsidRPr="00BC5CCA">
        <w:rPr>
          <w:rStyle w:val="eop"/>
          <w:rFonts w:cs="Segoe UI"/>
          <w:b/>
          <w:bCs/>
          <w:sz w:val="22"/>
          <w:szCs w:val="22"/>
        </w:rPr>
        <w:t>Complejidad del asunto:</w:t>
      </w:r>
      <w:r w:rsidRPr="00BC5CCA">
        <w:rPr>
          <w:rStyle w:val="eop"/>
          <w:rFonts w:cs="Segoe UI"/>
          <w:sz w:val="22"/>
          <w:szCs w:val="22"/>
        </w:rPr>
        <w:t xml:space="preserve"> La complejidad de la prueba, la pluralidad de sujetos procesales, el tiempo transcurrido, las características y contexto del recurso.</w:t>
      </w:r>
    </w:p>
    <w:p w14:paraId="59C35097" w14:textId="268F1B45" w:rsidR="00664420" w:rsidRPr="00BC5CCA" w:rsidRDefault="00664420" w:rsidP="00BC5CCA">
      <w:pPr>
        <w:pStyle w:val="paragraph"/>
        <w:spacing w:before="0" w:beforeAutospacing="0" w:after="0" w:afterAutospacing="0"/>
        <w:ind w:left="567" w:right="539"/>
        <w:textAlignment w:val="baseline"/>
        <w:rPr>
          <w:rStyle w:val="eop"/>
          <w:rFonts w:cs="Segoe UI"/>
          <w:sz w:val="22"/>
          <w:szCs w:val="22"/>
        </w:rPr>
      </w:pPr>
      <w:r w:rsidRPr="00BC5CCA">
        <w:rPr>
          <w:rStyle w:val="eop"/>
          <w:rFonts w:cs="Segoe UI"/>
          <w:b/>
          <w:bCs/>
          <w:sz w:val="22"/>
          <w:szCs w:val="22"/>
        </w:rPr>
        <w:t>Actividad Procesal del interesado:</w:t>
      </w:r>
      <w:r w:rsidRPr="00BC5CCA">
        <w:rPr>
          <w:rStyle w:val="eop"/>
          <w:rFonts w:cs="Segoe UI"/>
          <w:sz w:val="22"/>
          <w:szCs w:val="22"/>
        </w:rPr>
        <w:t xml:space="preserve"> Acciones u omisiones del interesado.</w:t>
      </w:r>
    </w:p>
    <w:p w14:paraId="34F78766" w14:textId="2037AF76" w:rsidR="00664420" w:rsidRPr="00BC5CCA" w:rsidRDefault="00664420" w:rsidP="00BC5CCA">
      <w:pPr>
        <w:pStyle w:val="paragraph"/>
        <w:spacing w:before="0" w:beforeAutospacing="0" w:after="0" w:afterAutospacing="0"/>
        <w:ind w:left="567" w:right="539"/>
        <w:textAlignment w:val="baseline"/>
        <w:rPr>
          <w:rStyle w:val="eop"/>
          <w:rFonts w:cs="Segoe UI"/>
          <w:sz w:val="22"/>
          <w:szCs w:val="22"/>
        </w:rPr>
      </w:pPr>
      <w:r w:rsidRPr="00BC5CCA">
        <w:rPr>
          <w:rStyle w:val="eop"/>
          <w:rFonts w:cs="Segoe UI"/>
          <w:b/>
          <w:bCs/>
          <w:sz w:val="22"/>
          <w:szCs w:val="22"/>
        </w:rPr>
        <w:t>Conducta de la Autoridad:</w:t>
      </w:r>
      <w:r w:rsidRPr="00BC5CCA">
        <w:rPr>
          <w:rStyle w:val="eop"/>
          <w:rFonts w:cs="Segoe UI"/>
          <w:sz w:val="22"/>
          <w:szCs w:val="22"/>
        </w:rPr>
        <w:t xml:space="preserve"> Las Acciones u omisiones realizadas en el</w:t>
      </w:r>
      <w:r w:rsidR="00BF091A" w:rsidRPr="00BC5CCA">
        <w:rPr>
          <w:rStyle w:val="eop"/>
          <w:rFonts w:cs="Segoe UI"/>
          <w:sz w:val="22"/>
          <w:szCs w:val="22"/>
        </w:rPr>
        <w:t xml:space="preserve"> </w:t>
      </w:r>
      <w:r w:rsidRPr="00BC5CCA">
        <w:rPr>
          <w:rStyle w:val="eop"/>
          <w:rFonts w:cs="Segoe UI"/>
          <w:sz w:val="22"/>
          <w:szCs w:val="22"/>
        </w:rPr>
        <w:t>procedimiento. Así como si la autoridad actuó con la debida diligencia.</w:t>
      </w:r>
    </w:p>
    <w:p w14:paraId="17122607" w14:textId="30536F04" w:rsidR="00664420" w:rsidRPr="00BC5CCA" w:rsidRDefault="00664420" w:rsidP="00BC5CCA">
      <w:pPr>
        <w:pStyle w:val="paragraph"/>
        <w:spacing w:before="0" w:beforeAutospacing="0" w:after="0" w:afterAutospacing="0"/>
        <w:ind w:left="567" w:right="539"/>
        <w:textAlignment w:val="baseline"/>
        <w:rPr>
          <w:rStyle w:val="eop"/>
          <w:rFonts w:cs="Segoe UI"/>
          <w:sz w:val="22"/>
          <w:szCs w:val="22"/>
        </w:rPr>
      </w:pPr>
      <w:r w:rsidRPr="00BC5CCA">
        <w:rPr>
          <w:rStyle w:val="eop"/>
          <w:rFonts w:cs="Segoe UI"/>
          <w:b/>
          <w:bCs/>
          <w:sz w:val="22"/>
          <w:szCs w:val="22"/>
        </w:rPr>
        <w:t>La afectación generada en la situación jurídica de la persona involucrada en el proceso:</w:t>
      </w:r>
      <w:r w:rsidRPr="00BC5CCA">
        <w:rPr>
          <w:rStyle w:val="eop"/>
          <w:rFonts w:cs="Segoe UI"/>
          <w:sz w:val="22"/>
          <w:szCs w:val="22"/>
        </w:rPr>
        <w:t xml:space="preserve"> Violación a sus derechos humanos.</w:t>
      </w:r>
    </w:p>
    <w:p w14:paraId="2E49A972" w14:textId="77777777" w:rsidR="00664420" w:rsidRPr="00BC5CCA" w:rsidRDefault="00664420" w:rsidP="00BC5CCA">
      <w:pPr>
        <w:pStyle w:val="paragraph"/>
        <w:spacing w:before="0" w:beforeAutospacing="0" w:after="0" w:afterAutospacing="0"/>
        <w:ind w:left="567" w:right="539"/>
        <w:textAlignment w:val="baseline"/>
        <w:rPr>
          <w:rStyle w:val="eop"/>
          <w:rFonts w:cs="Segoe UI"/>
          <w:sz w:val="22"/>
          <w:szCs w:val="22"/>
        </w:rPr>
      </w:pPr>
    </w:p>
    <w:p w14:paraId="5AF63827" w14:textId="77777777" w:rsidR="00664420" w:rsidRPr="00BC5CCA" w:rsidRDefault="00664420" w:rsidP="00BC5CCA">
      <w:pPr>
        <w:pStyle w:val="paragraph"/>
        <w:spacing w:before="0" w:beforeAutospacing="0" w:after="0" w:afterAutospacing="0"/>
        <w:textAlignment w:val="baseline"/>
        <w:rPr>
          <w:rStyle w:val="eop"/>
          <w:rFonts w:cs="Segoe UI"/>
          <w:sz w:val="22"/>
          <w:szCs w:val="22"/>
        </w:rPr>
      </w:pPr>
      <w:r w:rsidRPr="00BC5CCA">
        <w:rPr>
          <w:rStyle w:val="eop"/>
          <w:rFonts w:cs="Segoe UI"/>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2D523C9" w14:textId="77777777" w:rsidR="00664420" w:rsidRPr="00BC5CCA" w:rsidRDefault="00664420" w:rsidP="00BC5CCA">
      <w:pPr>
        <w:pStyle w:val="paragraph"/>
        <w:spacing w:before="0" w:beforeAutospacing="0" w:after="0" w:afterAutospacing="0"/>
        <w:textAlignment w:val="baseline"/>
        <w:rPr>
          <w:rStyle w:val="eop"/>
          <w:rFonts w:cs="Segoe UI"/>
          <w:sz w:val="22"/>
          <w:szCs w:val="22"/>
        </w:rPr>
      </w:pPr>
    </w:p>
    <w:p w14:paraId="35CA93E9" w14:textId="77777777" w:rsidR="00664420" w:rsidRPr="00BC5CCA" w:rsidRDefault="00664420" w:rsidP="00BC5CCA">
      <w:pPr>
        <w:pStyle w:val="paragraph"/>
        <w:spacing w:before="0" w:beforeAutospacing="0" w:after="0" w:afterAutospacing="0"/>
        <w:textAlignment w:val="baseline"/>
        <w:rPr>
          <w:rStyle w:val="eop"/>
          <w:rFonts w:cs="Segoe UI"/>
          <w:sz w:val="22"/>
          <w:szCs w:val="22"/>
        </w:rPr>
      </w:pPr>
      <w:r w:rsidRPr="00BC5CCA">
        <w:rPr>
          <w:rStyle w:val="eop"/>
          <w:rFonts w:cs="Segoe UI"/>
          <w:sz w:val="22"/>
          <w:szCs w:val="22"/>
        </w:rPr>
        <w:t>Argumento que encuentra sustento en la jurisprudencia P./J. 32/92 emitida por el Pleno de la Suprema Corte de Justicia de la Nación de rubro “</w:t>
      </w:r>
      <w:r w:rsidRPr="00BC5CCA">
        <w:rPr>
          <w:rStyle w:val="eop"/>
          <w:rFonts w:cs="Segoe UI"/>
          <w:b/>
          <w:bCs/>
          <w:sz w:val="22"/>
          <w:szCs w:val="22"/>
        </w:rPr>
        <w:t>TÉRMINOS PROCESALES. PARA DETERMINAR SI UN FUNCIONARIO JUDICIAL ACTUÓ INDEBIDAMENTE POR NO RESPETARLOS SE DEBE ATENDER AL PRESUPUESTO QUE CONSIDERÓ EL LEGISLADOR AL FIJARLOS Y LAS CARACTERÍSTICAS DEL CASO</w:t>
      </w:r>
      <w:r w:rsidRPr="00BC5CCA">
        <w:rPr>
          <w:rStyle w:val="eop"/>
          <w:rFonts w:cs="Segoe UI"/>
          <w:sz w:val="22"/>
          <w:szCs w:val="22"/>
        </w:rPr>
        <w:t>.”, visible en la Gaceta del Seminario Judicial de la Federación con el registro digital 205635.</w:t>
      </w:r>
    </w:p>
    <w:p w14:paraId="37992CD5" w14:textId="77777777" w:rsidR="00664420" w:rsidRPr="00BC5CCA" w:rsidRDefault="00664420" w:rsidP="00BC5CCA">
      <w:pPr>
        <w:pStyle w:val="paragraph"/>
        <w:spacing w:before="0" w:beforeAutospacing="0" w:after="0" w:afterAutospacing="0"/>
        <w:textAlignment w:val="baseline"/>
        <w:rPr>
          <w:rStyle w:val="eop"/>
          <w:rFonts w:cs="Segoe UI"/>
          <w:sz w:val="22"/>
          <w:szCs w:val="22"/>
        </w:rPr>
      </w:pPr>
    </w:p>
    <w:p w14:paraId="0A59C365" w14:textId="5FE746C3" w:rsidR="00664420" w:rsidRPr="00BC5CCA" w:rsidRDefault="00664420" w:rsidP="00BC5CCA">
      <w:pPr>
        <w:pStyle w:val="paragraph"/>
        <w:spacing w:before="0" w:beforeAutospacing="0" w:after="0" w:afterAutospacing="0"/>
        <w:textAlignment w:val="baseline"/>
        <w:rPr>
          <w:rStyle w:val="eop"/>
          <w:rFonts w:cs="Segoe UI"/>
          <w:sz w:val="22"/>
          <w:szCs w:val="22"/>
        </w:rPr>
      </w:pPr>
      <w:r w:rsidRPr="00BC5CCA">
        <w:rPr>
          <w:rStyle w:val="eop"/>
          <w:rFonts w:cs="Segoe UI"/>
          <w:sz w:val="22"/>
          <w:szCs w:val="22"/>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0A9AF44" w14:textId="77777777" w:rsidR="00664420" w:rsidRPr="00BC5CCA" w:rsidRDefault="00664420" w:rsidP="00BC5CCA">
      <w:pPr>
        <w:pStyle w:val="paragraph"/>
        <w:spacing w:before="0" w:beforeAutospacing="0" w:after="0" w:afterAutospacing="0"/>
        <w:textAlignment w:val="baseline"/>
        <w:rPr>
          <w:rStyle w:val="eop"/>
          <w:rFonts w:cs="Segoe UI"/>
          <w:sz w:val="22"/>
          <w:szCs w:val="22"/>
        </w:rPr>
      </w:pPr>
    </w:p>
    <w:p w14:paraId="78B598AB" w14:textId="01D1B1AD" w:rsidR="00664420" w:rsidRPr="00BC5CCA" w:rsidRDefault="00664420" w:rsidP="00BC5CCA">
      <w:pPr>
        <w:pStyle w:val="paragraph"/>
        <w:spacing w:before="0" w:beforeAutospacing="0" w:after="0" w:afterAutospacing="0"/>
        <w:textAlignment w:val="baseline"/>
        <w:rPr>
          <w:rStyle w:val="eop"/>
          <w:rFonts w:cs="Segoe UI"/>
          <w:sz w:val="22"/>
          <w:szCs w:val="22"/>
        </w:rPr>
      </w:pPr>
      <w:r w:rsidRPr="00BC5CCA">
        <w:rPr>
          <w:rStyle w:val="eop"/>
          <w:rFonts w:cs="Segoe UI"/>
          <w:sz w:val="22"/>
          <w:szCs w:val="22"/>
        </w:rPr>
        <w:t>Al respecto</w:t>
      </w:r>
      <w:r w:rsidR="00BF091A" w:rsidRPr="00BC5CCA">
        <w:rPr>
          <w:rStyle w:val="eop"/>
          <w:rFonts w:cs="Segoe UI"/>
          <w:sz w:val="22"/>
          <w:szCs w:val="22"/>
        </w:rPr>
        <w:t>,</w:t>
      </w:r>
      <w:r w:rsidRPr="00BC5CCA">
        <w:rPr>
          <w:rStyle w:val="eop"/>
          <w:rFonts w:cs="Segoe UI"/>
          <w:sz w:val="22"/>
          <w:szCs w:val="22"/>
        </w:rPr>
        <w:t xml:space="preserve"> también son de considerar los criterios sostenidos por el Cuarto Tribunal Colegiado en Materia Administrativa del Primer Circuito, cuyos rubros y datos de identificación son los siguientes:</w:t>
      </w:r>
    </w:p>
    <w:p w14:paraId="69AED792" w14:textId="77777777" w:rsidR="00664420" w:rsidRPr="00BC5CCA" w:rsidRDefault="00664420" w:rsidP="00BC5CCA">
      <w:pPr>
        <w:pStyle w:val="paragraph"/>
        <w:spacing w:before="0" w:beforeAutospacing="0" w:after="0" w:afterAutospacing="0"/>
        <w:textAlignment w:val="baseline"/>
        <w:rPr>
          <w:rStyle w:val="eop"/>
          <w:rFonts w:cs="Segoe UI"/>
          <w:sz w:val="22"/>
          <w:szCs w:val="22"/>
        </w:rPr>
      </w:pPr>
    </w:p>
    <w:p w14:paraId="7390FB31" w14:textId="77777777" w:rsidR="00664420" w:rsidRPr="00BC5CCA" w:rsidRDefault="00664420" w:rsidP="00BC5CCA">
      <w:pPr>
        <w:pStyle w:val="Puesto"/>
        <w:rPr>
          <w:rStyle w:val="eop"/>
          <w:rFonts w:cs="Segoe UI"/>
          <w:szCs w:val="22"/>
        </w:rPr>
      </w:pPr>
      <w:r w:rsidRPr="00BC5CCA">
        <w:rPr>
          <w:rStyle w:val="eop"/>
          <w:rFonts w:cs="Segoe UI"/>
          <w:b/>
          <w:bCs/>
          <w:szCs w:val="22"/>
        </w:rPr>
        <w:t>“PLAZO RAZONABLE PARA RESOLVER. DIMENSIÓN Y EFECTOS DE ESTE CONCEPTO CUANDO SE ADUCE EXCESIVA CARGA DE TRABAJO.”</w:t>
      </w:r>
      <w:r w:rsidRPr="00BC5CCA">
        <w:rPr>
          <w:rStyle w:val="eop"/>
          <w:rFonts w:cs="Segoe UI"/>
          <w:szCs w:val="22"/>
        </w:rPr>
        <w:t xml:space="preserve"> consultable en el Seminario Judicial de la Federación y su gaceta, con el registro digital 2002351.</w:t>
      </w:r>
    </w:p>
    <w:p w14:paraId="7D07BF4B" w14:textId="77777777" w:rsidR="00BF091A" w:rsidRPr="00BC5CCA" w:rsidRDefault="00BF091A" w:rsidP="00BC5CCA">
      <w:pPr>
        <w:pStyle w:val="Puesto"/>
        <w:rPr>
          <w:rStyle w:val="eop"/>
          <w:rFonts w:cs="Segoe UI"/>
          <w:szCs w:val="22"/>
        </w:rPr>
      </w:pPr>
    </w:p>
    <w:p w14:paraId="1C016A02" w14:textId="77777777" w:rsidR="00664420" w:rsidRPr="00BC5CCA" w:rsidRDefault="00664420" w:rsidP="00BC5CCA">
      <w:pPr>
        <w:pStyle w:val="Puesto"/>
        <w:rPr>
          <w:rStyle w:val="eop"/>
          <w:rFonts w:cs="Segoe UI"/>
          <w:szCs w:val="22"/>
        </w:rPr>
      </w:pPr>
      <w:r w:rsidRPr="00BC5CCA">
        <w:rPr>
          <w:rStyle w:val="eop"/>
          <w:rFonts w:cs="Segoe UI"/>
          <w:b/>
          <w:bCs/>
          <w:szCs w:val="22"/>
        </w:rPr>
        <w:t>“PLAZO RAZONABLE PARA RESOLVER. CONCEPTO Y ELEMENTOS QUE LO INTEGRAN A LA LUZ DEL DERECHO INTERNACIONAL DE LOS DERECHOS HUMANOS</w:t>
      </w:r>
      <w:r w:rsidRPr="00BC5CCA">
        <w:rPr>
          <w:rStyle w:val="eop"/>
          <w:rFonts w:cs="Segoe UI"/>
          <w:szCs w:val="22"/>
        </w:rPr>
        <w:t>.”, visible en el Seminario Judicial de la Federación y su gaceta, con el registro digital 2002350.</w:t>
      </w:r>
    </w:p>
    <w:p w14:paraId="7D4C9515" w14:textId="77777777" w:rsidR="00664420" w:rsidRPr="00BC5CCA" w:rsidRDefault="00664420" w:rsidP="00BC5CCA">
      <w:pPr>
        <w:pStyle w:val="paragraph"/>
        <w:spacing w:before="0" w:beforeAutospacing="0" w:after="0" w:afterAutospacing="0"/>
        <w:textAlignment w:val="baseline"/>
        <w:rPr>
          <w:rStyle w:val="eop"/>
          <w:rFonts w:cs="Segoe UI"/>
          <w:sz w:val="22"/>
          <w:szCs w:val="22"/>
        </w:rPr>
      </w:pPr>
    </w:p>
    <w:p w14:paraId="7E0035F8" w14:textId="7BFAED68" w:rsidR="00664420" w:rsidRPr="00BC5CCA" w:rsidRDefault="00664420" w:rsidP="00BC5CCA">
      <w:pPr>
        <w:pStyle w:val="paragraph"/>
        <w:spacing w:before="0" w:beforeAutospacing="0" w:after="0" w:afterAutospacing="0"/>
        <w:textAlignment w:val="baseline"/>
        <w:rPr>
          <w:rStyle w:val="eop"/>
          <w:rFonts w:cs="Segoe UI"/>
          <w:sz w:val="22"/>
          <w:szCs w:val="22"/>
        </w:rPr>
      </w:pPr>
      <w:r w:rsidRPr="00BC5CCA">
        <w:rPr>
          <w:rStyle w:val="eop"/>
          <w:rFonts w:cs="Segoe UI"/>
          <w:sz w:val="22"/>
          <w:szCs w:val="22"/>
        </w:rPr>
        <w:t xml:space="preserve">Por ello, este organismo garante comprometido con la tutela de los derechos humanos </w:t>
      </w:r>
      <w:r w:rsidR="00BF091A" w:rsidRPr="00BC5CCA">
        <w:rPr>
          <w:rStyle w:val="eop"/>
          <w:rFonts w:cs="Segoe UI"/>
          <w:sz w:val="22"/>
          <w:szCs w:val="22"/>
        </w:rPr>
        <w:t>confiados</w:t>
      </w:r>
      <w:r w:rsidRPr="00BC5CCA">
        <w:rPr>
          <w:rStyle w:val="eop"/>
          <w:rFonts w:cs="Segoe UI"/>
          <w:sz w:val="22"/>
          <w:szCs w:val="22"/>
        </w:rPr>
        <w:t xml:space="preserve"> señala que este exceso del plazo legal para resolver el asunto resulta de carácter excepcional.</w:t>
      </w:r>
    </w:p>
    <w:p w14:paraId="6923684C" w14:textId="77777777" w:rsidR="00664420" w:rsidRPr="00BC5CCA" w:rsidRDefault="00664420" w:rsidP="00BC5CCA">
      <w:pPr>
        <w:rPr>
          <w:rFonts w:cs="Tahoma"/>
          <w:szCs w:val="22"/>
        </w:rPr>
      </w:pPr>
    </w:p>
    <w:p w14:paraId="0E651988" w14:textId="6C248606" w:rsidR="00664420" w:rsidRPr="00BC5CCA" w:rsidRDefault="000B2FC5" w:rsidP="00BC5CCA">
      <w:pPr>
        <w:pStyle w:val="Ttulo3"/>
        <w:rPr>
          <w:szCs w:val="22"/>
        </w:rPr>
      </w:pPr>
      <w:bookmarkStart w:id="16" w:name="_Toc199960451"/>
      <w:r w:rsidRPr="00BC5CCA">
        <w:rPr>
          <w:szCs w:val="22"/>
        </w:rPr>
        <w:lastRenderedPageBreak/>
        <w:t>h</w:t>
      </w:r>
      <w:r w:rsidR="00664420" w:rsidRPr="00BC5CCA">
        <w:rPr>
          <w:szCs w:val="22"/>
        </w:rPr>
        <w:t>) Cierre de instrucción</w:t>
      </w:r>
      <w:bookmarkEnd w:id="16"/>
    </w:p>
    <w:p w14:paraId="79AF95DC" w14:textId="68DD91A4" w:rsidR="00664420" w:rsidRPr="00BC5CCA" w:rsidRDefault="00BF091A" w:rsidP="00BC5CCA">
      <w:pPr>
        <w:rPr>
          <w:szCs w:val="22"/>
        </w:rPr>
      </w:pPr>
      <w:r w:rsidRPr="00BC5CCA">
        <w:rPr>
          <w:rFonts w:cs="Tahoma"/>
          <w:szCs w:val="22"/>
        </w:rPr>
        <w:t>Al no existir diligencias pendientes por desahogar</w:t>
      </w:r>
      <w:r w:rsidRPr="00BC5CCA">
        <w:rPr>
          <w:rFonts w:cs="Arial"/>
          <w:szCs w:val="22"/>
        </w:rPr>
        <w:t>, el</w:t>
      </w:r>
      <w:r w:rsidR="000C52E9" w:rsidRPr="00BC5CCA">
        <w:rPr>
          <w:rFonts w:cs="Arial"/>
          <w:szCs w:val="22"/>
        </w:rPr>
        <w:t xml:space="preserve"> </w:t>
      </w:r>
      <w:r w:rsidR="00B60C63" w:rsidRPr="00BC5CCA">
        <w:rPr>
          <w:rFonts w:cs="Arial"/>
          <w:b/>
          <w:szCs w:val="22"/>
        </w:rPr>
        <w:t>tres de junio</w:t>
      </w:r>
      <w:r w:rsidR="000C52E9" w:rsidRPr="00BC5CCA">
        <w:rPr>
          <w:rFonts w:cs="Arial"/>
          <w:b/>
          <w:szCs w:val="22"/>
        </w:rPr>
        <w:t xml:space="preserve"> de dos mil veinticinco</w:t>
      </w:r>
      <w:r w:rsidR="000C52E9" w:rsidRPr="00BC5CCA">
        <w:rPr>
          <w:rFonts w:cs="Arial"/>
          <w:szCs w:val="22"/>
        </w:rPr>
        <w:t>,</w:t>
      </w:r>
      <w:r w:rsidRPr="00BC5CCA">
        <w:rPr>
          <w:rFonts w:cs="Arial"/>
          <w:szCs w:val="22"/>
        </w:rPr>
        <w:t xml:space="preserve"> la </w:t>
      </w:r>
      <w:r w:rsidRPr="00BC5CCA">
        <w:rPr>
          <w:rFonts w:cs="Arial"/>
          <w:b/>
          <w:bCs/>
          <w:szCs w:val="22"/>
        </w:rPr>
        <w:t xml:space="preserve">Comisionada </w:t>
      </w:r>
      <w:r w:rsidRPr="00BC5CCA">
        <w:rPr>
          <w:b/>
          <w:szCs w:val="22"/>
        </w:rPr>
        <w:t xml:space="preserve">Sharon Cristina Morales Martínez </w:t>
      </w:r>
      <w:r w:rsidRPr="00BC5CCA">
        <w:rPr>
          <w:rFonts w:cs="Arial"/>
          <w:szCs w:val="22"/>
        </w:rPr>
        <w:t>acordó el cierre de instrucción</w:t>
      </w:r>
      <w:r w:rsidR="0011350D" w:rsidRPr="00BC5CCA">
        <w:rPr>
          <w:rFonts w:cs="Arial"/>
          <w:szCs w:val="22"/>
        </w:rPr>
        <w:t xml:space="preserve"> y</w:t>
      </w:r>
      <w:r w:rsidRPr="00BC5CCA">
        <w:rPr>
          <w:rFonts w:cs="Arial"/>
          <w:szCs w:val="22"/>
        </w:rPr>
        <w:t xml:space="preserve"> </w:t>
      </w:r>
      <w:r w:rsidR="0011350D" w:rsidRPr="00BC5CCA">
        <w:rPr>
          <w:rFonts w:cs="Arial"/>
          <w:szCs w:val="22"/>
        </w:rPr>
        <w:t xml:space="preserve">la </w:t>
      </w:r>
      <w:r w:rsidRPr="00BC5CCA">
        <w:rPr>
          <w:rFonts w:cs="Arial"/>
          <w:szCs w:val="22"/>
        </w:rPr>
        <w:t>remisión del expediente a efecto de ser resuelto, de conformidad con lo establecido en el artículo 185 fracciones VI y VIII de la Ley de Transparencia y Acceso a la Información Pública del Estado de México y Municipios</w:t>
      </w:r>
      <w:r w:rsidRPr="00BC5CCA">
        <w:rPr>
          <w:szCs w:val="22"/>
        </w:rPr>
        <w:t>.</w:t>
      </w:r>
      <w:r w:rsidR="0011350D" w:rsidRPr="00BC5CCA">
        <w:rPr>
          <w:szCs w:val="22"/>
        </w:rPr>
        <w:t xml:space="preserve"> Dicho acuerdo </w:t>
      </w:r>
      <w:r w:rsidR="00664420" w:rsidRPr="00BC5CCA">
        <w:rPr>
          <w:rFonts w:cs="Tahoma"/>
          <w:szCs w:val="22"/>
        </w:rPr>
        <w:t xml:space="preserve">fue notificado a las partes el mismo día a través del </w:t>
      </w:r>
      <w:r w:rsidR="00664420" w:rsidRPr="00BC5CCA">
        <w:rPr>
          <w:rFonts w:cs="Tahoma"/>
          <w:szCs w:val="22"/>
          <w:lang w:val="es-ES"/>
        </w:rPr>
        <w:t>SAIMEX</w:t>
      </w:r>
      <w:r w:rsidR="00664420" w:rsidRPr="00BC5CCA">
        <w:rPr>
          <w:rFonts w:cs="Tahoma"/>
          <w:szCs w:val="22"/>
        </w:rPr>
        <w:t>.</w:t>
      </w:r>
    </w:p>
    <w:p w14:paraId="741683E3" w14:textId="77777777" w:rsidR="0011350D" w:rsidRPr="00BC5CCA" w:rsidRDefault="0011350D" w:rsidP="00BC5CCA">
      <w:pPr>
        <w:rPr>
          <w:rFonts w:cs="Tahoma"/>
          <w:szCs w:val="22"/>
        </w:rPr>
      </w:pPr>
    </w:p>
    <w:p w14:paraId="7A9629DE" w14:textId="77777777" w:rsidR="00664420" w:rsidRPr="00BC5CCA" w:rsidRDefault="00664420" w:rsidP="00BC5CCA">
      <w:pPr>
        <w:pStyle w:val="Ttulo1"/>
        <w:rPr>
          <w:rFonts w:eastAsiaTheme="minorHAnsi"/>
          <w:szCs w:val="22"/>
          <w:lang w:eastAsia="en-US"/>
        </w:rPr>
      </w:pPr>
      <w:bookmarkStart w:id="17" w:name="_Toc199960452"/>
      <w:r w:rsidRPr="00BC5CCA">
        <w:rPr>
          <w:rFonts w:eastAsiaTheme="minorHAnsi"/>
          <w:szCs w:val="22"/>
          <w:lang w:eastAsia="en-US"/>
        </w:rPr>
        <w:t>CONSIDERANDOS</w:t>
      </w:r>
      <w:bookmarkEnd w:id="17"/>
    </w:p>
    <w:p w14:paraId="6DD1243B" w14:textId="77777777" w:rsidR="00664420" w:rsidRPr="00BC5CCA" w:rsidRDefault="00664420" w:rsidP="00BC5CCA">
      <w:pPr>
        <w:contextualSpacing/>
        <w:jc w:val="center"/>
        <w:rPr>
          <w:rFonts w:eastAsiaTheme="minorHAnsi" w:cs="Tahoma"/>
          <w:b/>
          <w:szCs w:val="22"/>
          <w:lang w:eastAsia="en-US"/>
        </w:rPr>
      </w:pPr>
    </w:p>
    <w:p w14:paraId="0B67CB92" w14:textId="2E307D3B" w:rsidR="00664420" w:rsidRPr="00BC5CCA" w:rsidRDefault="00664420" w:rsidP="00BC5CCA">
      <w:pPr>
        <w:pStyle w:val="Ttulo2"/>
        <w:rPr>
          <w:rFonts w:eastAsia="Batang"/>
          <w:szCs w:val="22"/>
        </w:rPr>
      </w:pPr>
      <w:bookmarkStart w:id="18" w:name="_Toc199960453"/>
      <w:r w:rsidRPr="00BC5CCA">
        <w:rPr>
          <w:rFonts w:eastAsia="Batang"/>
          <w:szCs w:val="22"/>
        </w:rPr>
        <w:t xml:space="preserve">PRIMERO. </w:t>
      </w:r>
      <w:r w:rsidR="00BA55A8" w:rsidRPr="00BC5CCA">
        <w:rPr>
          <w:rFonts w:eastAsia="Batang"/>
          <w:szCs w:val="22"/>
        </w:rPr>
        <w:t>Procedibilidad</w:t>
      </w:r>
      <w:bookmarkEnd w:id="18"/>
    </w:p>
    <w:p w14:paraId="39C52BC1" w14:textId="56FCC20D" w:rsidR="00BA55A8" w:rsidRPr="00BC5CCA" w:rsidRDefault="00BA55A8" w:rsidP="00BC5CCA">
      <w:pPr>
        <w:pStyle w:val="Ttulo3"/>
        <w:rPr>
          <w:szCs w:val="22"/>
        </w:rPr>
      </w:pPr>
      <w:bookmarkStart w:id="19" w:name="_Toc199960454"/>
      <w:r w:rsidRPr="00BC5CCA">
        <w:rPr>
          <w:szCs w:val="22"/>
        </w:rPr>
        <w:t>a) Competencia</w:t>
      </w:r>
      <w:r w:rsidR="00150C49" w:rsidRPr="00BC5CCA">
        <w:rPr>
          <w:szCs w:val="22"/>
        </w:rPr>
        <w:t xml:space="preserve"> del Instituto</w:t>
      </w:r>
      <w:bookmarkEnd w:id="19"/>
    </w:p>
    <w:p w14:paraId="56E64942" w14:textId="6572EDF7" w:rsidR="0011350D" w:rsidRPr="00BC5CCA" w:rsidRDefault="0011350D" w:rsidP="00BC5CCA">
      <w:pPr>
        <w:rPr>
          <w:rFonts w:cs="Arial"/>
          <w:szCs w:val="22"/>
        </w:rPr>
      </w:pPr>
      <w:r w:rsidRPr="00BC5CCA">
        <w:rPr>
          <w:szCs w:val="22"/>
        </w:rPr>
        <w:t xml:space="preserve">Este Instituto de Transparencia, Acceso a la Información Pública y Protección de Datos Personales del Estado de México y Municipios es competente para conocer y resolver </w:t>
      </w:r>
      <w:r w:rsidR="005F65B7" w:rsidRPr="00BC5CCA">
        <w:rPr>
          <w:szCs w:val="22"/>
        </w:rPr>
        <w:t xml:space="preserve">el </w:t>
      </w:r>
      <w:r w:rsidRPr="00BC5CCA">
        <w:rPr>
          <w:szCs w:val="22"/>
        </w:rPr>
        <w:t>presente Recurso de Revisión, conforme a lo dispuesto en los artículos 6, Apartado A de la Constitución Política de los Estados Unidos Mexicanos; 5, párrafos trigésimo segundo, trigésimo tercero y trigésimo cuarto,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BC5CCA">
        <w:rPr>
          <w:rFonts w:cs="Arial"/>
          <w:szCs w:val="22"/>
        </w:rPr>
        <w:t>; y 9, fracciones I y XXIII y 11 del Reglamento Interior del Instituto de Transparencia, Acceso a la Información Pública y Protección de Datos Personales del Estado de México y Municipios.</w:t>
      </w:r>
    </w:p>
    <w:p w14:paraId="6C36A399" w14:textId="77777777" w:rsidR="00DB1C09" w:rsidRPr="00BC5CCA" w:rsidRDefault="00DB1C09" w:rsidP="00BC5CCA">
      <w:pPr>
        <w:rPr>
          <w:rFonts w:cs="Arial"/>
          <w:szCs w:val="22"/>
        </w:rPr>
      </w:pPr>
    </w:p>
    <w:p w14:paraId="517A2DD6" w14:textId="4169BE4D" w:rsidR="00664420" w:rsidRPr="00BC5CCA" w:rsidRDefault="00BA55A8" w:rsidP="00BC5CCA">
      <w:pPr>
        <w:pStyle w:val="Ttulo3"/>
        <w:rPr>
          <w:szCs w:val="22"/>
        </w:rPr>
      </w:pPr>
      <w:bookmarkStart w:id="20" w:name="_Toc199960455"/>
      <w:r w:rsidRPr="00BC5CCA">
        <w:rPr>
          <w:szCs w:val="22"/>
        </w:rPr>
        <w:lastRenderedPageBreak/>
        <w:t>b)</w:t>
      </w:r>
      <w:r w:rsidR="00664420" w:rsidRPr="00BC5CCA">
        <w:rPr>
          <w:szCs w:val="22"/>
        </w:rPr>
        <w:t xml:space="preserve"> </w:t>
      </w:r>
      <w:r w:rsidR="00D91CB4" w:rsidRPr="00BC5CCA">
        <w:rPr>
          <w:szCs w:val="22"/>
        </w:rPr>
        <w:t>Legitimidad</w:t>
      </w:r>
      <w:r w:rsidRPr="00BC5CCA">
        <w:rPr>
          <w:szCs w:val="22"/>
        </w:rPr>
        <w:t xml:space="preserve"> de la parte recurrente</w:t>
      </w:r>
      <w:bookmarkEnd w:id="20"/>
    </w:p>
    <w:p w14:paraId="26FEA382" w14:textId="0B06695C" w:rsidR="00D91CB4" w:rsidRPr="00BC5CCA" w:rsidRDefault="00D91CB4" w:rsidP="00BC5CCA">
      <w:pPr>
        <w:rPr>
          <w:rFonts w:cs="Arial"/>
          <w:bCs/>
          <w:szCs w:val="22"/>
        </w:rPr>
      </w:pPr>
      <w:r w:rsidRPr="00BC5CCA">
        <w:rPr>
          <w:rFonts w:cs="Arial"/>
          <w:bCs/>
          <w:szCs w:val="22"/>
        </w:rPr>
        <w:t>El recurso de revisión fue interpuesto por parte legítima, ya que se presentó por la misma persona que formuló la solicitud de acceso a la Información Pública,</w:t>
      </w:r>
      <w:r w:rsidRPr="00BC5CCA">
        <w:rPr>
          <w:rFonts w:cs="Arial"/>
          <w:b/>
          <w:bCs/>
          <w:szCs w:val="22"/>
        </w:rPr>
        <w:t xml:space="preserve"> </w:t>
      </w:r>
      <w:r w:rsidRPr="00BC5CCA">
        <w:rPr>
          <w:rFonts w:cs="Arial"/>
          <w:szCs w:val="22"/>
        </w:rPr>
        <w:t>debido a que los datos de acceso</w:t>
      </w:r>
      <w:r w:rsidRPr="00BC5CCA">
        <w:rPr>
          <w:rFonts w:cs="Arial"/>
          <w:b/>
          <w:bCs/>
          <w:szCs w:val="22"/>
        </w:rPr>
        <w:t xml:space="preserve"> </w:t>
      </w:r>
      <w:r w:rsidRPr="00BC5CCA">
        <w:rPr>
          <w:rFonts w:cs="Arial"/>
          <w:szCs w:val="22"/>
        </w:rPr>
        <w:t>SAIMEX</w:t>
      </w:r>
      <w:r w:rsidRPr="00BC5CCA">
        <w:rPr>
          <w:rFonts w:eastAsia="Calibri" w:cs="Arial"/>
          <w:szCs w:val="22"/>
          <w:lang w:eastAsia="en-US"/>
        </w:rPr>
        <w:t xml:space="preserve"> son personales e irrepetibles.</w:t>
      </w:r>
    </w:p>
    <w:p w14:paraId="2C367810" w14:textId="77777777" w:rsidR="00D91CB4" w:rsidRPr="00BC5CCA" w:rsidRDefault="00D91CB4" w:rsidP="00BC5CCA">
      <w:pPr>
        <w:rPr>
          <w:szCs w:val="22"/>
        </w:rPr>
      </w:pPr>
    </w:p>
    <w:p w14:paraId="496490FC" w14:textId="1A5F3FDB" w:rsidR="00D91CB4" w:rsidRPr="00BC5CCA" w:rsidRDefault="00BA55A8" w:rsidP="00BC5CCA">
      <w:pPr>
        <w:pStyle w:val="Ttulo3"/>
        <w:rPr>
          <w:rFonts w:eastAsia="Calibri"/>
          <w:szCs w:val="22"/>
          <w:lang w:eastAsia="es-ES_tradnl"/>
        </w:rPr>
      </w:pPr>
      <w:bookmarkStart w:id="21" w:name="_Toc199960456"/>
      <w:r w:rsidRPr="00BC5CCA">
        <w:rPr>
          <w:rFonts w:eastAsia="Calibri"/>
          <w:szCs w:val="22"/>
          <w:lang w:eastAsia="es-ES_tradnl"/>
        </w:rPr>
        <w:t>c)</w:t>
      </w:r>
      <w:r w:rsidR="00664420" w:rsidRPr="00BC5CCA">
        <w:rPr>
          <w:rFonts w:eastAsia="Calibri"/>
          <w:szCs w:val="22"/>
          <w:lang w:eastAsia="es-ES_tradnl"/>
        </w:rPr>
        <w:t xml:space="preserve"> </w:t>
      </w:r>
      <w:r w:rsidR="00D91CB4" w:rsidRPr="00BC5CCA">
        <w:rPr>
          <w:rFonts w:eastAsia="Calibri"/>
          <w:szCs w:val="22"/>
          <w:lang w:eastAsia="es-ES_tradnl"/>
        </w:rPr>
        <w:t>Plazo para interponer el recurso</w:t>
      </w:r>
      <w:bookmarkEnd w:id="21"/>
    </w:p>
    <w:p w14:paraId="106D37EE" w14:textId="3DE33EBA" w:rsidR="00D91CB4" w:rsidRPr="00BC5CCA" w:rsidRDefault="00D91CB4" w:rsidP="00BC5CCA">
      <w:pPr>
        <w:rPr>
          <w:rFonts w:eastAsiaTheme="minorEastAsia" w:cs="Arial"/>
          <w:szCs w:val="22"/>
          <w:lang w:val="es-ES_tradnl"/>
        </w:rPr>
      </w:pPr>
      <w:r w:rsidRPr="00BC5CCA">
        <w:rPr>
          <w:rFonts w:cs="Arial"/>
          <w:b/>
          <w:szCs w:val="22"/>
        </w:rPr>
        <w:t>EL SUJETO OBLIGADO</w:t>
      </w:r>
      <w:r w:rsidRPr="00BC5CCA">
        <w:rPr>
          <w:rFonts w:cs="Arial"/>
          <w:szCs w:val="22"/>
        </w:rPr>
        <w:t xml:space="preserve"> notificó la respuesta a la solicitud de acceso a la Información Pública el </w:t>
      </w:r>
      <w:r w:rsidR="00AD132B" w:rsidRPr="00BC5CCA">
        <w:rPr>
          <w:rFonts w:cs="Arial"/>
          <w:b/>
          <w:szCs w:val="22"/>
        </w:rPr>
        <w:t>diecinueve de marzo de dos mil veinticinco</w:t>
      </w:r>
      <w:r w:rsidR="00AD132B" w:rsidRPr="00BC5CCA">
        <w:rPr>
          <w:rFonts w:cs="Arial"/>
          <w:szCs w:val="22"/>
        </w:rPr>
        <w:t xml:space="preserve"> </w:t>
      </w:r>
      <w:r w:rsidR="00A53315" w:rsidRPr="00BC5CCA">
        <w:rPr>
          <w:rFonts w:cs="Arial"/>
          <w:szCs w:val="22"/>
        </w:rPr>
        <w:t xml:space="preserve">y el recurso </w:t>
      </w:r>
      <w:r w:rsidR="00A53315" w:rsidRPr="00BC5CCA">
        <w:rPr>
          <w:rFonts w:eastAsia="Palatino Linotype" w:cs="Palatino Linotype"/>
          <w:szCs w:val="22"/>
        </w:rPr>
        <w:t xml:space="preserve">que nos ocupa se interpuso el </w:t>
      </w:r>
      <w:r w:rsidR="00AD132B" w:rsidRPr="00BC5CCA">
        <w:rPr>
          <w:rFonts w:eastAsia="Palatino Linotype" w:cs="Palatino Linotype"/>
          <w:b/>
          <w:szCs w:val="22"/>
        </w:rPr>
        <w:t>veintiuno de marzo de dos mil veinticinco</w:t>
      </w:r>
      <w:r w:rsidR="00A53315" w:rsidRPr="00BC5CCA">
        <w:rPr>
          <w:rFonts w:eastAsia="Palatino Linotype" w:cs="Palatino Linotype"/>
          <w:bCs/>
          <w:szCs w:val="22"/>
        </w:rPr>
        <w:t>;</w:t>
      </w:r>
      <w:r w:rsidR="00A53315" w:rsidRPr="00BC5CCA">
        <w:rPr>
          <w:rFonts w:eastAsia="Palatino Linotype" w:cs="Palatino Linotype"/>
          <w:szCs w:val="22"/>
        </w:rPr>
        <w:t xml:space="preserve"> por lo tanto, éste se encuentra dentro del margen temporal previsto en el artículo 178 de la </w:t>
      </w:r>
      <w:r w:rsidR="00A53315" w:rsidRPr="00BC5CCA">
        <w:rPr>
          <w:rFonts w:cs="Arial"/>
          <w:szCs w:val="22"/>
        </w:rPr>
        <w:t>Ley de Transparencia y Acceso a la Información Pública del Estado de México y Municipios</w:t>
      </w:r>
      <w:r w:rsidR="00163D12" w:rsidRPr="00BC5CCA">
        <w:rPr>
          <w:rFonts w:cs="Arial"/>
          <w:szCs w:val="22"/>
        </w:rPr>
        <w:t>.</w:t>
      </w:r>
    </w:p>
    <w:p w14:paraId="49076992" w14:textId="77777777" w:rsidR="00D91CB4" w:rsidRPr="00BC5CCA" w:rsidRDefault="00D91CB4" w:rsidP="00BC5CCA">
      <w:pPr>
        <w:rPr>
          <w:rFonts w:eastAsia="Palatino Linotype" w:cs="Palatino Linotype"/>
          <w:szCs w:val="22"/>
        </w:rPr>
      </w:pPr>
    </w:p>
    <w:p w14:paraId="46C0EB3A" w14:textId="15F1A919" w:rsidR="00A53315" w:rsidRPr="00BC5CCA" w:rsidRDefault="00BA55A8" w:rsidP="00BC5CCA">
      <w:pPr>
        <w:pStyle w:val="Ttulo3"/>
        <w:rPr>
          <w:rFonts w:eastAsia="Calibri"/>
          <w:szCs w:val="22"/>
          <w:lang w:eastAsia="es-ES_tradnl"/>
        </w:rPr>
      </w:pPr>
      <w:bookmarkStart w:id="22" w:name="_Toc199960457"/>
      <w:r w:rsidRPr="00BC5CCA">
        <w:rPr>
          <w:rFonts w:eastAsia="Calibri"/>
          <w:szCs w:val="22"/>
          <w:lang w:eastAsia="es-ES_tradnl"/>
        </w:rPr>
        <w:t>d)</w:t>
      </w:r>
      <w:r w:rsidR="00D91CB4" w:rsidRPr="00BC5CCA">
        <w:rPr>
          <w:rFonts w:eastAsia="Calibri"/>
          <w:szCs w:val="22"/>
          <w:lang w:eastAsia="es-ES_tradnl"/>
        </w:rPr>
        <w:t xml:space="preserve"> </w:t>
      </w:r>
      <w:r w:rsidR="009A0277" w:rsidRPr="00BC5CCA">
        <w:rPr>
          <w:rFonts w:eastAsia="Calibri"/>
          <w:szCs w:val="22"/>
          <w:lang w:eastAsia="es-ES_tradnl"/>
        </w:rPr>
        <w:t>Causal de Procedencia</w:t>
      </w:r>
      <w:bookmarkEnd w:id="22"/>
    </w:p>
    <w:p w14:paraId="190404A6" w14:textId="49BD4FAC" w:rsidR="00BA55A8" w:rsidRPr="00BC5CCA" w:rsidRDefault="00BA55A8" w:rsidP="00BC5CCA">
      <w:pPr>
        <w:rPr>
          <w:szCs w:val="22"/>
        </w:rPr>
      </w:pPr>
      <w:r w:rsidRPr="00BC5CCA">
        <w:rPr>
          <w:rFonts w:cs="Arial"/>
          <w:szCs w:val="22"/>
        </w:rPr>
        <w:t xml:space="preserve">Resulta procedente la interposición del recurso de revisión, ya que </w:t>
      </w:r>
      <w:r w:rsidRPr="00BC5CCA">
        <w:rPr>
          <w:rFonts w:eastAsia="Calibri" w:cs="Tahoma"/>
          <w:szCs w:val="22"/>
          <w:lang w:eastAsia="es-MX"/>
        </w:rPr>
        <w:t xml:space="preserve">se actualiza la causal de procedencia señalada en el artículo 179, fracción </w:t>
      </w:r>
      <w:r w:rsidR="00306766" w:rsidRPr="00BC5CCA">
        <w:rPr>
          <w:rFonts w:eastAsia="Calibri" w:cs="Tahoma"/>
          <w:szCs w:val="22"/>
          <w:lang w:eastAsia="es-MX"/>
        </w:rPr>
        <w:t xml:space="preserve">I </w:t>
      </w:r>
      <w:r w:rsidRPr="00BC5CCA">
        <w:rPr>
          <w:rFonts w:cs="Arial"/>
          <w:szCs w:val="22"/>
        </w:rPr>
        <w:t xml:space="preserve">de la </w:t>
      </w:r>
      <w:r w:rsidRPr="00BC5CCA">
        <w:rPr>
          <w:szCs w:val="22"/>
        </w:rPr>
        <w:t>Ley de Transparencia y Acceso a la Información Pública del Estado de México y Municipios.</w:t>
      </w:r>
    </w:p>
    <w:p w14:paraId="0EFF7141" w14:textId="77777777" w:rsidR="00362A11" w:rsidRPr="00BC5CCA" w:rsidRDefault="00362A11" w:rsidP="00BC5CCA">
      <w:pPr>
        <w:rPr>
          <w:szCs w:val="22"/>
        </w:rPr>
      </w:pPr>
    </w:p>
    <w:p w14:paraId="2284D7EB" w14:textId="3EE1D036" w:rsidR="00BA55A8" w:rsidRPr="00BC5CCA" w:rsidRDefault="00362A11" w:rsidP="00BC5CCA">
      <w:pPr>
        <w:pStyle w:val="Ttulo3"/>
        <w:rPr>
          <w:szCs w:val="22"/>
        </w:rPr>
      </w:pPr>
      <w:bookmarkStart w:id="23" w:name="_Toc199960458"/>
      <w:r w:rsidRPr="00BC5CCA">
        <w:rPr>
          <w:szCs w:val="22"/>
        </w:rPr>
        <w:t>e) Requisitos formales para la interposición del recurso</w:t>
      </w:r>
      <w:bookmarkEnd w:id="23"/>
    </w:p>
    <w:p w14:paraId="6390674A" w14:textId="78A894DD" w:rsidR="00BA55A8" w:rsidRPr="00BC5CCA" w:rsidRDefault="00BA55A8" w:rsidP="00BC5CCA">
      <w:pPr>
        <w:rPr>
          <w:rFonts w:cs="Arial"/>
          <w:szCs w:val="22"/>
        </w:rPr>
      </w:pPr>
      <w:r w:rsidRPr="00BC5CCA">
        <w:rPr>
          <w:rFonts w:cs="Arial"/>
          <w:b/>
          <w:bCs/>
          <w:szCs w:val="22"/>
        </w:rPr>
        <w:t xml:space="preserve">LA PARTE RECURRENTE </w:t>
      </w:r>
      <w:r w:rsidRPr="00BC5CCA">
        <w:rPr>
          <w:rFonts w:cs="Arial"/>
          <w:szCs w:val="22"/>
        </w:rPr>
        <w:t>acreditó todos y cada uno de los elementos formales exigidos por el artículo 180 de la misma normatividad.</w:t>
      </w:r>
    </w:p>
    <w:p w14:paraId="457548E9" w14:textId="3F7AF03B" w:rsidR="00C71CEF" w:rsidRPr="00BC5CCA" w:rsidRDefault="00C71CEF" w:rsidP="00BC5CCA">
      <w:pPr>
        <w:pStyle w:val="Ttulo2"/>
        <w:rPr>
          <w:szCs w:val="22"/>
        </w:rPr>
      </w:pPr>
      <w:bookmarkStart w:id="24" w:name="_Toc199960459"/>
      <w:r w:rsidRPr="00BC5CCA">
        <w:rPr>
          <w:szCs w:val="22"/>
        </w:rPr>
        <w:lastRenderedPageBreak/>
        <w:t>SEGUNDO. Estudio de Fondo</w:t>
      </w:r>
      <w:bookmarkEnd w:id="24"/>
    </w:p>
    <w:p w14:paraId="2A308F59" w14:textId="0FF373F0" w:rsidR="00C049E2" w:rsidRPr="00BC5CCA" w:rsidRDefault="00C71CEF" w:rsidP="00BC5CCA">
      <w:pPr>
        <w:pStyle w:val="Ttulo3"/>
        <w:rPr>
          <w:szCs w:val="22"/>
        </w:rPr>
      </w:pPr>
      <w:bookmarkStart w:id="25" w:name="_Toc199960460"/>
      <w:r w:rsidRPr="00BC5CCA">
        <w:rPr>
          <w:szCs w:val="22"/>
        </w:rPr>
        <w:t>a</w:t>
      </w:r>
      <w:r w:rsidR="00C049E2" w:rsidRPr="00BC5CCA">
        <w:rPr>
          <w:szCs w:val="22"/>
        </w:rPr>
        <w:t>) Mandato de transparencia y responsabilidad del Sujeto Obligado</w:t>
      </w:r>
      <w:bookmarkEnd w:id="25"/>
    </w:p>
    <w:p w14:paraId="6901A889" w14:textId="59EEDAE1" w:rsidR="00C049E2" w:rsidRPr="00BC5CCA" w:rsidRDefault="00C049E2" w:rsidP="00BC5CCA">
      <w:pPr>
        <w:rPr>
          <w:rFonts w:eastAsia="Palatino Linotype"/>
          <w:szCs w:val="22"/>
        </w:rPr>
      </w:pPr>
      <w:r w:rsidRPr="00BC5CCA">
        <w:rPr>
          <w:rFonts w:eastAsia="Palatino Linotype"/>
          <w:szCs w:val="22"/>
        </w:rPr>
        <w:t xml:space="preserve">El </w:t>
      </w:r>
      <w:r w:rsidR="00717E59" w:rsidRPr="00BC5CCA">
        <w:rPr>
          <w:rFonts w:eastAsia="Palatino Linotype"/>
          <w:szCs w:val="22"/>
        </w:rPr>
        <w:t>d</w:t>
      </w:r>
      <w:r w:rsidRPr="00BC5CCA">
        <w:rPr>
          <w:rFonts w:eastAsia="Palatino Linotype"/>
          <w:szCs w:val="22"/>
        </w:rPr>
        <w:t xml:space="preserve">erecho de </w:t>
      </w:r>
      <w:r w:rsidR="00717E59" w:rsidRPr="00BC5CCA">
        <w:rPr>
          <w:rFonts w:eastAsia="Palatino Linotype"/>
          <w:szCs w:val="22"/>
        </w:rPr>
        <w:t>a</w:t>
      </w:r>
      <w:r w:rsidRPr="00BC5CCA">
        <w:rPr>
          <w:rFonts w:eastAsia="Palatino Linotype"/>
          <w:szCs w:val="22"/>
        </w:rPr>
        <w:t xml:space="preserve">cceso a la </w:t>
      </w:r>
      <w:r w:rsidR="00717E59" w:rsidRPr="00BC5CCA">
        <w:rPr>
          <w:rFonts w:eastAsia="Palatino Linotype"/>
          <w:szCs w:val="22"/>
        </w:rPr>
        <w:t>i</w:t>
      </w:r>
      <w:r w:rsidRPr="00BC5CCA">
        <w:rPr>
          <w:rFonts w:eastAsia="Palatino Linotype"/>
          <w:szCs w:val="22"/>
        </w:rPr>
        <w:t xml:space="preserve">nformación </w:t>
      </w:r>
      <w:r w:rsidR="00717E59" w:rsidRPr="00BC5CCA">
        <w:rPr>
          <w:rFonts w:eastAsia="Palatino Linotype"/>
          <w:szCs w:val="22"/>
        </w:rPr>
        <w:t>p</w:t>
      </w:r>
      <w:r w:rsidRPr="00BC5CCA">
        <w:rPr>
          <w:rFonts w:eastAsia="Palatino Linotype"/>
          <w:szCs w:val="22"/>
        </w:rPr>
        <w:t>ública es un derecho humano reconocido en el artículo sexto de la Constitución Política de los Estados Unidos Mexicanos y en el artículo quinto de la Constitución Política del Estado Libre y Soberano de México</w:t>
      </w:r>
      <w:r w:rsidR="00B22A80" w:rsidRPr="00BC5CCA">
        <w:rPr>
          <w:rFonts w:eastAsia="Palatino Linotype"/>
          <w:szCs w:val="22"/>
        </w:rPr>
        <w:t>:</w:t>
      </w:r>
    </w:p>
    <w:p w14:paraId="7FAB8D32" w14:textId="77777777" w:rsidR="00C049E2" w:rsidRPr="00BC5CCA" w:rsidRDefault="00C049E2" w:rsidP="00BC5CCA">
      <w:pPr>
        <w:rPr>
          <w:rFonts w:eastAsia="Palatino Linotype"/>
          <w:szCs w:val="22"/>
        </w:rPr>
      </w:pPr>
    </w:p>
    <w:p w14:paraId="05320813" w14:textId="77777777" w:rsidR="00C049E2" w:rsidRPr="00BC5CCA" w:rsidRDefault="00C049E2" w:rsidP="00BC5CCA">
      <w:pPr>
        <w:spacing w:line="240" w:lineRule="auto"/>
        <w:ind w:left="567" w:right="539"/>
        <w:rPr>
          <w:rFonts w:eastAsia="Palatino Linotype"/>
          <w:b/>
          <w:i/>
          <w:szCs w:val="22"/>
        </w:rPr>
      </w:pPr>
      <w:r w:rsidRPr="00BC5CCA">
        <w:rPr>
          <w:rFonts w:eastAsia="Palatino Linotype"/>
          <w:b/>
          <w:i/>
          <w:szCs w:val="22"/>
        </w:rPr>
        <w:t>Constitución Política de los Estados Unidos Mexicanos</w:t>
      </w:r>
    </w:p>
    <w:p w14:paraId="6B6C67B6" w14:textId="77777777" w:rsidR="00C049E2" w:rsidRPr="00BC5CCA" w:rsidRDefault="00C049E2" w:rsidP="00BC5CCA">
      <w:pPr>
        <w:spacing w:line="240" w:lineRule="auto"/>
        <w:ind w:left="567" w:right="539"/>
        <w:rPr>
          <w:rFonts w:eastAsia="Palatino Linotype"/>
          <w:b/>
          <w:i/>
          <w:szCs w:val="22"/>
        </w:rPr>
      </w:pPr>
      <w:r w:rsidRPr="00BC5CCA">
        <w:rPr>
          <w:rFonts w:eastAsia="Palatino Linotype"/>
          <w:b/>
          <w:i/>
          <w:szCs w:val="22"/>
        </w:rPr>
        <w:t>“Artículo 6.</w:t>
      </w:r>
    </w:p>
    <w:p w14:paraId="38D3B4C4" w14:textId="77777777" w:rsidR="00C049E2" w:rsidRPr="00BC5CCA" w:rsidRDefault="00C049E2" w:rsidP="00BC5CCA">
      <w:pPr>
        <w:spacing w:line="240" w:lineRule="auto"/>
        <w:ind w:left="567" w:right="539"/>
        <w:rPr>
          <w:rFonts w:eastAsia="Palatino Linotype"/>
          <w:i/>
          <w:szCs w:val="22"/>
        </w:rPr>
      </w:pPr>
      <w:r w:rsidRPr="00BC5CCA">
        <w:rPr>
          <w:rFonts w:eastAsia="Palatino Linotype"/>
          <w:i/>
          <w:szCs w:val="22"/>
        </w:rPr>
        <w:t>(…)</w:t>
      </w:r>
    </w:p>
    <w:p w14:paraId="2CCAA297" w14:textId="6602827B" w:rsidR="00C049E2" w:rsidRPr="00BC5CCA" w:rsidRDefault="00C049E2" w:rsidP="00BC5CCA">
      <w:pPr>
        <w:spacing w:line="240" w:lineRule="auto"/>
        <w:ind w:left="567" w:right="539"/>
        <w:rPr>
          <w:rFonts w:eastAsia="Palatino Linotype"/>
          <w:i/>
          <w:szCs w:val="22"/>
        </w:rPr>
      </w:pPr>
      <w:r w:rsidRPr="00BC5CCA">
        <w:rPr>
          <w:rFonts w:eastAsia="Palatino Linotype"/>
          <w:i/>
          <w:szCs w:val="22"/>
        </w:rPr>
        <w:t>Para efectos de lo dispuesto en el presente artículo se observará lo siguiente:</w:t>
      </w:r>
    </w:p>
    <w:p w14:paraId="74CC3718" w14:textId="77777777" w:rsidR="00C049E2" w:rsidRPr="00BC5CCA" w:rsidRDefault="00C049E2" w:rsidP="00BC5CCA">
      <w:pPr>
        <w:spacing w:line="240" w:lineRule="auto"/>
        <w:ind w:left="567" w:right="539"/>
        <w:rPr>
          <w:rFonts w:eastAsia="Palatino Linotype"/>
          <w:b/>
          <w:i/>
          <w:szCs w:val="22"/>
        </w:rPr>
      </w:pPr>
      <w:r w:rsidRPr="00BC5CCA">
        <w:rPr>
          <w:rFonts w:eastAsia="Palatino Linotype"/>
          <w:b/>
          <w:i/>
          <w:szCs w:val="22"/>
        </w:rPr>
        <w:t>A</w:t>
      </w:r>
      <w:r w:rsidRPr="00BC5CCA">
        <w:rPr>
          <w:rFonts w:eastAsia="Palatino Linotype"/>
          <w:i/>
          <w:szCs w:val="22"/>
        </w:rPr>
        <w:t xml:space="preserve">. </w:t>
      </w:r>
      <w:r w:rsidRPr="00BC5CCA">
        <w:rPr>
          <w:rFonts w:eastAsia="Palatino Linotype"/>
          <w:b/>
          <w:i/>
          <w:szCs w:val="22"/>
        </w:rPr>
        <w:t>Para el ejercicio del derecho de acceso a la información</w:t>
      </w:r>
      <w:r w:rsidRPr="00BC5CCA">
        <w:rPr>
          <w:rFonts w:eastAsia="Palatino Linotype"/>
          <w:i/>
          <w:szCs w:val="22"/>
        </w:rPr>
        <w:t xml:space="preserve">, la Federación y </w:t>
      </w:r>
      <w:r w:rsidRPr="00BC5CCA">
        <w:rPr>
          <w:rFonts w:eastAsia="Palatino Linotype"/>
          <w:b/>
          <w:i/>
          <w:szCs w:val="22"/>
        </w:rPr>
        <w:t>las entidades federativas, en el ámbito de sus respectivas competencias, se regirán por los siguientes principios y bases:</w:t>
      </w:r>
    </w:p>
    <w:p w14:paraId="596A956B" w14:textId="77777777" w:rsidR="00C049E2" w:rsidRPr="00BC5CCA" w:rsidRDefault="00C049E2" w:rsidP="00BC5CCA">
      <w:pPr>
        <w:spacing w:line="240" w:lineRule="auto"/>
        <w:ind w:left="567" w:right="539"/>
        <w:rPr>
          <w:rFonts w:eastAsia="Palatino Linotype"/>
          <w:i/>
          <w:szCs w:val="22"/>
        </w:rPr>
      </w:pPr>
      <w:r w:rsidRPr="00BC5CCA">
        <w:rPr>
          <w:rFonts w:eastAsia="Palatino Linotype"/>
          <w:b/>
          <w:i/>
          <w:szCs w:val="22"/>
        </w:rPr>
        <w:t xml:space="preserve">I. </w:t>
      </w:r>
      <w:r w:rsidRPr="00BC5CCA">
        <w:rPr>
          <w:rFonts w:eastAsia="Palatino Linotype"/>
          <w:b/>
          <w:i/>
          <w:szCs w:val="22"/>
        </w:rPr>
        <w:tab/>
        <w:t>Toda la información en posesión de cualquier</w:t>
      </w:r>
      <w:r w:rsidRPr="00BC5CCA">
        <w:rPr>
          <w:rFonts w:eastAsia="Palatino Linotype"/>
          <w:i/>
          <w:szCs w:val="22"/>
        </w:rPr>
        <w:t xml:space="preserve"> </w:t>
      </w:r>
      <w:r w:rsidRPr="00BC5CCA">
        <w:rPr>
          <w:rFonts w:eastAsia="Palatino Linotype"/>
          <w:b/>
          <w:i/>
          <w:szCs w:val="22"/>
        </w:rPr>
        <w:t>autoridad</w:t>
      </w:r>
      <w:r w:rsidRPr="00BC5CCA">
        <w:rPr>
          <w:rFonts w:eastAsia="Palatino Linotype"/>
          <w:i/>
          <w:szCs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BC5CCA">
        <w:rPr>
          <w:rFonts w:eastAsia="Palatino Linotype"/>
          <w:b/>
          <w:i/>
          <w:szCs w:val="22"/>
        </w:rPr>
        <w:t>municipal</w:t>
      </w:r>
      <w:r w:rsidRPr="00BC5CCA">
        <w:rPr>
          <w:rFonts w:eastAsia="Palatino Linotype"/>
          <w:i/>
          <w:szCs w:val="22"/>
        </w:rPr>
        <w:t xml:space="preserve">, </w:t>
      </w:r>
      <w:r w:rsidRPr="00BC5CCA">
        <w:rPr>
          <w:rFonts w:eastAsia="Palatino Linotype"/>
          <w:b/>
          <w:i/>
          <w:szCs w:val="22"/>
        </w:rPr>
        <w:t>es pública</w:t>
      </w:r>
      <w:r w:rsidRPr="00BC5CCA">
        <w:rPr>
          <w:rFonts w:eastAsia="Palatino Linotype"/>
          <w:i/>
          <w:szCs w:val="22"/>
        </w:rPr>
        <w:t xml:space="preserve"> y sólo podrá ser reservada temporalmente por razones de interés público y seguridad nacional, en los términos que fijen las leyes. </w:t>
      </w:r>
      <w:r w:rsidRPr="00BC5CCA">
        <w:rPr>
          <w:rFonts w:eastAsia="Palatino Linotype"/>
          <w:b/>
          <w:i/>
          <w:szCs w:val="22"/>
        </w:rPr>
        <w:t>En la interpretación de este derecho deberá prevalecer el principio de máxima publicidad. Los sujetos obligados deberán documentar todo acto que derive del ejercicio de sus facultades, competencias o funciones</w:t>
      </w:r>
      <w:r w:rsidRPr="00BC5CCA">
        <w:rPr>
          <w:rFonts w:eastAsia="Palatino Linotype"/>
          <w:i/>
          <w:szCs w:val="22"/>
        </w:rPr>
        <w:t>, la ley determinará los supuestos específicos bajo los cuales procederá la declaración de inexistencia de la información.”</w:t>
      </w:r>
    </w:p>
    <w:p w14:paraId="68F313E4" w14:textId="77777777" w:rsidR="00C049E2" w:rsidRPr="00BC5CCA" w:rsidRDefault="00C049E2" w:rsidP="00BC5CCA">
      <w:pPr>
        <w:spacing w:line="240" w:lineRule="auto"/>
        <w:ind w:left="567" w:right="539"/>
        <w:rPr>
          <w:rFonts w:eastAsia="Palatino Linotype"/>
          <w:b/>
          <w:i/>
          <w:szCs w:val="22"/>
        </w:rPr>
      </w:pPr>
    </w:p>
    <w:p w14:paraId="504F12DB" w14:textId="77777777" w:rsidR="00C049E2" w:rsidRPr="00BC5CCA" w:rsidRDefault="00C049E2" w:rsidP="00BC5CCA">
      <w:pPr>
        <w:spacing w:line="240" w:lineRule="auto"/>
        <w:ind w:left="567" w:right="539"/>
        <w:rPr>
          <w:rFonts w:eastAsia="Palatino Linotype"/>
          <w:b/>
          <w:i/>
          <w:szCs w:val="22"/>
        </w:rPr>
      </w:pPr>
      <w:r w:rsidRPr="00BC5CCA">
        <w:rPr>
          <w:rFonts w:eastAsia="Palatino Linotype"/>
          <w:b/>
          <w:i/>
          <w:szCs w:val="22"/>
        </w:rPr>
        <w:t>Constitución Política del Estado Libre y Soberano de México</w:t>
      </w:r>
    </w:p>
    <w:p w14:paraId="04932D29" w14:textId="77777777" w:rsidR="00C049E2" w:rsidRPr="00BC5CCA" w:rsidRDefault="00C049E2" w:rsidP="00BC5CCA">
      <w:pPr>
        <w:spacing w:line="240" w:lineRule="auto"/>
        <w:ind w:left="567" w:right="539"/>
        <w:rPr>
          <w:rFonts w:eastAsia="Palatino Linotype"/>
          <w:i/>
          <w:szCs w:val="22"/>
        </w:rPr>
      </w:pPr>
      <w:r w:rsidRPr="00BC5CCA">
        <w:rPr>
          <w:rFonts w:eastAsia="Palatino Linotype"/>
          <w:b/>
          <w:i/>
          <w:szCs w:val="22"/>
        </w:rPr>
        <w:t>“Artículo 5</w:t>
      </w:r>
      <w:r w:rsidRPr="00BC5CCA">
        <w:rPr>
          <w:rFonts w:eastAsia="Palatino Linotype"/>
          <w:i/>
          <w:szCs w:val="22"/>
        </w:rPr>
        <w:t xml:space="preserve">.- </w:t>
      </w:r>
    </w:p>
    <w:p w14:paraId="1D3829F4" w14:textId="77777777" w:rsidR="00C049E2" w:rsidRPr="00BC5CCA" w:rsidRDefault="00C049E2" w:rsidP="00BC5CCA">
      <w:pPr>
        <w:spacing w:line="240" w:lineRule="auto"/>
        <w:ind w:left="567" w:right="539"/>
        <w:rPr>
          <w:rFonts w:eastAsia="Palatino Linotype"/>
          <w:i/>
          <w:szCs w:val="22"/>
        </w:rPr>
      </w:pPr>
      <w:r w:rsidRPr="00BC5CCA">
        <w:rPr>
          <w:rFonts w:eastAsia="Palatino Linotype"/>
          <w:i/>
          <w:szCs w:val="22"/>
        </w:rPr>
        <w:t>(…)</w:t>
      </w:r>
    </w:p>
    <w:p w14:paraId="0EAE47FD" w14:textId="77777777" w:rsidR="00C049E2" w:rsidRPr="00BC5CCA" w:rsidRDefault="00C049E2" w:rsidP="00BC5CCA">
      <w:pPr>
        <w:spacing w:line="240" w:lineRule="auto"/>
        <w:ind w:left="567" w:right="539"/>
        <w:rPr>
          <w:rFonts w:eastAsia="Palatino Linotype"/>
          <w:i/>
          <w:szCs w:val="22"/>
        </w:rPr>
      </w:pPr>
      <w:r w:rsidRPr="00BC5CCA">
        <w:rPr>
          <w:rFonts w:eastAsia="Palatino Linotype"/>
          <w:b/>
          <w:i/>
          <w:szCs w:val="22"/>
        </w:rPr>
        <w:t>El derecho a la información será garantizado por el Estado. La ley establecerá las previsiones que permitan asegurar la protección, el respeto y la difusión de este derecho</w:t>
      </w:r>
      <w:r w:rsidRPr="00BC5CCA">
        <w:rPr>
          <w:rFonts w:eastAsia="Palatino Linotype"/>
          <w:i/>
          <w:szCs w:val="22"/>
        </w:rPr>
        <w:t>.</w:t>
      </w:r>
    </w:p>
    <w:p w14:paraId="4F0C804A" w14:textId="77777777" w:rsidR="00C049E2" w:rsidRPr="00BC5CCA" w:rsidRDefault="00C049E2" w:rsidP="00BC5CCA">
      <w:pPr>
        <w:spacing w:line="240" w:lineRule="auto"/>
        <w:ind w:left="567" w:right="539"/>
        <w:rPr>
          <w:rFonts w:eastAsia="Palatino Linotype"/>
          <w:i/>
          <w:szCs w:val="22"/>
        </w:rPr>
      </w:pPr>
      <w:r w:rsidRPr="00BC5CCA">
        <w:rPr>
          <w:rFonts w:eastAsia="Palatino Linotype"/>
          <w:i/>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BC5CCA" w:rsidRDefault="00C049E2" w:rsidP="00BC5CCA">
      <w:pPr>
        <w:spacing w:line="240" w:lineRule="auto"/>
        <w:ind w:left="567" w:right="539"/>
        <w:rPr>
          <w:rFonts w:eastAsia="Palatino Linotype"/>
          <w:i/>
          <w:szCs w:val="22"/>
        </w:rPr>
      </w:pPr>
      <w:r w:rsidRPr="00BC5CCA">
        <w:rPr>
          <w:rFonts w:eastAsia="Palatino Linotype"/>
          <w:b/>
          <w:i/>
          <w:szCs w:val="22"/>
        </w:rPr>
        <w:t>Este derecho se regirá por los principios y bases siguientes</w:t>
      </w:r>
      <w:r w:rsidRPr="00BC5CCA">
        <w:rPr>
          <w:rFonts w:eastAsia="Palatino Linotype"/>
          <w:i/>
          <w:szCs w:val="22"/>
        </w:rPr>
        <w:t>:</w:t>
      </w:r>
    </w:p>
    <w:p w14:paraId="4A3E8CBA" w14:textId="77777777" w:rsidR="00C049E2" w:rsidRPr="00BC5CCA" w:rsidRDefault="00C049E2" w:rsidP="00BC5CCA">
      <w:pPr>
        <w:spacing w:line="240" w:lineRule="auto"/>
        <w:ind w:left="567" w:right="539"/>
        <w:rPr>
          <w:rFonts w:eastAsia="Palatino Linotype"/>
          <w:i/>
          <w:szCs w:val="22"/>
        </w:rPr>
      </w:pPr>
      <w:r w:rsidRPr="00BC5CCA">
        <w:rPr>
          <w:rFonts w:eastAsia="Palatino Linotype"/>
          <w:b/>
          <w:i/>
          <w:szCs w:val="22"/>
        </w:rPr>
        <w:lastRenderedPageBreak/>
        <w:t>I. Toda la información en posesión de cualquier autoridad, entidad, órgano y organismos de los</w:t>
      </w:r>
      <w:r w:rsidRPr="00BC5CCA">
        <w:rPr>
          <w:rFonts w:eastAsia="Palatino Linotype"/>
          <w:i/>
          <w:szCs w:val="22"/>
        </w:rPr>
        <w:t xml:space="preserve"> Poderes Ejecutivo, Legislativo y Judicial, órganos autónomos, partidos políticos, fideicomisos y fondos públicos estatales y </w:t>
      </w:r>
      <w:r w:rsidRPr="00BC5CCA">
        <w:rPr>
          <w:rFonts w:eastAsia="Palatino Linotype"/>
          <w:b/>
          <w:i/>
          <w:szCs w:val="22"/>
        </w:rPr>
        <w:t>municipales</w:t>
      </w:r>
      <w:r w:rsidRPr="00BC5CCA">
        <w:rPr>
          <w:rFonts w:eastAsia="Palatino Linotype"/>
          <w:i/>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BC5CCA">
        <w:rPr>
          <w:rFonts w:eastAsia="Palatino Linotype"/>
          <w:b/>
          <w:i/>
          <w:szCs w:val="22"/>
        </w:rPr>
        <w:t>es pública</w:t>
      </w:r>
      <w:r w:rsidRPr="00BC5CCA">
        <w:rPr>
          <w:rFonts w:eastAsia="Palatino Linotype"/>
          <w:i/>
          <w:szCs w:val="22"/>
        </w:rPr>
        <w:t xml:space="preserve"> y sólo podrá ser reservada temporalmente por razones previstas en la Constitución Política de los Estados Unidos Mexicanos de interés público y seguridad, en los términos que fijen las leyes. </w:t>
      </w:r>
      <w:r w:rsidRPr="00BC5CCA">
        <w:rPr>
          <w:rFonts w:eastAsia="Palatino Linotype"/>
          <w:b/>
          <w:i/>
          <w:szCs w:val="22"/>
        </w:rPr>
        <w:t>En la interpretación de este derecho deberá prevalecer el principio de máxima publicidad</w:t>
      </w:r>
      <w:r w:rsidRPr="00BC5CCA">
        <w:rPr>
          <w:rFonts w:eastAsia="Palatino Linotype"/>
          <w:i/>
          <w:szCs w:val="22"/>
        </w:rPr>
        <w:t xml:space="preserve">. </w:t>
      </w:r>
      <w:r w:rsidRPr="00BC5CCA">
        <w:rPr>
          <w:rFonts w:eastAsia="Palatino Linotype"/>
          <w:b/>
          <w:i/>
          <w:szCs w:val="22"/>
        </w:rPr>
        <w:t>Los sujetos obligados deberán documentar todo acto que derive del ejercicio de sus facultades, competencias o funciones</w:t>
      </w:r>
      <w:r w:rsidRPr="00BC5CCA">
        <w:rPr>
          <w:rFonts w:eastAsia="Palatino Linotype"/>
          <w:i/>
          <w:szCs w:val="22"/>
        </w:rPr>
        <w:t>, la ley determinará los supuestos específicos bajo los cuales procederá la declaración de inexistencia de la información.”</w:t>
      </w:r>
    </w:p>
    <w:p w14:paraId="5CA98E37" w14:textId="77777777" w:rsidR="00C049E2" w:rsidRPr="00BC5CCA" w:rsidRDefault="00C049E2" w:rsidP="00BC5CCA">
      <w:pPr>
        <w:rPr>
          <w:rFonts w:eastAsia="Palatino Linotype"/>
          <w:b/>
          <w:i/>
          <w:szCs w:val="22"/>
        </w:rPr>
      </w:pPr>
    </w:p>
    <w:p w14:paraId="6FC1BB3B" w14:textId="3BF4A33D" w:rsidR="00C049E2" w:rsidRPr="00BC5CCA" w:rsidRDefault="00717E59" w:rsidP="00BC5CCA">
      <w:pPr>
        <w:rPr>
          <w:rFonts w:eastAsia="Palatino Linotype"/>
          <w:i/>
          <w:szCs w:val="22"/>
        </w:rPr>
      </w:pPr>
      <w:r w:rsidRPr="00BC5CCA">
        <w:rPr>
          <w:rFonts w:eastAsia="Palatino Linotype"/>
          <w:szCs w:val="22"/>
        </w:rPr>
        <w:t xml:space="preserve">Asimismo, </w:t>
      </w:r>
      <w:r w:rsidR="00C049E2" w:rsidRPr="00BC5CCA">
        <w:rPr>
          <w:rFonts w:eastAsia="Palatino Linotype"/>
          <w:szCs w:val="22"/>
        </w:rPr>
        <w:t>el artículo 150 de la Ley de Transparencia y Acceso a la Información Pública del Estado de México y Municipios</w:t>
      </w:r>
      <w:r w:rsidR="00057B2D" w:rsidRPr="00BC5CCA">
        <w:rPr>
          <w:rFonts w:eastAsia="Palatino Linotype"/>
          <w:szCs w:val="22"/>
        </w:rPr>
        <w:t xml:space="preserve"> </w:t>
      </w:r>
      <w:r w:rsidR="00E9335C" w:rsidRPr="00BC5CCA">
        <w:rPr>
          <w:rFonts w:eastAsia="Palatino Linotype"/>
          <w:szCs w:val="22"/>
        </w:rPr>
        <w:t xml:space="preserve">indica </w:t>
      </w:r>
      <w:r w:rsidR="00057B2D" w:rsidRPr="00BC5CCA">
        <w:rPr>
          <w:rFonts w:eastAsia="Palatino Linotype"/>
          <w:szCs w:val="22"/>
        </w:rPr>
        <w:t>que</w:t>
      </w:r>
      <w:r w:rsidR="00C049E2" w:rsidRPr="00BC5CCA">
        <w:rPr>
          <w:rFonts w:eastAsia="Palatino Linotype"/>
          <w:szCs w:val="22"/>
        </w:rPr>
        <w:t xml:space="preserve"> la solicitud es la garantía primaria del Derecho de Acceso a la Información, además, establece que se regirá </w:t>
      </w:r>
      <w:r w:rsidR="00C049E2" w:rsidRPr="00BC5CCA">
        <w:rPr>
          <w:rFonts w:eastAsia="Palatino Linotype"/>
          <w:i/>
          <w:szCs w:val="22"/>
        </w:rPr>
        <w:t>por los principios de simplicidad, rapidez</w:t>
      </w:r>
      <w:r w:rsidR="005F65B7" w:rsidRPr="00BC5CCA">
        <w:rPr>
          <w:rFonts w:eastAsia="Palatino Linotype"/>
          <w:i/>
          <w:szCs w:val="22"/>
        </w:rPr>
        <w:t>,</w:t>
      </w:r>
      <w:r w:rsidR="00C049E2" w:rsidRPr="00BC5CCA">
        <w:rPr>
          <w:rFonts w:eastAsia="Palatino Linotype"/>
          <w:i/>
          <w:szCs w:val="22"/>
        </w:rPr>
        <w:t xml:space="preserve"> gratuidad del procedimiento, auxilio y orientación a los particulare</w:t>
      </w:r>
      <w:r w:rsidR="001A58B3" w:rsidRPr="00BC5CCA">
        <w:rPr>
          <w:rFonts w:eastAsia="Palatino Linotype"/>
          <w:i/>
          <w:szCs w:val="22"/>
        </w:rPr>
        <w:t>s.</w:t>
      </w:r>
    </w:p>
    <w:p w14:paraId="033466A6" w14:textId="77777777" w:rsidR="001A58B3" w:rsidRPr="00BC5CCA" w:rsidRDefault="001A58B3" w:rsidP="00BC5CCA">
      <w:pPr>
        <w:rPr>
          <w:rFonts w:eastAsia="Palatino Linotype"/>
          <w:i/>
          <w:szCs w:val="22"/>
        </w:rPr>
      </w:pPr>
    </w:p>
    <w:p w14:paraId="04ADA10B" w14:textId="574A944A" w:rsidR="001A58B3" w:rsidRPr="00BC5CCA" w:rsidRDefault="00233F17" w:rsidP="00BC5CCA">
      <w:pPr>
        <w:rPr>
          <w:rFonts w:eastAsia="Palatino Linotype" w:cs="Palatino Linotype"/>
          <w:i/>
          <w:szCs w:val="22"/>
        </w:rPr>
      </w:pPr>
      <w:r w:rsidRPr="00BC5CCA">
        <w:rPr>
          <w:rFonts w:eastAsia="Palatino Linotype" w:cs="Palatino Linotype"/>
          <w:szCs w:val="22"/>
        </w:rPr>
        <w:t xml:space="preserve">Por su parte, el artículo 4 de </w:t>
      </w:r>
      <w:r w:rsidR="001A58B3" w:rsidRPr="00BC5CCA">
        <w:rPr>
          <w:rFonts w:eastAsia="Palatino Linotype" w:cs="Palatino Linotype"/>
          <w:szCs w:val="22"/>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BC5CCA">
        <w:rPr>
          <w:rFonts w:eastAsia="Palatino Linotype" w:cs="Palatino Linotype"/>
          <w:szCs w:val="22"/>
        </w:rPr>
        <w:t>.</w:t>
      </w:r>
    </w:p>
    <w:p w14:paraId="1407DBB8" w14:textId="77777777" w:rsidR="001A58B3" w:rsidRPr="00BC5CCA" w:rsidRDefault="001A58B3" w:rsidP="00BC5CCA">
      <w:pPr>
        <w:rPr>
          <w:rFonts w:eastAsia="Palatino Linotype" w:cs="Palatino Linotype"/>
          <w:szCs w:val="22"/>
        </w:rPr>
      </w:pPr>
    </w:p>
    <w:p w14:paraId="7552AA79" w14:textId="5C52E4A4" w:rsidR="001A58B3" w:rsidRPr="00BC5CCA" w:rsidRDefault="001A58B3" w:rsidP="00BC5CCA">
      <w:pPr>
        <w:rPr>
          <w:rFonts w:eastAsia="Palatino Linotype" w:cs="Palatino Linotype"/>
          <w:szCs w:val="22"/>
        </w:rPr>
      </w:pPr>
      <w:r w:rsidRPr="00BC5CCA">
        <w:rPr>
          <w:rFonts w:eastAsia="Palatino Linotype" w:cs="Palatino Linotype"/>
          <w:szCs w:val="22"/>
        </w:rPr>
        <w:t xml:space="preserve">Esto es, que los Sujetos Obligados </w:t>
      </w:r>
      <w:r w:rsidR="00FA5957" w:rsidRPr="00BC5CCA">
        <w:rPr>
          <w:rFonts w:eastAsia="Palatino Linotype" w:cs="Palatino Linotype"/>
          <w:szCs w:val="22"/>
        </w:rPr>
        <w:t>deben</w:t>
      </w:r>
      <w:r w:rsidRPr="00BC5CCA">
        <w:rPr>
          <w:rFonts w:eastAsia="Palatino Linotype" w:cs="Palatino Linotype"/>
          <w:szCs w:val="22"/>
        </w:rPr>
        <w:t xml:space="preserve"> atender las solicitudes de acceso a la información pública que se les </w:t>
      </w:r>
      <w:r w:rsidR="00FA5957" w:rsidRPr="00BC5CCA">
        <w:rPr>
          <w:rFonts w:eastAsia="Palatino Linotype" w:cs="Palatino Linotype"/>
          <w:szCs w:val="22"/>
        </w:rPr>
        <w:t>sean realizadas,</w:t>
      </w:r>
      <w:r w:rsidRPr="00BC5CCA">
        <w:rPr>
          <w:rFonts w:eastAsia="Palatino Linotype" w:cs="Palatino Linotype"/>
          <w:szCs w:val="22"/>
        </w:rPr>
        <w:t xml:space="preserve"> y proporcionar la información pública que obre en su poder</w:t>
      </w:r>
      <w:r w:rsidR="00FA5957" w:rsidRPr="00BC5CCA">
        <w:rPr>
          <w:rFonts w:eastAsia="Palatino Linotype" w:cs="Palatino Linotype"/>
          <w:szCs w:val="22"/>
        </w:rPr>
        <w:t>,</w:t>
      </w:r>
      <w:r w:rsidRPr="00BC5CCA">
        <w:rPr>
          <w:rFonts w:eastAsia="Palatino Linotype" w:cs="Palatino Linotype"/>
          <w:szCs w:val="22"/>
        </w:rPr>
        <w:t xml:space="preserve"> conforme </w:t>
      </w:r>
      <w:r w:rsidR="00FA5957" w:rsidRPr="00BC5CCA">
        <w:rPr>
          <w:rFonts w:eastAsia="Palatino Linotype" w:cs="Palatino Linotype"/>
          <w:szCs w:val="22"/>
        </w:rPr>
        <w:t>a</w:t>
      </w:r>
      <w:r w:rsidRPr="00BC5CCA">
        <w:rPr>
          <w:rFonts w:eastAsia="Palatino Linotype" w:cs="Palatino Linotype"/>
          <w:szCs w:val="22"/>
        </w:rPr>
        <w:t xml:space="preserve">l estado </w:t>
      </w:r>
      <w:r w:rsidR="00FA5957" w:rsidRPr="00BC5CCA">
        <w:rPr>
          <w:rFonts w:eastAsia="Palatino Linotype" w:cs="Palatino Linotype"/>
          <w:szCs w:val="22"/>
        </w:rPr>
        <w:t xml:space="preserve">en </w:t>
      </w:r>
      <w:r w:rsidRPr="00BC5CCA">
        <w:rPr>
          <w:rFonts w:eastAsia="Palatino Linotype" w:cs="Palatino Linotype"/>
          <w:szCs w:val="22"/>
        </w:rPr>
        <w:t>que se encuentr</w:t>
      </w:r>
      <w:r w:rsidR="00FA5957" w:rsidRPr="00BC5CCA">
        <w:rPr>
          <w:rFonts w:eastAsia="Palatino Linotype" w:cs="Palatino Linotype"/>
          <w:szCs w:val="22"/>
        </w:rPr>
        <w:t>e, sin que sea necesario</w:t>
      </w:r>
      <w:r w:rsidRPr="00BC5CCA">
        <w:rPr>
          <w:rFonts w:eastAsia="Palatino Linotype" w:cs="Palatino Linotype"/>
          <w:szCs w:val="22"/>
        </w:rPr>
        <w:t xml:space="preserve"> </w:t>
      </w:r>
      <w:r w:rsidR="00FA5957" w:rsidRPr="00BC5CCA">
        <w:rPr>
          <w:rFonts w:eastAsia="Palatino Linotype" w:cs="Palatino Linotype"/>
          <w:szCs w:val="22"/>
        </w:rPr>
        <w:t>procesar</w:t>
      </w:r>
      <w:r w:rsidRPr="00BC5CCA">
        <w:rPr>
          <w:rFonts w:eastAsia="Palatino Linotype" w:cs="Palatino Linotype"/>
          <w:szCs w:val="22"/>
        </w:rPr>
        <w:t xml:space="preserve"> la misma, ni presentarla conforme al interés del solicitante; </w:t>
      </w:r>
      <w:r w:rsidR="00FA5957" w:rsidRPr="00BC5CCA">
        <w:rPr>
          <w:rFonts w:eastAsia="Palatino Linotype" w:cs="Palatino Linotype"/>
          <w:szCs w:val="22"/>
        </w:rPr>
        <w:t>tal y como</w:t>
      </w:r>
      <w:r w:rsidRPr="00BC5CCA">
        <w:rPr>
          <w:rFonts w:eastAsia="Palatino Linotype" w:cs="Palatino Linotype"/>
          <w:szCs w:val="22"/>
        </w:rPr>
        <w:t xml:space="preserve"> lo establece el artículo 12 de la Ley de Transparencia y Acceso a la Información Pública del Estado de México y Municipios</w:t>
      </w:r>
      <w:r w:rsidR="00970EB3" w:rsidRPr="00BC5CCA">
        <w:rPr>
          <w:rFonts w:eastAsia="Palatino Linotype" w:cs="Palatino Linotype"/>
          <w:szCs w:val="22"/>
        </w:rPr>
        <w:t>.</w:t>
      </w:r>
    </w:p>
    <w:p w14:paraId="73245195" w14:textId="77777777" w:rsidR="00970EB3" w:rsidRPr="00BC5CCA" w:rsidRDefault="00970EB3" w:rsidP="00BC5CCA">
      <w:pPr>
        <w:rPr>
          <w:rFonts w:eastAsia="Palatino Linotype" w:cs="Palatino Linotype"/>
          <w:szCs w:val="22"/>
        </w:rPr>
      </w:pPr>
    </w:p>
    <w:p w14:paraId="7F62D4DF" w14:textId="775730E1" w:rsidR="001A58B3" w:rsidRPr="00BC5CCA" w:rsidRDefault="001A58B3" w:rsidP="00BC5CCA">
      <w:pPr>
        <w:rPr>
          <w:rFonts w:eastAsia="Palatino Linotype" w:cs="Palatino Linotype"/>
          <w:szCs w:val="22"/>
        </w:rPr>
      </w:pPr>
      <w:r w:rsidRPr="00BC5CCA">
        <w:rPr>
          <w:rFonts w:eastAsia="Palatino Linotype" w:cs="Palatino Linotype"/>
          <w:szCs w:val="22"/>
        </w:rPr>
        <w:lastRenderedPageBreak/>
        <w:t>Es decir, que todo sujeto obligado que genere, recopile, administre, procese, archive, posea o conserven, son responsables de la misma</w:t>
      </w:r>
      <w:r w:rsidR="00970EB3" w:rsidRPr="00BC5CCA">
        <w:rPr>
          <w:rFonts w:eastAsia="Palatino Linotype" w:cs="Palatino Linotype"/>
          <w:szCs w:val="22"/>
        </w:rPr>
        <w:t>,</w:t>
      </w:r>
      <w:r w:rsidRPr="00BC5CCA">
        <w:rPr>
          <w:rFonts w:eastAsia="Palatino Linotype" w:cs="Palatino Linotype"/>
          <w:szCs w:val="22"/>
        </w:rPr>
        <w:t xml:space="preserve"> teniendo a su vez la obligación de proporcionar la información que se les requiera sin necesidad de resumirla, efectuar procedimientos para obtenerla, calcular </w:t>
      </w:r>
      <w:r w:rsidR="00970EB3" w:rsidRPr="00BC5CCA">
        <w:rPr>
          <w:rFonts w:eastAsia="Palatino Linotype" w:cs="Palatino Linotype"/>
          <w:szCs w:val="22"/>
        </w:rPr>
        <w:t>o</w:t>
      </w:r>
      <w:r w:rsidRPr="00BC5CCA">
        <w:rPr>
          <w:rFonts w:eastAsia="Palatino Linotype" w:cs="Palatino Linotype"/>
          <w:szCs w:val="22"/>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BC5CCA" w:rsidRDefault="001A58B3" w:rsidP="00BC5CCA">
      <w:pPr>
        <w:rPr>
          <w:rFonts w:eastAsia="Palatino Linotype" w:cs="Palatino Linotype"/>
          <w:szCs w:val="22"/>
        </w:rPr>
      </w:pPr>
    </w:p>
    <w:p w14:paraId="04E42DFE" w14:textId="573F1198" w:rsidR="001A58B3" w:rsidRPr="00BC5CCA" w:rsidRDefault="001A58B3" w:rsidP="00BC5CCA">
      <w:pPr>
        <w:rPr>
          <w:rFonts w:eastAsia="Palatino Linotype" w:cs="Palatino Linotype"/>
          <w:szCs w:val="22"/>
        </w:rPr>
      </w:pPr>
      <w:r w:rsidRPr="00BC5CCA">
        <w:rPr>
          <w:rFonts w:eastAsia="Palatino Linotype" w:cs="Palatino Linotype"/>
          <w:szCs w:val="22"/>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00331F35" w:rsidRPr="00BC5CCA">
        <w:rPr>
          <w:rFonts w:eastAsia="Palatino Linotype" w:cs="Palatino Linotype"/>
          <w:szCs w:val="22"/>
        </w:rPr>
        <w:t>, s</w:t>
      </w:r>
      <w:r w:rsidRPr="00BC5CCA">
        <w:rPr>
          <w:rFonts w:eastAsia="Palatino Linotype" w:cs="Palatino Linotype"/>
          <w:szCs w:val="22"/>
        </w:rPr>
        <w:t xml:space="preserve">iempre y cuando no se trate de información reservada o </w:t>
      </w:r>
      <w:r w:rsidR="00331F35" w:rsidRPr="00BC5CCA">
        <w:rPr>
          <w:rFonts w:eastAsia="Palatino Linotype" w:cs="Palatino Linotype"/>
          <w:szCs w:val="22"/>
        </w:rPr>
        <w:t>confidencial.</w:t>
      </w:r>
    </w:p>
    <w:p w14:paraId="40C5219F" w14:textId="77777777" w:rsidR="001A58B3" w:rsidRPr="00BC5CCA" w:rsidRDefault="001A58B3" w:rsidP="00BC5CCA">
      <w:pPr>
        <w:rPr>
          <w:rFonts w:eastAsia="Palatino Linotype" w:cs="Palatino Linotype"/>
          <w:szCs w:val="22"/>
        </w:rPr>
      </w:pPr>
    </w:p>
    <w:p w14:paraId="2E629608" w14:textId="01727E15" w:rsidR="00C049E2" w:rsidRPr="00BC5CCA" w:rsidRDefault="006067C7" w:rsidP="00BC5CCA">
      <w:pPr>
        <w:rPr>
          <w:rFonts w:eastAsia="Palatino Linotype"/>
          <w:szCs w:val="22"/>
        </w:rPr>
      </w:pPr>
      <w:bookmarkStart w:id="26" w:name="_heading=h.2s8eyo1" w:colFirst="0" w:colLast="0"/>
      <w:bookmarkEnd w:id="26"/>
      <w:r w:rsidRPr="00BC5CCA">
        <w:rPr>
          <w:rFonts w:eastAsia="Palatino Linotype"/>
          <w:szCs w:val="22"/>
        </w:rPr>
        <w:t>Con base en lo anterior</w:t>
      </w:r>
      <w:r w:rsidR="00B22A80" w:rsidRPr="00BC5CCA">
        <w:rPr>
          <w:rFonts w:eastAsia="Palatino Linotype"/>
          <w:szCs w:val="22"/>
        </w:rPr>
        <w:t>, se considera que</w:t>
      </w:r>
      <w:r w:rsidR="00C049E2" w:rsidRPr="00BC5CCA">
        <w:rPr>
          <w:rFonts w:eastAsia="Palatino Linotype"/>
          <w:szCs w:val="22"/>
        </w:rPr>
        <w:t xml:space="preserve"> </w:t>
      </w:r>
      <w:r w:rsidR="00B22A80" w:rsidRPr="00BC5CCA">
        <w:rPr>
          <w:rFonts w:eastAsia="Palatino Linotype"/>
          <w:b/>
          <w:bCs/>
          <w:szCs w:val="22"/>
        </w:rPr>
        <w:t>EL</w:t>
      </w:r>
      <w:r w:rsidR="00C049E2" w:rsidRPr="00BC5CCA">
        <w:rPr>
          <w:rFonts w:eastAsia="Palatino Linotype"/>
          <w:szCs w:val="22"/>
        </w:rPr>
        <w:t xml:space="preserve"> </w:t>
      </w:r>
      <w:r w:rsidR="00C049E2" w:rsidRPr="00BC5CCA">
        <w:rPr>
          <w:rFonts w:eastAsia="Palatino Linotype"/>
          <w:b/>
          <w:szCs w:val="22"/>
        </w:rPr>
        <w:t>SUJETO OBLIGADO</w:t>
      </w:r>
      <w:r w:rsidR="00C049E2" w:rsidRPr="00BC5CCA">
        <w:rPr>
          <w:rFonts w:eastAsia="Palatino Linotype"/>
          <w:szCs w:val="22"/>
        </w:rPr>
        <w:t xml:space="preserve"> </w:t>
      </w:r>
      <w:r w:rsidR="00B22A80" w:rsidRPr="00BC5CCA">
        <w:rPr>
          <w:rFonts w:eastAsia="Palatino Linotype"/>
          <w:szCs w:val="22"/>
        </w:rPr>
        <w:t xml:space="preserve">se </w:t>
      </w:r>
      <w:r w:rsidR="00717E59" w:rsidRPr="00BC5CCA">
        <w:rPr>
          <w:rFonts w:eastAsia="Palatino Linotype"/>
          <w:szCs w:val="22"/>
        </w:rPr>
        <w:t>encontraba</w:t>
      </w:r>
      <w:r w:rsidR="00B22A80" w:rsidRPr="00BC5CCA">
        <w:rPr>
          <w:rFonts w:eastAsia="Palatino Linotype"/>
          <w:szCs w:val="22"/>
        </w:rPr>
        <w:t xml:space="preserve"> compelido a</w:t>
      </w:r>
      <w:r w:rsidR="00C049E2" w:rsidRPr="00BC5CCA">
        <w:rPr>
          <w:rFonts w:eastAsia="Palatino Linotype"/>
          <w:szCs w:val="22"/>
        </w:rPr>
        <w:t xml:space="preserve"> atender la solicitud de acceso a la información </w:t>
      </w:r>
      <w:r w:rsidR="00B22A80" w:rsidRPr="00BC5CCA">
        <w:rPr>
          <w:rFonts w:eastAsia="Palatino Linotype"/>
          <w:szCs w:val="22"/>
        </w:rPr>
        <w:t xml:space="preserve">realizada por </w:t>
      </w:r>
      <w:r w:rsidR="00B22A80" w:rsidRPr="00BC5CCA">
        <w:rPr>
          <w:rFonts w:eastAsia="Palatino Linotype"/>
          <w:b/>
          <w:bCs/>
          <w:szCs w:val="22"/>
        </w:rPr>
        <w:t>LA PARTE RECURRENTE</w:t>
      </w:r>
      <w:r w:rsidR="00331F35" w:rsidRPr="00BC5CCA">
        <w:rPr>
          <w:rFonts w:eastAsia="Palatino Linotype"/>
          <w:szCs w:val="22"/>
        </w:rPr>
        <w:t>.</w:t>
      </w:r>
    </w:p>
    <w:p w14:paraId="1611F147" w14:textId="77777777" w:rsidR="00BD5A7C" w:rsidRPr="00BC5CCA" w:rsidRDefault="00BD5A7C" w:rsidP="00BC5CCA">
      <w:pPr>
        <w:rPr>
          <w:rFonts w:eastAsia="Palatino Linotype"/>
          <w:szCs w:val="22"/>
        </w:rPr>
      </w:pPr>
    </w:p>
    <w:p w14:paraId="51A0E8B4" w14:textId="676DCA47" w:rsidR="00664420" w:rsidRPr="00BC5CCA" w:rsidRDefault="00C71CEF" w:rsidP="00BC5CCA">
      <w:pPr>
        <w:pStyle w:val="Ttulo3"/>
        <w:rPr>
          <w:rFonts w:eastAsia="Calibri"/>
          <w:szCs w:val="22"/>
          <w:lang w:eastAsia="es-ES_tradnl"/>
        </w:rPr>
      </w:pPr>
      <w:bookmarkStart w:id="27" w:name="_Toc199960461"/>
      <w:r w:rsidRPr="00BC5CCA">
        <w:rPr>
          <w:rFonts w:eastAsia="Calibri"/>
          <w:szCs w:val="22"/>
          <w:lang w:eastAsia="es-ES_tradnl"/>
        </w:rPr>
        <w:t>b)</w:t>
      </w:r>
      <w:r w:rsidR="00A53315" w:rsidRPr="00BC5CCA">
        <w:rPr>
          <w:rFonts w:eastAsia="Calibri"/>
          <w:szCs w:val="22"/>
          <w:lang w:eastAsia="es-ES_tradnl"/>
        </w:rPr>
        <w:t xml:space="preserve"> </w:t>
      </w:r>
      <w:r w:rsidR="00A21A20" w:rsidRPr="00BC5CCA">
        <w:rPr>
          <w:rFonts w:eastAsia="Calibri"/>
          <w:szCs w:val="22"/>
          <w:lang w:eastAsia="es-ES_tradnl"/>
        </w:rPr>
        <w:t>Controversia a resolver</w:t>
      </w:r>
      <w:bookmarkEnd w:id="27"/>
    </w:p>
    <w:p w14:paraId="5DAE2A65" w14:textId="382C31A9" w:rsidR="00664420" w:rsidRPr="00BC5CCA" w:rsidRDefault="00664420" w:rsidP="00BC5CCA">
      <w:pPr>
        <w:rPr>
          <w:rFonts w:eastAsia="Calibri"/>
          <w:szCs w:val="22"/>
          <w:lang w:eastAsia="es-ES_tradnl"/>
        </w:rPr>
      </w:pPr>
      <w:r w:rsidRPr="00BC5CCA">
        <w:rPr>
          <w:rFonts w:eastAsia="Calibri"/>
          <w:szCs w:val="22"/>
          <w:lang w:eastAsia="es-ES_tradnl"/>
        </w:rPr>
        <w:t xml:space="preserve">Con el objeto de ilustrar la controversia planteada, resulta conveniente precisar que, una vez realizado el estudio de las constancias que integran el expediente en que se actúa, se desprende que </w:t>
      </w:r>
      <w:r w:rsidR="005D5A50" w:rsidRPr="00BC5CCA">
        <w:rPr>
          <w:rFonts w:eastAsia="Calibri"/>
          <w:b/>
          <w:bCs/>
          <w:szCs w:val="22"/>
          <w:lang w:eastAsia="es-ES_tradnl"/>
        </w:rPr>
        <w:t>LA PARTE RECURRENTE</w:t>
      </w:r>
      <w:r w:rsidRPr="00BC5CCA">
        <w:rPr>
          <w:rFonts w:eastAsia="Calibri"/>
          <w:szCs w:val="22"/>
          <w:lang w:eastAsia="es-ES_tradnl"/>
        </w:rPr>
        <w:t xml:space="preserve"> solicitó lo siguiente:</w:t>
      </w:r>
    </w:p>
    <w:p w14:paraId="04D64910" w14:textId="77777777" w:rsidR="00E914BE" w:rsidRPr="00BC5CCA" w:rsidRDefault="00E914BE" w:rsidP="00BC5CCA">
      <w:pPr>
        <w:ind w:left="851" w:right="822"/>
        <w:rPr>
          <w:rFonts w:eastAsia="Calibri"/>
          <w:szCs w:val="22"/>
          <w:u w:val="single"/>
          <w:lang w:eastAsia="es-ES_tradnl"/>
        </w:rPr>
      </w:pPr>
    </w:p>
    <w:p w14:paraId="03A33366" w14:textId="22C89A5B" w:rsidR="0046150A" w:rsidRPr="00BC5CCA" w:rsidRDefault="0046150A" w:rsidP="00BC5CCA">
      <w:pPr>
        <w:ind w:left="851" w:right="822"/>
        <w:rPr>
          <w:rFonts w:eastAsia="Calibri"/>
          <w:szCs w:val="22"/>
          <w:u w:val="single"/>
          <w:lang w:eastAsia="es-ES_tradnl"/>
        </w:rPr>
      </w:pPr>
      <w:r w:rsidRPr="00BC5CCA">
        <w:rPr>
          <w:rFonts w:eastAsia="Calibri"/>
          <w:szCs w:val="22"/>
          <w:u w:val="single"/>
          <w:lang w:eastAsia="es-ES_tradnl"/>
        </w:rPr>
        <w:t>De la organización de la feria del caballo 2025:</w:t>
      </w:r>
    </w:p>
    <w:p w14:paraId="45A8C4BB" w14:textId="3BC37337" w:rsidR="0046150A" w:rsidRPr="00BC5CCA" w:rsidRDefault="0046150A" w:rsidP="00BC5CCA">
      <w:pPr>
        <w:pStyle w:val="Prrafodelista"/>
        <w:numPr>
          <w:ilvl w:val="0"/>
          <w:numId w:val="16"/>
        </w:numPr>
        <w:ind w:left="851" w:right="822" w:firstLine="0"/>
        <w:rPr>
          <w:rFonts w:eastAsia="Calibri"/>
          <w:szCs w:val="22"/>
          <w:lang w:eastAsia="es-ES_tradnl"/>
        </w:rPr>
      </w:pPr>
      <w:r w:rsidRPr="00BC5CCA">
        <w:rPr>
          <w:rFonts w:eastAsia="Calibri"/>
          <w:szCs w:val="22"/>
          <w:lang w:eastAsia="es-ES_tradnl"/>
        </w:rPr>
        <w:t>Copia del expediente de licitación</w:t>
      </w:r>
    </w:p>
    <w:p w14:paraId="5427DEBE" w14:textId="55BFB69D" w:rsidR="0046150A" w:rsidRPr="00BC5CCA" w:rsidRDefault="0046150A" w:rsidP="00BC5CCA">
      <w:pPr>
        <w:pStyle w:val="Prrafodelista"/>
        <w:numPr>
          <w:ilvl w:val="0"/>
          <w:numId w:val="16"/>
        </w:numPr>
        <w:ind w:left="851" w:right="822" w:firstLine="0"/>
        <w:rPr>
          <w:rFonts w:eastAsia="Calibri"/>
          <w:szCs w:val="22"/>
          <w:lang w:eastAsia="es-ES_tradnl"/>
        </w:rPr>
      </w:pPr>
      <w:r w:rsidRPr="00BC5CCA">
        <w:rPr>
          <w:rFonts w:eastAsia="Calibri"/>
          <w:szCs w:val="22"/>
          <w:lang w:eastAsia="es-ES_tradnl"/>
        </w:rPr>
        <w:t>Nombre de la empresa adjudicada</w:t>
      </w:r>
    </w:p>
    <w:p w14:paraId="63F3F433" w14:textId="13EB3E0B" w:rsidR="0046150A" w:rsidRPr="00BC5CCA" w:rsidRDefault="00664420" w:rsidP="00BC5CCA">
      <w:pPr>
        <w:tabs>
          <w:tab w:val="left" w:pos="4962"/>
        </w:tabs>
        <w:contextualSpacing/>
        <w:rPr>
          <w:szCs w:val="22"/>
        </w:rPr>
      </w:pPr>
      <w:r w:rsidRPr="00BC5CCA">
        <w:rPr>
          <w:rFonts w:eastAsiaTheme="minorHAnsi" w:cs="Tahoma"/>
          <w:bCs/>
          <w:iCs/>
          <w:szCs w:val="22"/>
          <w:lang w:eastAsia="en-US"/>
        </w:rPr>
        <w:lastRenderedPageBreak/>
        <w:t xml:space="preserve">En respuesta, </w:t>
      </w:r>
      <w:r w:rsidR="005D5A50" w:rsidRPr="00BC5CCA">
        <w:rPr>
          <w:rFonts w:eastAsiaTheme="minorHAnsi" w:cs="Tahoma"/>
          <w:b/>
          <w:iCs/>
          <w:szCs w:val="22"/>
          <w:lang w:eastAsia="en-US"/>
        </w:rPr>
        <w:t>EL SUJETO OBLIGADO</w:t>
      </w:r>
      <w:r w:rsidRPr="00BC5CCA">
        <w:rPr>
          <w:rFonts w:eastAsiaTheme="minorHAnsi" w:cs="Tahoma"/>
          <w:bCs/>
          <w:iCs/>
          <w:szCs w:val="22"/>
          <w:lang w:eastAsia="en-US"/>
        </w:rPr>
        <w:t xml:space="preserve"> se pronunció</w:t>
      </w:r>
      <w:r w:rsidR="001C6057" w:rsidRPr="00BC5CCA">
        <w:rPr>
          <w:rFonts w:eastAsiaTheme="minorHAnsi" w:cs="Tahoma"/>
          <w:bCs/>
          <w:iCs/>
          <w:szCs w:val="22"/>
          <w:lang w:eastAsia="en-US"/>
        </w:rPr>
        <w:t xml:space="preserve"> a través de</w:t>
      </w:r>
      <w:r w:rsidRPr="00BC5CCA">
        <w:rPr>
          <w:rFonts w:eastAsiaTheme="minorHAnsi" w:cs="Tahoma"/>
          <w:bCs/>
          <w:iCs/>
          <w:szCs w:val="22"/>
          <w:lang w:eastAsia="en-US"/>
        </w:rPr>
        <w:t xml:space="preserve"> </w:t>
      </w:r>
      <w:r w:rsidR="0046150A" w:rsidRPr="00BC5CCA">
        <w:rPr>
          <w:rFonts w:eastAsiaTheme="minorHAnsi" w:cs="Tahoma"/>
          <w:bCs/>
          <w:iCs/>
          <w:szCs w:val="22"/>
          <w:lang w:eastAsia="en-US"/>
        </w:rPr>
        <w:t xml:space="preserve">la </w:t>
      </w:r>
      <w:r w:rsidR="0046150A" w:rsidRPr="00BC5CCA">
        <w:rPr>
          <w:szCs w:val="22"/>
        </w:rPr>
        <w:t xml:space="preserve">Dirección General de Administración y </w:t>
      </w:r>
      <w:r w:rsidR="001203A4" w:rsidRPr="00BC5CCA">
        <w:rPr>
          <w:szCs w:val="22"/>
        </w:rPr>
        <w:t xml:space="preserve">de </w:t>
      </w:r>
      <w:r w:rsidR="0046150A" w:rsidRPr="00BC5CCA">
        <w:rPr>
          <w:szCs w:val="22"/>
        </w:rPr>
        <w:t>a la Tesorería Municipal, los cuales informan que a la fecha se encuentra en proceso de revisión el contrato, una vez que se encuentre concluido dicho proceso se podrá proporcionar la información solicitada</w:t>
      </w:r>
      <w:r w:rsidR="001203A4" w:rsidRPr="00BC5CCA">
        <w:rPr>
          <w:szCs w:val="22"/>
        </w:rPr>
        <w:t>. Asimismo,</w:t>
      </w:r>
      <w:r w:rsidR="0046150A" w:rsidRPr="00BC5CCA">
        <w:rPr>
          <w:szCs w:val="22"/>
        </w:rPr>
        <w:t xml:space="preserve"> </w:t>
      </w:r>
      <w:r w:rsidR="001C6057" w:rsidRPr="00BC5CCA">
        <w:rPr>
          <w:szCs w:val="22"/>
        </w:rPr>
        <w:t>relativo a si existió adjudicación directa o licitación pública,</w:t>
      </w:r>
      <w:r w:rsidR="0046150A" w:rsidRPr="00BC5CCA">
        <w:rPr>
          <w:szCs w:val="22"/>
        </w:rPr>
        <w:t xml:space="preserve"> </w:t>
      </w:r>
      <w:r w:rsidR="001203A4" w:rsidRPr="00BC5CCA">
        <w:rPr>
          <w:szCs w:val="22"/>
        </w:rPr>
        <w:t xml:space="preserve">refirieron que </w:t>
      </w:r>
      <w:r w:rsidR="0046150A" w:rsidRPr="00BC5CCA">
        <w:rPr>
          <w:szCs w:val="22"/>
        </w:rPr>
        <w:t xml:space="preserve">el contrato de la Feria del Caballo Texcoco 2025 no otorga un bien o servicio, por lo </w:t>
      </w:r>
      <w:r w:rsidR="001203A4" w:rsidRPr="00BC5CCA">
        <w:rPr>
          <w:szCs w:val="22"/>
        </w:rPr>
        <w:t>cual</w:t>
      </w:r>
      <w:r w:rsidR="0046150A" w:rsidRPr="00BC5CCA">
        <w:rPr>
          <w:szCs w:val="22"/>
        </w:rPr>
        <w:t xml:space="preserve"> no </w:t>
      </w:r>
      <w:r w:rsidR="001203A4" w:rsidRPr="00BC5CCA">
        <w:rPr>
          <w:szCs w:val="22"/>
        </w:rPr>
        <w:t>se encuentra</w:t>
      </w:r>
      <w:r w:rsidR="0046150A" w:rsidRPr="00BC5CCA">
        <w:rPr>
          <w:szCs w:val="22"/>
        </w:rPr>
        <w:t xml:space="preserve"> en los supuestos establecidos en la Ley de Contratación Pública del Estado de México y Municipios.</w:t>
      </w:r>
    </w:p>
    <w:p w14:paraId="65932807" w14:textId="77777777" w:rsidR="0046150A" w:rsidRPr="00BC5CCA" w:rsidRDefault="0046150A" w:rsidP="00BC5CCA">
      <w:pPr>
        <w:tabs>
          <w:tab w:val="left" w:pos="4962"/>
        </w:tabs>
        <w:contextualSpacing/>
        <w:rPr>
          <w:rFonts w:eastAsiaTheme="minorHAnsi" w:cs="Tahoma"/>
          <w:bCs/>
          <w:iCs/>
          <w:szCs w:val="22"/>
          <w:lang w:eastAsia="en-US"/>
        </w:rPr>
      </w:pPr>
    </w:p>
    <w:p w14:paraId="31DD81D7" w14:textId="17AD328A" w:rsidR="00664420" w:rsidRPr="00BC5CCA" w:rsidRDefault="00CF7586" w:rsidP="00BC5CCA">
      <w:pPr>
        <w:tabs>
          <w:tab w:val="left" w:pos="4962"/>
        </w:tabs>
        <w:contextualSpacing/>
        <w:rPr>
          <w:rFonts w:eastAsiaTheme="minorHAnsi" w:cs="Tahoma"/>
          <w:bCs/>
          <w:iCs/>
          <w:szCs w:val="22"/>
          <w:lang w:eastAsia="en-US"/>
        </w:rPr>
      </w:pPr>
      <w:r w:rsidRPr="00BC5CCA">
        <w:rPr>
          <w:rFonts w:eastAsiaTheme="minorHAnsi" w:cs="Tahoma"/>
          <w:bCs/>
          <w:iCs/>
          <w:szCs w:val="22"/>
          <w:lang w:eastAsia="en-US"/>
        </w:rPr>
        <w:t xml:space="preserve">Ahora bien, en la interposición del presente recurso </w:t>
      </w:r>
      <w:r w:rsidRPr="00BC5CCA">
        <w:rPr>
          <w:rFonts w:eastAsiaTheme="minorHAnsi" w:cs="Tahoma"/>
          <w:b/>
          <w:iCs/>
          <w:szCs w:val="22"/>
          <w:lang w:eastAsia="en-US"/>
        </w:rPr>
        <w:t>LA PARTE RECURRENTE</w:t>
      </w:r>
      <w:r w:rsidR="00664420" w:rsidRPr="00BC5CCA">
        <w:rPr>
          <w:rFonts w:eastAsiaTheme="minorHAnsi" w:cs="Tahoma"/>
          <w:bCs/>
          <w:iCs/>
          <w:szCs w:val="22"/>
          <w:lang w:eastAsia="en-US"/>
        </w:rPr>
        <w:t xml:space="preserve"> se inconformó de</w:t>
      </w:r>
      <w:r w:rsidR="00391C4A" w:rsidRPr="00BC5CCA">
        <w:rPr>
          <w:rFonts w:eastAsiaTheme="minorHAnsi" w:cs="Tahoma"/>
          <w:bCs/>
          <w:iCs/>
          <w:szCs w:val="22"/>
          <w:lang w:eastAsia="en-US"/>
        </w:rPr>
        <w:t xml:space="preserve"> la negativa de entrega de la información solicitada</w:t>
      </w:r>
      <w:r w:rsidRPr="00BC5CCA">
        <w:rPr>
          <w:rFonts w:eastAsiaTheme="minorHAnsi" w:cs="Tahoma"/>
          <w:bCs/>
          <w:iCs/>
          <w:szCs w:val="22"/>
          <w:lang w:eastAsia="en-US"/>
        </w:rPr>
        <w:t xml:space="preserve">, por lo cual, el estudio </w:t>
      </w:r>
      <w:r w:rsidR="005B18AF" w:rsidRPr="00BC5CCA">
        <w:rPr>
          <w:rFonts w:eastAsiaTheme="minorHAnsi" w:cs="Tahoma"/>
          <w:bCs/>
          <w:iCs/>
          <w:szCs w:val="22"/>
          <w:lang w:eastAsia="en-US"/>
        </w:rPr>
        <w:t xml:space="preserve">se centrará en determinar si </w:t>
      </w:r>
      <w:r w:rsidR="00D2790D" w:rsidRPr="00BC5CCA">
        <w:rPr>
          <w:rFonts w:eastAsiaTheme="minorHAnsi" w:cs="Tahoma"/>
          <w:bCs/>
          <w:iCs/>
          <w:szCs w:val="22"/>
          <w:lang w:eastAsia="en-US"/>
        </w:rPr>
        <w:t>la información entregada corresponde a lo soli</w:t>
      </w:r>
      <w:r w:rsidR="00391C4A" w:rsidRPr="00BC5CCA">
        <w:rPr>
          <w:rFonts w:eastAsiaTheme="minorHAnsi" w:cs="Tahoma"/>
          <w:bCs/>
          <w:iCs/>
          <w:szCs w:val="22"/>
          <w:lang w:eastAsia="en-US"/>
        </w:rPr>
        <w:t>citado por la parte recurrente.</w:t>
      </w:r>
    </w:p>
    <w:p w14:paraId="37A047E9" w14:textId="77777777" w:rsidR="00391C4A" w:rsidRPr="00BC5CCA" w:rsidRDefault="00391C4A" w:rsidP="00BC5CCA">
      <w:pPr>
        <w:tabs>
          <w:tab w:val="left" w:pos="4962"/>
        </w:tabs>
        <w:contextualSpacing/>
        <w:rPr>
          <w:rFonts w:eastAsiaTheme="minorHAnsi" w:cs="Tahoma"/>
          <w:bCs/>
          <w:iCs/>
          <w:szCs w:val="22"/>
          <w:lang w:eastAsia="en-US"/>
        </w:rPr>
      </w:pPr>
    </w:p>
    <w:p w14:paraId="414FD2D5" w14:textId="4408E416" w:rsidR="00664420" w:rsidRPr="00BC5CCA" w:rsidRDefault="00A21A20" w:rsidP="00BC5CCA">
      <w:pPr>
        <w:pStyle w:val="Ttulo3"/>
        <w:rPr>
          <w:szCs w:val="22"/>
        </w:rPr>
      </w:pPr>
      <w:bookmarkStart w:id="28" w:name="_Toc199960462"/>
      <w:r w:rsidRPr="00BC5CCA">
        <w:rPr>
          <w:szCs w:val="22"/>
        </w:rPr>
        <w:t>c)</w:t>
      </w:r>
      <w:r w:rsidR="00664420" w:rsidRPr="00BC5CCA">
        <w:rPr>
          <w:szCs w:val="22"/>
        </w:rPr>
        <w:t xml:space="preserve"> </w:t>
      </w:r>
      <w:r w:rsidRPr="00BC5CCA">
        <w:rPr>
          <w:szCs w:val="22"/>
        </w:rPr>
        <w:t>Estudio de la controversia</w:t>
      </w:r>
      <w:bookmarkEnd w:id="28"/>
    </w:p>
    <w:p w14:paraId="49FB26F1" w14:textId="77777777" w:rsidR="008067AA" w:rsidRPr="00BC5CCA" w:rsidRDefault="008067AA" w:rsidP="00BC5CCA">
      <w:pPr>
        <w:rPr>
          <w:rFonts w:cs="Arial"/>
          <w:szCs w:val="22"/>
          <w:lang w:val="es-ES"/>
        </w:rPr>
      </w:pPr>
      <w:r w:rsidRPr="00BC5CCA">
        <w:rPr>
          <w:rFonts w:cs="Arial"/>
          <w:szCs w:val="22"/>
        </w:rPr>
        <w:t xml:space="preserve">Una vez determinada la vía sobre la que versará el presente recurso, y previa revisión del expediente electrónico formado en </w:t>
      </w:r>
      <w:r w:rsidRPr="00BC5CCA">
        <w:rPr>
          <w:rFonts w:cs="Arial"/>
          <w:b/>
          <w:szCs w:val="22"/>
        </w:rPr>
        <w:t>EL SAIMEX</w:t>
      </w:r>
      <w:r w:rsidRPr="00BC5CCA">
        <w:rPr>
          <w:rFonts w:cs="Arial"/>
          <w:szCs w:val="22"/>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Garante de dictar el fallo correspondiente conforme a derecho, tomando en consideración los elementos aportados por las partes.</w:t>
      </w:r>
    </w:p>
    <w:p w14:paraId="62ED38F7" w14:textId="77777777" w:rsidR="00CF2D8B" w:rsidRPr="00BC5CCA" w:rsidRDefault="00CF2D8B" w:rsidP="00BC5CCA">
      <w:pPr>
        <w:pStyle w:val="Prrafodelista"/>
        <w:ind w:right="-93"/>
        <w:rPr>
          <w:rFonts w:cs="Tahoma"/>
          <w:bCs/>
          <w:szCs w:val="22"/>
        </w:rPr>
      </w:pPr>
    </w:p>
    <w:p w14:paraId="6A789D97" w14:textId="2F5FDACD" w:rsidR="00391C4A" w:rsidRPr="00BC5CCA" w:rsidRDefault="007C03FC" w:rsidP="00BC5CCA">
      <w:pPr>
        <w:pStyle w:val="Prrafodelista"/>
        <w:ind w:left="0" w:right="-93"/>
        <w:rPr>
          <w:rFonts w:cs="Tahoma"/>
          <w:bCs/>
          <w:szCs w:val="22"/>
        </w:rPr>
      </w:pPr>
      <w:r w:rsidRPr="00BC5CCA">
        <w:rPr>
          <w:rFonts w:cs="Tahoma"/>
          <w:bCs/>
          <w:szCs w:val="22"/>
        </w:rPr>
        <w:t xml:space="preserve">Ahora bien, relativo a la solicitud de información que versa sobre obtener el expediente de licitación y nombre de la empresa adjudicada de la feria del caballo 2025; resulta pertinente </w:t>
      </w:r>
      <w:r w:rsidR="00200AB9" w:rsidRPr="00BC5CCA">
        <w:rPr>
          <w:rFonts w:cs="Tahoma"/>
          <w:bCs/>
          <w:szCs w:val="22"/>
        </w:rPr>
        <w:t>verificar la existencia de dicho</w:t>
      </w:r>
      <w:r w:rsidRPr="00BC5CCA">
        <w:rPr>
          <w:rFonts w:cs="Tahoma"/>
          <w:bCs/>
          <w:szCs w:val="22"/>
        </w:rPr>
        <w:t xml:space="preserve"> </w:t>
      </w:r>
      <w:r w:rsidR="00200AB9" w:rsidRPr="00BC5CCA">
        <w:rPr>
          <w:rFonts w:cs="Tahoma"/>
          <w:bCs/>
          <w:szCs w:val="22"/>
        </w:rPr>
        <w:t>evento y la duración de este, como se advierte de su página oficial:</w:t>
      </w:r>
    </w:p>
    <w:p w14:paraId="464D7D8E" w14:textId="77777777" w:rsidR="00200AB9" w:rsidRPr="00BC5CCA" w:rsidRDefault="00200AB9" w:rsidP="00BC5CCA">
      <w:pPr>
        <w:pStyle w:val="Prrafodelista"/>
        <w:ind w:left="0" w:right="-93"/>
        <w:rPr>
          <w:rFonts w:cs="Tahoma"/>
          <w:bCs/>
          <w:szCs w:val="22"/>
        </w:rPr>
      </w:pPr>
    </w:p>
    <w:p w14:paraId="25D67DC4" w14:textId="207F02D8" w:rsidR="00200AB9" w:rsidRPr="00BC5CCA" w:rsidRDefault="00C32BAC" w:rsidP="00BC5CCA">
      <w:pPr>
        <w:pStyle w:val="Prrafodelista"/>
        <w:ind w:left="0" w:right="-93"/>
        <w:rPr>
          <w:rFonts w:cs="Tahoma"/>
          <w:bCs/>
          <w:szCs w:val="22"/>
        </w:rPr>
      </w:pPr>
      <w:hyperlink r:id="rId15" w:history="1">
        <w:r w:rsidR="00200AB9" w:rsidRPr="00BC5CCA">
          <w:rPr>
            <w:rStyle w:val="Hipervnculo"/>
            <w:rFonts w:cs="Tahoma"/>
            <w:bCs/>
            <w:color w:val="auto"/>
            <w:szCs w:val="22"/>
          </w:rPr>
          <w:t>https://www.feriacaballotexcoco.com/programa-de-mano-feria-del-caballo-texcoco-2025/</w:t>
        </w:r>
      </w:hyperlink>
    </w:p>
    <w:p w14:paraId="05007AF0" w14:textId="77777777" w:rsidR="00391C4A" w:rsidRPr="00BC5CCA" w:rsidRDefault="00391C4A" w:rsidP="00BC5CCA">
      <w:pPr>
        <w:pStyle w:val="Prrafodelista"/>
        <w:ind w:right="-93"/>
        <w:rPr>
          <w:rFonts w:cs="Tahoma"/>
          <w:bCs/>
          <w:szCs w:val="22"/>
        </w:rPr>
      </w:pPr>
    </w:p>
    <w:p w14:paraId="7E78F325" w14:textId="3FBD4869" w:rsidR="00391C4A" w:rsidRPr="00BC5CCA" w:rsidRDefault="00200AB9" w:rsidP="00BC5CCA">
      <w:pPr>
        <w:pStyle w:val="Prrafodelista"/>
        <w:ind w:left="0" w:right="113"/>
        <w:rPr>
          <w:rFonts w:cs="Tahoma"/>
          <w:bCs/>
          <w:szCs w:val="22"/>
        </w:rPr>
      </w:pPr>
      <w:r w:rsidRPr="00BC5CCA">
        <w:rPr>
          <w:rFonts w:cs="Tahoma"/>
          <w:bCs/>
          <w:noProof/>
          <w:szCs w:val="22"/>
          <w:lang w:eastAsia="es-MX"/>
        </w:rPr>
        <w:drawing>
          <wp:inline distT="0" distB="0" distL="0" distR="0" wp14:anchorId="5B8FB152" wp14:editId="3370A013">
            <wp:extent cx="5742940" cy="598487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42940" cy="5984875"/>
                    </a:xfrm>
                    <a:prstGeom prst="rect">
                      <a:avLst/>
                    </a:prstGeom>
                  </pic:spPr>
                </pic:pic>
              </a:graphicData>
            </a:graphic>
          </wp:inline>
        </w:drawing>
      </w:r>
    </w:p>
    <w:p w14:paraId="0114C7DC" w14:textId="77777777" w:rsidR="00391C4A" w:rsidRPr="00BC5CCA" w:rsidRDefault="00391C4A" w:rsidP="00BC5CCA">
      <w:pPr>
        <w:pStyle w:val="Prrafodelista"/>
        <w:ind w:right="-93"/>
        <w:rPr>
          <w:rFonts w:cs="Tahoma"/>
          <w:bCs/>
          <w:szCs w:val="22"/>
        </w:rPr>
      </w:pPr>
    </w:p>
    <w:p w14:paraId="0B59B4BB" w14:textId="10944EDD" w:rsidR="00200AB9" w:rsidRPr="00BC5CCA" w:rsidRDefault="00200AB9" w:rsidP="00BC5CCA">
      <w:pPr>
        <w:pStyle w:val="Prrafodelista"/>
        <w:ind w:left="0" w:right="-93"/>
        <w:rPr>
          <w:rFonts w:cs="Tahoma"/>
          <w:bCs/>
          <w:szCs w:val="22"/>
        </w:rPr>
      </w:pPr>
      <w:r w:rsidRPr="00BC5CCA">
        <w:rPr>
          <w:rFonts w:cs="Tahoma"/>
          <w:bCs/>
          <w:szCs w:val="22"/>
        </w:rPr>
        <w:t>Atento a lo anterior, se advierte la existencia del evento realizado y del</w:t>
      </w:r>
      <w:r w:rsidR="00D50EF2" w:rsidRPr="00BC5CCA">
        <w:rPr>
          <w:rFonts w:cs="Tahoma"/>
          <w:bCs/>
          <w:szCs w:val="22"/>
        </w:rPr>
        <w:t xml:space="preserve"> cual </w:t>
      </w:r>
      <w:r w:rsidRPr="00BC5CCA">
        <w:rPr>
          <w:rFonts w:cs="Tahoma"/>
          <w:bCs/>
          <w:szCs w:val="22"/>
        </w:rPr>
        <w:t xml:space="preserve">pretende obtener información </w:t>
      </w:r>
      <w:r w:rsidRPr="00BC5CCA">
        <w:rPr>
          <w:rFonts w:cs="Tahoma"/>
          <w:b/>
          <w:bCs/>
          <w:szCs w:val="22"/>
        </w:rPr>
        <w:t>LA PARTE RECURRENTE</w:t>
      </w:r>
      <w:r w:rsidRPr="00BC5CCA">
        <w:rPr>
          <w:rFonts w:cs="Tahoma"/>
          <w:bCs/>
          <w:szCs w:val="22"/>
        </w:rPr>
        <w:t>.</w:t>
      </w:r>
    </w:p>
    <w:p w14:paraId="451382BA" w14:textId="77777777" w:rsidR="003C0A6D" w:rsidRPr="00BC5CCA" w:rsidRDefault="003C0A6D" w:rsidP="00BC5CCA">
      <w:pPr>
        <w:pBdr>
          <w:top w:val="nil"/>
          <w:left w:val="nil"/>
          <w:bottom w:val="nil"/>
          <w:right w:val="nil"/>
          <w:between w:val="nil"/>
        </w:pBdr>
        <w:tabs>
          <w:tab w:val="left" w:pos="1276"/>
        </w:tabs>
        <w:ind w:right="-7"/>
        <w:rPr>
          <w:rFonts w:eastAsia="Palatino Linotype" w:cs="Palatino Linotype"/>
          <w:b/>
          <w:szCs w:val="22"/>
          <w:u w:val="single"/>
        </w:rPr>
      </w:pPr>
      <w:r w:rsidRPr="00BC5CCA">
        <w:rPr>
          <w:rFonts w:eastAsia="Palatino Linotype" w:cs="Palatino Linotype"/>
          <w:szCs w:val="22"/>
        </w:rPr>
        <w:lastRenderedPageBreak/>
        <w:t xml:space="preserve">Señalado esto, se procede a contextualizar la información solicitada, para ello, es necesario traer a colación lo que establecen los artículos 26 y 27 de la Ley de Contratación Pública del Estado de México y Municipios, </w:t>
      </w:r>
      <w:r w:rsidRPr="00BC5CCA">
        <w:rPr>
          <w:rFonts w:eastAsia="Palatino Linotype" w:cs="Palatino Linotype"/>
          <w:b/>
          <w:szCs w:val="22"/>
          <w:u w:val="single"/>
        </w:rPr>
        <w:t>las adquisiciones, arrendamientos y servicios se adjudicarán a través de licitaciones públicas mediante convocatoria pública o bien, a través de las excepciones a dicho procedimiento</w:t>
      </w:r>
      <w:r w:rsidRPr="00BC5CCA">
        <w:rPr>
          <w:rFonts w:eastAsia="Palatino Linotype" w:cs="Palatino Linotype"/>
          <w:szCs w:val="22"/>
        </w:rPr>
        <w:t>, como se observa a continuación:</w:t>
      </w:r>
      <w:r w:rsidRPr="00BC5CCA">
        <w:rPr>
          <w:rFonts w:eastAsia="Palatino Linotype" w:cs="Palatino Linotype"/>
          <w:b/>
          <w:szCs w:val="22"/>
          <w:u w:val="single"/>
        </w:rPr>
        <w:t xml:space="preserve"> </w:t>
      </w:r>
    </w:p>
    <w:p w14:paraId="188AEA6C" w14:textId="77777777" w:rsidR="003C0A6D" w:rsidRPr="00BC5CCA" w:rsidRDefault="003C0A6D" w:rsidP="00BC5CCA">
      <w:pPr>
        <w:pBdr>
          <w:top w:val="nil"/>
          <w:left w:val="nil"/>
          <w:bottom w:val="nil"/>
          <w:right w:val="nil"/>
          <w:between w:val="nil"/>
        </w:pBdr>
        <w:ind w:right="-7"/>
        <w:rPr>
          <w:rFonts w:eastAsia="Palatino Linotype" w:cs="Palatino Linotype"/>
          <w:b/>
          <w:szCs w:val="22"/>
          <w:u w:val="single"/>
        </w:rPr>
      </w:pPr>
    </w:p>
    <w:p w14:paraId="244FE456" w14:textId="77777777" w:rsidR="003C0A6D" w:rsidRPr="00BC5CCA" w:rsidRDefault="003C0A6D" w:rsidP="00BC5CCA">
      <w:pPr>
        <w:pStyle w:val="Puesto"/>
        <w:jc w:val="center"/>
        <w:rPr>
          <w:rFonts w:eastAsia="Palatino Linotype"/>
          <w:b/>
        </w:rPr>
      </w:pPr>
      <w:r w:rsidRPr="00BC5CCA">
        <w:rPr>
          <w:rFonts w:eastAsia="Palatino Linotype"/>
          <w:b/>
        </w:rPr>
        <w:t>LEY DE CONTRATACIÓN PÚBLICA DEL ESTADO DE MÉXICO Y MUNICIPIO</w:t>
      </w:r>
    </w:p>
    <w:p w14:paraId="27F78C70" w14:textId="77777777" w:rsidR="003C0A6D" w:rsidRPr="00BC5CCA" w:rsidRDefault="003C0A6D" w:rsidP="00BC5CCA">
      <w:pPr>
        <w:pStyle w:val="Puesto"/>
        <w:jc w:val="center"/>
        <w:rPr>
          <w:rFonts w:eastAsia="Palatino Linotype"/>
          <w:b/>
        </w:rPr>
      </w:pPr>
    </w:p>
    <w:p w14:paraId="5ED36C51" w14:textId="77777777" w:rsidR="003C0A6D" w:rsidRPr="00BC5CCA" w:rsidRDefault="003C0A6D" w:rsidP="00BC5CCA">
      <w:pPr>
        <w:pStyle w:val="Puesto"/>
        <w:rPr>
          <w:rFonts w:eastAsia="Palatino Linotype"/>
        </w:rPr>
      </w:pPr>
      <w:r w:rsidRPr="00BC5CCA">
        <w:rPr>
          <w:rFonts w:eastAsia="Palatino Linotype"/>
          <w:b/>
        </w:rPr>
        <w:t>Artículo 26.-</w:t>
      </w:r>
      <w:r w:rsidRPr="00BC5CCA">
        <w:rPr>
          <w:rFonts w:eastAsia="Palatino Linotype"/>
        </w:rPr>
        <w:t xml:space="preserve"> Las adquisiciones, arrendamientos y servicios se adjudicarán a través de licitaciones públicas, mediante convocatoria pública. </w:t>
      </w:r>
    </w:p>
    <w:p w14:paraId="6FEF5223" w14:textId="77777777" w:rsidR="003C0A6D" w:rsidRPr="00BC5CCA" w:rsidRDefault="003C0A6D" w:rsidP="00BC5CCA">
      <w:pPr>
        <w:pStyle w:val="Puesto"/>
        <w:rPr>
          <w:rFonts w:eastAsia="Palatino Linotype"/>
        </w:rPr>
      </w:pPr>
    </w:p>
    <w:p w14:paraId="4B2F0C70" w14:textId="77777777" w:rsidR="003C0A6D" w:rsidRPr="00BC5CCA" w:rsidRDefault="003C0A6D" w:rsidP="00BC5CCA">
      <w:pPr>
        <w:pStyle w:val="Puesto"/>
        <w:rPr>
          <w:rFonts w:eastAsia="Palatino Linotype"/>
        </w:rPr>
      </w:pPr>
      <w:r w:rsidRPr="00BC5CCA">
        <w:rPr>
          <w:rFonts w:eastAsia="Palatino Linotype"/>
          <w:b/>
        </w:rPr>
        <w:t>Artículo 27.-</w:t>
      </w:r>
      <w:r w:rsidRPr="00BC5CCA">
        <w:rPr>
          <w:rFonts w:eastAsia="Palatino Linotype"/>
        </w:rPr>
        <w:t xml:space="preserve"> La Secretaría, las entidades, los tribunales administrativos y los ayuntamientos podrán adjudicar adquisiciones, arrendamientos y servicios, mediante las excepciones al procedimiento de licitación que a continuación se señalan: </w:t>
      </w:r>
    </w:p>
    <w:p w14:paraId="66FD0B1D" w14:textId="77777777" w:rsidR="003C0A6D" w:rsidRPr="00BC5CCA" w:rsidRDefault="003C0A6D" w:rsidP="00BC5CCA">
      <w:pPr>
        <w:pStyle w:val="Puesto"/>
        <w:rPr>
          <w:rFonts w:eastAsia="Palatino Linotype"/>
        </w:rPr>
      </w:pPr>
      <w:r w:rsidRPr="00BC5CCA">
        <w:rPr>
          <w:rFonts w:eastAsia="Palatino Linotype"/>
        </w:rPr>
        <w:t xml:space="preserve">I. Invitación restringida. </w:t>
      </w:r>
    </w:p>
    <w:p w14:paraId="14A03CFE" w14:textId="77777777" w:rsidR="003C0A6D" w:rsidRPr="00BC5CCA" w:rsidRDefault="003C0A6D" w:rsidP="00BC5CCA">
      <w:pPr>
        <w:pStyle w:val="Puesto"/>
        <w:rPr>
          <w:rFonts w:eastAsia="Palatino Linotype"/>
        </w:rPr>
      </w:pPr>
      <w:r w:rsidRPr="00BC5CCA">
        <w:rPr>
          <w:rFonts w:eastAsia="Palatino Linotype"/>
        </w:rPr>
        <w:t>II. Adjudicación directa.</w:t>
      </w:r>
    </w:p>
    <w:p w14:paraId="62508D80" w14:textId="77777777" w:rsidR="003C0A6D" w:rsidRPr="00BC5CCA" w:rsidRDefault="003C0A6D" w:rsidP="00BC5CCA">
      <w:pPr>
        <w:ind w:left="567" w:right="560"/>
        <w:rPr>
          <w:rFonts w:eastAsia="Palatino Linotype" w:cs="Palatino Linotype"/>
          <w:i/>
          <w:szCs w:val="22"/>
        </w:rPr>
      </w:pPr>
    </w:p>
    <w:p w14:paraId="47514E4D" w14:textId="2E9A1E23" w:rsidR="003C0A6D" w:rsidRPr="00BC5CCA" w:rsidRDefault="003C0A6D" w:rsidP="00BC5CCA">
      <w:pPr>
        <w:ind w:right="49"/>
        <w:rPr>
          <w:rFonts w:eastAsia="Palatino Linotype" w:cs="Palatino Linotype"/>
          <w:szCs w:val="22"/>
        </w:rPr>
      </w:pPr>
      <w:r w:rsidRPr="00BC5CCA">
        <w:rPr>
          <w:rFonts w:eastAsia="Palatino Linotype" w:cs="Palatino Linotype"/>
          <w:szCs w:val="22"/>
        </w:rPr>
        <w:t xml:space="preserve">Respecto al procedimiento de </w:t>
      </w:r>
      <w:r w:rsidRPr="00BC5CCA">
        <w:rPr>
          <w:rFonts w:eastAsia="Palatino Linotype" w:cs="Palatino Linotype"/>
          <w:b/>
          <w:szCs w:val="22"/>
        </w:rPr>
        <w:t>licitación pública</w:t>
      </w:r>
      <w:r w:rsidRPr="00BC5CCA">
        <w:rPr>
          <w:rFonts w:eastAsia="Palatino Linotype" w:cs="Palatino Linotype"/>
          <w:szCs w:val="22"/>
        </w:rPr>
        <w:t xml:space="preserve">, es de mencionar </w:t>
      </w:r>
      <w:r w:rsidR="00940929" w:rsidRPr="00BC5CCA">
        <w:rPr>
          <w:rFonts w:eastAsia="Palatino Linotype" w:cs="Palatino Linotype"/>
          <w:szCs w:val="22"/>
        </w:rPr>
        <w:t>que,</w:t>
      </w:r>
      <w:r w:rsidRPr="00BC5CCA">
        <w:rPr>
          <w:rFonts w:eastAsia="Palatino Linotype" w:cs="Palatino Linotype"/>
          <w:szCs w:val="22"/>
        </w:rPr>
        <w:t xml:space="preserve"> de acuerdo con el Banco Interamericano de Desarrollo, la licitación es un procedimiento formal y competitivo de adquisiciones, mediante el cual se solicitan, reciben y evalúan ofertas para la adquisición de bienes, obras o servicios y se adjudica el contrato correspondiente al licitador que ofrezca la propuesta más ventajosa. (Desarrollo, 1995)</w:t>
      </w:r>
    </w:p>
    <w:p w14:paraId="1204B97B" w14:textId="77777777" w:rsidR="00A87905" w:rsidRPr="00BC5CCA" w:rsidRDefault="00A87905" w:rsidP="00BC5CCA">
      <w:pPr>
        <w:ind w:right="49"/>
        <w:rPr>
          <w:rFonts w:eastAsia="Palatino Linotype" w:cs="Palatino Linotype"/>
          <w:szCs w:val="22"/>
        </w:rPr>
      </w:pPr>
    </w:p>
    <w:p w14:paraId="4A5CA444" w14:textId="119747F9" w:rsidR="003C0A6D" w:rsidRPr="00BC5CCA" w:rsidRDefault="003C0A6D" w:rsidP="00BC5CCA">
      <w:pPr>
        <w:ind w:right="49"/>
        <w:rPr>
          <w:rFonts w:eastAsia="Palatino Linotype" w:cs="Palatino Linotype"/>
          <w:szCs w:val="22"/>
        </w:rPr>
      </w:pPr>
      <w:r w:rsidRPr="00BC5CCA">
        <w:rPr>
          <w:rFonts w:eastAsia="Palatino Linotype" w:cs="Palatino Linotype"/>
          <w:szCs w:val="22"/>
        </w:rPr>
        <w:t xml:space="preserve">Por cuanto hace a la </w:t>
      </w:r>
      <w:r w:rsidRPr="00BC5CCA">
        <w:rPr>
          <w:rFonts w:eastAsia="Palatino Linotype" w:cs="Palatino Linotype"/>
          <w:b/>
          <w:szCs w:val="22"/>
        </w:rPr>
        <w:t>adjudicación directa</w:t>
      </w:r>
      <w:r w:rsidRPr="00BC5CCA">
        <w:rPr>
          <w:rFonts w:eastAsia="Palatino Linotype" w:cs="Palatino Linotype"/>
          <w:szCs w:val="22"/>
        </w:rPr>
        <w:t xml:space="preserve">, la Secretaría de la Función Pública, establece que, es un procedimiento que se realiza sin puesta en concurrencia y, por ende, sin que exista competencia, adjudicándose el contrato a un proveedor que ha sido preseleccionado para tales efectos por la dependencia o entidad. </w:t>
      </w:r>
    </w:p>
    <w:p w14:paraId="5F16AD60" w14:textId="77777777" w:rsidR="003C0A6D" w:rsidRPr="00BC5CCA" w:rsidRDefault="003C0A6D" w:rsidP="00BC5CCA">
      <w:pPr>
        <w:ind w:right="49"/>
        <w:rPr>
          <w:rFonts w:eastAsia="Palatino Linotype" w:cs="Palatino Linotype"/>
          <w:szCs w:val="22"/>
        </w:rPr>
      </w:pPr>
    </w:p>
    <w:p w14:paraId="04063291" w14:textId="62F3A1FE" w:rsidR="003C0A6D" w:rsidRPr="00BC5CCA" w:rsidRDefault="003C0A6D" w:rsidP="00BC5CCA">
      <w:pPr>
        <w:ind w:right="49"/>
        <w:rPr>
          <w:rFonts w:eastAsia="Palatino Linotype" w:cs="Palatino Linotype"/>
          <w:szCs w:val="22"/>
        </w:rPr>
      </w:pPr>
      <w:r w:rsidRPr="00BC5CCA">
        <w:rPr>
          <w:rFonts w:eastAsia="Palatino Linotype" w:cs="Palatino Linotype"/>
          <w:szCs w:val="22"/>
        </w:rPr>
        <w:lastRenderedPageBreak/>
        <w:t xml:space="preserve">Por último, respecto a la </w:t>
      </w:r>
      <w:r w:rsidRPr="00BC5CCA">
        <w:rPr>
          <w:rFonts w:eastAsia="Palatino Linotype" w:cs="Palatino Linotype"/>
          <w:b/>
          <w:szCs w:val="22"/>
        </w:rPr>
        <w:t>invitación restringida a cuando menos tres proveedores</w:t>
      </w:r>
      <w:r w:rsidRPr="00BC5CCA">
        <w:rPr>
          <w:rFonts w:eastAsia="Palatino Linotype" w:cs="Palatino Linotype"/>
          <w:szCs w:val="22"/>
        </w:rPr>
        <w:t>, la Secretaría de la Contraloría precisa que es un procedimiento de excepción a la licitación pública que permite a las dependencias, unidades administrativas, órganos desconcentrados y entidades, en forma discrecional, realizar un procedimiento para adquirir, arrendar o contratar, invitando a por lo menos tres oferentes a presentar propuestas.</w:t>
      </w:r>
    </w:p>
    <w:p w14:paraId="7CCE8D5C" w14:textId="77777777" w:rsidR="003C0A6D" w:rsidRPr="00BC5CCA" w:rsidRDefault="003C0A6D" w:rsidP="00BC5CCA">
      <w:pPr>
        <w:ind w:right="49"/>
        <w:rPr>
          <w:rFonts w:eastAsia="Palatino Linotype" w:cs="Palatino Linotype"/>
          <w:szCs w:val="22"/>
        </w:rPr>
      </w:pPr>
    </w:p>
    <w:p w14:paraId="1B11F477" w14:textId="77777777" w:rsidR="003C0A6D" w:rsidRPr="00BC5CCA" w:rsidRDefault="003C0A6D" w:rsidP="00BC5CCA">
      <w:pPr>
        <w:ind w:right="49"/>
        <w:rPr>
          <w:rFonts w:eastAsia="Palatino Linotype" w:cs="Palatino Linotype"/>
          <w:szCs w:val="22"/>
        </w:rPr>
      </w:pPr>
      <w:r w:rsidRPr="00BC5CCA">
        <w:rPr>
          <w:rFonts w:eastAsia="Palatino Linotype" w:cs="Palatino Linotype"/>
          <w:szCs w:val="22"/>
        </w:rPr>
        <w:t xml:space="preserve">Por su parte, el Reglamento de la Ley de Contratación Pública del Estado de México y Municipios, precisa lo siguiente: </w:t>
      </w:r>
    </w:p>
    <w:p w14:paraId="1ADC3E64" w14:textId="77777777" w:rsidR="003C0A6D" w:rsidRPr="00BC5CCA" w:rsidRDefault="003C0A6D" w:rsidP="00BC5CCA">
      <w:pPr>
        <w:ind w:right="49"/>
        <w:rPr>
          <w:rFonts w:eastAsia="Palatino Linotype" w:cs="Palatino Linotype"/>
          <w:szCs w:val="22"/>
        </w:rPr>
      </w:pPr>
    </w:p>
    <w:p w14:paraId="0E524EE8" w14:textId="77777777" w:rsidR="003C0A6D" w:rsidRPr="00BC5CCA" w:rsidRDefault="003C0A6D" w:rsidP="00BC5CCA">
      <w:pPr>
        <w:pStyle w:val="Puesto"/>
        <w:rPr>
          <w:rFonts w:eastAsia="Palatino Linotype"/>
        </w:rPr>
      </w:pPr>
      <w:r w:rsidRPr="00BC5CCA">
        <w:rPr>
          <w:rFonts w:eastAsia="Palatino Linotype"/>
          <w:b/>
        </w:rPr>
        <w:t xml:space="preserve">Artículo 2. - </w:t>
      </w:r>
      <w:r w:rsidRPr="00BC5CCA">
        <w:rPr>
          <w:rFonts w:eastAsia="Palatino Linotype"/>
        </w:rPr>
        <w:t>Para los efectos de este Reglamento, se entenderá por:</w:t>
      </w:r>
    </w:p>
    <w:p w14:paraId="06A9E630" w14:textId="77777777" w:rsidR="003C0A6D" w:rsidRPr="00BC5CCA" w:rsidRDefault="003C0A6D" w:rsidP="00BC5CCA">
      <w:pPr>
        <w:pStyle w:val="Puesto"/>
        <w:rPr>
          <w:rFonts w:eastAsia="Palatino Linotype"/>
        </w:rPr>
      </w:pPr>
    </w:p>
    <w:p w14:paraId="3EF072FD" w14:textId="77777777" w:rsidR="003C0A6D" w:rsidRPr="00BC5CCA" w:rsidRDefault="003C0A6D" w:rsidP="00BC5CCA">
      <w:pPr>
        <w:pStyle w:val="Puesto"/>
        <w:rPr>
          <w:rFonts w:eastAsia="Palatino Linotype"/>
        </w:rPr>
      </w:pPr>
      <w:r w:rsidRPr="00BC5CCA">
        <w:rPr>
          <w:rFonts w:eastAsia="Palatino Linotype"/>
        </w:rPr>
        <w:t xml:space="preserve">I. </w:t>
      </w:r>
      <w:r w:rsidRPr="00BC5CCA">
        <w:rPr>
          <w:rFonts w:eastAsia="Palatino Linotype"/>
          <w:b/>
        </w:rPr>
        <w:t>Adjudicación directa:</w:t>
      </w:r>
      <w:r w:rsidRPr="00BC5CCA">
        <w:rPr>
          <w:rFonts w:eastAsia="Palatino Linotype"/>
        </w:rPr>
        <w:t xml:space="preserve"> Excepción al procedimiento de licitación pública para la adquisición de bienes, enajenación o arrendamiento de bienes, o la contratación de servicios en el que la convocante, designa al proveedor de bienes, arrendador, comprador o prestador del servicio, con base en las mejores condiciones en cuanto a precio, calidad, financiamiento, oportunidad y demás circunstancias pertinentes.</w:t>
      </w:r>
    </w:p>
    <w:p w14:paraId="29782C8D" w14:textId="77777777" w:rsidR="003C0A6D" w:rsidRPr="00BC5CCA" w:rsidRDefault="003C0A6D" w:rsidP="00BC5CCA">
      <w:pPr>
        <w:pStyle w:val="Puesto"/>
        <w:rPr>
          <w:rFonts w:eastAsia="Palatino Linotype"/>
        </w:rPr>
      </w:pPr>
      <w:r w:rsidRPr="00BC5CCA">
        <w:rPr>
          <w:rFonts w:eastAsia="Palatino Linotype"/>
        </w:rPr>
        <w:t>…</w:t>
      </w:r>
    </w:p>
    <w:p w14:paraId="0251F27F" w14:textId="77777777" w:rsidR="003C0A6D" w:rsidRPr="00BC5CCA" w:rsidRDefault="003C0A6D" w:rsidP="00BC5CCA">
      <w:pPr>
        <w:pStyle w:val="Puesto"/>
        <w:rPr>
          <w:rFonts w:eastAsia="Palatino Linotype"/>
        </w:rPr>
      </w:pPr>
      <w:r w:rsidRPr="00BC5CCA">
        <w:rPr>
          <w:rFonts w:eastAsia="Palatino Linotype"/>
        </w:rPr>
        <w:t>XII.</w:t>
      </w:r>
      <w:r w:rsidRPr="00BC5CCA">
        <w:rPr>
          <w:rFonts w:eastAsia="Palatino Linotype"/>
        </w:rPr>
        <w:tab/>
      </w:r>
      <w:r w:rsidRPr="00BC5CCA">
        <w:rPr>
          <w:rFonts w:eastAsia="Palatino Linotype"/>
          <w:b/>
        </w:rPr>
        <w:t>Invitación restringida:</w:t>
      </w:r>
      <w:r w:rsidRPr="00BC5CCA">
        <w:rPr>
          <w:rFonts w:eastAsia="Palatino Linotype"/>
        </w:rPr>
        <w:t xml:space="preserve"> Excepción al procedimiento de licitación pública, mediante el cual la Secretaría, organismos auxiliares, tribunales administrativos o municipios adquieren bienes muebles y contratan servicios, a través de la invitación a cuando menos tres personas, para obtener las mejores condiciones en cuanto a precio, calidad, financiamiento, oportunidad y demás circunstancias pertinentes, en términos de la Ley y del presente Reglamento.</w:t>
      </w:r>
    </w:p>
    <w:p w14:paraId="1CD09A60" w14:textId="77777777" w:rsidR="003C0A6D" w:rsidRPr="00BC5CCA" w:rsidRDefault="003C0A6D" w:rsidP="00BC5CCA">
      <w:pPr>
        <w:pStyle w:val="Puesto"/>
        <w:rPr>
          <w:rFonts w:eastAsia="Palatino Linotype"/>
        </w:rPr>
      </w:pPr>
      <w:r w:rsidRPr="00BC5CCA">
        <w:rPr>
          <w:rFonts w:eastAsia="Palatino Linotype"/>
        </w:rPr>
        <w:t>…</w:t>
      </w:r>
    </w:p>
    <w:p w14:paraId="09BF1D1D" w14:textId="11C768EB" w:rsidR="003C0A6D" w:rsidRPr="00BC5CCA" w:rsidRDefault="003C0A6D" w:rsidP="00BC5CCA">
      <w:pPr>
        <w:pStyle w:val="Puesto"/>
        <w:rPr>
          <w:rFonts w:eastAsia="Palatino Linotype"/>
        </w:rPr>
      </w:pPr>
      <w:r w:rsidRPr="00BC5CCA">
        <w:rPr>
          <w:rFonts w:eastAsia="Palatino Linotype"/>
        </w:rPr>
        <w:t>XIV.</w:t>
      </w:r>
      <w:r w:rsidRPr="00BC5CCA">
        <w:rPr>
          <w:rFonts w:eastAsia="Palatino Linotype"/>
        </w:rPr>
        <w:tab/>
      </w:r>
      <w:r w:rsidRPr="00BC5CCA">
        <w:rPr>
          <w:rFonts w:eastAsia="Palatino Linotype"/>
          <w:b/>
        </w:rPr>
        <w:t>Licitación pública:</w:t>
      </w:r>
      <w:r w:rsidRPr="00BC5CCA">
        <w:rPr>
          <w:rFonts w:eastAsia="Palatino Linotype"/>
        </w:rPr>
        <w:t xml:space="preserve"> Modalidad de adquisición de bienes y contratación de servicios, mediante convocatoria</w:t>
      </w:r>
      <w:r w:rsidRPr="00BC5CCA">
        <w:rPr>
          <w:rFonts w:eastAsia="Palatino Linotype"/>
        </w:rPr>
        <w:tab/>
        <w:t>pública que realicen la Secretaría, organismos auxiliares, tribunales administrativos o municipios, por el que se aseguran las mejores condiciones en cuanto a precio, calidad, financiamient</w:t>
      </w:r>
      <w:r w:rsidR="00831F72" w:rsidRPr="00BC5CCA">
        <w:rPr>
          <w:rFonts w:eastAsia="Palatino Linotype"/>
        </w:rPr>
        <w:t>o, oportunidad y demás circunst</w:t>
      </w:r>
      <w:r w:rsidRPr="00BC5CCA">
        <w:rPr>
          <w:rFonts w:eastAsia="Palatino Linotype"/>
        </w:rPr>
        <w:t>ancias pertinentes.</w:t>
      </w:r>
    </w:p>
    <w:p w14:paraId="03CC898D" w14:textId="77777777" w:rsidR="003C0A6D" w:rsidRPr="00BC5CCA" w:rsidRDefault="003C0A6D" w:rsidP="00BC5CCA">
      <w:pPr>
        <w:pStyle w:val="Puesto"/>
        <w:rPr>
          <w:rFonts w:eastAsia="Palatino Linotype"/>
        </w:rPr>
      </w:pPr>
      <w:r w:rsidRPr="00BC5CCA">
        <w:rPr>
          <w:rFonts w:eastAsia="Palatino Linotype"/>
        </w:rPr>
        <w:t>…</w:t>
      </w:r>
    </w:p>
    <w:p w14:paraId="58C5998C" w14:textId="77777777" w:rsidR="003C0A6D" w:rsidRPr="00BC5CCA" w:rsidRDefault="003C0A6D" w:rsidP="00BC5CCA">
      <w:pPr>
        <w:pStyle w:val="Puesto"/>
        <w:rPr>
          <w:rFonts w:eastAsia="Palatino Linotype"/>
        </w:rPr>
      </w:pPr>
      <w:r w:rsidRPr="00BC5CCA">
        <w:rPr>
          <w:rFonts w:eastAsia="Palatino Linotype"/>
        </w:rPr>
        <w:t>XXI.</w:t>
      </w:r>
      <w:r w:rsidRPr="00BC5CCA">
        <w:rPr>
          <w:rFonts w:eastAsia="Palatino Linotype"/>
        </w:rPr>
        <w:tab/>
      </w:r>
      <w:r w:rsidRPr="00BC5CCA">
        <w:rPr>
          <w:rFonts w:eastAsia="Palatino Linotype"/>
          <w:b/>
        </w:rPr>
        <w:t>Procedimiento de adquisición:</w:t>
      </w:r>
      <w:r w:rsidRPr="00BC5CCA">
        <w:rPr>
          <w:rFonts w:eastAsia="Palatino Linotype"/>
        </w:rPr>
        <w:t xml:space="preserve"> Conjunto de etapas por las que la Secretaría, las dependencias, organismos auxiliares, tribunales administrativos o municipios , adquieren bienes, contratan servicios o  adquieren  en  arrendamiento bienes  inmuebles  para  el cumplimiento  de  sus funciones, programas y acciones.</w:t>
      </w:r>
    </w:p>
    <w:p w14:paraId="2FA079F6" w14:textId="77777777" w:rsidR="003C0A6D" w:rsidRPr="00BC5CCA" w:rsidRDefault="003C0A6D" w:rsidP="00BC5CCA">
      <w:pPr>
        <w:pStyle w:val="Puesto"/>
        <w:rPr>
          <w:rFonts w:eastAsia="Palatino Linotype"/>
        </w:rPr>
      </w:pPr>
      <w:r w:rsidRPr="00BC5CCA">
        <w:rPr>
          <w:rFonts w:eastAsia="Palatino Linotype"/>
        </w:rPr>
        <w:t>…</w:t>
      </w:r>
    </w:p>
    <w:p w14:paraId="3A738DA3" w14:textId="77777777" w:rsidR="003C0A6D" w:rsidRPr="00BC5CCA" w:rsidRDefault="003C0A6D" w:rsidP="00BC5CCA">
      <w:pPr>
        <w:ind w:left="567" w:right="616"/>
        <w:rPr>
          <w:rFonts w:eastAsia="Palatino Linotype" w:cs="Palatino Linotype"/>
          <w:i/>
          <w:szCs w:val="22"/>
        </w:rPr>
      </w:pPr>
    </w:p>
    <w:p w14:paraId="7E0D73B0" w14:textId="77777777" w:rsidR="003C0A6D" w:rsidRPr="00BC5CCA" w:rsidRDefault="003C0A6D" w:rsidP="00BC5CCA">
      <w:pPr>
        <w:rPr>
          <w:rFonts w:eastAsia="Palatino Linotype" w:cs="Palatino Linotype"/>
          <w:szCs w:val="22"/>
        </w:rPr>
      </w:pPr>
      <w:r w:rsidRPr="00BC5CCA">
        <w:rPr>
          <w:rFonts w:eastAsia="Palatino Linotype" w:cs="Palatino Linotype"/>
          <w:szCs w:val="22"/>
        </w:rPr>
        <w:t xml:space="preserve">En lo que respecta a la materia del derecho de acceso a la información pública, es de destacar que de acuerdo con lo que establece el artículo 92, fracción XXIX de la Ley de Transparencia y Acceso a la Información Pública del Estado de México y Municipios los sujetos obligados deben poner a disposición de los particulares la información relacionada con los procedimientos de contratación, tal como se puede apreciar a continuación: </w:t>
      </w:r>
    </w:p>
    <w:p w14:paraId="651C2018" w14:textId="77777777" w:rsidR="003C0A6D" w:rsidRPr="00BC5CCA" w:rsidRDefault="003C0A6D" w:rsidP="00BC5CCA">
      <w:pPr>
        <w:rPr>
          <w:rFonts w:eastAsia="Palatino Linotype" w:cs="Palatino Linotype"/>
          <w:szCs w:val="22"/>
        </w:rPr>
      </w:pPr>
    </w:p>
    <w:p w14:paraId="03082DFC" w14:textId="77777777" w:rsidR="003C0A6D" w:rsidRPr="00BC5CCA" w:rsidRDefault="003C0A6D" w:rsidP="00BC5CCA">
      <w:pPr>
        <w:pStyle w:val="Puesto"/>
        <w:rPr>
          <w:rFonts w:eastAsia="Palatino Linotype"/>
        </w:rPr>
      </w:pPr>
      <w:r w:rsidRPr="00BC5CCA">
        <w:rPr>
          <w:rFonts w:eastAsia="Palatino Linotype"/>
          <w:b/>
        </w:rPr>
        <w:t>Artículo 92.</w:t>
      </w:r>
      <w:r w:rsidRPr="00BC5CCA">
        <w:rPr>
          <w:rFonts w:eastAsia="Palatino Linotype"/>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BD8DA49" w14:textId="77777777" w:rsidR="003C0A6D" w:rsidRPr="00BC5CCA" w:rsidRDefault="003C0A6D" w:rsidP="00BC5CCA">
      <w:pPr>
        <w:pStyle w:val="Puesto"/>
        <w:rPr>
          <w:rFonts w:eastAsia="Palatino Linotype"/>
        </w:rPr>
      </w:pPr>
      <w:r w:rsidRPr="00BC5CCA">
        <w:rPr>
          <w:rFonts w:eastAsia="Palatino Linotype"/>
        </w:rPr>
        <w:t>…</w:t>
      </w:r>
    </w:p>
    <w:p w14:paraId="793B1622" w14:textId="77777777" w:rsidR="003C0A6D" w:rsidRPr="00BC5CCA" w:rsidRDefault="003C0A6D" w:rsidP="00BC5CCA">
      <w:pPr>
        <w:pStyle w:val="Puesto"/>
        <w:rPr>
          <w:rFonts w:eastAsia="Palatino Linotype"/>
        </w:rPr>
      </w:pPr>
      <w:r w:rsidRPr="00BC5CCA">
        <w:rPr>
          <w:rFonts w:eastAsia="Palatino Linotype"/>
          <w:b/>
        </w:rPr>
        <w:t>XXIX.</w:t>
      </w:r>
      <w:r w:rsidRPr="00BC5CCA">
        <w:rPr>
          <w:rFonts w:eastAsia="Palatino Linotype"/>
        </w:rPr>
        <w:t xml:space="preserve"> La información sobre los procesos y resultados sobre procedimientos de adjudicación directa invitación restringida y licitación de cualquier naturaleza, incluyendo la versión pública del expediente respectivo y de los contratos celebrados, que deberán contener, por los menos, lo siguiente: </w:t>
      </w:r>
    </w:p>
    <w:p w14:paraId="6ACD119B" w14:textId="77777777" w:rsidR="003C0A6D" w:rsidRPr="00BC5CCA" w:rsidRDefault="003C0A6D" w:rsidP="00BC5CCA">
      <w:pPr>
        <w:pStyle w:val="Puesto"/>
        <w:rPr>
          <w:rFonts w:eastAsia="Palatino Linotype"/>
          <w:b/>
          <w:u w:val="single"/>
        </w:rPr>
      </w:pPr>
      <w:r w:rsidRPr="00BC5CCA">
        <w:rPr>
          <w:rFonts w:eastAsia="Palatino Linotype"/>
          <w:b/>
          <w:u w:val="single"/>
        </w:rPr>
        <w:t xml:space="preserve">a) De licitaciones públicas o procedimientos de invitación restringida: </w:t>
      </w:r>
    </w:p>
    <w:p w14:paraId="58295FDE" w14:textId="77777777" w:rsidR="003C0A6D" w:rsidRPr="00BC5CCA" w:rsidRDefault="003C0A6D" w:rsidP="00BC5CCA">
      <w:pPr>
        <w:pStyle w:val="Puesto"/>
        <w:rPr>
          <w:rFonts w:eastAsia="Palatino Linotype"/>
        </w:rPr>
      </w:pPr>
      <w:r w:rsidRPr="00BC5CCA">
        <w:rPr>
          <w:rFonts w:eastAsia="Palatino Linotype"/>
        </w:rPr>
        <w:t xml:space="preserve">1) La convocatoria o invitación emitida, así como los fundamentos legales aplicados para llevarla a cabo; </w:t>
      </w:r>
    </w:p>
    <w:p w14:paraId="464FAB87" w14:textId="77777777" w:rsidR="003C0A6D" w:rsidRPr="00BC5CCA" w:rsidRDefault="003C0A6D" w:rsidP="00BC5CCA">
      <w:pPr>
        <w:pStyle w:val="Puesto"/>
        <w:rPr>
          <w:rFonts w:eastAsia="Palatino Linotype"/>
        </w:rPr>
      </w:pPr>
      <w:r w:rsidRPr="00BC5CCA">
        <w:rPr>
          <w:rFonts w:eastAsia="Palatino Linotype"/>
        </w:rPr>
        <w:t xml:space="preserve">2) Los nombres de los participantes o invitados; </w:t>
      </w:r>
    </w:p>
    <w:p w14:paraId="797438C0" w14:textId="77777777" w:rsidR="003C0A6D" w:rsidRPr="00BC5CCA" w:rsidRDefault="003C0A6D" w:rsidP="00BC5CCA">
      <w:pPr>
        <w:pStyle w:val="Puesto"/>
        <w:rPr>
          <w:rFonts w:eastAsia="Palatino Linotype"/>
        </w:rPr>
      </w:pPr>
      <w:r w:rsidRPr="00BC5CCA">
        <w:rPr>
          <w:rFonts w:eastAsia="Palatino Linotype"/>
        </w:rPr>
        <w:t xml:space="preserve">3) El nombre del ganador y las razones que lo justifican; </w:t>
      </w:r>
    </w:p>
    <w:p w14:paraId="7AB20E5D" w14:textId="77777777" w:rsidR="003C0A6D" w:rsidRPr="00BC5CCA" w:rsidRDefault="003C0A6D" w:rsidP="00BC5CCA">
      <w:pPr>
        <w:pStyle w:val="Puesto"/>
        <w:rPr>
          <w:rFonts w:eastAsia="Palatino Linotype"/>
        </w:rPr>
      </w:pPr>
      <w:r w:rsidRPr="00BC5CCA">
        <w:rPr>
          <w:rFonts w:eastAsia="Palatino Linotype"/>
        </w:rPr>
        <w:t xml:space="preserve">4) El área solicitante y la responsable de su ejecución; </w:t>
      </w:r>
    </w:p>
    <w:p w14:paraId="1BDE064A" w14:textId="77777777" w:rsidR="003C0A6D" w:rsidRPr="00BC5CCA" w:rsidRDefault="003C0A6D" w:rsidP="00BC5CCA">
      <w:pPr>
        <w:pStyle w:val="Puesto"/>
        <w:rPr>
          <w:rFonts w:eastAsia="Palatino Linotype"/>
        </w:rPr>
      </w:pPr>
      <w:r w:rsidRPr="00BC5CCA">
        <w:rPr>
          <w:rFonts w:eastAsia="Palatino Linotype"/>
        </w:rPr>
        <w:t xml:space="preserve">5) Las convocatorias e invitaciones emitidas; </w:t>
      </w:r>
    </w:p>
    <w:p w14:paraId="2FA40C24" w14:textId="77777777" w:rsidR="003C0A6D" w:rsidRPr="00BC5CCA" w:rsidRDefault="003C0A6D" w:rsidP="00BC5CCA">
      <w:pPr>
        <w:pStyle w:val="Puesto"/>
        <w:rPr>
          <w:rFonts w:eastAsia="Palatino Linotype"/>
          <w:b/>
          <w:u w:val="single"/>
        </w:rPr>
      </w:pPr>
      <w:r w:rsidRPr="00BC5CCA">
        <w:rPr>
          <w:rFonts w:eastAsia="Palatino Linotype"/>
          <w:b/>
          <w:u w:val="single"/>
        </w:rPr>
        <w:t xml:space="preserve">6) Los dictámenes y fallo de adjudicación; </w:t>
      </w:r>
    </w:p>
    <w:p w14:paraId="437290F4" w14:textId="77777777" w:rsidR="003C0A6D" w:rsidRPr="00BC5CCA" w:rsidRDefault="003C0A6D" w:rsidP="00BC5CCA">
      <w:pPr>
        <w:pStyle w:val="Puesto"/>
        <w:rPr>
          <w:rFonts w:eastAsia="Palatino Linotype"/>
        </w:rPr>
      </w:pPr>
      <w:r w:rsidRPr="00BC5CCA">
        <w:rPr>
          <w:rFonts w:eastAsia="Palatino Linotype"/>
        </w:rPr>
        <w:t xml:space="preserve">7) El contrato y, en su caso, sus anexos; </w:t>
      </w:r>
    </w:p>
    <w:p w14:paraId="1D2FAC3F" w14:textId="77777777" w:rsidR="003C0A6D" w:rsidRPr="00BC5CCA" w:rsidRDefault="003C0A6D" w:rsidP="00BC5CCA">
      <w:pPr>
        <w:pStyle w:val="Puesto"/>
        <w:rPr>
          <w:rFonts w:eastAsia="Palatino Linotype"/>
        </w:rPr>
      </w:pPr>
      <w:r w:rsidRPr="00BC5CCA">
        <w:rPr>
          <w:rFonts w:eastAsia="Palatino Linotype"/>
        </w:rPr>
        <w:t xml:space="preserve">8) Los mecanismos de vigilancia y supervisión, incluyendo en su caso, los estudios de impacto urbano y ambiental, según corresponda; </w:t>
      </w:r>
    </w:p>
    <w:p w14:paraId="48EFAAED" w14:textId="77777777" w:rsidR="003C0A6D" w:rsidRPr="00BC5CCA" w:rsidRDefault="003C0A6D" w:rsidP="00BC5CCA">
      <w:pPr>
        <w:pStyle w:val="Puesto"/>
        <w:rPr>
          <w:rFonts w:eastAsia="Palatino Linotype"/>
        </w:rPr>
      </w:pPr>
      <w:r w:rsidRPr="00BC5CCA">
        <w:rPr>
          <w:rFonts w:eastAsia="Palatino Linotype"/>
        </w:rPr>
        <w:t xml:space="preserve">9) La partida presupuestal, de conformidad con el clasificador por objeto del gasto, en el caso de ser aplicable; </w:t>
      </w:r>
    </w:p>
    <w:p w14:paraId="2D7D2F39" w14:textId="77777777" w:rsidR="003C0A6D" w:rsidRPr="00BC5CCA" w:rsidRDefault="003C0A6D" w:rsidP="00BC5CCA">
      <w:pPr>
        <w:pStyle w:val="Puesto"/>
        <w:rPr>
          <w:rFonts w:eastAsia="Palatino Linotype"/>
        </w:rPr>
      </w:pPr>
      <w:r w:rsidRPr="00BC5CCA">
        <w:rPr>
          <w:rFonts w:eastAsia="Palatino Linotype"/>
        </w:rPr>
        <w:t xml:space="preserve">10) Origen de los recursos especificando si son federales, estatales o municipales, así como el tipo de fondo de participación o aportación respectiva; </w:t>
      </w:r>
    </w:p>
    <w:p w14:paraId="3689717A" w14:textId="77777777" w:rsidR="003C0A6D" w:rsidRPr="00BC5CCA" w:rsidRDefault="003C0A6D" w:rsidP="00BC5CCA">
      <w:pPr>
        <w:pStyle w:val="Puesto"/>
        <w:rPr>
          <w:rFonts w:eastAsia="Palatino Linotype"/>
        </w:rPr>
      </w:pPr>
      <w:r w:rsidRPr="00BC5CCA">
        <w:rPr>
          <w:rFonts w:eastAsia="Palatino Linotype"/>
        </w:rPr>
        <w:t xml:space="preserve">11) Los convenios modificatorios que, en su caso, sean firmados, precisando el objeto y la fecha de celebración; </w:t>
      </w:r>
    </w:p>
    <w:p w14:paraId="51D33201" w14:textId="77777777" w:rsidR="003C0A6D" w:rsidRPr="00BC5CCA" w:rsidRDefault="003C0A6D" w:rsidP="00BC5CCA">
      <w:pPr>
        <w:pStyle w:val="Puesto"/>
        <w:rPr>
          <w:rFonts w:eastAsia="Palatino Linotype"/>
        </w:rPr>
      </w:pPr>
      <w:r w:rsidRPr="00BC5CCA">
        <w:rPr>
          <w:rFonts w:eastAsia="Palatino Linotype"/>
        </w:rPr>
        <w:t xml:space="preserve">12) Los informes de avance físico y financiero sobre las obras o servicios contratados; </w:t>
      </w:r>
    </w:p>
    <w:p w14:paraId="2E3244A7" w14:textId="77777777" w:rsidR="003C0A6D" w:rsidRPr="00BC5CCA" w:rsidRDefault="003C0A6D" w:rsidP="00BC5CCA">
      <w:pPr>
        <w:pStyle w:val="Puesto"/>
        <w:rPr>
          <w:rFonts w:eastAsia="Palatino Linotype"/>
        </w:rPr>
      </w:pPr>
      <w:r w:rsidRPr="00BC5CCA">
        <w:rPr>
          <w:rFonts w:eastAsia="Palatino Linotype"/>
        </w:rPr>
        <w:lastRenderedPageBreak/>
        <w:t xml:space="preserve">13) El convenio de terminación; y </w:t>
      </w:r>
    </w:p>
    <w:p w14:paraId="598090E9" w14:textId="77777777" w:rsidR="003C0A6D" w:rsidRPr="00BC5CCA" w:rsidRDefault="003C0A6D" w:rsidP="00BC5CCA">
      <w:pPr>
        <w:pStyle w:val="Puesto"/>
        <w:rPr>
          <w:rFonts w:eastAsia="Palatino Linotype"/>
        </w:rPr>
      </w:pPr>
      <w:r w:rsidRPr="00BC5CCA">
        <w:rPr>
          <w:rFonts w:eastAsia="Palatino Linotype"/>
        </w:rPr>
        <w:t xml:space="preserve">14) El finiquito. </w:t>
      </w:r>
    </w:p>
    <w:p w14:paraId="3444171B" w14:textId="77777777" w:rsidR="003C0A6D" w:rsidRPr="00BC5CCA" w:rsidRDefault="003C0A6D" w:rsidP="00BC5CCA">
      <w:pPr>
        <w:pStyle w:val="Puesto"/>
        <w:rPr>
          <w:rFonts w:eastAsia="Palatino Linotype"/>
        </w:rPr>
      </w:pPr>
    </w:p>
    <w:p w14:paraId="33374632" w14:textId="77777777" w:rsidR="003C0A6D" w:rsidRPr="00BC5CCA" w:rsidRDefault="003C0A6D" w:rsidP="00BC5CCA">
      <w:pPr>
        <w:pStyle w:val="Puesto"/>
        <w:rPr>
          <w:rFonts w:eastAsia="Palatino Linotype"/>
          <w:b/>
          <w:u w:val="single"/>
        </w:rPr>
      </w:pPr>
      <w:r w:rsidRPr="00BC5CCA">
        <w:rPr>
          <w:rFonts w:eastAsia="Palatino Linotype"/>
          <w:b/>
          <w:u w:val="single"/>
        </w:rPr>
        <w:t xml:space="preserve">b) De las adjudicaciones directas: </w:t>
      </w:r>
    </w:p>
    <w:p w14:paraId="6A8CA867" w14:textId="77777777" w:rsidR="003C0A6D" w:rsidRPr="00BC5CCA" w:rsidRDefault="003C0A6D" w:rsidP="00BC5CCA">
      <w:pPr>
        <w:pStyle w:val="Puesto"/>
        <w:rPr>
          <w:rFonts w:eastAsia="Palatino Linotype"/>
        </w:rPr>
      </w:pPr>
      <w:r w:rsidRPr="00BC5CCA">
        <w:rPr>
          <w:rFonts w:eastAsia="Palatino Linotype"/>
        </w:rPr>
        <w:t xml:space="preserve">1) La propuesta enviada por el participante; </w:t>
      </w:r>
    </w:p>
    <w:p w14:paraId="3125791F" w14:textId="77777777" w:rsidR="003C0A6D" w:rsidRPr="00BC5CCA" w:rsidRDefault="003C0A6D" w:rsidP="00BC5CCA">
      <w:pPr>
        <w:pStyle w:val="Puesto"/>
        <w:rPr>
          <w:rFonts w:eastAsia="Palatino Linotype"/>
        </w:rPr>
      </w:pPr>
      <w:r w:rsidRPr="00BC5CCA">
        <w:rPr>
          <w:rFonts w:eastAsia="Palatino Linotype"/>
        </w:rPr>
        <w:t xml:space="preserve">2) Los motivos y fundamentos legales aplicados para llevarla a cabo; </w:t>
      </w:r>
    </w:p>
    <w:p w14:paraId="05A45DDA" w14:textId="77777777" w:rsidR="003C0A6D" w:rsidRPr="00BC5CCA" w:rsidRDefault="003C0A6D" w:rsidP="00BC5CCA">
      <w:pPr>
        <w:pStyle w:val="Puesto"/>
        <w:rPr>
          <w:rFonts w:eastAsia="Palatino Linotype"/>
        </w:rPr>
      </w:pPr>
      <w:r w:rsidRPr="00BC5CCA">
        <w:rPr>
          <w:rFonts w:eastAsia="Palatino Linotype"/>
        </w:rPr>
        <w:t xml:space="preserve">3) La autorización del ejercicio de la opción; </w:t>
      </w:r>
    </w:p>
    <w:p w14:paraId="0DB12188" w14:textId="77777777" w:rsidR="003C0A6D" w:rsidRPr="00BC5CCA" w:rsidRDefault="003C0A6D" w:rsidP="00BC5CCA">
      <w:pPr>
        <w:pStyle w:val="Puesto"/>
        <w:rPr>
          <w:rFonts w:eastAsia="Palatino Linotype"/>
        </w:rPr>
      </w:pPr>
      <w:r w:rsidRPr="00BC5CCA">
        <w:rPr>
          <w:rFonts w:eastAsia="Palatino Linotype"/>
        </w:rPr>
        <w:t xml:space="preserve">4) En su caso, las cotizaciones consideradas, especificando los nombres de los proveedores y sus montos; </w:t>
      </w:r>
    </w:p>
    <w:p w14:paraId="5F600DC2" w14:textId="77777777" w:rsidR="003C0A6D" w:rsidRPr="00BC5CCA" w:rsidRDefault="003C0A6D" w:rsidP="00BC5CCA">
      <w:pPr>
        <w:pStyle w:val="Puesto"/>
        <w:rPr>
          <w:rFonts w:eastAsia="Palatino Linotype"/>
        </w:rPr>
      </w:pPr>
      <w:r w:rsidRPr="00BC5CCA">
        <w:rPr>
          <w:rFonts w:eastAsia="Palatino Linotype"/>
        </w:rPr>
        <w:t xml:space="preserve">5) El nombre de la persona física o jurídica colectiva adjudicada; </w:t>
      </w:r>
    </w:p>
    <w:p w14:paraId="02FCC3E4" w14:textId="77777777" w:rsidR="003C0A6D" w:rsidRPr="00BC5CCA" w:rsidRDefault="003C0A6D" w:rsidP="00BC5CCA">
      <w:pPr>
        <w:pStyle w:val="Puesto"/>
        <w:rPr>
          <w:rFonts w:eastAsia="Palatino Linotype"/>
        </w:rPr>
      </w:pPr>
      <w:r w:rsidRPr="00BC5CCA">
        <w:rPr>
          <w:rFonts w:eastAsia="Palatino Linotype"/>
        </w:rPr>
        <w:t xml:space="preserve">6) La unidad administrativa solicitante y la responsable de su ejecución; </w:t>
      </w:r>
    </w:p>
    <w:p w14:paraId="35F3B155" w14:textId="77777777" w:rsidR="003C0A6D" w:rsidRPr="00BC5CCA" w:rsidRDefault="003C0A6D" w:rsidP="00BC5CCA">
      <w:pPr>
        <w:pStyle w:val="Puesto"/>
        <w:rPr>
          <w:rFonts w:eastAsia="Palatino Linotype"/>
        </w:rPr>
      </w:pPr>
      <w:r w:rsidRPr="00BC5CCA">
        <w:rPr>
          <w:rFonts w:eastAsia="Palatino Linotype"/>
        </w:rPr>
        <w:t xml:space="preserve">7) El número, fecha, el monto del contrato y el plazo de entrega o de ejecución de los servicios u obra; </w:t>
      </w:r>
    </w:p>
    <w:p w14:paraId="60E6E9DD" w14:textId="77777777" w:rsidR="003C0A6D" w:rsidRPr="00BC5CCA" w:rsidRDefault="003C0A6D" w:rsidP="00BC5CCA">
      <w:pPr>
        <w:pStyle w:val="Puesto"/>
        <w:rPr>
          <w:rFonts w:eastAsia="Palatino Linotype"/>
        </w:rPr>
      </w:pPr>
      <w:r w:rsidRPr="00BC5CCA">
        <w:rPr>
          <w:rFonts w:eastAsia="Palatino Linotype"/>
        </w:rPr>
        <w:t xml:space="preserve">8) Los mecanismos de vigilancia y supervisión, incluyendo, en su caso, los estudios de impacto urbano y ambiental, según corresponda; </w:t>
      </w:r>
    </w:p>
    <w:p w14:paraId="15A6A7EB" w14:textId="77777777" w:rsidR="003C0A6D" w:rsidRPr="00BC5CCA" w:rsidRDefault="003C0A6D" w:rsidP="00BC5CCA">
      <w:pPr>
        <w:pStyle w:val="Puesto"/>
        <w:rPr>
          <w:rFonts w:eastAsia="Palatino Linotype"/>
        </w:rPr>
      </w:pPr>
      <w:r w:rsidRPr="00BC5CCA">
        <w:rPr>
          <w:rFonts w:eastAsia="Palatino Linotype"/>
        </w:rPr>
        <w:t xml:space="preserve">9) Los informes de avance sobre las obras o servicios contratados; </w:t>
      </w:r>
    </w:p>
    <w:p w14:paraId="358493AD" w14:textId="77777777" w:rsidR="003C0A6D" w:rsidRPr="00BC5CCA" w:rsidRDefault="003C0A6D" w:rsidP="00BC5CCA">
      <w:pPr>
        <w:pStyle w:val="Puesto"/>
        <w:rPr>
          <w:rFonts w:eastAsia="Palatino Linotype"/>
        </w:rPr>
      </w:pPr>
      <w:r w:rsidRPr="00BC5CCA">
        <w:rPr>
          <w:rFonts w:eastAsia="Palatino Linotype"/>
        </w:rPr>
        <w:t xml:space="preserve">10) El convenio de terminación; y </w:t>
      </w:r>
    </w:p>
    <w:p w14:paraId="3A221B41" w14:textId="77777777" w:rsidR="003C0A6D" w:rsidRPr="00BC5CCA" w:rsidRDefault="003C0A6D" w:rsidP="00BC5CCA">
      <w:pPr>
        <w:pStyle w:val="Puesto"/>
        <w:rPr>
          <w:rFonts w:eastAsia="Palatino Linotype"/>
        </w:rPr>
      </w:pPr>
      <w:r w:rsidRPr="00BC5CCA">
        <w:rPr>
          <w:rFonts w:eastAsia="Palatino Linotype"/>
        </w:rPr>
        <w:t>11) El finiquito.</w:t>
      </w:r>
    </w:p>
    <w:p w14:paraId="497C6A6C" w14:textId="77777777" w:rsidR="003C0A6D" w:rsidRPr="00BC5CCA" w:rsidRDefault="003C0A6D" w:rsidP="00BC5CCA">
      <w:pPr>
        <w:ind w:right="49"/>
        <w:rPr>
          <w:rFonts w:eastAsia="Palatino Linotype" w:cs="Palatino Linotype"/>
          <w:szCs w:val="22"/>
        </w:rPr>
      </w:pPr>
    </w:p>
    <w:p w14:paraId="450B9AF5" w14:textId="6E132EBB" w:rsidR="003C0A6D" w:rsidRPr="00BC5CCA" w:rsidRDefault="003C0A6D" w:rsidP="00BC5CCA">
      <w:pPr>
        <w:ind w:right="49"/>
        <w:rPr>
          <w:rFonts w:eastAsia="Palatino Linotype" w:cs="Palatino Linotype"/>
          <w:szCs w:val="22"/>
        </w:rPr>
      </w:pPr>
      <w:r w:rsidRPr="00BC5CCA">
        <w:rPr>
          <w:rFonts w:eastAsia="Palatino Linotype" w:cs="Palatino Linotype"/>
          <w:szCs w:val="22"/>
        </w:rPr>
        <w:t xml:space="preserve">Es </w:t>
      </w:r>
      <w:r w:rsidR="00A87905" w:rsidRPr="00BC5CCA">
        <w:rPr>
          <w:rFonts w:eastAsia="Palatino Linotype" w:cs="Palatino Linotype"/>
          <w:szCs w:val="22"/>
        </w:rPr>
        <w:t>este sentido</w:t>
      </w:r>
      <w:r w:rsidRPr="00BC5CCA">
        <w:rPr>
          <w:rFonts w:eastAsia="Palatino Linotype" w:cs="Palatino Linotype"/>
          <w:szCs w:val="22"/>
        </w:rPr>
        <w:t xml:space="preserve">, la información relacionada con estos procedimientos es información que se debe transparentar y poner a disposición del público, toda vez que se tratan de obligaciones de transparencia que todos los sujetos obligados deben acatar. </w:t>
      </w:r>
    </w:p>
    <w:p w14:paraId="69448E28" w14:textId="77777777" w:rsidR="003C0A6D" w:rsidRPr="00BC5CCA" w:rsidRDefault="003C0A6D" w:rsidP="00BC5CCA">
      <w:pPr>
        <w:pBdr>
          <w:top w:val="nil"/>
          <w:left w:val="nil"/>
          <w:bottom w:val="nil"/>
          <w:right w:val="nil"/>
          <w:between w:val="nil"/>
        </w:pBdr>
        <w:tabs>
          <w:tab w:val="left" w:pos="1276"/>
        </w:tabs>
        <w:ind w:right="-7"/>
        <w:rPr>
          <w:rFonts w:eastAsia="Palatino Linotype" w:cs="Palatino Linotype"/>
          <w:szCs w:val="22"/>
        </w:rPr>
      </w:pPr>
    </w:p>
    <w:p w14:paraId="41D4A656" w14:textId="5C081DAC" w:rsidR="003236FF" w:rsidRPr="00BC5CCA" w:rsidRDefault="003C0A6D" w:rsidP="00BC5CCA">
      <w:pPr>
        <w:pBdr>
          <w:top w:val="nil"/>
          <w:left w:val="nil"/>
          <w:bottom w:val="nil"/>
          <w:right w:val="nil"/>
          <w:between w:val="nil"/>
        </w:pBdr>
        <w:tabs>
          <w:tab w:val="left" w:pos="1276"/>
        </w:tabs>
        <w:ind w:right="-7"/>
        <w:rPr>
          <w:szCs w:val="22"/>
        </w:rPr>
      </w:pPr>
      <w:r w:rsidRPr="00BC5CCA">
        <w:rPr>
          <w:rFonts w:eastAsia="Palatino Linotype" w:cs="Palatino Linotype"/>
          <w:szCs w:val="22"/>
        </w:rPr>
        <w:t>Ahora bien, es necesario</w:t>
      </w:r>
      <w:r w:rsidR="005424CA" w:rsidRPr="00BC5CCA">
        <w:rPr>
          <w:rFonts w:eastAsia="Palatino Linotype" w:cs="Palatino Linotype"/>
          <w:szCs w:val="22"/>
        </w:rPr>
        <w:t xml:space="preserve"> realizar un paréntesis para </w:t>
      </w:r>
      <w:r w:rsidRPr="00BC5CCA">
        <w:rPr>
          <w:rFonts w:eastAsia="Palatino Linotype" w:cs="Palatino Linotype"/>
          <w:szCs w:val="22"/>
        </w:rPr>
        <w:t xml:space="preserve">mencionar que los particulares no son expertos en la materia, </w:t>
      </w:r>
      <w:r w:rsidR="00CB0D77" w:rsidRPr="00BC5CCA">
        <w:rPr>
          <w:rFonts w:eastAsia="Palatino Linotype" w:cs="Palatino Linotype"/>
          <w:szCs w:val="22"/>
        </w:rPr>
        <w:t>ya que</w:t>
      </w:r>
      <w:r w:rsidRPr="00BC5CCA">
        <w:rPr>
          <w:rFonts w:eastAsia="Palatino Linotype" w:cs="Palatino Linotype"/>
          <w:szCs w:val="22"/>
        </w:rPr>
        <w:t xml:space="preserve">, el ahora Recurrente puede desconocer </w:t>
      </w:r>
      <w:r w:rsidR="00A05AF5" w:rsidRPr="00BC5CCA">
        <w:rPr>
          <w:rFonts w:eastAsia="Palatino Linotype" w:cs="Palatino Linotype"/>
          <w:szCs w:val="22"/>
        </w:rPr>
        <w:t xml:space="preserve">el procedimiento </w:t>
      </w:r>
      <w:r w:rsidR="005424CA" w:rsidRPr="00BC5CCA">
        <w:rPr>
          <w:rFonts w:eastAsia="Palatino Linotype" w:cs="Palatino Linotype"/>
          <w:szCs w:val="22"/>
        </w:rPr>
        <w:t xml:space="preserve">para el otorgamiento de la realización de la “Feria del Caballo 2025”, pues esto resulta de interés, ya que de acuerdo a la solicitud de información, este es específico en peticionar el expediente de licitación y nombre de la empresa adjudicada; no obstante ello, </w:t>
      </w:r>
      <w:r w:rsidR="003236FF" w:rsidRPr="00BC5CCA">
        <w:rPr>
          <w:rFonts w:eastAsia="Palatino Linotype" w:cs="Palatino Linotype"/>
          <w:szCs w:val="22"/>
        </w:rPr>
        <w:t xml:space="preserve">los servidores públicos habilitados </w:t>
      </w:r>
      <w:r w:rsidR="005424CA" w:rsidRPr="00BC5CCA">
        <w:rPr>
          <w:rFonts w:eastAsia="Palatino Linotype" w:cs="Palatino Linotype"/>
          <w:szCs w:val="22"/>
        </w:rPr>
        <w:t xml:space="preserve">el </w:t>
      </w:r>
      <w:r w:rsidR="003236FF" w:rsidRPr="00BC5CCA">
        <w:rPr>
          <w:szCs w:val="22"/>
        </w:rPr>
        <w:t>Director General de Administración y el tesorero Municipal, informaron que esta se realizó por medio de un contrato que se encontraba en revisión y una vez que se concluyera dicho proceso</w:t>
      </w:r>
      <w:r w:rsidR="009748A1" w:rsidRPr="00BC5CCA">
        <w:rPr>
          <w:szCs w:val="22"/>
        </w:rPr>
        <w:t>,</w:t>
      </w:r>
      <w:r w:rsidR="003236FF" w:rsidRPr="00BC5CCA">
        <w:rPr>
          <w:szCs w:val="22"/>
        </w:rPr>
        <w:t xml:space="preserve"> se podría proporcionar la información.</w:t>
      </w:r>
    </w:p>
    <w:p w14:paraId="4B07F850" w14:textId="77777777" w:rsidR="003236FF" w:rsidRPr="00BC5CCA" w:rsidRDefault="003236FF" w:rsidP="00BC5CCA">
      <w:pPr>
        <w:pBdr>
          <w:top w:val="nil"/>
          <w:left w:val="nil"/>
          <w:bottom w:val="nil"/>
          <w:right w:val="nil"/>
          <w:between w:val="nil"/>
        </w:pBdr>
        <w:tabs>
          <w:tab w:val="left" w:pos="1276"/>
        </w:tabs>
        <w:ind w:right="-7"/>
        <w:rPr>
          <w:szCs w:val="22"/>
        </w:rPr>
      </w:pPr>
    </w:p>
    <w:p w14:paraId="6907AA34" w14:textId="3DBD5667" w:rsidR="00A05AF5" w:rsidRPr="00BC5CCA" w:rsidRDefault="003236FF" w:rsidP="00BC5CCA">
      <w:pPr>
        <w:pBdr>
          <w:top w:val="nil"/>
          <w:left w:val="nil"/>
          <w:bottom w:val="nil"/>
          <w:right w:val="nil"/>
          <w:between w:val="nil"/>
        </w:pBdr>
        <w:tabs>
          <w:tab w:val="left" w:pos="1276"/>
        </w:tabs>
        <w:ind w:right="-7"/>
        <w:rPr>
          <w:b/>
          <w:szCs w:val="22"/>
        </w:rPr>
      </w:pPr>
      <w:r w:rsidRPr="00BC5CCA">
        <w:rPr>
          <w:rFonts w:eastAsia="Palatino Linotype" w:cs="Palatino Linotype"/>
          <w:szCs w:val="22"/>
        </w:rPr>
        <w:lastRenderedPageBreak/>
        <w:t>Atento a lo anterior</w:t>
      </w:r>
      <w:r w:rsidR="00A87905" w:rsidRPr="00BC5CCA">
        <w:rPr>
          <w:rFonts w:eastAsia="Palatino Linotype" w:cs="Palatino Linotype"/>
          <w:szCs w:val="22"/>
        </w:rPr>
        <w:t>,</w:t>
      </w:r>
      <w:r w:rsidRPr="00BC5CCA">
        <w:rPr>
          <w:rFonts w:eastAsia="Palatino Linotype" w:cs="Palatino Linotype"/>
          <w:szCs w:val="22"/>
        </w:rPr>
        <w:t xml:space="preserve"> resulta procedente citar los artículos </w:t>
      </w:r>
      <w:r w:rsidRPr="00BC5CCA">
        <w:rPr>
          <w:szCs w:val="22"/>
        </w:rPr>
        <w:t>13</w:t>
      </w:r>
      <w:r w:rsidRPr="00BC5CCA">
        <w:rPr>
          <w:rStyle w:val="Refdenotaalpie"/>
          <w:rFonts w:eastAsiaTheme="majorEastAsia"/>
          <w:szCs w:val="22"/>
        </w:rPr>
        <w:footnoteReference w:id="1"/>
      </w:r>
      <w:r w:rsidRPr="00BC5CCA">
        <w:rPr>
          <w:szCs w:val="22"/>
        </w:rPr>
        <w:t xml:space="preserve"> y 181</w:t>
      </w:r>
      <w:r w:rsidRPr="00BC5CCA">
        <w:rPr>
          <w:rStyle w:val="Refdenotaalpie"/>
          <w:rFonts w:eastAsiaTheme="majorEastAsia"/>
          <w:szCs w:val="22"/>
        </w:rPr>
        <w:footnoteReference w:id="2"/>
      </w:r>
      <w:r w:rsidRPr="00BC5CCA">
        <w:rPr>
          <w:szCs w:val="22"/>
        </w:rPr>
        <w:t xml:space="preserve"> penúltimo párrafo de la Ley de Transparencia y Acceso a la Información Pública del Estado de México y Municipios, que son atenientes a la suplencia de la deficiencia en favor de LA PARTE RECURRENTE, en el sentido de identificar el documento que dé cuenta de lo requerido, sirve de sustento el criterio</w:t>
      </w:r>
      <w:r w:rsidRPr="00BC5CCA">
        <w:rPr>
          <w:rFonts w:eastAsia="MS Mincho" w:cs="Arial"/>
          <w:szCs w:val="22"/>
        </w:rPr>
        <w:t xml:space="preserve"> </w:t>
      </w:r>
      <w:r w:rsidRPr="00BC5CCA">
        <w:rPr>
          <w:rFonts w:eastAsia="MS Mincho"/>
          <w:b/>
          <w:szCs w:val="22"/>
        </w:rPr>
        <w:t>016/2017</w:t>
      </w:r>
      <w:r w:rsidRPr="00BC5CCA">
        <w:rPr>
          <w:rFonts w:eastAsia="MS Mincho"/>
          <w:szCs w:val="22"/>
        </w:rPr>
        <w:t xml:space="preserve"> emitido por el entonces Instituto Federal de Acceso a la Información Pública y Protección de Datos Personales y el Instituto Nacional de Transparencia, Acceso a la Información y Protección de Datos Personales respectivamente, que menciona lo siguiente:  </w:t>
      </w:r>
    </w:p>
    <w:p w14:paraId="480C1C0C" w14:textId="77777777" w:rsidR="003236FF" w:rsidRPr="00BC5CCA" w:rsidRDefault="003236FF" w:rsidP="00BC5CCA">
      <w:pPr>
        <w:pStyle w:val="Prrafodelista"/>
        <w:ind w:left="0"/>
        <w:rPr>
          <w:b/>
          <w:szCs w:val="22"/>
        </w:rPr>
      </w:pPr>
    </w:p>
    <w:p w14:paraId="13EB7A49" w14:textId="77777777" w:rsidR="003236FF" w:rsidRPr="00BC5CCA" w:rsidRDefault="003236FF" w:rsidP="00BC5CCA">
      <w:pPr>
        <w:pStyle w:val="Puesto"/>
        <w:rPr>
          <w:rFonts w:eastAsia="MS Mincho"/>
          <w:b/>
        </w:rPr>
      </w:pPr>
      <w:r w:rsidRPr="00BC5CCA">
        <w:rPr>
          <w:rFonts w:eastAsia="MS Mincho"/>
          <w:b/>
        </w:rPr>
        <w:t>Expresión documental. Cuando los particulares presenten solicitudes de acceso a la información sin identificar de forma precisa la documentación que pudiera contener la información de su interés</w:t>
      </w:r>
      <w:r w:rsidRPr="00BC5CCA">
        <w:rPr>
          <w:rFonts w:eastAsia="MS Mincho"/>
        </w:rPr>
        <w:t xml:space="preserve">, o bien, la solicitud constituya una consulta, pero la respuesta pudiera obrar en algún documento en poder de </w:t>
      </w:r>
      <w:r w:rsidRPr="00BC5CCA">
        <w:rPr>
          <w:rFonts w:eastAsia="MS Mincho"/>
          <w:b/>
        </w:rPr>
        <w:t>los sujetos obligados, éstos deben dar a dichas solicitudes una interpretación que les otorgue una expresión documental.</w:t>
      </w:r>
    </w:p>
    <w:p w14:paraId="4BBEFEFC" w14:textId="77777777" w:rsidR="003236FF" w:rsidRPr="00BC5CCA" w:rsidRDefault="003236FF" w:rsidP="00BC5CCA">
      <w:pPr>
        <w:pStyle w:val="Puesto"/>
      </w:pPr>
      <w:r w:rsidRPr="00BC5CCA">
        <w:rPr>
          <w:rFonts w:eastAsia="MS Mincho"/>
        </w:rPr>
        <w:t>(Énfasis añadido)</w:t>
      </w:r>
    </w:p>
    <w:p w14:paraId="4B15B6AB" w14:textId="77777777" w:rsidR="00931D0B" w:rsidRPr="00BC5CCA" w:rsidRDefault="00931D0B" w:rsidP="00BC5CCA">
      <w:pPr>
        <w:rPr>
          <w:szCs w:val="22"/>
        </w:rPr>
      </w:pPr>
    </w:p>
    <w:p w14:paraId="4FA077FB" w14:textId="26574595" w:rsidR="006675AC" w:rsidRPr="00BC5CCA" w:rsidRDefault="00931D0B" w:rsidP="00BC5CCA">
      <w:pPr>
        <w:pStyle w:val="Prrafodelista"/>
        <w:ind w:left="0"/>
        <w:rPr>
          <w:szCs w:val="22"/>
        </w:rPr>
      </w:pPr>
      <w:r w:rsidRPr="00BC5CCA">
        <w:rPr>
          <w:szCs w:val="22"/>
        </w:rPr>
        <w:t>Por lo anterior, resulta procedente, dar una interpretación que le proporcione una expresión documental, así</w:t>
      </w:r>
      <w:r w:rsidR="00A87905" w:rsidRPr="00BC5CCA">
        <w:rPr>
          <w:szCs w:val="22"/>
        </w:rPr>
        <w:t>,</w:t>
      </w:r>
      <w:r w:rsidRPr="00BC5CCA">
        <w:rPr>
          <w:szCs w:val="22"/>
        </w:rPr>
        <w:t xml:space="preserve"> para el caso que nos ocupa, si bien la persona Recurrente estructuró su solicitud peticionando </w:t>
      </w:r>
      <w:r w:rsidRPr="00BC5CCA">
        <w:rPr>
          <w:rFonts w:eastAsia="Palatino Linotype" w:cs="Palatino Linotype"/>
          <w:szCs w:val="22"/>
        </w:rPr>
        <w:t>el expediente de licitación y nombre de la empresa adjudicada</w:t>
      </w:r>
      <w:r w:rsidR="005616DF" w:rsidRPr="00BC5CCA">
        <w:rPr>
          <w:rFonts w:eastAsia="Palatino Linotype" w:cs="Palatino Linotype"/>
          <w:szCs w:val="22"/>
        </w:rPr>
        <w:t xml:space="preserve">, lo cierto es que el desconocimiento del trámite </w:t>
      </w:r>
      <w:r w:rsidR="00A87905" w:rsidRPr="00BC5CCA">
        <w:rPr>
          <w:rFonts w:eastAsia="Palatino Linotype" w:cs="Palatino Linotype"/>
          <w:szCs w:val="22"/>
        </w:rPr>
        <w:t xml:space="preserve">específico mediante el cual EL SUJETO OBLIGADO otorgó a una persona física o jurídico colectiva </w:t>
      </w:r>
      <w:r w:rsidR="005616DF" w:rsidRPr="00BC5CCA">
        <w:rPr>
          <w:rFonts w:eastAsia="Palatino Linotype" w:cs="Palatino Linotype"/>
          <w:szCs w:val="22"/>
        </w:rPr>
        <w:t>la realización de la “FERIA DEL CABALLO 2025”</w:t>
      </w:r>
      <w:r w:rsidR="005B7463" w:rsidRPr="00BC5CCA">
        <w:rPr>
          <w:rFonts w:eastAsia="Palatino Linotype" w:cs="Palatino Linotype"/>
          <w:szCs w:val="22"/>
        </w:rPr>
        <w:t>,</w:t>
      </w:r>
      <w:r w:rsidRPr="00BC5CCA">
        <w:rPr>
          <w:szCs w:val="22"/>
        </w:rPr>
        <w:t xml:space="preserve"> no limita el ejercicio del derecho, puesto que se puede entregar una expresión documental </w:t>
      </w:r>
      <w:r w:rsidR="00A87905" w:rsidRPr="00BC5CCA">
        <w:rPr>
          <w:szCs w:val="22"/>
        </w:rPr>
        <w:t xml:space="preserve">que colme la pretensión de LA PARTE RECUERRENTE, siendo esta el conocer el </w:t>
      </w:r>
      <w:r w:rsidR="00A87905" w:rsidRPr="00BC5CCA">
        <w:rPr>
          <w:szCs w:val="22"/>
        </w:rPr>
        <w:lastRenderedPageBreak/>
        <w:t xml:space="preserve">nombre de la persona física o jurídico colectiva a quien se le concedió la realización de la </w:t>
      </w:r>
      <w:r w:rsidR="00A87905" w:rsidRPr="00BC5CCA">
        <w:rPr>
          <w:rFonts w:eastAsia="Palatino Linotype" w:cs="Palatino Linotype"/>
          <w:szCs w:val="22"/>
        </w:rPr>
        <w:t xml:space="preserve">“FERIA DEL CABALLO 2025” y el </w:t>
      </w:r>
      <w:r w:rsidR="00A87905" w:rsidRPr="00BC5CCA">
        <w:rPr>
          <w:szCs w:val="22"/>
        </w:rPr>
        <w:t>procedimiento a través del cual fue seleccionada para tal efecto.</w:t>
      </w:r>
    </w:p>
    <w:p w14:paraId="2E915625" w14:textId="77777777" w:rsidR="00A87905" w:rsidRPr="00BC5CCA" w:rsidRDefault="00A87905" w:rsidP="00BC5CCA">
      <w:pPr>
        <w:pStyle w:val="Prrafodelista"/>
        <w:ind w:left="0"/>
        <w:rPr>
          <w:szCs w:val="22"/>
        </w:rPr>
      </w:pPr>
    </w:p>
    <w:p w14:paraId="071DBBEE" w14:textId="3D763E4D" w:rsidR="00780400" w:rsidRPr="00BC5CCA" w:rsidRDefault="00780400" w:rsidP="00BC5CCA">
      <w:pPr>
        <w:pStyle w:val="Prrafodelista"/>
        <w:ind w:left="0"/>
        <w:rPr>
          <w:szCs w:val="22"/>
        </w:rPr>
      </w:pPr>
      <w:r w:rsidRPr="00BC5CCA">
        <w:rPr>
          <w:szCs w:val="22"/>
        </w:rPr>
        <w:t>Atendiendo a lo analizado, esta ponencia se dio a la tarea de realizar un requerimiento de información con el propósito de contar con los elementos necesarios para que se pudiera resolver de manera adecuada el recurso de revisión que nos ocupa, al tenor de lo siguiente:</w:t>
      </w:r>
    </w:p>
    <w:p w14:paraId="7C40F26D" w14:textId="77777777" w:rsidR="00780400" w:rsidRPr="00BC5CCA" w:rsidRDefault="00780400" w:rsidP="00BC5CCA">
      <w:pPr>
        <w:pStyle w:val="Prrafodelista"/>
        <w:ind w:left="0" w:right="822"/>
        <w:rPr>
          <w:szCs w:val="22"/>
        </w:rPr>
      </w:pPr>
    </w:p>
    <w:p w14:paraId="6590BA92" w14:textId="77777777" w:rsidR="00780400" w:rsidRPr="00BC5CCA" w:rsidRDefault="00780400" w:rsidP="00BC5CCA">
      <w:pPr>
        <w:pStyle w:val="Prrafodelista"/>
        <w:numPr>
          <w:ilvl w:val="0"/>
          <w:numId w:val="18"/>
        </w:numPr>
        <w:ind w:right="822"/>
        <w:rPr>
          <w:szCs w:val="22"/>
        </w:rPr>
      </w:pPr>
      <w:r w:rsidRPr="00BC5CCA">
        <w:rPr>
          <w:szCs w:val="22"/>
        </w:rPr>
        <w:t xml:space="preserve">Informe la naturaleza jurídica del Contrato referido en la respuesta otorgada a la solicitud de información 00047/TEXCOCO/IP/2025; </w:t>
      </w:r>
    </w:p>
    <w:p w14:paraId="68410809" w14:textId="77777777" w:rsidR="00780400" w:rsidRPr="00BC5CCA" w:rsidRDefault="00780400" w:rsidP="00BC5CCA">
      <w:pPr>
        <w:pStyle w:val="Prrafodelista"/>
        <w:numPr>
          <w:ilvl w:val="0"/>
          <w:numId w:val="18"/>
        </w:numPr>
        <w:ind w:right="822"/>
        <w:rPr>
          <w:szCs w:val="22"/>
        </w:rPr>
      </w:pPr>
      <w:r w:rsidRPr="00BC5CCA">
        <w:rPr>
          <w:szCs w:val="22"/>
        </w:rPr>
        <w:t xml:space="preserve">Informe la normatividad que regula dicho contrato; y </w:t>
      </w:r>
    </w:p>
    <w:p w14:paraId="62A1335C" w14:textId="6E0E9646" w:rsidR="00780400" w:rsidRPr="00BC5CCA" w:rsidRDefault="00780400" w:rsidP="00BC5CCA">
      <w:pPr>
        <w:pStyle w:val="Prrafodelista"/>
        <w:numPr>
          <w:ilvl w:val="0"/>
          <w:numId w:val="18"/>
        </w:numPr>
        <w:ind w:right="822"/>
        <w:rPr>
          <w:szCs w:val="22"/>
        </w:rPr>
      </w:pPr>
      <w:r w:rsidRPr="00BC5CCA">
        <w:rPr>
          <w:szCs w:val="22"/>
        </w:rPr>
        <w:t>Informe el proceso mediante el cual se seleccionó a la persona física o jurídico colectiva con quien se suscribió o pretende suscribir dicho instrumento jurídico.</w:t>
      </w:r>
    </w:p>
    <w:p w14:paraId="1ABF54F5" w14:textId="54CCE92D" w:rsidR="00780400" w:rsidRPr="00BC5CCA" w:rsidRDefault="00780400" w:rsidP="00BC5CCA">
      <w:pPr>
        <w:pStyle w:val="Prrafodelista"/>
        <w:ind w:left="0"/>
        <w:rPr>
          <w:szCs w:val="22"/>
        </w:rPr>
      </w:pPr>
      <w:r w:rsidRPr="00BC5CCA">
        <w:rPr>
          <w:szCs w:val="22"/>
        </w:rPr>
        <w:t xml:space="preserve">Ante dicho requerimiento, la Dirección General de Administración del </w:t>
      </w:r>
      <w:r w:rsidRPr="00BC5CCA">
        <w:rPr>
          <w:b/>
          <w:szCs w:val="22"/>
        </w:rPr>
        <w:t>SUJETO OBLIGADO</w:t>
      </w:r>
      <w:r w:rsidRPr="00BC5CCA">
        <w:rPr>
          <w:szCs w:val="22"/>
        </w:rPr>
        <w:t xml:space="preserve"> </w:t>
      </w:r>
      <w:r w:rsidR="009748A1" w:rsidRPr="00BC5CCA">
        <w:rPr>
          <w:szCs w:val="22"/>
        </w:rPr>
        <w:t>contestó de la siguiente manera:</w:t>
      </w:r>
    </w:p>
    <w:p w14:paraId="3A516DA3" w14:textId="353144AC" w:rsidR="00780400" w:rsidRPr="00BC5CCA" w:rsidRDefault="00780400" w:rsidP="00BC5CCA">
      <w:pPr>
        <w:pStyle w:val="Prrafodelista"/>
        <w:ind w:left="0"/>
        <w:jc w:val="center"/>
        <w:rPr>
          <w:szCs w:val="22"/>
        </w:rPr>
      </w:pPr>
      <w:r w:rsidRPr="00BC5CCA">
        <w:rPr>
          <w:noProof/>
          <w:szCs w:val="22"/>
          <w:lang w:eastAsia="es-MX"/>
        </w:rPr>
        <w:drawing>
          <wp:inline distT="0" distB="0" distL="0" distR="0" wp14:anchorId="3E244304" wp14:editId="102BC3B4">
            <wp:extent cx="4877481" cy="1352739"/>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877481" cy="1352739"/>
                    </a:xfrm>
                    <a:prstGeom prst="rect">
                      <a:avLst/>
                    </a:prstGeom>
                  </pic:spPr>
                </pic:pic>
              </a:graphicData>
            </a:graphic>
          </wp:inline>
        </w:drawing>
      </w:r>
    </w:p>
    <w:p w14:paraId="541A3FBC" w14:textId="6674D055" w:rsidR="009748A1" w:rsidRPr="00BC5CCA" w:rsidRDefault="009748A1" w:rsidP="00BC5CCA">
      <w:pPr>
        <w:pStyle w:val="Prrafodelista"/>
        <w:ind w:left="0"/>
        <w:rPr>
          <w:szCs w:val="22"/>
        </w:rPr>
      </w:pPr>
      <w:r w:rsidRPr="00BC5CCA">
        <w:rPr>
          <w:szCs w:val="22"/>
        </w:rPr>
        <w:t xml:space="preserve">Como se puede advertir, la respuesta proporcionada, no resulta útil para allegarse de elementos que puedan dar a conocer el trámite o forma de asignar la administración u </w:t>
      </w:r>
      <w:r w:rsidRPr="00BC5CCA">
        <w:rPr>
          <w:rFonts w:eastAsia="Palatino Linotype" w:cs="Palatino Linotype"/>
          <w:szCs w:val="22"/>
        </w:rPr>
        <w:t>otorgamiento para la realización de la “FERIA DEL CABALLO 2025”.</w:t>
      </w:r>
      <w:r w:rsidR="00DD1950" w:rsidRPr="00BC5CCA">
        <w:rPr>
          <w:rFonts w:eastAsia="Palatino Linotype" w:cs="Palatino Linotype"/>
          <w:szCs w:val="22"/>
        </w:rPr>
        <w:t xml:space="preserve"> </w:t>
      </w:r>
      <w:r w:rsidR="00DD1950" w:rsidRPr="00BC5CCA">
        <w:rPr>
          <w:rFonts w:eastAsia="Palatino Linotype" w:cs="Palatino Linotype"/>
          <w:b/>
          <w:bCs/>
          <w:szCs w:val="22"/>
        </w:rPr>
        <w:t xml:space="preserve">Además, evidencia una actitud opaca por parte del sujeto obligado y una preocupante falta de compromiso con los </w:t>
      </w:r>
      <w:r w:rsidR="00DD1950" w:rsidRPr="00BC5CCA">
        <w:rPr>
          <w:rFonts w:eastAsia="Palatino Linotype" w:cs="Palatino Linotype"/>
          <w:b/>
          <w:bCs/>
          <w:szCs w:val="22"/>
        </w:rPr>
        <w:lastRenderedPageBreak/>
        <w:t>principios de transparencia y rendición de cuentas, al evadir proporcionar información clara, suficiente y congruente con lo solicitado y requerido en este procedimiento</w:t>
      </w:r>
      <w:r w:rsidR="00DD1950" w:rsidRPr="00BC5CCA">
        <w:rPr>
          <w:rFonts w:eastAsia="Palatino Linotype" w:cs="Palatino Linotype"/>
          <w:szCs w:val="22"/>
        </w:rPr>
        <w:t>.</w:t>
      </w:r>
    </w:p>
    <w:p w14:paraId="0E0BE7B7" w14:textId="77777777" w:rsidR="009748A1" w:rsidRPr="00BC5CCA" w:rsidRDefault="009748A1" w:rsidP="00BC5CCA">
      <w:pPr>
        <w:pStyle w:val="Prrafodelista"/>
        <w:ind w:left="0"/>
        <w:rPr>
          <w:szCs w:val="22"/>
        </w:rPr>
      </w:pPr>
    </w:p>
    <w:p w14:paraId="37951BFE" w14:textId="2E106E54" w:rsidR="00BA7582" w:rsidRPr="00BC5CCA" w:rsidRDefault="00252259" w:rsidP="00BC5CCA">
      <w:pPr>
        <w:rPr>
          <w:szCs w:val="22"/>
        </w:rPr>
      </w:pPr>
      <w:r w:rsidRPr="00BC5CCA">
        <w:rPr>
          <w:szCs w:val="22"/>
        </w:rPr>
        <w:t xml:space="preserve">En consecuencia, es dable tener por fundados los motivos de inconformidad y, por tanto, </w:t>
      </w:r>
      <w:r w:rsidRPr="00BC5CCA">
        <w:rPr>
          <w:b/>
          <w:bCs/>
          <w:szCs w:val="22"/>
        </w:rPr>
        <w:t>REVOCAR</w:t>
      </w:r>
      <w:r w:rsidRPr="00BC5CCA">
        <w:rPr>
          <w:szCs w:val="22"/>
        </w:rPr>
        <w:t xml:space="preserve"> la respuesta inicial emitida por el </w:t>
      </w:r>
      <w:r w:rsidRPr="00BC5CCA">
        <w:rPr>
          <w:b/>
          <w:bCs/>
          <w:szCs w:val="22"/>
        </w:rPr>
        <w:t>SUJETO OBLIGADO</w:t>
      </w:r>
      <w:r w:rsidRPr="00BC5CCA">
        <w:rPr>
          <w:szCs w:val="22"/>
        </w:rPr>
        <w:t xml:space="preserve"> y ordenar, previa búsqueda exhaustiva y razonable, la entrega de los documentos en los que conste el nombre de la persona física o jurídico colectiva a quien se le otorgará la organización de la “FERIA DEL CABALLO 2025”, así como el procedimiento mediante el cual se realizó dicha asignación, toda vez que el propio sujeto obligado reconoció, tanto en su respuesta inicial como en el desahogo del requerimiento adicional, la existencia de un instrumento jurídico (ya sea denominado contrato o convenio) mediante el cual se formalizará dicha asignación, lo cual evidencia que el acto administrativo se encuentra en curso y cuenta con sustento documental, aun cuando su formalización aún no se haya perfeccionado. En ese sentido, resulta indispensable recordar que el principio de legalidad, consagrado en el artículo 16, primer párrafo, de la Constitución Política de los Estados Unidos Mexicanos, impone a toda autoridad la obligación de fundar y motivar sus actos, es decir, de actuar únicamente dentro del marco que expresamente le faculte la ley, lo cual encuentra un refuerzo normativo en el artículo 18 de la Ley de Transparencia y Acceso a la Información Pública del Estado de México y Municipios, que impone a los sujetos obligados el deber de documentar todo acto derivado del ejercicio de sus funciones, considerando desde su origen la eventual publicidad y reutilización de la información generada. En tal virtud, al haberse reconocido la existencia del acto mediante el cual se asignará la organización de un evento público de relevancia, la autoridad no solo se encuentra en posibilidad de proporcionar la documentación correspondiente, sino que se encuentra jurídicamente obligada a hacerlo.</w:t>
      </w:r>
    </w:p>
    <w:p w14:paraId="1AD8E62F" w14:textId="77777777" w:rsidR="00252259" w:rsidRPr="00BC5CCA" w:rsidRDefault="00252259" w:rsidP="00BC5CCA">
      <w:pPr>
        <w:rPr>
          <w:szCs w:val="22"/>
        </w:rPr>
      </w:pPr>
    </w:p>
    <w:p w14:paraId="31D9B9D2" w14:textId="77777777" w:rsidR="009748A1" w:rsidRPr="00BC5CCA" w:rsidRDefault="009748A1" w:rsidP="00BC5CCA">
      <w:pPr>
        <w:rPr>
          <w:szCs w:val="22"/>
        </w:rPr>
      </w:pPr>
      <w:r w:rsidRPr="00BC5CCA">
        <w:rPr>
          <w:szCs w:val="22"/>
        </w:rPr>
        <w:lastRenderedPageBreak/>
        <w:t>Para el caso de que la información tenga datos personales confidencias, deberá entregarla en versión pública y proporcionar el Acuerdo de Clasificación donde el Comité de Transparencia, confirme la eliminación de los datos confidenciales de acuerdo con los artículos 49, fracciones II y VIII, 132, fracción II, 143, fracción I y 149 de la Ley de Transparencia y Acceso a la Información Pública del Estado de México y Municipios.</w:t>
      </w:r>
    </w:p>
    <w:p w14:paraId="01C2D6DA" w14:textId="77777777" w:rsidR="00BA7582" w:rsidRPr="00BC5CCA" w:rsidRDefault="00BA7582" w:rsidP="00BC5CCA">
      <w:pPr>
        <w:rPr>
          <w:szCs w:val="22"/>
        </w:rPr>
      </w:pPr>
    </w:p>
    <w:p w14:paraId="1ADC81F3" w14:textId="7C0EF030" w:rsidR="003C0A6D" w:rsidRPr="00BC5CCA" w:rsidRDefault="00252259" w:rsidP="00BC5CCA">
      <w:pPr>
        <w:ind w:right="-93"/>
        <w:rPr>
          <w:szCs w:val="22"/>
          <w:u w:val="single"/>
        </w:rPr>
      </w:pPr>
      <w:r w:rsidRPr="00BC5CCA">
        <w:rPr>
          <w:szCs w:val="22"/>
          <w:u w:val="single"/>
        </w:rPr>
        <w:t xml:space="preserve">Finalmente, este Organismo Garante considera oportuno señalar que quedan a salvo los derechos de </w:t>
      </w:r>
      <w:r w:rsidRPr="00BC5CCA">
        <w:rPr>
          <w:b/>
          <w:bCs/>
          <w:szCs w:val="22"/>
          <w:u w:val="single"/>
        </w:rPr>
        <w:t>LA PARTE RECURRENTE</w:t>
      </w:r>
      <w:r w:rsidRPr="00BC5CCA">
        <w:rPr>
          <w:szCs w:val="22"/>
          <w:u w:val="single"/>
        </w:rPr>
        <w:t xml:space="preserve"> para, en su caso, presentar una nueva solicitud de información mediante la cual requiera la entrega del contrato referido por </w:t>
      </w:r>
      <w:r w:rsidR="002E1259" w:rsidRPr="00BC5CCA">
        <w:rPr>
          <w:b/>
          <w:szCs w:val="22"/>
          <w:u w:val="single"/>
        </w:rPr>
        <w:t xml:space="preserve">EL </w:t>
      </w:r>
      <w:r w:rsidR="002E1259" w:rsidRPr="00BC5CCA">
        <w:rPr>
          <w:b/>
          <w:bCs/>
          <w:szCs w:val="22"/>
          <w:u w:val="single"/>
        </w:rPr>
        <w:t>SUJETO OBLIGADO</w:t>
      </w:r>
      <w:r w:rsidR="002E1259" w:rsidRPr="00BC5CCA">
        <w:rPr>
          <w:b/>
          <w:szCs w:val="22"/>
          <w:u w:val="single"/>
        </w:rPr>
        <w:t>,</w:t>
      </w:r>
      <w:r w:rsidRPr="00BC5CCA">
        <w:rPr>
          <w:szCs w:val="22"/>
          <w:u w:val="single"/>
        </w:rPr>
        <w:t xml:space="preserve"> mismo que (según lo manifestado por éste) se encontraba en proceso de revisión al momento de atender la solicitud que dio origen al presente recurso. Lo anterior cobra relevancia si se considera que la “FERIA DEL CABALLO 2025” se celebró del 28 de marzo al 27 de abril de dos mil veinticinco, por lo que, atendiendo a que dicho contrato se relaciona directamente con un evento ya concluido, la información correspondiente adquiere el carácter de pública en términos del artículo 4 de la Ley de Transparencia y Acceso a la Información Pública del Estado de México y Municipios, y conforme al principio de máxima publicidad previsto en el artículo 6º, apartado A, fracción I, de la Constitución Política de los Estados Unidos Mexicanos.</w:t>
      </w:r>
    </w:p>
    <w:p w14:paraId="75ECA675" w14:textId="77777777" w:rsidR="00252259" w:rsidRPr="00BC5CCA" w:rsidRDefault="00252259" w:rsidP="00BC5CCA">
      <w:pPr>
        <w:ind w:right="-93"/>
        <w:rPr>
          <w:rFonts w:cs="Tahoma"/>
          <w:bCs/>
          <w:szCs w:val="22"/>
        </w:rPr>
      </w:pPr>
    </w:p>
    <w:p w14:paraId="5DA7C963" w14:textId="6787BB2B" w:rsidR="00664420" w:rsidRPr="00BC5CCA" w:rsidRDefault="00BD5A7C" w:rsidP="00BC5CCA">
      <w:pPr>
        <w:pStyle w:val="Ttulo3"/>
        <w:rPr>
          <w:szCs w:val="22"/>
        </w:rPr>
      </w:pPr>
      <w:bookmarkStart w:id="29" w:name="_Toc199960463"/>
      <w:r w:rsidRPr="00BC5CCA">
        <w:rPr>
          <w:szCs w:val="22"/>
        </w:rPr>
        <w:t>d</w:t>
      </w:r>
      <w:r w:rsidR="00A21A20" w:rsidRPr="00BC5CCA">
        <w:rPr>
          <w:szCs w:val="22"/>
        </w:rPr>
        <w:t>)</w:t>
      </w:r>
      <w:r w:rsidR="00664420" w:rsidRPr="00BC5CCA">
        <w:rPr>
          <w:szCs w:val="22"/>
        </w:rPr>
        <w:t xml:space="preserve"> Versión pública</w:t>
      </w:r>
      <w:bookmarkEnd w:id="29"/>
    </w:p>
    <w:p w14:paraId="20B03CFE" w14:textId="401FB7F4" w:rsidR="00AC3CA0" w:rsidRPr="00BC5CCA" w:rsidRDefault="007F5D06" w:rsidP="00BC5CCA">
      <w:pPr>
        <w:rPr>
          <w:bCs/>
          <w:szCs w:val="22"/>
        </w:rPr>
      </w:pPr>
      <w:r w:rsidRPr="00BC5CCA">
        <w:rPr>
          <w:szCs w:val="22"/>
        </w:rPr>
        <w:t>P</w:t>
      </w:r>
      <w:r w:rsidR="00AC3CA0" w:rsidRPr="00BC5CCA">
        <w:rPr>
          <w:szCs w:val="22"/>
        </w:rPr>
        <w:t xml:space="preserve">ara el caso de que el o los documentos de los cuales se ordena su entrega contengan datos personales susceptibles de ser testados, deberán ser entregados en </w:t>
      </w:r>
      <w:r w:rsidR="00AC3CA0" w:rsidRPr="00BC5CCA">
        <w:rPr>
          <w:b/>
          <w:szCs w:val="22"/>
        </w:rPr>
        <w:t>versión pública</w:t>
      </w:r>
      <w:r w:rsidRPr="00BC5CCA">
        <w:rPr>
          <w:szCs w:val="22"/>
        </w:rPr>
        <w:t>,</w:t>
      </w:r>
      <w:r w:rsidR="00AC3CA0" w:rsidRPr="00BC5CCA">
        <w:rPr>
          <w:szCs w:val="22"/>
        </w:rPr>
        <w:t xml:space="preserve"> pues el</w:t>
      </w:r>
      <w:r w:rsidR="00AC3CA0" w:rsidRPr="00BC5CCA">
        <w:rPr>
          <w:bCs/>
          <w:szCs w:val="22"/>
        </w:rPr>
        <w:t xml:space="preserve"> derecho de acceso a la información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w:t>
      </w:r>
      <w:r w:rsidR="00AC3CA0" w:rsidRPr="00BC5CCA">
        <w:rPr>
          <w:bCs/>
          <w:szCs w:val="22"/>
        </w:rPr>
        <w:lastRenderedPageBreak/>
        <w:t>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2420A807" w14:textId="77777777" w:rsidR="00AC3CA0" w:rsidRPr="00BC5CCA" w:rsidRDefault="00AC3CA0" w:rsidP="00BC5CCA">
      <w:pPr>
        <w:rPr>
          <w:rFonts w:eastAsia="Calibri"/>
          <w:bCs/>
          <w:szCs w:val="22"/>
          <w:lang w:eastAsia="en-US"/>
        </w:rPr>
      </w:pPr>
    </w:p>
    <w:p w14:paraId="13DAE086" w14:textId="0C1C7ADD" w:rsidR="00AC3CA0" w:rsidRPr="00BC5CCA" w:rsidRDefault="00AC3CA0" w:rsidP="00BC5CCA">
      <w:pPr>
        <w:rPr>
          <w:bCs/>
          <w:szCs w:val="22"/>
        </w:rPr>
      </w:pPr>
      <w:r w:rsidRPr="00BC5CCA">
        <w:rPr>
          <w:bCs/>
          <w:szCs w:val="22"/>
        </w:rPr>
        <w:t xml:space="preserve">A este respecto, los artículos 3, fracciones IX, XX, XXI y </w:t>
      </w:r>
      <w:r w:rsidR="007F5D06" w:rsidRPr="00BC5CCA">
        <w:rPr>
          <w:bCs/>
          <w:szCs w:val="22"/>
        </w:rPr>
        <w:t>XLV; 51</w:t>
      </w:r>
      <w:r w:rsidRPr="00BC5CCA">
        <w:rPr>
          <w:bCs/>
          <w:szCs w:val="22"/>
        </w:rPr>
        <w:t xml:space="preserve"> y 52 de la Ley de Transparencia y Acceso a la Información Pública del Estado de México y Municipios establecen:</w:t>
      </w:r>
    </w:p>
    <w:p w14:paraId="4EE42F33" w14:textId="77777777" w:rsidR="00AC3CA0" w:rsidRPr="00BC5CCA" w:rsidRDefault="00AC3CA0" w:rsidP="00BC5CCA">
      <w:pPr>
        <w:rPr>
          <w:szCs w:val="22"/>
        </w:rPr>
      </w:pPr>
    </w:p>
    <w:p w14:paraId="22F38C0C" w14:textId="77777777" w:rsidR="00AC3CA0" w:rsidRPr="00BC5CCA" w:rsidRDefault="00AC3CA0" w:rsidP="00BC5CCA">
      <w:pPr>
        <w:pStyle w:val="Puesto"/>
        <w:rPr>
          <w:szCs w:val="22"/>
        </w:rPr>
      </w:pPr>
      <w:r w:rsidRPr="00BC5CCA">
        <w:rPr>
          <w:b/>
          <w:bCs/>
          <w:noProof/>
          <w:szCs w:val="22"/>
        </w:rPr>
        <w:t>“</w:t>
      </w:r>
      <w:r w:rsidRPr="00BC5CCA">
        <w:rPr>
          <w:b/>
          <w:bCs/>
          <w:szCs w:val="22"/>
        </w:rPr>
        <w:t xml:space="preserve">Artículo 3. </w:t>
      </w:r>
      <w:r w:rsidRPr="00BC5CCA">
        <w:rPr>
          <w:szCs w:val="22"/>
        </w:rPr>
        <w:t xml:space="preserve">Para los efectos de la presente Ley se entenderá por: </w:t>
      </w:r>
    </w:p>
    <w:p w14:paraId="74507E00" w14:textId="77777777" w:rsidR="00AC3CA0" w:rsidRPr="00BC5CCA" w:rsidRDefault="00AC3CA0" w:rsidP="00BC5CCA">
      <w:pPr>
        <w:pStyle w:val="Puesto"/>
        <w:rPr>
          <w:szCs w:val="22"/>
        </w:rPr>
      </w:pPr>
      <w:r w:rsidRPr="00BC5CCA">
        <w:rPr>
          <w:b/>
          <w:szCs w:val="22"/>
        </w:rPr>
        <w:t>IX.</w:t>
      </w:r>
      <w:r w:rsidRPr="00BC5CCA">
        <w:rPr>
          <w:szCs w:val="22"/>
        </w:rPr>
        <w:t xml:space="preserve"> </w:t>
      </w:r>
      <w:r w:rsidRPr="00BC5CCA">
        <w:rPr>
          <w:b/>
          <w:szCs w:val="22"/>
        </w:rPr>
        <w:t xml:space="preserve">Datos personales: </w:t>
      </w:r>
      <w:r w:rsidRPr="00BC5CCA">
        <w:rPr>
          <w:szCs w:val="22"/>
        </w:rPr>
        <w:t xml:space="preserve">La información concerniente a una persona, identificada o identificable según lo dispuesto por la Ley de Protección de Datos Personales del Estado de México; </w:t>
      </w:r>
    </w:p>
    <w:p w14:paraId="320759AF" w14:textId="77777777" w:rsidR="002B7C6F" w:rsidRPr="00BC5CCA" w:rsidRDefault="002B7C6F" w:rsidP="00BC5CCA">
      <w:pPr>
        <w:rPr>
          <w:szCs w:val="22"/>
        </w:rPr>
      </w:pPr>
    </w:p>
    <w:p w14:paraId="4EFEB771" w14:textId="77777777" w:rsidR="00AC3CA0" w:rsidRPr="00BC5CCA" w:rsidRDefault="00AC3CA0" w:rsidP="00BC5CCA">
      <w:pPr>
        <w:pStyle w:val="Puesto"/>
        <w:rPr>
          <w:szCs w:val="22"/>
        </w:rPr>
      </w:pPr>
      <w:r w:rsidRPr="00BC5CCA">
        <w:rPr>
          <w:b/>
          <w:szCs w:val="22"/>
        </w:rPr>
        <w:t>XX.</w:t>
      </w:r>
      <w:r w:rsidRPr="00BC5CCA">
        <w:rPr>
          <w:szCs w:val="22"/>
        </w:rPr>
        <w:t xml:space="preserve"> </w:t>
      </w:r>
      <w:r w:rsidRPr="00BC5CCA">
        <w:rPr>
          <w:b/>
          <w:szCs w:val="22"/>
        </w:rPr>
        <w:t>Información clasificada:</w:t>
      </w:r>
      <w:r w:rsidRPr="00BC5CCA">
        <w:rPr>
          <w:szCs w:val="22"/>
        </w:rPr>
        <w:t xml:space="preserve"> Aquella considerada por la presente Ley como reservada o confidencial; </w:t>
      </w:r>
    </w:p>
    <w:p w14:paraId="5DA95E10" w14:textId="77777777" w:rsidR="002B7C6F" w:rsidRPr="00BC5CCA" w:rsidRDefault="002B7C6F" w:rsidP="00BC5CCA">
      <w:pPr>
        <w:rPr>
          <w:szCs w:val="22"/>
        </w:rPr>
      </w:pPr>
    </w:p>
    <w:p w14:paraId="1CD04431" w14:textId="77777777" w:rsidR="00AC3CA0" w:rsidRPr="00BC5CCA" w:rsidRDefault="00AC3CA0" w:rsidP="00BC5CCA">
      <w:pPr>
        <w:pStyle w:val="Puesto"/>
        <w:rPr>
          <w:szCs w:val="22"/>
        </w:rPr>
      </w:pPr>
      <w:r w:rsidRPr="00BC5CCA">
        <w:rPr>
          <w:b/>
          <w:szCs w:val="22"/>
        </w:rPr>
        <w:t>XXI.</w:t>
      </w:r>
      <w:r w:rsidRPr="00BC5CCA">
        <w:rPr>
          <w:szCs w:val="22"/>
        </w:rPr>
        <w:t xml:space="preserve"> </w:t>
      </w:r>
      <w:r w:rsidRPr="00BC5CCA">
        <w:rPr>
          <w:b/>
          <w:szCs w:val="22"/>
        </w:rPr>
        <w:t>Información confidencial</w:t>
      </w:r>
      <w:r w:rsidRPr="00BC5CCA">
        <w:rPr>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6A2E008B" w14:textId="77777777" w:rsidR="002B7C6F" w:rsidRPr="00BC5CCA" w:rsidRDefault="002B7C6F" w:rsidP="00BC5CCA">
      <w:pPr>
        <w:rPr>
          <w:szCs w:val="22"/>
        </w:rPr>
      </w:pPr>
    </w:p>
    <w:p w14:paraId="7CD4D2FB" w14:textId="77777777" w:rsidR="00AC3CA0" w:rsidRPr="00BC5CCA" w:rsidRDefault="00AC3CA0" w:rsidP="00BC5CCA">
      <w:pPr>
        <w:pStyle w:val="Puesto"/>
        <w:rPr>
          <w:szCs w:val="22"/>
        </w:rPr>
      </w:pPr>
      <w:r w:rsidRPr="00BC5CCA">
        <w:rPr>
          <w:b/>
          <w:szCs w:val="22"/>
        </w:rPr>
        <w:t>XLV. Versión pública:</w:t>
      </w:r>
      <w:r w:rsidRPr="00BC5CCA">
        <w:rPr>
          <w:szCs w:val="22"/>
        </w:rPr>
        <w:t xml:space="preserve"> Documento en el que se elimine, suprime o borra la información clasificada como reservada o confidencial para permitir su acceso. </w:t>
      </w:r>
    </w:p>
    <w:p w14:paraId="1ACE9141" w14:textId="77777777" w:rsidR="002B7C6F" w:rsidRPr="00BC5CCA" w:rsidRDefault="002B7C6F" w:rsidP="00BC5CCA">
      <w:pPr>
        <w:rPr>
          <w:szCs w:val="22"/>
        </w:rPr>
      </w:pPr>
    </w:p>
    <w:p w14:paraId="0BAED675" w14:textId="178B54DE" w:rsidR="00AC3CA0" w:rsidRPr="00BC5CCA" w:rsidRDefault="00AC3CA0" w:rsidP="00BC5CCA">
      <w:pPr>
        <w:pStyle w:val="Puesto"/>
        <w:rPr>
          <w:szCs w:val="22"/>
        </w:rPr>
      </w:pPr>
      <w:r w:rsidRPr="00BC5CCA">
        <w:rPr>
          <w:b/>
          <w:szCs w:val="22"/>
        </w:rPr>
        <w:t>Artículo 51.</w:t>
      </w:r>
      <w:r w:rsidRPr="00BC5CCA">
        <w:rPr>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BC5CCA">
        <w:rPr>
          <w:b/>
          <w:szCs w:val="22"/>
        </w:rPr>
        <w:t xml:space="preserve">y tendrá la responsabilidad de verificar en cada caso que la misma no sea confidencial o reservada. </w:t>
      </w:r>
      <w:r w:rsidRPr="00BC5CCA">
        <w:rPr>
          <w:szCs w:val="22"/>
        </w:rPr>
        <w:t>Dicha Unidad contará con las facultades internas necesarias para gestionar la atención a las solicitudes de información en los términos de la Ley General y la presente Ley.</w:t>
      </w:r>
    </w:p>
    <w:p w14:paraId="54D7F3F5" w14:textId="77777777" w:rsidR="002B7C6F" w:rsidRPr="00BC5CCA" w:rsidRDefault="002B7C6F" w:rsidP="00BC5CCA">
      <w:pPr>
        <w:rPr>
          <w:szCs w:val="22"/>
        </w:rPr>
      </w:pPr>
    </w:p>
    <w:p w14:paraId="5AB2B52F" w14:textId="68BEB541" w:rsidR="00AC3CA0" w:rsidRPr="00BC5CCA" w:rsidRDefault="00AC3CA0" w:rsidP="00BC5CCA">
      <w:pPr>
        <w:pStyle w:val="Puesto"/>
        <w:rPr>
          <w:szCs w:val="22"/>
        </w:rPr>
      </w:pPr>
      <w:r w:rsidRPr="00BC5CCA">
        <w:rPr>
          <w:b/>
          <w:szCs w:val="22"/>
        </w:rPr>
        <w:lastRenderedPageBreak/>
        <w:t>Artículo 52.</w:t>
      </w:r>
      <w:r w:rsidRPr="00BC5CCA">
        <w:rPr>
          <w:szCs w:val="22"/>
        </w:rPr>
        <w:t xml:space="preserve"> Las solicitudes de acceso a la información y las respuestas que se les dé, incluyendo, en su caso, </w:t>
      </w:r>
      <w:r w:rsidRPr="00BC5CCA">
        <w:rPr>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BC5CCA">
        <w:rPr>
          <w:szCs w:val="22"/>
        </w:rPr>
        <w:t>, siempre y cuando la resolución de referencia se someta a un proceso de disociación, es decir, no haga identificable al titular de tales datos personales.</w:t>
      </w:r>
      <w:r w:rsidRPr="00BC5CCA">
        <w:rPr>
          <w:bCs/>
          <w:noProof/>
          <w:szCs w:val="22"/>
        </w:rPr>
        <w:t>”</w:t>
      </w:r>
      <w:r w:rsidR="007F5D06" w:rsidRPr="00BC5CCA">
        <w:rPr>
          <w:bCs/>
          <w:noProof/>
          <w:szCs w:val="22"/>
        </w:rPr>
        <w:t xml:space="preserve"> </w:t>
      </w:r>
      <w:r w:rsidRPr="00BC5CCA">
        <w:rPr>
          <w:i w:val="0"/>
          <w:iCs/>
          <w:szCs w:val="22"/>
        </w:rPr>
        <w:t>(Énfasis añadido)</w:t>
      </w:r>
    </w:p>
    <w:p w14:paraId="14DDB49A" w14:textId="77777777" w:rsidR="00AC3CA0" w:rsidRPr="00BC5CCA" w:rsidRDefault="00AC3CA0" w:rsidP="00BC5CCA">
      <w:pPr>
        <w:rPr>
          <w:szCs w:val="22"/>
        </w:rPr>
      </w:pPr>
    </w:p>
    <w:p w14:paraId="18663A56" w14:textId="530412FA" w:rsidR="00AC3CA0" w:rsidRPr="00BC5CCA" w:rsidRDefault="00AC3CA0" w:rsidP="00BC5CCA">
      <w:pPr>
        <w:rPr>
          <w:szCs w:val="22"/>
        </w:rPr>
      </w:pPr>
      <w:r w:rsidRPr="00BC5CCA">
        <w:rPr>
          <w:szCs w:val="22"/>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w:t>
      </w:r>
      <w:r w:rsidR="007F5D06" w:rsidRPr="00BC5CCA">
        <w:rPr>
          <w:szCs w:val="22"/>
        </w:rPr>
        <w:t xml:space="preserve">se </w:t>
      </w:r>
      <w:r w:rsidRPr="00BC5CCA">
        <w:rPr>
          <w:szCs w:val="22"/>
        </w:rPr>
        <w:t>efectúe deberá estar justificado en la Ley, lo anterior en términos de lo dispuesto por el artículo 22, párrafo primero</w:t>
      </w:r>
      <w:r w:rsidR="007F5D06" w:rsidRPr="00BC5CCA">
        <w:rPr>
          <w:szCs w:val="22"/>
        </w:rPr>
        <w:t>,</w:t>
      </w:r>
      <w:r w:rsidRPr="00BC5CCA">
        <w:rPr>
          <w:szCs w:val="22"/>
        </w:rPr>
        <w:t xml:space="preserve"> </w:t>
      </w:r>
      <w:r w:rsidR="007F5D06" w:rsidRPr="00BC5CCA">
        <w:rPr>
          <w:szCs w:val="22"/>
        </w:rPr>
        <w:t>relacionado</w:t>
      </w:r>
      <w:r w:rsidRPr="00BC5CCA">
        <w:rPr>
          <w:szCs w:val="22"/>
        </w:rPr>
        <w:t xml:space="preserve"> con el 38 de la Ley de Protección de Datos Personales en Posesión de Sujetos Obligados del Estado de México y Municipios, los cuales se transcriben para mayor referencia: </w:t>
      </w:r>
    </w:p>
    <w:p w14:paraId="24D8A62C" w14:textId="77777777" w:rsidR="00AC3CA0" w:rsidRPr="00BC5CCA" w:rsidRDefault="00AC3CA0" w:rsidP="00BC5CCA">
      <w:pPr>
        <w:rPr>
          <w:szCs w:val="22"/>
        </w:rPr>
      </w:pPr>
    </w:p>
    <w:p w14:paraId="266BB0EA" w14:textId="01A7285C" w:rsidR="00AC3CA0" w:rsidRPr="00BC5CCA" w:rsidRDefault="00AC3CA0" w:rsidP="00BC5CCA">
      <w:pPr>
        <w:pStyle w:val="Puesto"/>
        <w:rPr>
          <w:rFonts w:eastAsia="Arial Unicode MS"/>
          <w:szCs w:val="22"/>
        </w:rPr>
      </w:pPr>
      <w:r w:rsidRPr="00BC5CCA">
        <w:rPr>
          <w:rFonts w:eastAsia="Arial Unicode MS"/>
          <w:b/>
          <w:szCs w:val="22"/>
        </w:rPr>
        <w:t>“Artículo 22.</w:t>
      </w:r>
      <w:r w:rsidRPr="00BC5CCA">
        <w:rPr>
          <w:rFonts w:eastAsia="Arial Unicode MS"/>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6D19D2F4" w14:textId="77777777" w:rsidR="002B7C6F" w:rsidRPr="00BC5CCA" w:rsidRDefault="002B7C6F" w:rsidP="00BC5CCA">
      <w:pPr>
        <w:rPr>
          <w:rFonts w:eastAsia="Arial Unicode MS"/>
          <w:szCs w:val="22"/>
        </w:rPr>
      </w:pPr>
    </w:p>
    <w:p w14:paraId="0C6ECD10" w14:textId="77777777" w:rsidR="00AC3CA0" w:rsidRPr="00BC5CCA" w:rsidRDefault="00AC3CA0" w:rsidP="00BC5CCA">
      <w:pPr>
        <w:pStyle w:val="Puesto"/>
        <w:rPr>
          <w:rFonts w:eastAsia="Arial Unicode MS"/>
          <w:szCs w:val="22"/>
        </w:rPr>
      </w:pPr>
      <w:r w:rsidRPr="00BC5CCA">
        <w:rPr>
          <w:rFonts w:eastAsia="Arial Unicode MS"/>
          <w:b/>
          <w:szCs w:val="22"/>
        </w:rPr>
        <w:t>Artículo 38.</w:t>
      </w:r>
      <w:r w:rsidRPr="00BC5CCA">
        <w:rPr>
          <w:rFonts w:eastAsia="Arial Unicode MS"/>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BC5CCA">
        <w:rPr>
          <w:rFonts w:eastAsia="Arial Unicode MS"/>
          <w:b/>
          <w:szCs w:val="22"/>
        </w:rPr>
        <w:t>”</w:t>
      </w:r>
      <w:r w:rsidRPr="00BC5CCA">
        <w:rPr>
          <w:rFonts w:eastAsia="Arial Unicode MS"/>
          <w:szCs w:val="22"/>
        </w:rPr>
        <w:t xml:space="preserve"> </w:t>
      </w:r>
    </w:p>
    <w:p w14:paraId="11BDA04E" w14:textId="77777777" w:rsidR="00AC3CA0" w:rsidRPr="00BC5CCA" w:rsidRDefault="00AC3CA0" w:rsidP="00BC5CCA">
      <w:pPr>
        <w:rPr>
          <w:rFonts w:eastAsia="Arial Unicode MS"/>
          <w:i/>
          <w:szCs w:val="22"/>
        </w:rPr>
      </w:pPr>
    </w:p>
    <w:p w14:paraId="32BB7A5F" w14:textId="77777777" w:rsidR="00AC3CA0" w:rsidRPr="00BC5CCA" w:rsidRDefault="00AC3CA0" w:rsidP="00BC5CCA">
      <w:pPr>
        <w:rPr>
          <w:szCs w:val="22"/>
        </w:rPr>
      </w:pPr>
      <w:r w:rsidRPr="00BC5CCA">
        <w:rPr>
          <w:szCs w:val="22"/>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w:t>
      </w:r>
      <w:r w:rsidRPr="00BC5CCA">
        <w:rPr>
          <w:szCs w:val="22"/>
        </w:rPr>
        <w:lastRenderedPageBreak/>
        <w:t xml:space="preserve">particulares toda vez que ésta tiene por objeto proteger datos personales, entendiéndose por tales, aquéllos que hacen identificable a una persona. </w:t>
      </w:r>
    </w:p>
    <w:p w14:paraId="5D526487" w14:textId="77777777" w:rsidR="00AC3CA0" w:rsidRPr="00BC5CCA" w:rsidRDefault="00AC3CA0" w:rsidP="00BC5CCA">
      <w:pPr>
        <w:rPr>
          <w:szCs w:val="22"/>
        </w:rPr>
      </w:pPr>
    </w:p>
    <w:p w14:paraId="3CE77CF7" w14:textId="77777777" w:rsidR="00AC3CA0" w:rsidRPr="00BC5CCA" w:rsidRDefault="00AC3CA0" w:rsidP="00BC5CCA">
      <w:pPr>
        <w:rPr>
          <w:szCs w:val="22"/>
        </w:rPr>
      </w:pPr>
      <w:r w:rsidRPr="00BC5CCA">
        <w:rPr>
          <w:szCs w:val="22"/>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BC5CCA">
        <w:rPr>
          <w:rFonts w:eastAsia="Arial Unicode MS"/>
          <w:szCs w:val="22"/>
        </w:rPr>
        <w:t xml:space="preserve"> que debe ser protegida por </w:t>
      </w:r>
      <w:r w:rsidRPr="00BC5CCA">
        <w:rPr>
          <w:rFonts w:eastAsia="Arial Unicode MS"/>
          <w:b/>
          <w:szCs w:val="22"/>
        </w:rPr>
        <w:t>EL SUJETO OBLIGADO,</w:t>
      </w:r>
      <w:r w:rsidRPr="00BC5CCA">
        <w:rPr>
          <w:rFonts w:eastAsia="Arial Unicode MS"/>
          <w:szCs w:val="22"/>
        </w:rPr>
        <w:t xml:space="preserve"> por lo </w:t>
      </w:r>
      <w:r w:rsidRPr="00BC5CCA">
        <w:rPr>
          <w:szCs w:val="22"/>
        </w:rPr>
        <w:t>que, todo dato personal susceptible de clasificación debe ser protegido.</w:t>
      </w:r>
    </w:p>
    <w:p w14:paraId="17B1D51E" w14:textId="77777777" w:rsidR="00AC3CA0" w:rsidRPr="00BC5CCA" w:rsidRDefault="00AC3CA0" w:rsidP="00BC5CCA">
      <w:pPr>
        <w:rPr>
          <w:szCs w:val="22"/>
        </w:rPr>
      </w:pPr>
    </w:p>
    <w:p w14:paraId="1C499B05" w14:textId="0FD0F4F9" w:rsidR="00AC3CA0" w:rsidRPr="00BC5CCA" w:rsidRDefault="00AC3CA0" w:rsidP="00BC5CCA">
      <w:pPr>
        <w:rPr>
          <w:szCs w:val="22"/>
        </w:rPr>
      </w:pPr>
      <w:r w:rsidRPr="00BC5CCA">
        <w:rPr>
          <w:szCs w:val="22"/>
        </w:rPr>
        <w:t>La finalidad de la versión pública es salvaguardar la vida, integridad, seguridad, patrimonio y privacidad de las personas; de tal manera que</w:t>
      </w:r>
      <w:r w:rsidR="007F5D06" w:rsidRPr="00BC5CCA">
        <w:rPr>
          <w:szCs w:val="22"/>
        </w:rPr>
        <w:t>,</w:t>
      </w:r>
      <w:r w:rsidRPr="00BC5CCA">
        <w:rPr>
          <w:szCs w:val="22"/>
        </w:rPr>
        <w:t xml:space="preserve"> todo aquello que no tenga por objeto proteger lo anterior, es susceptible de ser entregado</w:t>
      </w:r>
      <w:r w:rsidR="007F5D06" w:rsidRPr="00BC5CCA">
        <w:rPr>
          <w:szCs w:val="22"/>
        </w:rPr>
        <w:t>.</w:t>
      </w:r>
      <w:r w:rsidRPr="00BC5CCA">
        <w:rPr>
          <w:szCs w:val="22"/>
        </w:rPr>
        <w:t xml:space="preserve"> </w:t>
      </w:r>
      <w:r w:rsidR="007F5D06" w:rsidRPr="00BC5CCA">
        <w:rPr>
          <w:szCs w:val="22"/>
        </w:rPr>
        <w:t>E</w:t>
      </w:r>
      <w:r w:rsidRPr="00BC5CCA">
        <w:rPr>
          <w:szCs w:val="22"/>
        </w:rPr>
        <w:t>n otras palabras, la protección de datos personales</w:t>
      </w:r>
      <w:r w:rsidR="007F5D06" w:rsidRPr="00BC5CCA">
        <w:rPr>
          <w:szCs w:val="22"/>
        </w:rPr>
        <w:t xml:space="preserve"> </w:t>
      </w:r>
      <w:r w:rsidRPr="00BC5CCA">
        <w:rPr>
          <w:szCs w:val="22"/>
        </w:rPr>
        <w:t>es una derivación del derecho a la intimidad.</w:t>
      </w:r>
    </w:p>
    <w:p w14:paraId="4ECCCE5B" w14:textId="77777777" w:rsidR="00AC3CA0" w:rsidRPr="00BC5CCA" w:rsidRDefault="00AC3CA0" w:rsidP="00BC5CCA">
      <w:pPr>
        <w:rPr>
          <w:szCs w:val="22"/>
        </w:rPr>
      </w:pPr>
    </w:p>
    <w:p w14:paraId="22155419" w14:textId="5E52B74B" w:rsidR="00AC3CA0" w:rsidRPr="00BC5CCA" w:rsidRDefault="00AC3CA0" w:rsidP="00BC5CCA">
      <w:pPr>
        <w:rPr>
          <w:szCs w:val="22"/>
        </w:rPr>
      </w:pPr>
      <w:r w:rsidRPr="00BC5CCA">
        <w:rPr>
          <w:szCs w:val="22"/>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27481129" w14:textId="77777777" w:rsidR="00AC3CA0" w:rsidRPr="00BC5CCA" w:rsidRDefault="00AC3CA0" w:rsidP="00BC5CCA">
      <w:pPr>
        <w:rPr>
          <w:szCs w:val="22"/>
        </w:rPr>
      </w:pPr>
    </w:p>
    <w:p w14:paraId="12C70FB7" w14:textId="77777777" w:rsidR="00AC3CA0" w:rsidRPr="00BC5CCA" w:rsidRDefault="00AC3CA0" w:rsidP="00BC5CCA">
      <w:pPr>
        <w:jc w:val="center"/>
        <w:rPr>
          <w:b/>
          <w:i/>
          <w:szCs w:val="22"/>
        </w:rPr>
      </w:pPr>
      <w:r w:rsidRPr="00BC5CCA">
        <w:rPr>
          <w:b/>
          <w:i/>
          <w:szCs w:val="22"/>
          <w:lang w:val="es-ES_tradnl"/>
        </w:rPr>
        <w:t>Ley de Transparencia y Acceso a la Información Pública del Estado de México y Municipios</w:t>
      </w:r>
    </w:p>
    <w:p w14:paraId="79B28D55" w14:textId="77777777" w:rsidR="00AC3CA0" w:rsidRPr="00BC5CCA" w:rsidRDefault="00AC3CA0" w:rsidP="00BC5CCA">
      <w:pPr>
        <w:rPr>
          <w:szCs w:val="22"/>
        </w:rPr>
      </w:pPr>
    </w:p>
    <w:p w14:paraId="51E4FC60" w14:textId="77777777" w:rsidR="00AC3CA0" w:rsidRPr="00BC5CCA" w:rsidRDefault="00AC3CA0" w:rsidP="00BC5CCA">
      <w:pPr>
        <w:pStyle w:val="Puesto"/>
        <w:rPr>
          <w:szCs w:val="22"/>
        </w:rPr>
      </w:pPr>
      <w:r w:rsidRPr="00BC5CCA">
        <w:rPr>
          <w:b/>
          <w:szCs w:val="22"/>
        </w:rPr>
        <w:lastRenderedPageBreak/>
        <w:t xml:space="preserve">“Artículo 49. </w:t>
      </w:r>
      <w:r w:rsidRPr="00BC5CCA">
        <w:rPr>
          <w:szCs w:val="22"/>
        </w:rPr>
        <w:t>Los Comités de Transparencia tendrán las siguientes atribuciones:</w:t>
      </w:r>
    </w:p>
    <w:p w14:paraId="58B2CA83" w14:textId="77777777" w:rsidR="00AC3CA0" w:rsidRPr="00BC5CCA" w:rsidRDefault="00AC3CA0" w:rsidP="00BC5CCA">
      <w:pPr>
        <w:pStyle w:val="Puesto"/>
        <w:rPr>
          <w:szCs w:val="22"/>
        </w:rPr>
      </w:pPr>
      <w:r w:rsidRPr="00BC5CCA">
        <w:rPr>
          <w:b/>
          <w:szCs w:val="22"/>
        </w:rPr>
        <w:t>VIII.</w:t>
      </w:r>
      <w:r w:rsidRPr="00BC5CCA">
        <w:rPr>
          <w:szCs w:val="22"/>
        </w:rPr>
        <w:t xml:space="preserve"> Aprobar, modificar o revocar la clasificación de la información;</w:t>
      </w:r>
    </w:p>
    <w:p w14:paraId="42CDD815" w14:textId="77777777" w:rsidR="002B7C6F" w:rsidRPr="00BC5CCA" w:rsidRDefault="002B7C6F" w:rsidP="00BC5CCA">
      <w:pPr>
        <w:rPr>
          <w:szCs w:val="22"/>
        </w:rPr>
      </w:pPr>
    </w:p>
    <w:p w14:paraId="5E0FE30C" w14:textId="77777777" w:rsidR="00AC3CA0" w:rsidRPr="00BC5CCA" w:rsidRDefault="00AC3CA0" w:rsidP="00BC5CCA">
      <w:pPr>
        <w:pStyle w:val="Puesto"/>
        <w:rPr>
          <w:szCs w:val="22"/>
        </w:rPr>
      </w:pPr>
      <w:r w:rsidRPr="00BC5CCA">
        <w:rPr>
          <w:b/>
          <w:szCs w:val="22"/>
        </w:rPr>
        <w:t>Artículo 132.</w:t>
      </w:r>
      <w:r w:rsidRPr="00BC5CCA">
        <w:rPr>
          <w:szCs w:val="22"/>
        </w:rPr>
        <w:t xml:space="preserve"> La clasificación de la información se llevará a cabo en el momento en que:</w:t>
      </w:r>
    </w:p>
    <w:p w14:paraId="22862CEF" w14:textId="77777777" w:rsidR="00AC3CA0" w:rsidRPr="00BC5CCA" w:rsidRDefault="00AC3CA0" w:rsidP="00BC5CCA">
      <w:pPr>
        <w:pStyle w:val="Puesto"/>
        <w:rPr>
          <w:szCs w:val="22"/>
        </w:rPr>
      </w:pPr>
      <w:r w:rsidRPr="00BC5CCA">
        <w:rPr>
          <w:b/>
          <w:szCs w:val="22"/>
        </w:rPr>
        <w:t>I.</w:t>
      </w:r>
      <w:r w:rsidRPr="00BC5CCA">
        <w:rPr>
          <w:szCs w:val="22"/>
        </w:rPr>
        <w:t xml:space="preserve"> Se reciba una solicitud de acceso a la información;</w:t>
      </w:r>
    </w:p>
    <w:p w14:paraId="1076A40B" w14:textId="77777777" w:rsidR="00AC3CA0" w:rsidRPr="00BC5CCA" w:rsidRDefault="00AC3CA0" w:rsidP="00BC5CCA">
      <w:pPr>
        <w:pStyle w:val="Puesto"/>
        <w:rPr>
          <w:szCs w:val="22"/>
        </w:rPr>
      </w:pPr>
      <w:r w:rsidRPr="00BC5CCA">
        <w:rPr>
          <w:b/>
          <w:szCs w:val="22"/>
        </w:rPr>
        <w:t>II.</w:t>
      </w:r>
      <w:r w:rsidRPr="00BC5CCA">
        <w:rPr>
          <w:szCs w:val="22"/>
        </w:rPr>
        <w:t xml:space="preserve"> Se determine mediante resolución de autoridad competente; o</w:t>
      </w:r>
    </w:p>
    <w:p w14:paraId="327FFDF5" w14:textId="77777777" w:rsidR="00AC3CA0" w:rsidRPr="00BC5CCA" w:rsidRDefault="00AC3CA0" w:rsidP="00BC5CCA">
      <w:pPr>
        <w:pStyle w:val="Puesto"/>
        <w:rPr>
          <w:b/>
          <w:szCs w:val="22"/>
        </w:rPr>
      </w:pPr>
      <w:r w:rsidRPr="00BC5CCA">
        <w:rPr>
          <w:b/>
          <w:bCs/>
          <w:szCs w:val="22"/>
        </w:rPr>
        <w:t>III.</w:t>
      </w:r>
      <w:r w:rsidRPr="00BC5CCA">
        <w:rPr>
          <w:szCs w:val="22"/>
        </w:rPr>
        <w:t xml:space="preserve"> Se generen versiones públicas para dar cumplimiento a las obligaciones de transparencia previstas en esta Ley.</w:t>
      </w:r>
      <w:r w:rsidRPr="00BC5CCA">
        <w:rPr>
          <w:b/>
          <w:szCs w:val="22"/>
        </w:rPr>
        <w:t>”</w:t>
      </w:r>
    </w:p>
    <w:p w14:paraId="63550E79" w14:textId="77777777" w:rsidR="002B7C6F" w:rsidRPr="00BC5CCA" w:rsidRDefault="002B7C6F" w:rsidP="00BC5CCA">
      <w:pPr>
        <w:rPr>
          <w:szCs w:val="22"/>
        </w:rPr>
      </w:pPr>
    </w:p>
    <w:p w14:paraId="733E702D" w14:textId="04C291BD" w:rsidR="00AC3CA0" w:rsidRPr="00BC5CCA" w:rsidRDefault="00AC3CA0" w:rsidP="00BC5CCA">
      <w:pPr>
        <w:pStyle w:val="Puesto"/>
        <w:rPr>
          <w:szCs w:val="22"/>
        </w:rPr>
      </w:pPr>
      <w:r w:rsidRPr="00BC5CCA">
        <w:rPr>
          <w:b/>
          <w:szCs w:val="22"/>
        </w:rPr>
        <w:t>“</w:t>
      </w:r>
      <w:r w:rsidR="002B7C6F" w:rsidRPr="00BC5CCA">
        <w:rPr>
          <w:b/>
          <w:szCs w:val="22"/>
        </w:rPr>
        <w:t>Segundo. -</w:t>
      </w:r>
      <w:r w:rsidRPr="00BC5CCA">
        <w:rPr>
          <w:szCs w:val="22"/>
        </w:rPr>
        <w:t xml:space="preserve"> Para efectos de los presentes Lineamientos Generales, se entenderá por:</w:t>
      </w:r>
    </w:p>
    <w:p w14:paraId="3D6255D3" w14:textId="77777777" w:rsidR="00AC3CA0" w:rsidRPr="00BC5CCA" w:rsidRDefault="00AC3CA0" w:rsidP="00BC5CCA">
      <w:pPr>
        <w:pStyle w:val="Puesto"/>
        <w:rPr>
          <w:szCs w:val="22"/>
        </w:rPr>
      </w:pPr>
      <w:r w:rsidRPr="00BC5CCA">
        <w:rPr>
          <w:b/>
          <w:szCs w:val="22"/>
        </w:rPr>
        <w:t>XVIII.</w:t>
      </w:r>
      <w:r w:rsidRPr="00BC5CCA">
        <w:rPr>
          <w:szCs w:val="22"/>
        </w:rPr>
        <w:t xml:space="preserve">  </w:t>
      </w:r>
      <w:r w:rsidRPr="00BC5CCA">
        <w:rPr>
          <w:b/>
          <w:szCs w:val="22"/>
        </w:rPr>
        <w:t>Versión pública:</w:t>
      </w:r>
      <w:r w:rsidRPr="00BC5CCA">
        <w:rPr>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008353A7" w14:textId="77777777" w:rsidR="00AC3CA0" w:rsidRPr="00BC5CCA" w:rsidRDefault="00AC3CA0" w:rsidP="00BC5CCA">
      <w:pPr>
        <w:pStyle w:val="Puesto"/>
        <w:rPr>
          <w:szCs w:val="22"/>
        </w:rPr>
      </w:pPr>
    </w:p>
    <w:p w14:paraId="492CD288" w14:textId="77777777" w:rsidR="00AC3CA0" w:rsidRPr="00BC5CCA" w:rsidRDefault="00AC3CA0" w:rsidP="00BC5CCA">
      <w:pPr>
        <w:pStyle w:val="Puesto"/>
        <w:rPr>
          <w:b/>
          <w:szCs w:val="22"/>
          <w:lang w:val="es-ES_tradnl" w:eastAsia="es-MX"/>
        </w:rPr>
      </w:pPr>
      <w:r w:rsidRPr="00BC5CCA">
        <w:rPr>
          <w:b/>
          <w:szCs w:val="22"/>
          <w:lang w:val="es-ES_tradnl" w:eastAsia="es-MX"/>
        </w:rPr>
        <w:t xml:space="preserve">Lineamientos Generales en materia de Clasificación y Desclasificación de la </w:t>
      </w:r>
      <w:r w:rsidRPr="00BC5CCA">
        <w:rPr>
          <w:b/>
          <w:szCs w:val="22"/>
          <w:lang w:val="es-ES_tradnl"/>
        </w:rPr>
        <w:t>Información</w:t>
      </w:r>
    </w:p>
    <w:p w14:paraId="57959355" w14:textId="77777777" w:rsidR="00AC3CA0" w:rsidRPr="00BC5CCA" w:rsidRDefault="00AC3CA0" w:rsidP="00BC5CCA">
      <w:pPr>
        <w:pStyle w:val="Puesto"/>
        <w:rPr>
          <w:szCs w:val="22"/>
        </w:rPr>
      </w:pPr>
    </w:p>
    <w:p w14:paraId="204206B6" w14:textId="77777777" w:rsidR="00AC3CA0" w:rsidRPr="00BC5CCA" w:rsidRDefault="00AC3CA0" w:rsidP="00BC5CCA">
      <w:pPr>
        <w:pStyle w:val="Puesto"/>
        <w:rPr>
          <w:szCs w:val="22"/>
        </w:rPr>
      </w:pPr>
      <w:r w:rsidRPr="00BC5CCA">
        <w:rPr>
          <w:b/>
          <w:szCs w:val="22"/>
        </w:rPr>
        <w:t>Cuarto.</w:t>
      </w:r>
      <w:r w:rsidRPr="00BC5CCA">
        <w:rPr>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0083E00" w14:textId="77777777" w:rsidR="00AC3CA0" w:rsidRPr="00BC5CCA" w:rsidRDefault="00AC3CA0" w:rsidP="00BC5CCA">
      <w:pPr>
        <w:pStyle w:val="Puesto"/>
        <w:rPr>
          <w:szCs w:val="22"/>
        </w:rPr>
      </w:pPr>
      <w:r w:rsidRPr="00BC5CCA">
        <w:rPr>
          <w:szCs w:val="22"/>
        </w:rPr>
        <w:t>Los sujetos obligados deberán aplicar, de manera estricta, las excepciones al derecho de acceso a la información y sólo podrán invocarlas cuando acrediten su procedencia.</w:t>
      </w:r>
    </w:p>
    <w:p w14:paraId="2334DA4A" w14:textId="77777777" w:rsidR="002B7C6F" w:rsidRPr="00BC5CCA" w:rsidRDefault="002B7C6F" w:rsidP="00BC5CCA">
      <w:pPr>
        <w:rPr>
          <w:szCs w:val="22"/>
        </w:rPr>
      </w:pPr>
    </w:p>
    <w:p w14:paraId="773F3D38" w14:textId="77777777" w:rsidR="00AC3CA0" w:rsidRPr="00BC5CCA" w:rsidRDefault="00AC3CA0" w:rsidP="00BC5CCA">
      <w:pPr>
        <w:pStyle w:val="Puesto"/>
        <w:rPr>
          <w:szCs w:val="22"/>
        </w:rPr>
      </w:pPr>
      <w:r w:rsidRPr="00BC5CCA">
        <w:rPr>
          <w:b/>
          <w:szCs w:val="22"/>
        </w:rPr>
        <w:t>Quinto.</w:t>
      </w:r>
      <w:r w:rsidRPr="00BC5CCA">
        <w:rPr>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4EE090E8" w14:textId="77777777" w:rsidR="002B7C6F" w:rsidRPr="00BC5CCA" w:rsidRDefault="002B7C6F" w:rsidP="00BC5CCA">
      <w:pPr>
        <w:rPr>
          <w:szCs w:val="22"/>
        </w:rPr>
      </w:pPr>
    </w:p>
    <w:p w14:paraId="501C8886" w14:textId="77777777" w:rsidR="00AC3CA0" w:rsidRPr="00BC5CCA" w:rsidRDefault="00AC3CA0" w:rsidP="00BC5CCA">
      <w:pPr>
        <w:pStyle w:val="Puesto"/>
        <w:rPr>
          <w:szCs w:val="22"/>
        </w:rPr>
      </w:pPr>
      <w:r w:rsidRPr="00BC5CCA">
        <w:rPr>
          <w:b/>
          <w:szCs w:val="22"/>
        </w:rPr>
        <w:t>Sexto.</w:t>
      </w:r>
      <w:r w:rsidRPr="00BC5CCA">
        <w:rPr>
          <w:szCs w:val="22"/>
        </w:rPr>
        <w:t xml:space="preserve"> Se deroga.</w:t>
      </w:r>
    </w:p>
    <w:p w14:paraId="35534E5B" w14:textId="77777777" w:rsidR="002B7C6F" w:rsidRPr="00BC5CCA" w:rsidRDefault="002B7C6F" w:rsidP="00BC5CCA">
      <w:pPr>
        <w:rPr>
          <w:szCs w:val="22"/>
        </w:rPr>
      </w:pPr>
    </w:p>
    <w:p w14:paraId="71AE6E31" w14:textId="77777777" w:rsidR="00AC3CA0" w:rsidRPr="00BC5CCA" w:rsidRDefault="00AC3CA0" w:rsidP="00BC5CCA">
      <w:pPr>
        <w:pStyle w:val="Puesto"/>
        <w:rPr>
          <w:szCs w:val="22"/>
        </w:rPr>
      </w:pPr>
      <w:r w:rsidRPr="00BC5CCA">
        <w:rPr>
          <w:b/>
          <w:szCs w:val="22"/>
        </w:rPr>
        <w:lastRenderedPageBreak/>
        <w:t>Séptimo.</w:t>
      </w:r>
      <w:r w:rsidRPr="00BC5CCA">
        <w:rPr>
          <w:szCs w:val="22"/>
        </w:rPr>
        <w:t xml:space="preserve"> La clasificación de la información se llevará a cabo en el momento en que:</w:t>
      </w:r>
    </w:p>
    <w:p w14:paraId="4BC6551F" w14:textId="77777777" w:rsidR="00AC3CA0" w:rsidRPr="00BC5CCA" w:rsidRDefault="00AC3CA0" w:rsidP="00BC5CCA">
      <w:pPr>
        <w:pStyle w:val="Puesto"/>
        <w:rPr>
          <w:szCs w:val="22"/>
        </w:rPr>
      </w:pPr>
      <w:r w:rsidRPr="00BC5CCA">
        <w:rPr>
          <w:b/>
          <w:szCs w:val="22"/>
        </w:rPr>
        <w:t>I.</w:t>
      </w:r>
      <w:r w:rsidRPr="00BC5CCA">
        <w:rPr>
          <w:szCs w:val="22"/>
        </w:rPr>
        <w:t xml:space="preserve">        Se reciba una solicitud de acceso a la información;</w:t>
      </w:r>
    </w:p>
    <w:p w14:paraId="12BC61E7" w14:textId="77777777" w:rsidR="00AC3CA0" w:rsidRPr="00BC5CCA" w:rsidRDefault="00AC3CA0" w:rsidP="00BC5CCA">
      <w:pPr>
        <w:pStyle w:val="Puesto"/>
        <w:rPr>
          <w:szCs w:val="22"/>
        </w:rPr>
      </w:pPr>
      <w:r w:rsidRPr="00BC5CCA">
        <w:rPr>
          <w:b/>
          <w:szCs w:val="22"/>
        </w:rPr>
        <w:t>II.</w:t>
      </w:r>
      <w:r w:rsidRPr="00BC5CCA">
        <w:rPr>
          <w:szCs w:val="22"/>
        </w:rPr>
        <w:t xml:space="preserve">       Se determine mediante resolución del Comité de Transparencia, el órgano garante competente, o en cumplimiento a una sentencia del Poder Judicial; o</w:t>
      </w:r>
    </w:p>
    <w:p w14:paraId="60049403" w14:textId="77777777" w:rsidR="00AC3CA0" w:rsidRPr="00BC5CCA" w:rsidRDefault="00AC3CA0" w:rsidP="00BC5CCA">
      <w:pPr>
        <w:pStyle w:val="Puesto"/>
        <w:rPr>
          <w:szCs w:val="22"/>
        </w:rPr>
      </w:pPr>
      <w:r w:rsidRPr="00BC5CCA">
        <w:rPr>
          <w:b/>
          <w:szCs w:val="22"/>
        </w:rPr>
        <w:t>III.</w:t>
      </w:r>
      <w:r w:rsidRPr="00BC5CCA">
        <w:rPr>
          <w:szCs w:val="22"/>
        </w:rPr>
        <w:t xml:space="preserve">      Se generen versiones públicas para dar cumplimiento a las obligaciones de transparencia previstas en la Ley General, la Ley Federal y las correspondientes de las entidades federativas.</w:t>
      </w:r>
    </w:p>
    <w:p w14:paraId="2AAF20AA" w14:textId="77777777" w:rsidR="00AC3CA0" w:rsidRPr="00BC5CCA" w:rsidRDefault="00AC3CA0" w:rsidP="00BC5CCA">
      <w:pPr>
        <w:pStyle w:val="Puesto"/>
        <w:rPr>
          <w:szCs w:val="22"/>
        </w:rPr>
      </w:pPr>
      <w:r w:rsidRPr="00BC5CCA">
        <w:rPr>
          <w:szCs w:val="22"/>
        </w:rPr>
        <w:t xml:space="preserve">Los titulares de las áreas deberán revisar la información requerida al momento de la recepción de una solicitud de acceso, para verificar, conforme a su naturaleza, si encuadra en una causal de reserva o de confidencialidad. </w:t>
      </w:r>
    </w:p>
    <w:p w14:paraId="742EA7F9" w14:textId="77777777" w:rsidR="002B7C6F" w:rsidRPr="00BC5CCA" w:rsidRDefault="002B7C6F" w:rsidP="00BC5CCA">
      <w:pPr>
        <w:rPr>
          <w:szCs w:val="22"/>
        </w:rPr>
      </w:pPr>
    </w:p>
    <w:p w14:paraId="1B84F0FA" w14:textId="77777777" w:rsidR="00AC3CA0" w:rsidRPr="00BC5CCA" w:rsidRDefault="00AC3CA0" w:rsidP="00BC5CCA">
      <w:pPr>
        <w:pStyle w:val="Puesto"/>
        <w:rPr>
          <w:szCs w:val="22"/>
        </w:rPr>
      </w:pPr>
      <w:r w:rsidRPr="00BC5CCA">
        <w:rPr>
          <w:b/>
          <w:szCs w:val="22"/>
        </w:rPr>
        <w:t>Octavo.</w:t>
      </w:r>
      <w:r w:rsidRPr="00BC5CCA">
        <w:rPr>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561D6AC7" w14:textId="77777777" w:rsidR="00AC3CA0" w:rsidRPr="00BC5CCA" w:rsidRDefault="00AC3CA0" w:rsidP="00BC5CCA">
      <w:pPr>
        <w:pStyle w:val="Puesto"/>
        <w:rPr>
          <w:szCs w:val="22"/>
        </w:rPr>
      </w:pPr>
      <w:r w:rsidRPr="00BC5CCA">
        <w:rPr>
          <w:szCs w:val="22"/>
        </w:rPr>
        <w:t>Para motivar la clasificación se deberán señalar las razones o circunstancias especiales que lo llevaron a concluir que el caso particular se ajusta al supuesto previsto por la norma legal invocada como fundamento.</w:t>
      </w:r>
    </w:p>
    <w:p w14:paraId="41964AD4" w14:textId="77777777" w:rsidR="00AC3CA0" w:rsidRPr="00BC5CCA" w:rsidRDefault="00AC3CA0" w:rsidP="00BC5CCA">
      <w:pPr>
        <w:pStyle w:val="Puesto"/>
        <w:rPr>
          <w:szCs w:val="22"/>
        </w:rPr>
      </w:pPr>
      <w:r w:rsidRPr="00BC5CCA">
        <w:rPr>
          <w:szCs w:val="22"/>
        </w:rPr>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352B4BBC" w14:textId="77777777" w:rsidR="002B7C6F" w:rsidRPr="00BC5CCA" w:rsidRDefault="002B7C6F" w:rsidP="00BC5CCA">
      <w:pPr>
        <w:rPr>
          <w:szCs w:val="22"/>
        </w:rPr>
      </w:pPr>
    </w:p>
    <w:p w14:paraId="3DC18E7E" w14:textId="77777777" w:rsidR="00AC3CA0" w:rsidRPr="00BC5CCA" w:rsidRDefault="00AC3CA0" w:rsidP="00BC5CCA">
      <w:pPr>
        <w:pStyle w:val="Puesto"/>
        <w:rPr>
          <w:szCs w:val="22"/>
        </w:rPr>
      </w:pPr>
      <w:r w:rsidRPr="00BC5CCA">
        <w:rPr>
          <w:b/>
          <w:szCs w:val="22"/>
        </w:rPr>
        <w:t>Noveno.</w:t>
      </w:r>
      <w:r w:rsidRPr="00BC5CCA">
        <w:rPr>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3831D8CC" w14:textId="77777777" w:rsidR="002B7C6F" w:rsidRPr="00BC5CCA" w:rsidRDefault="002B7C6F" w:rsidP="00BC5CCA">
      <w:pPr>
        <w:rPr>
          <w:szCs w:val="22"/>
        </w:rPr>
      </w:pPr>
    </w:p>
    <w:p w14:paraId="45844BB1" w14:textId="77777777" w:rsidR="00AC3CA0" w:rsidRPr="00BC5CCA" w:rsidRDefault="00AC3CA0" w:rsidP="00BC5CCA">
      <w:pPr>
        <w:pStyle w:val="Puesto"/>
        <w:rPr>
          <w:szCs w:val="22"/>
        </w:rPr>
      </w:pPr>
      <w:r w:rsidRPr="00BC5CCA">
        <w:rPr>
          <w:b/>
          <w:szCs w:val="22"/>
        </w:rPr>
        <w:t>Décimo.</w:t>
      </w:r>
      <w:r w:rsidRPr="00BC5CCA">
        <w:rPr>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7F58AFEC" w14:textId="77777777" w:rsidR="00AC3CA0" w:rsidRPr="00BC5CCA" w:rsidRDefault="00AC3CA0" w:rsidP="00BC5CCA">
      <w:pPr>
        <w:pStyle w:val="Puesto"/>
        <w:rPr>
          <w:szCs w:val="22"/>
        </w:rPr>
      </w:pPr>
      <w:r w:rsidRPr="00BC5CCA">
        <w:rPr>
          <w:szCs w:val="22"/>
        </w:rPr>
        <w:t>En ausencia de los titulares de las áreas, la información será clasificada o desclasificada por la persona que lo supla, en términos de la normativa que rija la actuación del sujeto obligado.</w:t>
      </w:r>
    </w:p>
    <w:p w14:paraId="0861DCC9" w14:textId="77777777" w:rsidR="00AC3CA0" w:rsidRPr="00BC5CCA" w:rsidRDefault="00AC3CA0" w:rsidP="00BC5CCA">
      <w:pPr>
        <w:pStyle w:val="Puesto"/>
        <w:rPr>
          <w:b/>
          <w:szCs w:val="22"/>
        </w:rPr>
      </w:pPr>
      <w:r w:rsidRPr="00BC5CCA">
        <w:rPr>
          <w:b/>
          <w:szCs w:val="22"/>
        </w:rPr>
        <w:lastRenderedPageBreak/>
        <w:t>Décimo primero.</w:t>
      </w:r>
      <w:r w:rsidRPr="00BC5CCA">
        <w:rPr>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BC5CCA">
        <w:rPr>
          <w:b/>
          <w:szCs w:val="22"/>
        </w:rPr>
        <w:t>”</w:t>
      </w:r>
    </w:p>
    <w:p w14:paraId="2D5FBBCD" w14:textId="77777777" w:rsidR="00AC3CA0" w:rsidRPr="00BC5CCA" w:rsidRDefault="00AC3CA0" w:rsidP="00BC5CCA">
      <w:pPr>
        <w:rPr>
          <w:szCs w:val="22"/>
        </w:rPr>
      </w:pPr>
    </w:p>
    <w:p w14:paraId="05D0E4C9" w14:textId="0A69CA87" w:rsidR="00AC3CA0" w:rsidRPr="00BC5CCA" w:rsidRDefault="00AC3CA0" w:rsidP="00BC5CCA">
      <w:pPr>
        <w:rPr>
          <w:szCs w:val="22"/>
          <w:lang w:eastAsia="es-CO"/>
        </w:rPr>
      </w:pPr>
      <w:r w:rsidRPr="00BC5CCA">
        <w:rPr>
          <w:szCs w:val="22"/>
        </w:rPr>
        <w:t xml:space="preserve">Consecuentemente, se destaca que la versión pública que elabore </w:t>
      </w:r>
      <w:r w:rsidRPr="00BC5CCA">
        <w:rPr>
          <w:b/>
          <w:szCs w:val="22"/>
        </w:rPr>
        <w:t>EL SUJETO OBLIGADO</w:t>
      </w:r>
      <w:r w:rsidRPr="00BC5CCA">
        <w:rPr>
          <w:szCs w:val="22"/>
        </w:rPr>
        <w:t xml:space="preserve"> debe cumplir con las formalidades exigidas en la Ley, por lo que para tal efecto emitirá el </w:t>
      </w:r>
      <w:r w:rsidRPr="00BC5CCA">
        <w:rPr>
          <w:b/>
          <w:szCs w:val="22"/>
        </w:rPr>
        <w:t>Acuerdo del Comité de Transparencia</w:t>
      </w:r>
      <w:r w:rsidRPr="00BC5CCA">
        <w:rPr>
          <w:szCs w:val="22"/>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BC5CCA">
        <w:rPr>
          <w:szCs w:val="22"/>
          <w:lang w:eastAsia="es-CO"/>
        </w:rPr>
        <w:t>, ya que</w:t>
      </w:r>
      <w:r w:rsidR="002B7C6F" w:rsidRPr="00BC5CCA">
        <w:rPr>
          <w:szCs w:val="22"/>
          <w:lang w:eastAsia="es-CO"/>
        </w:rPr>
        <w:t xml:space="preserve"> de</w:t>
      </w:r>
      <w:r w:rsidRPr="00BC5CCA">
        <w:rPr>
          <w:szCs w:val="22"/>
          <w:lang w:eastAsia="es-CO"/>
        </w:rPr>
        <w:t xml:space="preserve"> no hacerlo implica que lo entregado no es legal ni formalmente una versión pública, sino más bien una documentación ilegible, incompleta o tachada; pues no </w:t>
      </w:r>
      <w:r w:rsidR="002B7C6F" w:rsidRPr="00BC5CCA">
        <w:rPr>
          <w:szCs w:val="22"/>
          <w:lang w:eastAsia="es-CO"/>
        </w:rPr>
        <w:t xml:space="preserve">se </w:t>
      </w:r>
      <w:r w:rsidRPr="00BC5CCA">
        <w:rPr>
          <w:szCs w:val="22"/>
          <w:lang w:eastAsia="es-CO"/>
        </w:rPr>
        <w:t>señala</w:t>
      </w:r>
      <w:r w:rsidR="002B7C6F" w:rsidRPr="00BC5CCA">
        <w:rPr>
          <w:szCs w:val="22"/>
          <w:lang w:eastAsia="es-CO"/>
        </w:rPr>
        <w:t>n</w:t>
      </w:r>
      <w:r w:rsidRPr="00BC5CCA">
        <w:rPr>
          <w:szCs w:val="22"/>
          <w:lang w:eastAsia="es-CO"/>
        </w:rPr>
        <w:t xml:space="preserve"> las razones por las que no se aprecian determinados datos -ya sea porque se testan o suprimen- </w:t>
      </w:r>
      <w:r w:rsidR="002B7C6F" w:rsidRPr="00BC5CCA">
        <w:rPr>
          <w:szCs w:val="22"/>
          <w:lang w:eastAsia="es-CO"/>
        </w:rPr>
        <w:t xml:space="preserve">lo cual </w:t>
      </w:r>
      <w:r w:rsidRPr="00BC5CCA">
        <w:rPr>
          <w:szCs w:val="22"/>
          <w:lang w:eastAsia="es-CO"/>
        </w:rPr>
        <w:t>deja al solicitante en estado de incertidumbre, al no conocer o comprender porque no aparecen en la documentación respectiva, es decir, si no se exponen de manera puntual las razones</w:t>
      </w:r>
      <w:r w:rsidR="002B7C6F" w:rsidRPr="00BC5CCA">
        <w:rPr>
          <w:szCs w:val="22"/>
          <w:lang w:eastAsia="es-CO"/>
        </w:rPr>
        <w:t xml:space="preserve">, </w:t>
      </w:r>
      <w:r w:rsidRPr="00BC5CCA">
        <w:rPr>
          <w:szCs w:val="22"/>
          <w:lang w:eastAsia="es-CO"/>
        </w:rPr>
        <w:t>se estaría violentando desde un inicio el derecho de acceso a la información del solicitante.</w:t>
      </w:r>
    </w:p>
    <w:p w14:paraId="0147551F" w14:textId="77777777" w:rsidR="0039076D" w:rsidRPr="00BC5CCA" w:rsidRDefault="0039076D" w:rsidP="00BC5CCA">
      <w:pPr>
        <w:rPr>
          <w:szCs w:val="22"/>
          <w:lang w:eastAsia="es-CO"/>
        </w:rPr>
      </w:pPr>
    </w:p>
    <w:p w14:paraId="6CD05AC4" w14:textId="44230BFE" w:rsidR="00BD5A7C" w:rsidRPr="00BC5CCA" w:rsidRDefault="0039076D" w:rsidP="00BC5CCA">
      <w:pPr>
        <w:pStyle w:val="Ttulo3"/>
        <w:rPr>
          <w:szCs w:val="22"/>
        </w:rPr>
      </w:pPr>
      <w:bookmarkStart w:id="30" w:name="_Toc199960464"/>
      <w:r w:rsidRPr="00BC5CCA">
        <w:rPr>
          <w:szCs w:val="22"/>
        </w:rPr>
        <w:t>e</w:t>
      </w:r>
      <w:r w:rsidR="00BD5A7C" w:rsidRPr="00BC5CCA">
        <w:rPr>
          <w:szCs w:val="22"/>
        </w:rPr>
        <w:t>) Conclusión</w:t>
      </w:r>
      <w:bookmarkEnd w:id="30"/>
    </w:p>
    <w:p w14:paraId="3B3D3E89" w14:textId="38631EF1" w:rsidR="00E03962" w:rsidRPr="00BC5CCA" w:rsidRDefault="00E03962" w:rsidP="00BC5CCA">
      <w:pPr>
        <w:rPr>
          <w:rFonts w:cs="Tahoma"/>
          <w:szCs w:val="22"/>
        </w:rPr>
      </w:pPr>
      <w:r w:rsidRPr="00BC5CCA">
        <w:rPr>
          <w:rFonts w:cs="Tahoma"/>
          <w:szCs w:val="22"/>
        </w:rPr>
        <w:t xml:space="preserve">En razón de lo anteriormente expuesto, este Instituto estima que los motivos de inconformidad hechos valer por </w:t>
      </w:r>
      <w:r w:rsidRPr="00BC5CCA">
        <w:rPr>
          <w:rFonts w:cs="Tahoma"/>
          <w:b/>
          <w:bCs/>
          <w:szCs w:val="22"/>
        </w:rPr>
        <w:t>LA PARTE RECURRENTE</w:t>
      </w:r>
      <w:r w:rsidRPr="00BC5CCA">
        <w:rPr>
          <w:rFonts w:cs="Tahoma"/>
          <w:szCs w:val="22"/>
        </w:rPr>
        <w:t xml:space="preserve"> resultan fundados y, por tanto, procede </w:t>
      </w:r>
      <w:r w:rsidRPr="00BC5CCA">
        <w:rPr>
          <w:rFonts w:cs="Tahoma"/>
          <w:b/>
          <w:bCs/>
          <w:szCs w:val="22"/>
        </w:rPr>
        <w:t>REVOCAR</w:t>
      </w:r>
      <w:r w:rsidRPr="00BC5CCA">
        <w:rPr>
          <w:rFonts w:cs="Tahoma"/>
          <w:szCs w:val="22"/>
        </w:rPr>
        <w:t xml:space="preserve"> la respuesta emitida por el </w:t>
      </w:r>
      <w:r w:rsidRPr="00BC5CCA">
        <w:rPr>
          <w:rFonts w:cs="Tahoma"/>
          <w:b/>
          <w:bCs/>
          <w:szCs w:val="22"/>
        </w:rPr>
        <w:t>SUJETO OBLIGADO</w:t>
      </w:r>
      <w:r w:rsidRPr="00BC5CCA">
        <w:rPr>
          <w:rFonts w:cs="Tahoma"/>
          <w:szCs w:val="22"/>
        </w:rPr>
        <w:t xml:space="preserve"> y </w:t>
      </w:r>
      <w:r w:rsidRPr="00BC5CCA">
        <w:rPr>
          <w:rFonts w:cs="Tahoma"/>
          <w:b/>
          <w:bCs/>
          <w:szCs w:val="22"/>
        </w:rPr>
        <w:t>ORDENARLE</w:t>
      </w:r>
      <w:r w:rsidRPr="00BC5CCA">
        <w:rPr>
          <w:rFonts w:cs="Tahoma"/>
          <w:szCs w:val="22"/>
        </w:rPr>
        <w:t xml:space="preserve"> que, previa búsqueda exhaustiva y razonable, realice la entrega de los documentos en donde se advierta el procedimiento, trámite o mecanismo mediante el cual se llevó a cabo la asignación de la organización de la “FERIA DEL CABALLO 2025”; y el nombre de la persona física o jurídico colectiva a quien se le asignó la organización de la “FERIA DEL CABALLO 2025”, en virtud del procedimiento señalado.</w:t>
      </w:r>
    </w:p>
    <w:p w14:paraId="6C4C444E" w14:textId="16F1DC79" w:rsidR="00BD5A7C" w:rsidRPr="00BC5CCA" w:rsidRDefault="00BD5A7C" w:rsidP="00BC5CCA">
      <w:pPr>
        <w:ind w:right="-93"/>
        <w:rPr>
          <w:rFonts w:cs="Tahoma"/>
          <w:bCs/>
          <w:szCs w:val="22"/>
        </w:rPr>
      </w:pPr>
      <w:bookmarkStart w:id="31" w:name="_Hlk165381027"/>
      <w:r w:rsidRPr="00BC5CCA">
        <w:rPr>
          <w:rFonts w:cs="Tahoma"/>
          <w:bCs/>
          <w:szCs w:val="22"/>
        </w:rPr>
        <w:lastRenderedPageBreak/>
        <w:t>Así, con fundamento en lo establecido en los artículos 5, párrafos trigésimo segundo, trigésimo tercero y trigésimo cuarto,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bookmarkEnd w:id="31"/>
    <w:p w14:paraId="7C13D1A0" w14:textId="77777777" w:rsidR="00BD5A7C" w:rsidRPr="00BC5CCA" w:rsidRDefault="00BD5A7C" w:rsidP="00BC5CCA">
      <w:pPr>
        <w:rPr>
          <w:szCs w:val="22"/>
        </w:rPr>
      </w:pPr>
    </w:p>
    <w:p w14:paraId="5C396097" w14:textId="684A0E4F" w:rsidR="00664420" w:rsidRPr="00BC5CCA" w:rsidRDefault="00664420" w:rsidP="00BC5CCA">
      <w:pPr>
        <w:pStyle w:val="Ttulo1"/>
        <w:rPr>
          <w:szCs w:val="22"/>
        </w:rPr>
      </w:pPr>
      <w:bookmarkStart w:id="32" w:name="_Toc199960465"/>
      <w:r w:rsidRPr="00BC5CCA">
        <w:rPr>
          <w:szCs w:val="22"/>
        </w:rPr>
        <w:t>RESUELVE</w:t>
      </w:r>
      <w:bookmarkEnd w:id="32"/>
    </w:p>
    <w:p w14:paraId="203B7093" w14:textId="77777777" w:rsidR="00664420" w:rsidRPr="00BC5CCA" w:rsidRDefault="00664420" w:rsidP="00BC5CCA">
      <w:pPr>
        <w:ind w:right="113"/>
        <w:rPr>
          <w:rFonts w:cs="Arial"/>
          <w:b/>
          <w:szCs w:val="22"/>
        </w:rPr>
      </w:pPr>
    </w:p>
    <w:p w14:paraId="40DE562B" w14:textId="4F915556" w:rsidR="00FC3CE0" w:rsidRPr="00BC5CCA" w:rsidRDefault="00FC3CE0" w:rsidP="00BC5CCA">
      <w:pPr>
        <w:widowControl w:val="0"/>
        <w:rPr>
          <w:rFonts w:eastAsia="Calibri" w:cs="Tahoma"/>
          <w:bCs/>
          <w:szCs w:val="22"/>
          <w:lang w:eastAsia="en-US"/>
        </w:rPr>
      </w:pPr>
      <w:r w:rsidRPr="00BC5CCA">
        <w:rPr>
          <w:b/>
          <w:bCs/>
          <w:szCs w:val="22"/>
        </w:rPr>
        <w:t>PRIMERO.</w:t>
      </w:r>
      <w:r w:rsidRPr="00BC5CCA">
        <w:rPr>
          <w:szCs w:val="22"/>
        </w:rPr>
        <w:t xml:space="preserve"> </w:t>
      </w:r>
      <w:r w:rsidRPr="00BC5CCA">
        <w:rPr>
          <w:rFonts w:cs="Tahoma"/>
          <w:szCs w:val="22"/>
        </w:rPr>
        <w:t>Se</w:t>
      </w:r>
      <w:r w:rsidR="0039076D" w:rsidRPr="00BC5CCA">
        <w:rPr>
          <w:rFonts w:cs="Tahoma"/>
          <w:szCs w:val="22"/>
        </w:rPr>
        <w:t xml:space="preserve"> </w:t>
      </w:r>
      <w:r w:rsidR="004E5068" w:rsidRPr="00BC5CCA">
        <w:rPr>
          <w:rFonts w:cs="Tahoma"/>
          <w:b/>
          <w:bCs/>
          <w:szCs w:val="22"/>
        </w:rPr>
        <w:t>REVOCA</w:t>
      </w:r>
      <w:r w:rsidRPr="00BC5CCA">
        <w:rPr>
          <w:rFonts w:cs="Tahoma"/>
          <w:szCs w:val="22"/>
        </w:rPr>
        <w:t xml:space="preserve"> la respuesta entregada por el </w:t>
      </w:r>
      <w:r w:rsidR="004E5068" w:rsidRPr="00BC5CCA">
        <w:rPr>
          <w:rFonts w:cs="Tahoma"/>
          <w:b/>
          <w:bCs/>
          <w:szCs w:val="22"/>
        </w:rPr>
        <w:t>SUJETO OBLIGADO</w:t>
      </w:r>
      <w:r w:rsidR="004E5068" w:rsidRPr="00BC5CCA">
        <w:rPr>
          <w:rFonts w:cs="Tahoma"/>
          <w:szCs w:val="22"/>
        </w:rPr>
        <w:t xml:space="preserve"> </w:t>
      </w:r>
      <w:r w:rsidR="0041385B" w:rsidRPr="00BC5CCA">
        <w:rPr>
          <w:rFonts w:cs="Tahoma"/>
          <w:szCs w:val="22"/>
        </w:rPr>
        <w:t>en</w:t>
      </w:r>
      <w:r w:rsidRPr="00BC5CCA">
        <w:rPr>
          <w:rFonts w:cs="Tahoma"/>
          <w:szCs w:val="22"/>
        </w:rPr>
        <w:t xml:space="preserve"> la solicitud de información </w:t>
      </w:r>
      <w:r w:rsidR="0039076D" w:rsidRPr="00BC5CCA">
        <w:rPr>
          <w:rFonts w:cs="Tahoma"/>
          <w:b/>
          <w:bCs/>
          <w:szCs w:val="22"/>
        </w:rPr>
        <w:t>00047/TEXCOCO/IP/2025</w:t>
      </w:r>
      <w:r w:rsidRPr="00BC5CCA">
        <w:rPr>
          <w:rFonts w:cs="Tahoma"/>
          <w:bCs/>
          <w:szCs w:val="22"/>
        </w:rPr>
        <w:t xml:space="preserve">, </w:t>
      </w:r>
      <w:r w:rsidRPr="00BC5CCA">
        <w:rPr>
          <w:rFonts w:eastAsia="Calibri" w:cs="Tahoma"/>
          <w:bCs/>
          <w:szCs w:val="22"/>
          <w:lang w:eastAsia="en-US"/>
        </w:rPr>
        <w:t xml:space="preserve">por resultar </w:t>
      </w:r>
      <w:r w:rsidRPr="00BC5CCA">
        <w:rPr>
          <w:rFonts w:eastAsia="Calibri" w:cs="Tahoma"/>
          <w:b/>
          <w:bCs/>
          <w:szCs w:val="22"/>
          <w:lang w:eastAsia="en-US"/>
        </w:rPr>
        <w:t>FUNDADAS</w:t>
      </w:r>
      <w:r w:rsidRPr="00BC5CCA">
        <w:rPr>
          <w:rFonts w:eastAsia="Calibri" w:cs="Tahoma"/>
          <w:bCs/>
          <w:szCs w:val="22"/>
          <w:lang w:eastAsia="en-US"/>
        </w:rPr>
        <w:t xml:space="preserve"> las razones o motivos de inconformidad hechos valer por </w:t>
      </w:r>
      <w:r w:rsidRPr="00BC5CCA">
        <w:rPr>
          <w:rFonts w:eastAsia="Calibri" w:cs="Tahoma"/>
          <w:b/>
          <w:szCs w:val="22"/>
          <w:lang w:eastAsia="en-US"/>
        </w:rPr>
        <w:t>LA PARTE RECURRENTE</w:t>
      </w:r>
      <w:r w:rsidRPr="00BC5CCA">
        <w:rPr>
          <w:rFonts w:eastAsia="Calibri" w:cs="Tahoma"/>
          <w:bCs/>
          <w:szCs w:val="22"/>
          <w:lang w:eastAsia="en-US"/>
        </w:rPr>
        <w:t xml:space="preserve"> en el Recurso de Revisión </w:t>
      </w:r>
      <w:r w:rsidR="0039076D" w:rsidRPr="00BC5CCA">
        <w:rPr>
          <w:rFonts w:eastAsiaTheme="minorHAnsi" w:cstheme="minorBidi"/>
          <w:b/>
          <w:bCs/>
          <w:szCs w:val="22"/>
          <w:lang w:eastAsia="en-US"/>
        </w:rPr>
        <w:t>03332</w:t>
      </w:r>
      <w:r w:rsidRPr="00BC5CCA">
        <w:rPr>
          <w:rFonts w:eastAsiaTheme="minorHAnsi" w:cstheme="minorBidi"/>
          <w:b/>
          <w:bCs/>
          <w:szCs w:val="22"/>
          <w:lang w:eastAsia="en-US"/>
        </w:rPr>
        <w:t>/INFOEM/IP/RR/</w:t>
      </w:r>
      <w:r w:rsidR="0039076D" w:rsidRPr="00BC5CCA">
        <w:rPr>
          <w:rFonts w:eastAsiaTheme="minorHAnsi" w:cstheme="minorBidi"/>
          <w:b/>
          <w:bCs/>
          <w:szCs w:val="22"/>
          <w:lang w:eastAsia="en-US"/>
        </w:rPr>
        <w:t>2025</w:t>
      </w:r>
      <w:r w:rsidRPr="00BC5CCA">
        <w:rPr>
          <w:rFonts w:eastAsiaTheme="minorHAnsi" w:cstheme="minorBidi"/>
          <w:szCs w:val="22"/>
          <w:lang w:eastAsia="en-US"/>
        </w:rPr>
        <w:t>,</w:t>
      </w:r>
      <w:r w:rsidRPr="00BC5CCA">
        <w:rPr>
          <w:rFonts w:cs="Tahoma"/>
          <w:b/>
          <w:szCs w:val="22"/>
        </w:rPr>
        <w:t xml:space="preserve"> </w:t>
      </w:r>
      <w:r w:rsidRPr="00BC5CCA">
        <w:rPr>
          <w:rFonts w:eastAsia="Calibri" w:cs="Tahoma"/>
          <w:bCs/>
          <w:szCs w:val="22"/>
          <w:lang w:eastAsia="en-US"/>
        </w:rPr>
        <w:t xml:space="preserve">en términos del considerando </w:t>
      </w:r>
      <w:r w:rsidRPr="00BC5CCA">
        <w:rPr>
          <w:rFonts w:eastAsia="Calibri" w:cs="Tahoma"/>
          <w:b/>
          <w:szCs w:val="22"/>
          <w:lang w:eastAsia="en-US"/>
        </w:rPr>
        <w:t>SEGUNDO</w:t>
      </w:r>
      <w:r w:rsidRPr="00BC5CCA">
        <w:rPr>
          <w:rFonts w:eastAsia="Calibri" w:cs="Tahoma"/>
          <w:bCs/>
          <w:szCs w:val="22"/>
          <w:lang w:eastAsia="en-US"/>
        </w:rPr>
        <w:t xml:space="preserve"> de la presente Resolución.</w:t>
      </w:r>
    </w:p>
    <w:p w14:paraId="78D4A482" w14:textId="77777777" w:rsidR="00FC3CE0" w:rsidRPr="00BC5CCA" w:rsidRDefault="00FC3CE0" w:rsidP="00BC5CCA">
      <w:pPr>
        <w:widowControl w:val="0"/>
        <w:rPr>
          <w:rFonts w:eastAsia="Calibri" w:cs="Tahoma"/>
          <w:bCs/>
          <w:szCs w:val="22"/>
          <w:lang w:eastAsia="en-US"/>
        </w:rPr>
      </w:pPr>
    </w:p>
    <w:p w14:paraId="16CF919C" w14:textId="4E847E05" w:rsidR="00FC3CE0" w:rsidRPr="00BC5CCA" w:rsidRDefault="00FC3CE0" w:rsidP="00BC5CCA">
      <w:pPr>
        <w:ind w:right="-93"/>
        <w:rPr>
          <w:rFonts w:eastAsia="Calibri" w:cs="Tahoma"/>
          <w:bCs/>
          <w:szCs w:val="22"/>
          <w:lang w:eastAsia="en-US"/>
        </w:rPr>
      </w:pPr>
      <w:r w:rsidRPr="00BC5CCA">
        <w:rPr>
          <w:rFonts w:eastAsia="Calibri" w:cs="Tahoma"/>
          <w:b/>
          <w:bCs/>
          <w:szCs w:val="22"/>
          <w:lang w:eastAsia="en-US"/>
        </w:rPr>
        <w:t>SEGUNDO.</w:t>
      </w:r>
      <w:r w:rsidRPr="00BC5CCA">
        <w:rPr>
          <w:rFonts w:eastAsia="Calibri" w:cs="Tahoma"/>
          <w:szCs w:val="22"/>
          <w:lang w:eastAsia="es-MX"/>
        </w:rPr>
        <w:t xml:space="preserve"> Se </w:t>
      </w:r>
      <w:r w:rsidRPr="00BC5CCA">
        <w:rPr>
          <w:rFonts w:eastAsia="Calibri" w:cs="Tahoma"/>
          <w:b/>
          <w:szCs w:val="22"/>
          <w:lang w:eastAsia="es-MX"/>
        </w:rPr>
        <w:t xml:space="preserve">ORDENA </w:t>
      </w:r>
      <w:r w:rsidRPr="00BC5CCA">
        <w:rPr>
          <w:rFonts w:eastAsia="Calibri" w:cs="Tahoma"/>
          <w:szCs w:val="22"/>
          <w:lang w:eastAsia="es-MX"/>
        </w:rPr>
        <w:t xml:space="preserve">al </w:t>
      </w:r>
      <w:r w:rsidRPr="00BC5CCA">
        <w:rPr>
          <w:rFonts w:eastAsia="Calibri" w:cs="Tahoma"/>
          <w:b/>
          <w:bCs/>
          <w:szCs w:val="22"/>
          <w:lang w:eastAsia="es-MX"/>
        </w:rPr>
        <w:t>SUJETO OBLIGADO</w:t>
      </w:r>
      <w:r w:rsidRPr="00BC5CCA">
        <w:rPr>
          <w:rFonts w:eastAsia="Calibri" w:cs="Tahoma"/>
          <w:szCs w:val="22"/>
          <w:lang w:eastAsia="es-MX"/>
        </w:rPr>
        <w:t xml:space="preserve">, </w:t>
      </w:r>
      <w:r w:rsidRPr="00BC5CCA">
        <w:rPr>
          <w:rFonts w:eastAsia="Calibri" w:cs="Tahoma"/>
          <w:bCs/>
          <w:szCs w:val="22"/>
          <w:lang w:eastAsia="en-US"/>
        </w:rPr>
        <w:t xml:space="preserve">a efecto de que, previa búsqueda exhaustiva y razonable de la información, entregue a través del </w:t>
      </w:r>
      <w:r w:rsidR="00233005" w:rsidRPr="00BC5CCA">
        <w:rPr>
          <w:rFonts w:eastAsia="Calibri" w:cs="Tahoma"/>
          <w:bCs/>
          <w:szCs w:val="22"/>
          <w:lang w:eastAsia="en-US"/>
        </w:rPr>
        <w:t>SAIMEX, en</w:t>
      </w:r>
      <w:r w:rsidRPr="00BC5CCA">
        <w:rPr>
          <w:rFonts w:eastAsia="Calibri" w:cs="Tahoma"/>
          <w:bCs/>
          <w:szCs w:val="22"/>
          <w:lang w:eastAsia="en-US"/>
        </w:rPr>
        <w:t xml:space="preserve"> su caso en versión pública, los documentos que den cuenta de lo siguiente:</w:t>
      </w:r>
    </w:p>
    <w:p w14:paraId="23CB18CA" w14:textId="77777777" w:rsidR="002E1259" w:rsidRPr="00BC5CCA" w:rsidRDefault="002E1259" w:rsidP="00BC5CCA">
      <w:pPr>
        <w:ind w:right="-93"/>
        <w:rPr>
          <w:rFonts w:eastAsia="Calibri" w:cs="Tahoma"/>
          <w:bCs/>
          <w:szCs w:val="22"/>
          <w:lang w:eastAsia="en-US"/>
        </w:rPr>
      </w:pPr>
    </w:p>
    <w:p w14:paraId="1670D42C" w14:textId="34652BC7" w:rsidR="00E03962" w:rsidRPr="00BC5CCA" w:rsidRDefault="002E1259" w:rsidP="00BC5CCA">
      <w:pPr>
        <w:pStyle w:val="Puesto"/>
        <w:spacing w:after="240"/>
        <w:rPr>
          <w:rFonts w:eastAsia="Calibri"/>
          <w:lang w:eastAsia="es-ES_tradnl"/>
        </w:rPr>
      </w:pPr>
      <w:r w:rsidRPr="00BC5CCA">
        <w:rPr>
          <w:rFonts w:eastAsia="Calibri"/>
          <w:b/>
          <w:lang w:eastAsia="es-ES_tradnl"/>
        </w:rPr>
        <w:t xml:space="preserve">1. </w:t>
      </w:r>
      <w:r w:rsidR="00E03962" w:rsidRPr="00BC5CCA">
        <w:rPr>
          <w:rFonts w:eastAsia="Calibri"/>
          <w:lang w:eastAsia="es-ES_tradnl"/>
        </w:rPr>
        <w:t>El procedimiento, trámite o mecanismo mediante el cual se llevó a cabo la asignación de la organización de la “FERIA DEL CABALLO 2025</w:t>
      </w:r>
      <w:r w:rsidR="00940929" w:rsidRPr="00BC5CCA">
        <w:rPr>
          <w:rFonts w:eastAsia="Calibri"/>
          <w:lang w:eastAsia="es-ES_tradnl"/>
        </w:rPr>
        <w:t>, al catorce de marzo de dos mil veinticinco</w:t>
      </w:r>
      <w:r w:rsidRPr="00BC5CCA">
        <w:rPr>
          <w:rFonts w:eastAsia="Calibri"/>
          <w:lang w:eastAsia="es-ES_tradnl"/>
        </w:rPr>
        <w:t>”.</w:t>
      </w:r>
    </w:p>
    <w:p w14:paraId="0B3CF708" w14:textId="77777777" w:rsidR="003341BC" w:rsidRPr="00BC5CCA" w:rsidRDefault="003341BC" w:rsidP="00BC5CCA">
      <w:pPr>
        <w:pStyle w:val="Puesto"/>
        <w:rPr>
          <w:rFonts w:eastAsia="Calibri"/>
          <w:b/>
          <w:lang w:eastAsia="es-ES_tradnl"/>
        </w:rPr>
      </w:pPr>
    </w:p>
    <w:p w14:paraId="01884786" w14:textId="70EE6197" w:rsidR="00E03962" w:rsidRPr="00BC5CCA" w:rsidRDefault="002E1259" w:rsidP="00BC5CCA">
      <w:pPr>
        <w:pStyle w:val="Puesto"/>
        <w:rPr>
          <w:rFonts w:eastAsia="Calibri"/>
          <w:lang w:eastAsia="es-ES_tradnl"/>
        </w:rPr>
      </w:pPr>
      <w:r w:rsidRPr="00BC5CCA">
        <w:rPr>
          <w:rFonts w:eastAsia="Calibri"/>
          <w:b/>
          <w:lang w:eastAsia="es-ES_tradnl"/>
        </w:rPr>
        <w:t xml:space="preserve">2. </w:t>
      </w:r>
      <w:r w:rsidR="00E03962" w:rsidRPr="00BC5CCA">
        <w:rPr>
          <w:rFonts w:eastAsia="Calibri"/>
          <w:lang w:eastAsia="es-ES_tradnl"/>
        </w:rPr>
        <w:t>El nombre de la persona física o jurídico colectiva a quien se le asignó la organización de la “FERIA DEL CABALLO 2025”, en virtud del procedimiento señalado</w:t>
      </w:r>
      <w:r w:rsidR="00940929" w:rsidRPr="00BC5CCA">
        <w:rPr>
          <w:rFonts w:eastAsia="Calibri"/>
          <w:lang w:eastAsia="es-ES_tradnl"/>
        </w:rPr>
        <w:t>, al catorce de marzo de dos mil veinticinco</w:t>
      </w:r>
      <w:r w:rsidR="00E03962" w:rsidRPr="00BC5CCA">
        <w:rPr>
          <w:rFonts w:eastAsia="Calibri"/>
          <w:lang w:eastAsia="es-ES_tradnl"/>
        </w:rPr>
        <w:t>.</w:t>
      </w:r>
    </w:p>
    <w:p w14:paraId="52BF7288" w14:textId="77777777" w:rsidR="00E40A98" w:rsidRPr="00BC5CCA" w:rsidRDefault="00E40A98" w:rsidP="00BC5CCA">
      <w:pPr>
        <w:pStyle w:val="Puesto"/>
        <w:rPr>
          <w:rFonts w:eastAsia="Calibri"/>
          <w:bCs/>
          <w:lang w:eastAsia="en-US"/>
        </w:rPr>
      </w:pPr>
    </w:p>
    <w:p w14:paraId="1599BF79" w14:textId="77777777" w:rsidR="00E40A98" w:rsidRPr="00BC5CCA" w:rsidRDefault="00E40A98" w:rsidP="00BC5CCA">
      <w:pPr>
        <w:pStyle w:val="Puesto"/>
        <w:rPr>
          <w:rFonts w:eastAsia="Calibri"/>
          <w:bCs/>
          <w:iCs/>
          <w:lang w:eastAsia="en-US"/>
        </w:rPr>
      </w:pPr>
      <w:r w:rsidRPr="00BC5CCA">
        <w:rPr>
          <w:rFonts w:eastAsia="Calibri"/>
          <w:bCs/>
          <w:iCs/>
          <w:lang w:eastAsia="en-US"/>
        </w:rPr>
        <w:t>De ser necesarias las versiones públicas, se deberá entregar el Acuerdo del Comité de Transparencia mediante el cual se apruebe la clasificación de información, en términos del artículo 49, fracción VIII de la Ley de Transparencia y Acceso a la Información Pública del Estado de México y Municipios.</w:t>
      </w:r>
    </w:p>
    <w:p w14:paraId="3230BFEF" w14:textId="77777777" w:rsidR="009A0277" w:rsidRPr="00BC5CCA" w:rsidRDefault="009A0277" w:rsidP="00BC5CCA">
      <w:pPr>
        <w:rPr>
          <w:szCs w:val="22"/>
        </w:rPr>
      </w:pPr>
      <w:r w:rsidRPr="00BC5CCA">
        <w:rPr>
          <w:b/>
          <w:bCs/>
          <w:szCs w:val="22"/>
        </w:rPr>
        <w:lastRenderedPageBreak/>
        <w:t>TERCERO.</w:t>
      </w:r>
      <w:r w:rsidRPr="00BC5CCA">
        <w:rPr>
          <w:szCs w:val="22"/>
        </w:rPr>
        <w:t xml:space="preserve"> </w:t>
      </w:r>
      <w:r w:rsidRPr="00BC5CCA">
        <w:rPr>
          <w:rFonts w:eastAsia="Palatino Linotype" w:cs="Palatino Linotype"/>
          <w:b/>
          <w:szCs w:val="22"/>
          <w:lang w:eastAsia="es-MX"/>
        </w:rPr>
        <w:t xml:space="preserve">Notifíquese </w:t>
      </w:r>
      <w:r w:rsidRPr="00BC5CCA">
        <w:rPr>
          <w:szCs w:val="22"/>
          <w:lang w:eastAsia="es-ES_tradnl"/>
        </w:rPr>
        <w:t xml:space="preserve">vía </w:t>
      </w:r>
      <w:r w:rsidRPr="00BC5CCA">
        <w:rPr>
          <w:rFonts w:cs="Arial"/>
          <w:szCs w:val="22"/>
        </w:rPr>
        <w:t>Sistema de Acceso a la Información Mexiquense (</w:t>
      </w:r>
      <w:r w:rsidRPr="00BC5CCA">
        <w:rPr>
          <w:rFonts w:cs="Arial"/>
          <w:b/>
          <w:bCs/>
          <w:szCs w:val="22"/>
        </w:rPr>
        <w:t>SAIMEX)</w:t>
      </w:r>
      <w:r w:rsidRPr="00BC5CCA">
        <w:rPr>
          <w:szCs w:val="22"/>
          <w:shd w:val="clear" w:color="auto" w:fill="FFFFFF"/>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B820921" w14:textId="77777777" w:rsidR="00FC3CE0" w:rsidRPr="00BC5CCA" w:rsidRDefault="00FC3CE0" w:rsidP="00BC5CCA">
      <w:pPr>
        <w:rPr>
          <w:szCs w:val="22"/>
        </w:rPr>
      </w:pPr>
    </w:p>
    <w:p w14:paraId="16A4F4E2" w14:textId="64DF9CE2" w:rsidR="00FC3CE0" w:rsidRPr="00BC5CCA" w:rsidRDefault="00FC3CE0" w:rsidP="00BC5CCA">
      <w:pPr>
        <w:rPr>
          <w:szCs w:val="22"/>
        </w:rPr>
      </w:pPr>
      <w:r w:rsidRPr="00BC5CCA">
        <w:rPr>
          <w:b/>
          <w:bCs/>
          <w:szCs w:val="22"/>
        </w:rPr>
        <w:t>CUARTO.</w:t>
      </w:r>
      <w:r w:rsidRPr="00BC5CCA">
        <w:rPr>
          <w:szCs w:val="22"/>
        </w:rPr>
        <w:t xml:space="preserve"> Notifíquese a </w:t>
      </w:r>
      <w:r w:rsidRPr="00BC5CCA">
        <w:rPr>
          <w:b/>
          <w:bCs/>
          <w:szCs w:val="22"/>
        </w:rPr>
        <w:t>LA PARTE RECURRENTE</w:t>
      </w:r>
      <w:r w:rsidRPr="00BC5CCA">
        <w:rPr>
          <w:szCs w:val="22"/>
        </w:rPr>
        <w:t xml:space="preserve"> la presente resolución vía Sistema de Acceso a la Información Mexiquense </w:t>
      </w:r>
      <w:r w:rsidR="008B1E16" w:rsidRPr="00BC5CCA">
        <w:rPr>
          <w:szCs w:val="22"/>
        </w:rPr>
        <w:t>(</w:t>
      </w:r>
      <w:r w:rsidRPr="00BC5CCA">
        <w:rPr>
          <w:szCs w:val="22"/>
        </w:rPr>
        <w:t>SAIMEX</w:t>
      </w:r>
      <w:r w:rsidR="008B1E16" w:rsidRPr="00BC5CCA">
        <w:rPr>
          <w:szCs w:val="22"/>
        </w:rPr>
        <w:t>)</w:t>
      </w:r>
      <w:r w:rsidRPr="00BC5CCA">
        <w:rPr>
          <w:szCs w:val="22"/>
        </w:rPr>
        <w:t>.</w:t>
      </w:r>
    </w:p>
    <w:p w14:paraId="515336ED" w14:textId="77777777" w:rsidR="00FC3CE0" w:rsidRPr="00BC5CCA" w:rsidRDefault="00FC3CE0" w:rsidP="00BC5CCA">
      <w:pPr>
        <w:rPr>
          <w:szCs w:val="22"/>
        </w:rPr>
      </w:pPr>
    </w:p>
    <w:p w14:paraId="006EFE1D" w14:textId="07CDFDE4" w:rsidR="00FC3CE0" w:rsidRPr="00BC5CCA" w:rsidRDefault="00FC3CE0" w:rsidP="00BC5CCA">
      <w:pPr>
        <w:rPr>
          <w:szCs w:val="22"/>
        </w:rPr>
      </w:pPr>
      <w:r w:rsidRPr="00BC5CCA">
        <w:rPr>
          <w:b/>
          <w:bCs/>
          <w:szCs w:val="22"/>
        </w:rPr>
        <w:t>QUINTO</w:t>
      </w:r>
      <w:r w:rsidRPr="00BC5CCA">
        <w:rPr>
          <w:szCs w:val="22"/>
        </w:rPr>
        <w:t>. Hágase del conocimiento a</w:t>
      </w:r>
      <w:r w:rsidR="008B1E16" w:rsidRPr="00BC5CCA">
        <w:rPr>
          <w:szCs w:val="22"/>
        </w:rPr>
        <w:t xml:space="preserve"> </w:t>
      </w:r>
      <w:r w:rsidR="008B1E16" w:rsidRPr="00BC5CCA">
        <w:rPr>
          <w:b/>
          <w:bCs/>
          <w:szCs w:val="22"/>
        </w:rPr>
        <w:t xml:space="preserve">LA PARTE </w:t>
      </w:r>
      <w:r w:rsidRPr="00BC5CCA">
        <w:rPr>
          <w:b/>
          <w:bCs/>
          <w:szCs w:val="22"/>
        </w:rPr>
        <w:t>RECURRENTE</w:t>
      </w:r>
      <w:r w:rsidRPr="00BC5CCA">
        <w:rPr>
          <w:szCs w:val="22"/>
        </w:rPr>
        <w:t xml:space="preserve"> que</w:t>
      </w:r>
      <w:r w:rsidR="008B1E16" w:rsidRPr="00BC5CCA">
        <w:rPr>
          <w:szCs w:val="22"/>
        </w:rPr>
        <w:t>,</w:t>
      </w:r>
      <w:r w:rsidRPr="00BC5CCA">
        <w:rPr>
          <w:szCs w:val="22"/>
        </w:rPr>
        <w:t xml:space="preserve"> de conformidad con lo establecido en el artículo 196 de la Ley de Transparencia y Acceso a la Información Pública del Estado de México y Municipios, podrá impugnar</w:t>
      </w:r>
      <w:r w:rsidR="008B1E16" w:rsidRPr="00BC5CCA">
        <w:rPr>
          <w:szCs w:val="22"/>
        </w:rPr>
        <w:t xml:space="preserve"> la presente resolución</w:t>
      </w:r>
      <w:r w:rsidRPr="00BC5CCA">
        <w:rPr>
          <w:szCs w:val="22"/>
        </w:rPr>
        <w:t xml:space="preserve"> vía Juicio de Amparo en los términos de las leyes aplicables.</w:t>
      </w:r>
    </w:p>
    <w:p w14:paraId="1FDCA0FE" w14:textId="77777777" w:rsidR="00163D12" w:rsidRPr="00BC5CCA" w:rsidRDefault="00163D12" w:rsidP="00BC5CCA">
      <w:pPr>
        <w:rPr>
          <w:szCs w:val="22"/>
        </w:rPr>
      </w:pPr>
    </w:p>
    <w:p w14:paraId="43DF9D99" w14:textId="4C6E52F9" w:rsidR="00FC3CE0" w:rsidRPr="00BC5CCA" w:rsidRDefault="00FC3CE0" w:rsidP="00BC5CCA">
      <w:pPr>
        <w:rPr>
          <w:szCs w:val="22"/>
        </w:rPr>
      </w:pPr>
      <w:r w:rsidRPr="00BC5CCA">
        <w:rPr>
          <w:b/>
          <w:bCs/>
          <w:szCs w:val="22"/>
        </w:rPr>
        <w:t>SEXTO.</w:t>
      </w:r>
      <w:r w:rsidRPr="00BC5CCA">
        <w:rPr>
          <w:szCs w:val="22"/>
        </w:rPr>
        <w:t xml:space="preserve"> De conformidad con el artículo 198 de la Ley de Transparencia y Acceso a la Información Pública del Estado de México y Municipios, el </w:t>
      </w:r>
      <w:r w:rsidR="008B1E16" w:rsidRPr="00BC5CCA">
        <w:rPr>
          <w:b/>
          <w:bCs/>
          <w:szCs w:val="22"/>
        </w:rPr>
        <w:t>SUJETO OBLIGADO</w:t>
      </w:r>
      <w:r w:rsidR="008B1E16" w:rsidRPr="00BC5CCA">
        <w:rPr>
          <w:szCs w:val="22"/>
        </w:rPr>
        <w:t xml:space="preserve"> </w:t>
      </w:r>
      <w:r w:rsidRPr="00BC5CCA">
        <w:rPr>
          <w:szCs w:val="22"/>
        </w:rPr>
        <w:t>podrá solicitar</w:t>
      </w:r>
      <w:r w:rsidR="008B1E16" w:rsidRPr="00BC5CCA">
        <w:rPr>
          <w:szCs w:val="22"/>
        </w:rPr>
        <w:t xml:space="preserve"> </w:t>
      </w:r>
      <w:r w:rsidRPr="00BC5CCA">
        <w:rPr>
          <w:szCs w:val="22"/>
        </w:rPr>
        <w:t xml:space="preserve">una ampliación de plazo </w:t>
      </w:r>
      <w:r w:rsidR="008B1E16" w:rsidRPr="00BC5CCA">
        <w:rPr>
          <w:szCs w:val="22"/>
        </w:rPr>
        <w:t xml:space="preserve">de manera fundada y motivada, </w:t>
      </w:r>
      <w:r w:rsidRPr="00BC5CCA">
        <w:rPr>
          <w:szCs w:val="22"/>
        </w:rPr>
        <w:t>para el cumplimiento de la presente resolución.</w:t>
      </w:r>
    </w:p>
    <w:p w14:paraId="2BC8564F" w14:textId="77777777" w:rsidR="00FC3CE0" w:rsidRPr="00BC5CCA" w:rsidRDefault="00FC3CE0" w:rsidP="00BC5CCA">
      <w:pPr>
        <w:ind w:right="113"/>
        <w:rPr>
          <w:rFonts w:cs="Arial"/>
          <w:b/>
          <w:szCs w:val="22"/>
        </w:rPr>
      </w:pPr>
    </w:p>
    <w:p w14:paraId="3CDD9266" w14:textId="77777777" w:rsidR="003341BC" w:rsidRPr="00BC5CCA" w:rsidRDefault="003341BC" w:rsidP="00BC5CCA">
      <w:pPr>
        <w:ind w:right="113"/>
        <w:rPr>
          <w:rFonts w:cs="Arial"/>
          <w:b/>
          <w:szCs w:val="22"/>
        </w:rPr>
      </w:pPr>
    </w:p>
    <w:p w14:paraId="719A5C63" w14:textId="43035E3F" w:rsidR="00664420" w:rsidRPr="00BC5CCA" w:rsidRDefault="00664420" w:rsidP="00BC5CCA">
      <w:pPr>
        <w:rPr>
          <w:rFonts w:eastAsia="Palatino Linotype" w:cs="Palatino Linotype"/>
          <w:szCs w:val="22"/>
        </w:rPr>
      </w:pPr>
      <w:r w:rsidRPr="00BC5CCA">
        <w:rPr>
          <w:rFonts w:eastAsia="Palatino Linotype" w:cs="Palatino Linotype"/>
          <w:szCs w:val="22"/>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39076D" w:rsidRPr="00BC5CCA">
        <w:rPr>
          <w:rFonts w:eastAsia="Palatino Linotype" w:cs="Palatino Linotype"/>
          <w:szCs w:val="22"/>
        </w:rPr>
        <w:t>VIGÉSIMA</w:t>
      </w:r>
      <w:r w:rsidRPr="00BC5CCA">
        <w:rPr>
          <w:rFonts w:eastAsia="Palatino Linotype" w:cs="Palatino Linotype"/>
          <w:szCs w:val="22"/>
        </w:rPr>
        <w:t xml:space="preserve"> SESIÓN ORDINARIA, CELEBRADA EL </w:t>
      </w:r>
      <w:r w:rsidR="0039076D" w:rsidRPr="00BC5CCA">
        <w:rPr>
          <w:rFonts w:eastAsia="Palatino Linotype" w:cs="Palatino Linotype"/>
          <w:szCs w:val="22"/>
        </w:rPr>
        <w:t>CUATRO DE JUNIO DE DOS MIL VEINTICINCO</w:t>
      </w:r>
      <w:r w:rsidRPr="00BC5CCA">
        <w:rPr>
          <w:rFonts w:eastAsia="Palatino Linotype" w:cs="Palatino Linotype"/>
          <w:szCs w:val="22"/>
        </w:rPr>
        <w:t>, ANTE EL SECRETARIO TÉCNICO DEL PLENO, ALEXIS TAPIA RAMÍREZ.</w:t>
      </w:r>
    </w:p>
    <w:p w14:paraId="2AB73DBD" w14:textId="5F4FCD44" w:rsidR="009A0277" w:rsidRPr="00BC5CCA" w:rsidRDefault="0039076D" w:rsidP="00BC5CCA">
      <w:pPr>
        <w:widowControl w:val="0"/>
        <w:autoSpaceDE w:val="0"/>
        <w:autoSpaceDN w:val="0"/>
        <w:adjustRightInd w:val="0"/>
        <w:rPr>
          <w:rFonts w:eastAsiaTheme="minorEastAsia"/>
          <w:szCs w:val="22"/>
          <w:lang w:val="it-IT"/>
        </w:rPr>
      </w:pPr>
      <w:r w:rsidRPr="00BC5CCA">
        <w:rPr>
          <w:rFonts w:eastAsiaTheme="minorEastAsia"/>
          <w:szCs w:val="22"/>
          <w:lang w:val="it-IT"/>
        </w:rPr>
        <w:t>SCMM/AGZ/DEMF/AGE</w:t>
      </w:r>
    </w:p>
    <w:p w14:paraId="49D72DA3" w14:textId="77777777" w:rsidR="00664420" w:rsidRPr="00BC5CCA" w:rsidRDefault="00664420" w:rsidP="00BC5CCA">
      <w:pPr>
        <w:ind w:right="-93"/>
        <w:rPr>
          <w:rFonts w:eastAsia="Calibri" w:cs="Tahoma"/>
          <w:bCs/>
          <w:szCs w:val="22"/>
          <w:lang w:eastAsia="en-US"/>
        </w:rPr>
      </w:pPr>
    </w:p>
    <w:p w14:paraId="5EFEA0CD" w14:textId="77777777" w:rsidR="00664420" w:rsidRPr="00BC5CCA" w:rsidRDefault="00664420" w:rsidP="00BC5CCA">
      <w:pPr>
        <w:ind w:right="-93"/>
        <w:rPr>
          <w:rFonts w:eastAsia="Calibri" w:cs="Tahoma"/>
          <w:szCs w:val="22"/>
          <w:lang w:val="es-ES"/>
        </w:rPr>
      </w:pPr>
    </w:p>
    <w:p w14:paraId="696BC976" w14:textId="77777777" w:rsidR="00664420" w:rsidRPr="00BC5CCA" w:rsidRDefault="00664420" w:rsidP="00BC5CCA">
      <w:pPr>
        <w:ind w:right="-93"/>
        <w:rPr>
          <w:rFonts w:eastAsia="Calibri" w:cs="Tahoma"/>
          <w:bCs/>
          <w:szCs w:val="22"/>
          <w:lang w:val="es-ES" w:eastAsia="en-US"/>
        </w:rPr>
      </w:pPr>
    </w:p>
    <w:p w14:paraId="671CB0C5" w14:textId="77777777" w:rsidR="00664420" w:rsidRPr="00BC5CCA" w:rsidRDefault="00664420" w:rsidP="00BC5CCA">
      <w:pPr>
        <w:ind w:right="-93"/>
        <w:rPr>
          <w:rFonts w:eastAsia="Calibri" w:cs="Tahoma"/>
          <w:bCs/>
          <w:szCs w:val="22"/>
          <w:lang w:val="es-ES_tradnl" w:eastAsia="en-US"/>
        </w:rPr>
      </w:pPr>
    </w:p>
    <w:p w14:paraId="52B66DE7" w14:textId="77777777" w:rsidR="00664420" w:rsidRPr="00BC5CCA" w:rsidRDefault="00664420" w:rsidP="00BC5CCA">
      <w:pPr>
        <w:ind w:right="-93"/>
        <w:rPr>
          <w:rFonts w:eastAsia="Calibri" w:cs="Tahoma"/>
          <w:bCs/>
          <w:szCs w:val="22"/>
          <w:lang w:val="es-ES_tradnl" w:eastAsia="en-US"/>
        </w:rPr>
      </w:pPr>
    </w:p>
    <w:p w14:paraId="3BA305D1" w14:textId="77777777" w:rsidR="00664420" w:rsidRPr="00BC5CCA" w:rsidRDefault="00664420" w:rsidP="00BC5CCA">
      <w:pPr>
        <w:ind w:right="-93"/>
        <w:rPr>
          <w:rFonts w:eastAsia="Calibri" w:cs="Tahoma"/>
          <w:bCs/>
          <w:szCs w:val="22"/>
          <w:lang w:val="es-ES_tradnl" w:eastAsia="en-US"/>
        </w:rPr>
      </w:pPr>
    </w:p>
    <w:p w14:paraId="78230707" w14:textId="77777777" w:rsidR="00664420" w:rsidRPr="00BC5CCA" w:rsidRDefault="00664420" w:rsidP="00BC5CCA">
      <w:pPr>
        <w:ind w:right="-93"/>
        <w:rPr>
          <w:rFonts w:eastAsia="Calibri" w:cs="Tahoma"/>
          <w:bCs/>
          <w:szCs w:val="22"/>
          <w:lang w:val="es-ES_tradnl" w:eastAsia="en-US"/>
        </w:rPr>
      </w:pPr>
    </w:p>
    <w:p w14:paraId="72D18B28" w14:textId="77777777" w:rsidR="00664420" w:rsidRPr="00BC5CCA" w:rsidRDefault="00664420" w:rsidP="00BC5CCA">
      <w:pPr>
        <w:ind w:right="-93"/>
        <w:rPr>
          <w:rFonts w:eastAsia="Calibri" w:cs="Tahoma"/>
          <w:bCs/>
          <w:szCs w:val="22"/>
          <w:lang w:val="es-ES_tradnl" w:eastAsia="en-US"/>
        </w:rPr>
      </w:pPr>
    </w:p>
    <w:p w14:paraId="6BD461DC" w14:textId="77777777" w:rsidR="00664420" w:rsidRPr="00BC5CCA" w:rsidRDefault="00664420" w:rsidP="00BC5CCA">
      <w:pPr>
        <w:tabs>
          <w:tab w:val="center" w:pos="4568"/>
        </w:tabs>
        <w:ind w:right="-93"/>
        <w:rPr>
          <w:rFonts w:eastAsia="Calibri" w:cs="Tahoma"/>
          <w:bCs/>
          <w:szCs w:val="22"/>
          <w:lang w:eastAsia="en-US"/>
        </w:rPr>
      </w:pPr>
    </w:p>
    <w:p w14:paraId="4DBB1727" w14:textId="77777777" w:rsidR="00664420" w:rsidRPr="00BC5CCA" w:rsidRDefault="00664420" w:rsidP="00BC5CCA">
      <w:pPr>
        <w:tabs>
          <w:tab w:val="center" w:pos="4568"/>
        </w:tabs>
        <w:ind w:right="-93"/>
        <w:rPr>
          <w:rFonts w:eastAsia="Calibri" w:cs="Tahoma"/>
          <w:bCs/>
          <w:szCs w:val="22"/>
          <w:lang w:eastAsia="en-US"/>
        </w:rPr>
      </w:pPr>
    </w:p>
    <w:p w14:paraId="1D74121B" w14:textId="77777777" w:rsidR="00664420" w:rsidRPr="00BC5CCA" w:rsidRDefault="00664420" w:rsidP="00BC5CCA">
      <w:pPr>
        <w:tabs>
          <w:tab w:val="center" w:pos="4568"/>
        </w:tabs>
        <w:ind w:right="-93"/>
        <w:rPr>
          <w:rFonts w:eastAsia="Calibri" w:cs="Tahoma"/>
          <w:bCs/>
          <w:szCs w:val="22"/>
          <w:lang w:eastAsia="en-US"/>
        </w:rPr>
      </w:pPr>
    </w:p>
    <w:p w14:paraId="08E74E9C" w14:textId="77777777" w:rsidR="00664420" w:rsidRPr="00BC5CCA" w:rsidRDefault="00664420" w:rsidP="00BC5CCA">
      <w:pPr>
        <w:tabs>
          <w:tab w:val="center" w:pos="4568"/>
        </w:tabs>
        <w:ind w:right="-93"/>
        <w:rPr>
          <w:rFonts w:eastAsia="Calibri" w:cs="Tahoma"/>
          <w:bCs/>
          <w:szCs w:val="22"/>
          <w:lang w:eastAsia="en-US"/>
        </w:rPr>
      </w:pPr>
    </w:p>
    <w:p w14:paraId="2CBF5E03" w14:textId="77777777" w:rsidR="00664420" w:rsidRPr="00BC5CCA" w:rsidRDefault="00664420" w:rsidP="00BC5CCA">
      <w:pPr>
        <w:tabs>
          <w:tab w:val="center" w:pos="4568"/>
        </w:tabs>
        <w:ind w:right="-93"/>
        <w:rPr>
          <w:rFonts w:eastAsia="Calibri" w:cs="Tahoma"/>
          <w:bCs/>
          <w:szCs w:val="22"/>
          <w:lang w:eastAsia="en-US"/>
        </w:rPr>
      </w:pPr>
    </w:p>
    <w:p w14:paraId="44865A6D" w14:textId="77777777" w:rsidR="00664420" w:rsidRPr="00BC5CCA" w:rsidRDefault="00664420" w:rsidP="00BC5CCA">
      <w:pPr>
        <w:tabs>
          <w:tab w:val="center" w:pos="4568"/>
        </w:tabs>
        <w:ind w:right="-93"/>
        <w:rPr>
          <w:rFonts w:eastAsia="Calibri" w:cs="Tahoma"/>
          <w:bCs/>
          <w:szCs w:val="22"/>
          <w:lang w:eastAsia="en-US"/>
        </w:rPr>
      </w:pPr>
    </w:p>
    <w:p w14:paraId="7147F06B" w14:textId="77777777" w:rsidR="00664420" w:rsidRPr="00BC5CCA" w:rsidRDefault="00664420" w:rsidP="00BC5CCA">
      <w:pPr>
        <w:tabs>
          <w:tab w:val="center" w:pos="4568"/>
        </w:tabs>
        <w:ind w:right="-93"/>
        <w:rPr>
          <w:rFonts w:eastAsia="Calibri" w:cs="Tahoma"/>
          <w:bCs/>
          <w:szCs w:val="22"/>
          <w:lang w:eastAsia="en-US"/>
        </w:rPr>
      </w:pPr>
    </w:p>
    <w:p w14:paraId="6FDF3D7E" w14:textId="77777777" w:rsidR="00664420" w:rsidRPr="00BC5CCA" w:rsidRDefault="00664420" w:rsidP="00BC5CCA">
      <w:pPr>
        <w:tabs>
          <w:tab w:val="center" w:pos="4568"/>
        </w:tabs>
        <w:ind w:right="-93"/>
        <w:rPr>
          <w:rFonts w:eastAsia="Calibri" w:cs="Tahoma"/>
          <w:bCs/>
          <w:szCs w:val="22"/>
          <w:lang w:eastAsia="en-US"/>
        </w:rPr>
      </w:pPr>
    </w:p>
    <w:p w14:paraId="6246F818" w14:textId="77777777" w:rsidR="00664420" w:rsidRPr="00BC5CCA" w:rsidRDefault="00664420" w:rsidP="00BC5CCA">
      <w:pPr>
        <w:tabs>
          <w:tab w:val="center" w:pos="4568"/>
        </w:tabs>
        <w:ind w:right="-93"/>
        <w:rPr>
          <w:rFonts w:eastAsia="Calibri" w:cs="Tahoma"/>
          <w:bCs/>
          <w:szCs w:val="22"/>
          <w:lang w:eastAsia="en-US"/>
        </w:rPr>
      </w:pPr>
    </w:p>
    <w:p w14:paraId="57A88B28" w14:textId="77777777" w:rsidR="00664420" w:rsidRPr="00BC5CCA" w:rsidRDefault="00664420" w:rsidP="00BC5CCA">
      <w:pPr>
        <w:tabs>
          <w:tab w:val="center" w:pos="4568"/>
        </w:tabs>
        <w:ind w:right="-93"/>
        <w:rPr>
          <w:rFonts w:eastAsia="Calibri" w:cs="Tahoma"/>
          <w:bCs/>
          <w:szCs w:val="22"/>
          <w:lang w:eastAsia="en-US"/>
        </w:rPr>
      </w:pPr>
    </w:p>
    <w:p w14:paraId="77EF6095" w14:textId="77777777" w:rsidR="00664420" w:rsidRPr="00BC5CCA" w:rsidRDefault="00664420" w:rsidP="00BC5CCA">
      <w:pPr>
        <w:tabs>
          <w:tab w:val="center" w:pos="4568"/>
        </w:tabs>
        <w:ind w:right="-93"/>
        <w:rPr>
          <w:rFonts w:eastAsia="Calibri" w:cs="Tahoma"/>
          <w:bCs/>
          <w:szCs w:val="22"/>
          <w:lang w:eastAsia="en-US"/>
        </w:rPr>
      </w:pPr>
    </w:p>
    <w:p w14:paraId="35593947" w14:textId="77777777" w:rsidR="00664420" w:rsidRPr="00BC5CCA" w:rsidRDefault="00664420" w:rsidP="00BC5CCA">
      <w:pPr>
        <w:tabs>
          <w:tab w:val="center" w:pos="4568"/>
        </w:tabs>
        <w:ind w:right="-93"/>
        <w:rPr>
          <w:rFonts w:eastAsia="Calibri" w:cs="Tahoma"/>
          <w:bCs/>
          <w:szCs w:val="22"/>
          <w:lang w:eastAsia="en-US"/>
        </w:rPr>
      </w:pPr>
    </w:p>
    <w:p w14:paraId="3AF72A17" w14:textId="77777777" w:rsidR="00664420" w:rsidRPr="00BC5CCA" w:rsidRDefault="00664420" w:rsidP="00BC5CCA">
      <w:pPr>
        <w:tabs>
          <w:tab w:val="center" w:pos="4568"/>
        </w:tabs>
        <w:ind w:right="-93"/>
        <w:rPr>
          <w:rFonts w:eastAsia="Calibri" w:cs="Tahoma"/>
          <w:bCs/>
          <w:szCs w:val="22"/>
          <w:lang w:eastAsia="en-US"/>
        </w:rPr>
      </w:pPr>
    </w:p>
    <w:p w14:paraId="37169144" w14:textId="77777777" w:rsidR="00664420" w:rsidRPr="00BC5CCA" w:rsidRDefault="00664420" w:rsidP="00BC5CCA">
      <w:pPr>
        <w:tabs>
          <w:tab w:val="center" w:pos="4568"/>
        </w:tabs>
        <w:ind w:right="-93"/>
        <w:rPr>
          <w:rFonts w:eastAsia="Calibri" w:cs="Tahoma"/>
          <w:bCs/>
          <w:szCs w:val="22"/>
          <w:lang w:eastAsia="en-US"/>
        </w:rPr>
      </w:pPr>
    </w:p>
    <w:p w14:paraId="77CFC088" w14:textId="77777777" w:rsidR="00664420" w:rsidRPr="00BC5CCA" w:rsidRDefault="00664420" w:rsidP="00BC5CCA">
      <w:pPr>
        <w:tabs>
          <w:tab w:val="center" w:pos="4568"/>
        </w:tabs>
        <w:ind w:right="-93"/>
        <w:rPr>
          <w:rFonts w:eastAsia="Calibri" w:cs="Tahoma"/>
          <w:bCs/>
          <w:szCs w:val="22"/>
          <w:lang w:eastAsia="en-US"/>
        </w:rPr>
      </w:pPr>
    </w:p>
    <w:p w14:paraId="781A11A5" w14:textId="77777777" w:rsidR="00664420" w:rsidRPr="00BC5CCA" w:rsidRDefault="00664420" w:rsidP="00BC5CCA">
      <w:pPr>
        <w:tabs>
          <w:tab w:val="center" w:pos="4568"/>
        </w:tabs>
        <w:ind w:right="-93"/>
        <w:rPr>
          <w:rFonts w:eastAsia="Calibri" w:cs="Tahoma"/>
          <w:bCs/>
          <w:szCs w:val="22"/>
          <w:lang w:eastAsia="en-US"/>
        </w:rPr>
      </w:pPr>
    </w:p>
    <w:p w14:paraId="5B4ADFF3" w14:textId="77777777" w:rsidR="00A131AC" w:rsidRPr="00BC5CCA" w:rsidRDefault="00A131AC" w:rsidP="00BC5CCA">
      <w:pPr>
        <w:rPr>
          <w:szCs w:val="22"/>
        </w:rPr>
      </w:pPr>
    </w:p>
    <w:sectPr w:rsidR="00A131AC" w:rsidRPr="00BC5CCA" w:rsidSect="00EE2AF2">
      <w:footerReference w:type="default" r:id="rId18"/>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D7F35E" w14:textId="77777777" w:rsidR="00590935" w:rsidRDefault="00590935" w:rsidP="00664420">
      <w:pPr>
        <w:spacing w:line="240" w:lineRule="auto"/>
      </w:pPr>
      <w:r>
        <w:separator/>
      </w:r>
    </w:p>
  </w:endnote>
  <w:endnote w:type="continuationSeparator" w:id="0">
    <w:p w14:paraId="0505E99F" w14:textId="77777777" w:rsidR="00590935" w:rsidRDefault="00590935"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Times New Roman"/>
    <w:charset w:val="00"/>
    <w:family w:val="auto"/>
    <w:pitch w:val="default"/>
  </w:font>
  <w:font w:name="Aptos Display">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0E1E" w14:textId="5622A57B" w:rsidR="00C32BAC" w:rsidRDefault="00C32BAC">
    <w:pPr>
      <w:tabs>
        <w:tab w:val="center" w:pos="4550"/>
        <w:tab w:val="left" w:pos="5818"/>
      </w:tabs>
      <w:ind w:right="260"/>
      <w:jc w:val="right"/>
      <w:rPr>
        <w:color w:val="071320" w:themeColor="text2" w:themeShade="80"/>
        <w:sz w:val="24"/>
        <w:szCs w:val="24"/>
      </w:rPr>
    </w:pPr>
  </w:p>
  <w:p w14:paraId="1BCA7F23" w14:textId="77777777" w:rsidR="00C32BAC" w:rsidRDefault="00C32BA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9E474" w14:textId="226D8022" w:rsidR="00C32BAC" w:rsidRDefault="00C32BAC">
    <w:pPr>
      <w:tabs>
        <w:tab w:val="center" w:pos="4550"/>
        <w:tab w:val="left" w:pos="5818"/>
      </w:tabs>
      <w:ind w:right="260"/>
      <w:jc w:val="right"/>
      <w:rPr>
        <w:color w:val="071320" w:themeColor="text2" w:themeShade="80"/>
        <w:sz w:val="24"/>
        <w:szCs w:val="24"/>
      </w:rPr>
    </w:pPr>
    <w:r>
      <w:rPr>
        <w:color w:val="2C7FCE" w:themeColor="text2" w:themeTint="99"/>
        <w:spacing w:val="60"/>
        <w:sz w:val="24"/>
        <w:szCs w:val="24"/>
        <w:lang w:val="es-ES"/>
      </w:rPr>
      <w:t>Página</w:t>
    </w:r>
    <w:r>
      <w:rPr>
        <w:color w:val="2C7FCE" w:themeColor="text2" w:themeTint="99"/>
        <w:sz w:val="24"/>
        <w:szCs w:val="24"/>
        <w:lang w:val="es-ES"/>
      </w:rPr>
      <w:t xml:space="preserve"> </w:t>
    </w:r>
    <w:r>
      <w:rPr>
        <w:color w:val="0A1D30" w:themeColor="text2" w:themeShade="BF"/>
        <w:sz w:val="24"/>
        <w:szCs w:val="24"/>
      </w:rPr>
      <w:fldChar w:fldCharType="begin"/>
    </w:r>
    <w:r>
      <w:rPr>
        <w:color w:val="0A1D30" w:themeColor="text2" w:themeShade="BF"/>
        <w:sz w:val="24"/>
        <w:szCs w:val="24"/>
      </w:rPr>
      <w:instrText>PAGE   \* MERGEFORMAT</w:instrText>
    </w:r>
    <w:r>
      <w:rPr>
        <w:color w:val="0A1D30" w:themeColor="text2" w:themeShade="BF"/>
        <w:sz w:val="24"/>
        <w:szCs w:val="24"/>
      </w:rPr>
      <w:fldChar w:fldCharType="separate"/>
    </w:r>
    <w:r w:rsidR="00DD503B" w:rsidRPr="00DD503B">
      <w:rPr>
        <w:noProof/>
        <w:color w:val="0A1D30" w:themeColor="text2" w:themeShade="BF"/>
        <w:sz w:val="24"/>
        <w:szCs w:val="24"/>
        <w:lang w:val="es-ES"/>
      </w:rPr>
      <w:t>4</w:t>
    </w:r>
    <w:r>
      <w:rPr>
        <w:color w:val="0A1D30" w:themeColor="text2" w:themeShade="BF"/>
        <w:sz w:val="24"/>
        <w:szCs w:val="24"/>
      </w:rPr>
      <w:fldChar w:fldCharType="end"/>
    </w:r>
    <w:r>
      <w:rPr>
        <w:color w:val="0A1D30" w:themeColor="text2" w:themeShade="BF"/>
        <w:sz w:val="24"/>
        <w:szCs w:val="24"/>
        <w:lang w:val="es-ES"/>
      </w:rPr>
      <w:t xml:space="preserve"> | </w:t>
    </w:r>
    <w:r>
      <w:rPr>
        <w:color w:val="0A1D30" w:themeColor="text2" w:themeShade="BF"/>
        <w:sz w:val="24"/>
        <w:szCs w:val="24"/>
      </w:rPr>
      <w:fldChar w:fldCharType="begin"/>
    </w:r>
    <w:r>
      <w:rPr>
        <w:color w:val="0A1D30" w:themeColor="text2" w:themeShade="BF"/>
        <w:sz w:val="24"/>
        <w:szCs w:val="24"/>
      </w:rPr>
      <w:instrText>NUMPAGES  \* Arabic  \* MERGEFORMAT</w:instrText>
    </w:r>
    <w:r>
      <w:rPr>
        <w:color w:val="0A1D30" w:themeColor="text2" w:themeShade="BF"/>
        <w:sz w:val="24"/>
        <w:szCs w:val="24"/>
      </w:rPr>
      <w:fldChar w:fldCharType="separate"/>
    </w:r>
    <w:r w:rsidR="00DD503B" w:rsidRPr="00DD503B">
      <w:rPr>
        <w:noProof/>
        <w:color w:val="0A1D30" w:themeColor="text2" w:themeShade="BF"/>
        <w:sz w:val="24"/>
        <w:szCs w:val="24"/>
        <w:lang w:val="es-ES"/>
      </w:rPr>
      <w:t>39</w:t>
    </w:r>
    <w:r>
      <w:rPr>
        <w:color w:val="0A1D30" w:themeColor="text2" w:themeShade="BF"/>
        <w:sz w:val="24"/>
        <w:szCs w:val="24"/>
      </w:rPr>
      <w:fldChar w:fldCharType="end"/>
    </w:r>
  </w:p>
  <w:p w14:paraId="310E15C0" w14:textId="77777777" w:rsidR="00C32BAC" w:rsidRDefault="00C32BA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8F771" w14:textId="77777777" w:rsidR="00590935" w:rsidRDefault="00590935" w:rsidP="00664420">
      <w:pPr>
        <w:spacing w:line="240" w:lineRule="auto"/>
      </w:pPr>
      <w:r>
        <w:separator/>
      </w:r>
    </w:p>
  </w:footnote>
  <w:footnote w:type="continuationSeparator" w:id="0">
    <w:p w14:paraId="13F1BAE0" w14:textId="77777777" w:rsidR="00590935" w:rsidRDefault="00590935" w:rsidP="00664420">
      <w:pPr>
        <w:spacing w:line="240" w:lineRule="auto"/>
      </w:pPr>
      <w:r>
        <w:continuationSeparator/>
      </w:r>
    </w:p>
  </w:footnote>
  <w:footnote w:id="1">
    <w:p w14:paraId="72D9FE39" w14:textId="77777777" w:rsidR="00C32BAC" w:rsidRPr="002E1259" w:rsidRDefault="00C32BAC" w:rsidP="002E1259">
      <w:pPr>
        <w:autoSpaceDE w:val="0"/>
        <w:autoSpaceDN w:val="0"/>
        <w:adjustRightInd w:val="0"/>
        <w:spacing w:line="240" w:lineRule="auto"/>
        <w:rPr>
          <w:rFonts w:cstheme="majorHAnsi"/>
          <w:i/>
          <w:sz w:val="18"/>
        </w:rPr>
      </w:pPr>
      <w:r w:rsidRPr="00671004">
        <w:rPr>
          <w:rStyle w:val="Refdenotaalpie"/>
          <w:rFonts w:eastAsiaTheme="majorEastAsia"/>
        </w:rPr>
        <w:footnoteRef/>
      </w:r>
      <w:r w:rsidRPr="00671004">
        <w:t xml:space="preserve"> </w:t>
      </w:r>
      <w:r w:rsidRPr="002E1259">
        <w:rPr>
          <w:rFonts w:cstheme="majorHAnsi"/>
          <w:b/>
          <w:bCs/>
          <w:i/>
          <w:sz w:val="18"/>
        </w:rPr>
        <w:t xml:space="preserve">Artículo 13. </w:t>
      </w:r>
      <w:r w:rsidRPr="002E1259">
        <w:rPr>
          <w:rFonts w:cstheme="majorHAnsi"/>
          <w:i/>
          <w:sz w:val="18"/>
        </w:rPr>
        <w:t>El Instituto, en el ámbito de sus atribuciones, deberá suplir cualquier deficiencia para garantizar el ejercicio del derecho de acceso a la información.</w:t>
      </w:r>
    </w:p>
  </w:footnote>
  <w:footnote w:id="2">
    <w:p w14:paraId="2FFAC0A7" w14:textId="77777777" w:rsidR="00C32BAC" w:rsidRPr="002E1259" w:rsidRDefault="00C32BAC" w:rsidP="002E1259">
      <w:pPr>
        <w:autoSpaceDE w:val="0"/>
        <w:autoSpaceDN w:val="0"/>
        <w:adjustRightInd w:val="0"/>
        <w:spacing w:line="240" w:lineRule="auto"/>
        <w:rPr>
          <w:rFonts w:cstheme="majorHAnsi"/>
          <w:i/>
          <w:sz w:val="18"/>
        </w:rPr>
      </w:pPr>
      <w:r w:rsidRPr="00671004">
        <w:rPr>
          <w:rStyle w:val="Refdenotaalpie"/>
          <w:rFonts w:eastAsiaTheme="majorEastAsia" w:cstheme="majorHAnsi"/>
          <w:b/>
        </w:rPr>
        <w:footnoteRef/>
      </w:r>
      <w:r w:rsidRPr="00671004">
        <w:rPr>
          <w:rFonts w:cstheme="majorHAnsi"/>
          <w:b/>
          <w:i/>
        </w:rPr>
        <w:t xml:space="preserve"> </w:t>
      </w:r>
      <w:r w:rsidRPr="002E1259">
        <w:rPr>
          <w:rFonts w:cstheme="majorHAnsi"/>
          <w:b/>
          <w:i/>
          <w:sz w:val="18"/>
        </w:rPr>
        <w:t>Artículo 181</w:t>
      </w:r>
      <w:r w:rsidRPr="002E1259">
        <w:rPr>
          <w:rFonts w:cstheme="majorHAnsi"/>
          <w:i/>
          <w:sz w:val="18"/>
        </w:rPr>
        <w:t>. …</w:t>
      </w:r>
    </w:p>
    <w:p w14:paraId="41BD8888" w14:textId="77777777" w:rsidR="00C32BAC" w:rsidRPr="002E1259" w:rsidRDefault="00C32BAC" w:rsidP="002E1259">
      <w:pPr>
        <w:autoSpaceDE w:val="0"/>
        <w:autoSpaceDN w:val="0"/>
        <w:adjustRightInd w:val="0"/>
        <w:spacing w:line="240" w:lineRule="auto"/>
        <w:rPr>
          <w:rFonts w:cstheme="majorHAnsi"/>
          <w:i/>
          <w:sz w:val="18"/>
        </w:rPr>
      </w:pPr>
      <w:r w:rsidRPr="002E1259">
        <w:rPr>
          <w:rFonts w:cstheme="majorHAnsi"/>
          <w:i/>
          <w:sz w:val="18"/>
        </w:rPr>
        <w:t>…</w:t>
      </w:r>
    </w:p>
    <w:p w14:paraId="1F2B9649" w14:textId="77777777" w:rsidR="00C32BAC" w:rsidRPr="002E1259" w:rsidRDefault="00C32BAC" w:rsidP="002E1259">
      <w:pPr>
        <w:autoSpaceDE w:val="0"/>
        <w:autoSpaceDN w:val="0"/>
        <w:adjustRightInd w:val="0"/>
        <w:spacing w:line="240" w:lineRule="auto"/>
        <w:rPr>
          <w:sz w:val="18"/>
        </w:rPr>
      </w:pPr>
      <w:r w:rsidRPr="002E1259">
        <w:rPr>
          <w:rFonts w:cstheme="majorHAnsi"/>
          <w:i/>
          <w:sz w:val="18"/>
        </w:rPr>
        <w:t>Durante el procedimiento deberá aplicarse la suplencia de la queja a favor del recurrente, sin cambiar los hechos expuestos, asegurándose de que las partes puedan presentar, de manera oral o escrita, los argumentos que funden y motiven sus pretensiones</w:t>
      </w:r>
      <w:r w:rsidRPr="002E1259">
        <w:rPr>
          <w:rFonts w:cs="Bookman Old Style"/>
          <w:sz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C32BAC" w:rsidRPr="00330DA7" w14:paraId="070A4B18" w14:textId="77777777" w:rsidTr="003F35FD">
      <w:trPr>
        <w:trHeight w:val="144"/>
        <w:jc w:val="right"/>
      </w:trPr>
      <w:tc>
        <w:tcPr>
          <w:tcW w:w="2727" w:type="dxa"/>
        </w:tcPr>
        <w:p w14:paraId="62B7493A" w14:textId="77777777" w:rsidR="00C32BAC" w:rsidRPr="00330DA7" w:rsidRDefault="00C32BAC" w:rsidP="003F35FD">
          <w:pPr>
            <w:tabs>
              <w:tab w:val="right" w:pos="8838"/>
            </w:tabs>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6C0E69B1" w:rsidR="00C32BAC" w:rsidRPr="00A90C72" w:rsidRDefault="00C32BAC" w:rsidP="00A2686D">
          <w:pPr>
            <w:tabs>
              <w:tab w:val="right" w:pos="8838"/>
            </w:tabs>
            <w:ind w:left="-74" w:right="-105"/>
            <w:rPr>
              <w:rFonts w:eastAsia="Calibri" w:cs="Tahoma"/>
              <w:szCs w:val="22"/>
              <w:lang w:eastAsia="en-US"/>
            </w:rPr>
          </w:pPr>
          <w:r w:rsidRPr="00A2686D">
            <w:rPr>
              <w:rFonts w:eastAsia="Calibri" w:cs="Tahoma"/>
              <w:szCs w:val="22"/>
              <w:lang w:eastAsia="en-US"/>
            </w:rPr>
            <w:t>03332/INFOEM/IP/RR/2025</w:t>
          </w:r>
          <w:r>
            <w:rPr>
              <w:rFonts w:eastAsia="Calibri" w:cs="Tahoma"/>
              <w:szCs w:val="22"/>
              <w:lang w:eastAsia="en-US"/>
            </w:rPr>
            <w:t xml:space="preserve"> </w:t>
          </w:r>
        </w:p>
      </w:tc>
    </w:tr>
    <w:tr w:rsidR="00C32BAC" w:rsidRPr="00330DA7" w14:paraId="4521E058" w14:textId="77777777" w:rsidTr="003F35FD">
      <w:trPr>
        <w:trHeight w:val="283"/>
        <w:jc w:val="right"/>
      </w:trPr>
      <w:tc>
        <w:tcPr>
          <w:tcW w:w="2727" w:type="dxa"/>
        </w:tcPr>
        <w:p w14:paraId="0B68C086" w14:textId="77777777" w:rsidR="00C32BAC" w:rsidRPr="00330DA7" w:rsidRDefault="00C32BAC" w:rsidP="003F35FD">
          <w:pPr>
            <w:tabs>
              <w:tab w:val="right" w:pos="8838"/>
            </w:tabs>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7FB9CA7D" w:rsidR="00C32BAC" w:rsidRPr="00952DD0" w:rsidRDefault="00C32BAC" w:rsidP="003F35FD">
          <w:pPr>
            <w:tabs>
              <w:tab w:val="left" w:pos="2834"/>
              <w:tab w:val="right" w:pos="8838"/>
            </w:tabs>
            <w:ind w:left="-108" w:right="-105"/>
            <w:rPr>
              <w:rFonts w:eastAsia="Calibri" w:cs="Tahoma"/>
              <w:szCs w:val="22"/>
              <w:lang w:eastAsia="en-US"/>
            </w:rPr>
          </w:pPr>
          <w:r w:rsidRPr="00A2686D">
            <w:rPr>
              <w:rFonts w:eastAsia="Calibri" w:cs="Tahoma"/>
              <w:szCs w:val="22"/>
              <w:lang w:eastAsia="en-US"/>
            </w:rPr>
            <w:t>Ayuntamiento de Texcoco</w:t>
          </w:r>
        </w:p>
      </w:tc>
    </w:tr>
    <w:tr w:rsidR="00C32BAC" w:rsidRPr="00330DA7" w14:paraId="6331D9B6" w14:textId="77777777" w:rsidTr="003F35FD">
      <w:trPr>
        <w:trHeight w:val="283"/>
        <w:jc w:val="right"/>
      </w:trPr>
      <w:tc>
        <w:tcPr>
          <w:tcW w:w="2727" w:type="dxa"/>
        </w:tcPr>
        <w:p w14:paraId="3FA86BAE" w14:textId="04F1C45E" w:rsidR="00C32BAC" w:rsidRPr="00330DA7" w:rsidRDefault="00C32BAC" w:rsidP="003F35FD">
          <w:pPr>
            <w:tabs>
              <w:tab w:val="right" w:pos="8838"/>
            </w:tabs>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C32BAC" w:rsidRPr="00EA66FC" w:rsidRDefault="00C32BAC" w:rsidP="003F35FD">
          <w:pPr>
            <w:tabs>
              <w:tab w:val="right" w:pos="8838"/>
            </w:tabs>
            <w:ind w:left="-108" w:right="-105"/>
            <w:rPr>
              <w:rFonts w:eastAsia="Calibri" w:cs="Tahoma"/>
              <w:szCs w:val="22"/>
              <w:lang w:eastAsia="en-US"/>
            </w:rPr>
          </w:pPr>
          <w:r>
            <w:rPr>
              <w:rFonts w:eastAsia="Calibri" w:cs="Tahoma"/>
              <w:szCs w:val="22"/>
              <w:lang w:eastAsia="en-US"/>
            </w:rPr>
            <w:t>Sharon Cristina Morales Martínez</w:t>
          </w:r>
        </w:p>
      </w:tc>
    </w:tr>
  </w:tbl>
  <w:p w14:paraId="3007381E" w14:textId="1C2C3FFC" w:rsidR="00C32BAC" w:rsidRPr="00443C6B" w:rsidRDefault="00C32BAC"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07C64852">
          <wp:simplePos x="0" y="0"/>
          <wp:positionH relativeFrom="margin">
            <wp:posOffset>-995045</wp:posOffset>
          </wp:positionH>
          <wp:positionV relativeFrom="margin">
            <wp:posOffset>-1782445</wp:posOffset>
          </wp:positionV>
          <wp:extent cx="8426450" cy="10972800"/>
          <wp:effectExtent l="0" t="0" r="0" b="0"/>
          <wp:wrapNone/>
          <wp:docPr id="215964445" name="Imagen 215964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2552" w:type="dxa"/>
      <w:tblLayout w:type="fixed"/>
      <w:tblLook w:val="04A0" w:firstRow="1" w:lastRow="0" w:firstColumn="1" w:lastColumn="0" w:noHBand="0" w:noVBand="1"/>
    </w:tblPr>
    <w:tblGrid>
      <w:gridCol w:w="283"/>
      <w:gridCol w:w="6379"/>
    </w:tblGrid>
    <w:tr w:rsidR="00C32BAC" w:rsidRPr="00330DA7" w14:paraId="29CFF901" w14:textId="77777777" w:rsidTr="00E07957">
      <w:trPr>
        <w:trHeight w:val="1435"/>
      </w:trPr>
      <w:tc>
        <w:tcPr>
          <w:tcW w:w="283" w:type="dxa"/>
          <w:shd w:val="clear" w:color="auto" w:fill="auto"/>
        </w:tcPr>
        <w:p w14:paraId="046B9F8F" w14:textId="77777777" w:rsidR="00C32BAC" w:rsidRPr="00330DA7" w:rsidRDefault="00C32BAC" w:rsidP="00E07957">
          <w:pPr>
            <w:tabs>
              <w:tab w:val="right" w:pos="4273"/>
            </w:tabs>
            <w:rPr>
              <w:rFonts w:ascii="Garamond" w:eastAsia="Calibri" w:hAnsi="Garamond"/>
              <w:szCs w:val="22"/>
              <w:lang w:eastAsia="en-US"/>
            </w:rPr>
          </w:pPr>
        </w:p>
      </w:tc>
      <w:tc>
        <w:tcPr>
          <w:tcW w:w="6379" w:type="dxa"/>
          <w:shd w:val="clear" w:color="auto" w:fill="auto"/>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gridCol w:w="3402"/>
          </w:tblGrid>
          <w:tr w:rsidR="00C32BAC" w:rsidRPr="00330DA7" w14:paraId="04F272D2" w14:textId="77777777" w:rsidTr="00E07957">
            <w:trPr>
              <w:trHeight w:val="144"/>
            </w:trPr>
            <w:tc>
              <w:tcPr>
                <w:tcW w:w="2727" w:type="dxa"/>
              </w:tcPr>
              <w:p w14:paraId="2FD4DBF6" w14:textId="77777777" w:rsidR="00C32BAC" w:rsidRPr="00330DA7" w:rsidRDefault="00C32BAC" w:rsidP="00E07957">
                <w:pPr>
                  <w:tabs>
                    <w:tab w:val="right" w:pos="8838"/>
                  </w:tabs>
                  <w:ind w:left="-74" w:right="-105"/>
                  <w:rPr>
                    <w:rFonts w:eastAsia="Calibri" w:cs="Tahoma"/>
                    <w:b/>
                    <w:szCs w:val="22"/>
                    <w:lang w:eastAsia="en-US"/>
                  </w:rPr>
                </w:pPr>
                <w:bookmarkStart w:id="0" w:name="_Hlk12526980"/>
                <w:r w:rsidRPr="00330DA7">
                  <w:rPr>
                    <w:rFonts w:eastAsia="Calibri" w:cs="Tahoma"/>
                    <w:b/>
                    <w:szCs w:val="22"/>
                    <w:lang w:eastAsia="en-US"/>
                  </w:rPr>
                  <w:t>Recurso de Revisión:</w:t>
                </w:r>
              </w:p>
            </w:tc>
            <w:tc>
              <w:tcPr>
                <w:tcW w:w="3402" w:type="dxa"/>
              </w:tcPr>
              <w:p w14:paraId="140729E3" w14:textId="0DCABBBE" w:rsidR="00C32BAC" w:rsidRPr="00A90C72" w:rsidRDefault="00C32BAC" w:rsidP="00E07957">
                <w:pPr>
                  <w:tabs>
                    <w:tab w:val="right" w:pos="8838"/>
                  </w:tabs>
                  <w:ind w:left="-74" w:right="-105"/>
                  <w:rPr>
                    <w:rFonts w:eastAsia="Calibri" w:cs="Tahoma"/>
                    <w:szCs w:val="22"/>
                    <w:lang w:eastAsia="en-US"/>
                  </w:rPr>
                </w:pPr>
                <w:r w:rsidRPr="00A2686D">
                  <w:rPr>
                    <w:rFonts w:eastAsia="Calibri" w:cs="Tahoma"/>
                    <w:szCs w:val="22"/>
                    <w:lang w:eastAsia="en-US"/>
                  </w:rPr>
                  <w:t>03332/INFOEM/IP/RR/2025</w:t>
                </w:r>
                <w:r>
                  <w:rPr>
                    <w:rFonts w:eastAsia="Calibri" w:cs="Tahoma"/>
                    <w:szCs w:val="22"/>
                    <w:lang w:eastAsia="en-US"/>
                  </w:rPr>
                  <w:t xml:space="preserve"> </w:t>
                </w:r>
              </w:p>
            </w:tc>
            <w:tc>
              <w:tcPr>
                <w:tcW w:w="3402" w:type="dxa"/>
              </w:tcPr>
              <w:p w14:paraId="71DEA1CF" w14:textId="77777777" w:rsidR="00C32BAC" w:rsidRDefault="00C32BAC" w:rsidP="00E07957">
                <w:pPr>
                  <w:tabs>
                    <w:tab w:val="right" w:pos="8838"/>
                  </w:tabs>
                  <w:ind w:left="-74" w:right="-105"/>
                  <w:rPr>
                    <w:rFonts w:eastAsia="Calibri" w:cs="Tahoma"/>
                    <w:szCs w:val="22"/>
                    <w:lang w:eastAsia="en-US"/>
                  </w:rPr>
                </w:pPr>
              </w:p>
            </w:tc>
          </w:tr>
          <w:tr w:rsidR="00C32BAC" w:rsidRPr="00330DA7" w14:paraId="05C58951" w14:textId="77777777" w:rsidTr="00E07957">
            <w:trPr>
              <w:trHeight w:val="144"/>
            </w:trPr>
            <w:tc>
              <w:tcPr>
                <w:tcW w:w="2727" w:type="dxa"/>
              </w:tcPr>
              <w:p w14:paraId="642B9610" w14:textId="77777777" w:rsidR="00C32BAC" w:rsidRPr="00330DA7" w:rsidRDefault="00C32BAC" w:rsidP="00E07957">
                <w:pPr>
                  <w:tabs>
                    <w:tab w:val="right" w:pos="8838"/>
                  </w:tabs>
                  <w:ind w:left="-74" w:right="-105"/>
                  <w:rPr>
                    <w:rFonts w:eastAsia="Calibri" w:cs="Tahoma"/>
                    <w:b/>
                    <w:szCs w:val="22"/>
                    <w:lang w:eastAsia="en-US"/>
                  </w:rPr>
                </w:pPr>
                <w:bookmarkStart w:id="1" w:name="_Hlk10641523"/>
                <w:bookmarkEnd w:id="0"/>
                <w:r w:rsidRPr="00330DA7">
                  <w:rPr>
                    <w:rFonts w:eastAsia="Calibri" w:cs="Tahoma"/>
                    <w:b/>
                    <w:szCs w:val="22"/>
                    <w:lang w:eastAsia="en-US"/>
                  </w:rPr>
                  <w:t>Recurrente:</w:t>
                </w:r>
              </w:p>
            </w:tc>
            <w:tc>
              <w:tcPr>
                <w:tcW w:w="3402" w:type="dxa"/>
              </w:tcPr>
              <w:p w14:paraId="7728D15B" w14:textId="6B3E309E" w:rsidR="00C32BAC" w:rsidRPr="005F19B1" w:rsidRDefault="00C32BAC" w:rsidP="00E07957">
                <w:pPr>
                  <w:tabs>
                    <w:tab w:val="left" w:pos="3122"/>
                    <w:tab w:val="right" w:pos="8838"/>
                  </w:tabs>
                  <w:ind w:left="-105" w:right="-105"/>
                  <w:rPr>
                    <w:rFonts w:eastAsia="Calibri" w:cs="Tahoma"/>
                    <w:szCs w:val="22"/>
                    <w:lang w:eastAsia="en-US"/>
                  </w:rPr>
                </w:pPr>
                <w:r>
                  <w:rPr>
                    <w:rFonts w:eastAsia="Calibri" w:cs="Tahoma"/>
                    <w:szCs w:val="22"/>
                    <w:lang w:eastAsia="en-US"/>
                  </w:rPr>
                  <w:t>XXXXX XXXXX XXXXXXXX XXXXXX</w:t>
                </w:r>
              </w:p>
            </w:tc>
            <w:tc>
              <w:tcPr>
                <w:tcW w:w="3402" w:type="dxa"/>
              </w:tcPr>
              <w:p w14:paraId="73F47F53" w14:textId="77777777" w:rsidR="00C32BAC" w:rsidRPr="005F19B1" w:rsidRDefault="00C32BAC" w:rsidP="00E07957">
                <w:pPr>
                  <w:tabs>
                    <w:tab w:val="left" w:pos="3122"/>
                    <w:tab w:val="right" w:pos="8838"/>
                  </w:tabs>
                  <w:ind w:left="-105" w:right="-105"/>
                  <w:rPr>
                    <w:rFonts w:eastAsia="Calibri" w:cs="Tahoma"/>
                    <w:szCs w:val="22"/>
                    <w:lang w:eastAsia="en-US"/>
                  </w:rPr>
                </w:pPr>
              </w:p>
            </w:tc>
          </w:tr>
          <w:bookmarkEnd w:id="1"/>
          <w:tr w:rsidR="00C32BAC" w:rsidRPr="00330DA7" w14:paraId="00E6CDC1" w14:textId="77777777" w:rsidTr="00E07957">
            <w:trPr>
              <w:trHeight w:val="283"/>
            </w:trPr>
            <w:tc>
              <w:tcPr>
                <w:tcW w:w="2727" w:type="dxa"/>
              </w:tcPr>
              <w:p w14:paraId="0631AD24" w14:textId="77777777" w:rsidR="00C32BAC" w:rsidRPr="00330DA7" w:rsidRDefault="00C32BAC" w:rsidP="00E07957">
                <w:pPr>
                  <w:tabs>
                    <w:tab w:val="right" w:pos="8838"/>
                  </w:tabs>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3ACBE0D8" w14:textId="4DD9AA54" w:rsidR="00C32BAC" w:rsidRPr="00952DD0" w:rsidRDefault="00C32BAC" w:rsidP="00E07957">
                <w:pPr>
                  <w:tabs>
                    <w:tab w:val="left" w:pos="2834"/>
                    <w:tab w:val="right" w:pos="8838"/>
                  </w:tabs>
                  <w:ind w:left="-108" w:right="-105"/>
                  <w:rPr>
                    <w:rFonts w:eastAsia="Calibri" w:cs="Tahoma"/>
                    <w:szCs w:val="22"/>
                    <w:lang w:eastAsia="en-US"/>
                  </w:rPr>
                </w:pPr>
                <w:r w:rsidRPr="00A2686D">
                  <w:rPr>
                    <w:rFonts w:eastAsia="Calibri" w:cs="Tahoma"/>
                    <w:szCs w:val="22"/>
                    <w:lang w:eastAsia="en-US"/>
                  </w:rPr>
                  <w:t>Ayuntamiento de Texcoco</w:t>
                </w:r>
              </w:p>
            </w:tc>
            <w:tc>
              <w:tcPr>
                <w:tcW w:w="3402" w:type="dxa"/>
              </w:tcPr>
              <w:p w14:paraId="3A7DA319" w14:textId="77777777" w:rsidR="00C32BAC" w:rsidRPr="00A90C72" w:rsidRDefault="00C32BAC" w:rsidP="00E07957">
                <w:pPr>
                  <w:tabs>
                    <w:tab w:val="left" w:pos="2834"/>
                    <w:tab w:val="right" w:pos="8838"/>
                  </w:tabs>
                  <w:ind w:left="-108" w:right="-105"/>
                  <w:rPr>
                    <w:rFonts w:eastAsia="Calibri" w:cs="Tahoma"/>
                    <w:szCs w:val="22"/>
                    <w:lang w:eastAsia="en-US"/>
                  </w:rPr>
                </w:pPr>
              </w:p>
            </w:tc>
          </w:tr>
          <w:tr w:rsidR="00C32BAC" w:rsidRPr="00330DA7" w14:paraId="0F6CD8D2" w14:textId="77777777" w:rsidTr="00E07957">
            <w:trPr>
              <w:trHeight w:val="283"/>
            </w:trPr>
            <w:tc>
              <w:tcPr>
                <w:tcW w:w="2727" w:type="dxa"/>
              </w:tcPr>
              <w:p w14:paraId="31700628" w14:textId="385332FF" w:rsidR="00C32BAC" w:rsidRPr="00330DA7" w:rsidRDefault="00C32BAC" w:rsidP="00E07957">
                <w:pPr>
                  <w:tabs>
                    <w:tab w:val="right" w:pos="8838"/>
                  </w:tabs>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1A90A58" w14:textId="75878977" w:rsidR="00C32BAC" w:rsidRPr="00EA66FC" w:rsidRDefault="00C32BAC" w:rsidP="00E07957">
                <w:pPr>
                  <w:tabs>
                    <w:tab w:val="right" w:pos="8838"/>
                  </w:tabs>
                  <w:ind w:left="-108" w:right="-105"/>
                  <w:rPr>
                    <w:rFonts w:eastAsia="Calibri" w:cs="Tahoma"/>
                    <w:szCs w:val="22"/>
                    <w:lang w:eastAsia="en-US"/>
                  </w:rPr>
                </w:pPr>
                <w:r>
                  <w:rPr>
                    <w:rFonts w:eastAsia="Calibri" w:cs="Tahoma"/>
                    <w:szCs w:val="22"/>
                    <w:lang w:eastAsia="en-US"/>
                  </w:rPr>
                  <w:t>Sharon Cristina Morales Martínez</w:t>
                </w:r>
              </w:p>
            </w:tc>
            <w:tc>
              <w:tcPr>
                <w:tcW w:w="3402" w:type="dxa"/>
              </w:tcPr>
              <w:p w14:paraId="3CFEA0D5" w14:textId="77777777" w:rsidR="00C32BAC" w:rsidRPr="00330DA7" w:rsidRDefault="00C32BAC" w:rsidP="00E07957">
                <w:pPr>
                  <w:tabs>
                    <w:tab w:val="right" w:pos="8838"/>
                  </w:tabs>
                  <w:ind w:left="-108" w:right="-105"/>
                  <w:rPr>
                    <w:rFonts w:eastAsia="Calibri" w:cs="Tahoma"/>
                    <w:szCs w:val="22"/>
                    <w:lang w:eastAsia="en-US"/>
                  </w:rPr>
                </w:pPr>
              </w:p>
            </w:tc>
          </w:tr>
        </w:tbl>
        <w:p w14:paraId="5DC6AC61" w14:textId="77777777" w:rsidR="00C32BAC" w:rsidRPr="00330DA7" w:rsidRDefault="00C32BAC" w:rsidP="00E07957">
          <w:pPr>
            <w:tabs>
              <w:tab w:val="right" w:pos="8838"/>
            </w:tabs>
            <w:ind w:left="-28"/>
            <w:rPr>
              <w:rFonts w:ascii="Arial" w:eastAsia="Calibri" w:hAnsi="Arial" w:cs="Arial"/>
              <w:b/>
              <w:szCs w:val="22"/>
              <w:lang w:eastAsia="en-US"/>
            </w:rPr>
          </w:pPr>
        </w:p>
      </w:tc>
    </w:tr>
  </w:tbl>
  <w:p w14:paraId="2A906731" w14:textId="77777777" w:rsidR="00C32BAC" w:rsidRPr="00765661" w:rsidRDefault="00C32BAC" w:rsidP="00E07957">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style="position:absolute;left:0;text-align:left;margin-left:-63.65pt;margin-top:-120.1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40604"/>
    <w:multiLevelType w:val="hybridMultilevel"/>
    <w:tmpl w:val="14B84CE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F833B6"/>
    <w:multiLevelType w:val="hybridMultilevel"/>
    <w:tmpl w:val="204A168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AF87F1D"/>
    <w:multiLevelType w:val="hybridMultilevel"/>
    <w:tmpl w:val="CD76B8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0135C98"/>
    <w:multiLevelType w:val="multilevel"/>
    <w:tmpl w:val="D9AC34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80242BE"/>
    <w:multiLevelType w:val="multilevel"/>
    <w:tmpl w:val="8542D3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243CA5"/>
    <w:multiLevelType w:val="hybridMultilevel"/>
    <w:tmpl w:val="58C858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9EE7E42"/>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CC8548D"/>
    <w:multiLevelType w:val="hybridMultilevel"/>
    <w:tmpl w:val="CFD6CF6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0FF1DFA"/>
    <w:multiLevelType w:val="hybridMultilevel"/>
    <w:tmpl w:val="C76608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AB939CB"/>
    <w:multiLevelType w:val="hybridMultilevel"/>
    <w:tmpl w:val="F684BBEA"/>
    <w:lvl w:ilvl="0" w:tplc="B4E0ABDE">
      <w:start w:val="1"/>
      <w:numFmt w:val="decimal"/>
      <w:lvlText w:val="%1."/>
      <w:lvlJc w:val="left"/>
      <w:pPr>
        <w:ind w:left="720" w:hanging="360"/>
      </w:pPr>
      <w:rPr>
        <w:rFonts w:ascii="Palatino Linotype" w:eastAsia="Times New Roman" w:hAnsi="Palatino Linotype" w:cs="Tahom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11" w15:restartNumberingAfterBreak="0">
    <w:nsid w:val="2BA51338"/>
    <w:multiLevelType w:val="multilevel"/>
    <w:tmpl w:val="FFD63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3EE3BF2"/>
    <w:multiLevelType w:val="hybridMultilevel"/>
    <w:tmpl w:val="374A82FA"/>
    <w:lvl w:ilvl="0" w:tplc="E5DA7F4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15:restartNumberingAfterBreak="0">
    <w:nsid w:val="47537A4D"/>
    <w:multiLevelType w:val="hybridMultilevel"/>
    <w:tmpl w:val="F146C3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8DA04C0"/>
    <w:multiLevelType w:val="hybridMultilevel"/>
    <w:tmpl w:val="F8FA37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8E41C06"/>
    <w:multiLevelType w:val="hybridMultilevel"/>
    <w:tmpl w:val="C340F3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C1F1485"/>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768F109B"/>
    <w:multiLevelType w:val="hybridMultilevel"/>
    <w:tmpl w:val="5E4E3A3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8A52308"/>
    <w:multiLevelType w:val="hybridMultilevel"/>
    <w:tmpl w:val="B98839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17"/>
  </w:num>
  <w:num w:numId="3">
    <w:abstractNumId w:val="18"/>
  </w:num>
  <w:num w:numId="4">
    <w:abstractNumId w:val="8"/>
  </w:num>
  <w:num w:numId="5">
    <w:abstractNumId w:val="3"/>
  </w:num>
  <w:num w:numId="6">
    <w:abstractNumId w:val="20"/>
  </w:num>
  <w:num w:numId="7">
    <w:abstractNumId w:val="15"/>
  </w:num>
  <w:num w:numId="8">
    <w:abstractNumId w:val="6"/>
  </w:num>
  <w:num w:numId="9">
    <w:abstractNumId w:val="14"/>
  </w:num>
  <w:num w:numId="10">
    <w:abstractNumId w:val="10"/>
    <w:lvlOverride w:ilvl="0">
      <w:startOverride w:val="1"/>
    </w:lvlOverride>
    <w:lvlOverride w:ilvl="1"/>
    <w:lvlOverride w:ilvl="2"/>
    <w:lvlOverride w:ilvl="3"/>
    <w:lvlOverride w:ilvl="4"/>
    <w:lvlOverride w:ilvl="5"/>
    <w:lvlOverride w:ilvl="6"/>
    <w:lvlOverride w:ilvl="7"/>
    <w:lvlOverride w:ilvl="8"/>
  </w:num>
  <w:num w:numId="11">
    <w:abstractNumId w:val="10"/>
  </w:num>
  <w:num w:numId="12">
    <w:abstractNumId w:val="9"/>
  </w:num>
  <w:num w:numId="13">
    <w:abstractNumId w:val="2"/>
  </w:num>
  <w:num w:numId="14">
    <w:abstractNumId w:val="5"/>
  </w:num>
  <w:num w:numId="15">
    <w:abstractNumId w:val="16"/>
  </w:num>
  <w:num w:numId="16">
    <w:abstractNumId w:val="19"/>
  </w:num>
  <w:num w:numId="17">
    <w:abstractNumId w:val="12"/>
  </w:num>
  <w:num w:numId="18">
    <w:abstractNumId w:val="7"/>
  </w:num>
  <w:num w:numId="19">
    <w:abstractNumId w:val="1"/>
  </w:num>
  <w:num w:numId="20">
    <w:abstractNumId w:val="0"/>
  </w:num>
  <w:num w:numId="21">
    <w:abstractNumId w:val="11"/>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0"/>
    <w:rsid w:val="0000629A"/>
    <w:rsid w:val="000318BC"/>
    <w:rsid w:val="00057B2D"/>
    <w:rsid w:val="00080071"/>
    <w:rsid w:val="000B2FC5"/>
    <w:rsid w:val="000C52E9"/>
    <w:rsid w:val="000D0D67"/>
    <w:rsid w:val="000E09C4"/>
    <w:rsid w:val="0011350D"/>
    <w:rsid w:val="001203A4"/>
    <w:rsid w:val="00141876"/>
    <w:rsid w:val="0014207B"/>
    <w:rsid w:val="00150C49"/>
    <w:rsid w:val="0016388E"/>
    <w:rsid w:val="00163D12"/>
    <w:rsid w:val="001A58B3"/>
    <w:rsid w:val="001C6057"/>
    <w:rsid w:val="001C7688"/>
    <w:rsid w:val="001D30FA"/>
    <w:rsid w:val="001F3515"/>
    <w:rsid w:val="001F5C8C"/>
    <w:rsid w:val="00200AB9"/>
    <w:rsid w:val="00233005"/>
    <w:rsid w:val="00233F17"/>
    <w:rsid w:val="00240B1C"/>
    <w:rsid w:val="00252259"/>
    <w:rsid w:val="00267F0D"/>
    <w:rsid w:val="002A3601"/>
    <w:rsid w:val="002B7C6F"/>
    <w:rsid w:val="002D111C"/>
    <w:rsid w:val="002E1259"/>
    <w:rsid w:val="002F4BBA"/>
    <w:rsid w:val="00302476"/>
    <w:rsid w:val="00306766"/>
    <w:rsid w:val="003236FF"/>
    <w:rsid w:val="00331F35"/>
    <w:rsid w:val="003341BC"/>
    <w:rsid w:val="00335CDF"/>
    <w:rsid w:val="00337F4D"/>
    <w:rsid w:val="00362A11"/>
    <w:rsid w:val="0039076D"/>
    <w:rsid w:val="00391C4A"/>
    <w:rsid w:val="003A40C1"/>
    <w:rsid w:val="003B5D3E"/>
    <w:rsid w:val="003C0A6D"/>
    <w:rsid w:val="003E4F98"/>
    <w:rsid w:val="003F35FD"/>
    <w:rsid w:val="003F697B"/>
    <w:rsid w:val="003F6FBF"/>
    <w:rsid w:val="0041385B"/>
    <w:rsid w:val="00441BFA"/>
    <w:rsid w:val="00454FBD"/>
    <w:rsid w:val="0046150A"/>
    <w:rsid w:val="004D7CD8"/>
    <w:rsid w:val="004E5068"/>
    <w:rsid w:val="004F7A00"/>
    <w:rsid w:val="00523F48"/>
    <w:rsid w:val="005328ED"/>
    <w:rsid w:val="005365FA"/>
    <w:rsid w:val="005424CA"/>
    <w:rsid w:val="005616DF"/>
    <w:rsid w:val="005723CB"/>
    <w:rsid w:val="00575400"/>
    <w:rsid w:val="00590935"/>
    <w:rsid w:val="005B18AF"/>
    <w:rsid w:val="005B6C4F"/>
    <w:rsid w:val="005B7463"/>
    <w:rsid w:val="005D5A50"/>
    <w:rsid w:val="005F5301"/>
    <w:rsid w:val="005F65B7"/>
    <w:rsid w:val="006067C7"/>
    <w:rsid w:val="00606A65"/>
    <w:rsid w:val="006159AD"/>
    <w:rsid w:val="00646436"/>
    <w:rsid w:val="00664420"/>
    <w:rsid w:val="00666282"/>
    <w:rsid w:val="006675AC"/>
    <w:rsid w:val="006A42B0"/>
    <w:rsid w:val="006A646A"/>
    <w:rsid w:val="006B10B0"/>
    <w:rsid w:val="006B4535"/>
    <w:rsid w:val="006C6741"/>
    <w:rsid w:val="006E25BC"/>
    <w:rsid w:val="006E6BBC"/>
    <w:rsid w:val="006F7768"/>
    <w:rsid w:val="00717E59"/>
    <w:rsid w:val="0074179A"/>
    <w:rsid w:val="00775BFC"/>
    <w:rsid w:val="00780400"/>
    <w:rsid w:val="007A3459"/>
    <w:rsid w:val="007B6074"/>
    <w:rsid w:val="007C03FC"/>
    <w:rsid w:val="007D1C55"/>
    <w:rsid w:val="007D29D7"/>
    <w:rsid w:val="007D317F"/>
    <w:rsid w:val="007E4CC0"/>
    <w:rsid w:val="007F5D06"/>
    <w:rsid w:val="007F7EDC"/>
    <w:rsid w:val="00805A6E"/>
    <w:rsid w:val="008067AA"/>
    <w:rsid w:val="00831F72"/>
    <w:rsid w:val="00865CF4"/>
    <w:rsid w:val="00876DBC"/>
    <w:rsid w:val="008A6003"/>
    <w:rsid w:val="008A6F88"/>
    <w:rsid w:val="008B1E16"/>
    <w:rsid w:val="008E1316"/>
    <w:rsid w:val="008E1CA9"/>
    <w:rsid w:val="00902EE5"/>
    <w:rsid w:val="00910FD2"/>
    <w:rsid w:val="00931437"/>
    <w:rsid w:val="00931D0B"/>
    <w:rsid w:val="00940929"/>
    <w:rsid w:val="00951C29"/>
    <w:rsid w:val="00953430"/>
    <w:rsid w:val="00966367"/>
    <w:rsid w:val="00970EB3"/>
    <w:rsid w:val="009718B6"/>
    <w:rsid w:val="009748A1"/>
    <w:rsid w:val="009A0277"/>
    <w:rsid w:val="009A2D78"/>
    <w:rsid w:val="009A7C10"/>
    <w:rsid w:val="009B2945"/>
    <w:rsid w:val="009C7DAD"/>
    <w:rsid w:val="009E2DEE"/>
    <w:rsid w:val="009F797C"/>
    <w:rsid w:val="00A05AF5"/>
    <w:rsid w:val="00A131AC"/>
    <w:rsid w:val="00A16D85"/>
    <w:rsid w:val="00A21A20"/>
    <w:rsid w:val="00A2686D"/>
    <w:rsid w:val="00A36A99"/>
    <w:rsid w:val="00A36B4D"/>
    <w:rsid w:val="00A53315"/>
    <w:rsid w:val="00A70EF0"/>
    <w:rsid w:val="00A87905"/>
    <w:rsid w:val="00A9208D"/>
    <w:rsid w:val="00A92097"/>
    <w:rsid w:val="00AA6EA9"/>
    <w:rsid w:val="00AC2DB8"/>
    <w:rsid w:val="00AC3CA0"/>
    <w:rsid w:val="00AD132B"/>
    <w:rsid w:val="00AE3DA7"/>
    <w:rsid w:val="00AF03C4"/>
    <w:rsid w:val="00B22A80"/>
    <w:rsid w:val="00B60C63"/>
    <w:rsid w:val="00B94487"/>
    <w:rsid w:val="00BA55A8"/>
    <w:rsid w:val="00BA7582"/>
    <w:rsid w:val="00BA7B9C"/>
    <w:rsid w:val="00BB2ABF"/>
    <w:rsid w:val="00BB64F4"/>
    <w:rsid w:val="00BC5CCA"/>
    <w:rsid w:val="00BD3F4F"/>
    <w:rsid w:val="00BD5A7C"/>
    <w:rsid w:val="00BE7A1B"/>
    <w:rsid w:val="00BF0221"/>
    <w:rsid w:val="00BF091A"/>
    <w:rsid w:val="00BF4EAD"/>
    <w:rsid w:val="00BF6ED2"/>
    <w:rsid w:val="00C049E2"/>
    <w:rsid w:val="00C32BAC"/>
    <w:rsid w:val="00C36795"/>
    <w:rsid w:val="00C461EC"/>
    <w:rsid w:val="00C507D4"/>
    <w:rsid w:val="00C71CEF"/>
    <w:rsid w:val="00C72DAA"/>
    <w:rsid w:val="00C80B14"/>
    <w:rsid w:val="00C9091F"/>
    <w:rsid w:val="00CB0D77"/>
    <w:rsid w:val="00CB7E9A"/>
    <w:rsid w:val="00CC1D4B"/>
    <w:rsid w:val="00CD0B92"/>
    <w:rsid w:val="00CE01DC"/>
    <w:rsid w:val="00CE29D3"/>
    <w:rsid w:val="00CF2D8B"/>
    <w:rsid w:val="00CF378F"/>
    <w:rsid w:val="00CF7586"/>
    <w:rsid w:val="00D036D3"/>
    <w:rsid w:val="00D2790D"/>
    <w:rsid w:val="00D50EF2"/>
    <w:rsid w:val="00D51ECD"/>
    <w:rsid w:val="00D54F38"/>
    <w:rsid w:val="00D6170E"/>
    <w:rsid w:val="00D91CB4"/>
    <w:rsid w:val="00DB1C09"/>
    <w:rsid w:val="00DC2048"/>
    <w:rsid w:val="00DD1950"/>
    <w:rsid w:val="00DD503B"/>
    <w:rsid w:val="00DE1133"/>
    <w:rsid w:val="00E03962"/>
    <w:rsid w:val="00E07957"/>
    <w:rsid w:val="00E16BF5"/>
    <w:rsid w:val="00E37A3F"/>
    <w:rsid w:val="00E37D3C"/>
    <w:rsid w:val="00E40A98"/>
    <w:rsid w:val="00E62E6A"/>
    <w:rsid w:val="00E83EF5"/>
    <w:rsid w:val="00E914BE"/>
    <w:rsid w:val="00E9335C"/>
    <w:rsid w:val="00ED1C1E"/>
    <w:rsid w:val="00EE2AF2"/>
    <w:rsid w:val="00EF165E"/>
    <w:rsid w:val="00F07EE6"/>
    <w:rsid w:val="00F33CC8"/>
    <w:rsid w:val="00F4481C"/>
    <w:rsid w:val="00F75D23"/>
    <w:rsid w:val="00FA5957"/>
    <w:rsid w:val="00FC3CE0"/>
    <w:rsid w:val="00FD06A8"/>
    <w:rsid w:val="00FD3F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Puesto">
    <w:name w:val="Title"/>
    <w:aliases w:val="Cita textual"/>
    <w:next w:val="Normal"/>
    <w:link w:val="Puest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A05A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4325080">
      <w:bodyDiv w:val="1"/>
      <w:marLeft w:val="0"/>
      <w:marRight w:val="0"/>
      <w:marTop w:val="0"/>
      <w:marBottom w:val="0"/>
      <w:divBdr>
        <w:top w:val="none" w:sz="0" w:space="0" w:color="auto"/>
        <w:left w:val="none" w:sz="0" w:space="0" w:color="auto"/>
        <w:bottom w:val="none" w:sz="0" w:space="0" w:color="auto"/>
        <w:right w:val="none" w:sz="0" w:space="0" w:color="auto"/>
      </w:divBdr>
    </w:div>
    <w:div w:id="438182142">
      <w:bodyDiv w:val="1"/>
      <w:marLeft w:val="0"/>
      <w:marRight w:val="0"/>
      <w:marTop w:val="0"/>
      <w:marBottom w:val="0"/>
      <w:divBdr>
        <w:top w:val="none" w:sz="0" w:space="0" w:color="auto"/>
        <w:left w:val="none" w:sz="0" w:space="0" w:color="auto"/>
        <w:bottom w:val="none" w:sz="0" w:space="0" w:color="auto"/>
        <w:right w:val="none" w:sz="0" w:space="0" w:color="auto"/>
      </w:divBdr>
    </w:div>
    <w:div w:id="519390641">
      <w:bodyDiv w:val="1"/>
      <w:marLeft w:val="0"/>
      <w:marRight w:val="0"/>
      <w:marTop w:val="0"/>
      <w:marBottom w:val="0"/>
      <w:divBdr>
        <w:top w:val="none" w:sz="0" w:space="0" w:color="auto"/>
        <w:left w:val="none" w:sz="0" w:space="0" w:color="auto"/>
        <w:bottom w:val="none" w:sz="0" w:space="0" w:color="auto"/>
        <w:right w:val="none" w:sz="0" w:space="0" w:color="auto"/>
      </w:divBdr>
    </w:div>
    <w:div w:id="966475454">
      <w:bodyDiv w:val="1"/>
      <w:marLeft w:val="0"/>
      <w:marRight w:val="0"/>
      <w:marTop w:val="0"/>
      <w:marBottom w:val="0"/>
      <w:divBdr>
        <w:top w:val="none" w:sz="0" w:space="0" w:color="auto"/>
        <w:left w:val="none" w:sz="0" w:space="0" w:color="auto"/>
        <w:bottom w:val="none" w:sz="0" w:space="0" w:color="auto"/>
        <w:right w:val="none" w:sz="0" w:space="0" w:color="auto"/>
      </w:divBdr>
    </w:div>
    <w:div w:id="1335299772">
      <w:bodyDiv w:val="1"/>
      <w:marLeft w:val="0"/>
      <w:marRight w:val="0"/>
      <w:marTop w:val="0"/>
      <w:marBottom w:val="0"/>
      <w:divBdr>
        <w:top w:val="none" w:sz="0" w:space="0" w:color="auto"/>
        <w:left w:val="none" w:sz="0" w:space="0" w:color="auto"/>
        <w:bottom w:val="none" w:sz="0" w:space="0" w:color="auto"/>
        <w:right w:val="none" w:sz="0" w:space="0" w:color="auto"/>
      </w:divBdr>
    </w:div>
    <w:div w:id="1608191096">
      <w:bodyDiv w:val="1"/>
      <w:marLeft w:val="0"/>
      <w:marRight w:val="0"/>
      <w:marTop w:val="0"/>
      <w:marBottom w:val="0"/>
      <w:divBdr>
        <w:top w:val="none" w:sz="0" w:space="0" w:color="auto"/>
        <w:left w:val="none" w:sz="0" w:space="0" w:color="auto"/>
        <w:bottom w:val="none" w:sz="0" w:space="0" w:color="auto"/>
        <w:right w:val="none" w:sz="0" w:space="0" w:color="auto"/>
      </w:divBdr>
    </w:div>
    <w:div w:id="1986201951">
      <w:bodyDiv w:val="1"/>
      <w:marLeft w:val="0"/>
      <w:marRight w:val="0"/>
      <w:marTop w:val="0"/>
      <w:marBottom w:val="0"/>
      <w:divBdr>
        <w:top w:val="none" w:sz="0" w:space="0" w:color="auto"/>
        <w:left w:val="none" w:sz="0" w:space="0" w:color="auto"/>
        <w:bottom w:val="none" w:sz="0" w:space="0" w:color="auto"/>
        <w:right w:val="none" w:sz="0" w:space="0" w:color="auto"/>
      </w:divBdr>
    </w:div>
    <w:div w:id="2136439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feriacaballotexcoco.com/programa-de-mano-feria-del-caballo-texcoco-2025/"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34DC97-28C0-4586-BEE7-C0C3BCEF42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3.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2A0AFA-33C8-4F50-8714-69AC9C06F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39</Pages>
  <Words>10533</Words>
  <Characters>57934</Characters>
  <Application>Microsoft Office Word</Application>
  <DocSecurity>0</DocSecurity>
  <Lines>482</Lines>
  <Paragraphs>136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INFOEM381</cp:lastModifiedBy>
  <cp:revision>8</cp:revision>
  <cp:lastPrinted>2025-06-05T23:06:00Z</cp:lastPrinted>
  <dcterms:created xsi:type="dcterms:W3CDTF">2025-06-02T23:07:00Z</dcterms:created>
  <dcterms:modified xsi:type="dcterms:W3CDTF">2025-08-07T19:32:00Z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