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0A66" w14:textId="03AA6831" w:rsidR="003F490F" w:rsidRPr="007D47F3" w:rsidRDefault="005959FF">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7D47F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E282A" w:rsidRPr="007D47F3">
        <w:rPr>
          <w:rFonts w:ascii="Palatino Linotype" w:eastAsia="Palatino Linotype" w:hAnsi="Palatino Linotype" w:cs="Palatino Linotype"/>
        </w:rPr>
        <w:t xml:space="preserve">veinte de agosto </w:t>
      </w:r>
      <w:r w:rsidRPr="007D47F3">
        <w:rPr>
          <w:rFonts w:ascii="Palatino Linotype" w:eastAsia="Palatino Linotype" w:hAnsi="Palatino Linotype" w:cs="Palatino Linotype"/>
        </w:rPr>
        <w:t xml:space="preserve">de dos mil veinticinco. </w:t>
      </w:r>
    </w:p>
    <w:p w14:paraId="5D04C1D2" w14:textId="5FEE8F77" w:rsidR="003F490F" w:rsidRPr="007D47F3" w:rsidRDefault="005959FF">
      <w:pPr>
        <w:tabs>
          <w:tab w:val="left" w:pos="5812"/>
        </w:tabs>
        <w:spacing w:before="240" w:after="240" w:line="360" w:lineRule="auto"/>
        <w:jc w:val="both"/>
        <w:rPr>
          <w:rFonts w:ascii="Palatino Linotype" w:eastAsia="Palatino Linotype" w:hAnsi="Palatino Linotype" w:cs="Palatino Linotype"/>
          <w:b/>
        </w:rPr>
      </w:pPr>
      <w:bookmarkStart w:id="1" w:name="_heading=h.daj3j2xo6q66" w:colFirst="0" w:colLast="0"/>
      <w:bookmarkEnd w:id="1"/>
      <w:r w:rsidRPr="007D47F3">
        <w:rPr>
          <w:rFonts w:ascii="Palatino Linotype" w:eastAsia="Palatino Linotype" w:hAnsi="Palatino Linotype" w:cs="Palatino Linotype"/>
          <w:b/>
        </w:rPr>
        <w:t>VISTO</w:t>
      </w:r>
      <w:r w:rsidRPr="007D47F3">
        <w:rPr>
          <w:rFonts w:ascii="Palatino Linotype" w:eastAsia="Palatino Linotype" w:hAnsi="Palatino Linotype" w:cs="Palatino Linotype"/>
        </w:rPr>
        <w:t xml:space="preserve"> el expediente formado con motivo del recurso de revisión </w:t>
      </w:r>
      <w:r w:rsidR="009E282A" w:rsidRPr="007D47F3">
        <w:rPr>
          <w:rFonts w:ascii="Palatino Linotype" w:eastAsia="Palatino Linotype" w:hAnsi="Palatino Linotype" w:cs="Palatino Linotype"/>
          <w:b/>
        </w:rPr>
        <w:t>05844</w:t>
      </w:r>
      <w:r w:rsidRPr="007D47F3">
        <w:rPr>
          <w:rFonts w:ascii="Palatino Linotype" w:eastAsia="Palatino Linotype" w:hAnsi="Palatino Linotype" w:cs="Palatino Linotype"/>
          <w:b/>
        </w:rPr>
        <w:t>/INFOEM/IP/RR/2025</w:t>
      </w:r>
      <w:r w:rsidRPr="007D47F3">
        <w:rPr>
          <w:rFonts w:ascii="Palatino Linotype" w:eastAsia="Palatino Linotype" w:hAnsi="Palatino Linotype" w:cs="Palatino Linotype"/>
        </w:rPr>
        <w:t>, interpuesto por</w:t>
      </w:r>
      <w:r w:rsidR="009E282A" w:rsidRPr="007D47F3">
        <w:rPr>
          <w:rFonts w:ascii="Palatino Linotype" w:eastAsia="Palatino Linotype" w:hAnsi="Palatino Linotype" w:cs="Palatino Linotype"/>
          <w:b/>
        </w:rPr>
        <w:t xml:space="preserve"> una persona que no proporcionó nombre o seudónimo</w:t>
      </w:r>
      <w:r w:rsidRPr="007D47F3">
        <w:rPr>
          <w:rFonts w:ascii="Palatino Linotype" w:eastAsia="Palatino Linotype" w:hAnsi="Palatino Linotype" w:cs="Palatino Linotype"/>
          <w:b/>
        </w:rPr>
        <w:t>,</w:t>
      </w:r>
      <w:r w:rsidRPr="007D47F3">
        <w:rPr>
          <w:rFonts w:ascii="Palatino Linotype" w:eastAsia="Palatino Linotype" w:hAnsi="Palatino Linotype" w:cs="Palatino Linotype"/>
        </w:rPr>
        <w:t xml:space="preserve"> en lo sucesivo</w:t>
      </w:r>
      <w:r w:rsidRPr="007D47F3">
        <w:rPr>
          <w:rFonts w:ascii="Palatino Linotype" w:eastAsia="Palatino Linotype" w:hAnsi="Palatino Linotype" w:cs="Palatino Linotype"/>
          <w:b/>
        </w:rPr>
        <w:t xml:space="preserve"> </w:t>
      </w:r>
      <w:r w:rsidRPr="007D47F3">
        <w:rPr>
          <w:rFonts w:ascii="Palatino Linotype" w:eastAsia="Palatino Linotype" w:hAnsi="Palatino Linotype" w:cs="Palatino Linotype"/>
        </w:rPr>
        <w:t xml:space="preserve">la parte </w:t>
      </w:r>
      <w:r w:rsidRPr="007D47F3">
        <w:rPr>
          <w:rFonts w:ascii="Palatino Linotype" w:eastAsia="Palatino Linotype" w:hAnsi="Palatino Linotype" w:cs="Palatino Linotype"/>
          <w:b/>
        </w:rPr>
        <w:t>Recurrente,</w:t>
      </w:r>
      <w:r w:rsidRPr="007D47F3">
        <w:rPr>
          <w:rFonts w:ascii="Palatino Linotype" w:eastAsia="Palatino Linotype" w:hAnsi="Palatino Linotype" w:cs="Palatino Linotype"/>
        </w:rPr>
        <w:t xml:space="preserve"> en contra de la respuesta a la solicitud de información con número de folio</w:t>
      </w:r>
      <w:r w:rsidRPr="007D47F3">
        <w:rPr>
          <w:rFonts w:ascii="Palatino Linotype" w:eastAsia="Palatino Linotype" w:hAnsi="Palatino Linotype" w:cs="Palatino Linotype"/>
          <w:b/>
        </w:rPr>
        <w:t xml:space="preserve"> </w:t>
      </w:r>
      <w:r w:rsidR="009E282A" w:rsidRPr="007D47F3">
        <w:rPr>
          <w:rFonts w:ascii="Palatino Linotype" w:eastAsia="Palatino Linotype" w:hAnsi="Palatino Linotype" w:cs="Palatino Linotype"/>
          <w:b/>
        </w:rPr>
        <w:t>01750/TOLUCA/IP/2025</w:t>
      </w:r>
      <w:r w:rsidRPr="007D47F3">
        <w:rPr>
          <w:rFonts w:ascii="Palatino Linotype" w:eastAsia="Palatino Linotype" w:hAnsi="Palatino Linotype" w:cs="Palatino Linotype"/>
          <w:b/>
        </w:rPr>
        <w:t xml:space="preserve">, </w:t>
      </w:r>
      <w:r w:rsidRPr="007D47F3">
        <w:rPr>
          <w:rFonts w:ascii="Palatino Linotype" w:eastAsia="Palatino Linotype" w:hAnsi="Palatino Linotype" w:cs="Palatino Linotype"/>
        </w:rPr>
        <w:t xml:space="preserve">por parte del </w:t>
      </w:r>
      <w:r w:rsidR="009E282A" w:rsidRPr="007D47F3">
        <w:rPr>
          <w:rFonts w:ascii="Palatino Linotype" w:eastAsia="Palatino Linotype" w:hAnsi="Palatino Linotype" w:cs="Palatino Linotype"/>
          <w:b/>
        </w:rPr>
        <w:t>Ayuntamiento de Toluca</w:t>
      </w:r>
      <w:r w:rsidRPr="007D47F3">
        <w:rPr>
          <w:rFonts w:ascii="Palatino Linotype" w:eastAsia="Palatino Linotype" w:hAnsi="Palatino Linotype" w:cs="Palatino Linotype"/>
          <w:b/>
        </w:rPr>
        <w:t xml:space="preserve">, </w:t>
      </w:r>
      <w:r w:rsidRPr="007D47F3">
        <w:rPr>
          <w:rFonts w:ascii="Palatino Linotype" w:eastAsia="Palatino Linotype" w:hAnsi="Palatino Linotype" w:cs="Palatino Linotype"/>
        </w:rPr>
        <w:t xml:space="preserve">en lo sucesivo el </w:t>
      </w:r>
      <w:r w:rsidRPr="007D47F3">
        <w:rPr>
          <w:rFonts w:ascii="Palatino Linotype" w:eastAsia="Palatino Linotype" w:hAnsi="Palatino Linotype" w:cs="Palatino Linotype"/>
          <w:b/>
        </w:rPr>
        <w:t xml:space="preserve">Sujeto Obligado, </w:t>
      </w:r>
      <w:r w:rsidRPr="007D47F3">
        <w:rPr>
          <w:rFonts w:ascii="Palatino Linotype" w:eastAsia="Palatino Linotype" w:hAnsi="Palatino Linotype" w:cs="Palatino Linotype"/>
        </w:rPr>
        <w:t xml:space="preserve">se procede a dictar la presente resolución con base en los siguientes: </w:t>
      </w:r>
    </w:p>
    <w:p w14:paraId="1A8C7C2B" w14:textId="77777777" w:rsidR="003F490F" w:rsidRPr="007D47F3" w:rsidRDefault="005959FF">
      <w:pPr>
        <w:spacing w:before="240" w:after="240" w:line="360" w:lineRule="auto"/>
        <w:jc w:val="center"/>
        <w:rPr>
          <w:rFonts w:ascii="Palatino Linotype" w:eastAsia="Palatino Linotype" w:hAnsi="Palatino Linotype" w:cs="Palatino Linotype"/>
          <w:b/>
        </w:rPr>
      </w:pPr>
      <w:r w:rsidRPr="007D47F3">
        <w:rPr>
          <w:rFonts w:ascii="Palatino Linotype" w:eastAsia="Palatino Linotype" w:hAnsi="Palatino Linotype" w:cs="Palatino Linotype"/>
          <w:b/>
        </w:rPr>
        <w:t>I. A N T E C E D E N T E S</w:t>
      </w:r>
    </w:p>
    <w:p w14:paraId="1A844029" w14:textId="49B9C551" w:rsidR="003F490F" w:rsidRPr="007D47F3" w:rsidRDefault="005959FF">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7D47F3">
        <w:rPr>
          <w:rFonts w:ascii="Palatino Linotype" w:eastAsia="Palatino Linotype" w:hAnsi="Palatino Linotype" w:cs="Palatino Linotype"/>
          <w:b/>
        </w:rPr>
        <w:t>1. Solicitud de acceso a la información.</w:t>
      </w:r>
      <w:r w:rsidRPr="007D47F3">
        <w:rPr>
          <w:rFonts w:ascii="Palatino Linotype" w:eastAsia="Palatino Linotype" w:hAnsi="Palatino Linotype" w:cs="Palatino Linotype"/>
        </w:rPr>
        <w:t xml:space="preserve"> El </w:t>
      </w:r>
      <w:r w:rsidRPr="007D47F3">
        <w:rPr>
          <w:rFonts w:ascii="Palatino Linotype" w:eastAsia="Palatino Linotype" w:hAnsi="Palatino Linotype" w:cs="Palatino Linotype"/>
          <w:b/>
        </w:rPr>
        <w:t>veinti</w:t>
      </w:r>
      <w:r w:rsidR="009E282A" w:rsidRPr="007D47F3">
        <w:rPr>
          <w:rFonts w:ascii="Palatino Linotype" w:eastAsia="Palatino Linotype" w:hAnsi="Palatino Linotype" w:cs="Palatino Linotype"/>
          <w:b/>
        </w:rPr>
        <w:t xml:space="preserve">uno </w:t>
      </w:r>
      <w:r w:rsidRPr="007D47F3">
        <w:rPr>
          <w:rFonts w:ascii="Palatino Linotype" w:eastAsia="Palatino Linotype" w:hAnsi="Palatino Linotype" w:cs="Palatino Linotype"/>
          <w:b/>
        </w:rPr>
        <w:t>de marzo de dos mil veinticinco,</w:t>
      </w:r>
      <w:r w:rsidRPr="007D47F3">
        <w:rPr>
          <w:rFonts w:ascii="Palatino Linotype" w:eastAsia="Palatino Linotype" w:hAnsi="Palatino Linotype" w:cs="Palatino Linotype"/>
        </w:rPr>
        <w:t xml:space="preserve"> la parte </w:t>
      </w:r>
      <w:r w:rsidRPr="007D47F3">
        <w:rPr>
          <w:rFonts w:ascii="Palatino Linotype" w:eastAsia="Palatino Linotype" w:hAnsi="Palatino Linotype" w:cs="Palatino Linotype"/>
          <w:b/>
        </w:rPr>
        <w:t xml:space="preserve">Recurrente </w:t>
      </w:r>
      <w:r w:rsidRPr="007D47F3">
        <w:rPr>
          <w:rFonts w:ascii="Palatino Linotype" w:eastAsia="Palatino Linotype" w:hAnsi="Palatino Linotype" w:cs="Palatino Linotype"/>
        </w:rPr>
        <w:t xml:space="preserve">presentó la solicitud de acceso a la información pública ante el </w:t>
      </w:r>
      <w:r w:rsidRPr="007D47F3">
        <w:rPr>
          <w:rFonts w:ascii="Palatino Linotype" w:eastAsia="Palatino Linotype" w:hAnsi="Palatino Linotype" w:cs="Palatino Linotype"/>
          <w:b/>
        </w:rPr>
        <w:t>Sujeto Obligado</w:t>
      </w:r>
      <w:r w:rsidRPr="007D47F3">
        <w:rPr>
          <w:rFonts w:ascii="Palatino Linotype" w:eastAsia="Palatino Linotype" w:hAnsi="Palatino Linotype" w:cs="Palatino Linotype"/>
        </w:rPr>
        <w:t xml:space="preserve">, a través del Sistema de Acceso a la Información Mexiquense, en lo subsecuente el </w:t>
      </w:r>
      <w:r w:rsidRPr="007D47F3">
        <w:rPr>
          <w:rFonts w:ascii="Palatino Linotype" w:eastAsia="Palatino Linotype" w:hAnsi="Palatino Linotype" w:cs="Palatino Linotype"/>
          <w:b/>
        </w:rPr>
        <w:t>SAIMEX,</w:t>
      </w:r>
      <w:r w:rsidRPr="007D47F3">
        <w:rPr>
          <w:rFonts w:ascii="Palatino Linotype" w:eastAsia="Palatino Linotype" w:hAnsi="Palatino Linotype" w:cs="Palatino Linotype"/>
        </w:rPr>
        <w:t xml:space="preserve"> mediante la cual requirió lo siguiente:</w:t>
      </w:r>
    </w:p>
    <w:p w14:paraId="5E9E23C2" w14:textId="77C6B6C6" w:rsidR="003F490F" w:rsidRPr="007D47F3" w:rsidRDefault="005959FF">
      <w:pPr>
        <w:spacing w:before="120" w:after="120"/>
        <w:ind w:left="851" w:right="902"/>
        <w:jc w:val="both"/>
        <w:rPr>
          <w:rFonts w:ascii="Palatino Linotype" w:eastAsia="Palatino Linotype" w:hAnsi="Palatino Linotype" w:cs="Palatino Linotype"/>
          <w:b/>
          <w:i/>
          <w:sz w:val="22"/>
          <w:szCs w:val="22"/>
        </w:rPr>
      </w:pPr>
      <w:r w:rsidRPr="007D47F3">
        <w:rPr>
          <w:rFonts w:ascii="Palatino Linotype" w:eastAsia="Palatino Linotype" w:hAnsi="Palatino Linotype" w:cs="Palatino Linotype"/>
          <w:i/>
          <w:sz w:val="22"/>
          <w:szCs w:val="22"/>
        </w:rPr>
        <w:t xml:space="preserve"> “</w:t>
      </w:r>
      <w:r w:rsidR="009E282A" w:rsidRPr="007D47F3">
        <w:rPr>
          <w:rFonts w:ascii="Palatino Linotype" w:eastAsia="Palatino Linotype" w:hAnsi="Palatino Linotype" w:cs="Palatino Linotype"/>
          <w:i/>
          <w:sz w:val="22"/>
          <w:szCs w:val="22"/>
        </w:rPr>
        <w:t>1. solicitar cuantas fueron las solicitudes de licencia recibidas del 01 de enero al 31 de diciembre del 2024 para dar de alta en el padrón de establecimientos, y cuantas fueron autorizadas por el cabildo de Toluca. 2. solicita saber de la cuantía de licencias otorgadas, proporcionar por giro las que fueron autorizadas.</w:t>
      </w:r>
      <w:r w:rsidRPr="007D47F3">
        <w:rPr>
          <w:rFonts w:ascii="Palatino Linotype" w:eastAsia="Palatino Linotype" w:hAnsi="Palatino Linotype" w:cs="Palatino Linotype"/>
          <w:b/>
          <w:i/>
          <w:sz w:val="22"/>
          <w:szCs w:val="22"/>
        </w:rPr>
        <w:t>”</w:t>
      </w:r>
      <w:r w:rsidRPr="007D47F3">
        <w:rPr>
          <w:rFonts w:ascii="Palatino Linotype" w:eastAsia="Palatino Linotype" w:hAnsi="Palatino Linotype" w:cs="Palatino Linotype"/>
          <w:i/>
          <w:sz w:val="22"/>
          <w:szCs w:val="22"/>
        </w:rPr>
        <w:t xml:space="preserve"> (sic) </w:t>
      </w:r>
    </w:p>
    <w:p w14:paraId="73CEB286" w14:textId="77777777" w:rsidR="003F490F" w:rsidRPr="007D47F3" w:rsidRDefault="005959FF">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7D47F3">
        <w:rPr>
          <w:rFonts w:ascii="Palatino Linotype" w:eastAsia="Palatino Linotype" w:hAnsi="Palatino Linotype" w:cs="Palatino Linotype"/>
          <w:b/>
        </w:rPr>
        <w:t>Modalidad de Entrega:</w:t>
      </w:r>
      <w:r w:rsidRPr="007D47F3">
        <w:rPr>
          <w:rFonts w:ascii="Palatino Linotype" w:eastAsia="Palatino Linotype" w:hAnsi="Palatino Linotype" w:cs="Palatino Linotype"/>
        </w:rPr>
        <w:t xml:space="preserve"> a través del</w:t>
      </w:r>
      <w:r w:rsidRPr="007D47F3">
        <w:rPr>
          <w:rFonts w:ascii="Palatino Linotype" w:eastAsia="Palatino Linotype" w:hAnsi="Palatino Linotype" w:cs="Palatino Linotype"/>
          <w:b/>
        </w:rPr>
        <w:t xml:space="preserve"> SAIMEX.</w:t>
      </w:r>
    </w:p>
    <w:p w14:paraId="0E95EFA1" w14:textId="14153DE8" w:rsidR="009E282A" w:rsidRPr="007D47F3" w:rsidRDefault="005959FF" w:rsidP="009E282A">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b/>
        </w:rPr>
        <w:t xml:space="preserve">2. </w:t>
      </w:r>
      <w:r w:rsidR="009E282A" w:rsidRPr="007D47F3">
        <w:rPr>
          <w:rFonts w:ascii="Palatino Linotype" w:eastAsia="Palatino Linotype" w:hAnsi="Palatino Linotype" w:cs="Palatino Linotype"/>
          <w:b/>
        </w:rPr>
        <w:t xml:space="preserve">Prórroga. </w:t>
      </w:r>
      <w:r w:rsidR="009E282A" w:rsidRPr="007D47F3">
        <w:rPr>
          <w:rFonts w:ascii="Palatino Linotype" w:eastAsia="Palatino Linotype" w:hAnsi="Palatino Linotype" w:cs="Palatino Linotype"/>
        </w:rPr>
        <w:t xml:space="preserve">El </w:t>
      </w:r>
      <w:r w:rsidR="009E282A" w:rsidRPr="007D47F3">
        <w:rPr>
          <w:rFonts w:ascii="Palatino Linotype" w:eastAsia="Palatino Linotype" w:hAnsi="Palatino Linotype" w:cs="Palatino Linotype"/>
          <w:b/>
        </w:rPr>
        <w:t xml:space="preserve">veintitrés de abril de marzo de dos mil veinticinco, </w:t>
      </w:r>
      <w:r w:rsidR="009E282A" w:rsidRPr="007D47F3">
        <w:rPr>
          <w:rFonts w:ascii="Palatino Linotype" w:eastAsia="Palatino Linotype" w:hAnsi="Palatino Linotype" w:cs="Palatino Linotype"/>
        </w:rPr>
        <w:t xml:space="preserve">el </w:t>
      </w:r>
      <w:r w:rsidR="009E282A" w:rsidRPr="007D47F3">
        <w:rPr>
          <w:rFonts w:ascii="Palatino Linotype" w:eastAsia="Palatino Linotype" w:hAnsi="Palatino Linotype" w:cs="Palatino Linotype"/>
          <w:b/>
        </w:rPr>
        <w:t xml:space="preserve">Sujeto Obligado </w:t>
      </w:r>
      <w:r w:rsidR="009E282A" w:rsidRPr="007D47F3">
        <w:rPr>
          <w:rFonts w:ascii="Palatino Linotype" w:eastAsia="Palatino Linotype" w:hAnsi="Palatino Linotype" w:cs="Palatino Linotype"/>
        </w:rPr>
        <w:t>notificó a la persona solicitante la prórroga para dar respuesta a la solicitud</w:t>
      </w:r>
      <w:r w:rsidR="009E282A" w:rsidRPr="007D47F3">
        <w:rPr>
          <w:rFonts w:ascii="Palatino Linotype" w:eastAsia="Palatino Linotype" w:hAnsi="Palatino Linotype" w:cs="Palatino Linotype"/>
          <w:b/>
        </w:rPr>
        <w:t>,</w:t>
      </w:r>
      <w:r w:rsidR="009E282A" w:rsidRPr="007D47F3">
        <w:rPr>
          <w:rFonts w:ascii="Palatino Linotype" w:eastAsia="Palatino Linotype" w:hAnsi="Palatino Linotype" w:cs="Palatino Linotype"/>
        </w:rPr>
        <w:t xml:space="preserve"> medularmente en los siguientes términos:</w:t>
      </w:r>
    </w:p>
    <w:p w14:paraId="2916B4FA" w14:textId="1E4E0569" w:rsidR="009E282A" w:rsidRPr="007D47F3" w:rsidRDefault="009E282A" w:rsidP="009E282A">
      <w:pPr>
        <w:spacing w:before="240" w:after="240"/>
        <w:ind w:left="851"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lastRenderedPageBreak/>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01750/TOLUCA/IP/2025, recibida a través del Sistema de Acceso a la Información Mexiquense (SAIMEX), misma que fue procedente, quedando bajo el acuerdo CT/SE/440 /2025., en la Cuadringentésima Cuadragésima Sesión Extraordinaria 2025 del Comité de Transparencia del Municipio de Toluca, Administración 2025- 2027, de fecha 10/04/2025, lo anterior, en razón de que se continua con la minuciosa búsqueda de información dentro de los archivos que obran en esta unidad administrativa, y que comprenden diversa documentación que requiere de un análisis y procesamiento para proporcionar en versión pública una respuesta concreta y correcta al presente solicitud...” (sic)</w:t>
      </w:r>
    </w:p>
    <w:p w14:paraId="6729AB37" w14:textId="53A44CE4" w:rsidR="009E282A" w:rsidRPr="007D47F3" w:rsidRDefault="009E282A" w:rsidP="006E2530">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El </w:t>
      </w:r>
      <w:r w:rsidRPr="007D47F3">
        <w:rPr>
          <w:rFonts w:ascii="Palatino Linotype" w:eastAsia="Palatino Linotype" w:hAnsi="Palatino Linotype" w:cs="Palatino Linotype"/>
          <w:b/>
        </w:rPr>
        <w:t xml:space="preserve">Sujeto Obligado </w:t>
      </w:r>
      <w:r w:rsidRPr="007D47F3">
        <w:rPr>
          <w:rFonts w:ascii="Palatino Linotype" w:eastAsia="Palatino Linotype" w:hAnsi="Palatino Linotype" w:cs="Palatino Linotype"/>
        </w:rPr>
        <w:t>anexó el Acta de la Cuadringentésima Tercera Sesión Extraordinaria de 2025, celebrada el once de abril de dos mil veinticinco, mediante la cual se aprobó la ampliación del plazo para dar respuesta a la</w:t>
      </w:r>
      <w:r w:rsidR="006E2530" w:rsidRPr="007D47F3">
        <w:rPr>
          <w:rFonts w:ascii="Palatino Linotype" w:eastAsia="Palatino Linotype" w:hAnsi="Palatino Linotype" w:cs="Palatino Linotype"/>
        </w:rPr>
        <w:t>s</w:t>
      </w:r>
      <w:r w:rsidRPr="007D47F3">
        <w:rPr>
          <w:rFonts w:ascii="Palatino Linotype" w:eastAsia="Palatino Linotype" w:hAnsi="Palatino Linotype" w:cs="Palatino Linotype"/>
        </w:rPr>
        <w:t xml:space="preserve"> solicitud</w:t>
      </w:r>
      <w:r w:rsidR="006E2530" w:rsidRPr="007D47F3">
        <w:rPr>
          <w:rFonts w:ascii="Palatino Linotype" w:eastAsia="Palatino Linotype" w:hAnsi="Palatino Linotype" w:cs="Palatino Linotype"/>
        </w:rPr>
        <w:t>es</w:t>
      </w:r>
      <w:r w:rsidRPr="007D47F3">
        <w:rPr>
          <w:rFonts w:ascii="Palatino Linotype" w:eastAsia="Palatino Linotype" w:hAnsi="Palatino Linotype" w:cs="Palatino Linotype"/>
        </w:rPr>
        <w:t xml:space="preserve"> de información</w:t>
      </w:r>
      <w:r w:rsidR="006E2530" w:rsidRPr="007D47F3">
        <w:rPr>
          <w:rFonts w:ascii="Palatino Linotype" w:eastAsia="Palatino Linotype" w:hAnsi="Palatino Linotype" w:cs="Palatino Linotype"/>
        </w:rPr>
        <w:t xml:space="preserve"> </w:t>
      </w:r>
      <w:r w:rsidR="006E2530" w:rsidRPr="007D47F3">
        <w:rPr>
          <w:rFonts w:ascii="Palatino Linotype" w:eastAsia="Palatino Linotype" w:hAnsi="Palatino Linotype" w:cs="Palatino Linotype"/>
          <w:b/>
        </w:rPr>
        <w:t xml:space="preserve">01725/TOLUCA/IP/2025 </w:t>
      </w:r>
      <w:r w:rsidR="006E2530" w:rsidRPr="007D47F3">
        <w:rPr>
          <w:rFonts w:ascii="Palatino Linotype" w:eastAsia="Palatino Linotype" w:hAnsi="Palatino Linotype" w:cs="Palatino Linotype"/>
        </w:rPr>
        <w:t>y</w:t>
      </w:r>
      <w:r w:rsidR="006E2530" w:rsidRPr="007D47F3">
        <w:rPr>
          <w:rFonts w:ascii="Palatino Linotype" w:eastAsia="Palatino Linotype" w:hAnsi="Palatino Linotype" w:cs="Palatino Linotype"/>
          <w:b/>
        </w:rPr>
        <w:t xml:space="preserve"> 01735/TOLUCA/IP/2025</w:t>
      </w:r>
      <w:r w:rsidR="006E2530" w:rsidRPr="007D47F3">
        <w:rPr>
          <w:rFonts w:ascii="Palatino Linotype" w:eastAsia="Palatino Linotype" w:hAnsi="Palatino Linotype" w:cs="Palatino Linotype"/>
        </w:rPr>
        <w:t>,</w:t>
      </w:r>
      <w:r w:rsidRPr="007D47F3">
        <w:rPr>
          <w:rFonts w:ascii="Palatino Linotype" w:eastAsia="Palatino Linotype" w:hAnsi="Palatino Linotype" w:cs="Palatino Linotype"/>
        </w:rPr>
        <w:t xml:space="preserve"> por un plazo adicional de siete días hábiles presentada por el </w:t>
      </w:r>
      <w:r w:rsidRPr="007D47F3">
        <w:rPr>
          <w:rFonts w:ascii="Palatino Linotype" w:hAnsi="Palatino Linotype"/>
        </w:rPr>
        <w:t xml:space="preserve">Servidor Público Habilitado de la </w:t>
      </w:r>
      <w:r w:rsidR="006E2530" w:rsidRPr="007D47F3">
        <w:rPr>
          <w:rFonts w:ascii="Palatino Linotype" w:hAnsi="Palatino Linotype"/>
        </w:rPr>
        <w:t>Coordinación General de Comunicación Social.</w:t>
      </w:r>
    </w:p>
    <w:p w14:paraId="5BA3B1D8" w14:textId="22845B1C" w:rsidR="003F490F" w:rsidRPr="007D47F3" w:rsidRDefault="009E282A">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b/>
        </w:rPr>
        <w:t xml:space="preserve">3. </w:t>
      </w:r>
      <w:r w:rsidR="005959FF" w:rsidRPr="007D47F3">
        <w:rPr>
          <w:rFonts w:ascii="Palatino Linotype" w:eastAsia="Palatino Linotype" w:hAnsi="Palatino Linotype" w:cs="Palatino Linotype"/>
          <w:b/>
        </w:rPr>
        <w:t xml:space="preserve">Respuesta. </w:t>
      </w:r>
      <w:r w:rsidR="005959FF" w:rsidRPr="007D47F3">
        <w:rPr>
          <w:rFonts w:ascii="Palatino Linotype" w:eastAsia="Palatino Linotype" w:hAnsi="Palatino Linotype" w:cs="Palatino Linotype"/>
        </w:rPr>
        <w:t xml:space="preserve">El </w:t>
      </w:r>
      <w:r w:rsidR="005959FF" w:rsidRPr="007D47F3">
        <w:rPr>
          <w:rFonts w:ascii="Palatino Linotype" w:eastAsia="Palatino Linotype" w:hAnsi="Palatino Linotype" w:cs="Palatino Linotype"/>
          <w:b/>
        </w:rPr>
        <w:t>veinti</w:t>
      </w:r>
      <w:r w:rsidR="001C15C3" w:rsidRPr="007D47F3">
        <w:rPr>
          <w:rFonts w:ascii="Palatino Linotype" w:eastAsia="Palatino Linotype" w:hAnsi="Palatino Linotype" w:cs="Palatino Linotype"/>
          <w:b/>
        </w:rPr>
        <w:t xml:space="preserve">nueve de </w:t>
      </w:r>
      <w:r w:rsidR="005959FF" w:rsidRPr="007D47F3">
        <w:rPr>
          <w:rFonts w:ascii="Palatino Linotype" w:eastAsia="Palatino Linotype" w:hAnsi="Palatino Linotype" w:cs="Palatino Linotype"/>
          <w:b/>
        </w:rPr>
        <w:t>abril de dos mil veinticinco,</w:t>
      </w:r>
      <w:r w:rsidR="005959FF" w:rsidRPr="007D47F3">
        <w:rPr>
          <w:rFonts w:ascii="Palatino Linotype" w:eastAsia="Palatino Linotype" w:hAnsi="Palatino Linotype" w:cs="Palatino Linotype"/>
        </w:rPr>
        <w:t xml:space="preserve"> el </w:t>
      </w:r>
      <w:r w:rsidR="005959FF" w:rsidRPr="007D47F3">
        <w:rPr>
          <w:rFonts w:ascii="Palatino Linotype" w:eastAsia="Palatino Linotype" w:hAnsi="Palatino Linotype" w:cs="Palatino Linotype"/>
          <w:b/>
        </w:rPr>
        <w:t xml:space="preserve">Sujeto Obligado </w:t>
      </w:r>
      <w:r w:rsidR="005959FF" w:rsidRPr="007D47F3">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31EA8C5A" w14:textId="53331F1B" w:rsidR="003F490F" w:rsidRPr="007D47F3" w:rsidRDefault="005959FF">
      <w:pPr>
        <w:spacing w:before="240" w:after="24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001C15C3" w:rsidRPr="007D47F3">
        <w:rPr>
          <w:rFonts w:ascii="Palatino Linotype" w:eastAsia="Palatino Linotype" w:hAnsi="Palatino Linotype" w:cs="Palatino Linotype"/>
          <w:i/>
          <w:sz w:val="22"/>
          <w:szCs w:val="22"/>
        </w:rPr>
        <w:t>En atención a la solicitud con folio 01750/TOLUCA/IP/2025, me permito adjuntar al presente la respuesta correspondiente. Sin más por el momento, reciba un saludo.</w:t>
      </w:r>
      <w:r w:rsidRPr="007D47F3">
        <w:rPr>
          <w:rFonts w:ascii="Palatino Linotype" w:eastAsia="Palatino Linotype" w:hAnsi="Palatino Linotype" w:cs="Palatino Linotype"/>
          <w:i/>
          <w:sz w:val="22"/>
          <w:szCs w:val="22"/>
        </w:rPr>
        <w:t>..” (sic)</w:t>
      </w:r>
    </w:p>
    <w:p w14:paraId="0E172D38" w14:textId="77777777" w:rsidR="003F490F" w:rsidRPr="007D47F3" w:rsidRDefault="005959FF">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El </w:t>
      </w:r>
      <w:r w:rsidRPr="007D47F3">
        <w:rPr>
          <w:rFonts w:ascii="Palatino Linotype" w:eastAsia="Palatino Linotype" w:hAnsi="Palatino Linotype" w:cs="Palatino Linotype"/>
          <w:b/>
        </w:rPr>
        <w:t xml:space="preserve">Sujeto Obligado </w:t>
      </w:r>
      <w:r w:rsidRPr="007D47F3">
        <w:rPr>
          <w:rFonts w:ascii="Palatino Linotype" w:eastAsia="Palatino Linotype" w:hAnsi="Palatino Linotype" w:cs="Palatino Linotype"/>
        </w:rPr>
        <w:t>adjuntó lo siguiente:</w:t>
      </w:r>
    </w:p>
    <w:p w14:paraId="2A2E6CA0" w14:textId="5247FF05" w:rsidR="003F490F" w:rsidRPr="007D47F3" w:rsidRDefault="005959FF" w:rsidP="00EB1581">
      <w:pPr>
        <w:spacing w:before="240" w:after="240" w:line="360" w:lineRule="auto"/>
        <w:ind w:left="142"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 Oficio número </w:t>
      </w:r>
      <w:r w:rsidR="001C15C3" w:rsidRPr="007D47F3">
        <w:rPr>
          <w:rFonts w:ascii="Palatino Linotype" w:eastAsia="Palatino Linotype" w:hAnsi="Palatino Linotype" w:cs="Palatino Linotype"/>
        </w:rPr>
        <w:t>210010000/0624/2025</w:t>
      </w:r>
      <w:r w:rsidRPr="007D47F3">
        <w:rPr>
          <w:rFonts w:ascii="Palatino Linotype" w:eastAsia="Palatino Linotype" w:hAnsi="Palatino Linotype" w:cs="Palatino Linotype"/>
        </w:rPr>
        <w:t xml:space="preserve">, mediante el cual la </w:t>
      </w:r>
      <w:proofErr w:type="gramStart"/>
      <w:r w:rsidR="001C15C3" w:rsidRPr="007D47F3">
        <w:rPr>
          <w:rFonts w:ascii="Palatino Linotype" w:eastAsia="Palatino Linotype" w:hAnsi="Palatino Linotype" w:cs="Palatino Linotype"/>
        </w:rPr>
        <w:t>Directora General</w:t>
      </w:r>
      <w:proofErr w:type="gramEnd"/>
      <w:r w:rsidR="001C15C3" w:rsidRPr="007D47F3">
        <w:rPr>
          <w:rFonts w:ascii="Palatino Linotype" w:eastAsia="Palatino Linotype" w:hAnsi="Palatino Linotype" w:cs="Palatino Linotype"/>
        </w:rPr>
        <w:t xml:space="preserve"> de Desarrollo Económico </w:t>
      </w:r>
      <w:r w:rsidR="00E86644" w:rsidRPr="007D47F3">
        <w:rPr>
          <w:rFonts w:ascii="Palatino Linotype" w:eastAsia="Palatino Linotype" w:hAnsi="Palatino Linotype" w:cs="Palatino Linotype"/>
        </w:rPr>
        <w:t xml:space="preserve">proporcionó </w:t>
      </w:r>
      <w:r w:rsidR="00D63A75" w:rsidRPr="007D47F3">
        <w:rPr>
          <w:rFonts w:ascii="Palatino Linotype" w:eastAsia="Palatino Linotype" w:hAnsi="Palatino Linotype" w:cs="Palatino Linotype"/>
        </w:rPr>
        <w:t xml:space="preserve">el número de trámites recibidos, así como el </w:t>
      </w:r>
      <w:r w:rsidR="00D63A75" w:rsidRPr="007D47F3">
        <w:rPr>
          <w:rFonts w:ascii="Palatino Linotype" w:eastAsia="Palatino Linotype" w:hAnsi="Palatino Linotype" w:cs="Palatino Linotype"/>
        </w:rPr>
        <w:lastRenderedPageBreak/>
        <w:t xml:space="preserve">número de trámites auto4rizados por el Cabildo, y los giros correspondientes, </w:t>
      </w:r>
      <w:r w:rsidR="00E86644" w:rsidRPr="007D47F3">
        <w:rPr>
          <w:rFonts w:ascii="Palatino Linotype" w:eastAsia="Palatino Linotype" w:hAnsi="Palatino Linotype" w:cs="Palatino Linotype"/>
        </w:rPr>
        <w:t xml:space="preserve">de conformidad con el </w:t>
      </w:r>
      <w:r w:rsidR="00E86644" w:rsidRPr="007D47F3">
        <w:rPr>
          <w:rFonts w:ascii="Palatino Linotype" w:hAnsi="Palatino Linotype"/>
        </w:rPr>
        <w:t>Sistema de Registro Municipal de Unidades Económicas (REMUE) del Departamento de Licencias y Permisos.</w:t>
      </w:r>
    </w:p>
    <w:p w14:paraId="0D9DF45A" w14:textId="2B9229EA" w:rsidR="003F490F" w:rsidRPr="007D47F3" w:rsidRDefault="005959FF" w:rsidP="00EB1581">
      <w:pPr>
        <w:spacing w:before="240" w:after="240" w:line="360" w:lineRule="auto"/>
        <w:ind w:left="142"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 </w:t>
      </w:r>
      <w:r w:rsidR="000E2880" w:rsidRPr="007D47F3">
        <w:rPr>
          <w:rFonts w:ascii="Palatino Linotype" w:eastAsia="Palatino Linotype" w:hAnsi="Palatino Linotype" w:cs="Palatino Linotype"/>
        </w:rPr>
        <w:t>Escrito mediante el cual la Secretaría del Ayuntamiento hizo entrega del número de licencias autorizadas por el Cabildo, así como los giros correspondientes.</w:t>
      </w:r>
    </w:p>
    <w:p w14:paraId="2F91FCA9" w14:textId="1803BC21" w:rsidR="003F490F" w:rsidRPr="007D47F3" w:rsidRDefault="00EB1581">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b/>
        </w:rPr>
        <w:t>4</w:t>
      </w:r>
      <w:r w:rsidR="005959FF" w:rsidRPr="007D47F3">
        <w:rPr>
          <w:rFonts w:ascii="Palatino Linotype" w:eastAsia="Palatino Linotype" w:hAnsi="Palatino Linotype" w:cs="Palatino Linotype"/>
          <w:b/>
        </w:rPr>
        <w:t xml:space="preserve">. Interposición del recurso de revisión. </w:t>
      </w:r>
      <w:r w:rsidR="005959FF" w:rsidRPr="007D47F3">
        <w:rPr>
          <w:rFonts w:ascii="Palatino Linotype" w:eastAsia="Palatino Linotype" w:hAnsi="Palatino Linotype" w:cs="Palatino Linotype"/>
        </w:rPr>
        <w:t xml:space="preserve">Inconforme con los términos de la respuesta emitida por parte del </w:t>
      </w:r>
      <w:r w:rsidR="005959FF" w:rsidRPr="007D47F3">
        <w:rPr>
          <w:rFonts w:ascii="Palatino Linotype" w:eastAsia="Palatino Linotype" w:hAnsi="Palatino Linotype" w:cs="Palatino Linotype"/>
          <w:b/>
        </w:rPr>
        <w:t>Sujeto Obligado</w:t>
      </w:r>
      <w:r w:rsidR="005959FF" w:rsidRPr="007D47F3">
        <w:rPr>
          <w:rFonts w:ascii="Palatino Linotype" w:eastAsia="Palatino Linotype" w:hAnsi="Palatino Linotype" w:cs="Palatino Linotype"/>
        </w:rPr>
        <w:t xml:space="preserve">, el </w:t>
      </w:r>
      <w:r w:rsidR="005959FF" w:rsidRPr="007D47F3">
        <w:rPr>
          <w:rFonts w:ascii="Palatino Linotype" w:eastAsia="Palatino Linotype" w:hAnsi="Palatino Linotype" w:cs="Palatino Linotype"/>
          <w:b/>
        </w:rPr>
        <w:t>veinti</w:t>
      </w:r>
      <w:r w:rsidRPr="007D47F3">
        <w:rPr>
          <w:rFonts w:ascii="Palatino Linotype" w:eastAsia="Palatino Linotype" w:hAnsi="Palatino Linotype" w:cs="Palatino Linotype"/>
          <w:b/>
        </w:rPr>
        <w:t xml:space="preserve">dós de mayo </w:t>
      </w:r>
      <w:r w:rsidR="005959FF" w:rsidRPr="007D47F3">
        <w:rPr>
          <w:rFonts w:ascii="Palatino Linotype" w:eastAsia="Palatino Linotype" w:hAnsi="Palatino Linotype" w:cs="Palatino Linotype"/>
          <w:b/>
        </w:rPr>
        <w:t>de dos mil veinticinco,</w:t>
      </w:r>
      <w:r w:rsidR="005959FF" w:rsidRPr="007D47F3">
        <w:rPr>
          <w:rFonts w:ascii="Palatino Linotype" w:eastAsia="Palatino Linotype" w:hAnsi="Palatino Linotype" w:cs="Palatino Linotype"/>
        </w:rPr>
        <w:t xml:space="preserve"> la parte </w:t>
      </w:r>
      <w:r w:rsidR="005959FF" w:rsidRPr="007D47F3">
        <w:rPr>
          <w:rFonts w:ascii="Palatino Linotype" w:eastAsia="Palatino Linotype" w:hAnsi="Palatino Linotype" w:cs="Palatino Linotype"/>
          <w:b/>
        </w:rPr>
        <w:t>Recurrente</w:t>
      </w:r>
      <w:r w:rsidR="005959FF" w:rsidRPr="007D47F3">
        <w:rPr>
          <w:rFonts w:ascii="Palatino Linotype" w:eastAsia="Palatino Linotype" w:hAnsi="Palatino Linotype" w:cs="Palatino Linotype"/>
        </w:rPr>
        <w:t xml:space="preserve"> interpuso el recurso de revisión a través de </w:t>
      </w:r>
      <w:r w:rsidR="005959FF" w:rsidRPr="007D47F3">
        <w:rPr>
          <w:rFonts w:ascii="Palatino Linotype" w:eastAsia="Palatino Linotype" w:hAnsi="Palatino Linotype" w:cs="Palatino Linotype"/>
          <w:b/>
        </w:rPr>
        <w:t xml:space="preserve">SAIMEX, </w:t>
      </w:r>
      <w:r w:rsidR="005959FF" w:rsidRPr="007D47F3">
        <w:rPr>
          <w:rFonts w:ascii="Palatino Linotype" w:eastAsia="Palatino Linotype" w:hAnsi="Palatino Linotype" w:cs="Palatino Linotype"/>
        </w:rPr>
        <w:t>en donde se manifestó de la siguiente manera:</w:t>
      </w:r>
    </w:p>
    <w:p w14:paraId="0E96A442" w14:textId="77777777" w:rsidR="003F490F" w:rsidRPr="007D47F3" w:rsidRDefault="005959FF">
      <w:pPr>
        <w:spacing w:before="240" w:after="240" w:line="360" w:lineRule="auto"/>
        <w:ind w:right="49"/>
        <w:jc w:val="both"/>
        <w:rPr>
          <w:rFonts w:ascii="Palatino Linotype" w:eastAsia="Palatino Linotype" w:hAnsi="Palatino Linotype" w:cs="Palatino Linotype"/>
          <w:b/>
        </w:rPr>
      </w:pPr>
      <w:r w:rsidRPr="007D47F3">
        <w:rPr>
          <w:rFonts w:ascii="Palatino Linotype" w:eastAsia="Palatino Linotype" w:hAnsi="Palatino Linotype" w:cs="Palatino Linotype"/>
          <w:b/>
        </w:rPr>
        <w:t xml:space="preserve">Acto impugnado: </w:t>
      </w:r>
    </w:p>
    <w:p w14:paraId="442828AE" w14:textId="6A409270" w:rsidR="003F490F" w:rsidRPr="007D47F3" w:rsidRDefault="005959FF">
      <w:pPr>
        <w:tabs>
          <w:tab w:val="left" w:pos="2745"/>
        </w:tabs>
        <w:spacing w:before="240" w:after="240"/>
        <w:ind w:left="851"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00EB1581" w:rsidRPr="007D47F3">
        <w:rPr>
          <w:rFonts w:ascii="Palatino Linotype" w:eastAsia="Palatino Linotype" w:hAnsi="Palatino Linotype" w:cs="Palatino Linotype"/>
          <w:i/>
          <w:sz w:val="22"/>
          <w:szCs w:val="22"/>
        </w:rPr>
        <w:t xml:space="preserve">Una </w:t>
      </w:r>
      <w:proofErr w:type="spellStart"/>
      <w:r w:rsidR="00EB1581" w:rsidRPr="007D47F3">
        <w:rPr>
          <w:rFonts w:ascii="Palatino Linotype" w:eastAsia="Palatino Linotype" w:hAnsi="Palatino Linotype" w:cs="Palatino Linotype"/>
          <w:i/>
          <w:sz w:val="22"/>
          <w:szCs w:val="22"/>
        </w:rPr>
        <w:t>prorroga</w:t>
      </w:r>
      <w:proofErr w:type="spellEnd"/>
      <w:r w:rsidR="00EB1581" w:rsidRPr="007D47F3">
        <w:rPr>
          <w:rFonts w:ascii="Palatino Linotype" w:eastAsia="Palatino Linotype" w:hAnsi="Palatino Linotype" w:cs="Palatino Linotype"/>
          <w:i/>
          <w:sz w:val="22"/>
          <w:szCs w:val="22"/>
        </w:rPr>
        <w:t xml:space="preserve"> fuera de tiempo y la entrega de la información</w:t>
      </w:r>
      <w:r w:rsidRPr="007D47F3">
        <w:rPr>
          <w:rFonts w:ascii="Palatino Linotype" w:eastAsia="Palatino Linotype" w:hAnsi="Palatino Linotype" w:cs="Palatino Linotype"/>
          <w:i/>
          <w:sz w:val="22"/>
          <w:szCs w:val="22"/>
        </w:rPr>
        <w:t>” (sic)</w:t>
      </w:r>
    </w:p>
    <w:p w14:paraId="53AD7799" w14:textId="77777777" w:rsidR="003F490F" w:rsidRPr="007D47F3" w:rsidRDefault="005959FF">
      <w:pPr>
        <w:spacing w:line="360" w:lineRule="auto"/>
        <w:jc w:val="both"/>
        <w:rPr>
          <w:rFonts w:ascii="Palatino Linotype" w:eastAsia="Palatino Linotype" w:hAnsi="Palatino Linotype" w:cs="Palatino Linotype"/>
        </w:rPr>
      </w:pPr>
      <w:bookmarkStart w:id="4" w:name="_heading=h.30j0zll" w:colFirst="0" w:colLast="0"/>
      <w:bookmarkEnd w:id="4"/>
      <w:r w:rsidRPr="007D47F3">
        <w:rPr>
          <w:rFonts w:ascii="Palatino Linotype" w:eastAsia="Palatino Linotype" w:hAnsi="Palatino Linotype" w:cs="Palatino Linotype"/>
          <w:b/>
        </w:rPr>
        <w:t>Y, Razones o motivos de inconformidad</w:t>
      </w:r>
      <w:r w:rsidRPr="007D47F3">
        <w:rPr>
          <w:rFonts w:ascii="Palatino Linotype" w:eastAsia="Palatino Linotype" w:hAnsi="Palatino Linotype" w:cs="Palatino Linotype"/>
        </w:rPr>
        <w:t>:</w:t>
      </w:r>
    </w:p>
    <w:p w14:paraId="40D200FF" w14:textId="44AA4149" w:rsidR="003F490F" w:rsidRPr="007D47F3" w:rsidRDefault="005959FF">
      <w:pPr>
        <w:tabs>
          <w:tab w:val="left" w:pos="2745"/>
        </w:tabs>
        <w:spacing w:before="240" w:after="240"/>
        <w:ind w:left="851"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00EB1581" w:rsidRPr="007D47F3">
        <w:rPr>
          <w:rFonts w:ascii="Palatino Linotype" w:eastAsia="Palatino Linotype" w:hAnsi="Palatino Linotype" w:cs="Palatino Linotype"/>
          <w:i/>
          <w:sz w:val="22"/>
          <w:szCs w:val="22"/>
        </w:rPr>
        <w:t xml:space="preserve">Una </w:t>
      </w:r>
      <w:proofErr w:type="spellStart"/>
      <w:r w:rsidR="00EB1581" w:rsidRPr="007D47F3">
        <w:rPr>
          <w:rFonts w:ascii="Palatino Linotype" w:eastAsia="Palatino Linotype" w:hAnsi="Palatino Linotype" w:cs="Palatino Linotype"/>
          <w:i/>
          <w:sz w:val="22"/>
          <w:szCs w:val="22"/>
        </w:rPr>
        <w:t>prorroga</w:t>
      </w:r>
      <w:proofErr w:type="spellEnd"/>
      <w:r w:rsidR="00EB1581" w:rsidRPr="007D47F3">
        <w:rPr>
          <w:rFonts w:ascii="Palatino Linotype" w:eastAsia="Palatino Linotype" w:hAnsi="Palatino Linotype" w:cs="Palatino Linotype"/>
          <w:i/>
          <w:sz w:val="22"/>
          <w:szCs w:val="22"/>
        </w:rPr>
        <w:t xml:space="preserve"> fuera de tiempo y la entrega de la información incompleta</w:t>
      </w:r>
      <w:r w:rsidRPr="007D47F3">
        <w:rPr>
          <w:rFonts w:ascii="Palatino Linotype" w:eastAsia="Palatino Linotype" w:hAnsi="Palatino Linotype" w:cs="Palatino Linotype"/>
          <w:i/>
          <w:sz w:val="22"/>
          <w:szCs w:val="22"/>
        </w:rPr>
        <w:t>” (sic)</w:t>
      </w:r>
    </w:p>
    <w:p w14:paraId="537D1D5D"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La parte </w:t>
      </w:r>
      <w:r w:rsidRPr="007D47F3">
        <w:rPr>
          <w:rFonts w:ascii="Palatino Linotype" w:eastAsia="Palatino Linotype" w:hAnsi="Palatino Linotype" w:cs="Palatino Linotype"/>
          <w:b/>
        </w:rPr>
        <w:t xml:space="preserve">Recurrente </w:t>
      </w:r>
      <w:r w:rsidRPr="007D47F3">
        <w:rPr>
          <w:rFonts w:ascii="Palatino Linotype" w:eastAsia="Palatino Linotype" w:hAnsi="Palatino Linotype" w:cs="Palatino Linotype"/>
        </w:rPr>
        <w:t>adjuntó los oficios ST/CGDYMR/UT/0590/2025 y CAEPC/00172/2025, proporcionados en respuesta.</w:t>
      </w:r>
    </w:p>
    <w:p w14:paraId="01DC53C1" w14:textId="136B1CDC" w:rsidR="003F490F" w:rsidRPr="007D47F3" w:rsidRDefault="00EB1581">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b/>
        </w:rPr>
        <w:t>5</w:t>
      </w:r>
      <w:r w:rsidR="005959FF" w:rsidRPr="007D47F3">
        <w:rPr>
          <w:rFonts w:ascii="Palatino Linotype" w:eastAsia="Palatino Linotype" w:hAnsi="Palatino Linotype" w:cs="Palatino Linotype"/>
          <w:b/>
        </w:rPr>
        <w:t xml:space="preserve">. Turno. </w:t>
      </w:r>
      <w:r w:rsidR="005959FF" w:rsidRPr="007D47F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5959FF" w:rsidRPr="007D47F3">
        <w:rPr>
          <w:rFonts w:ascii="Palatino Linotype" w:eastAsia="Palatino Linotype" w:hAnsi="Palatino Linotype" w:cs="Palatino Linotype"/>
          <w:b/>
        </w:rPr>
        <w:t xml:space="preserve">Guadalupe Ramírez Peña, </w:t>
      </w:r>
      <w:r w:rsidR="005959FF" w:rsidRPr="007D47F3">
        <w:rPr>
          <w:rFonts w:ascii="Palatino Linotype" w:eastAsia="Palatino Linotype" w:hAnsi="Palatino Linotype" w:cs="Palatino Linotype"/>
        </w:rPr>
        <w:t xml:space="preserve">a efecto de que analizara sobre su admisión o su </w:t>
      </w:r>
      <w:proofErr w:type="spellStart"/>
      <w:r w:rsidR="005959FF" w:rsidRPr="007D47F3">
        <w:rPr>
          <w:rFonts w:ascii="Palatino Linotype" w:eastAsia="Palatino Linotype" w:hAnsi="Palatino Linotype" w:cs="Palatino Linotype"/>
        </w:rPr>
        <w:t>desechamiento</w:t>
      </w:r>
      <w:proofErr w:type="spellEnd"/>
      <w:r w:rsidR="005959FF" w:rsidRPr="007D47F3">
        <w:rPr>
          <w:rFonts w:ascii="Palatino Linotype" w:eastAsia="Palatino Linotype" w:hAnsi="Palatino Linotype" w:cs="Palatino Linotype"/>
        </w:rPr>
        <w:t>.</w:t>
      </w:r>
    </w:p>
    <w:p w14:paraId="7C85B3DB" w14:textId="2AA8C356" w:rsidR="003F490F" w:rsidRPr="007D47F3" w:rsidRDefault="00EB1581">
      <w:pPr>
        <w:spacing w:before="240" w:after="240" w:line="360" w:lineRule="auto"/>
        <w:jc w:val="both"/>
        <w:rPr>
          <w:rFonts w:ascii="Palatino Linotype" w:eastAsia="Palatino Linotype" w:hAnsi="Palatino Linotype" w:cs="Palatino Linotype"/>
          <w:b/>
        </w:rPr>
      </w:pPr>
      <w:r w:rsidRPr="007D47F3">
        <w:rPr>
          <w:rFonts w:ascii="Palatino Linotype" w:eastAsia="Palatino Linotype" w:hAnsi="Palatino Linotype" w:cs="Palatino Linotype"/>
          <w:b/>
        </w:rPr>
        <w:lastRenderedPageBreak/>
        <w:t>6</w:t>
      </w:r>
      <w:r w:rsidR="005959FF" w:rsidRPr="007D47F3">
        <w:rPr>
          <w:rFonts w:ascii="Palatino Linotype" w:eastAsia="Palatino Linotype" w:hAnsi="Palatino Linotype" w:cs="Palatino Linotype"/>
          <w:b/>
        </w:rPr>
        <w:t>. Admisión del Recurso de revisión.</w:t>
      </w:r>
      <w:r w:rsidR="005959FF" w:rsidRPr="007D47F3">
        <w:rPr>
          <w:rFonts w:ascii="Palatino Linotype" w:eastAsia="Palatino Linotype" w:hAnsi="Palatino Linotype" w:cs="Palatino Linotype"/>
        </w:rPr>
        <w:t xml:space="preserve"> El</w:t>
      </w:r>
      <w:r w:rsidR="005959FF" w:rsidRPr="007D47F3">
        <w:rPr>
          <w:rFonts w:ascii="Palatino Linotype" w:eastAsia="Palatino Linotype" w:hAnsi="Palatino Linotype" w:cs="Palatino Linotype"/>
          <w:b/>
        </w:rPr>
        <w:t xml:space="preserve"> </w:t>
      </w:r>
      <w:r w:rsidRPr="007D47F3">
        <w:rPr>
          <w:rFonts w:ascii="Palatino Linotype" w:eastAsia="Palatino Linotype" w:hAnsi="Palatino Linotype" w:cs="Palatino Linotype"/>
          <w:b/>
        </w:rPr>
        <w:t>veintisiete</w:t>
      </w:r>
      <w:r w:rsidR="005959FF" w:rsidRPr="007D47F3">
        <w:rPr>
          <w:rFonts w:ascii="Palatino Linotype" w:eastAsia="Palatino Linotype" w:hAnsi="Palatino Linotype" w:cs="Palatino Linotype"/>
          <w:b/>
        </w:rPr>
        <w:t xml:space="preserve"> de mayo de dos mil veinticinco, </w:t>
      </w:r>
      <w:r w:rsidR="005959FF" w:rsidRPr="007D47F3">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959FF" w:rsidRPr="007D47F3">
        <w:rPr>
          <w:rFonts w:ascii="Palatino Linotype" w:eastAsia="Palatino Linotype" w:hAnsi="Palatino Linotype" w:cs="Palatino Linotype"/>
          <w:b/>
        </w:rPr>
        <w:t xml:space="preserve">Sujeto Obligado </w:t>
      </w:r>
      <w:r w:rsidR="005959FF" w:rsidRPr="007D47F3">
        <w:rPr>
          <w:rFonts w:ascii="Palatino Linotype" w:eastAsia="Palatino Linotype" w:hAnsi="Palatino Linotype" w:cs="Palatino Linotype"/>
        </w:rPr>
        <w:t>presentara su informe justificado.</w:t>
      </w:r>
    </w:p>
    <w:p w14:paraId="325F290A" w14:textId="167664FD" w:rsidR="00EB1581" w:rsidRPr="007D47F3" w:rsidRDefault="00EB1581">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7D47F3">
        <w:rPr>
          <w:rFonts w:ascii="Palatino Linotype" w:eastAsia="Palatino Linotype" w:hAnsi="Palatino Linotype" w:cs="Palatino Linotype"/>
          <w:b/>
        </w:rPr>
        <w:t>7</w:t>
      </w:r>
      <w:r w:rsidR="005959FF" w:rsidRPr="007D47F3">
        <w:rPr>
          <w:rFonts w:ascii="Palatino Linotype" w:eastAsia="Palatino Linotype" w:hAnsi="Palatino Linotype" w:cs="Palatino Linotype"/>
          <w:b/>
        </w:rPr>
        <w:t>. Manifestaciones</w:t>
      </w:r>
      <w:r w:rsidR="005959FF" w:rsidRPr="007D47F3">
        <w:rPr>
          <w:rFonts w:ascii="Palatino Linotype" w:eastAsia="Palatino Linotype" w:hAnsi="Palatino Linotype" w:cs="Palatino Linotype"/>
        </w:rPr>
        <w:t xml:space="preserve">. El </w:t>
      </w:r>
      <w:r w:rsidRPr="007D47F3">
        <w:rPr>
          <w:rFonts w:ascii="Palatino Linotype" w:eastAsia="Palatino Linotype" w:hAnsi="Palatino Linotype" w:cs="Palatino Linotype"/>
          <w:b/>
        </w:rPr>
        <w:t xml:space="preserve">cinco de junio </w:t>
      </w:r>
      <w:r w:rsidR="005959FF" w:rsidRPr="007D47F3">
        <w:rPr>
          <w:rFonts w:ascii="Palatino Linotype" w:eastAsia="Palatino Linotype" w:hAnsi="Palatino Linotype" w:cs="Palatino Linotype"/>
          <w:b/>
        </w:rPr>
        <w:t>de dos mil veinticinco</w:t>
      </w:r>
      <w:r w:rsidR="005959FF" w:rsidRPr="007D47F3">
        <w:rPr>
          <w:rFonts w:ascii="Palatino Linotype" w:eastAsia="Palatino Linotype" w:hAnsi="Palatino Linotype" w:cs="Palatino Linotype"/>
        </w:rPr>
        <w:t xml:space="preserve">, el </w:t>
      </w:r>
      <w:r w:rsidR="005959FF" w:rsidRPr="007D47F3">
        <w:rPr>
          <w:rFonts w:ascii="Palatino Linotype" w:eastAsia="Palatino Linotype" w:hAnsi="Palatino Linotype" w:cs="Palatino Linotype"/>
          <w:b/>
        </w:rPr>
        <w:t>Sujeto Obligado</w:t>
      </w:r>
      <w:r w:rsidR="005959FF" w:rsidRPr="007D47F3">
        <w:rPr>
          <w:rFonts w:ascii="Palatino Linotype" w:eastAsia="Palatino Linotype" w:hAnsi="Palatino Linotype" w:cs="Palatino Linotype"/>
        </w:rPr>
        <w:t xml:space="preserve"> remitió, a través del SAIMEX su informe justificado, mediante el cual</w:t>
      </w:r>
      <w:r w:rsidRPr="007D47F3">
        <w:rPr>
          <w:rFonts w:ascii="Palatino Linotype" w:eastAsia="Palatino Linotype" w:hAnsi="Palatino Linotype" w:cs="Palatino Linotype"/>
        </w:rPr>
        <w:t xml:space="preserve"> por conducto de la Dirección General de Desarrollo Económico </w:t>
      </w:r>
      <w:r w:rsidR="001B4BB6" w:rsidRPr="007D47F3">
        <w:rPr>
          <w:rFonts w:ascii="Palatino Linotype" w:eastAsia="Palatino Linotype" w:hAnsi="Palatino Linotype" w:cs="Palatino Linotype"/>
        </w:rPr>
        <w:t>ratificó la respuesta entregada en primera instancia.</w:t>
      </w:r>
      <w:r w:rsidRPr="007D47F3">
        <w:rPr>
          <w:rFonts w:ascii="Palatino Linotype" w:eastAsia="Palatino Linotype" w:hAnsi="Palatino Linotype" w:cs="Palatino Linotype"/>
        </w:rPr>
        <w:t xml:space="preserve"> </w:t>
      </w:r>
    </w:p>
    <w:p w14:paraId="4B60A2D8" w14:textId="71DB4571"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1677450E" w14:textId="30E6996B" w:rsidR="003F490F" w:rsidRPr="007D47F3" w:rsidRDefault="00A508FD">
      <w:pPr>
        <w:spacing w:before="240" w:after="240" w:line="360" w:lineRule="auto"/>
        <w:jc w:val="both"/>
        <w:rPr>
          <w:rFonts w:ascii="Palatino Linotype" w:eastAsia="Palatino Linotype" w:hAnsi="Palatino Linotype" w:cs="Palatino Linotype"/>
          <w:b/>
        </w:rPr>
      </w:pPr>
      <w:r w:rsidRPr="007D47F3">
        <w:rPr>
          <w:rFonts w:ascii="Palatino Linotype" w:eastAsia="Palatino Linotype" w:hAnsi="Palatino Linotype" w:cs="Palatino Linotype"/>
          <w:b/>
        </w:rPr>
        <w:t>8</w:t>
      </w:r>
      <w:r w:rsidR="005959FF" w:rsidRPr="007D47F3">
        <w:rPr>
          <w:rFonts w:ascii="Palatino Linotype" w:eastAsia="Palatino Linotype" w:hAnsi="Palatino Linotype" w:cs="Palatino Linotype"/>
          <w:b/>
        </w:rPr>
        <w:t>. Ampliación del término para resolver</w:t>
      </w:r>
      <w:r w:rsidR="005959FF" w:rsidRPr="007D47F3">
        <w:rPr>
          <w:rFonts w:ascii="Palatino Linotype" w:eastAsia="Palatino Linotype" w:hAnsi="Palatino Linotype" w:cs="Palatino Linotype"/>
        </w:rPr>
        <w:t xml:space="preserve">. El </w:t>
      </w:r>
      <w:r w:rsidRPr="007D47F3">
        <w:rPr>
          <w:rFonts w:ascii="Palatino Linotype" w:eastAsia="Palatino Linotype" w:hAnsi="Palatino Linotype" w:cs="Palatino Linotype"/>
          <w:b/>
        </w:rPr>
        <w:t>cinco de agosto</w:t>
      </w:r>
      <w:r w:rsidR="005959FF" w:rsidRPr="007D47F3">
        <w:rPr>
          <w:rFonts w:ascii="Palatino Linotype" w:eastAsia="Palatino Linotype" w:hAnsi="Palatino Linotype" w:cs="Palatino Linotype"/>
          <w:b/>
        </w:rPr>
        <w:t xml:space="preserve"> de dos mil veinticinco</w:t>
      </w:r>
      <w:r w:rsidR="005959FF" w:rsidRPr="007D47F3">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8A0DAA3"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DF09407"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16BB147"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7CB760"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A93BBC3" w14:textId="77777777" w:rsidR="003F490F" w:rsidRPr="007D47F3" w:rsidRDefault="005959FF">
      <w:pPr>
        <w:spacing w:before="240" w:after="240" w:line="360" w:lineRule="auto"/>
        <w:jc w:val="both"/>
        <w:rPr>
          <w:rFonts w:ascii="Palatino Linotype" w:eastAsia="Palatino Linotype" w:hAnsi="Palatino Linotype" w:cs="Palatino Linotype"/>
          <w:strike/>
        </w:rPr>
      </w:pPr>
      <w:r w:rsidRPr="007D47F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096F22B" w14:textId="77777777" w:rsidR="003F490F" w:rsidRPr="007D47F3" w:rsidRDefault="005959F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9D53CA7" w14:textId="77777777" w:rsidR="003F490F" w:rsidRPr="007D47F3" w:rsidRDefault="005959F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7D47F3">
        <w:rPr>
          <w:rFonts w:ascii="Palatino Linotype" w:eastAsia="Palatino Linotype" w:hAnsi="Palatino Linotype" w:cs="Palatino Linotype"/>
        </w:rPr>
        <w:t>Actividad Procesal del interesado. Acciones u omisiones del interesado.</w:t>
      </w:r>
    </w:p>
    <w:p w14:paraId="1484B520" w14:textId="77777777" w:rsidR="003F490F" w:rsidRPr="007D47F3" w:rsidRDefault="005959FF">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7D47F3">
        <w:rPr>
          <w:rFonts w:ascii="Palatino Linotype" w:eastAsia="Palatino Linotype" w:hAnsi="Palatino Linotype" w:cs="Palatino Linotype"/>
        </w:rPr>
        <w:t>Conducta de la Autoridad: Las Acciones u omisiones realizadas en el procedimiento. Así como si la autoridad actuó con la debida diligencia.</w:t>
      </w:r>
    </w:p>
    <w:p w14:paraId="42255A07" w14:textId="77777777" w:rsidR="003F490F" w:rsidRPr="007D47F3" w:rsidRDefault="005959FF">
      <w:pPr>
        <w:tabs>
          <w:tab w:val="left" w:pos="567"/>
        </w:tabs>
        <w:spacing w:before="240" w:after="240" w:line="360" w:lineRule="auto"/>
        <w:ind w:left="284"/>
        <w:jc w:val="both"/>
        <w:rPr>
          <w:rFonts w:ascii="Palatino Linotype" w:eastAsia="Palatino Linotype" w:hAnsi="Palatino Linotype" w:cs="Palatino Linotype"/>
        </w:rPr>
      </w:pPr>
      <w:r w:rsidRPr="007D47F3">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2DFB8A5F"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F83176" w14:textId="77777777" w:rsidR="003F490F" w:rsidRPr="007D47F3" w:rsidRDefault="005959FF">
      <w:pPr>
        <w:spacing w:before="240" w:after="240" w:line="360" w:lineRule="auto"/>
        <w:jc w:val="both"/>
        <w:rPr>
          <w:rFonts w:ascii="Palatino Linotype" w:eastAsia="Palatino Linotype" w:hAnsi="Palatino Linotype" w:cs="Palatino Linotype"/>
          <w:b/>
        </w:rPr>
      </w:pPr>
      <w:r w:rsidRPr="007D47F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D47F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D47F3">
        <w:rPr>
          <w:rFonts w:ascii="Palatino Linotype" w:eastAsia="Palatino Linotype" w:hAnsi="Palatino Linotype" w:cs="Palatino Linotype"/>
        </w:rPr>
        <w:t>, visible en la Gaceta del Seminario Judicial de la Federación con el registro digital 205635.</w:t>
      </w:r>
    </w:p>
    <w:p w14:paraId="3D8E3244"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7D47F3">
        <w:rPr>
          <w:rFonts w:ascii="Palatino Linotype" w:eastAsia="Palatino Linotype" w:hAnsi="Palatino Linotype" w:cs="Palatino Linotype"/>
        </w:rPr>
        <w:lastRenderedPageBreak/>
        <w:t>los términos legales previamente establecidos por la Ley, por tratarse de causas de fuerza mayor.</w:t>
      </w:r>
    </w:p>
    <w:p w14:paraId="132B2F9A"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ACDD2B3" w14:textId="77777777" w:rsidR="003F490F" w:rsidRPr="007D47F3" w:rsidRDefault="005959FF">
      <w:pPr>
        <w:spacing w:before="120" w:after="120"/>
        <w:ind w:left="851" w:right="902"/>
        <w:jc w:val="both"/>
        <w:rPr>
          <w:rFonts w:ascii="Palatino Linotype" w:eastAsia="Palatino Linotype" w:hAnsi="Palatino Linotype" w:cs="Palatino Linotype"/>
          <w:sz w:val="22"/>
          <w:szCs w:val="22"/>
        </w:rPr>
      </w:pPr>
      <w:r w:rsidRPr="007D47F3">
        <w:rPr>
          <w:rFonts w:ascii="Palatino Linotype" w:eastAsia="Palatino Linotype" w:hAnsi="Palatino Linotype" w:cs="Palatino Linotype"/>
          <w:sz w:val="22"/>
          <w:szCs w:val="22"/>
        </w:rPr>
        <w:t xml:space="preserve"> </w:t>
      </w: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PLAZO RAZONABLE PARA RESOLVER. DIMENSIÓN Y EFECTOS DE ESTE CONCEPTO CUANDO SE ADUCE EXCESIVA CARGA DE TRABAJO</w:t>
      </w: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sz w:val="22"/>
          <w:szCs w:val="22"/>
        </w:rPr>
        <w:t xml:space="preserve"> consultable en el Seminario Judicial de la Federación y su gaceta, con el registro digital 2002351.</w:t>
      </w:r>
    </w:p>
    <w:p w14:paraId="4519203A" w14:textId="77777777" w:rsidR="003F490F" w:rsidRPr="007D47F3" w:rsidRDefault="005959FF">
      <w:pPr>
        <w:spacing w:before="120" w:after="120"/>
        <w:ind w:left="851" w:right="902"/>
        <w:jc w:val="both"/>
        <w:rPr>
          <w:rFonts w:ascii="Palatino Linotype" w:eastAsia="Palatino Linotype" w:hAnsi="Palatino Linotype" w:cs="Palatino Linotype"/>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sz w:val="22"/>
          <w:szCs w:val="22"/>
        </w:rPr>
        <w:t>, visible en el Seminario Judicial de la Federación y su gaceta, con el registro digital 2002350.</w:t>
      </w:r>
    </w:p>
    <w:p w14:paraId="6FF62D01"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5A8FBA9" w14:textId="0C2D9042" w:rsidR="00A508FD" w:rsidRPr="007D47F3" w:rsidRDefault="00A508FD" w:rsidP="00A508FD">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b/>
        </w:rPr>
        <w:t xml:space="preserve">9. Cierre de instrucción. </w:t>
      </w:r>
      <w:r w:rsidRPr="007D47F3">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7D47F3">
        <w:rPr>
          <w:rFonts w:ascii="Palatino Linotype" w:eastAsia="Palatino Linotype" w:hAnsi="Palatino Linotype" w:cs="Palatino Linotype"/>
          <w:b/>
        </w:rPr>
        <w:t>trece de agosto de dos mil veinticinco</w:t>
      </w:r>
      <w:r w:rsidRPr="007D47F3">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9986009" w14:textId="77777777" w:rsidR="00A508FD" w:rsidRPr="007D47F3" w:rsidRDefault="00A508FD">
      <w:pPr>
        <w:spacing w:before="240" w:after="240" w:line="360" w:lineRule="auto"/>
        <w:jc w:val="both"/>
        <w:rPr>
          <w:rFonts w:ascii="Palatino Linotype" w:eastAsia="Palatino Linotype" w:hAnsi="Palatino Linotype" w:cs="Palatino Linotype"/>
        </w:rPr>
      </w:pPr>
    </w:p>
    <w:p w14:paraId="52297AB2"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C54D7E8" w14:textId="77777777" w:rsidR="003F490F" w:rsidRPr="007D47F3" w:rsidRDefault="005959FF">
      <w:pPr>
        <w:widowControl w:val="0"/>
        <w:spacing w:before="240" w:after="240" w:line="360" w:lineRule="auto"/>
        <w:jc w:val="center"/>
        <w:rPr>
          <w:rFonts w:ascii="Palatino Linotype" w:eastAsia="Palatino Linotype" w:hAnsi="Palatino Linotype" w:cs="Palatino Linotype"/>
          <w:b/>
        </w:rPr>
      </w:pPr>
      <w:r w:rsidRPr="007D47F3">
        <w:rPr>
          <w:rFonts w:ascii="Palatino Linotype" w:eastAsia="Palatino Linotype" w:hAnsi="Palatino Linotype" w:cs="Palatino Linotype"/>
          <w:b/>
        </w:rPr>
        <w:t>II. C O N S I D E R A N D O S</w:t>
      </w:r>
    </w:p>
    <w:p w14:paraId="7DEB9F91"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b/>
        </w:rPr>
        <w:t>Primero. Competencia.</w:t>
      </w:r>
      <w:r w:rsidRPr="007D47F3">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3557808" w14:textId="77777777" w:rsidR="003F490F" w:rsidRPr="007D47F3" w:rsidRDefault="005959FF">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7D47F3">
        <w:rPr>
          <w:rFonts w:ascii="Palatino Linotype" w:eastAsia="Palatino Linotype" w:hAnsi="Palatino Linotype" w:cs="Palatino Linotype"/>
          <w:b/>
        </w:rPr>
        <w:t>Segundo. Oportunidad y Procedibilidad del Recurso de Revisión</w:t>
      </w:r>
      <w:r w:rsidRPr="007D47F3">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0EABC93" w14:textId="3AD86F60"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D47F3">
        <w:rPr>
          <w:rFonts w:ascii="Palatino Linotype" w:eastAsia="Palatino Linotype" w:hAnsi="Palatino Linotype" w:cs="Palatino Linotype"/>
          <w:b/>
        </w:rPr>
        <w:t xml:space="preserve">Sujeto Obligado </w:t>
      </w:r>
      <w:r w:rsidRPr="007D47F3">
        <w:rPr>
          <w:rFonts w:ascii="Palatino Linotype" w:eastAsia="Palatino Linotype" w:hAnsi="Palatino Linotype" w:cs="Palatino Linotype"/>
        </w:rPr>
        <w:t xml:space="preserve">remitió </w:t>
      </w:r>
      <w:r w:rsidRPr="007D47F3">
        <w:rPr>
          <w:rFonts w:ascii="Palatino Linotype" w:eastAsia="Palatino Linotype" w:hAnsi="Palatino Linotype" w:cs="Palatino Linotype"/>
        </w:rPr>
        <w:lastRenderedPageBreak/>
        <w:t xml:space="preserve">la respuesta a la solicitud de información el día </w:t>
      </w:r>
      <w:r w:rsidR="00E54384" w:rsidRPr="007D47F3">
        <w:rPr>
          <w:rFonts w:ascii="Palatino Linotype" w:eastAsia="Palatino Linotype" w:hAnsi="Palatino Linotype" w:cs="Palatino Linotype"/>
          <w:b/>
        </w:rPr>
        <w:t xml:space="preserve">veintinueve de abril </w:t>
      </w:r>
      <w:r w:rsidRPr="007D47F3">
        <w:rPr>
          <w:rFonts w:ascii="Palatino Linotype" w:eastAsia="Palatino Linotype" w:hAnsi="Palatino Linotype" w:cs="Palatino Linotype"/>
          <w:b/>
        </w:rPr>
        <w:t xml:space="preserve">de dos mil veinticinco, </w:t>
      </w:r>
      <w:r w:rsidRPr="007D47F3">
        <w:rPr>
          <w:rFonts w:ascii="Palatino Linotype" w:eastAsia="Palatino Linotype" w:hAnsi="Palatino Linotype" w:cs="Palatino Linotype"/>
        </w:rPr>
        <w:t xml:space="preserve">mientras que el recurso de revisión interpuesto por la parte </w:t>
      </w:r>
      <w:r w:rsidRPr="007D47F3">
        <w:rPr>
          <w:rFonts w:ascii="Palatino Linotype" w:eastAsia="Palatino Linotype" w:hAnsi="Palatino Linotype" w:cs="Palatino Linotype"/>
          <w:b/>
        </w:rPr>
        <w:t xml:space="preserve">Recurrente, </w:t>
      </w:r>
      <w:r w:rsidRPr="007D47F3">
        <w:rPr>
          <w:rFonts w:ascii="Palatino Linotype" w:eastAsia="Palatino Linotype" w:hAnsi="Palatino Linotype" w:cs="Palatino Linotype"/>
        </w:rPr>
        <w:t>se tuvo por presentado el día</w:t>
      </w:r>
      <w:r w:rsidRPr="007D47F3">
        <w:rPr>
          <w:rFonts w:ascii="Palatino Linotype" w:eastAsia="Palatino Linotype" w:hAnsi="Palatino Linotype" w:cs="Palatino Linotype"/>
          <w:b/>
        </w:rPr>
        <w:t xml:space="preserve"> veinti</w:t>
      </w:r>
      <w:r w:rsidR="00E54384" w:rsidRPr="007D47F3">
        <w:rPr>
          <w:rFonts w:ascii="Palatino Linotype" w:eastAsia="Palatino Linotype" w:hAnsi="Palatino Linotype" w:cs="Palatino Linotype"/>
          <w:b/>
        </w:rPr>
        <w:t xml:space="preserve">dós de mayo </w:t>
      </w:r>
      <w:r w:rsidRPr="007D47F3">
        <w:rPr>
          <w:rFonts w:ascii="Palatino Linotype" w:eastAsia="Palatino Linotype" w:hAnsi="Palatino Linotype" w:cs="Palatino Linotype"/>
          <w:b/>
        </w:rPr>
        <w:t xml:space="preserve">de dos mil veinticinco, </w:t>
      </w:r>
      <w:r w:rsidRPr="007D47F3">
        <w:rPr>
          <w:rFonts w:ascii="Palatino Linotype" w:eastAsia="Palatino Linotype" w:hAnsi="Palatino Linotype" w:cs="Palatino Linotype"/>
        </w:rPr>
        <w:t xml:space="preserve">esto es, al </w:t>
      </w:r>
      <w:r w:rsidR="00E54384" w:rsidRPr="007D47F3">
        <w:rPr>
          <w:rFonts w:ascii="Palatino Linotype" w:eastAsia="Palatino Linotype" w:hAnsi="Palatino Linotype" w:cs="Palatino Linotype"/>
        </w:rPr>
        <w:t>décimo quinto día</w:t>
      </w:r>
      <w:r w:rsidRPr="007D47F3">
        <w:rPr>
          <w:rFonts w:ascii="Palatino Linotype" w:eastAsia="Palatino Linotype" w:hAnsi="Palatino Linotype" w:cs="Palatino Linotype"/>
        </w:rPr>
        <w:t xml:space="preserve"> hábil posterior a aquel en el que tuvo conocimiento de la respuesta impugnada. En este sentido, se concluye que el presente recurso de revisión se encuentra dentro de los márgenes temporales previstos en las disposiciones legales referidas.</w:t>
      </w:r>
    </w:p>
    <w:p w14:paraId="39684971" w14:textId="77777777" w:rsidR="00E54384" w:rsidRPr="007D47F3" w:rsidRDefault="00E54384" w:rsidP="00E54384">
      <w:pPr>
        <w:spacing w:line="360" w:lineRule="auto"/>
        <w:jc w:val="both"/>
        <w:rPr>
          <w:rFonts w:ascii="Palatino Linotype" w:eastAsia="Palatino Linotype" w:hAnsi="Palatino Linotype" w:cs="Palatino Linotype"/>
        </w:rPr>
      </w:pPr>
      <w:bookmarkStart w:id="7" w:name="_heading=h.3znysh7" w:colFirst="0" w:colLast="0"/>
      <w:bookmarkEnd w:id="7"/>
      <w:r w:rsidRPr="007D47F3">
        <w:rPr>
          <w:rFonts w:ascii="Palatino Linotype" w:eastAsia="Palatino Linotype" w:hAnsi="Palatino Linotype" w:cs="Palatino Linotype"/>
        </w:rPr>
        <w:t>Además, por cuanto hace a la procedibilidad del recurso de revisión, es de suma importancia señalar que la parte</w:t>
      </w:r>
      <w:r w:rsidRPr="007D47F3">
        <w:rPr>
          <w:rFonts w:ascii="Palatino Linotype" w:eastAsia="Palatino Linotype" w:hAnsi="Palatino Linotype" w:cs="Palatino Linotype"/>
          <w:b/>
        </w:rPr>
        <w:t xml:space="preserve"> Recurrente</w:t>
      </w:r>
      <w:r w:rsidRPr="007D47F3">
        <w:rPr>
          <w:rFonts w:ascii="Palatino Linotype" w:eastAsia="Palatino Linotype" w:hAnsi="Palatino Linotype" w:cs="Palatino Linotype"/>
        </w:rPr>
        <w:t xml:space="preserve">, no señaló un </w:t>
      </w:r>
      <w:r w:rsidRPr="007D47F3">
        <w:rPr>
          <w:rFonts w:ascii="Palatino Linotype" w:eastAsia="Palatino Linotype" w:hAnsi="Palatino Linotype" w:cs="Palatino Linotype"/>
          <w:b/>
        </w:rPr>
        <w:t xml:space="preserve">nombre </w:t>
      </w:r>
      <w:r w:rsidRPr="007D47F3">
        <w:rPr>
          <w:rFonts w:ascii="Palatino Linotype" w:eastAsia="Palatino Linotype" w:hAnsi="Palatino Linotype" w:cs="Palatino Linotype"/>
        </w:rPr>
        <w:t>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0D63503" w14:textId="77777777" w:rsidR="00E54384" w:rsidRPr="007D47F3" w:rsidRDefault="00E54384" w:rsidP="00E54384">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Las solicitudes anónimas</w:t>
      </w:r>
      <w:r w:rsidRPr="007D47F3">
        <w:rPr>
          <w:rFonts w:ascii="Palatino Linotype" w:eastAsia="Palatino Linotype" w:hAnsi="Palatino Linotype" w:cs="Palatino Linotype"/>
          <w:i/>
          <w:sz w:val="22"/>
          <w:szCs w:val="22"/>
        </w:rPr>
        <w:t xml:space="preserve">, con nombre incompleto o </w:t>
      </w:r>
      <w:r w:rsidRPr="007D47F3">
        <w:rPr>
          <w:rFonts w:ascii="Palatino Linotype" w:eastAsia="Palatino Linotype" w:hAnsi="Palatino Linotype" w:cs="Palatino Linotype"/>
          <w:b/>
          <w:i/>
          <w:sz w:val="22"/>
          <w:szCs w:val="22"/>
        </w:rPr>
        <w:t>seudónimo</w:t>
      </w:r>
      <w:r w:rsidRPr="007D47F3">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4BCA06F" w14:textId="77777777" w:rsidR="00E54384" w:rsidRPr="007D47F3" w:rsidRDefault="00E54384" w:rsidP="00E54384">
      <w:pPr>
        <w:spacing w:before="240" w:after="240" w:line="360" w:lineRule="auto"/>
        <w:jc w:val="both"/>
        <w:rPr>
          <w:rFonts w:ascii="Palatino Linotype" w:eastAsia="Palatino Linotype" w:hAnsi="Palatino Linotype" w:cs="Palatino Linotype"/>
          <w:b/>
        </w:rPr>
      </w:pPr>
      <w:r w:rsidRPr="007D47F3">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7D47F3">
        <w:rPr>
          <w:rFonts w:ascii="Palatino Linotype" w:eastAsia="Palatino Linotype" w:hAnsi="Palatino Linotype" w:cs="Palatino Linotype"/>
          <w:b/>
        </w:rPr>
        <w:t xml:space="preserve"> SAIMEX.</w:t>
      </w:r>
    </w:p>
    <w:p w14:paraId="7AA97311"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7D47F3">
        <w:rPr>
          <w:rFonts w:ascii="Palatino Linotype" w:eastAsia="Palatino Linotype" w:hAnsi="Palatino Linotype" w:cs="Palatino Linotype"/>
          <w:b/>
        </w:rPr>
        <w:t>Recurrente</w:t>
      </w:r>
      <w:r w:rsidRPr="007D47F3">
        <w:rPr>
          <w:rFonts w:ascii="Palatino Linotype" w:eastAsia="Palatino Linotype" w:hAnsi="Palatino Linotype" w:cs="Palatino Linotype"/>
        </w:rPr>
        <w:t xml:space="preserve"> en sus motivos de inconformidad, de acuerdo al artículo 179, fracción V del ordenamiento legal citado, que a la letra dice: </w:t>
      </w:r>
    </w:p>
    <w:p w14:paraId="51B04BCF" w14:textId="77777777" w:rsidR="003F490F" w:rsidRPr="007D47F3" w:rsidRDefault="005959FF">
      <w:pPr>
        <w:tabs>
          <w:tab w:val="left" w:pos="7938"/>
        </w:tabs>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Artículo 179.</w:t>
      </w:r>
      <w:r w:rsidRPr="007D47F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3592F1E" w14:textId="77777777" w:rsidR="003F490F" w:rsidRPr="007D47F3" w:rsidRDefault="005959FF">
      <w:pPr>
        <w:tabs>
          <w:tab w:val="left" w:pos="7938"/>
        </w:tabs>
        <w:spacing w:before="120" w:after="120"/>
        <w:ind w:left="1134"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p>
    <w:p w14:paraId="3F7199D2" w14:textId="77777777" w:rsidR="003F490F" w:rsidRPr="007D47F3" w:rsidRDefault="005959FF">
      <w:pPr>
        <w:tabs>
          <w:tab w:val="left" w:pos="7938"/>
        </w:tabs>
        <w:spacing w:before="120" w:after="120"/>
        <w:ind w:left="1134"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V.</w:t>
      </w:r>
      <w:r w:rsidRPr="007D47F3">
        <w:rPr>
          <w:rFonts w:ascii="Palatino Linotype" w:eastAsia="Palatino Linotype" w:hAnsi="Palatino Linotype" w:cs="Palatino Linotype"/>
          <w:i/>
          <w:sz w:val="22"/>
          <w:szCs w:val="22"/>
        </w:rPr>
        <w:t xml:space="preserve"> La entrega de información incompleta;”</w:t>
      </w:r>
    </w:p>
    <w:p w14:paraId="0426D3F3" w14:textId="77777777" w:rsidR="003F490F" w:rsidRPr="007D47F3" w:rsidRDefault="005959FF">
      <w:pPr>
        <w:spacing w:before="240" w:after="240" w:line="360" w:lineRule="auto"/>
        <w:jc w:val="both"/>
        <w:rPr>
          <w:rFonts w:ascii="Palatino Linotype" w:eastAsia="Palatino Linotype" w:hAnsi="Palatino Linotype" w:cs="Palatino Linotype"/>
          <w:b/>
        </w:rPr>
      </w:pPr>
      <w:r w:rsidRPr="007D47F3">
        <w:rPr>
          <w:rFonts w:ascii="Palatino Linotype" w:eastAsia="Palatino Linotype" w:hAnsi="Palatino Linotype" w:cs="Palatino Linotype"/>
          <w:b/>
        </w:rPr>
        <w:t xml:space="preserve">Tercero. Materia de la revisión. </w:t>
      </w:r>
      <w:r w:rsidRPr="007D47F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D47F3">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7D47F3">
        <w:rPr>
          <w:rFonts w:ascii="Palatino Linotype" w:eastAsia="Palatino Linotype" w:hAnsi="Palatino Linotype" w:cs="Palatino Linotype"/>
        </w:rPr>
        <w:t xml:space="preserve">de la parte </w:t>
      </w:r>
      <w:r w:rsidRPr="007D47F3">
        <w:rPr>
          <w:rFonts w:ascii="Palatino Linotype" w:eastAsia="Palatino Linotype" w:hAnsi="Palatino Linotype" w:cs="Palatino Linotype"/>
          <w:b/>
        </w:rPr>
        <w:t>Recurrente</w:t>
      </w:r>
      <w:r w:rsidRPr="007D47F3">
        <w:rPr>
          <w:rFonts w:ascii="Palatino Linotype" w:eastAsia="Palatino Linotype" w:hAnsi="Palatino Linotype" w:cs="Palatino Linotype"/>
        </w:rPr>
        <w:t>, o en su defecto, en caso de ser procedente, ordenar la entrega de información.</w:t>
      </w:r>
    </w:p>
    <w:p w14:paraId="609DCFC4" w14:textId="77777777" w:rsidR="003F490F" w:rsidRPr="007D47F3" w:rsidRDefault="005959FF">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7D47F3">
        <w:rPr>
          <w:rFonts w:ascii="Palatino Linotype" w:eastAsia="Palatino Linotype" w:hAnsi="Palatino Linotype" w:cs="Palatino Linotype"/>
          <w:b/>
        </w:rPr>
        <w:t xml:space="preserve">Cuarto. Estudio del asunto. </w:t>
      </w:r>
      <w:r w:rsidRPr="007D47F3">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1387EC7"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Artículo 4</w:t>
      </w:r>
      <w:r w:rsidRPr="007D47F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7D47F3">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0F645357"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D47F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DDE92E"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D47F3">
        <w:rPr>
          <w:rFonts w:ascii="Palatino Linotype" w:eastAsia="Palatino Linotype" w:hAnsi="Palatino Linotype" w:cs="Palatino Linotype"/>
          <w:i/>
          <w:sz w:val="22"/>
          <w:szCs w:val="22"/>
        </w:rPr>
        <w:t>.”</w:t>
      </w:r>
    </w:p>
    <w:p w14:paraId="5A474281"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ACF42ED"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“Artículo 12.-</w:t>
      </w:r>
      <w:r w:rsidRPr="007D47F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C4765CC"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D47F3">
        <w:rPr>
          <w:rFonts w:ascii="Palatino Linotype" w:eastAsia="Palatino Linotype" w:hAnsi="Palatino Linotype" w:cs="Palatino Linotype"/>
          <w:i/>
          <w:sz w:val="22"/>
          <w:szCs w:val="22"/>
        </w:rPr>
        <w:t xml:space="preserve">. </w:t>
      </w:r>
      <w:r w:rsidRPr="007D47F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5A192BEF" w14:textId="77777777" w:rsidR="003F490F" w:rsidRPr="007D47F3" w:rsidRDefault="005959FF">
      <w:pPr>
        <w:spacing w:before="240" w:after="240" w:line="360" w:lineRule="auto"/>
        <w:ind w:right="-93"/>
        <w:jc w:val="both"/>
        <w:rPr>
          <w:rFonts w:ascii="Palatino Linotype" w:eastAsia="Palatino Linotype" w:hAnsi="Palatino Linotype" w:cs="Palatino Linotype"/>
        </w:rPr>
      </w:pPr>
      <w:r w:rsidRPr="007D47F3">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2B74E29" w14:textId="77777777" w:rsidR="003F490F" w:rsidRPr="007D47F3" w:rsidRDefault="005959FF">
      <w:pPr>
        <w:spacing w:before="240" w:after="240" w:line="360" w:lineRule="auto"/>
        <w:jc w:val="both"/>
        <w:rPr>
          <w:rFonts w:ascii="Palatino Linotype" w:eastAsia="Palatino Linotype" w:hAnsi="Palatino Linotype" w:cs="Palatino Linotype"/>
          <w:b/>
        </w:rPr>
      </w:pPr>
      <w:r w:rsidRPr="007D47F3">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7D47F3">
        <w:rPr>
          <w:rFonts w:ascii="Palatino Linotype" w:eastAsia="Palatino Linotype" w:hAnsi="Palatino Linotype" w:cs="Palatino Linotype"/>
        </w:rPr>
        <w:t>que</w:t>
      </w:r>
      <w:proofErr w:type="gramEnd"/>
      <w:r w:rsidRPr="007D47F3">
        <w:rPr>
          <w:rFonts w:ascii="Palatino Linotype" w:eastAsia="Palatino Linotype" w:hAnsi="Palatino Linotype" w:cs="Palatino Linotype"/>
        </w:rPr>
        <w:t xml:space="preserve"> por rubro y texto, dispone lo siguiente:</w:t>
      </w:r>
      <w:r w:rsidRPr="007D47F3">
        <w:rPr>
          <w:rFonts w:ascii="Palatino Linotype" w:eastAsia="Palatino Linotype" w:hAnsi="Palatino Linotype" w:cs="Palatino Linotype"/>
          <w:b/>
        </w:rPr>
        <w:t xml:space="preserve"> </w:t>
      </w:r>
    </w:p>
    <w:p w14:paraId="1D3E48AC" w14:textId="77777777" w:rsidR="003F490F" w:rsidRPr="007D47F3" w:rsidRDefault="005959FF">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 “</w:t>
      </w:r>
      <w:r w:rsidRPr="007D47F3">
        <w:rPr>
          <w:rFonts w:ascii="Palatino Linotype" w:eastAsia="Palatino Linotype" w:hAnsi="Palatino Linotype" w:cs="Palatino Linotype"/>
          <w:b/>
          <w:i/>
          <w:sz w:val="22"/>
          <w:szCs w:val="22"/>
        </w:rPr>
        <w:t>No existe obligación de elaborar documentos ad hoc para atender las solicitudes de acceso a la información.</w:t>
      </w:r>
      <w:r w:rsidRPr="007D47F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976B6C9" w14:textId="77777777" w:rsidR="003F490F" w:rsidRPr="007D47F3" w:rsidRDefault="005959FF">
      <w:pPr>
        <w:spacing w:before="120" w:after="12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7D47F3">
        <w:rPr>
          <w:rFonts w:ascii="Palatino Linotype" w:eastAsia="Palatino Linotype" w:hAnsi="Palatino Linotype" w:cs="Palatino Linotype"/>
        </w:rPr>
        <w:lastRenderedPageBreak/>
        <w:t>que es deber de los Sujetos Obligados, garantizar el Derecho de Acceso a la Información Pública.</w:t>
      </w:r>
    </w:p>
    <w:p w14:paraId="5A4F4816" w14:textId="77777777" w:rsidR="003F490F" w:rsidRPr="007D47F3" w:rsidRDefault="005959FF">
      <w:pPr>
        <w:spacing w:before="120" w:after="12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8D52A1"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 xml:space="preserve">Artículo 3. </w:t>
      </w:r>
      <w:r w:rsidRPr="007D47F3">
        <w:rPr>
          <w:rFonts w:ascii="Palatino Linotype" w:eastAsia="Palatino Linotype" w:hAnsi="Palatino Linotype" w:cs="Palatino Linotype"/>
          <w:i/>
          <w:sz w:val="22"/>
          <w:szCs w:val="22"/>
        </w:rPr>
        <w:t>Para los efectos de la presente Ley se entenderá por:</w:t>
      </w:r>
    </w:p>
    <w:p w14:paraId="7EA7ADC5" w14:textId="77777777" w:rsidR="003F490F" w:rsidRPr="007D47F3" w:rsidRDefault="005959FF">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p>
    <w:p w14:paraId="01C2631E" w14:textId="77777777" w:rsidR="003F490F" w:rsidRPr="007D47F3" w:rsidRDefault="005959FF">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XI. Documento:</w:t>
      </w:r>
      <w:r w:rsidRPr="007D47F3">
        <w:rPr>
          <w:rFonts w:ascii="Palatino Linotype" w:eastAsia="Palatino Linotype" w:hAnsi="Palatino Linotype" w:cs="Palatino Linotype"/>
          <w:i/>
          <w:sz w:val="22"/>
          <w:szCs w:val="22"/>
        </w:rPr>
        <w:t xml:space="preserve"> Los expedientes, reportes, estudios, actas</w:t>
      </w:r>
      <w:r w:rsidRPr="007D47F3">
        <w:rPr>
          <w:rFonts w:ascii="Palatino Linotype" w:eastAsia="Palatino Linotype" w:hAnsi="Palatino Linotype" w:cs="Palatino Linotype"/>
          <w:b/>
          <w:i/>
          <w:sz w:val="22"/>
          <w:szCs w:val="22"/>
        </w:rPr>
        <w:t>,</w:t>
      </w:r>
      <w:r w:rsidRPr="007D47F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96135D1"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15A4415"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sz w:val="22"/>
          <w:szCs w:val="22"/>
        </w:rPr>
        <w:lastRenderedPageBreak/>
        <w:t>“</w:t>
      </w:r>
      <w:r w:rsidRPr="007D47F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D47F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F2AA1A" w14:textId="77777777" w:rsidR="003F490F" w:rsidRPr="007D47F3" w:rsidRDefault="005959FF">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En </w:t>
      </w:r>
      <w:proofErr w:type="gramStart"/>
      <w:r w:rsidRPr="007D47F3">
        <w:rPr>
          <w:rFonts w:ascii="Palatino Linotype" w:eastAsia="Palatino Linotype" w:hAnsi="Palatino Linotype" w:cs="Palatino Linotype"/>
          <w:i/>
          <w:sz w:val="22"/>
          <w:szCs w:val="22"/>
        </w:rPr>
        <w:t>consecuencia</w:t>
      </w:r>
      <w:proofErr w:type="gramEnd"/>
      <w:r w:rsidRPr="007D47F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E74846E" w14:textId="77777777" w:rsidR="003F490F" w:rsidRPr="007D47F3" w:rsidRDefault="005959FF">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D47F3">
        <w:rPr>
          <w:rFonts w:ascii="Palatino Linotype" w:eastAsia="Palatino Linotype" w:hAnsi="Palatino Linotype" w:cs="Palatino Linotype"/>
          <w:i/>
          <w:sz w:val="22"/>
          <w:szCs w:val="22"/>
        </w:rPr>
        <w:t>que</w:t>
      </w:r>
      <w:proofErr w:type="gramEnd"/>
      <w:r w:rsidRPr="007D47F3">
        <w:rPr>
          <w:rFonts w:ascii="Palatino Linotype" w:eastAsia="Palatino Linotype" w:hAnsi="Palatino Linotype" w:cs="Palatino Linotype"/>
          <w:i/>
          <w:sz w:val="22"/>
          <w:szCs w:val="22"/>
        </w:rPr>
        <w:t xml:space="preserve"> en ejercicio de las atribuciones conferidas, sea generada por los Sujetos Obligados;</w:t>
      </w:r>
    </w:p>
    <w:p w14:paraId="570959C2" w14:textId="77777777" w:rsidR="003F490F" w:rsidRPr="007D47F3" w:rsidRDefault="005959FF">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2) Que se trate de información registrada en cualquier soporte documental, </w:t>
      </w:r>
      <w:proofErr w:type="gramStart"/>
      <w:r w:rsidRPr="007D47F3">
        <w:rPr>
          <w:rFonts w:ascii="Palatino Linotype" w:eastAsia="Palatino Linotype" w:hAnsi="Palatino Linotype" w:cs="Palatino Linotype"/>
          <w:i/>
          <w:sz w:val="22"/>
          <w:szCs w:val="22"/>
        </w:rPr>
        <w:t>que</w:t>
      </w:r>
      <w:proofErr w:type="gramEnd"/>
      <w:r w:rsidRPr="007D47F3">
        <w:rPr>
          <w:rFonts w:ascii="Palatino Linotype" w:eastAsia="Palatino Linotype" w:hAnsi="Palatino Linotype" w:cs="Palatino Linotype"/>
          <w:i/>
          <w:sz w:val="22"/>
          <w:szCs w:val="22"/>
        </w:rPr>
        <w:t xml:space="preserve"> en ejercicio de las atribuciones conferidas, sea administrada por los Sujetos Obligados, y</w:t>
      </w:r>
    </w:p>
    <w:p w14:paraId="1CC5539A" w14:textId="77777777" w:rsidR="003F490F" w:rsidRPr="007D47F3" w:rsidRDefault="005959FF">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3) Que se trate de información registrada en cualquier soporte documental, </w:t>
      </w:r>
      <w:proofErr w:type="gramStart"/>
      <w:r w:rsidRPr="007D47F3">
        <w:rPr>
          <w:rFonts w:ascii="Palatino Linotype" w:eastAsia="Palatino Linotype" w:hAnsi="Palatino Linotype" w:cs="Palatino Linotype"/>
          <w:i/>
          <w:sz w:val="22"/>
          <w:szCs w:val="22"/>
        </w:rPr>
        <w:t>que</w:t>
      </w:r>
      <w:proofErr w:type="gramEnd"/>
      <w:r w:rsidRPr="007D47F3">
        <w:rPr>
          <w:rFonts w:ascii="Palatino Linotype" w:eastAsia="Palatino Linotype" w:hAnsi="Palatino Linotype" w:cs="Palatino Linotype"/>
          <w:i/>
          <w:sz w:val="22"/>
          <w:szCs w:val="22"/>
        </w:rPr>
        <w:t xml:space="preserve"> en ejercicio de las atribuciones conferidas, se encuentre en posesión de los Sujetos Obligados.”</w:t>
      </w:r>
    </w:p>
    <w:p w14:paraId="5924F28A" w14:textId="77777777" w:rsidR="003F490F" w:rsidRPr="007D47F3" w:rsidRDefault="005959FF">
      <w:pPr>
        <w:spacing w:before="240" w:after="240" w:line="360" w:lineRule="auto"/>
        <w:ind w:right="51"/>
        <w:jc w:val="both"/>
        <w:rPr>
          <w:rFonts w:ascii="Palatino Linotype" w:eastAsia="Palatino Linotype" w:hAnsi="Palatino Linotype" w:cs="Palatino Linotype"/>
        </w:rPr>
      </w:pPr>
      <w:r w:rsidRPr="007D47F3">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798FCA"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w:t>
      </w:r>
      <w:r w:rsidRPr="007D47F3">
        <w:rPr>
          <w:rFonts w:ascii="Palatino Linotype" w:eastAsia="Palatino Linotype" w:hAnsi="Palatino Linotype" w:cs="Palatino Linotype"/>
        </w:rPr>
        <w:lastRenderedPageBreak/>
        <w:t>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B1A461E" w14:textId="37A92DC3" w:rsidR="008103C2" w:rsidRPr="007D47F3" w:rsidRDefault="008103C2" w:rsidP="008103C2">
      <w:pPr>
        <w:spacing w:before="240" w:after="240" w:line="360" w:lineRule="auto"/>
        <w:ind w:right="51"/>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7D47F3">
        <w:rPr>
          <w:rFonts w:ascii="Palatino Linotype" w:eastAsia="Palatino Linotype" w:hAnsi="Palatino Linotype" w:cs="Palatino Linotype"/>
          <w:b/>
        </w:rPr>
        <w:t>Recurrente</w:t>
      </w:r>
      <w:r w:rsidRPr="007D47F3">
        <w:rPr>
          <w:rFonts w:ascii="Palatino Linotype" w:eastAsia="Palatino Linotype" w:hAnsi="Palatino Linotype" w:cs="Palatino Linotype"/>
        </w:rPr>
        <w:t xml:space="preserve"> requirió al </w:t>
      </w:r>
      <w:r w:rsidRPr="007D47F3">
        <w:rPr>
          <w:rFonts w:ascii="Palatino Linotype" w:eastAsia="Palatino Linotype" w:hAnsi="Palatino Linotype" w:cs="Palatino Linotype"/>
          <w:b/>
        </w:rPr>
        <w:t xml:space="preserve">Sujeto Obligado </w:t>
      </w:r>
      <w:r w:rsidRPr="007D47F3">
        <w:rPr>
          <w:rFonts w:ascii="Palatino Linotype" w:eastAsia="Palatino Linotype" w:hAnsi="Palatino Linotype" w:cs="Palatino Linotype"/>
        </w:rPr>
        <w:t>le proporcione, información consistente en lo siguiente:</w:t>
      </w:r>
    </w:p>
    <w:p w14:paraId="704D5A4B" w14:textId="581CF0C4" w:rsidR="008103C2" w:rsidRPr="007D47F3" w:rsidRDefault="008103C2" w:rsidP="008103C2">
      <w:pPr>
        <w:spacing w:before="240" w:after="240" w:line="360" w:lineRule="auto"/>
        <w:ind w:right="51"/>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Del uno de enero al treinta y uno de diciembre de dos mil veinticuatro, </w:t>
      </w:r>
    </w:p>
    <w:p w14:paraId="50F38D71" w14:textId="77777777" w:rsidR="008103C2" w:rsidRPr="007D47F3" w:rsidRDefault="008103C2" w:rsidP="008103C2">
      <w:pPr>
        <w:spacing w:before="240" w:after="240" w:line="360" w:lineRule="auto"/>
        <w:ind w:left="426"/>
        <w:jc w:val="both"/>
        <w:rPr>
          <w:rFonts w:ascii="Palatino Linotype" w:eastAsia="Palatino Linotype" w:hAnsi="Palatino Linotype" w:cs="Palatino Linotype"/>
        </w:rPr>
      </w:pPr>
      <w:r w:rsidRPr="007D47F3">
        <w:rPr>
          <w:rFonts w:ascii="Palatino Linotype" w:eastAsia="Palatino Linotype" w:hAnsi="Palatino Linotype" w:cs="Palatino Linotype"/>
        </w:rPr>
        <w:t>1. Número de solicitudes de licencia recibidas para dar de alta en el padrón de establecimientos</w:t>
      </w:r>
    </w:p>
    <w:p w14:paraId="09987851" w14:textId="77777777" w:rsidR="008103C2" w:rsidRPr="007D47F3" w:rsidRDefault="008103C2" w:rsidP="008103C2">
      <w:pPr>
        <w:spacing w:before="240" w:after="240" w:line="360" w:lineRule="auto"/>
        <w:ind w:left="426"/>
        <w:jc w:val="both"/>
        <w:rPr>
          <w:rFonts w:ascii="Palatino Linotype" w:eastAsia="Palatino Linotype" w:hAnsi="Palatino Linotype" w:cs="Palatino Linotype"/>
        </w:rPr>
      </w:pPr>
      <w:r w:rsidRPr="007D47F3">
        <w:rPr>
          <w:rFonts w:ascii="Palatino Linotype" w:eastAsia="Palatino Linotype" w:hAnsi="Palatino Linotype" w:cs="Palatino Linotype"/>
        </w:rPr>
        <w:t>2. Número de licencias autorizadas por el Cabildo.</w:t>
      </w:r>
    </w:p>
    <w:p w14:paraId="5C96C078" w14:textId="77777777" w:rsidR="008103C2" w:rsidRPr="007D47F3" w:rsidRDefault="008103C2" w:rsidP="008103C2">
      <w:pPr>
        <w:spacing w:before="240" w:after="240" w:line="360" w:lineRule="auto"/>
        <w:ind w:left="426"/>
        <w:jc w:val="both"/>
        <w:rPr>
          <w:rFonts w:ascii="Palatino Linotype" w:eastAsia="Palatino Linotype" w:hAnsi="Palatino Linotype" w:cs="Palatino Linotype"/>
        </w:rPr>
      </w:pPr>
      <w:r w:rsidRPr="007D47F3">
        <w:rPr>
          <w:rFonts w:ascii="Palatino Linotype" w:eastAsia="Palatino Linotype" w:hAnsi="Palatino Linotype" w:cs="Palatino Linotype"/>
        </w:rPr>
        <w:t>3. Número de licencias otorgadas, proporcionando el giro autorizado.</w:t>
      </w:r>
    </w:p>
    <w:p w14:paraId="478E3BA8" w14:textId="0EB88C3B" w:rsidR="003F490F" w:rsidRPr="007D47F3" w:rsidRDefault="00CB2834">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E</w:t>
      </w:r>
      <w:r w:rsidR="005959FF" w:rsidRPr="007D47F3">
        <w:rPr>
          <w:rFonts w:ascii="Palatino Linotype" w:eastAsia="Palatino Linotype" w:hAnsi="Palatino Linotype" w:cs="Palatino Linotype"/>
        </w:rPr>
        <w:t>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36937EDD"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lastRenderedPageBreak/>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5376AE2A" w14:textId="77777777" w:rsidR="003F490F" w:rsidRPr="007D47F3" w:rsidRDefault="005959FF">
      <w:pPr>
        <w:spacing w:before="240" w:after="240" w:line="360" w:lineRule="auto"/>
        <w:ind w:right="51"/>
        <w:jc w:val="both"/>
        <w:rPr>
          <w:rFonts w:ascii="Palatino Linotype" w:eastAsia="Palatino Linotype" w:hAnsi="Palatino Linotype" w:cs="Palatino Linotype"/>
        </w:rPr>
      </w:pPr>
      <w:r w:rsidRPr="007D47F3">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0B045ED9"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De lo manifestado con antelación se advierte que la persona Titular de la Unidad de Transparencia debe garantizar que las solicitudes se turnen a todas las áreas </w:t>
      </w:r>
      <w:r w:rsidRPr="007D47F3">
        <w:rPr>
          <w:rFonts w:ascii="Palatino Linotype" w:eastAsia="Palatino Linotype" w:hAnsi="Palatino Linotype" w:cs="Palatino Linotype"/>
        </w:rPr>
        <w:lastRenderedPageBreak/>
        <w:t>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0CCD456" w14:textId="39FA32EC" w:rsidR="00CB2834" w:rsidRPr="007D47F3" w:rsidRDefault="005959FF" w:rsidP="00CB2834">
      <w:pPr>
        <w:spacing w:before="280" w:after="28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w:t>
      </w:r>
      <w:r w:rsidR="00CB2834" w:rsidRPr="007D47F3">
        <w:rPr>
          <w:rFonts w:ascii="Palatino Linotype" w:eastAsia="Palatino Linotype" w:hAnsi="Palatino Linotype" w:cs="Palatino Linotype"/>
        </w:rPr>
        <w:t>Secretaría del Ayuntamiento y a la Dirección General de Desarrollo Económico</w:t>
      </w:r>
      <w:r w:rsidRPr="007D47F3">
        <w:rPr>
          <w:rFonts w:ascii="Palatino Linotype" w:eastAsia="Palatino Linotype" w:hAnsi="Palatino Linotype" w:cs="Palatino Linotype"/>
        </w:rPr>
        <w:t xml:space="preserve"> como las dependencias responsables para conocer de la información que es del interés de la persona solicitante.</w:t>
      </w:r>
    </w:p>
    <w:p w14:paraId="55A489E8" w14:textId="7D3EBE8B" w:rsidR="0028573B" w:rsidRPr="007D47F3" w:rsidRDefault="005959FF" w:rsidP="008C781B">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Como sustento a lo anterior, es oportuno mencionar que </w:t>
      </w:r>
      <w:r w:rsidR="0028573B" w:rsidRPr="007D47F3">
        <w:rPr>
          <w:rFonts w:ascii="Palatino Linotype" w:hAnsi="Palatino Linotype"/>
        </w:rPr>
        <w:t>el ayuntamiento, como cuerpo colegiado deliberante  tiene conferida la atribución de a</w:t>
      </w:r>
      <w:r w:rsidR="008C781B" w:rsidRPr="007D47F3">
        <w:rPr>
          <w:rFonts w:ascii="Palatino Linotype" w:hAnsi="Palatino Linotype"/>
        </w:rPr>
        <w:t>probar, promover y publicar u</w:t>
      </w:r>
      <w:r w:rsidR="0028573B" w:rsidRPr="007D47F3">
        <w:rPr>
          <w:rFonts w:ascii="Palatino Linotype" w:hAnsi="Palatino Linotype"/>
        </w:rPr>
        <w:t>n programa para el otorgamiento de la licencia o permiso provisional de funcionamiento para negocios de bajo riesgo que no impliquen riesgos sanitarios, ambientales o de protección civil, así como otorgar licencia de funcionamiento, previa presentación del Dictamen de Giro, a las unidades económicas que tengan como actividad complementaria o principal la venta de bebidas alcohólicas;</w:t>
      </w:r>
      <w:r w:rsidR="008C781B" w:rsidRPr="007D47F3">
        <w:rPr>
          <w:rFonts w:ascii="Palatino Linotype" w:hAnsi="Palatino Linotype"/>
        </w:rPr>
        <w:t xml:space="preserve"> los destinados a la enajenación, reparación o mantenimiento de vehículos automotores usados y autopartes nuevas y usadas, así como de parques y desarrollos industriales, urbanos y de servicios de conformidad con la Evaluación de Impacto Estatal, entre otras, tal y como se desprende del artículo 31 de la Ley Orgánica Municipal del Estado de México, que en su parte conducente dispone lo siguiente:</w:t>
      </w:r>
    </w:p>
    <w:p w14:paraId="79CD4846" w14:textId="5204278C" w:rsidR="0028573B" w:rsidRPr="007D47F3" w:rsidRDefault="008C781B" w:rsidP="008C781B">
      <w:pPr>
        <w:spacing w:before="120" w:after="120"/>
        <w:ind w:left="851" w:right="902"/>
        <w:jc w:val="both"/>
        <w:rPr>
          <w:rFonts w:ascii="Palatino Linotype" w:hAnsi="Palatino Linotype"/>
          <w:i/>
          <w:sz w:val="22"/>
          <w:szCs w:val="22"/>
        </w:rPr>
      </w:pPr>
      <w:r w:rsidRPr="007D47F3">
        <w:rPr>
          <w:rFonts w:ascii="Palatino Linotype" w:hAnsi="Palatino Linotype"/>
          <w:b/>
          <w:i/>
          <w:sz w:val="22"/>
          <w:szCs w:val="22"/>
        </w:rPr>
        <w:t>“</w:t>
      </w:r>
      <w:r w:rsidR="0028573B" w:rsidRPr="007D47F3">
        <w:rPr>
          <w:rFonts w:ascii="Palatino Linotype" w:hAnsi="Palatino Linotype"/>
          <w:b/>
          <w:i/>
          <w:sz w:val="22"/>
          <w:szCs w:val="22"/>
        </w:rPr>
        <w:t>Artículo 31</w:t>
      </w:r>
      <w:r w:rsidR="0028573B" w:rsidRPr="007D47F3">
        <w:rPr>
          <w:rFonts w:ascii="Palatino Linotype" w:hAnsi="Palatino Linotype"/>
          <w:i/>
          <w:sz w:val="22"/>
          <w:szCs w:val="22"/>
        </w:rPr>
        <w:t>.- Son atribuciones de los ayuntamientos:</w:t>
      </w:r>
    </w:p>
    <w:p w14:paraId="6A66651F" w14:textId="07C900C9" w:rsidR="0028573B" w:rsidRPr="007D47F3" w:rsidRDefault="0028573B" w:rsidP="008C781B">
      <w:pPr>
        <w:spacing w:before="120" w:after="120"/>
        <w:ind w:left="851" w:right="902"/>
        <w:jc w:val="both"/>
        <w:rPr>
          <w:rFonts w:ascii="Palatino Linotype" w:hAnsi="Palatino Linotype"/>
          <w:i/>
          <w:sz w:val="22"/>
          <w:szCs w:val="22"/>
        </w:rPr>
      </w:pPr>
      <w:r w:rsidRPr="007D47F3">
        <w:rPr>
          <w:rFonts w:ascii="Palatino Linotype" w:hAnsi="Palatino Linotype"/>
          <w:i/>
          <w:sz w:val="22"/>
          <w:szCs w:val="22"/>
        </w:rPr>
        <w:lastRenderedPageBreak/>
        <w:t>...</w:t>
      </w:r>
    </w:p>
    <w:p w14:paraId="5FBD351D" w14:textId="74EF6612" w:rsidR="0028573B" w:rsidRPr="007D47F3" w:rsidRDefault="0028573B" w:rsidP="008C781B">
      <w:pPr>
        <w:spacing w:before="120" w:after="120"/>
        <w:ind w:left="851" w:right="902"/>
        <w:jc w:val="both"/>
        <w:rPr>
          <w:rFonts w:ascii="Palatino Linotype" w:hAnsi="Palatino Linotype"/>
          <w:i/>
          <w:sz w:val="22"/>
          <w:szCs w:val="22"/>
        </w:rPr>
      </w:pPr>
      <w:r w:rsidRPr="007D47F3">
        <w:rPr>
          <w:rFonts w:ascii="Palatino Linotype" w:hAnsi="Palatino Linotype"/>
          <w:b/>
          <w:i/>
          <w:sz w:val="22"/>
          <w:szCs w:val="22"/>
        </w:rPr>
        <w:t>I. Ter</w:t>
      </w:r>
      <w:r w:rsidRPr="007D47F3">
        <w:rPr>
          <w:rFonts w:ascii="Palatino Linotype" w:hAnsi="Palatino Linotype"/>
          <w:i/>
          <w:sz w:val="22"/>
          <w:szCs w:val="22"/>
        </w:rPr>
        <w:t>. Aprobar y promover un programa para el otorgamiento de la licencia o permiso provisional de funcionamiento para negocios de bajo riesgo que no impliquen riesgos sanitarios, ambientales o de protección civil, conforme al Catálogo Mexiquense de Actividades Industriales, Comerciales y de Servicios de Bajo Riesgo, consignado en la Ley de la materia, mismo que deberá publicarse dentro de los primeros 30 días naturales de cada Ejercicio Fiscal y será aplicable hasta la publicación del siguiente catálogo.</w:t>
      </w:r>
    </w:p>
    <w:p w14:paraId="30196DCE" w14:textId="2068CD32" w:rsidR="008C781B" w:rsidRPr="007D47F3" w:rsidRDefault="008C781B" w:rsidP="008C781B">
      <w:pPr>
        <w:spacing w:before="120" w:after="120"/>
        <w:ind w:left="851" w:right="902"/>
        <w:jc w:val="both"/>
        <w:rPr>
          <w:rFonts w:ascii="Palatino Linotype" w:hAnsi="Palatino Linotype"/>
          <w:b/>
          <w:i/>
          <w:sz w:val="22"/>
          <w:szCs w:val="22"/>
        </w:rPr>
      </w:pPr>
      <w:r w:rsidRPr="007D47F3">
        <w:rPr>
          <w:rFonts w:ascii="Palatino Linotype" w:hAnsi="Palatino Linotype"/>
          <w:b/>
          <w:i/>
          <w:sz w:val="22"/>
          <w:szCs w:val="22"/>
        </w:rPr>
        <w:t>...</w:t>
      </w:r>
    </w:p>
    <w:p w14:paraId="046DF48A" w14:textId="77777777" w:rsidR="008C781B" w:rsidRPr="007D47F3" w:rsidRDefault="0028573B" w:rsidP="008C781B">
      <w:pPr>
        <w:spacing w:before="120" w:after="120"/>
        <w:ind w:left="851" w:right="902"/>
        <w:jc w:val="both"/>
        <w:rPr>
          <w:rFonts w:ascii="Palatino Linotype" w:hAnsi="Palatino Linotype"/>
          <w:i/>
          <w:sz w:val="22"/>
          <w:szCs w:val="22"/>
        </w:rPr>
      </w:pPr>
      <w:r w:rsidRPr="007D47F3">
        <w:rPr>
          <w:rFonts w:ascii="Palatino Linotype" w:hAnsi="Palatino Linotype"/>
          <w:b/>
          <w:i/>
          <w:sz w:val="22"/>
          <w:szCs w:val="22"/>
        </w:rPr>
        <w:t xml:space="preserve">XXIV </w:t>
      </w:r>
      <w:proofErr w:type="spellStart"/>
      <w:r w:rsidRPr="007D47F3">
        <w:rPr>
          <w:rFonts w:ascii="Palatino Linotype" w:hAnsi="Palatino Linotype"/>
          <w:b/>
          <w:i/>
          <w:sz w:val="22"/>
          <w:szCs w:val="22"/>
        </w:rPr>
        <w:t>Quáter</w:t>
      </w:r>
      <w:proofErr w:type="spellEnd"/>
      <w:r w:rsidRPr="007D47F3">
        <w:rPr>
          <w:rFonts w:ascii="Palatino Linotype" w:hAnsi="Palatino Linotype"/>
          <w:b/>
          <w:i/>
          <w:sz w:val="22"/>
          <w:szCs w:val="22"/>
        </w:rPr>
        <w:t>.</w:t>
      </w:r>
      <w:r w:rsidRPr="007D47F3">
        <w:rPr>
          <w:rFonts w:ascii="Palatino Linotype" w:hAnsi="Palatino Linotype"/>
          <w:i/>
          <w:sz w:val="22"/>
          <w:szCs w:val="22"/>
        </w:rPr>
        <w:t xml:space="preserve">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 </w:t>
      </w:r>
    </w:p>
    <w:p w14:paraId="1C8AD5B6" w14:textId="77777777" w:rsidR="008C781B" w:rsidRPr="007D47F3" w:rsidRDefault="0028573B" w:rsidP="008C781B">
      <w:pPr>
        <w:spacing w:before="120" w:after="120"/>
        <w:ind w:left="851" w:right="902"/>
        <w:jc w:val="both"/>
        <w:rPr>
          <w:rFonts w:ascii="Palatino Linotype" w:hAnsi="Palatino Linotype"/>
          <w:i/>
          <w:sz w:val="22"/>
          <w:szCs w:val="22"/>
        </w:rPr>
      </w:pPr>
      <w:r w:rsidRPr="007D47F3">
        <w:rPr>
          <w:rFonts w:ascii="Palatino Linotype" w:hAnsi="Palatino Linotype"/>
          <w:i/>
          <w:sz w:val="22"/>
          <w:szCs w:val="22"/>
        </w:rPr>
        <w:t xml:space="preserve">Para los efectos de la presente fracción, la licencia o permiso correspondiente se expedirá en un plazo no mayor a diez días hábiles contados a partir de la presentación del Dictamen de Giro aprobado. </w:t>
      </w:r>
    </w:p>
    <w:p w14:paraId="452FC801" w14:textId="153563E3" w:rsidR="0028573B" w:rsidRPr="007D47F3" w:rsidRDefault="0028573B" w:rsidP="008C781B">
      <w:pPr>
        <w:spacing w:before="120" w:after="120"/>
        <w:ind w:left="851" w:right="902"/>
        <w:jc w:val="both"/>
        <w:rPr>
          <w:rFonts w:ascii="Palatino Linotype" w:hAnsi="Palatino Linotype"/>
          <w:i/>
          <w:sz w:val="22"/>
          <w:szCs w:val="22"/>
        </w:rPr>
      </w:pPr>
      <w:r w:rsidRPr="007D47F3">
        <w:rPr>
          <w:rFonts w:ascii="Palatino Linotype" w:hAnsi="Palatino Linotype"/>
          <w:i/>
          <w:sz w:val="22"/>
          <w:szCs w:val="22"/>
        </w:rPr>
        <w:t>Tratándose de obras, unidades económicas, inversiones o proyectos que requieran Evaluación de Impacto Estatal la licencia o permiso correspondiente deberá otorgarse, en un plazo no mayor a veinte días hábiles, contados a partir de que le sea presentada la Evaluación de Impacto Estatal correspondiente, y cuando el solicitante presente el acuerdo de aceptación a la solicitud de Evaluación de Impacto Estatal.</w:t>
      </w:r>
    </w:p>
    <w:p w14:paraId="1B8F7F29" w14:textId="77777777" w:rsidR="008C781B" w:rsidRPr="007D47F3" w:rsidRDefault="008C781B" w:rsidP="008C781B">
      <w:pPr>
        <w:spacing w:before="120" w:after="120"/>
        <w:ind w:left="851" w:right="902"/>
        <w:jc w:val="both"/>
        <w:rPr>
          <w:rFonts w:ascii="Palatino Linotype" w:hAnsi="Palatino Linotype"/>
          <w:i/>
          <w:sz w:val="22"/>
          <w:szCs w:val="22"/>
        </w:rPr>
      </w:pPr>
      <w:r w:rsidRPr="007D47F3">
        <w:rPr>
          <w:rFonts w:ascii="Palatino Linotype" w:hAnsi="Palatino Linotype"/>
          <w:b/>
          <w:i/>
          <w:sz w:val="22"/>
          <w:szCs w:val="22"/>
        </w:rPr>
        <w:t>XXIV. Quinques</w:t>
      </w:r>
      <w:r w:rsidRPr="007D47F3">
        <w:rPr>
          <w:rFonts w:ascii="Palatino Linotype" w:hAnsi="Palatino Linotype"/>
          <w:i/>
          <w:sz w:val="22"/>
          <w:szCs w:val="22"/>
        </w:rPr>
        <w:t xml:space="preserve">.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 Una vez presentado el Dictamen de Giro aprobado, se expedirá la licencia de funcionamiento en un plazo no mayor a diez días hábiles. Para el refrendo anual no es necesario obtener un nuevo Dictamen de Giro siempre y cuando, no se modifiquen la superficie de la unidad económica, su aforo o su actividad económica; </w:t>
      </w:r>
    </w:p>
    <w:p w14:paraId="403FCD7B" w14:textId="77777777" w:rsidR="008C781B" w:rsidRPr="007D47F3" w:rsidRDefault="008C781B" w:rsidP="008C781B">
      <w:pPr>
        <w:spacing w:before="120" w:after="120"/>
        <w:ind w:left="851" w:right="902"/>
        <w:jc w:val="both"/>
        <w:rPr>
          <w:rFonts w:ascii="Palatino Linotype" w:hAnsi="Palatino Linotype"/>
          <w:i/>
          <w:sz w:val="22"/>
          <w:szCs w:val="22"/>
        </w:rPr>
      </w:pPr>
      <w:r w:rsidRPr="007D47F3">
        <w:rPr>
          <w:rFonts w:ascii="Palatino Linotype" w:hAnsi="Palatino Linotype"/>
          <w:b/>
          <w:i/>
          <w:sz w:val="22"/>
          <w:szCs w:val="22"/>
        </w:rPr>
        <w:t xml:space="preserve">XXIV. </w:t>
      </w:r>
      <w:proofErr w:type="spellStart"/>
      <w:r w:rsidRPr="007D47F3">
        <w:rPr>
          <w:rFonts w:ascii="Palatino Linotype" w:hAnsi="Palatino Linotype"/>
          <w:b/>
          <w:i/>
          <w:sz w:val="22"/>
          <w:szCs w:val="22"/>
        </w:rPr>
        <w:t>Sexties</w:t>
      </w:r>
      <w:proofErr w:type="spellEnd"/>
      <w:r w:rsidRPr="007D47F3">
        <w:rPr>
          <w:rFonts w:ascii="Palatino Linotype" w:hAnsi="Palatino Linotype"/>
          <w:i/>
          <w:sz w:val="22"/>
          <w:szCs w:val="22"/>
        </w:rPr>
        <w:t xml:space="preserve">. Aprobar y publicar el programa especial para otorgar la licencia o permiso provisional de funcionamiento para negocios de bajo riesgo sanitario, ambiental o de protección civil, que para el efecto proponga la o el presidente </w:t>
      </w:r>
      <w:r w:rsidRPr="007D47F3">
        <w:rPr>
          <w:rFonts w:ascii="Palatino Linotype" w:hAnsi="Palatino Linotype"/>
          <w:i/>
          <w:sz w:val="22"/>
          <w:szCs w:val="22"/>
        </w:rPr>
        <w:lastRenderedPageBreak/>
        <w:t>municipal en términos de lo dispuesto por la fracción XIII Ter del artículo 48 de la presente Ley.</w:t>
      </w:r>
    </w:p>
    <w:p w14:paraId="1D5FEE10" w14:textId="77777777" w:rsidR="008C781B" w:rsidRPr="007D47F3" w:rsidRDefault="008C781B" w:rsidP="008C781B">
      <w:pPr>
        <w:spacing w:before="120" w:after="120"/>
        <w:ind w:left="851" w:right="902"/>
        <w:jc w:val="both"/>
        <w:rPr>
          <w:rFonts w:ascii="Palatino Linotype" w:hAnsi="Palatino Linotype"/>
          <w:i/>
          <w:sz w:val="22"/>
          <w:szCs w:val="22"/>
        </w:rPr>
      </w:pPr>
      <w:r w:rsidRPr="007D47F3">
        <w:rPr>
          <w:rFonts w:ascii="Palatino Linotype" w:hAnsi="Palatino Linotype"/>
          <w:i/>
          <w:sz w:val="22"/>
          <w:szCs w:val="22"/>
        </w:rPr>
        <w:t>...</w:t>
      </w:r>
    </w:p>
    <w:p w14:paraId="51E1F368" w14:textId="77777777" w:rsidR="008C781B" w:rsidRPr="007D47F3" w:rsidRDefault="008C781B" w:rsidP="008C781B">
      <w:pPr>
        <w:spacing w:before="120" w:after="120"/>
        <w:ind w:left="851" w:right="902"/>
        <w:jc w:val="both"/>
        <w:rPr>
          <w:rFonts w:ascii="Palatino Linotype" w:hAnsi="Palatino Linotype"/>
          <w:i/>
          <w:sz w:val="22"/>
          <w:szCs w:val="22"/>
        </w:rPr>
      </w:pPr>
      <w:r w:rsidRPr="007D47F3">
        <w:rPr>
          <w:rFonts w:ascii="Palatino Linotype" w:hAnsi="Palatino Linotype"/>
          <w:b/>
          <w:i/>
          <w:sz w:val="22"/>
          <w:szCs w:val="22"/>
        </w:rPr>
        <w:t>XLIV</w:t>
      </w:r>
      <w:r w:rsidRPr="007D47F3">
        <w:rPr>
          <w:rFonts w:ascii="Palatino Linotype" w:hAnsi="Palatino Linotype"/>
          <w:i/>
          <w:sz w:val="22"/>
          <w:szCs w:val="22"/>
        </w:rPr>
        <w:t>. Crear el Registro Municipal de Unidades Económicas, donde se especifique la licencia de funcionamiento con la actividad de la unidad económica e impacto que generen, así como las demás características que se determinen;</w:t>
      </w:r>
    </w:p>
    <w:p w14:paraId="7E8D66BF" w14:textId="1C55C7FB" w:rsidR="0028573B" w:rsidRPr="007D47F3" w:rsidRDefault="008C781B" w:rsidP="008C781B">
      <w:pPr>
        <w:spacing w:before="120" w:after="120"/>
        <w:ind w:left="851" w:right="902"/>
        <w:jc w:val="both"/>
        <w:rPr>
          <w:rFonts w:ascii="Palatino Linotype" w:eastAsia="Palatino Linotype" w:hAnsi="Palatino Linotype" w:cs="Palatino Linotype"/>
          <w:i/>
          <w:sz w:val="22"/>
          <w:szCs w:val="22"/>
        </w:rPr>
      </w:pPr>
      <w:r w:rsidRPr="007D47F3">
        <w:rPr>
          <w:rFonts w:ascii="Palatino Linotype" w:hAnsi="Palatino Linotype"/>
          <w:b/>
          <w:i/>
          <w:sz w:val="22"/>
          <w:szCs w:val="22"/>
        </w:rPr>
        <w:t>XLV.</w:t>
      </w:r>
      <w:r w:rsidRPr="007D47F3">
        <w:rPr>
          <w:rFonts w:ascii="Palatino Linotype" w:hAnsi="Palatino Linotype"/>
          <w:i/>
          <w:sz w:val="22"/>
          <w:szCs w:val="22"/>
        </w:rPr>
        <w:t xml:space="preserve"> Colaborar con las autoridades estatales y federales en el ámbito de su competencia para establecer medidas regulatorias a unidades económicas de impacto urbano y crear un registro específico que se regirá de acuerdo a la Ley de Transparencia y Acceso a la Información Pública del Estado de México y Municipios;”</w:t>
      </w:r>
    </w:p>
    <w:p w14:paraId="26A38A6B" w14:textId="25BB3261" w:rsidR="0028573B" w:rsidRPr="007D47F3" w:rsidRDefault="00B944E4" w:rsidP="0028573B">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En este orden de ideas, la Secretaría del Ayuntamiento es la dependencia responsable de levantar las actas de cabildo, de llevar y conservar los libros de actas de cabildo, de conformidad con el artículo </w:t>
      </w:r>
      <w:r w:rsidR="0028573B" w:rsidRPr="007D47F3">
        <w:rPr>
          <w:rFonts w:ascii="Palatino Linotype" w:eastAsia="Palatino Linotype" w:hAnsi="Palatino Linotype" w:cs="Palatino Linotype"/>
        </w:rPr>
        <w:t>91, fracciones I y IV, de la Ley Orgánica Municipal del Estado de México, a saber:</w:t>
      </w:r>
    </w:p>
    <w:p w14:paraId="6B01E8C2" w14:textId="77777777" w:rsidR="0028573B" w:rsidRPr="007D47F3" w:rsidRDefault="0028573B" w:rsidP="0028573B">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“Artículo 91.-</w:t>
      </w:r>
      <w:r w:rsidRPr="007D47F3">
        <w:rPr>
          <w:rFonts w:ascii="Palatino Linotype" w:eastAsia="Palatino Linotype" w:hAnsi="Palatino Linotype" w:cs="Palatino Linotype"/>
          <w:i/>
          <w:sz w:val="22"/>
          <w:szCs w:val="22"/>
        </w:rPr>
        <w:t xml:space="preserve"> La Secretaría del Ayuntamiento estará a cargo de un </w:t>
      </w:r>
      <w:proofErr w:type="gramStart"/>
      <w:r w:rsidRPr="007D47F3">
        <w:rPr>
          <w:rFonts w:ascii="Palatino Linotype" w:eastAsia="Palatino Linotype" w:hAnsi="Palatino Linotype" w:cs="Palatino Linotype"/>
          <w:i/>
          <w:sz w:val="22"/>
          <w:szCs w:val="22"/>
        </w:rPr>
        <w:t>Secretario</w:t>
      </w:r>
      <w:proofErr w:type="gramEnd"/>
      <w:r w:rsidRPr="007D47F3">
        <w:rPr>
          <w:rFonts w:ascii="Palatino Linotype" w:eastAsia="Palatino Linotype" w:hAnsi="Palatino Linotype" w:cs="Palatino Linotype"/>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434B5C07" w14:textId="77777777" w:rsidR="0028573B" w:rsidRPr="007D47F3" w:rsidRDefault="0028573B" w:rsidP="0028573B">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w:t>
      </w:r>
      <w:r w:rsidRPr="007D47F3">
        <w:rPr>
          <w:rFonts w:ascii="Palatino Linotype" w:eastAsia="Palatino Linotype" w:hAnsi="Palatino Linotype" w:cs="Palatino Linotype"/>
          <w:i/>
          <w:sz w:val="22"/>
          <w:szCs w:val="22"/>
        </w:rPr>
        <w:t xml:space="preserve"> Asistir a las sesiones del ayuntamiento y levantar las actas correspondientes;</w:t>
      </w:r>
    </w:p>
    <w:p w14:paraId="3D1654A1" w14:textId="77777777" w:rsidR="0028573B" w:rsidRPr="007D47F3" w:rsidRDefault="0028573B" w:rsidP="0028573B">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p>
    <w:p w14:paraId="1CB98765" w14:textId="3EEF318E" w:rsidR="0028573B" w:rsidRPr="007D47F3" w:rsidRDefault="0028573B" w:rsidP="0028573B">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IV.</w:t>
      </w:r>
      <w:r w:rsidRPr="007D47F3">
        <w:rPr>
          <w:rFonts w:ascii="Palatino Linotype" w:eastAsia="Palatino Linotype" w:hAnsi="Palatino Linotype" w:cs="Palatino Linotype"/>
          <w:i/>
          <w:sz w:val="22"/>
          <w:szCs w:val="22"/>
        </w:rPr>
        <w:t xml:space="preserve"> Llevar y conservar los libros de actas de cabildo, obteniendo las firmas de los asistentes a las sesiones;”</w:t>
      </w:r>
    </w:p>
    <w:p w14:paraId="5AA05AB8" w14:textId="5DF611BE" w:rsidR="00CB2834" w:rsidRPr="007D47F3" w:rsidRDefault="0028573B">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Mientras que </w:t>
      </w:r>
      <w:r w:rsidR="00B944E4" w:rsidRPr="007D47F3">
        <w:rPr>
          <w:rFonts w:ascii="Palatino Linotype" w:eastAsia="Palatino Linotype" w:hAnsi="Palatino Linotype" w:cs="Palatino Linotype"/>
        </w:rPr>
        <w:t xml:space="preserve">la Dirección General de Desarrollo Económico, </w:t>
      </w:r>
      <w:r w:rsidR="000405BC" w:rsidRPr="007D47F3">
        <w:rPr>
          <w:rFonts w:ascii="Palatino Linotype" w:eastAsia="Palatino Linotype" w:hAnsi="Palatino Linotype" w:cs="Palatino Linotype"/>
        </w:rPr>
        <w:t xml:space="preserve">de conformidad con el artículo 96 </w:t>
      </w:r>
      <w:proofErr w:type="spellStart"/>
      <w:r w:rsidR="000405BC" w:rsidRPr="007D47F3">
        <w:rPr>
          <w:rFonts w:ascii="Palatino Linotype" w:hAnsi="Palatino Linotype"/>
        </w:rPr>
        <w:t>Quáter</w:t>
      </w:r>
      <w:proofErr w:type="spellEnd"/>
      <w:r w:rsidR="000405BC" w:rsidRPr="007D47F3">
        <w:rPr>
          <w:rFonts w:ascii="Palatino Linotype" w:eastAsia="Palatino Linotype" w:hAnsi="Palatino Linotype" w:cs="Palatino Linotype"/>
        </w:rPr>
        <w:t xml:space="preserve"> </w:t>
      </w:r>
      <w:r w:rsidR="00327EBA" w:rsidRPr="007D47F3">
        <w:rPr>
          <w:rFonts w:ascii="Palatino Linotype" w:eastAsia="Palatino Linotype" w:hAnsi="Palatino Linotype" w:cs="Palatino Linotype"/>
        </w:rPr>
        <w:t>de la Ley Orgánica Municipal del Estado de México tiene a su cargo las siguientes atribuciones en su parte conducente:</w:t>
      </w:r>
    </w:p>
    <w:p w14:paraId="44139B83" w14:textId="323CCEC0" w:rsidR="00327EBA" w:rsidRPr="007D47F3" w:rsidRDefault="00327EBA" w:rsidP="005B5819">
      <w:pPr>
        <w:spacing w:before="120" w:after="120"/>
        <w:ind w:left="851" w:right="900"/>
        <w:jc w:val="both"/>
        <w:rPr>
          <w:rFonts w:ascii="Palatino Linotype" w:hAnsi="Palatino Linotype"/>
          <w:i/>
          <w:sz w:val="22"/>
        </w:rPr>
      </w:pPr>
      <w:r w:rsidRPr="007D47F3">
        <w:rPr>
          <w:rFonts w:ascii="Palatino Linotype" w:eastAsia="Palatino Linotype" w:hAnsi="Palatino Linotype" w:cs="Palatino Linotype"/>
          <w:i/>
          <w:sz w:val="22"/>
        </w:rPr>
        <w:lastRenderedPageBreak/>
        <w:t>“</w:t>
      </w:r>
      <w:r w:rsidRPr="007D47F3">
        <w:rPr>
          <w:rFonts w:ascii="Palatino Linotype" w:hAnsi="Palatino Linotype"/>
          <w:b/>
          <w:i/>
          <w:sz w:val="22"/>
        </w:rPr>
        <w:t xml:space="preserve">Artículo 96 </w:t>
      </w:r>
      <w:proofErr w:type="spellStart"/>
      <w:proofErr w:type="gramStart"/>
      <w:r w:rsidRPr="007D47F3">
        <w:rPr>
          <w:rFonts w:ascii="Palatino Linotype" w:hAnsi="Palatino Linotype"/>
          <w:b/>
          <w:i/>
          <w:sz w:val="22"/>
        </w:rPr>
        <w:t>Quáter</w:t>
      </w:r>
      <w:proofErr w:type="spellEnd"/>
      <w:r w:rsidRPr="007D47F3">
        <w:rPr>
          <w:rFonts w:ascii="Palatino Linotype" w:hAnsi="Palatino Linotype"/>
          <w:b/>
          <w:i/>
          <w:sz w:val="22"/>
        </w:rPr>
        <w:t>.-</w:t>
      </w:r>
      <w:proofErr w:type="gramEnd"/>
      <w:r w:rsidRPr="007D47F3">
        <w:rPr>
          <w:rFonts w:ascii="Palatino Linotype" w:hAnsi="Palatino Linotype"/>
          <w:i/>
          <w:sz w:val="22"/>
        </w:rPr>
        <w:t xml:space="preserve"> El Titular de la Dirección de Desarrollo Económico Municipal o el Titular de la Unidad Administrativa equivalente, tiene las siguientes atribuciones:</w:t>
      </w:r>
    </w:p>
    <w:p w14:paraId="7A38C2CF" w14:textId="77777777" w:rsidR="00327EBA" w:rsidRPr="007D47F3" w:rsidRDefault="00327EBA" w:rsidP="005B5819">
      <w:pPr>
        <w:spacing w:before="120" w:after="120"/>
        <w:ind w:left="851" w:right="900"/>
        <w:jc w:val="both"/>
        <w:rPr>
          <w:rFonts w:ascii="Palatino Linotype" w:hAnsi="Palatino Linotype"/>
          <w:i/>
          <w:sz w:val="22"/>
        </w:rPr>
      </w:pPr>
      <w:r w:rsidRPr="007D47F3">
        <w:rPr>
          <w:rFonts w:ascii="Palatino Linotype" w:hAnsi="Palatino Linotype"/>
          <w:i/>
          <w:sz w:val="22"/>
        </w:rPr>
        <w:t>I. Diseñar y promover políticas que generen inversiones productivas y empleos remunerados;</w:t>
      </w:r>
    </w:p>
    <w:p w14:paraId="209EA1E4" w14:textId="1D80114E" w:rsidR="00327EBA" w:rsidRPr="007D47F3" w:rsidRDefault="00327EBA" w:rsidP="005B5819">
      <w:pPr>
        <w:spacing w:before="120" w:after="120"/>
        <w:ind w:left="851" w:right="900"/>
        <w:jc w:val="both"/>
        <w:rPr>
          <w:rFonts w:ascii="Palatino Linotype" w:hAnsi="Palatino Linotype"/>
          <w:i/>
          <w:sz w:val="22"/>
        </w:rPr>
      </w:pPr>
      <w:r w:rsidRPr="007D47F3">
        <w:rPr>
          <w:rFonts w:ascii="Palatino Linotype" w:hAnsi="Palatino Linotype"/>
          <w:i/>
          <w:sz w:val="22"/>
        </w:rPr>
        <w:t xml:space="preserve">II. Promover programas de simplificación, desregulación y transparencia administrativa para facilitar la actividad económica; </w:t>
      </w:r>
    </w:p>
    <w:p w14:paraId="61D45B5D" w14:textId="00B55ED4" w:rsidR="00327EBA" w:rsidRPr="007D47F3" w:rsidRDefault="00327EBA" w:rsidP="005B5819">
      <w:pPr>
        <w:spacing w:before="120" w:after="120"/>
        <w:ind w:left="851" w:right="900"/>
        <w:jc w:val="both"/>
        <w:rPr>
          <w:rFonts w:ascii="Palatino Linotype" w:hAnsi="Palatino Linotype"/>
          <w:i/>
          <w:sz w:val="22"/>
        </w:rPr>
      </w:pPr>
      <w:r w:rsidRPr="007D47F3">
        <w:rPr>
          <w:rFonts w:ascii="Palatino Linotype" w:hAnsi="Palatino Linotype"/>
          <w:i/>
          <w:sz w:val="22"/>
        </w:rPr>
        <w:t>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3D2F265C" w14:textId="2C9CCEA1" w:rsidR="00BE07F4" w:rsidRPr="007D47F3" w:rsidRDefault="00BE07F4" w:rsidP="005B5819">
      <w:pPr>
        <w:spacing w:before="120" w:after="120"/>
        <w:ind w:left="851" w:right="900"/>
        <w:jc w:val="both"/>
        <w:rPr>
          <w:rFonts w:ascii="Palatino Linotype" w:hAnsi="Palatino Linotype"/>
          <w:i/>
          <w:sz w:val="22"/>
        </w:rPr>
      </w:pPr>
      <w:r w:rsidRPr="007D47F3">
        <w:rPr>
          <w:rFonts w:ascii="Palatino Linotype" w:hAnsi="Palatino Linotype"/>
          <w:i/>
          <w:sz w:val="22"/>
        </w:rPr>
        <w:t>...</w:t>
      </w:r>
    </w:p>
    <w:p w14:paraId="6C43234D" w14:textId="77777777" w:rsidR="00BE07F4" w:rsidRPr="007D47F3" w:rsidRDefault="00BE07F4" w:rsidP="005B5819">
      <w:pPr>
        <w:spacing w:before="120" w:after="120"/>
        <w:ind w:left="851" w:right="900"/>
        <w:jc w:val="both"/>
        <w:rPr>
          <w:rFonts w:ascii="Palatino Linotype" w:hAnsi="Palatino Linotype"/>
          <w:i/>
          <w:sz w:val="22"/>
        </w:rPr>
      </w:pPr>
      <w:r w:rsidRPr="007D47F3">
        <w:rPr>
          <w:rFonts w:ascii="Palatino Linotype" w:hAnsi="Palatino Linotype"/>
          <w:i/>
          <w:sz w:val="22"/>
        </w:rPr>
        <w:t xml:space="preserve">IV. Desarrollar e implementar las acciones de coordinación que permitan la adecuada operación del Sistema Único de Gestión Empresarial, de conformidad con la Ley de la materia; </w:t>
      </w:r>
    </w:p>
    <w:p w14:paraId="16AFBB46" w14:textId="66AE28E5" w:rsidR="00BE07F4" w:rsidRPr="007D47F3" w:rsidRDefault="00BE07F4" w:rsidP="005B5819">
      <w:pPr>
        <w:spacing w:before="120" w:after="120"/>
        <w:ind w:left="851" w:right="900"/>
        <w:jc w:val="both"/>
        <w:rPr>
          <w:rFonts w:ascii="Palatino Linotype" w:hAnsi="Palatino Linotype"/>
          <w:i/>
          <w:sz w:val="22"/>
        </w:rPr>
      </w:pPr>
      <w:r w:rsidRPr="007D47F3">
        <w:rPr>
          <w:rFonts w:ascii="Palatino Linotype" w:hAnsi="Palatino Linotype"/>
          <w:i/>
          <w:sz w:val="22"/>
        </w:rPr>
        <w:t>V. Establecer y operar el Sistema de Apertura Rápida de Empresas del Estado de México en coordinación con los distintos órdenes de Gobierno en los términos que establece la Ley de la materia;</w:t>
      </w:r>
    </w:p>
    <w:p w14:paraId="4263D6FF" w14:textId="24AC5C16" w:rsidR="00BE07F4" w:rsidRPr="007D47F3" w:rsidRDefault="00BE07F4" w:rsidP="005B5819">
      <w:pPr>
        <w:spacing w:before="120" w:after="120"/>
        <w:ind w:left="851" w:right="900"/>
        <w:jc w:val="both"/>
        <w:rPr>
          <w:rFonts w:ascii="Palatino Linotype" w:hAnsi="Palatino Linotype"/>
          <w:i/>
          <w:sz w:val="22"/>
        </w:rPr>
      </w:pPr>
      <w:r w:rsidRPr="007D47F3">
        <w:rPr>
          <w:rFonts w:ascii="Palatino Linotype" w:hAnsi="Palatino Linotype"/>
          <w:i/>
          <w:sz w:val="22"/>
        </w:rPr>
        <w:t>...</w:t>
      </w:r>
    </w:p>
    <w:p w14:paraId="6832F7A7" w14:textId="77777777" w:rsidR="005B5819" w:rsidRPr="007D47F3" w:rsidRDefault="005B5819" w:rsidP="005B5819">
      <w:pPr>
        <w:spacing w:before="120" w:after="120"/>
        <w:ind w:left="851" w:right="900"/>
        <w:jc w:val="both"/>
        <w:rPr>
          <w:rFonts w:ascii="Palatino Linotype" w:hAnsi="Palatino Linotype"/>
          <w:i/>
          <w:sz w:val="22"/>
        </w:rPr>
      </w:pPr>
      <w:r w:rsidRPr="007D47F3">
        <w:rPr>
          <w:rFonts w:ascii="Palatino Linotype" w:hAnsi="Palatino Linotype"/>
          <w:i/>
          <w:sz w:val="22"/>
        </w:rPr>
        <w:t xml:space="preserve">XVIII. Conducir la coordinación interinstitucional de las dependencias municipales a las que corresponda conocer sobre el otorgamiento de permisos y licencias para la apertura y funcionamiento de unidades económicas; </w:t>
      </w:r>
    </w:p>
    <w:p w14:paraId="0355815A" w14:textId="0653B164" w:rsidR="00BE07F4" w:rsidRPr="007D47F3" w:rsidRDefault="005B5819" w:rsidP="005B5819">
      <w:pPr>
        <w:spacing w:before="120" w:after="120"/>
        <w:ind w:left="851" w:right="900"/>
        <w:jc w:val="both"/>
        <w:rPr>
          <w:rFonts w:ascii="Palatino Linotype" w:hAnsi="Palatino Linotype"/>
          <w:i/>
          <w:sz w:val="22"/>
        </w:rPr>
      </w:pPr>
      <w:r w:rsidRPr="007D47F3">
        <w:rPr>
          <w:rFonts w:ascii="Palatino Linotype" w:hAnsi="Palatino Linotype"/>
          <w:i/>
          <w:sz w:val="22"/>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p>
    <w:p w14:paraId="53C8F622" w14:textId="5EDD3993" w:rsidR="005B5819" w:rsidRPr="007D47F3" w:rsidRDefault="005B5819" w:rsidP="005B5819">
      <w:pPr>
        <w:spacing w:before="120" w:after="120"/>
        <w:ind w:left="851" w:right="900"/>
        <w:jc w:val="both"/>
        <w:rPr>
          <w:rFonts w:ascii="Palatino Linotype" w:hAnsi="Palatino Linotype"/>
          <w:i/>
          <w:sz w:val="22"/>
        </w:rPr>
      </w:pPr>
      <w:r w:rsidRPr="007D47F3">
        <w:rPr>
          <w:rFonts w:ascii="Palatino Linotype" w:hAnsi="Palatino Linotype"/>
          <w:i/>
          <w:sz w:val="22"/>
        </w:rPr>
        <w:t>...</w:t>
      </w:r>
    </w:p>
    <w:p w14:paraId="07A3A9CB" w14:textId="77777777" w:rsidR="005B5819" w:rsidRPr="007D47F3" w:rsidRDefault="005B5819" w:rsidP="005B5819">
      <w:pPr>
        <w:spacing w:before="120" w:after="120"/>
        <w:ind w:left="851" w:right="900"/>
        <w:jc w:val="both"/>
        <w:rPr>
          <w:rFonts w:ascii="Palatino Linotype" w:hAnsi="Palatino Linotype"/>
          <w:i/>
          <w:sz w:val="22"/>
        </w:rPr>
      </w:pPr>
      <w:r w:rsidRPr="007D47F3">
        <w:rPr>
          <w:rFonts w:ascii="Palatino Linotype" w:hAnsi="Palatino Linotype"/>
          <w:i/>
          <w:sz w:val="22"/>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w:t>
      </w:r>
      <w:r w:rsidRPr="007D47F3">
        <w:rPr>
          <w:rFonts w:ascii="Palatino Linotype" w:hAnsi="Palatino Linotype"/>
          <w:i/>
          <w:sz w:val="22"/>
        </w:rPr>
        <w:lastRenderedPageBreak/>
        <w:t xml:space="preserve">a la Secretaría de Seguridad y a la </w:t>
      </w:r>
      <w:proofErr w:type="gramStart"/>
      <w:r w:rsidRPr="007D47F3">
        <w:rPr>
          <w:rFonts w:ascii="Palatino Linotype" w:hAnsi="Palatino Linotype"/>
          <w:i/>
          <w:sz w:val="22"/>
        </w:rPr>
        <w:t>Fiscalía General</w:t>
      </w:r>
      <w:proofErr w:type="gramEnd"/>
      <w:r w:rsidRPr="007D47F3">
        <w:rPr>
          <w:rFonts w:ascii="Palatino Linotype" w:hAnsi="Palatino Linotype"/>
          <w:i/>
          <w:sz w:val="22"/>
        </w:rPr>
        <w:t xml:space="preserve"> de Justicia del Estado de México, la información respectiva; </w:t>
      </w:r>
    </w:p>
    <w:p w14:paraId="39968053" w14:textId="2CB591B6" w:rsidR="005B5819" w:rsidRPr="007D47F3" w:rsidRDefault="005B5819" w:rsidP="005B5819">
      <w:pPr>
        <w:spacing w:before="120" w:after="120"/>
        <w:ind w:left="851" w:right="900"/>
        <w:jc w:val="both"/>
        <w:rPr>
          <w:rFonts w:ascii="Palatino Linotype" w:hAnsi="Palatino Linotype"/>
          <w:i/>
          <w:sz w:val="22"/>
        </w:rPr>
      </w:pPr>
      <w:r w:rsidRPr="007D47F3">
        <w:rPr>
          <w:rFonts w:ascii="Palatino Linotype" w:hAnsi="Palatino Linotype"/>
          <w:i/>
          <w:sz w:val="22"/>
        </w:rPr>
        <w:t xml:space="preserve">XX. Crear y actualizar el Registro de las Unidades Económicas que cuenten con el Dictamen de Giro, para la solicitud o refrendo de las licencias de funcionamiento; </w:t>
      </w:r>
    </w:p>
    <w:p w14:paraId="67F6B509" w14:textId="7DA8BD35" w:rsidR="005B5819" w:rsidRPr="007D47F3" w:rsidRDefault="005B5819" w:rsidP="005B5819">
      <w:pPr>
        <w:spacing w:before="120" w:after="120"/>
        <w:ind w:left="851" w:right="900"/>
        <w:jc w:val="both"/>
        <w:rPr>
          <w:rFonts w:ascii="Palatino Linotype" w:eastAsia="Palatino Linotype" w:hAnsi="Palatino Linotype" w:cs="Palatino Linotype"/>
          <w:i/>
          <w:sz w:val="22"/>
        </w:rPr>
      </w:pPr>
      <w:r w:rsidRPr="007D47F3">
        <w:rPr>
          <w:rFonts w:ascii="Palatino Linotype" w:hAnsi="Palatino Linotype"/>
          <w:i/>
          <w:sz w:val="22"/>
        </w:rPr>
        <w:t>XXI. Autorizar la placa a que se refiere la fracción VIII del artículo 74 de la Ley de Competitividad y Ordenamiento Comercial del Estado de México, y”</w:t>
      </w:r>
    </w:p>
    <w:p w14:paraId="4FF8239C" w14:textId="5BF0CD82" w:rsidR="003F490F" w:rsidRPr="007D47F3" w:rsidRDefault="005959FF">
      <w:pPr>
        <w:tabs>
          <w:tab w:val="left" w:pos="3544"/>
        </w:tabs>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Atento a lo anterior, se colige que la </w:t>
      </w:r>
      <w:r w:rsidR="005B5819" w:rsidRPr="007D47F3">
        <w:rPr>
          <w:rFonts w:ascii="Palatino Linotype" w:eastAsia="Palatino Linotype" w:hAnsi="Palatino Linotype" w:cs="Palatino Linotype"/>
        </w:rPr>
        <w:t xml:space="preserve">Secretaría del Ayuntamiento </w:t>
      </w:r>
      <w:r w:rsidRPr="007D47F3">
        <w:rPr>
          <w:rFonts w:ascii="Palatino Linotype" w:eastAsia="Palatino Linotype" w:hAnsi="Palatino Linotype" w:cs="Palatino Linotype"/>
        </w:rPr>
        <w:t xml:space="preserve"> y la </w:t>
      </w:r>
      <w:r w:rsidR="003F648F" w:rsidRPr="007D47F3">
        <w:rPr>
          <w:rFonts w:ascii="Palatino Linotype" w:eastAsia="Palatino Linotype" w:hAnsi="Palatino Linotype" w:cs="Palatino Linotype"/>
        </w:rPr>
        <w:t xml:space="preserve">Dirección General de Desarrollo Económico, </w:t>
      </w:r>
      <w:r w:rsidRPr="007D47F3">
        <w:rPr>
          <w:rFonts w:ascii="Palatino Linotype" w:eastAsia="Palatino Linotype" w:hAnsi="Palatino Linotype" w:cs="Palatino Linotype"/>
        </w:rPr>
        <w:t xml:space="preserve">cuentan con atribuciones para conocer de la información solicitada por la parte </w:t>
      </w:r>
      <w:r w:rsidRPr="007D47F3">
        <w:rPr>
          <w:rFonts w:ascii="Palatino Linotype" w:eastAsia="Palatino Linotype" w:hAnsi="Palatino Linotype" w:cs="Palatino Linotype"/>
          <w:b/>
        </w:rPr>
        <w:t>Recurrente</w:t>
      </w:r>
      <w:r w:rsidRPr="007D47F3">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5A66AEAE" w14:textId="77777777" w:rsidR="0012455C" w:rsidRPr="007D47F3" w:rsidRDefault="0012455C">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En este sentido, los servidores públicos habilitados competentes proporcionaron la siguiente información:</w:t>
      </w:r>
    </w:p>
    <w:p w14:paraId="2851E5B9" w14:textId="1462E456" w:rsidR="0012455C" w:rsidRPr="007D47F3" w:rsidRDefault="0012455C" w:rsidP="00E712DD">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 </w:t>
      </w:r>
      <w:r w:rsidR="003D26E2" w:rsidRPr="007D47F3">
        <w:rPr>
          <w:rFonts w:ascii="Palatino Linotype" w:eastAsia="Palatino Linotype" w:hAnsi="Palatino Linotype" w:cs="Palatino Linotype"/>
          <w:b/>
        </w:rPr>
        <w:t xml:space="preserve">Secretaría del Ayuntamiento. </w:t>
      </w:r>
      <w:r w:rsidR="003D26E2" w:rsidRPr="007D47F3">
        <w:rPr>
          <w:rFonts w:ascii="Palatino Linotype" w:eastAsia="Palatino Linotype" w:hAnsi="Palatino Linotype" w:cs="Palatino Linotype"/>
        </w:rPr>
        <w:t xml:space="preserve">Hizo entrega de un listado de 89 licencias </w:t>
      </w:r>
      <w:r w:rsidR="00E712DD" w:rsidRPr="007D47F3">
        <w:rPr>
          <w:rFonts w:ascii="Palatino Linotype" w:eastAsia="Palatino Linotype" w:hAnsi="Palatino Linotype" w:cs="Palatino Linotype"/>
        </w:rPr>
        <w:t xml:space="preserve">de funcionamiento para el alta al Padrón de Establecimientos Comerciales, Industriales y de Servicios de </w:t>
      </w:r>
      <w:r w:rsidR="003D26E2" w:rsidRPr="007D47F3">
        <w:rPr>
          <w:rFonts w:ascii="Palatino Linotype" w:eastAsia="Palatino Linotype" w:hAnsi="Palatino Linotype" w:cs="Palatino Linotype"/>
        </w:rPr>
        <w:t xml:space="preserve">autorizadas </w:t>
      </w:r>
      <w:r w:rsidR="00E712DD" w:rsidRPr="007D47F3">
        <w:rPr>
          <w:rFonts w:ascii="Palatino Linotype" w:eastAsia="Palatino Linotype" w:hAnsi="Palatino Linotype" w:cs="Palatino Linotype"/>
        </w:rPr>
        <w:t xml:space="preserve">en el ejercicio 2024, y el giro correspondiente, como se ilustra a continuación </w:t>
      </w:r>
      <w:r w:rsidR="001645BF" w:rsidRPr="007D47F3">
        <w:rPr>
          <w:rFonts w:ascii="Palatino Linotype" w:eastAsia="Palatino Linotype" w:hAnsi="Palatino Linotype" w:cs="Palatino Linotype"/>
        </w:rPr>
        <w:t>de manera ejemplificativa</w:t>
      </w:r>
      <w:r w:rsidR="00E712DD" w:rsidRPr="007D47F3">
        <w:rPr>
          <w:rFonts w:ascii="Palatino Linotype" w:eastAsia="Palatino Linotype" w:hAnsi="Palatino Linotype" w:cs="Palatino Linotype"/>
        </w:rPr>
        <w:t>:</w:t>
      </w:r>
    </w:p>
    <w:p w14:paraId="33C9EE54" w14:textId="5755CBFB" w:rsidR="00E712DD" w:rsidRPr="007D47F3" w:rsidRDefault="008E39EB" w:rsidP="00E712DD">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noProof/>
        </w:rPr>
        <w:lastRenderedPageBreak/>
        <w:drawing>
          <wp:inline distT="0" distB="0" distL="0" distR="0" wp14:anchorId="117F34FA" wp14:editId="0EE00C6F">
            <wp:extent cx="5612130" cy="16719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71955"/>
                    </a:xfrm>
                    <a:prstGeom prst="rect">
                      <a:avLst/>
                    </a:prstGeom>
                  </pic:spPr>
                </pic:pic>
              </a:graphicData>
            </a:graphic>
          </wp:inline>
        </w:drawing>
      </w:r>
    </w:p>
    <w:p w14:paraId="30DE66AC" w14:textId="02EF7C17" w:rsidR="001645BF" w:rsidRPr="007D47F3" w:rsidRDefault="00310627">
      <w:pPr>
        <w:spacing w:before="240" w:after="240" w:line="360" w:lineRule="auto"/>
        <w:ind w:right="49"/>
        <w:jc w:val="both"/>
        <w:rPr>
          <w:rFonts w:ascii="Palatino Linotype" w:hAnsi="Palatino Linotype"/>
        </w:rPr>
      </w:pPr>
      <w:r w:rsidRPr="007D47F3">
        <w:rPr>
          <w:rFonts w:ascii="Palatino Linotype" w:eastAsia="Palatino Linotype" w:hAnsi="Palatino Linotype" w:cs="Palatino Linotype"/>
          <w:b/>
        </w:rPr>
        <w:t xml:space="preserve">Dirección General de Desarrollo </w:t>
      </w:r>
      <w:r w:rsidR="001645BF" w:rsidRPr="007D47F3">
        <w:rPr>
          <w:rFonts w:ascii="Palatino Linotype" w:eastAsia="Palatino Linotype" w:hAnsi="Palatino Linotype" w:cs="Palatino Linotype"/>
          <w:b/>
        </w:rPr>
        <w:t>Económico</w:t>
      </w:r>
      <w:r w:rsidRPr="007D47F3">
        <w:rPr>
          <w:rFonts w:ascii="Palatino Linotype" w:eastAsia="Palatino Linotype" w:hAnsi="Palatino Linotype" w:cs="Palatino Linotype"/>
          <w:b/>
        </w:rPr>
        <w:t xml:space="preserve">. </w:t>
      </w:r>
      <w:r w:rsidR="001645BF" w:rsidRPr="007D47F3">
        <w:rPr>
          <w:rFonts w:ascii="Palatino Linotype" w:eastAsia="Palatino Linotype" w:hAnsi="Palatino Linotype" w:cs="Palatino Linotype"/>
        </w:rPr>
        <w:t xml:space="preserve">Refirió que </w:t>
      </w:r>
      <w:r w:rsidR="001645BF" w:rsidRPr="007D47F3">
        <w:rPr>
          <w:rFonts w:ascii="Palatino Linotype" w:hAnsi="Palatino Linotype"/>
        </w:rPr>
        <w:t>una vez realizada la búsqueda exhaustiva en los archivos electrónicos en el Sistema de Registro Municipal de Unidades económicas (REMUE) del Departamento de Licencias y Permisos, se localizó la información correspondiente al año 2024 del 1 de enero al 31 de diciembre, indicando que se recibieron 27 trámites, de los cuales 18 fueron aprobados por el Cabildo, y proporción los giros correspondientes, como se observa a continuación:</w:t>
      </w:r>
    </w:p>
    <w:p w14:paraId="014C25FD" w14:textId="1B1A61D9" w:rsidR="001645BF" w:rsidRPr="007D47F3" w:rsidRDefault="001645BF" w:rsidP="001645BF">
      <w:pPr>
        <w:spacing w:before="240" w:after="240" w:line="360" w:lineRule="auto"/>
        <w:ind w:right="49"/>
        <w:jc w:val="center"/>
        <w:rPr>
          <w:rFonts w:ascii="Palatino Linotype" w:eastAsia="Palatino Linotype" w:hAnsi="Palatino Linotype" w:cs="Palatino Linotype"/>
        </w:rPr>
      </w:pPr>
      <w:r w:rsidRPr="007D47F3">
        <w:rPr>
          <w:rFonts w:ascii="Palatino Linotype" w:eastAsia="Palatino Linotype" w:hAnsi="Palatino Linotype" w:cs="Palatino Linotype"/>
          <w:noProof/>
        </w:rPr>
        <w:drawing>
          <wp:inline distT="0" distB="0" distL="0" distR="0" wp14:anchorId="4AE7B7A7" wp14:editId="367D55AA">
            <wp:extent cx="3696216" cy="1705213"/>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96216" cy="1705213"/>
                    </a:xfrm>
                    <a:prstGeom prst="rect">
                      <a:avLst/>
                    </a:prstGeom>
                  </pic:spPr>
                </pic:pic>
              </a:graphicData>
            </a:graphic>
          </wp:inline>
        </w:drawing>
      </w:r>
      <w:r w:rsidRPr="007D47F3">
        <w:rPr>
          <w:rFonts w:ascii="Palatino Linotype" w:eastAsia="Palatino Linotype" w:hAnsi="Palatino Linotype" w:cs="Palatino Linotype"/>
          <w:noProof/>
        </w:rPr>
        <w:drawing>
          <wp:inline distT="0" distB="0" distL="0" distR="0" wp14:anchorId="3393FD0B" wp14:editId="4F5F6E61">
            <wp:extent cx="3743847" cy="136226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43847" cy="1362265"/>
                    </a:xfrm>
                    <a:prstGeom prst="rect">
                      <a:avLst/>
                    </a:prstGeom>
                  </pic:spPr>
                </pic:pic>
              </a:graphicData>
            </a:graphic>
          </wp:inline>
        </w:drawing>
      </w:r>
    </w:p>
    <w:p w14:paraId="5037813D" w14:textId="3A414455" w:rsidR="00147C13" w:rsidRPr="007D47F3" w:rsidRDefault="0015484D" w:rsidP="00147C13">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rPr>
        <w:lastRenderedPageBreak/>
        <w:t xml:space="preserve">A partir de lo anterior, </w:t>
      </w:r>
      <w:r w:rsidR="004F4ACD" w:rsidRPr="007D47F3">
        <w:rPr>
          <w:rFonts w:ascii="Palatino Linotype" w:eastAsia="Palatino Linotype" w:hAnsi="Palatino Linotype" w:cs="Palatino Linotype"/>
        </w:rPr>
        <w:t xml:space="preserve">se colige que la respuesta proporcionada por la Secretaría del Ayuntamiento es suficiente para tener por satisfecho el requerimiento </w:t>
      </w:r>
      <w:r w:rsidR="00147C13" w:rsidRPr="007D47F3">
        <w:rPr>
          <w:rFonts w:ascii="Palatino Linotype" w:eastAsia="Palatino Linotype" w:hAnsi="Palatino Linotype" w:cs="Palatino Linotype"/>
        </w:rPr>
        <w:t>relativo a la autorización de las licencias de funcionamiento para el alta al Padrón de Establecimientos Comerciales, Industriales y de Servicios</w:t>
      </w:r>
      <w:r w:rsidR="007D6809" w:rsidRPr="007D47F3">
        <w:rPr>
          <w:rFonts w:ascii="Palatino Linotype" w:eastAsia="Palatino Linotype" w:hAnsi="Palatino Linotype" w:cs="Palatino Linotype"/>
        </w:rPr>
        <w:t xml:space="preserve"> durante el ejercicio 2024</w:t>
      </w:r>
      <w:r w:rsidR="00147C13" w:rsidRPr="007D47F3">
        <w:rPr>
          <w:rFonts w:ascii="Palatino Linotype" w:eastAsia="Palatino Linotype" w:hAnsi="Palatino Linotype" w:cs="Palatino Linotype"/>
        </w:rPr>
        <w:t>,  reiterando que dicha dependencia es responsable de recibir, integrar y enviar a las y los integrantes del Ayuntamiento la documentación relativa a los asuntos a tratar en las sesiones de Cabildo; levantar las actas de las sesiones de Cabildo, el resguardo de las mismas.</w:t>
      </w:r>
    </w:p>
    <w:p w14:paraId="6CA4A3ED" w14:textId="30A392F6" w:rsidR="00147C13" w:rsidRPr="007D47F3" w:rsidRDefault="00147C13" w:rsidP="00147C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Aunado a lo anterior, respecto al pronunciamiento emitido por la persona servidora pública habilitada competente a fin de dar respuesta al requerimiento en </w:t>
      </w:r>
      <w:r w:rsidR="00666115" w:rsidRPr="007D47F3">
        <w:rPr>
          <w:rFonts w:ascii="Palatino Linotype" w:eastAsia="Palatino Linotype" w:hAnsi="Palatino Linotype" w:cs="Palatino Linotype"/>
        </w:rPr>
        <w:t>análisis</w:t>
      </w:r>
      <w:r w:rsidRPr="007D47F3">
        <w:rPr>
          <w:rFonts w:ascii="Palatino Linotype" w:eastAsia="Palatino Linotype" w:hAnsi="Palatino Linotype" w:cs="Palatino Linotype"/>
        </w:rPr>
        <w:t>, este Pleno considera necesario dejar claro que no está facultado para manifestarse sobre la veracidad de la información proporcionada, conforme lo prevé el artículo 36 de la Ley de Transparencia y Acceso a la Información Pública del Estado de México y Municipios.</w:t>
      </w:r>
    </w:p>
    <w:p w14:paraId="5EE4BE1D" w14:textId="4E806BFD" w:rsidR="007D6809" w:rsidRPr="007D47F3" w:rsidRDefault="007D6809" w:rsidP="007D680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Asimismo, es imprescindible mencionar que</w:t>
      </w:r>
      <w:r w:rsidR="003515C9" w:rsidRPr="007D47F3">
        <w:rPr>
          <w:rFonts w:ascii="Palatino Linotype" w:eastAsia="Palatino Linotype" w:hAnsi="Palatino Linotype" w:cs="Palatino Linotype"/>
        </w:rPr>
        <w:t>,</w:t>
      </w:r>
      <w:r w:rsidRPr="007D47F3">
        <w:rPr>
          <w:rFonts w:ascii="Palatino Linotype" w:eastAsia="Palatino Linotype" w:hAnsi="Palatino Linotype" w:cs="Palatino Linotype"/>
        </w:rPr>
        <w:t xml:space="preserve"> de conformidad con el código estructural del Manual de Organización de la Dirección General de Desarrollo Económico, entre las funciones que se le confieren a la Dirección de Atención al Comercio, se encuentran las siguientes:</w:t>
      </w:r>
    </w:p>
    <w:p w14:paraId="76DF314D" w14:textId="4B4C11A4" w:rsidR="007D6809" w:rsidRPr="007D47F3" w:rsidRDefault="007D6809" w:rsidP="007D6809">
      <w:pPr>
        <w:pBdr>
          <w:top w:val="nil"/>
          <w:left w:val="nil"/>
          <w:bottom w:val="nil"/>
          <w:right w:val="nil"/>
          <w:between w:val="nil"/>
        </w:pBdr>
        <w:spacing w:before="240" w:after="240" w:line="360" w:lineRule="auto"/>
        <w:ind w:left="284"/>
        <w:jc w:val="both"/>
        <w:rPr>
          <w:rFonts w:ascii="Palatino Linotype" w:hAnsi="Palatino Linotype"/>
        </w:rPr>
      </w:pPr>
      <w:r w:rsidRPr="007D47F3">
        <w:rPr>
          <w:rFonts w:ascii="Palatino Linotype" w:hAnsi="Palatino Linotype"/>
        </w:rPr>
        <w:t xml:space="preserve">- Autorizar la expedición de licencias de funcionamiento para los giros de bajo, mediano y alto impacto que cumplan con los requisitos señalados en los ordenamientos legales correspondientes; </w:t>
      </w:r>
    </w:p>
    <w:p w14:paraId="04FD2FB8" w14:textId="0D8A7CCE" w:rsidR="007D6809" w:rsidRPr="007D47F3" w:rsidRDefault="007D6809" w:rsidP="007D6809">
      <w:pPr>
        <w:pBdr>
          <w:top w:val="nil"/>
          <w:left w:val="nil"/>
          <w:bottom w:val="nil"/>
          <w:right w:val="nil"/>
          <w:between w:val="nil"/>
        </w:pBdr>
        <w:spacing w:before="240" w:after="240" w:line="360" w:lineRule="auto"/>
        <w:ind w:left="284"/>
        <w:jc w:val="both"/>
        <w:rPr>
          <w:rFonts w:ascii="Palatino Linotype" w:eastAsia="Palatino Linotype" w:hAnsi="Palatino Linotype" w:cs="Palatino Linotype"/>
          <w:u w:val="single"/>
        </w:rPr>
      </w:pPr>
      <w:r w:rsidRPr="007D47F3">
        <w:rPr>
          <w:rFonts w:ascii="Palatino Linotype" w:hAnsi="Palatino Linotype"/>
        </w:rPr>
        <w:lastRenderedPageBreak/>
        <w:t xml:space="preserve">- Registrar, documentar e integrar los expedientes que </w:t>
      </w:r>
      <w:r w:rsidRPr="007D47F3">
        <w:rPr>
          <w:rFonts w:ascii="Palatino Linotype" w:hAnsi="Palatino Linotype"/>
          <w:b/>
        </w:rPr>
        <w:t xml:space="preserve">serán puestos a consideración del H. Ayuntamiento para el otorgamiento de </w:t>
      </w:r>
      <w:r w:rsidRPr="007D47F3">
        <w:rPr>
          <w:rFonts w:ascii="Palatino Linotype" w:hAnsi="Palatino Linotype"/>
          <w:b/>
          <w:u w:val="single"/>
        </w:rPr>
        <w:t>licencias de funcionamiento de giros de alto impacto</w:t>
      </w:r>
      <w:r w:rsidRPr="007D47F3">
        <w:rPr>
          <w:rFonts w:ascii="Palatino Linotype" w:hAnsi="Palatino Linotype"/>
          <w:u w:val="single"/>
        </w:rPr>
        <w:t>;</w:t>
      </w:r>
    </w:p>
    <w:p w14:paraId="501BC6E7" w14:textId="08B909D7" w:rsidR="007D6809" w:rsidRPr="007D47F3" w:rsidRDefault="007D6809" w:rsidP="007D680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De lo anterior se desprende que </w:t>
      </w:r>
      <w:r w:rsidR="00765B1B" w:rsidRPr="007D47F3">
        <w:rPr>
          <w:rFonts w:ascii="Palatino Linotype" w:eastAsia="Palatino Linotype" w:hAnsi="Palatino Linotype" w:cs="Palatino Linotype"/>
        </w:rPr>
        <w:t>el ayuntamiento como cuerpo deliberante es responsable de otorgar licencias de funcionamiento únicamente por lo que se refiere a los establecimientos de giros de alto impacto, por lo que no está facultado para conocer de los establecimientos de bajo y mediano impacto.</w:t>
      </w:r>
    </w:p>
    <w:p w14:paraId="0500ED1E" w14:textId="7D6A837E" w:rsidR="006062DF" w:rsidRPr="007D47F3" w:rsidRDefault="007D6809" w:rsidP="00147C1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No obstante</w:t>
      </w:r>
      <w:r w:rsidR="00147C13" w:rsidRPr="007D47F3">
        <w:rPr>
          <w:rFonts w:ascii="Palatino Linotype" w:eastAsia="Palatino Linotype" w:hAnsi="Palatino Linotype" w:cs="Palatino Linotype"/>
        </w:rPr>
        <w:t xml:space="preserve">, en lo que </w:t>
      </w:r>
      <w:r w:rsidR="00666115" w:rsidRPr="007D47F3">
        <w:rPr>
          <w:rFonts w:ascii="Palatino Linotype" w:eastAsia="Palatino Linotype" w:hAnsi="Palatino Linotype" w:cs="Palatino Linotype"/>
        </w:rPr>
        <w:t>concierne</w:t>
      </w:r>
      <w:r w:rsidR="00147C13" w:rsidRPr="007D47F3">
        <w:rPr>
          <w:rFonts w:ascii="Palatino Linotype" w:eastAsia="Palatino Linotype" w:hAnsi="Palatino Linotype" w:cs="Palatino Linotype"/>
        </w:rPr>
        <w:t xml:space="preserve"> a</w:t>
      </w:r>
      <w:r w:rsidRPr="007D47F3">
        <w:rPr>
          <w:rFonts w:ascii="Palatino Linotype" w:eastAsia="Palatino Linotype" w:hAnsi="Palatino Linotype" w:cs="Palatino Linotype"/>
        </w:rPr>
        <w:t>l número de trámites presentados o ingresados de licencias de funcionamiento para el alta al Padrón de Establecimientos Comerciales, Industriales y de Servicios,</w:t>
      </w:r>
      <w:r w:rsidR="006062DF" w:rsidRPr="007D47F3">
        <w:rPr>
          <w:rFonts w:ascii="Palatino Linotype" w:eastAsia="Palatino Linotype" w:hAnsi="Palatino Linotype" w:cs="Palatino Linotype"/>
        </w:rPr>
        <w:t xml:space="preserve"> así como el número de licencias otorgadas y el giro de estas, </w:t>
      </w:r>
      <w:r w:rsidRPr="007D47F3">
        <w:rPr>
          <w:rFonts w:ascii="Palatino Linotype" w:eastAsia="Palatino Linotype" w:hAnsi="Palatino Linotype" w:cs="Palatino Linotype"/>
        </w:rPr>
        <w:t xml:space="preserve">no pasa inadvertido que la información reportada por la servidora pública habilitada de la Dirección General de </w:t>
      </w:r>
      <w:r w:rsidR="006062DF" w:rsidRPr="007D47F3">
        <w:rPr>
          <w:rFonts w:ascii="Palatino Linotype" w:eastAsia="Palatino Linotype" w:hAnsi="Palatino Linotype" w:cs="Palatino Linotype"/>
        </w:rPr>
        <w:t>Desarrollo Económico no guarda congruencia</w:t>
      </w:r>
      <w:r w:rsidRPr="007D47F3">
        <w:rPr>
          <w:rFonts w:ascii="Palatino Linotype" w:eastAsia="Palatino Linotype" w:hAnsi="Palatino Linotype" w:cs="Palatino Linotype"/>
        </w:rPr>
        <w:t xml:space="preserve"> con la información reportada por la persona servidora Pública de la Secretaría d</w:t>
      </w:r>
      <w:r w:rsidR="006062DF" w:rsidRPr="007D47F3">
        <w:rPr>
          <w:rFonts w:ascii="Palatino Linotype" w:eastAsia="Palatino Linotype" w:hAnsi="Palatino Linotype" w:cs="Palatino Linotype"/>
        </w:rPr>
        <w:t>el Ayuntamiento, dado que esta última reporto 89 licencias de funcionamiento otorgadas por el Cabildo, mientras que la Dirección General de Desarrollo Económico, reportó 18 licencias aprobadas por el Cabildo, de los 27 trámites presentados, sin perder de vista a demás, que la Dirección General de Desarrollo Económico omitió pronunciarse respecto de las licencias otorgadas que no están condicionadas a la aprobación del ayuntamiento, por ejemplo, las correspondientes a giros de bajo y mediano impacto.</w:t>
      </w:r>
    </w:p>
    <w:p w14:paraId="7AD0E30D" w14:textId="5BEEDC84" w:rsidR="002979FD" w:rsidRPr="007D47F3" w:rsidRDefault="006062DF" w:rsidP="002979FD">
      <w:pPr>
        <w:spacing w:before="240" w:after="240" w:line="360" w:lineRule="auto"/>
        <w:ind w:right="51"/>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Bajo esta línea de pensamiento, </w:t>
      </w:r>
      <w:r w:rsidR="002979FD" w:rsidRPr="007D47F3">
        <w:rPr>
          <w:rFonts w:ascii="Palatino Linotype" w:eastAsia="Palatino Linotype" w:hAnsi="Palatino Linotype" w:cs="Palatino Linotype"/>
        </w:rPr>
        <w:t xml:space="preserve">dado que el pronunciamiento de la Dirección General de Desarrollo Económico no brinda certeza sobre la información generada, administrada y/o poseída por esta, es que no puede tenerse por satisfecho el derecho </w:t>
      </w:r>
      <w:r w:rsidR="002979FD" w:rsidRPr="007D47F3">
        <w:rPr>
          <w:rFonts w:ascii="Palatino Linotype" w:eastAsia="Palatino Linotype" w:hAnsi="Palatino Linotype" w:cs="Palatino Linotype"/>
        </w:rPr>
        <w:lastRenderedPageBreak/>
        <w:t xml:space="preserve">de acceso a la información de la parte </w:t>
      </w:r>
      <w:r w:rsidR="002979FD" w:rsidRPr="007D47F3">
        <w:rPr>
          <w:rFonts w:ascii="Palatino Linotype" w:eastAsia="Palatino Linotype" w:hAnsi="Palatino Linotype" w:cs="Palatino Linotype"/>
          <w:b/>
        </w:rPr>
        <w:t xml:space="preserve">Recurrente, </w:t>
      </w:r>
      <w:r w:rsidR="002979FD" w:rsidRPr="007D47F3">
        <w:rPr>
          <w:rFonts w:ascii="Palatino Linotype" w:eastAsia="Palatino Linotype" w:hAnsi="Palatino Linotype" w:cs="Palatino Linotype"/>
        </w:rPr>
        <w:t>y por consiguiente se estima dable ordenar que previa búsqueda exhaustiva y razonable se haga entrega del soporte documental en el que conste la información estadística solicitada, en versión pública de ser procedente.</w:t>
      </w:r>
    </w:p>
    <w:p w14:paraId="3AA35B2A" w14:textId="77777777" w:rsidR="002979FD" w:rsidRPr="007D47F3" w:rsidRDefault="002979FD" w:rsidP="002979FD">
      <w:pPr>
        <w:spacing w:before="240" w:after="240" w:line="360" w:lineRule="auto"/>
        <w:ind w:right="51"/>
        <w:jc w:val="both"/>
        <w:rPr>
          <w:rFonts w:ascii="Palatino Linotype" w:eastAsia="Palatino Linotype" w:hAnsi="Palatino Linotype" w:cs="Palatino Linotype"/>
        </w:rPr>
      </w:pPr>
      <w:r w:rsidRPr="007D47F3">
        <w:rPr>
          <w:rFonts w:ascii="Palatino Linotype" w:eastAsia="Palatino Linotype" w:hAnsi="Palatino Linotype" w:cs="Palatino Linotype"/>
        </w:rPr>
        <w:t>Sirve de apoyo a lo anterior, el Criterio orientador con clave de control SO/008/2023, emitido por el entonces Instituto Nacional de Transparencia y Acceso a la Información y Protección de Datos Personales, INAI, de rubro y texto siguientes:</w:t>
      </w:r>
    </w:p>
    <w:p w14:paraId="27ED3466" w14:textId="77777777" w:rsidR="002979FD" w:rsidRPr="007D47F3" w:rsidRDefault="002979FD" w:rsidP="002979FD">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 xml:space="preserve">Ejercicio del derecho de Acceso a la Información Pública. La información estadística es de naturaleza pública, independientemente de la materia con la que se encuentre vinculada. </w:t>
      </w:r>
      <w:r w:rsidRPr="007D47F3">
        <w:rPr>
          <w:rFonts w:ascii="Palatino Linotype" w:eastAsia="Palatino Linotype" w:hAnsi="Palatino Linotype" w:cs="Palatino Linotype"/>
          <w:i/>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7D47F3">
        <w:rPr>
          <w:rFonts w:ascii="Palatino Linotype" w:eastAsia="Palatino Linotype" w:hAnsi="Palatino Linotype" w:cs="Palatino Linotype"/>
          <w:b/>
          <w:i/>
          <w:sz w:val="22"/>
          <w:szCs w:val="22"/>
        </w:rPr>
        <w:t>los sujetos obligados deberán poner a disposición del público, entre otra, la relativa a la que con base en la información estadística</w:t>
      </w:r>
      <w:r w:rsidRPr="007D47F3">
        <w:rPr>
          <w:rFonts w:ascii="Palatino Linotype" w:eastAsia="Palatino Linotype" w:hAnsi="Palatino Linotype" w:cs="Palatino Linotype"/>
          <w:i/>
          <w:sz w:val="22"/>
          <w:szCs w:val="22"/>
        </w:rPr>
        <w:t xml:space="preserve">, responda a las preguntas hechas con más frecuencia por el público, por lo que es posible afirmar que la información estadística es de naturaleza pública, </w:t>
      </w:r>
      <w:r w:rsidRPr="007D47F3">
        <w:rPr>
          <w:rFonts w:ascii="Palatino Linotype" w:eastAsia="Palatino Linotype" w:hAnsi="Palatino Linotype" w:cs="Palatino Linotype"/>
          <w:b/>
          <w:i/>
          <w:sz w:val="22"/>
          <w:szCs w:val="22"/>
        </w:rPr>
        <w:t>siempre y cuando los datos estadísticos no se encuentren individualizados o personalizados a casos o situaciones específicas,</w:t>
      </w:r>
      <w:r w:rsidRPr="007D47F3">
        <w:rPr>
          <w:rFonts w:ascii="Palatino Linotype" w:eastAsia="Palatino Linotype" w:hAnsi="Palatino Linotype" w:cs="Palatino Linotype"/>
          <w:i/>
          <w:sz w:val="22"/>
          <w:szCs w:val="22"/>
        </w:rPr>
        <w:t xml:space="preserve"> que pudieran llegar a justificar su clasificación.”</w:t>
      </w:r>
    </w:p>
    <w:p w14:paraId="383E6F6C" w14:textId="0E8A155F" w:rsidR="001C3B0E" w:rsidRPr="007D47F3" w:rsidRDefault="007B3381" w:rsidP="007B33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Además, no obsta mencionar que de conformidad con el código estructural 210013001 del Manual de Organización de la Dirección General de Desarrollo Económico, </w:t>
      </w:r>
      <w:r w:rsidR="001C3B0E" w:rsidRPr="007D47F3">
        <w:rPr>
          <w:rFonts w:ascii="Palatino Linotype" w:eastAsia="Palatino Linotype" w:hAnsi="Palatino Linotype" w:cs="Palatino Linotype"/>
        </w:rPr>
        <w:t>Departamento de Licencias y Permisos el cual se encuentra adscrito a la Dirección de Atención al Comercio de la Dirección General de Desarrollo Económico, está obligado a e</w:t>
      </w:r>
      <w:r w:rsidR="001C3B0E" w:rsidRPr="007D47F3">
        <w:rPr>
          <w:rFonts w:ascii="Palatino Linotype" w:hAnsi="Palatino Linotype"/>
        </w:rPr>
        <w:t xml:space="preserve">laborar y presentar un informe diario sobre el </w:t>
      </w:r>
      <w:r w:rsidR="001C3B0E" w:rsidRPr="007D47F3">
        <w:rPr>
          <w:rFonts w:ascii="Palatino Linotype" w:hAnsi="Palatino Linotype"/>
          <w:b/>
        </w:rPr>
        <w:t>número de solicitudes ingresadas</w:t>
      </w:r>
      <w:r w:rsidR="001C3B0E" w:rsidRPr="007D47F3">
        <w:rPr>
          <w:rFonts w:ascii="Palatino Linotype" w:hAnsi="Palatino Linotype"/>
        </w:rPr>
        <w:t xml:space="preserve"> y </w:t>
      </w:r>
      <w:r w:rsidR="001C3B0E" w:rsidRPr="007D47F3">
        <w:rPr>
          <w:rFonts w:ascii="Palatino Linotype" w:hAnsi="Palatino Linotype"/>
          <w:b/>
        </w:rPr>
        <w:t>el total de licencias expedidas,</w:t>
      </w:r>
      <w:r w:rsidR="001C3B0E" w:rsidRPr="007D47F3">
        <w:rPr>
          <w:rFonts w:ascii="Palatino Linotype" w:hAnsi="Palatino Linotype"/>
        </w:rPr>
        <w:t xml:space="preserve"> así como de las </w:t>
      </w:r>
      <w:r w:rsidR="001C3B0E" w:rsidRPr="007D47F3">
        <w:rPr>
          <w:rFonts w:ascii="Palatino Linotype" w:hAnsi="Palatino Linotype"/>
        </w:rPr>
        <w:lastRenderedPageBreak/>
        <w:t>revalidaciones, permisos provisionales, modificaciones o bajas realizadas; por lo que se estima que es competente para dar cumplimiento a la presente resolución.</w:t>
      </w:r>
    </w:p>
    <w:p w14:paraId="7371E2A1" w14:textId="4C932F18" w:rsidR="00D10E68" w:rsidRPr="007D47F3" w:rsidRDefault="002979FD" w:rsidP="00D10E68">
      <w:pPr>
        <w:pStyle w:val="NormalWeb"/>
        <w:spacing w:before="240" w:beforeAutospacing="0" w:after="240" w:afterAutospacing="0" w:line="360" w:lineRule="auto"/>
        <w:ind w:right="96"/>
        <w:jc w:val="both"/>
      </w:pPr>
      <w:r w:rsidRPr="007D47F3">
        <w:rPr>
          <w:rFonts w:ascii="Palatino Linotype" w:eastAsia="Palatino Linotype" w:hAnsi="Palatino Linotype" w:cs="Palatino Linotype"/>
        </w:rPr>
        <w:t xml:space="preserve">Finalmente, no escapa de la óptica </w:t>
      </w:r>
      <w:r w:rsidR="001C3B0E" w:rsidRPr="007D47F3">
        <w:rPr>
          <w:rFonts w:ascii="Palatino Linotype" w:eastAsia="Palatino Linotype" w:hAnsi="Palatino Linotype" w:cs="Palatino Linotype"/>
        </w:rPr>
        <w:t>de este Organismo Garante que</w:t>
      </w:r>
      <w:r w:rsidR="003515C9" w:rsidRPr="007D47F3">
        <w:rPr>
          <w:rFonts w:ascii="Palatino Linotype" w:eastAsia="Palatino Linotype" w:hAnsi="Palatino Linotype" w:cs="Palatino Linotype"/>
        </w:rPr>
        <w:t>,</w:t>
      </w:r>
      <w:r w:rsidR="001C3B0E" w:rsidRPr="007D47F3">
        <w:rPr>
          <w:rFonts w:ascii="Palatino Linotype" w:eastAsia="Palatino Linotype" w:hAnsi="Palatino Linotype" w:cs="Palatino Linotype"/>
        </w:rPr>
        <w:t xml:space="preserve"> en su recurso de revisión, la persona solicitante alegó que la prórroga notificada por el Sujeto Obligado para emitir respuesta a la solicitud se encontraba fuera de tiempo</w:t>
      </w:r>
      <w:r w:rsidR="00D10E68" w:rsidRPr="007D47F3">
        <w:rPr>
          <w:rFonts w:ascii="Palatino Linotype" w:eastAsia="Palatino Linotype" w:hAnsi="Palatino Linotype" w:cs="Palatino Linotype"/>
        </w:rPr>
        <w:t xml:space="preserve">, por lo que es </w:t>
      </w:r>
      <w:r w:rsidR="00D10E68" w:rsidRPr="007D47F3">
        <w:rPr>
          <w:rFonts w:ascii="Palatino Linotype" w:eastAsia="MS Mincho" w:hAnsi="Palatino Linotype"/>
        </w:rPr>
        <w:t xml:space="preserve">necesario apuntar que </w:t>
      </w:r>
      <w:r w:rsidR="00D10E68" w:rsidRPr="007D47F3">
        <w:rPr>
          <w:rFonts w:ascii="Palatino Linotype" w:hAnsi="Palatino Linotype"/>
        </w:rPr>
        <w:t>de conformidad con el artículo 163 de la Ley de Transparencia local, la prórroga debe darse en los siguientes términos:</w:t>
      </w:r>
    </w:p>
    <w:p w14:paraId="73102E66" w14:textId="77777777" w:rsidR="00D10E68" w:rsidRPr="007D47F3" w:rsidRDefault="00D10E68" w:rsidP="00D10E68">
      <w:pPr>
        <w:pStyle w:val="NormalWeb"/>
        <w:spacing w:before="240" w:beforeAutospacing="0" w:after="240" w:afterAutospacing="0"/>
        <w:ind w:left="851" w:right="993"/>
        <w:jc w:val="both"/>
      </w:pPr>
      <w:r w:rsidRPr="007D47F3">
        <w:rPr>
          <w:rFonts w:ascii="Palatino Linotype" w:hAnsi="Palatino Linotype"/>
          <w:i/>
          <w:iCs/>
          <w:sz w:val="22"/>
          <w:szCs w:val="22"/>
        </w:rPr>
        <w:t>“</w:t>
      </w:r>
      <w:r w:rsidRPr="007D47F3">
        <w:rPr>
          <w:rFonts w:ascii="Palatino Linotype" w:hAnsi="Palatino Linotype"/>
          <w:b/>
          <w:i/>
          <w:iCs/>
          <w:sz w:val="22"/>
          <w:szCs w:val="22"/>
        </w:rPr>
        <w:t>Artículo 163.</w:t>
      </w:r>
      <w:r w:rsidRPr="007D47F3">
        <w:rPr>
          <w:rFonts w:ascii="Palatino Linotype" w:hAnsi="Palatino Linotype"/>
          <w:i/>
          <w:iCs/>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w:t>
      </w:r>
      <w:r w:rsidRPr="007D47F3">
        <w:rPr>
          <w:rFonts w:ascii="Palatino Linotype" w:hAnsi="Palatino Linotype"/>
          <w:b/>
          <w:bCs/>
          <w:i/>
          <w:iCs/>
          <w:sz w:val="22"/>
          <w:szCs w:val="22"/>
        </w:rPr>
        <w:t>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w:t>
      </w:r>
      <w:r w:rsidRPr="007D47F3">
        <w:rPr>
          <w:rFonts w:ascii="Palatino Linotype" w:hAnsi="Palatino Linotype"/>
          <w:i/>
          <w:iCs/>
          <w:sz w:val="22"/>
          <w:szCs w:val="22"/>
        </w:rPr>
        <w:t>, antes de su vencimiento. No podrán invocarse como causales de ampliación del plazo motivos que supongan negligencia o descuido del sujeto obligado en el desahogo de la solicitud.” (Sic)</w:t>
      </w:r>
    </w:p>
    <w:p w14:paraId="343F5270" w14:textId="0CCDD92E" w:rsidR="00D10E68" w:rsidRPr="007D47F3" w:rsidRDefault="00D10E68" w:rsidP="00D10E68">
      <w:pPr>
        <w:spacing w:before="240" w:after="240" w:line="360" w:lineRule="auto"/>
        <w:ind w:right="62"/>
        <w:jc w:val="both"/>
        <w:rPr>
          <w:rFonts w:ascii="Palatino Linotype" w:eastAsia="MS Mincho" w:hAnsi="Palatino Linotype"/>
        </w:rPr>
      </w:pPr>
      <w:r w:rsidRPr="007D47F3">
        <w:rPr>
          <w:rFonts w:ascii="Palatino Linotype" w:hAnsi="Palatino Linotype"/>
        </w:rPr>
        <w:t xml:space="preserve">De manera que dentro del trámite a la solicitud de información, se prevé que, de ser el caso en el que se requiera ampliar el plazo, deberán existir razones fundadas y motivadas, las cuales serán asentadas en una resolución emitida por el Comité de Transparencia y posteriormente este documento se notificará al solicitante antes del vencimiento del plazo, situación que en el presente caso no aconteció puesto que la prórroga debió notificarse a más tardar el día diez de abril de dos mil veinticinco, sin embargo, esta se notificó hasta el día veintitrés de abril de la misma anualidad, y es por ello que </w:t>
      </w:r>
      <w:r w:rsidRPr="007D47F3">
        <w:rPr>
          <w:rFonts w:ascii="Palatino Linotype" w:hAnsi="Palatino Linotype"/>
          <w:bCs/>
        </w:rPr>
        <w:t>la parte</w:t>
      </w:r>
      <w:r w:rsidRPr="007D47F3">
        <w:rPr>
          <w:rFonts w:ascii="Palatino Linotype" w:hAnsi="Palatino Linotype"/>
          <w:b/>
          <w:bCs/>
        </w:rPr>
        <w:t xml:space="preserve"> </w:t>
      </w:r>
      <w:r w:rsidRPr="007D47F3">
        <w:rPr>
          <w:rFonts w:ascii="Palatino Linotype" w:hAnsi="Palatino Linotype"/>
          <w:bCs/>
        </w:rPr>
        <w:t>Recurrente</w:t>
      </w:r>
      <w:r w:rsidRPr="007D47F3">
        <w:rPr>
          <w:rFonts w:ascii="Palatino Linotype" w:hAnsi="Palatino Linotype"/>
        </w:rPr>
        <w:t xml:space="preserve"> argumenta esta circunstancia, no obstante, </w:t>
      </w:r>
      <w:r w:rsidRPr="007D47F3">
        <w:rPr>
          <w:rFonts w:ascii="Palatino Linotype" w:eastAsia="MS Mincho" w:hAnsi="Palatino Linotype"/>
        </w:rPr>
        <w:t xml:space="preserve">el Recurso de Revisión, no es el medio para subsanar faltas u omisiones procesales, por lo que dicha manifestación no encuadra en algún supuesto de procedencia </w:t>
      </w:r>
      <w:r w:rsidRPr="007D47F3">
        <w:rPr>
          <w:rFonts w:ascii="Palatino Linotype" w:eastAsia="MS Mincho" w:hAnsi="Palatino Linotype"/>
        </w:rPr>
        <w:lastRenderedPageBreak/>
        <w:t>establecido en el artículo 179</w:t>
      </w:r>
      <w:r w:rsidRPr="007D47F3">
        <w:rPr>
          <w:rStyle w:val="Refdenotaalpie"/>
          <w:rFonts w:ascii="Palatino Linotype" w:eastAsia="MS Mincho" w:hAnsi="Palatino Linotype"/>
        </w:rPr>
        <w:footnoteReference w:id="1"/>
      </w:r>
      <w:r w:rsidRPr="007D47F3">
        <w:rPr>
          <w:rFonts w:ascii="Palatino Linotype" w:eastAsia="MS Mincho" w:hAnsi="Palatino Linotype"/>
        </w:rPr>
        <w:t xml:space="preserve"> de la Ley de Transparencia y Acceso a la Información Pública, determinándose improcedente su estudio. </w:t>
      </w:r>
    </w:p>
    <w:p w14:paraId="7C4A6A0D" w14:textId="77777777" w:rsidR="00D10E68" w:rsidRPr="007D47F3" w:rsidRDefault="00D10E68" w:rsidP="00D10E68">
      <w:pPr>
        <w:spacing w:before="240" w:after="240" w:line="360" w:lineRule="auto"/>
        <w:ind w:right="62"/>
        <w:jc w:val="both"/>
        <w:rPr>
          <w:rFonts w:ascii="Palatino Linotype" w:eastAsia="MS Mincho" w:hAnsi="Palatino Linotype"/>
        </w:rPr>
      </w:pPr>
      <w:r w:rsidRPr="007D47F3">
        <w:rPr>
          <w:rFonts w:ascii="Palatino Linotype" w:eastAsia="MS Mincho" w:hAnsi="Palatino Linotype" w:cs="Arial"/>
        </w:rPr>
        <w:t xml:space="preserve">Y, si bien la falta de la tramitación el acuerdo de prórroga resulta ser una inconsistencia procesal y ello no impide que se sustancien los medios de impugnación, </w:t>
      </w:r>
      <w:r w:rsidRPr="007D47F3">
        <w:rPr>
          <w:rFonts w:ascii="Palatino Linotype" w:eastAsia="MS Mincho" w:hAnsi="Palatino Linotype" w:cs="Arial"/>
          <w:b/>
          <w:u w:val="single"/>
        </w:rPr>
        <w:t>se insta al Sujeto Obligado a desarrollar, en lo subsecuente, y con mayor diligencia el Procedimiento de Acceso a la Información Pública</w:t>
      </w:r>
      <w:r w:rsidRPr="007D47F3">
        <w:rPr>
          <w:rFonts w:ascii="Palatino Linotype" w:eastAsia="MS Mincho" w:hAnsi="Palatino Linotype" w:cs="Arial"/>
          <w:vertAlign w:val="superscript"/>
        </w:rPr>
        <w:footnoteReference w:id="2"/>
      </w:r>
      <w:r w:rsidRPr="007D47F3">
        <w:rPr>
          <w:rFonts w:ascii="Palatino Linotype" w:eastAsia="MS Mincho" w:hAnsi="Palatino Linotype" w:cs="Arial"/>
        </w:rPr>
        <w:t>.</w:t>
      </w:r>
    </w:p>
    <w:p w14:paraId="2ECB8D39" w14:textId="745A4FF9" w:rsidR="002979FD" w:rsidRPr="007D47F3" w:rsidRDefault="002979FD" w:rsidP="002979FD">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De lo hasta aquí expuesto, se concluye que los motivos de inconformidad de la parte </w:t>
      </w:r>
      <w:r w:rsidRPr="007D47F3">
        <w:rPr>
          <w:rFonts w:ascii="Palatino Linotype" w:eastAsia="Palatino Linotype" w:hAnsi="Palatino Linotype" w:cs="Palatino Linotype"/>
          <w:b/>
        </w:rPr>
        <w:t xml:space="preserve">Recurrente </w:t>
      </w:r>
      <w:r w:rsidRPr="007D47F3">
        <w:rPr>
          <w:rFonts w:ascii="Palatino Linotype" w:eastAsia="Palatino Linotype" w:hAnsi="Palatino Linotype" w:cs="Palatino Linotype"/>
        </w:rPr>
        <w:t xml:space="preserve">devienen fundados, siendo procedente </w:t>
      </w:r>
      <w:r w:rsidRPr="007D47F3">
        <w:rPr>
          <w:rFonts w:ascii="Palatino Linotype" w:eastAsia="Palatino Linotype" w:hAnsi="Palatino Linotype" w:cs="Palatino Linotype"/>
          <w:i/>
        </w:rPr>
        <w:t xml:space="preserve">Modificar </w:t>
      </w:r>
      <w:r w:rsidRPr="007D47F3">
        <w:rPr>
          <w:rFonts w:ascii="Palatino Linotype" w:eastAsia="Palatino Linotype" w:hAnsi="Palatino Linotype" w:cs="Palatino Linotype"/>
        </w:rPr>
        <w:t xml:space="preserve">la respuesta proporcionada por el </w:t>
      </w:r>
      <w:r w:rsidRPr="007D47F3">
        <w:rPr>
          <w:rFonts w:ascii="Palatino Linotype" w:eastAsia="Palatino Linotype" w:hAnsi="Palatino Linotype" w:cs="Palatino Linotype"/>
          <w:b/>
        </w:rPr>
        <w:t xml:space="preserve">Sujeto Obligado </w:t>
      </w:r>
      <w:r w:rsidRPr="007D47F3">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C4C24C3" w14:textId="77777777" w:rsidR="00D10E68" w:rsidRPr="007D47F3" w:rsidRDefault="00D10E68" w:rsidP="00D10E68">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b/>
        </w:rPr>
        <w:t>Quinto. Versión Pública.</w:t>
      </w:r>
      <w:r w:rsidRPr="007D47F3">
        <w:rPr>
          <w:rFonts w:ascii="Palatino Linotype" w:eastAsia="Palatino Linotype" w:hAnsi="Palatino Linotype" w:cs="Palatino Linotype"/>
          <w:sz w:val="28"/>
          <w:szCs w:val="28"/>
        </w:rPr>
        <w:t xml:space="preserve"> </w:t>
      </w:r>
      <w:r w:rsidRPr="007D47F3">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7D47F3">
        <w:rPr>
          <w:rFonts w:ascii="Palatino Linotype" w:eastAsia="Palatino Linotype" w:hAnsi="Palatino Linotype" w:cs="Palatino Linotype"/>
          <w:b/>
        </w:rPr>
        <w:t>Sujeto Obligado</w:t>
      </w:r>
      <w:r w:rsidRPr="007D47F3">
        <w:rPr>
          <w:rFonts w:ascii="Palatino Linotype" w:eastAsia="Palatino Linotype" w:hAnsi="Palatino Linotype" w:cs="Palatino Linotype"/>
        </w:rPr>
        <w:t xml:space="preserve"> deberá hacer la elaboración de la versión pública de tales documentos a fin de satisfacer el </w:t>
      </w:r>
      <w:r w:rsidRPr="007D47F3">
        <w:rPr>
          <w:rFonts w:ascii="Palatino Linotype" w:eastAsia="Palatino Linotype" w:hAnsi="Palatino Linotype" w:cs="Palatino Linotype"/>
        </w:rPr>
        <w:lastRenderedPageBreak/>
        <w:t xml:space="preserve">derecho de acceso a la información pública de la parte </w:t>
      </w:r>
      <w:r w:rsidRPr="007D47F3">
        <w:rPr>
          <w:rFonts w:ascii="Palatino Linotype" w:eastAsia="Palatino Linotype" w:hAnsi="Palatino Linotype" w:cs="Palatino Linotype"/>
          <w:b/>
        </w:rPr>
        <w:t>Recurrente</w:t>
      </w:r>
      <w:r w:rsidRPr="007D47F3">
        <w:rPr>
          <w:rFonts w:ascii="Palatino Linotype" w:eastAsia="Palatino Linotype" w:hAnsi="Palatino Linotype" w:cs="Palatino Linotype"/>
        </w:rPr>
        <w:t xml:space="preserve"> sin menoscabo al derecho a la protección de los datos personales de terceros.</w:t>
      </w:r>
    </w:p>
    <w:p w14:paraId="302B015E" w14:textId="77777777" w:rsidR="00D10E68" w:rsidRPr="007D47F3" w:rsidRDefault="00D10E68" w:rsidP="00D10E68">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7CE03349"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Artículo 3</w:t>
      </w:r>
      <w:r w:rsidRPr="007D47F3">
        <w:rPr>
          <w:rFonts w:ascii="Palatino Linotype" w:eastAsia="Palatino Linotype" w:hAnsi="Palatino Linotype" w:cs="Palatino Linotype"/>
          <w:i/>
          <w:sz w:val="22"/>
          <w:szCs w:val="22"/>
        </w:rPr>
        <w:t>. Para los efectos de la presente Ley se entenderá por:</w:t>
      </w:r>
    </w:p>
    <w:p w14:paraId="401C63F1"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p>
    <w:p w14:paraId="1C32E819"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IX. Datos personales</w:t>
      </w:r>
      <w:r w:rsidRPr="007D47F3">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67FECEDC"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XX. Información clasificada</w:t>
      </w:r>
      <w:r w:rsidRPr="007D47F3">
        <w:rPr>
          <w:rFonts w:ascii="Palatino Linotype" w:eastAsia="Palatino Linotype" w:hAnsi="Palatino Linotype" w:cs="Palatino Linotype"/>
          <w:i/>
          <w:sz w:val="22"/>
          <w:szCs w:val="22"/>
        </w:rPr>
        <w:t>: Aquella considerada por la presente Ley como reservada o confidencial;</w:t>
      </w:r>
    </w:p>
    <w:p w14:paraId="3552CE93"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 xml:space="preserve">XXI. Información confidencial: </w:t>
      </w:r>
      <w:r w:rsidRPr="007D47F3">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CBB285"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XLV. Versión pública:</w:t>
      </w:r>
      <w:r w:rsidRPr="007D47F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58C7F58"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p>
    <w:p w14:paraId="09FE2372"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Artículo 91.</w:t>
      </w:r>
      <w:r w:rsidRPr="007D47F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5A28309"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Artículo 132.</w:t>
      </w:r>
      <w:r w:rsidRPr="007D47F3">
        <w:rPr>
          <w:rFonts w:ascii="Palatino Linotype" w:eastAsia="Palatino Linotype" w:hAnsi="Palatino Linotype" w:cs="Palatino Linotype"/>
          <w:i/>
          <w:sz w:val="22"/>
          <w:szCs w:val="22"/>
        </w:rPr>
        <w:t xml:space="preserve"> La clasificación de la información se llevará a cabo en el momento en que:</w:t>
      </w:r>
    </w:p>
    <w:p w14:paraId="7689DA11"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w:t>
      </w:r>
      <w:r w:rsidRPr="007D47F3">
        <w:rPr>
          <w:rFonts w:ascii="Palatino Linotype" w:eastAsia="Palatino Linotype" w:hAnsi="Palatino Linotype" w:cs="Palatino Linotype"/>
          <w:i/>
          <w:sz w:val="22"/>
          <w:szCs w:val="22"/>
        </w:rPr>
        <w:t>. Se reciba una solicitud de acceso a la información;</w:t>
      </w:r>
    </w:p>
    <w:p w14:paraId="217FAA4D"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w:t>
      </w:r>
      <w:r w:rsidRPr="007D47F3">
        <w:rPr>
          <w:rFonts w:ascii="Palatino Linotype" w:eastAsia="Palatino Linotype" w:hAnsi="Palatino Linotype" w:cs="Palatino Linotype"/>
          <w:i/>
          <w:sz w:val="22"/>
          <w:szCs w:val="22"/>
        </w:rPr>
        <w:t xml:space="preserve"> Se determine mediante resolución de autoridad competente; o</w:t>
      </w:r>
    </w:p>
    <w:p w14:paraId="39B503A5"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III.</w:t>
      </w:r>
      <w:r w:rsidRPr="007D47F3">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059A934"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w:t>
      </w:r>
    </w:p>
    <w:p w14:paraId="3ABD2F0B"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lastRenderedPageBreak/>
        <w:t>Artículo 137.</w:t>
      </w:r>
      <w:r w:rsidRPr="007D47F3">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6C29C48" w14:textId="77777777" w:rsidR="00D10E68" w:rsidRPr="007D47F3" w:rsidRDefault="00D10E68" w:rsidP="00D10E68">
      <w:pPr>
        <w:spacing w:before="120" w:after="120"/>
        <w:ind w:left="851" w:right="902"/>
        <w:jc w:val="both"/>
        <w:rPr>
          <w:rFonts w:ascii="Palatino Linotype" w:eastAsia="Palatino Linotype" w:hAnsi="Palatino Linotype" w:cs="Palatino Linotype"/>
          <w:b/>
          <w:i/>
          <w:sz w:val="22"/>
          <w:szCs w:val="22"/>
        </w:rPr>
      </w:pPr>
      <w:r w:rsidRPr="007D47F3">
        <w:rPr>
          <w:rFonts w:ascii="Palatino Linotype" w:eastAsia="Palatino Linotype" w:hAnsi="Palatino Linotype" w:cs="Palatino Linotype"/>
          <w:b/>
          <w:i/>
          <w:sz w:val="22"/>
          <w:szCs w:val="22"/>
        </w:rPr>
        <w:t>…</w:t>
      </w:r>
    </w:p>
    <w:p w14:paraId="72F21D1E"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Artículo 143</w:t>
      </w:r>
      <w:r w:rsidRPr="007D47F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D53F31F"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w:t>
      </w:r>
      <w:r w:rsidRPr="007D47F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8A2C368" w14:textId="77777777" w:rsidR="00D10E68" w:rsidRPr="007D47F3" w:rsidRDefault="00D10E68" w:rsidP="00D10E68">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72F29C7" w14:textId="77777777" w:rsidR="00D10E68" w:rsidRPr="007D47F3" w:rsidRDefault="00D10E68" w:rsidP="00D10E68">
      <w:pPr>
        <w:spacing w:before="240" w:after="240" w:line="360" w:lineRule="auto"/>
        <w:ind w:right="50"/>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7D47F3">
        <w:rPr>
          <w:rFonts w:ascii="Palatino Linotype" w:eastAsia="Palatino Linotype" w:hAnsi="Palatino Linotype" w:cs="Palatino Linotype"/>
          <w:b/>
        </w:rPr>
        <w:t>Sujeto Obligado</w:t>
      </w:r>
      <w:r w:rsidRPr="007D47F3">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w:t>
      </w:r>
      <w:r w:rsidRPr="007D47F3">
        <w:rPr>
          <w:rFonts w:ascii="Palatino Linotype" w:eastAsia="Palatino Linotype" w:hAnsi="Palatino Linotype" w:cs="Palatino Linotype"/>
        </w:rPr>
        <w:lastRenderedPageBreak/>
        <w:t>pueda dar origen a discriminación o conlleven un riesgo grave para aquel de acuerdo a los que señala la fracción XII del artículo 4 de la Ley de Protección de Datos Personales en posesión de Sujeto Obligados del Estado de México.</w:t>
      </w:r>
    </w:p>
    <w:p w14:paraId="3762653A" w14:textId="77777777" w:rsidR="00D10E68" w:rsidRPr="007D47F3" w:rsidRDefault="00D10E68" w:rsidP="00D10E68">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D47F3">
        <w:rPr>
          <w:rFonts w:ascii="Palatino Linotype" w:eastAsia="Palatino Linotype" w:hAnsi="Palatino Linotype" w:cs="Palatino Linotype"/>
          <w:b/>
        </w:rPr>
        <w:t>Sujeto Obligado</w:t>
      </w:r>
      <w:r w:rsidRPr="007D47F3">
        <w:rPr>
          <w:rFonts w:ascii="Palatino Linotype" w:eastAsia="Palatino Linotype" w:hAnsi="Palatino Linotype" w:cs="Palatino Linotype"/>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4D222CF" w14:textId="77777777" w:rsidR="00D10E68" w:rsidRPr="007D47F3" w:rsidRDefault="00D10E68" w:rsidP="00D10E6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Respecto a las formalidades que deberá llevar el acuerdo de clasificación que deberá emitir el </w:t>
      </w:r>
      <w:r w:rsidRPr="007D47F3">
        <w:rPr>
          <w:rFonts w:ascii="Palatino Linotype" w:eastAsia="Palatino Linotype" w:hAnsi="Palatino Linotype" w:cs="Palatino Linotype"/>
          <w:b/>
        </w:rPr>
        <w:t>Sujeto Obligado</w:t>
      </w:r>
      <w:r w:rsidRPr="007D47F3">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1C8E36A5"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 xml:space="preserve"> “Quincuagésimo. </w:t>
      </w:r>
      <w:r w:rsidRPr="007D47F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6D30A72" w14:textId="77777777" w:rsidR="00D10E68" w:rsidRPr="007D47F3" w:rsidRDefault="00D10E68" w:rsidP="00D10E6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 xml:space="preserve">Quincuagésimo primero. </w:t>
      </w:r>
      <w:r w:rsidRPr="007D47F3">
        <w:rPr>
          <w:rFonts w:ascii="Palatino Linotype" w:eastAsia="Palatino Linotype" w:hAnsi="Palatino Linotype" w:cs="Palatino Linotype"/>
          <w:i/>
          <w:sz w:val="22"/>
          <w:szCs w:val="22"/>
        </w:rPr>
        <w:t xml:space="preserve">Toda acta del Comité de Transparencia deberá contener: </w:t>
      </w:r>
    </w:p>
    <w:p w14:paraId="39447B3A"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lastRenderedPageBreak/>
        <w:t>I.</w:t>
      </w:r>
      <w:r w:rsidRPr="007D47F3">
        <w:rPr>
          <w:rFonts w:ascii="Palatino Linotype" w:eastAsia="Palatino Linotype" w:hAnsi="Palatino Linotype" w:cs="Palatino Linotype"/>
          <w:i/>
          <w:sz w:val="22"/>
          <w:szCs w:val="22"/>
        </w:rPr>
        <w:t xml:space="preserve"> El número de sesión y fecha; </w:t>
      </w:r>
    </w:p>
    <w:p w14:paraId="1338224F"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w:t>
      </w:r>
      <w:r w:rsidRPr="007D47F3">
        <w:rPr>
          <w:rFonts w:ascii="Palatino Linotype" w:eastAsia="Palatino Linotype" w:hAnsi="Palatino Linotype" w:cs="Palatino Linotype"/>
          <w:i/>
          <w:sz w:val="22"/>
          <w:szCs w:val="22"/>
        </w:rPr>
        <w:t xml:space="preserve">. El nombre del área que solicitó la clasificación de información; </w:t>
      </w:r>
    </w:p>
    <w:p w14:paraId="6B88FA0D"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III</w:t>
      </w:r>
      <w:r w:rsidRPr="007D47F3">
        <w:rPr>
          <w:rFonts w:ascii="Palatino Linotype" w:eastAsia="Palatino Linotype" w:hAnsi="Palatino Linotype" w:cs="Palatino Linotype"/>
          <w:i/>
          <w:sz w:val="22"/>
          <w:szCs w:val="22"/>
        </w:rPr>
        <w:t xml:space="preserve">. La fundamentación legal y motivación correspondiente; </w:t>
      </w:r>
    </w:p>
    <w:p w14:paraId="00EDBE43"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IV</w:t>
      </w:r>
      <w:r w:rsidRPr="007D47F3">
        <w:rPr>
          <w:rFonts w:ascii="Palatino Linotype" w:eastAsia="Palatino Linotype" w:hAnsi="Palatino Linotype" w:cs="Palatino Linotype"/>
          <w:i/>
          <w:sz w:val="22"/>
          <w:szCs w:val="22"/>
        </w:rPr>
        <w:t xml:space="preserve">. La resolución o resoluciones aprobadas; y </w:t>
      </w:r>
    </w:p>
    <w:p w14:paraId="3BA8B56E"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V</w:t>
      </w:r>
      <w:r w:rsidRPr="007D47F3">
        <w:rPr>
          <w:rFonts w:ascii="Palatino Linotype" w:eastAsia="Palatino Linotype" w:hAnsi="Palatino Linotype" w:cs="Palatino Linotype"/>
          <w:i/>
          <w:sz w:val="22"/>
          <w:szCs w:val="22"/>
        </w:rPr>
        <w:t xml:space="preserve">. La rúbrica o firma digital de cada integrante del Comité de Transparencia. </w:t>
      </w:r>
    </w:p>
    <w:p w14:paraId="5245136E" w14:textId="77777777" w:rsidR="00D10E68" w:rsidRPr="007D47F3" w:rsidRDefault="00D10E68" w:rsidP="00D10E6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F07396E"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w:t>
      </w:r>
      <w:r w:rsidRPr="007D47F3">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332FBF8"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7D47F3">
        <w:rPr>
          <w:rFonts w:ascii="Palatino Linotype" w:eastAsia="Palatino Linotype" w:hAnsi="Palatino Linotype" w:cs="Palatino Linotype"/>
          <w:b/>
          <w:i/>
          <w:sz w:val="22"/>
          <w:szCs w:val="22"/>
        </w:rPr>
        <w:t>II</w:t>
      </w:r>
      <w:r w:rsidRPr="007D47F3">
        <w:rPr>
          <w:rFonts w:ascii="Palatino Linotype" w:eastAsia="Palatino Linotype" w:hAnsi="Palatino Linotype" w:cs="Palatino Linotype"/>
          <w:i/>
          <w:sz w:val="22"/>
          <w:szCs w:val="22"/>
        </w:rPr>
        <w:t>. Descripción de las partes o secciones reservadas, en caso de clasificación parcial</w:t>
      </w:r>
      <w:r w:rsidRPr="007D47F3">
        <w:rPr>
          <w:rFonts w:ascii="Palatino Linotype" w:eastAsia="Palatino Linotype" w:hAnsi="Palatino Linotype" w:cs="Palatino Linotype"/>
          <w:b/>
          <w:i/>
          <w:sz w:val="22"/>
          <w:szCs w:val="22"/>
        </w:rPr>
        <w:t xml:space="preserve">; </w:t>
      </w:r>
    </w:p>
    <w:p w14:paraId="25F905C1"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III.</w:t>
      </w:r>
      <w:r w:rsidRPr="007D47F3">
        <w:rPr>
          <w:rFonts w:ascii="Palatino Linotype" w:eastAsia="Palatino Linotype" w:hAnsi="Palatino Linotype" w:cs="Palatino Linotype"/>
          <w:i/>
          <w:sz w:val="22"/>
          <w:szCs w:val="22"/>
        </w:rPr>
        <w:t xml:space="preserve"> El periodo por el que mantendrá su clasificación y fecha de expiración; y </w:t>
      </w:r>
    </w:p>
    <w:p w14:paraId="5D5E7A7A" w14:textId="77777777" w:rsidR="00D10E68" w:rsidRPr="007D47F3" w:rsidRDefault="00D10E68" w:rsidP="00D10E6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IV.</w:t>
      </w:r>
      <w:r w:rsidRPr="007D47F3">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C8D9176" w14:textId="77777777" w:rsidR="00D10E68" w:rsidRPr="007D47F3" w:rsidRDefault="00D10E68" w:rsidP="00D10E6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E120800" w14:textId="77777777" w:rsidR="00D10E68" w:rsidRPr="007D47F3" w:rsidRDefault="00D10E68" w:rsidP="00D10E6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4C9C152" w14:textId="77777777" w:rsidR="00D10E68" w:rsidRPr="007D47F3" w:rsidRDefault="00D10E68" w:rsidP="00D10E68">
      <w:pPr>
        <w:spacing w:before="120" w:after="120"/>
        <w:ind w:left="851"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Quincuagésimo segundo</w:t>
      </w:r>
      <w:r w:rsidRPr="007D47F3">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B0A07AF" w14:textId="77777777" w:rsidR="00D10E68" w:rsidRPr="007D47F3" w:rsidRDefault="00D10E68" w:rsidP="00D10E68">
      <w:pPr>
        <w:spacing w:before="120" w:after="120"/>
        <w:ind w:left="851"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 xml:space="preserve">En el caso </w:t>
      </w:r>
      <w:proofErr w:type="spellStart"/>
      <w:r w:rsidRPr="007D47F3">
        <w:rPr>
          <w:rFonts w:ascii="Palatino Linotype" w:eastAsia="Palatino Linotype" w:hAnsi="Palatino Linotype" w:cs="Palatino Linotype"/>
          <w:i/>
          <w:sz w:val="22"/>
          <w:szCs w:val="22"/>
        </w:rPr>
        <w:t>especifico</w:t>
      </w:r>
      <w:proofErr w:type="spellEnd"/>
      <w:r w:rsidRPr="007D47F3">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5AD59472" w14:textId="77777777" w:rsidR="00D10E68" w:rsidRPr="007D47F3" w:rsidRDefault="00D10E68" w:rsidP="00D10E68">
      <w:pPr>
        <w:spacing w:before="120" w:after="120"/>
        <w:ind w:left="1134"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w:t>
      </w:r>
      <w:r w:rsidRPr="007D47F3">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EACCB61" w14:textId="77777777" w:rsidR="00D10E68" w:rsidRPr="007D47F3" w:rsidRDefault="00D10E68" w:rsidP="00D10E68">
      <w:pPr>
        <w:spacing w:before="120" w:after="120"/>
        <w:ind w:left="1134"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w:t>
      </w:r>
      <w:r w:rsidRPr="007D47F3">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6032CA4" w14:textId="77777777" w:rsidR="00D10E68" w:rsidRPr="007D47F3" w:rsidRDefault="00D10E68" w:rsidP="00D10E68">
      <w:pPr>
        <w:spacing w:before="120" w:after="120"/>
        <w:ind w:left="1134"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lastRenderedPageBreak/>
        <w:t>III.</w:t>
      </w:r>
      <w:r w:rsidRPr="007D47F3">
        <w:rPr>
          <w:rFonts w:ascii="Palatino Linotype" w:eastAsia="Palatino Linotype" w:hAnsi="Palatino Linotype" w:cs="Palatino Linotype"/>
          <w:i/>
          <w:sz w:val="22"/>
          <w:szCs w:val="22"/>
        </w:rPr>
        <w:t xml:space="preserve"> Señalar las personas o instancias autorizadas a acceder a la información clasificada.</w:t>
      </w:r>
    </w:p>
    <w:p w14:paraId="52D478B4" w14:textId="77777777" w:rsidR="00D10E68" w:rsidRPr="007D47F3" w:rsidRDefault="00D10E68" w:rsidP="00D10E68">
      <w:pPr>
        <w:spacing w:before="120" w:after="120"/>
        <w:ind w:left="851" w:right="900"/>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C276529" w14:textId="77777777" w:rsidR="00D10E68" w:rsidRPr="007D47F3" w:rsidRDefault="00D10E68" w:rsidP="00D10E68">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Asimismo, deberá observar los Lineamientos Quincuagésimo cuarto, Quincuagésimo quinto, Quincuagésimo sexto, Quincuagésimo séptimo y Quincuagésimo octavo, establecen lo siguiente:</w:t>
      </w:r>
    </w:p>
    <w:p w14:paraId="4E60B295" w14:textId="77777777" w:rsidR="00D10E68" w:rsidRPr="007D47F3" w:rsidRDefault="00D10E68" w:rsidP="00D10E6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7D47F3">
        <w:rPr>
          <w:rFonts w:ascii="Palatino Linotype" w:eastAsia="Palatino Linotype" w:hAnsi="Palatino Linotype" w:cs="Palatino Linotype"/>
          <w:i/>
          <w:sz w:val="22"/>
          <w:szCs w:val="22"/>
        </w:rPr>
        <w:t>“</w:t>
      </w:r>
      <w:r w:rsidRPr="007D47F3">
        <w:rPr>
          <w:rFonts w:ascii="Palatino Linotype" w:eastAsia="Palatino Linotype" w:hAnsi="Palatino Linotype" w:cs="Palatino Linotype"/>
          <w:b/>
          <w:i/>
          <w:sz w:val="22"/>
          <w:szCs w:val="22"/>
        </w:rPr>
        <w:t xml:space="preserve">Quincuagésimo cuarto. </w:t>
      </w:r>
      <w:r w:rsidRPr="007D47F3">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7D47F3">
        <w:rPr>
          <w:rFonts w:ascii="Palatino Linotype" w:eastAsia="Palatino Linotype" w:hAnsi="Palatino Linotype" w:cs="Palatino Linotype"/>
          <w:b/>
          <w:i/>
          <w:sz w:val="22"/>
          <w:szCs w:val="22"/>
        </w:rPr>
        <w:t xml:space="preserve"> </w:t>
      </w:r>
    </w:p>
    <w:p w14:paraId="6EAFCC0D"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 xml:space="preserve">Quincuagésimo quinto. </w:t>
      </w:r>
      <w:r w:rsidRPr="007D47F3">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7D47F3">
        <w:rPr>
          <w:rFonts w:ascii="Palatino Linotype" w:eastAsia="Palatino Linotype" w:hAnsi="Palatino Linotype" w:cs="Palatino Linotype"/>
          <w:i/>
          <w:sz w:val="22"/>
          <w:szCs w:val="22"/>
        </w:rPr>
        <w:t>testado</w:t>
      </w:r>
      <w:proofErr w:type="spellEnd"/>
      <w:r w:rsidRPr="007D47F3">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9340B54" w14:textId="77777777" w:rsidR="00D10E68" w:rsidRPr="007D47F3" w:rsidRDefault="00D10E68" w:rsidP="00D10E68">
      <w:pPr>
        <w:spacing w:before="120" w:after="120"/>
        <w:ind w:left="851" w:right="902"/>
        <w:jc w:val="both"/>
        <w:rPr>
          <w:rFonts w:ascii="Palatino Linotype" w:eastAsia="Palatino Linotype" w:hAnsi="Palatino Linotype" w:cs="Palatino Linotype"/>
          <w:b/>
          <w:i/>
          <w:sz w:val="22"/>
          <w:szCs w:val="22"/>
        </w:rPr>
      </w:pPr>
      <w:r w:rsidRPr="007D47F3">
        <w:rPr>
          <w:rFonts w:ascii="Palatino Linotype" w:eastAsia="Palatino Linotype" w:hAnsi="Palatino Linotype" w:cs="Palatino Linotype"/>
          <w:b/>
          <w:i/>
          <w:sz w:val="22"/>
          <w:szCs w:val="22"/>
        </w:rPr>
        <w:t>...</w:t>
      </w:r>
    </w:p>
    <w:p w14:paraId="0CA3720E"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Quincuagésimo séptimo</w:t>
      </w:r>
      <w:r w:rsidRPr="007D47F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55B4312"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w:t>
      </w:r>
      <w:r w:rsidRPr="007D47F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9290E63"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w:t>
      </w:r>
      <w:r w:rsidRPr="007D47F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4719C7C0" w14:textId="77777777" w:rsidR="00D10E68" w:rsidRPr="007D47F3" w:rsidRDefault="00D10E68" w:rsidP="00D10E68">
      <w:pPr>
        <w:spacing w:before="120" w:after="120"/>
        <w:ind w:left="1134"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III</w:t>
      </w:r>
      <w:r w:rsidRPr="007D47F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310FE25"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7DF2B2C5" w14:textId="77777777" w:rsidR="00D10E68" w:rsidRPr="007D47F3" w:rsidRDefault="00D10E68" w:rsidP="00D10E68">
      <w:pPr>
        <w:spacing w:before="120" w:after="120"/>
        <w:ind w:left="851" w:right="902"/>
        <w:jc w:val="both"/>
        <w:rPr>
          <w:rFonts w:ascii="Palatino Linotype" w:eastAsia="Palatino Linotype" w:hAnsi="Palatino Linotype" w:cs="Palatino Linotype"/>
          <w:i/>
          <w:sz w:val="22"/>
          <w:szCs w:val="22"/>
        </w:rPr>
      </w:pPr>
      <w:r w:rsidRPr="007D47F3">
        <w:rPr>
          <w:rFonts w:ascii="Palatino Linotype" w:eastAsia="Palatino Linotype" w:hAnsi="Palatino Linotype" w:cs="Palatino Linotype"/>
          <w:b/>
          <w:i/>
          <w:sz w:val="22"/>
          <w:szCs w:val="22"/>
        </w:rPr>
        <w:t>Quincuagésimo octavo</w:t>
      </w:r>
      <w:r w:rsidRPr="007D47F3">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7E6429F"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6796A6A0" w14:textId="77777777" w:rsidR="003F490F" w:rsidRPr="007D47F3" w:rsidRDefault="005959F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D47F3">
        <w:rPr>
          <w:rFonts w:ascii="Palatino Linotype" w:eastAsia="Palatino Linotype" w:hAnsi="Palatino Linotype" w:cs="Palatino Linotype"/>
          <w:b/>
        </w:rPr>
        <w:t>III. R E S U E L V E</w:t>
      </w:r>
    </w:p>
    <w:p w14:paraId="1983324D" w14:textId="209F8470" w:rsidR="003F490F" w:rsidRPr="007D47F3" w:rsidRDefault="005959FF">
      <w:pP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7D47F3">
        <w:rPr>
          <w:rFonts w:ascii="Palatino Linotype" w:eastAsia="Palatino Linotype" w:hAnsi="Palatino Linotype" w:cs="Palatino Linotype"/>
          <w:b/>
        </w:rPr>
        <w:t xml:space="preserve">Primero. </w:t>
      </w:r>
      <w:r w:rsidRPr="007D47F3">
        <w:rPr>
          <w:rFonts w:ascii="Palatino Linotype" w:eastAsia="Palatino Linotype" w:hAnsi="Palatino Linotype" w:cs="Palatino Linotype"/>
        </w:rPr>
        <w:t>Resultan</w:t>
      </w:r>
      <w:r w:rsidRPr="007D47F3">
        <w:rPr>
          <w:rFonts w:ascii="Palatino Linotype" w:eastAsia="Palatino Linotype" w:hAnsi="Palatino Linotype" w:cs="Palatino Linotype"/>
          <w:b/>
        </w:rPr>
        <w:t xml:space="preserve"> fundadas</w:t>
      </w:r>
      <w:r w:rsidRPr="007D47F3">
        <w:rPr>
          <w:rFonts w:ascii="Palatino Linotype" w:eastAsia="Palatino Linotype" w:hAnsi="Palatino Linotype" w:cs="Palatino Linotype"/>
        </w:rPr>
        <w:t xml:space="preserve"> las razones o motivos de inconformidad hechos valer por la parte</w:t>
      </w:r>
      <w:r w:rsidRPr="007D47F3">
        <w:rPr>
          <w:rFonts w:ascii="Palatino Linotype" w:eastAsia="Palatino Linotype" w:hAnsi="Palatino Linotype" w:cs="Palatino Linotype"/>
          <w:b/>
        </w:rPr>
        <w:t xml:space="preserve"> Recurrente</w:t>
      </w:r>
      <w:r w:rsidRPr="007D47F3">
        <w:rPr>
          <w:rFonts w:ascii="Palatino Linotype" w:eastAsia="Palatino Linotype" w:hAnsi="Palatino Linotype" w:cs="Palatino Linotype"/>
        </w:rPr>
        <w:t xml:space="preserve"> en el recurso de revisión </w:t>
      </w:r>
      <w:r w:rsidRPr="007D47F3">
        <w:rPr>
          <w:rFonts w:ascii="Palatino Linotype" w:eastAsia="Palatino Linotype" w:hAnsi="Palatino Linotype" w:cs="Palatino Linotype"/>
          <w:b/>
        </w:rPr>
        <w:t>0</w:t>
      </w:r>
      <w:r w:rsidR="00D10E68" w:rsidRPr="007D47F3">
        <w:rPr>
          <w:rFonts w:ascii="Palatino Linotype" w:eastAsia="Palatino Linotype" w:hAnsi="Palatino Linotype" w:cs="Palatino Linotype"/>
          <w:b/>
        </w:rPr>
        <w:t>5844</w:t>
      </w:r>
      <w:r w:rsidRPr="007D47F3">
        <w:rPr>
          <w:rFonts w:ascii="Palatino Linotype" w:eastAsia="Palatino Linotype" w:hAnsi="Palatino Linotype" w:cs="Palatino Linotype"/>
          <w:b/>
        </w:rPr>
        <w:t>/INFOEM/IP/RR/2025</w:t>
      </w:r>
      <w:r w:rsidRPr="007D47F3">
        <w:rPr>
          <w:rFonts w:ascii="Palatino Linotype" w:eastAsia="Palatino Linotype" w:hAnsi="Palatino Linotype" w:cs="Palatino Linotype"/>
        </w:rPr>
        <w:t xml:space="preserve">; por lo que, en términos del </w:t>
      </w:r>
      <w:r w:rsidRPr="007D47F3">
        <w:rPr>
          <w:rFonts w:ascii="Palatino Linotype" w:eastAsia="Palatino Linotype" w:hAnsi="Palatino Linotype" w:cs="Palatino Linotype"/>
          <w:b/>
        </w:rPr>
        <w:t>Considerando</w:t>
      </w:r>
      <w:r w:rsidRPr="007D47F3">
        <w:rPr>
          <w:rFonts w:ascii="Palatino Linotype" w:eastAsia="Palatino Linotype" w:hAnsi="Palatino Linotype" w:cs="Palatino Linotype"/>
        </w:rPr>
        <w:t xml:space="preserve"> </w:t>
      </w:r>
      <w:r w:rsidRPr="007D47F3">
        <w:rPr>
          <w:rFonts w:ascii="Palatino Linotype" w:eastAsia="Palatino Linotype" w:hAnsi="Palatino Linotype" w:cs="Palatino Linotype"/>
          <w:b/>
        </w:rPr>
        <w:t xml:space="preserve">Cuarto </w:t>
      </w:r>
      <w:r w:rsidRPr="007D47F3">
        <w:rPr>
          <w:rFonts w:ascii="Palatino Linotype" w:eastAsia="Palatino Linotype" w:hAnsi="Palatino Linotype" w:cs="Palatino Linotype"/>
        </w:rPr>
        <w:t xml:space="preserve">de esta resolución, se </w:t>
      </w:r>
      <w:r w:rsidRPr="007D47F3">
        <w:rPr>
          <w:rFonts w:ascii="Palatino Linotype" w:eastAsia="Palatino Linotype" w:hAnsi="Palatino Linotype" w:cs="Palatino Linotype"/>
          <w:b/>
        </w:rPr>
        <w:t>Modifica</w:t>
      </w:r>
      <w:r w:rsidRPr="007D47F3">
        <w:rPr>
          <w:rFonts w:ascii="Palatino Linotype" w:eastAsia="Palatino Linotype" w:hAnsi="Palatino Linotype" w:cs="Palatino Linotype"/>
        </w:rPr>
        <w:t xml:space="preserve"> la respuesta emitida por el </w:t>
      </w:r>
      <w:r w:rsidRPr="007D47F3">
        <w:rPr>
          <w:rFonts w:ascii="Palatino Linotype" w:eastAsia="Palatino Linotype" w:hAnsi="Palatino Linotype" w:cs="Palatino Linotype"/>
          <w:b/>
        </w:rPr>
        <w:t xml:space="preserve">Sujeto Obligado. </w:t>
      </w:r>
    </w:p>
    <w:p w14:paraId="592D7635" w14:textId="0C6C48EB" w:rsidR="003F490F" w:rsidRPr="007D47F3" w:rsidRDefault="005959FF">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b/>
        </w:rPr>
        <w:t xml:space="preserve">Segundo. </w:t>
      </w:r>
      <w:r w:rsidRPr="007D47F3">
        <w:rPr>
          <w:rFonts w:ascii="Palatino Linotype" w:eastAsia="Palatino Linotype" w:hAnsi="Palatino Linotype" w:cs="Palatino Linotype"/>
        </w:rPr>
        <w:t xml:space="preserve">Se </w:t>
      </w:r>
      <w:r w:rsidRPr="007D47F3">
        <w:rPr>
          <w:rFonts w:ascii="Palatino Linotype" w:eastAsia="Palatino Linotype" w:hAnsi="Palatino Linotype" w:cs="Palatino Linotype"/>
          <w:b/>
        </w:rPr>
        <w:t xml:space="preserve">Ordena </w:t>
      </w:r>
      <w:r w:rsidRPr="007D47F3">
        <w:rPr>
          <w:rFonts w:ascii="Palatino Linotype" w:eastAsia="Palatino Linotype" w:hAnsi="Palatino Linotype" w:cs="Palatino Linotype"/>
        </w:rPr>
        <w:t xml:space="preserve">al </w:t>
      </w:r>
      <w:r w:rsidRPr="007D47F3">
        <w:rPr>
          <w:rFonts w:ascii="Palatino Linotype" w:eastAsia="Palatino Linotype" w:hAnsi="Palatino Linotype" w:cs="Palatino Linotype"/>
          <w:b/>
        </w:rPr>
        <w:t xml:space="preserve">Sujeto Obligado, </w:t>
      </w:r>
      <w:r w:rsidRPr="007D47F3">
        <w:rPr>
          <w:rFonts w:ascii="Palatino Linotype" w:eastAsia="Palatino Linotype" w:hAnsi="Palatino Linotype" w:cs="Palatino Linotype"/>
        </w:rPr>
        <w:t>en términos de</w:t>
      </w:r>
      <w:r w:rsidR="00D10E68" w:rsidRPr="007D47F3">
        <w:rPr>
          <w:rFonts w:ascii="Palatino Linotype" w:eastAsia="Palatino Linotype" w:hAnsi="Palatino Linotype" w:cs="Palatino Linotype"/>
        </w:rPr>
        <w:t xml:space="preserve"> </w:t>
      </w:r>
      <w:r w:rsidRPr="007D47F3">
        <w:rPr>
          <w:rFonts w:ascii="Palatino Linotype" w:eastAsia="Palatino Linotype" w:hAnsi="Palatino Linotype" w:cs="Palatino Linotype"/>
        </w:rPr>
        <w:t>l</w:t>
      </w:r>
      <w:r w:rsidR="00D10E68" w:rsidRPr="007D47F3">
        <w:rPr>
          <w:rFonts w:ascii="Palatino Linotype" w:eastAsia="Palatino Linotype" w:hAnsi="Palatino Linotype" w:cs="Palatino Linotype"/>
        </w:rPr>
        <w:t>os</w:t>
      </w:r>
      <w:r w:rsidRPr="007D47F3">
        <w:rPr>
          <w:rFonts w:ascii="Palatino Linotype" w:eastAsia="Palatino Linotype" w:hAnsi="Palatino Linotype" w:cs="Palatino Linotype"/>
        </w:rPr>
        <w:t xml:space="preserve"> </w:t>
      </w:r>
      <w:r w:rsidRPr="007D47F3">
        <w:rPr>
          <w:rFonts w:ascii="Palatino Linotype" w:eastAsia="Palatino Linotype" w:hAnsi="Palatino Linotype" w:cs="Palatino Linotype"/>
          <w:b/>
        </w:rPr>
        <w:t>Considerandos</w:t>
      </w:r>
      <w:r w:rsidRPr="007D47F3">
        <w:rPr>
          <w:rFonts w:ascii="Palatino Linotype" w:eastAsia="Palatino Linotype" w:hAnsi="Palatino Linotype" w:cs="Palatino Linotype"/>
        </w:rPr>
        <w:t xml:space="preserve"> </w:t>
      </w:r>
      <w:r w:rsidRPr="007D47F3">
        <w:rPr>
          <w:rFonts w:ascii="Palatino Linotype" w:eastAsia="Palatino Linotype" w:hAnsi="Palatino Linotype" w:cs="Palatino Linotype"/>
          <w:b/>
        </w:rPr>
        <w:t>Cuarto</w:t>
      </w:r>
      <w:r w:rsidR="00D10E68" w:rsidRPr="007D47F3">
        <w:rPr>
          <w:rFonts w:ascii="Palatino Linotype" w:eastAsia="Palatino Linotype" w:hAnsi="Palatino Linotype" w:cs="Palatino Linotype"/>
          <w:b/>
        </w:rPr>
        <w:t xml:space="preserve"> </w:t>
      </w:r>
      <w:r w:rsidR="00D10E68" w:rsidRPr="007D47F3">
        <w:rPr>
          <w:rFonts w:ascii="Palatino Linotype" w:eastAsia="Palatino Linotype" w:hAnsi="Palatino Linotype" w:cs="Palatino Linotype"/>
        </w:rPr>
        <w:t xml:space="preserve">y </w:t>
      </w:r>
      <w:r w:rsidR="00D10E68" w:rsidRPr="007D47F3">
        <w:rPr>
          <w:rFonts w:ascii="Palatino Linotype" w:eastAsia="Palatino Linotype" w:hAnsi="Palatino Linotype" w:cs="Palatino Linotype"/>
          <w:b/>
        </w:rPr>
        <w:t>Quinto</w:t>
      </w:r>
      <w:r w:rsidRPr="007D47F3">
        <w:rPr>
          <w:rFonts w:ascii="Palatino Linotype" w:eastAsia="Palatino Linotype" w:hAnsi="Palatino Linotype" w:cs="Palatino Linotype"/>
          <w:b/>
        </w:rPr>
        <w:t xml:space="preserve"> </w:t>
      </w:r>
      <w:r w:rsidRPr="007D47F3">
        <w:rPr>
          <w:rFonts w:ascii="Palatino Linotype" w:eastAsia="Palatino Linotype" w:hAnsi="Palatino Linotype" w:cs="Palatino Linotype"/>
        </w:rPr>
        <w:t xml:space="preserve">de esta resolución, haga entrega, vía </w:t>
      </w:r>
      <w:r w:rsidRPr="007D47F3">
        <w:rPr>
          <w:rFonts w:ascii="Palatino Linotype" w:eastAsia="Palatino Linotype" w:hAnsi="Palatino Linotype" w:cs="Palatino Linotype"/>
          <w:b/>
        </w:rPr>
        <w:t>SAIMEX</w:t>
      </w:r>
      <w:r w:rsidRPr="007D47F3">
        <w:rPr>
          <w:rFonts w:ascii="Palatino Linotype" w:eastAsia="Palatino Linotype" w:hAnsi="Palatino Linotype" w:cs="Palatino Linotype"/>
        </w:rPr>
        <w:t xml:space="preserve">, </w:t>
      </w:r>
      <w:r w:rsidR="00D10E68" w:rsidRPr="007D47F3">
        <w:rPr>
          <w:rFonts w:ascii="Palatino Linotype" w:eastAsia="Palatino Linotype" w:hAnsi="Palatino Linotype" w:cs="Palatino Linotype"/>
        </w:rPr>
        <w:t xml:space="preserve">previa búsqueda exhaustiva y razonable, </w:t>
      </w:r>
      <w:r w:rsidR="003515C9" w:rsidRPr="007D47F3">
        <w:rPr>
          <w:rFonts w:ascii="Palatino Linotype" w:eastAsia="Palatino Linotype" w:hAnsi="Palatino Linotype" w:cs="Palatino Linotype"/>
        </w:rPr>
        <w:t xml:space="preserve">en versión pública de ser procedente, </w:t>
      </w:r>
      <w:r w:rsidRPr="007D47F3">
        <w:rPr>
          <w:rFonts w:ascii="Palatino Linotype" w:eastAsia="Palatino Linotype" w:hAnsi="Palatino Linotype" w:cs="Palatino Linotype"/>
        </w:rPr>
        <w:t>de</w:t>
      </w:r>
      <w:r w:rsidR="00E661DA" w:rsidRPr="007D47F3">
        <w:rPr>
          <w:rFonts w:ascii="Palatino Linotype" w:eastAsia="Palatino Linotype" w:hAnsi="Palatino Linotype" w:cs="Palatino Linotype"/>
        </w:rPr>
        <w:t>l o los documentos</w:t>
      </w:r>
      <w:r w:rsidR="003515C9" w:rsidRPr="007D47F3">
        <w:rPr>
          <w:rFonts w:ascii="Palatino Linotype" w:eastAsia="Palatino Linotype" w:hAnsi="Palatino Linotype" w:cs="Palatino Linotype"/>
        </w:rPr>
        <w:t xml:space="preserve"> </w:t>
      </w:r>
      <w:r w:rsidR="00E661DA" w:rsidRPr="007D47F3">
        <w:rPr>
          <w:rFonts w:ascii="Palatino Linotype" w:eastAsia="Palatino Linotype" w:hAnsi="Palatino Linotype" w:cs="Palatino Linotype"/>
        </w:rPr>
        <w:t>donde conste al mayor grado de desagregación posible</w:t>
      </w:r>
      <w:r w:rsidR="003515C9" w:rsidRPr="007D47F3">
        <w:rPr>
          <w:rFonts w:ascii="Palatino Linotype" w:eastAsia="Palatino Linotype" w:hAnsi="Palatino Linotype" w:cs="Palatino Linotype"/>
        </w:rPr>
        <w:t xml:space="preserve"> lo siguiente</w:t>
      </w:r>
      <w:r w:rsidR="00E661DA" w:rsidRPr="007D47F3">
        <w:rPr>
          <w:rFonts w:ascii="Palatino Linotype" w:eastAsia="Palatino Linotype" w:hAnsi="Palatino Linotype" w:cs="Palatino Linotype"/>
        </w:rPr>
        <w:t xml:space="preserve">: </w:t>
      </w:r>
    </w:p>
    <w:p w14:paraId="110648DD" w14:textId="4F475512" w:rsidR="00515B5A" w:rsidRPr="007D47F3" w:rsidRDefault="00E661DA">
      <w:pPr>
        <w:spacing w:before="240" w:after="240" w:line="360" w:lineRule="auto"/>
        <w:ind w:left="284" w:right="49"/>
        <w:jc w:val="both"/>
        <w:rPr>
          <w:rFonts w:ascii="Palatino Linotype" w:hAnsi="Palatino Linotype"/>
          <w:strike/>
        </w:rPr>
      </w:pPr>
      <w:bookmarkStart w:id="10" w:name="_heading=h.1fob9te" w:colFirst="0" w:colLast="0"/>
      <w:bookmarkEnd w:id="10"/>
      <w:r w:rsidRPr="007D47F3">
        <w:rPr>
          <w:rFonts w:ascii="Palatino Linotype" w:eastAsia="Palatino Linotype" w:hAnsi="Palatino Linotype" w:cs="Palatino Linotype"/>
        </w:rPr>
        <w:t xml:space="preserve">1. </w:t>
      </w:r>
      <w:r w:rsidR="007A7C00" w:rsidRPr="007D47F3">
        <w:rPr>
          <w:rFonts w:ascii="Palatino Linotype" w:eastAsia="Palatino Linotype" w:hAnsi="Palatino Linotype" w:cs="Palatino Linotype"/>
        </w:rPr>
        <w:t xml:space="preserve">Número de solicitudes ingresadas </w:t>
      </w:r>
      <w:r w:rsidR="00515B5A" w:rsidRPr="007D47F3">
        <w:rPr>
          <w:rFonts w:ascii="Palatino Linotype" w:eastAsia="Palatino Linotype" w:hAnsi="Palatino Linotype" w:cs="Palatino Linotype"/>
        </w:rPr>
        <w:t xml:space="preserve">de </w:t>
      </w:r>
      <w:r w:rsidR="00515B5A" w:rsidRPr="007D47F3">
        <w:rPr>
          <w:rFonts w:ascii="Palatino Linotype" w:hAnsi="Palatino Linotype"/>
        </w:rPr>
        <w:t>Licencia</w:t>
      </w:r>
      <w:r w:rsidR="007A7C00" w:rsidRPr="007D47F3">
        <w:rPr>
          <w:rFonts w:ascii="Palatino Linotype" w:hAnsi="Palatino Linotype"/>
        </w:rPr>
        <w:t>s</w:t>
      </w:r>
      <w:r w:rsidR="00515B5A" w:rsidRPr="007D47F3">
        <w:rPr>
          <w:rFonts w:ascii="Palatino Linotype" w:hAnsi="Palatino Linotype"/>
        </w:rPr>
        <w:t xml:space="preserve"> de Funcionamiento para el alta al Padrón de Establecimientos Comerciales, Industriales y de Servicios del uno de enero al treinta y uno de di</w:t>
      </w:r>
      <w:r w:rsidR="007A7C00" w:rsidRPr="007D47F3">
        <w:rPr>
          <w:rFonts w:ascii="Palatino Linotype" w:hAnsi="Palatino Linotype"/>
        </w:rPr>
        <w:t>ciembre de dos mil veinticuatro</w:t>
      </w:r>
      <w:r w:rsidR="003515C9" w:rsidRPr="007D47F3">
        <w:rPr>
          <w:rFonts w:ascii="Palatino Linotype" w:hAnsi="Palatino Linotype"/>
        </w:rPr>
        <w:t>.</w:t>
      </w:r>
    </w:p>
    <w:p w14:paraId="348E52B0" w14:textId="73D3C6E2" w:rsidR="007A7C00" w:rsidRPr="007D47F3" w:rsidRDefault="00984606" w:rsidP="007A7C00">
      <w:pPr>
        <w:spacing w:before="240" w:after="240" w:line="360" w:lineRule="auto"/>
        <w:ind w:left="284" w:right="49"/>
        <w:jc w:val="both"/>
        <w:rPr>
          <w:rFonts w:ascii="Palatino Linotype" w:hAnsi="Palatino Linotype"/>
          <w:strike/>
        </w:rPr>
      </w:pPr>
      <w:r w:rsidRPr="007D47F3">
        <w:rPr>
          <w:rFonts w:ascii="Palatino Linotype" w:eastAsia="Palatino Linotype" w:hAnsi="Palatino Linotype" w:cs="Palatino Linotype"/>
        </w:rPr>
        <w:lastRenderedPageBreak/>
        <w:t xml:space="preserve">2. </w:t>
      </w:r>
      <w:bookmarkStart w:id="11" w:name="_heading=h.hnzxsch5gysz" w:colFirst="0" w:colLast="0"/>
      <w:bookmarkEnd w:id="11"/>
      <w:r w:rsidR="007A7C00" w:rsidRPr="007D47F3">
        <w:rPr>
          <w:rFonts w:ascii="Palatino Linotype" w:eastAsia="Palatino Linotype" w:hAnsi="Palatino Linotype" w:cs="Palatino Linotype"/>
        </w:rPr>
        <w:t xml:space="preserve">Número de </w:t>
      </w:r>
      <w:r w:rsidR="007A7C00" w:rsidRPr="007D47F3">
        <w:rPr>
          <w:rFonts w:ascii="Palatino Linotype" w:hAnsi="Palatino Linotype"/>
        </w:rPr>
        <w:t>Licencias de Funcionamiento para el alta al Padrón de Establecimientos Comerciales, Industriales y de Servicios</w:t>
      </w:r>
      <w:r w:rsidR="00201C28" w:rsidRPr="007D47F3">
        <w:rPr>
          <w:rFonts w:ascii="Palatino Linotype" w:hAnsi="Palatino Linotype"/>
        </w:rPr>
        <w:t>,</w:t>
      </w:r>
      <w:r w:rsidR="007A7C00" w:rsidRPr="007D47F3">
        <w:rPr>
          <w:rFonts w:ascii="Palatino Linotype" w:hAnsi="Palatino Linotype"/>
        </w:rPr>
        <w:t xml:space="preserve"> otorgadas del uno de enero al treinta y uno de diciembre de dos mil veinticuatro, incluyendo el giro autorizado.</w:t>
      </w:r>
    </w:p>
    <w:p w14:paraId="6B06794A" w14:textId="77777777" w:rsidR="007A7C00" w:rsidRPr="007D47F3" w:rsidRDefault="007A7C00" w:rsidP="007A7C00">
      <w:pPr>
        <w:spacing w:before="120" w:after="120"/>
        <w:ind w:left="284"/>
        <w:jc w:val="both"/>
        <w:rPr>
          <w:rFonts w:ascii="Palatino Linotype" w:eastAsia="Palatino Linotype" w:hAnsi="Palatino Linotype" w:cs="Palatino Linotype"/>
          <w:i/>
          <w:sz w:val="20"/>
          <w:szCs w:val="20"/>
        </w:rPr>
      </w:pPr>
      <w:r w:rsidRPr="007D47F3">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29D729A1" w14:textId="1614788B" w:rsidR="003F490F" w:rsidRPr="007D47F3" w:rsidRDefault="005959FF" w:rsidP="007A7C00">
      <w:pPr>
        <w:spacing w:before="240" w:after="240" w:line="360" w:lineRule="auto"/>
        <w:ind w:right="49"/>
        <w:jc w:val="both"/>
        <w:rPr>
          <w:rFonts w:ascii="Palatino Linotype" w:eastAsia="Palatino Linotype" w:hAnsi="Palatino Linotype" w:cs="Palatino Linotype"/>
        </w:rPr>
      </w:pPr>
      <w:r w:rsidRPr="007D47F3">
        <w:rPr>
          <w:rFonts w:ascii="Palatino Linotype" w:eastAsia="Palatino Linotype" w:hAnsi="Palatino Linotype" w:cs="Palatino Linotype"/>
          <w:b/>
        </w:rPr>
        <w:t xml:space="preserve">Tercero. Notifíquese, </w:t>
      </w:r>
      <w:r w:rsidRPr="007D47F3">
        <w:rPr>
          <w:rFonts w:ascii="Palatino Linotype" w:eastAsia="Palatino Linotype" w:hAnsi="Palatino Linotype" w:cs="Palatino Linotype"/>
        </w:rPr>
        <w:t xml:space="preserve">vía </w:t>
      </w:r>
      <w:r w:rsidRPr="007D47F3">
        <w:rPr>
          <w:rFonts w:ascii="Palatino Linotype" w:eastAsia="Palatino Linotype" w:hAnsi="Palatino Linotype" w:cs="Palatino Linotype"/>
          <w:b/>
        </w:rPr>
        <w:t>SAIMEX</w:t>
      </w:r>
      <w:r w:rsidRPr="007D47F3">
        <w:rPr>
          <w:rFonts w:ascii="Palatino Linotype" w:eastAsia="Palatino Linotype" w:hAnsi="Palatino Linotype" w:cs="Palatino Linotype"/>
        </w:rPr>
        <w:t xml:space="preserve">, al Titular de la Unidad de Transparencia del </w:t>
      </w:r>
      <w:r w:rsidRPr="007D47F3">
        <w:rPr>
          <w:rFonts w:ascii="Palatino Linotype" w:eastAsia="Palatino Linotype" w:hAnsi="Palatino Linotype" w:cs="Palatino Linotype"/>
          <w:b/>
        </w:rPr>
        <w:t>Sujeto Obligado,</w:t>
      </w:r>
      <w:r w:rsidRPr="007D47F3">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64D0CB" w14:textId="77777777" w:rsidR="003F490F" w:rsidRPr="007D47F3" w:rsidRDefault="005959FF">
      <w:pPr>
        <w:spacing w:before="240" w:after="240" w:line="360" w:lineRule="auto"/>
        <w:jc w:val="both"/>
        <w:rPr>
          <w:rFonts w:ascii="Palatino Linotype" w:eastAsia="Palatino Linotype" w:hAnsi="Palatino Linotype" w:cs="Palatino Linotype"/>
        </w:rPr>
      </w:pPr>
      <w:r w:rsidRPr="007D47F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D47F3">
        <w:rPr>
          <w:rFonts w:ascii="Palatino Linotype" w:eastAsia="Palatino Linotype" w:hAnsi="Palatino Linotype" w:cs="Palatino Linotype"/>
          <w:b/>
        </w:rPr>
        <w:t>Sujeto Obligado</w:t>
      </w:r>
      <w:r w:rsidRPr="007D47F3">
        <w:rPr>
          <w:rFonts w:ascii="Palatino Linotype" w:eastAsia="Palatino Linotype" w:hAnsi="Palatino Linotype" w:cs="Palatino Linotype"/>
        </w:rPr>
        <w:t xml:space="preserve"> de manera fundada y motivada, podrá solicitar una ampliación de plazo para el cumplimiento de la presente resolución.</w:t>
      </w:r>
    </w:p>
    <w:p w14:paraId="3CAAC447" w14:textId="77777777" w:rsidR="003F490F" w:rsidRPr="007D47F3" w:rsidRDefault="005959FF">
      <w:pPr>
        <w:spacing w:before="240" w:after="240" w:line="360" w:lineRule="auto"/>
        <w:jc w:val="both"/>
        <w:rPr>
          <w:rFonts w:ascii="Palatino Linotype" w:eastAsia="Palatino Linotype" w:hAnsi="Palatino Linotype" w:cs="Palatino Linotype"/>
        </w:rPr>
      </w:pPr>
      <w:bookmarkStart w:id="12" w:name="_heading=h.ot3qq6vxa08f" w:colFirst="0" w:colLast="0"/>
      <w:bookmarkEnd w:id="12"/>
      <w:r w:rsidRPr="007D47F3">
        <w:rPr>
          <w:rFonts w:ascii="Palatino Linotype" w:eastAsia="Palatino Linotype" w:hAnsi="Palatino Linotype" w:cs="Palatino Linotype"/>
          <w:b/>
        </w:rPr>
        <w:lastRenderedPageBreak/>
        <w:t xml:space="preserve">Cuarto.  Notifíquese, </w:t>
      </w:r>
      <w:r w:rsidRPr="007D47F3">
        <w:rPr>
          <w:rFonts w:ascii="Palatino Linotype" w:eastAsia="Palatino Linotype" w:hAnsi="Palatino Linotype" w:cs="Palatino Linotype"/>
        </w:rPr>
        <w:t xml:space="preserve">vía </w:t>
      </w:r>
      <w:r w:rsidRPr="007D47F3">
        <w:rPr>
          <w:rFonts w:ascii="Palatino Linotype" w:eastAsia="Palatino Linotype" w:hAnsi="Palatino Linotype" w:cs="Palatino Linotype"/>
          <w:b/>
        </w:rPr>
        <w:t>SAIMEX</w:t>
      </w:r>
      <w:r w:rsidRPr="007D47F3">
        <w:rPr>
          <w:rFonts w:ascii="Palatino Linotype" w:eastAsia="Palatino Linotype" w:hAnsi="Palatino Linotype" w:cs="Palatino Linotype"/>
        </w:rPr>
        <w:t xml:space="preserve"> a la parte </w:t>
      </w:r>
      <w:r w:rsidRPr="007D47F3">
        <w:rPr>
          <w:rFonts w:ascii="Palatino Linotype" w:eastAsia="Palatino Linotype" w:hAnsi="Palatino Linotype" w:cs="Palatino Linotype"/>
          <w:b/>
        </w:rPr>
        <w:t>Recurrente</w:t>
      </w:r>
      <w:r w:rsidRPr="007D47F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E38AB09" w14:textId="5D7C5D8A" w:rsidR="003F490F" w:rsidRPr="0050323E" w:rsidRDefault="005959FF">
      <w:pPr>
        <w:tabs>
          <w:tab w:val="left" w:pos="8647"/>
        </w:tabs>
        <w:spacing w:before="240" w:after="240" w:line="360" w:lineRule="auto"/>
        <w:ind w:right="51"/>
        <w:jc w:val="both"/>
        <w:rPr>
          <w:rFonts w:ascii="Palatino Linotype" w:eastAsia="Palatino Linotype" w:hAnsi="Palatino Linotype" w:cs="Palatino Linotype"/>
        </w:rPr>
      </w:pPr>
      <w:bookmarkStart w:id="13" w:name="_heading=h.lnxbz9" w:colFirst="0" w:colLast="0"/>
      <w:bookmarkEnd w:id="13"/>
      <w:r w:rsidRPr="007D47F3">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7D47F3" w:rsidRPr="007D47F3">
        <w:rPr>
          <w:rFonts w:ascii="Palatino Linotype" w:eastAsia="Palatino Linotype" w:hAnsi="Palatino Linotype" w:cs="Palatino Linotype"/>
        </w:rPr>
        <w:t xml:space="preserve"> </w:t>
      </w:r>
      <w:r w:rsidR="007D47F3" w:rsidRPr="007D47F3">
        <w:rPr>
          <w:rFonts w:ascii="Palatino Linotype" w:hAnsi="Palatino Linotype"/>
        </w:rPr>
        <w:t>(AUSENCIA JUSTIFICADA)</w:t>
      </w:r>
      <w:r w:rsidRPr="007D47F3">
        <w:rPr>
          <w:rFonts w:ascii="Palatino Linotype" w:eastAsia="Palatino Linotype" w:hAnsi="Palatino Linotype" w:cs="Palatino Linotype"/>
        </w:rPr>
        <w:t xml:space="preserve">, MARÍA DEL ROSARIO MEJÍA AYALA, SHARON CRISTINA MORALES MARTÍNEZ, LUIS GUSTAVO PARRA NORIEGA, Y GUADALUPE RAMÍREZ PEÑA, EN LA VIGÉSIMA </w:t>
      </w:r>
      <w:r w:rsidR="009E282A" w:rsidRPr="007D47F3">
        <w:rPr>
          <w:rFonts w:ascii="Palatino Linotype" w:eastAsia="Palatino Linotype" w:hAnsi="Palatino Linotype" w:cs="Palatino Linotype"/>
        </w:rPr>
        <w:t>NOVENA</w:t>
      </w:r>
      <w:r w:rsidRPr="007D47F3">
        <w:rPr>
          <w:rFonts w:ascii="Palatino Linotype" w:eastAsia="Palatino Linotype" w:hAnsi="Palatino Linotype" w:cs="Palatino Linotype"/>
        </w:rPr>
        <w:t xml:space="preserve"> SESIÓN ORDINARIA CELEBRADA EL </w:t>
      </w:r>
      <w:r w:rsidR="009E282A" w:rsidRPr="007D47F3">
        <w:rPr>
          <w:rFonts w:ascii="Palatino Linotype" w:eastAsia="Palatino Linotype" w:hAnsi="Palatino Linotype" w:cs="Palatino Linotype"/>
        </w:rPr>
        <w:t>VEINTE DE AGOSTO</w:t>
      </w:r>
      <w:r w:rsidRPr="007D47F3">
        <w:rPr>
          <w:rFonts w:ascii="Palatino Linotype" w:eastAsia="Palatino Linotype" w:hAnsi="Palatino Linotype" w:cs="Palatino Linotype"/>
        </w:rPr>
        <w:t xml:space="preserve"> DE DOS MIL VEINTICINCO, ANTE EL SECRETARIO TÉCNICO DEL PLENO ALEXIS TAPIA RAMÍREZ.</w:t>
      </w:r>
    </w:p>
    <w:p w14:paraId="5F0670E7" w14:textId="77777777" w:rsidR="003F490F" w:rsidRPr="0050323E" w:rsidRDefault="003F490F">
      <w:pPr>
        <w:spacing w:line="360" w:lineRule="auto"/>
        <w:jc w:val="both"/>
        <w:rPr>
          <w:rFonts w:ascii="Palatino Linotype" w:eastAsia="Palatino Linotype" w:hAnsi="Palatino Linotype" w:cs="Palatino Linotype"/>
        </w:rPr>
      </w:pPr>
    </w:p>
    <w:p w14:paraId="152638D8" w14:textId="77777777" w:rsidR="003F490F" w:rsidRPr="0050323E" w:rsidRDefault="003F490F">
      <w:pPr>
        <w:spacing w:line="360" w:lineRule="auto"/>
        <w:jc w:val="center"/>
        <w:rPr>
          <w:rFonts w:ascii="Palatino Linotype" w:eastAsia="Palatino Linotype" w:hAnsi="Palatino Linotype" w:cs="Palatino Linotype"/>
        </w:rPr>
      </w:pPr>
    </w:p>
    <w:p w14:paraId="765F71A9" w14:textId="77777777" w:rsidR="003F490F" w:rsidRPr="0050323E" w:rsidRDefault="003F490F">
      <w:pPr>
        <w:spacing w:line="360" w:lineRule="auto"/>
        <w:jc w:val="both"/>
        <w:rPr>
          <w:rFonts w:ascii="Palatino Linotype" w:eastAsia="Palatino Linotype" w:hAnsi="Palatino Linotype" w:cs="Palatino Linotype"/>
        </w:rPr>
      </w:pPr>
    </w:p>
    <w:p w14:paraId="46984D44" w14:textId="77777777" w:rsidR="003F490F" w:rsidRPr="0050323E" w:rsidRDefault="003F490F">
      <w:pPr>
        <w:spacing w:line="360" w:lineRule="auto"/>
        <w:jc w:val="both"/>
        <w:rPr>
          <w:rFonts w:ascii="Palatino Linotype" w:eastAsia="Palatino Linotype" w:hAnsi="Palatino Linotype" w:cs="Palatino Linotype"/>
        </w:rPr>
      </w:pPr>
    </w:p>
    <w:p w14:paraId="5BD900B2" w14:textId="77777777" w:rsidR="003F490F" w:rsidRPr="0050323E" w:rsidRDefault="003F490F">
      <w:pPr>
        <w:spacing w:line="360" w:lineRule="auto"/>
        <w:jc w:val="both"/>
        <w:rPr>
          <w:rFonts w:ascii="Palatino Linotype" w:eastAsia="Palatino Linotype" w:hAnsi="Palatino Linotype" w:cs="Palatino Linotype"/>
        </w:rPr>
      </w:pPr>
    </w:p>
    <w:p w14:paraId="2EFC8215" w14:textId="77777777" w:rsidR="003F490F" w:rsidRPr="0050323E" w:rsidRDefault="003F490F">
      <w:pPr>
        <w:spacing w:line="360" w:lineRule="auto"/>
        <w:jc w:val="both"/>
        <w:rPr>
          <w:rFonts w:ascii="Palatino Linotype" w:eastAsia="Palatino Linotype" w:hAnsi="Palatino Linotype" w:cs="Palatino Linotype"/>
        </w:rPr>
      </w:pPr>
    </w:p>
    <w:p w14:paraId="28173C2B" w14:textId="77777777" w:rsidR="003F490F" w:rsidRPr="0050323E" w:rsidRDefault="003F490F">
      <w:pPr>
        <w:spacing w:line="360" w:lineRule="auto"/>
        <w:jc w:val="both"/>
        <w:rPr>
          <w:rFonts w:ascii="Palatino Linotype" w:eastAsia="Palatino Linotype" w:hAnsi="Palatino Linotype" w:cs="Palatino Linotype"/>
        </w:rPr>
      </w:pPr>
    </w:p>
    <w:p w14:paraId="1E6BFD9D" w14:textId="77777777" w:rsidR="003F490F" w:rsidRPr="0050323E" w:rsidRDefault="003F490F">
      <w:pPr>
        <w:spacing w:line="360" w:lineRule="auto"/>
        <w:jc w:val="both"/>
        <w:rPr>
          <w:rFonts w:ascii="Palatino Linotype" w:eastAsia="Palatino Linotype" w:hAnsi="Palatino Linotype" w:cs="Palatino Linotype"/>
        </w:rPr>
      </w:pPr>
    </w:p>
    <w:p w14:paraId="2FED2828" w14:textId="77777777" w:rsidR="003F490F" w:rsidRPr="0050323E" w:rsidRDefault="003F490F">
      <w:pPr>
        <w:spacing w:line="360" w:lineRule="auto"/>
        <w:jc w:val="both"/>
        <w:rPr>
          <w:rFonts w:ascii="Palatino Linotype" w:eastAsia="Palatino Linotype" w:hAnsi="Palatino Linotype" w:cs="Palatino Linotype"/>
        </w:rPr>
      </w:pPr>
    </w:p>
    <w:p w14:paraId="382A623F" w14:textId="77777777" w:rsidR="003F490F" w:rsidRPr="0050323E" w:rsidRDefault="003F490F">
      <w:pPr>
        <w:spacing w:line="360" w:lineRule="auto"/>
        <w:jc w:val="both"/>
        <w:rPr>
          <w:rFonts w:ascii="Palatino Linotype" w:eastAsia="Palatino Linotype" w:hAnsi="Palatino Linotype" w:cs="Palatino Linotype"/>
        </w:rPr>
      </w:pPr>
    </w:p>
    <w:p w14:paraId="4D07CAF3" w14:textId="77777777" w:rsidR="003F490F" w:rsidRPr="0050323E" w:rsidRDefault="003F490F">
      <w:pPr>
        <w:spacing w:line="360" w:lineRule="auto"/>
        <w:jc w:val="both"/>
        <w:rPr>
          <w:rFonts w:ascii="Palatino Linotype" w:eastAsia="Palatino Linotype" w:hAnsi="Palatino Linotype" w:cs="Palatino Linotype"/>
        </w:rPr>
      </w:pPr>
    </w:p>
    <w:p w14:paraId="3F01B1BB" w14:textId="77777777" w:rsidR="003F490F" w:rsidRPr="0050323E" w:rsidRDefault="003F490F">
      <w:pPr>
        <w:spacing w:line="360" w:lineRule="auto"/>
        <w:jc w:val="both"/>
        <w:rPr>
          <w:rFonts w:ascii="Palatino Linotype" w:eastAsia="Palatino Linotype" w:hAnsi="Palatino Linotype" w:cs="Palatino Linotype"/>
        </w:rPr>
      </w:pPr>
    </w:p>
    <w:p w14:paraId="3F0C2A86" w14:textId="77777777" w:rsidR="003F490F" w:rsidRPr="0050323E" w:rsidRDefault="003F490F">
      <w:pPr>
        <w:spacing w:line="360" w:lineRule="auto"/>
        <w:jc w:val="both"/>
        <w:rPr>
          <w:rFonts w:ascii="Palatino Linotype" w:eastAsia="Palatino Linotype" w:hAnsi="Palatino Linotype" w:cs="Palatino Linotype"/>
        </w:rPr>
      </w:pPr>
    </w:p>
    <w:p w14:paraId="50C83D7B" w14:textId="77777777" w:rsidR="003F490F" w:rsidRPr="0050323E" w:rsidRDefault="003F490F">
      <w:pPr>
        <w:spacing w:line="360" w:lineRule="auto"/>
        <w:jc w:val="both"/>
        <w:rPr>
          <w:rFonts w:ascii="Palatino Linotype" w:eastAsia="Palatino Linotype" w:hAnsi="Palatino Linotype" w:cs="Palatino Linotype"/>
        </w:rPr>
      </w:pPr>
    </w:p>
    <w:p w14:paraId="2CEB799E" w14:textId="77777777" w:rsidR="003F490F" w:rsidRPr="0050323E" w:rsidRDefault="003F490F">
      <w:pPr>
        <w:spacing w:line="360" w:lineRule="auto"/>
        <w:jc w:val="both"/>
        <w:rPr>
          <w:rFonts w:ascii="Palatino Linotype" w:eastAsia="Palatino Linotype" w:hAnsi="Palatino Linotype" w:cs="Palatino Linotype"/>
        </w:rPr>
      </w:pPr>
    </w:p>
    <w:p w14:paraId="60A56562" w14:textId="77777777" w:rsidR="003F490F" w:rsidRPr="0050323E" w:rsidRDefault="003F490F">
      <w:pPr>
        <w:spacing w:line="360" w:lineRule="auto"/>
        <w:jc w:val="both"/>
        <w:rPr>
          <w:rFonts w:ascii="Palatino Linotype" w:eastAsia="Palatino Linotype" w:hAnsi="Palatino Linotype" w:cs="Palatino Linotype"/>
        </w:rPr>
      </w:pPr>
    </w:p>
    <w:p w14:paraId="442F4947" w14:textId="77777777" w:rsidR="003F490F" w:rsidRPr="0050323E" w:rsidRDefault="003F490F">
      <w:pPr>
        <w:spacing w:line="360" w:lineRule="auto"/>
        <w:jc w:val="both"/>
        <w:rPr>
          <w:rFonts w:ascii="Palatino Linotype" w:eastAsia="Palatino Linotype" w:hAnsi="Palatino Linotype" w:cs="Palatino Linotype"/>
        </w:rPr>
      </w:pPr>
    </w:p>
    <w:p w14:paraId="651AF91D" w14:textId="77777777" w:rsidR="003F490F" w:rsidRPr="0050323E" w:rsidRDefault="003F490F">
      <w:pPr>
        <w:spacing w:line="360" w:lineRule="auto"/>
        <w:jc w:val="both"/>
        <w:rPr>
          <w:rFonts w:ascii="Palatino Linotype" w:eastAsia="Palatino Linotype" w:hAnsi="Palatino Linotype" w:cs="Palatino Linotype"/>
        </w:rPr>
      </w:pPr>
    </w:p>
    <w:p w14:paraId="56D3C2F2" w14:textId="77777777" w:rsidR="003F490F" w:rsidRPr="0050323E" w:rsidRDefault="003F490F">
      <w:pPr>
        <w:spacing w:line="360" w:lineRule="auto"/>
        <w:jc w:val="both"/>
        <w:rPr>
          <w:rFonts w:ascii="Palatino Linotype" w:eastAsia="Palatino Linotype" w:hAnsi="Palatino Linotype" w:cs="Palatino Linotype"/>
        </w:rPr>
      </w:pPr>
    </w:p>
    <w:p w14:paraId="14EAAFF5" w14:textId="77777777" w:rsidR="003F490F" w:rsidRPr="0050323E" w:rsidRDefault="003F490F">
      <w:pPr>
        <w:spacing w:line="360" w:lineRule="auto"/>
        <w:jc w:val="both"/>
        <w:rPr>
          <w:rFonts w:ascii="Palatino Linotype" w:eastAsia="Palatino Linotype" w:hAnsi="Palatino Linotype" w:cs="Palatino Linotype"/>
        </w:rPr>
      </w:pPr>
    </w:p>
    <w:p w14:paraId="0A6D0F04" w14:textId="77777777" w:rsidR="003F490F" w:rsidRPr="0050323E" w:rsidRDefault="003F490F">
      <w:pPr>
        <w:spacing w:line="360" w:lineRule="auto"/>
        <w:jc w:val="both"/>
        <w:rPr>
          <w:rFonts w:ascii="Palatino Linotype" w:eastAsia="Palatino Linotype" w:hAnsi="Palatino Linotype" w:cs="Palatino Linotype"/>
        </w:rPr>
      </w:pPr>
    </w:p>
    <w:p w14:paraId="14E5CB19" w14:textId="77777777" w:rsidR="003F490F" w:rsidRPr="0050323E" w:rsidRDefault="003F490F">
      <w:pPr>
        <w:spacing w:line="360" w:lineRule="auto"/>
        <w:jc w:val="both"/>
        <w:rPr>
          <w:rFonts w:ascii="Palatino Linotype" w:eastAsia="Palatino Linotype" w:hAnsi="Palatino Linotype" w:cs="Palatino Linotype"/>
        </w:rPr>
      </w:pPr>
    </w:p>
    <w:p w14:paraId="4EAD2BDD" w14:textId="77777777" w:rsidR="003F490F" w:rsidRPr="0050323E" w:rsidRDefault="003F490F">
      <w:pPr>
        <w:spacing w:line="360" w:lineRule="auto"/>
        <w:jc w:val="both"/>
        <w:rPr>
          <w:rFonts w:ascii="Palatino Linotype" w:eastAsia="Palatino Linotype" w:hAnsi="Palatino Linotype" w:cs="Palatino Linotype"/>
        </w:rPr>
      </w:pPr>
    </w:p>
    <w:p w14:paraId="64789673" w14:textId="77777777" w:rsidR="003F490F" w:rsidRPr="0050323E" w:rsidRDefault="003F490F">
      <w:pPr>
        <w:spacing w:line="360" w:lineRule="auto"/>
        <w:jc w:val="both"/>
        <w:rPr>
          <w:rFonts w:ascii="Palatino Linotype" w:eastAsia="Palatino Linotype" w:hAnsi="Palatino Linotype" w:cs="Palatino Linotype"/>
        </w:rPr>
      </w:pPr>
    </w:p>
    <w:p w14:paraId="01309977" w14:textId="77777777" w:rsidR="003F490F" w:rsidRPr="0050323E" w:rsidRDefault="003F490F">
      <w:pPr>
        <w:spacing w:line="360" w:lineRule="auto"/>
        <w:jc w:val="both"/>
        <w:rPr>
          <w:rFonts w:ascii="Palatino Linotype" w:eastAsia="Palatino Linotype" w:hAnsi="Palatino Linotype" w:cs="Palatino Linotype"/>
        </w:rPr>
      </w:pPr>
    </w:p>
    <w:p w14:paraId="407C1BFC" w14:textId="77777777" w:rsidR="003F490F" w:rsidRPr="0050323E" w:rsidRDefault="003F490F">
      <w:pPr>
        <w:spacing w:line="360" w:lineRule="auto"/>
        <w:jc w:val="both"/>
        <w:rPr>
          <w:rFonts w:ascii="Palatino Linotype" w:eastAsia="Palatino Linotype" w:hAnsi="Palatino Linotype" w:cs="Palatino Linotype"/>
        </w:rPr>
      </w:pPr>
    </w:p>
    <w:p w14:paraId="744A5D66" w14:textId="77777777" w:rsidR="003F490F" w:rsidRPr="0050323E" w:rsidRDefault="003F490F">
      <w:pPr>
        <w:spacing w:line="360" w:lineRule="auto"/>
        <w:jc w:val="both"/>
        <w:rPr>
          <w:rFonts w:ascii="Palatino Linotype" w:eastAsia="Palatino Linotype" w:hAnsi="Palatino Linotype" w:cs="Palatino Linotype"/>
        </w:rPr>
      </w:pPr>
    </w:p>
    <w:sectPr w:rsidR="003F490F" w:rsidRPr="0050323E">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0579" w14:textId="77777777" w:rsidR="00B20F1B" w:rsidRDefault="00B20F1B">
      <w:r>
        <w:separator/>
      </w:r>
    </w:p>
  </w:endnote>
  <w:endnote w:type="continuationSeparator" w:id="0">
    <w:p w14:paraId="21D3C20E" w14:textId="77777777" w:rsidR="00B20F1B" w:rsidRDefault="00B2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7234" w14:textId="77777777" w:rsidR="00515B5A" w:rsidRDefault="00515B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47F3">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47F3">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B96086F" w14:textId="77777777" w:rsidR="00515B5A" w:rsidRDefault="00515B5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5F82" w14:textId="77777777" w:rsidR="00515B5A" w:rsidRDefault="00515B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D47F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D47F3">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46D5C303" w14:textId="77777777" w:rsidR="00515B5A" w:rsidRDefault="00515B5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1D37" w14:textId="77777777" w:rsidR="00B20F1B" w:rsidRDefault="00B20F1B">
      <w:r>
        <w:separator/>
      </w:r>
    </w:p>
  </w:footnote>
  <w:footnote w:type="continuationSeparator" w:id="0">
    <w:p w14:paraId="7AC64382" w14:textId="77777777" w:rsidR="00B20F1B" w:rsidRDefault="00B20F1B">
      <w:r>
        <w:continuationSeparator/>
      </w:r>
    </w:p>
  </w:footnote>
  <w:footnote w:id="1">
    <w:p w14:paraId="4DD36CFB" w14:textId="77777777" w:rsidR="00515B5A" w:rsidRPr="00C84290" w:rsidRDefault="00515B5A" w:rsidP="00D10E68">
      <w:pPr>
        <w:pStyle w:val="Textonotapie"/>
        <w:jc w:val="both"/>
        <w:rPr>
          <w:rFonts w:ascii="Palatino Linotype" w:hAnsi="Palatino Linotype"/>
          <w:sz w:val="16"/>
          <w:szCs w:val="16"/>
          <w:lang w:val="es-ES"/>
        </w:rPr>
      </w:pPr>
      <w:r w:rsidRPr="00C84290">
        <w:rPr>
          <w:rStyle w:val="Refdenotaalpie"/>
          <w:rFonts w:ascii="Palatino Linotype" w:hAnsi="Palatino Linotype"/>
          <w:sz w:val="16"/>
          <w:szCs w:val="16"/>
        </w:rPr>
        <w:footnoteRef/>
      </w:r>
      <w:r w:rsidRPr="00C84290">
        <w:rPr>
          <w:rFonts w:ascii="Palatino Linotype" w:hAnsi="Palatino Linotype"/>
          <w:sz w:val="16"/>
          <w:szCs w:val="16"/>
        </w:rPr>
        <w:t xml:space="preserve"> </w:t>
      </w:r>
      <w:r w:rsidRPr="00C84290">
        <w:rPr>
          <w:rFonts w:ascii="Palatino Linotype" w:hAnsi="Palatino Linotype"/>
          <w:b/>
          <w:sz w:val="16"/>
          <w:szCs w:val="16"/>
          <w:lang w:val="es-ES"/>
        </w:rPr>
        <w:t>Artículo 179.</w:t>
      </w:r>
      <w:r w:rsidRPr="00C84290">
        <w:rPr>
          <w:rFonts w:ascii="Palatino Linotype" w:hAnsi="Palatino Linotype"/>
          <w:sz w:val="16"/>
          <w:szCs w:val="16"/>
          <w:lang w:val="es-ES"/>
        </w:rPr>
        <w:t xml:space="preserve"> El recurso de revisión es un medio de protección que la Ley otorga a los particulares, para hacer valer su derecho de acceso a la información pública, y procederá en contra de las siguientes causas: I. La negativa a la información solicitada; II. La clasificación de la información; III. La declaración de inexistencia de la información; IV. La declaración de incompetencia por el sujeto obligado; V. La entrega de información incompleta; VI. La entrega de información que no corresponda con lo solicitado; VII. La falta de respuesta a una solicitud de acceso a la información; VIII. La notificación, entrega o puesta a disposición de información en una modalidad o formato distinto al solicitado; IX. La entrega o puesta a disposición de información en un formato incomprensible y/o no accesible para el solicitante; X. Los costos o tiempos de entrega de la información; XI. La falta de trámite a una solicitud; XII. La negativa a permitir la consulta directa de la información; XIII. La falta, deficiencia o insuficiencia de la fundamentación y/o motivación en la respuesta; y XIV. La orientación a un trámite específico. 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footnote>
  <w:footnote w:id="2">
    <w:p w14:paraId="4308C78E" w14:textId="77777777" w:rsidR="00515B5A" w:rsidRPr="00C84290" w:rsidRDefault="00515B5A" w:rsidP="00D10E68">
      <w:pPr>
        <w:pStyle w:val="Textonotapie"/>
        <w:jc w:val="both"/>
        <w:rPr>
          <w:rFonts w:ascii="Palatino Linotype" w:hAnsi="Palatino Linotype"/>
          <w:sz w:val="16"/>
          <w:szCs w:val="16"/>
          <w:lang w:val="es-ES"/>
        </w:rPr>
      </w:pPr>
      <w:r w:rsidRPr="00C84290">
        <w:rPr>
          <w:rStyle w:val="Refdenotaalpie"/>
          <w:rFonts w:ascii="Palatino Linotype" w:hAnsi="Palatino Linotype"/>
          <w:sz w:val="16"/>
          <w:szCs w:val="16"/>
        </w:rPr>
        <w:footnoteRef/>
      </w:r>
      <w:r w:rsidRPr="00C84290">
        <w:rPr>
          <w:rFonts w:ascii="Palatino Linotype" w:hAnsi="Palatino Linotype"/>
          <w:sz w:val="16"/>
          <w:szCs w:val="16"/>
        </w:rPr>
        <w:t xml:space="preserve"> </w:t>
      </w:r>
      <w:r w:rsidRPr="00C84290">
        <w:rPr>
          <w:rFonts w:ascii="Palatino Linotype" w:hAnsi="Palatino Linotype"/>
          <w:b/>
          <w:sz w:val="16"/>
          <w:szCs w:val="16"/>
          <w:lang w:val="es-ES"/>
        </w:rPr>
        <w:t>Artículo 150.</w:t>
      </w:r>
      <w:r w:rsidRPr="00C84290">
        <w:rPr>
          <w:rFonts w:ascii="Palatino Linotype" w:hAnsi="Palatino Linotype"/>
          <w:sz w:val="16"/>
          <w:szCs w:val="16"/>
          <w:lang w:val="es-ES"/>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96AE" w14:textId="1D339D9C" w:rsidR="00515B5A" w:rsidRPr="005E7115" w:rsidRDefault="00515B5A">
    <w:pPr>
      <w:rPr>
        <w:rFonts w:ascii="Cambria" w:eastAsia="Cambria" w:hAnsi="Cambria" w:cs="Cambria"/>
        <w:color w:val="000000"/>
      </w:rPr>
    </w:pPr>
    <w:r w:rsidRPr="005E7115">
      <w:rPr>
        <w:noProof/>
      </w:rPr>
      <w:drawing>
        <wp:anchor distT="0" distB="0" distL="0" distR="0" simplePos="0" relativeHeight="251658240" behindDoc="1" locked="0" layoutInCell="1" hidden="0" allowOverlap="1" wp14:anchorId="0C66B2F5" wp14:editId="3A8636BA">
          <wp:simplePos x="0" y="0"/>
          <wp:positionH relativeFrom="column">
            <wp:posOffset>-1080091</wp:posOffset>
          </wp:positionH>
          <wp:positionV relativeFrom="paragraph">
            <wp:posOffset>-488262</wp:posOffset>
          </wp:positionV>
          <wp:extent cx="7809865" cy="10165715"/>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a"/>
      <w:tblW w:w="5953" w:type="dxa"/>
      <w:tblInd w:w="3261" w:type="dxa"/>
      <w:tblLayout w:type="fixed"/>
      <w:tblLook w:val="0400" w:firstRow="0" w:lastRow="0" w:firstColumn="0" w:lastColumn="0" w:noHBand="0" w:noVBand="1"/>
    </w:tblPr>
    <w:tblGrid>
      <w:gridCol w:w="2489"/>
      <w:gridCol w:w="3464"/>
    </w:tblGrid>
    <w:tr w:rsidR="00515B5A" w:rsidRPr="005E7115" w14:paraId="46030B85" w14:textId="77777777">
      <w:tc>
        <w:tcPr>
          <w:tcW w:w="2489" w:type="dxa"/>
        </w:tcPr>
        <w:p w14:paraId="65B2364C" w14:textId="77777777" w:rsidR="00515B5A" w:rsidRPr="005E7115" w:rsidRDefault="00515B5A">
          <w:pPr>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Recurso de Revisión:</w:t>
          </w:r>
        </w:p>
      </w:tc>
      <w:tc>
        <w:tcPr>
          <w:tcW w:w="3464" w:type="dxa"/>
          <w:vAlign w:val="center"/>
        </w:tcPr>
        <w:p w14:paraId="00D9FE72" w14:textId="75BABE84" w:rsidR="00515B5A" w:rsidRPr="005E7115" w:rsidRDefault="00515B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05844</w:t>
          </w:r>
          <w:r w:rsidRPr="005E7115">
            <w:rPr>
              <w:rFonts w:ascii="Palatino Linotype" w:eastAsia="Palatino Linotype" w:hAnsi="Palatino Linotype" w:cs="Palatino Linotype"/>
              <w:b/>
              <w:sz w:val="22"/>
              <w:szCs w:val="22"/>
            </w:rPr>
            <w:t>/INFOEM/IP/RR/2025</w:t>
          </w:r>
        </w:p>
      </w:tc>
    </w:tr>
    <w:tr w:rsidR="00515B5A" w:rsidRPr="005E7115" w14:paraId="7B185937" w14:textId="77777777">
      <w:trPr>
        <w:trHeight w:val="228"/>
      </w:trPr>
      <w:tc>
        <w:tcPr>
          <w:tcW w:w="2489" w:type="dxa"/>
          <w:vAlign w:val="center"/>
        </w:tcPr>
        <w:p w14:paraId="7DDDB851" w14:textId="77777777" w:rsidR="00515B5A" w:rsidRPr="005E7115" w:rsidRDefault="00515B5A">
          <w:pPr>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Sujeto Obligado:</w:t>
          </w:r>
        </w:p>
      </w:tc>
      <w:tc>
        <w:tcPr>
          <w:tcW w:w="3464" w:type="dxa"/>
          <w:vAlign w:val="center"/>
        </w:tcPr>
        <w:p w14:paraId="3DF50046" w14:textId="251F1F04" w:rsidR="00515B5A" w:rsidRPr="005E7115" w:rsidRDefault="00515B5A">
          <w:pPr>
            <w:ind w:left="-45" w:right="176"/>
            <w:jc w:val="both"/>
            <w:rPr>
              <w:rFonts w:ascii="Palatino Linotype" w:eastAsia="Palatino Linotype" w:hAnsi="Palatino Linotype" w:cs="Palatino Linotype"/>
              <w:b/>
              <w:sz w:val="22"/>
              <w:szCs w:val="22"/>
            </w:rPr>
          </w:pPr>
          <w:r w:rsidRPr="009E282A">
            <w:rPr>
              <w:rFonts w:ascii="Palatino Linotype" w:eastAsia="Palatino Linotype" w:hAnsi="Palatino Linotype" w:cs="Palatino Linotype"/>
              <w:b/>
              <w:sz w:val="22"/>
              <w:szCs w:val="22"/>
            </w:rPr>
            <w:t>Ayuntamiento de Toluca</w:t>
          </w:r>
        </w:p>
      </w:tc>
    </w:tr>
    <w:tr w:rsidR="00515B5A" w14:paraId="4173FD4B" w14:textId="77777777">
      <w:tc>
        <w:tcPr>
          <w:tcW w:w="2489" w:type="dxa"/>
          <w:vAlign w:val="center"/>
        </w:tcPr>
        <w:p w14:paraId="70238060" w14:textId="77777777" w:rsidR="00515B5A" w:rsidRPr="005E7115" w:rsidRDefault="00515B5A">
          <w:pPr>
            <w:ind w:right="-108"/>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Comisionada ponente:</w:t>
          </w:r>
        </w:p>
      </w:tc>
      <w:tc>
        <w:tcPr>
          <w:tcW w:w="3464" w:type="dxa"/>
          <w:vAlign w:val="center"/>
        </w:tcPr>
        <w:p w14:paraId="1D00C436" w14:textId="77777777" w:rsidR="00515B5A" w:rsidRDefault="00515B5A">
          <w:pPr>
            <w:ind w:right="175"/>
            <w:jc w:val="both"/>
            <w:rPr>
              <w:rFonts w:ascii="Palatino Linotype" w:eastAsia="Palatino Linotype" w:hAnsi="Palatino Linotype" w:cs="Palatino Linotype"/>
              <w:b/>
              <w:sz w:val="22"/>
              <w:szCs w:val="22"/>
            </w:rPr>
          </w:pPr>
          <w:r w:rsidRPr="005E7115">
            <w:rPr>
              <w:rFonts w:ascii="Palatino Linotype" w:eastAsia="Palatino Linotype" w:hAnsi="Palatino Linotype" w:cs="Palatino Linotype"/>
              <w:b/>
              <w:sz w:val="22"/>
              <w:szCs w:val="22"/>
            </w:rPr>
            <w:t>Guadalupe Ramírez Peña</w:t>
          </w:r>
        </w:p>
      </w:tc>
    </w:tr>
  </w:tbl>
  <w:p w14:paraId="19C9107F" w14:textId="77777777" w:rsidR="00515B5A" w:rsidRDefault="00515B5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6DE1" w14:textId="77777777" w:rsidR="00515B5A" w:rsidRDefault="00515B5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0500809" wp14:editId="09510682">
          <wp:simplePos x="0" y="0"/>
          <wp:positionH relativeFrom="column">
            <wp:posOffset>-1080134</wp:posOffset>
          </wp:positionH>
          <wp:positionV relativeFrom="paragraph">
            <wp:posOffset>-369892</wp:posOffset>
          </wp:positionV>
          <wp:extent cx="7809865" cy="10165715"/>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515B5A" w14:paraId="46A4F7FC" w14:textId="77777777">
      <w:tc>
        <w:tcPr>
          <w:tcW w:w="2489" w:type="dxa"/>
        </w:tcPr>
        <w:p w14:paraId="5EB44C38" w14:textId="77777777" w:rsidR="00515B5A" w:rsidRDefault="00515B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5DCE75F" w14:textId="426E3E0D" w:rsidR="00515B5A" w:rsidRDefault="00515B5A" w:rsidP="009E282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05844/INFOEM/IP/RR/2025</w:t>
          </w:r>
        </w:p>
      </w:tc>
    </w:tr>
    <w:tr w:rsidR="00515B5A" w14:paraId="595F6903" w14:textId="77777777">
      <w:tc>
        <w:tcPr>
          <w:tcW w:w="2489" w:type="dxa"/>
        </w:tcPr>
        <w:p w14:paraId="41CA5B88" w14:textId="77777777" w:rsidR="00515B5A" w:rsidRDefault="00515B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0B265A35" w14:textId="5819860F" w:rsidR="00515B5A" w:rsidRDefault="00515B5A">
          <w:pPr>
            <w:ind w:right="175"/>
            <w:jc w:val="both"/>
            <w:rPr>
              <w:rFonts w:ascii="Palatino Linotype" w:eastAsia="Palatino Linotype" w:hAnsi="Palatino Linotype" w:cs="Palatino Linotype"/>
              <w:b/>
              <w:color w:val="FF0000"/>
              <w:sz w:val="22"/>
              <w:szCs w:val="22"/>
              <w:highlight w:val="yellow"/>
            </w:rPr>
          </w:pPr>
        </w:p>
      </w:tc>
    </w:tr>
    <w:tr w:rsidR="00515B5A" w14:paraId="75A976B9" w14:textId="77777777">
      <w:trPr>
        <w:trHeight w:val="228"/>
      </w:trPr>
      <w:tc>
        <w:tcPr>
          <w:tcW w:w="2489" w:type="dxa"/>
          <w:vAlign w:val="center"/>
        </w:tcPr>
        <w:p w14:paraId="3C4C760D" w14:textId="77777777" w:rsidR="00515B5A" w:rsidRDefault="00515B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9A205" w14:textId="3505725B" w:rsidR="00515B5A" w:rsidRDefault="00515B5A">
          <w:pPr>
            <w:ind w:left="-45" w:right="176"/>
            <w:jc w:val="both"/>
            <w:rPr>
              <w:rFonts w:ascii="Palatino Linotype" w:eastAsia="Palatino Linotype" w:hAnsi="Palatino Linotype" w:cs="Palatino Linotype"/>
              <w:b/>
              <w:sz w:val="22"/>
              <w:szCs w:val="22"/>
            </w:rPr>
          </w:pPr>
          <w:r w:rsidRPr="009E282A">
            <w:rPr>
              <w:rFonts w:ascii="Palatino Linotype" w:eastAsia="Palatino Linotype" w:hAnsi="Palatino Linotype" w:cs="Palatino Linotype"/>
              <w:b/>
              <w:sz w:val="22"/>
              <w:szCs w:val="22"/>
            </w:rPr>
            <w:t>Ayuntamiento de Toluca</w:t>
          </w:r>
        </w:p>
      </w:tc>
    </w:tr>
    <w:tr w:rsidR="00515B5A" w14:paraId="3F8B7611" w14:textId="77777777">
      <w:tc>
        <w:tcPr>
          <w:tcW w:w="2489" w:type="dxa"/>
          <w:vAlign w:val="center"/>
        </w:tcPr>
        <w:p w14:paraId="013CA068" w14:textId="77777777" w:rsidR="00515B5A" w:rsidRDefault="00515B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DE25960" w14:textId="77777777" w:rsidR="00515B5A" w:rsidRDefault="00515B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3D4660" w14:textId="77777777" w:rsidR="00515B5A" w:rsidRDefault="00515B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D6486"/>
    <w:multiLevelType w:val="multilevel"/>
    <w:tmpl w:val="765C30A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0F"/>
    <w:rsid w:val="000405BC"/>
    <w:rsid w:val="00072B0B"/>
    <w:rsid w:val="000E2880"/>
    <w:rsid w:val="0012455C"/>
    <w:rsid w:val="0014292A"/>
    <w:rsid w:val="00147C13"/>
    <w:rsid w:val="0015484D"/>
    <w:rsid w:val="001645BF"/>
    <w:rsid w:val="001B4BB6"/>
    <w:rsid w:val="001C15C3"/>
    <w:rsid w:val="001C3B0E"/>
    <w:rsid w:val="00201C28"/>
    <w:rsid w:val="002531C2"/>
    <w:rsid w:val="0028573B"/>
    <w:rsid w:val="002979FD"/>
    <w:rsid w:val="002B5A98"/>
    <w:rsid w:val="00310627"/>
    <w:rsid w:val="00312A68"/>
    <w:rsid w:val="00327EBA"/>
    <w:rsid w:val="0033255D"/>
    <w:rsid w:val="003515C9"/>
    <w:rsid w:val="003D26E2"/>
    <w:rsid w:val="003F0C22"/>
    <w:rsid w:val="003F490F"/>
    <w:rsid w:val="003F648F"/>
    <w:rsid w:val="004136F2"/>
    <w:rsid w:val="004A3D43"/>
    <w:rsid w:val="004F4ACD"/>
    <w:rsid w:val="0050323E"/>
    <w:rsid w:val="00515B5A"/>
    <w:rsid w:val="005959FF"/>
    <w:rsid w:val="005A5257"/>
    <w:rsid w:val="005B5819"/>
    <w:rsid w:val="005E7115"/>
    <w:rsid w:val="006062DF"/>
    <w:rsid w:val="00666115"/>
    <w:rsid w:val="0066703C"/>
    <w:rsid w:val="006E2530"/>
    <w:rsid w:val="00765B1B"/>
    <w:rsid w:val="007A7C00"/>
    <w:rsid w:val="007B3381"/>
    <w:rsid w:val="007D47F3"/>
    <w:rsid w:val="007D6809"/>
    <w:rsid w:val="007F55EC"/>
    <w:rsid w:val="00807331"/>
    <w:rsid w:val="008103C2"/>
    <w:rsid w:val="008C781B"/>
    <w:rsid w:val="008D1F5B"/>
    <w:rsid w:val="008E39EB"/>
    <w:rsid w:val="00984606"/>
    <w:rsid w:val="009E282A"/>
    <w:rsid w:val="00A508FD"/>
    <w:rsid w:val="00A7259A"/>
    <w:rsid w:val="00B20F1B"/>
    <w:rsid w:val="00B34676"/>
    <w:rsid w:val="00B6529C"/>
    <w:rsid w:val="00B944E4"/>
    <w:rsid w:val="00BA5AA6"/>
    <w:rsid w:val="00BE07F4"/>
    <w:rsid w:val="00CB2834"/>
    <w:rsid w:val="00CD7D01"/>
    <w:rsid w:val="00D10E68"/>
    <w:rsid w:val="00D27B31"/>
    <w:rsid w:val="00D63A75"/>
    <w:rsid w:val="00D868F8"/>
    <w:rsid w:val="00DA3E8B"/>
    <w:rsid w:val="00DA76FA"/>
    <w:rsid w:val="00E54384"/>
    <w:rsid w:val="00E661DA"/>
    <w:rsid w:val="00E712DD"/>
    <w:rsid w:val="00E86644"/>
    <w:rsid w:val="00EB1581"/>
    <w:rsid w:val="00EC5D8E"/>
    <w:rsid w:val="00F54DC3"/>
    <w:rsid w:val="00F82444"/>
    <w:rsid w:val="00F92F55"/>
    <w:rsid w:val="00FB0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BEA8"/>
  <w15:docId w15:val="{DDB22B11-C6F9-4287-AA03-AE12453B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4kb4C1Apq6IplV4wOfIQ5fzjcw==">CgMxLjAyCWguM3JkY3JqbjIOaC5kYWozajJ4bzZxNjYyCGguZ2pkZ3hzMgloLjNkeTZ2a20yCWguMzBqMHpsbDIJaC4yczhleW8xMghoLnR5amN3dDIJaC4zem55c2g3MgloLjJldDkycDAyCWguMXQzaDVzZjIJaC4xZm9iOXRlMg5oLmhuenhzY2g1Z3lzejIOaC5vdDNxcTZ2eGEwOGYyCGgubG54Yno5OAByITF1TnlQc2ZGd3ZTdmtqNU92M0VVU0NOMklMeXAxcTBo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9272</Words>
  <Characters>50998</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2025-08-22T18:51:00Z</cp:lastPrinted>
  <dcterms:created xsi:type="dcterms:W3CDTF">2025-09-04T22:54:00Z</dcterms:created>
  <dcterms:modified xsi:type="dcterms:W3CDTF">2025-09-04T22:54:00Z</dcterms:modified>
</cp:coreProperties>
</file>