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25" w:rsidRPr="00007E7A" w:rsidRDefault="005C06A9" w:rsidP="00007E7A">
      <w:pP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R</w:t>
      </w:r>
      <w:bookmarkStart w:id="0" w:name="_GoBack"/>
      <w:bookmarkEnd w:id="0"/>
      <w:r w:rsidRPr="00007E7A">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00007E7A">
        <w:rPr>
          <w:rFonts w:ascii="Palatino Linotype" w:eastAsia="Palatino Linotype" w:hAnsi="Palatino Linotype" w:cs="Palatino Linotype"/>
          <w:b/>
          <w:color w:val="000000" w:themeColor="text1"/>
        </w:rPr>
        <w:t xml:space="preserve">de fecha veinticinco (25) </w:t>
      </w:r>
      <w:r w:rsidR="00007E7A" w:rsidRPr="00157555">
        <w:rPr>
          <w:rFonts w:ascii="Palatino Linotype" w:eastAsia="Palatino Linotype" w:hAnsi="Palatino Linotype" w:cs="Palatino Linotype"/>
          <w:b/>
          <w:color w:val="000000" w:themeColor="text1"/>
        </w:rPr>
        <w:t xml:space="preserve">de </w:t>
      </w:r>
      <w:r w:rsidR="00007E7A">
        <w:rPr>
          <w:rFonts w:ascii="Palatino Linotype" w:eastAsia="Palatino Linotype" w:hAnsi="Palatino Linotype" w:cs="Palatino Linotype"/>
          <w:b/>
          <w:color w:val="000000" w:themeColor="text1"/>
        </w:rPr>
        <w:t xml:space="preserve">noviembre </w:t>
      </w:r>
      <w:r w:rsidR="00007E7A" w:rsidRPr="00157555">
        <w:rPr>
          <w:rFonts w:ascii="Palatino Linotype" w:eastAsia="Palatino Linotype" w:hAnsi="Palatino Linotype" w:cs="Palatino Linotype"/>
          <w:b/>
          <w:color w:val="000000" w:themeColor="text1"/>
        </w:rPr>
        <w:t>de dos mil veinticinco</w:t>
      </w:r>
      <w:r w:rsidRPr="00007E7A">
        <w:rPr>
          <w:rFonts w:ascii="Palatino Linotype" w:eastAsia="Palatino Linotype" w:hAnsi="Palatino Linotype" w:cs="Palatino Linotype"/>
          <w:color w:val="000000" w:themeColor="text1"/>
        </w:rPr>
        <w:t>.</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5C06A9" w:rsidP="00007E7A">
      <w:pP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VISTO</w:t>
      </w:r>
      <w:r w:rsidRPr="00007E7A">
        <w:rPr>
          <w:rFonts w:ascii="Palatino Linotype" w:eastAsia="Palatino Linotype" w:hAnsi="Palatino Linotype" w:cs="Palatino Linotype"/>
          <w:color w:val="000000" w:themeColor="text1"/>
        </w:rPr>
        <w:t xml:space="preserve"> el expediente electrónico formado con motivo del recurso de revisión </w:t>
      </w:r>
      <w:r w:rsidRPr="00007E7A">
        <w:rPr>
          <w:rFonts w:ascii="Palatino Linotype" w:eastAsia="Palatino Linotype" w:hAnsi="Palatino Linotype" w:cs="Palatino Linotype"/>
          <w:b/>
          <w:bCs/>
          <w:color w:val="000000" w:themeColor="text1"/>
        </w:rPr>
        <w:t xml:space="preserve">07528/INFOEM/IP/RR/2025, </w:t>
      </w:r>
      <w:r w:rsidRPr="00007E7A">
        <w:rPr>
          <w:rFonts w:ascii="Palatino Linotype" w:eastAsia="Palatino Linotype" w:hAnsi="Palatino Linotype" w:cs="Palatino Linotype"/>
          <w:color w:val="000000" w:themeColor="text1"/>
        </w:rPr>
        <w:t xml:space="preserve">promovido por </w:t>
      </w:r>
      <w:r w:rsidR="00E1732F">
        <w:rPr>
          <w:rFonts w:ascii="Palatino Linotype" w:eastAsia="Palatino Linotype" w:hAnsi="Palatino Linotype" w:cs="Palatino Linotype"/>
          <w:b/>
          <w:bCs/>
          <w:color w:val="000000" w:themeColor="text1"/>
        </w:rPr>
        <w:t>XXXX</w:t>
      </w:r>
      <w:r w:rsidRPr="00007E7A">
        <w:rPr>
          <w:rFonts w:ascii="Palatino Linotype" w:eastAsia="Palatino Linotype" w:hAnsi="Palatino Linotype" w:cs="Palatino Linotype"/>
          <w:b/>
          <w:bCs/>
          <w:color w:val="000000" w:themeColor="text1"/>
        </w:rPr>
        <w:t>,</w:t>
      </w:r>
      <w:r w:rsidRPr="00007E7A">
        <w:rPr>
          <w:rFonts w:ascii="Palatino Linotype" w:eastAsia="Palatino Linotype" w:hAnsi="Palatino Linotype" w:cs="Palatino Linotype"/>
          <w:color w:val="000000" w:themeColor="text1"/>
        </w:rPr>
        <w:t xml:space="preserve"> en lo sucesivo el</w:t>
      </w:r>
      <w:r w:rsidRPr="00007E7A">
        <w:rPr>
          <w:rFonts w:ascii="Palatino Linotype" w:eastAsia="Palatino Linotype" w:hAnsi="Palatino Linotype" w:cs="Palatino Linotype"/>
          <w:b/>
          <w:bCs/>
          <w:color w:val="000000" w:themeColor="text1"/>
        </w:rPr>
        <w:t xml:space="preserve"> RECURRENTE,</w:t>
      </w:r>
      <w:r w:rsidRPr="00007E7A">
        <w:rPr>
          <w:rFonts w:ascii="Palatino Linotype" w:eastAsia="Palatino Linotype" w:hAnsi="Palatino Linotype" w:cs="Palatino Linotype"/>
          <w:color w:val="000000" w:themeColor="text1"/>
        </w:rPr>
        <w:t xml:space="preserve"> en contra de la respuesta del </w:t>
      </w:r>
      <w:r w:rsidRPr="00007E7A">
        <w:rPr>
          <w:rFonts w:ascii="Palatino Linotype" w:eastAsia="Palatino Linotype" w:hAnsi="Palatino Linotype" w:cs="Palatino Linotype"/>
          <w:b/>
          <w:bCs/>
          <w:color w:val="000000" w:themeColor="text1"/>
        </w:rPr>
        <w:t xml:space="preserve">Instituto Electoral del Estado de México, </w:t>
      </w:r>
      <w:r w:rsidRPr="00007E7A">
        <w:rPr>
          <w:rFonts w:ascii="Palatino Linotype" w:eastAsia="Palatino Linotype" w:hAnsi="Palatino Linotype" w:cs="Palatino Linotype"/>
          <w:color w:val="000000" w:themeColor="text1"/>
        </w:rPr>
        <w:t xml:space="preserve">en </w:t>
      </w:r>
      <w:r w:rsidR="00A85D8C">
        <w:rPr>
          <w:rFonts w:ascii="Palatino Linotype" w:eastAsia="Palatino Linotype" w:hAnsi="Palatino Linotype" w:cs="Palatino Linotype"/>
          <w:color w:val="000000" w:themeColor="text1"/>
        </w:rPr>
        <w:t>adelante</w:t>
      </w:r>
      <w:r w:rsidRPr="00007E7A">
        <w:rPr>
          <w:rFonts w:ascii="Palatino Linotype" w:eastAsia="Palatino Linotype" w:hAnsi="Palatino Linotype" w:cs="Palatino Linotype"/>
          <w:color w:val="000000" w:themeColor="text1"/>
        </w:rPr>
        <w:t xml:space="preserve"> el</w:t>
      </w:r>
      <w:r w:rsidRPr="00007E7A">
        <w:rPr>
          <w:rFonts w:ascii="Palatino Linotype" w:eastAsia="Palatino Linotype" w:hAnsi="Palatino Linotype" w:cs="Palatino Linotype"/>
          <w:b/>
          <w:bCs/>
          <w:color w:val="000000" w:themeColor="text1"/>
        </w:rPr>
        <w:t xml:space="preserve"> SUJETO OBLIGADO</w:t>
      </w:r>
      <w:r w:rsidRPr="00007E7A">
        <w:rPr>
          <w:rFonts w:ascii="Palatino Linotype" w:eastAsia="Palatino Linotype" w:hAnsi="Palatino Linotype" w:cs="Palatino Linotype"/>
          <w:color w:val="000000" w:themeColor="text1"/>
        </w:rPr>
        <w:t>, por lo que se procede a dictar la presente resolución, con base en los siguientes:</w:t>
      </w:r>
    </w:p>
    <w:p w:rsidR="00AC2325" w:rsidRDefault="00AC2325" w:rsidP="00007E7A">
      <w:pPr>
        <w:jc w:val="both"/>
        <w:rPr>
          <w:rFonts w:ascii="Palatino Linotype" w:eastAsia="Palatino Linotype" w:hAnsi="Palatino Linotype" w:cs="Palatino Linotype"/>
          <w:color w:val="000000" w:themeColor="text1"/>
        </w:rPr>
      </w:pPr>
    </w:p>
    <w:p w:rsidR="00A85D8C" w:rsidRPr="00007E7A" w:rsidRDefault="00A85D8C" w:rsidP="00007E7A">
      <w:pPr>
        <w:jc w:val="both"/>
        <w:rPr>
          <w:rFonts w:ascii="Palatino Linotype" w:eastAsia="Palatino Linotype" w:hAnsi="Palatino Linotype" w:cs="Palatino Linotype"/>
          <w:color w:val="000000" w:themeColor="text1"/>
        </w:rPr>
      </w:pPr>
    </w:p>
    <w:p w:rsidR="00AC2325" w:rsidRPr="00007E7A" w:rsidRDefault="005C06A9" w:rsidP="00007E7A">
      <w:pPr>
        <w:keepNext/>
        <w:keepLines/>
        <w:spacing w:line="360" w:lineRule="auto"/>
        <w:jc w:val="center"/>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A N T E C E D E N T E S</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El </w:t>
      </w:r>
      <w:r w:rsidRPr="00007E7A">
        <w:rPr>
          <w:rFonts w:ascii="Palatino Linotype" w:eastAsia="Palatino Linotype" w:hAnsi="Palatino Linotype" w:cs="Palatino Linotype"/>
          <w:b/>
          <w:bCs/>
          <w:color w:val="000000" w:themeColor="text1"/>
        </w:rPr>
        <w:t>diez de junio de dos mil veinticinco</w:t>
      </w:r>
      <w:r w:rsidRPr="00007E7A">
        <w:rPr>
          <w:rFonts w:ascii="Palatino Linotype" w:eastAsia="Palatino Linotype" w:hAnsi="Palatino Linotype" w:cs="Palatino Linotype"/>
          <w:color w:val="000000" w:themeColor="text1"/>
        </w:rPr>
        <w:t>, la</w:t>
      </w:r>
      <w:r w:rsidRPr="00007E7A">
        <w:rPr>
          <w:rFonts w:ascii="Palatino Linotype" w:eastAsia="Palatino Linotype" w:hAnsi="Palatino Linotype" w:cs="Palatino Linotype"/>
          <w:b/>
          <w:bCs/>
          <w:color w:val="000000" w:themeColor="text1"/>
        </w:rPr>
        <w:t xml:space="preserve"> RECURRENTE </w:t>
      </w:r>
      <w:r w:rsidRPr="00007E7A">
        <w:rPr>
          <w:rFonts w:ascii="Palatino Linotype" w:eastAsia="Palatino Linotype" w:hAnsi="Palatino Linotype" w:cs="Palatino Linotype"/>
          <w:color w:val="000000" w:themeColor="text1"/>
        </w:rPr>
        <w:t xml:space="preserve">presentó ante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a través del el Sistema de Acceso a la Información Mexiquense </w:t>
      </w:r>
      <w:r w:rsidRPr="00007E7A">
        <w:rPr>
          <w:rFonts w:ascii="Palatino Linotype" w:eastAsia="Palatino Linotype" w:hAnsi="Palatino Linotype" w:cs="Palatino Linotype"/>
          <w:b/>
          <w:bCs/>
          <w:color w:val="000000" w:themeColor="text1"/>
        </w:rPr>
        <w:t>(SAIMEX),</w:t>
      </w:r>
      <w:r w:rsidRPr="00007E7A">
        <w:rPr>
          <w:rFonts w:ascii="Palatino Linotype" w:eastAsia="Palatino Linotype" w:hAnsi="Palatino Linotype" w:cs="Palatino Linotype"/>
          <w:color w:val="000000" w:themeColor="text1"/>
        </w:rPr>
        <w:t xml:space="preserve"> la solicitud de información pública </w:t>
      </w:r>
      <w:r w:rsidRPr="00007E7A">
        <w:rPr>
          <w:rFonts w:ascii="Palatino Linotype" w:eastAsia="Palatino Linotype" w:hAnsi="Palatino Linotype" w:cs="Palatino Linotype"/>
          <w:b/>
          <w:bCs/>
          <w:color w:val="000000" w:themeColor="text1"/>
        </w:rPr>
        <w:t>01035/IEEM/IP/2025</w:t>
      </w:r>
      <w:r w:rsidRPr="00007E7A">
        <w:rPr>
          <w:rFonts w:ascii="Palatino Linotype" w:eastAsia="Palatino Linotype" w:hAnsi="Palatino Linotype" w:cs="Palatino Linotype"/>
          <w:color w:val="000000" w:themeColor="text1"/>
        </w:rPr>
        <w:t>, en la que solicitó:</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5C06A9" w:rsidP="00007E7A">
      <w:pPr>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“SOLICITO RESPETUOSAMENTE EN FORMATO EXCEL O SIMILAR, LOS RESULTADOS DEL PROCESO ELECTORAL JUDICIAL 2025, CONSIDERANDO LOS RESULTADOS A NIVEL ESTATAL, POR CANDIDATURA, ASÍ COMO POR DISTRITOS JUDICIALES Y CANDIDATURA. ASIMISMO, COMO QUEDARON INTEGRADOS LOS DISTRITOS JUDICIALES EN CUANTO A MUNICIPIOS QUE LOS INTEGRARON Y LAS SECCIONES QUE LOS CONFORMARON, ADEMÁS DE LOS RESULTADOS DEL PROCESO POR MUNICIPIO, SECCION Y CANDIDATURA Y OTRO TIPO DE INFORMACIÓN SOBRE RESULTADOS QUE ME PUEDAN APOYAR EN EL MISMO FORMATO EXCEL O SIMILAR (BASE DE DATOS). GRACIAS” (Sic) </w:t>
      </w:r>
    </w:p>
    <w:p w:rsidR="00AC2325" w:rsidRDefault="00AC2325" w:rsidP="00007E7A">
      <w:pPr>
        <w:pBdr>
          <w:top w:val="nil"/>
          <w:left w:val="nil"/>
          <w:bottom w:val="nil"/>
          <w:right w:val="nil"/>
          <w:between w:val="nil"/>
        </w:pBdr>
        <w:jc w:val="both"/>
        <w:rPr>
          <w:rFonts w:ascii="Palatino Linotype" w:eastAsia="Palatino Linotype" w:hAnsi="Palatino Linotype" w:cs="Palatino Linotype"/>
          <w:color w:val="000000" w:themeColor="text1"/>
        </w:rPr>
      </w:pPr>
    </w:p>
    <w:p w:rsidR="00A85D8C" w:rsidRPr="00007E7A" w:rsidRDefault="00A85D8C" w:rsidP="00007E7A">
      <w:pPr>
        <w:pBdr>
          <w:top w:val="nil"/>
          <w:left w:val="nil"/>
          <w:bottom w:val="nil"/>
          <w:right w:val="nil"/>
          <w:between w:val="nil"/>
        </w:pBdr>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Se hace constar que se señaló como modalidad de entrega de la información a través del </w:t>
      </w:r>
      <w:r w:rsidRPr="00007E7A">
        <w:rPr>
          <w:rFonts w:ascii="Palatino Linotype" w:eastAsia="Palatino Linotype" w:hAnsi="Palatino Linotype" w:cs="Palatino Linotype"/>
          <w:b/>
          <w:bCs/>
          <w:color w:val="000000" w:themeColor="text1"/>
        </w:rPr>
        <w:t>SAIMEX.</w:t>
      </w: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lastRenderedPageBreak/>
        <w:t xml:space="preserve">El </w:t>
      </w:r>
      <w:r w:rsidRPr="00007E7A">
        <w:rPr>
          <w:rFonts w:ascii="Palatino Linotype" w:eastAsia="Palatino Linotype" w:hAnsi="Palatino Linotype" w:cs="Palatino Linotype"/>
          <w:b/>
          <w:bCs/>
          <w:color w:val="000000" w:themeColor="text1"/>
        </w:rPr>
        <w:t>dieciocho de junio de dos mil veinticinco</w:t>
      </w:r>
      <w:r w:rsidRPr="00007E7A">
        <w:rPr>
          <w:rFonts w:ascii="Palatino Linotype" w:eastAsia="Palatino Linotype" w:hAnsi="Palatino Linotype" w:cs="Palatino Linotype"/>
          <w:color w:val="000000" w:themeColor="text1"/>
        </w:rPr>
        <w:t xml:space="preserve">, el </w:t>
      </w:r>
      <w:r w:rsidRPr="00007E7A">
        <w:rPr>
          <w:rFonts w:ascii="Palatino Linotype" w:eastAsia="Palatino Linotype" w:hAnsi="Palatino Linotype" w:cs="Palatino Linotype"/>
          <w:b/>
          <w:bCs/>
          <w:color w:val="000000" w:themeColor="text1"/>
        </w:rPr>
        <w:t xml:space="preserve">SUJETO OBLIGADO, </w:t>
      </w:r>
      <w:r w:rsidRPr="00007E7A">
        <w:rPr>
          <w:rFonts w:ascii="Palatino Linotype" w:eastAsia="Palatino Linotype" w:hAnsi="Palatino Linotype" w:cs="Palatino Linotype"/>
          <w:color w:val="000000" w:themeColor="text1"/>
        </w:rPr>
        <w:t>remitido una carpeta zip, denominada RESPUESTA 1035-2025, misma que contiene los siguientes documentos:</w:t>
      </w:r>
    </w:p>
    <w:p w:rsidR="00AC2325" w:rsidRPr="00007E7A"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Anexo Oficio IEEM-DO1941-2025.pdf: </w:t>
      </w:r>
      <w:r w:rsidRPr="00007E7A">
        <w:rPr>
          <w:rFonts w:ascii="Palatino Linotype" w:eastAsia="Palatino Linotype" w:hAnsi="Palatino Linotype" w:cs="Palatino Linotype"/>
          <w:color w:val="000000" w:themeColor="text1"/>
        </w:rPr>
        <w:t xml:space="preserve">Documento constante de ocho fojas, denominado Anexo de la Solicitud de Acceso a la Información 01035/IEEM/IP/2025, mediante el cual remiten al </w:t>
      </w:r>
      <w:r w:rsidRPr="00007E7A">
        <w:rPr>
          <w:rFonts w:ascii="Palatino Linotype" w:eastAsia="Palatino Linotype" w:hAnsi="Palatino Linotype" w:cs="Palatino Linotype"/>
          <w:b/>
          <w:bCs/>
          <w:color w:val="000000" w:themeColor="text1"/>
        </w:rPr>
        <w:t xml:space="preserve">RECURRENTE, </w:t>
      </w:r>
      <w:r w:rsidRPr="00007E7A">
        <w:rPr>
          <w:rFonts w:ascii="Palatino Linotype" w:eastAsia="Palatino Linotype" w:hAnsi="Palatino Linotype" w:cs="Palatino Linotype"/>
          <w:color w:val="000000" w:themeColor="text1"/>
        </w:rPr>
        <w:t>los links de acceso a la información que solita; así mismo, le informan el procedimiento a seguir a fin de tener a la vista lo requerido.</w:t>
      </w:r>
    </w:p>
    <w:p w:rsidR="00AC2325"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IEEM-DO-1941-2025_ AtenciónSol SAIMEX 01035_2025.docx: </w:t>
      </w:r>
      <w:r w:rsidRPr="00007E7A">
        <w:rPr>
          <w:rFonts w:ascii="Palatino Linotype" w:eastAsia="Palatino Linotype" w:hAnsi="Palatino Linotype" w:cs="Palatino Linotype"/>
          <w:color w:val="000000" w:themeColor="text1"/>
        </w:rPr>
        <w:t xml:space="preserve">Oficio IEEM/DO/1941/2025, de fecha diecisiete de junio de dos mil veinticinco, suscrito por el Director de Organización, a través del cual informan que debido a las etapas del Proceso Electoral, señalada en el Código Electoral del Estado de México, las tablas de los resultados de los cómputos del Proceso Electoral Judicial Extraordinario 2025 del Estado de México, serán publicados dentro de los plazos señalados en el artículo 430 del Reglamento de Elecciones del Instituto Nacional Electoral, por lo que a la fecha de la solicitud aún no se encontraban disponibles para su entrega o consulta, en formaos de base de datos, ni desagregados por municipio o sección electoral; no obstante, los resultados de los cómputos se encuentran disponibles ingresando a la dirección </w:t>
      </w:r>
      <w:hyperlink r:id="rId8" w:anchor="/">
        <w:r w:rsidRPr="00007E7A">
          <w:rPr>
            <w:rFonts w:ascii="Palatino Linotype" w:eastAsia="Arial" w:hAnsi="Palatino Linotype" w:cs="Arial"/>
            <w:color w:val="000000" w:themeColor="text1"/>
            <w:u w:val="single"/>
          </w:rPr>
          <w:t>https://eleccionjudicial2025.ieem.org.mx/#/</w:t>
        </w:r>
      </w:hyperlink>
      <w:r w:rsidRPr="00007E7A">
        <w:rPr>
          <w:rFonts w:ascii="Palatino Linotype" w:eastAsia="Arial" w:hAnsi="Palatino Linotype" w:cs="Arial"/>
          <w:color w:val="000000" w:themeColor="text1"/>
        </w:rPr>
        <w:t xml:space="preserve">, </w:t>
      </w:r>
      <w:r w:rsidRPr="00007E7A">
        <w:rPr>
          <w:rFonts w:ascii="Palatino Linotype" w:eastAsia="Palatino Linotype" w:hAnsi="Palatino Linotype" w:cs="Palatino Linotype"/>
          <w:color w:val="000000" w:themeColor="text1"/>
        </w:rPr>
        <w:t>donde podrá consultar los Resultados de los Cómputos efectuados por los Consejos Judiciales Electorales instalados para el Proceso Electoral Judicial Extraordinario 2025 del Estado de México, no omite mencionar que el 13 de junio del año en curso el Consejo General del IEEM realizó su Décima Cuarta Sesión Especial, en la que se aprobaron, los siguientes Acuerdos:</w:t>
      </w:r>
    </w:p>
    <w:p w:rsidR="00007E7A" w:rsidRPr="00007E7A" w:rsidRDefault="00007E7A"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lastRenderedPageBreak/>
        <w:t xml:space="preserve">IEEM/CG/91/2025: </w:t>
      </w:r>
      <w:r w:rsidRPr="00007E7A">
        <w:rPr>
          <w:rFonts w:ascii="Palatino Linotype" w:eastAsia="Palatino Linotype" w:hAnsi="Palatino Linotype" w:cs="Palatino Linotype"/>
          <w:color w:val="000000" w:themeColor="text1"/>
        </w:rPr>
        <w:t>“</w:t>
      </w:r>
      <w:r w:rsidRPr="00007E7A">
        <w:rPr>
          <w:rFonts w:ascii="Palatino Linotype" w:eastAsia="Palatino Linotype" w:hAnsi="Palatino Linotype" w:cs="Palatino Linotype"/>
          <w:i/>
          <w:iCs/>
          <w:color w:val="000000" w:themeColor="text1"/>
        </w:rPr>
        <w:t>Por el que se realiza la asignación de cargos por materia de especialización; así como la expedición de las Constancias de Mayoría y declaración de validez de la Elección de Juezas y Jueces del Poder Judicial del Estado de México</w:t>
      </w:r>
      <w:r w:rsidRPr="00007E7A">
        <w:rPr>
          <w:rFonts w:ascii="Palatino Linotype" w:eastAsia="Palatino Linotype" w:hAnsi="Palatino Linotype" w:cs="Palatino Linotype"/>
          <w:color w:val="000000" w:themeColor="text1"/>
        </w:rPr>
        <w:t>”.</w:t>
      </w:r>
    </w:p>
    <w:p w:rsidR="00AC2325" w:rsidRPr="00007E7A" w:rsidRDefault="005C06A9" w:rsidP="00007E7A">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IEEM/CG/92/2025: </w:t>
      </w:r>
      <w:r w:rsidRPr="00007E7A">
        <w:rPr>
          <w:rFonts w:ascii="Palatino Linotype" w:eastAsia="Palatino Linotype" w:hAnsi="Palatino Linotype" w:cs="Palatino Linotype"/>
          <w:color w:val="000000" w:themeColor="text1"/>
        </w:rPr>
        <w:t>“</w:t>
      </w:r>
      <w:r w:rsidRPr="00007E7A">
        <w:rPr>
          <w:rFonts w:ascii="Palatino Linotype" w:eastAsia="Palatino Linotype" w:hAnsi="Palatino Linotype" w:cs="Palatino Linotype"/>
          <w:i/>
          <w:iCs/>
          <w:color w:val="000000" w:themeColor="text1"/>
        </w:rPr>
        <w:t>Por el que se aprueba la sumatoria final de los resultados de la elección de Magistradas y Magistrados del Tribunal Superior de Justicia del Estado de México, por región judicial; la asignación de cargos por materia de especialización; así como la expedición de las constancias de mayoría y la declaración de validez de la elección</w:t>
      </w:r>
      <w:r w:rsidRPr="00007E7A">
        <w:rPr>
          <w:rFonts w:ascii="Palatino Linotype" w:eastAsia="Palatino Linotype" w:hAnsi="Palatino Linotype" w:cs="Palatino Linotype"/>
          <w:color w:val="000000" w:themeColor="text1"/>
        </w:rPr>
        <w:t>”.</w:t>
      </w:r>
    </w:p>
    <w:p w:rsidR="00AC2325" w:rsidRPr="00007E7A" w:rsidRDefault="005C06A9" w:rsidP="00007E7A">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IEEM/CG/93/2025: </w:t>
      </w:r>
      <w:r w:rsidRPr="00007E7A">
        <w:rPr>
          <w:rFonts w:ascii="Palatino Linotype" w:eastAsia="Palatino Linotype" w:hAnsi="Palatino Linotype" w:cs="Palatino Linotype"/>
          <w:color w:val="000000" w:themeColor="text1"/>
        </w:rPr>
        <w:t>“</w:t>
      </w:r>
      <w:r w:rsidRPr="00007E7A">
        <w:rPr>
          <w:rFonts w:ascii="Palatino Linotype" w:eastAsia="Palatino Linotype" w:hAnsi="Palatino Linotype" w:cs="Palatino Linotype"/>
          <w:i/>
          <w:iCs/>
          <w:color w:val="000000" w:themeColor="text1"/>
        </w:rPr>
        <w:t>Por el que se aprueba la sumatoria final de los resultados de la elección de Magistradas y Magistrados del Tribunal de Disciplina Judicial del Estado de México; asignación de cargos; expedición de las constancias de mayoría y declaración de validez de la elección</w:t>
      </w:r>
      <w:r w:rsidRPr="00007E7A">
        <w:rPr>
          <w:rFonts w:ascii="Palatino Linotype" w:eastAsia="Palatino Linotype" w:hAnsi="Palatino Linotype" w:cs="Palatino Linotype"/>
          <w:color w:val="000000" w:themeColor="text1"/>
        </w:rPr>
        <w:t>”.</w:t>
      </w:r>
    </w:p>
    <w:p w:rsidR="00AC2325" w:rsidRPr="00007E7A" w:rsidRDefault="005C06A9" w:rsidP="00007E7A">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IEEM/CG/94/2025: </w:t>
      </w:r>
      <w:r w:rsidRPr="00007E7A">
        <w:rPr>
          <w:rFonts w:ascii="Palatino Linotype" w:eastAsia="Palatino Linotype" w:hAnsi="Palatino Linotype" w:cs="Palatino Linotype"/>
          <w:color w:val="000000" w:themeColor="text1"/>
        </w:rPr>
        <w:t>“</w:t>
      </w:r>
      <w:r w:rsidRPr="00007E7A">
        <w:rPr>
          <w:rFonts w:ascii="Palatino Linotype" w:eastAsia="Palatino Linotype" w:hAnsi="Palatino Linotype" w:cs="Palatino Linotype"/>
          <w:i/>
          <w:iCs/>
          <w:color w:val="000000" w:themeColor="text1"/>
        </w:rPr>
        <w:t>Por el que se aprueba la sumatoria final de los resultados de la elección de la Presidencia del Tribunal Superior de Justicia del Estado de México; asignación y rotación del cargo; expedición de la constancia de mayoría y declaración de validez de la elección</w:t>
      </w:r>
      <w:r w:rsidRPr="00007E7A">
        <w:rPr>
          <w:rFonts w:ascii="Palatino Linotype" w:eastAsia="Palatino Linotype" w:hAnsi="Palatino Linotype" w:cs="Palatino Linotype"/>
          <w:color w:val="000000" w:themeColor="text1"/>
        </w:rPr>
        <w:t>”.</w:t>
      </w:r>
    </w:p>
    <w:p w:rsidR="00AC2325" w:rsidRPr="00007E7A" w:rsidRDefault="005C06A9"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Mismos que pueden ser consultados en la página principal del IEEM, en el Apartado de Acuerdos del Consejo General 1996-2025.</w:t>
      </w:r>
    </w:p>
    <w:p w:rsidR="00AC2325" w:rsidRPr="00007E7A" w:rsidRDefault="005C06A9"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En relación a </w:t>
      </w:r>
      <w:r w:rsidRPr="00007E7A">
        <w:rPr>
          <w:rFonts w:ascii="Palatino Linotype" w:eastAsia="Palatino Linotype" w:hAnsi="Palatino Linotype" w:cs="Palatino Linotype"/>
          <w:i/>
          <w:iCs/>
          <w:color w:val="000000" w:themeColor="text1"/>
        </w:rPr>
        <w:t>“… como quedaron integrados los Distritos Judiciales en cuanto a municipio que los integraron y las secciones que los conformaron</w:t>
      </w:r>
      <w:r w:rsidRPr="00007E7A">
        <w:rPr>
          <w:rFonts w:ascii="Palatino Linotype" w:eastAsia="Palatino Linotype" w:hAnsi="Palatino Linotype" w:cs="Palatino Linotype"/>
          <w:color w:val="000000" w:themeColor="text1"/>
        </w:rPr>
        <w:t xml:space="preserve">”, indicaron que la información requerida se encuentra disponible en el sitio </w:t>
      </w:r>
      <w:hyperlink r:id="rId9">
        <w:r w:rsidRPr="00007E7A">
          <w:rPr>
            <w:rFonts w:ascii="Palatino Linotype" w:eastAsia="Palatino Linotype" w:hAnsi="Palatino Linotype" w:cs="Palatino Linotype"/>
            <w:color w:val="000000" w:themeColor="text1"/>
            <w:u w:val="single"/>
          </w:rPr>
          <w:t>https://dorganizacion.ieem.org.mx/numeralia/</w:t>
        </w:r>
      </w:hyperlink>
      <w:r w:rsidRPr="00007E7A">
        <w:rPr>
          <w:rFonts w:ascii="Palatino Linotype" w:eastAsia="Palatino Linotype" w:hAnsi="Palatino Linotype" w:cs="Palatino Linotype"/>
          <w:color w:val="000000" w:themeColor="text1"/>
          <w:u w:val="single"/>
        </w:rPr>
        <w:t xml:space="preserve">, </w:t>
      </w:r>
      <w:r w:rsidRPr="00007E7A">
        <w:rPr>
          <w:rFonts w:ascii="Palatino Linotype" w:eastAsia="Palatino Linotype" w:hAnsi="Palatino Linotype" w:cs="Palatino Linotype"/>
          <w:color w:val="000000" w:themeColor="text1"/>
        </w:rPr>
        <w:t>en el apartado de “Distritos Judiciales Electorales”, ingresando a los sub apartados  “Distritos Judiciales Electorales Locales y Municipios”, o bien “Rango de Secciones por Distrito Judicial Electoral Local”</w:t>
      </w:r>
    </w:p>
    <w:p w:rsidR="00AC2325" w:rsidRPr="00007E7A" w:rsidRDefault="00AC2325"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lastRenderedPageBreak/>
        <w:t xml:space="preserve">OFICIO RESPUESTA 01035-2025 UT.pdf: </w:t>
      </w:r>
      <w:r w:rsidRPr="00007E7A">
        <w:rPr>
          <w:rFonts w:ascii="Palatino Linotype" w:eastAsia="Palatino Linotype" w:hAnsi="Palatino Linotype" w:cs="Palatino Linotype"/>
          <w:color w:val="000000" w:themeColor="text1"/>
        </w:rPr>
        <w:t>Oficio de fecha dieciocho de junio de dos mil veinticinco, suscrito por la Jefa de la Unidad de Transparencia, mediante el cual remite respuesta al solicitante.</w:t>
      </w:r>
    </w:p>
    <w:p w:rsidR="00AC2325"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RESPUESTA 1035-2025 DO.pdf: </w:t>
      </w:r>
      <w:r w:rsidRPr="00007E7A">
        <w:rPr>
          <w:rFonts w:ascii="Palatino Linotype" w:eastAsia="Palatino Linotype" w:hAnsi="Palatino Linotype" w:cs="Palatino Linotype"/>
          <w:color w:val="000000" w:themeColor="text1"/>
        </w:rPr>
        <w:t>Documento duplicado y que ya fue descrito en la primera viñeta de este numeral.</w:t>
      </w:r>
    </w:p>
    <w:p w:rsidR="00007E7A" w:rsidRPr="00007E7A" w:rsidRDefault="00007E7A"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El </w:t>
      </w:r>
      <w:r w:rsidRPr="00007E7A">
        <w:rPr>
          <w:rFonts w:ascii="Palatino Linotype" w:eastAsia="Palatino Linotype" w:hAnsi="Palatino Linotype" w:cs="Palatino Linotype"/>
          <w:b/>
          <w:bCs/>
          <w:color w:val="000000" w:themeColor="text1"/>
        </w:rPr>
        <w:t>veinte de junio de dos mil veinticinco</w:t>
      </w:r>
      <w:r w:rsidRPr="00007E7A">
        <w:rPr>
          <w:rFonts w:ascii="Palatino Linotype" w:eastAsia="Palatino Linotype" w:hAnsi="Palatino Linotype" w:cs="Palatino Linotype"/>
          <w:color w:val="000000" w:themeColor="text1"/>
        </w:rPr>
        <w:t>,</w:t>
      </w:r>
      <w:r w:rsidRPr="00007E7A">
        <w:rPr>
          <w:rFonts w:ascii="Palatino Linotype" w:eastAsia="Palatino Linotype" w:hAnsi="Palatino Linotype" w:cs="Palatino Linotype"/>
          <w:b/>
          <w:bCs/>
          <w:color w:val="000000" w:themeColor="text1"/>
        </w:rPr>
        <w:t xml:space="preserve"> </w:t>
      </w:r>
      <w:r w:rsidRPr="00007E7A">
        <w:rPr>
          <w:rFonts w:ascii="Palatino Linotype" w:eastAsia="Palatino Linotype" w:hAnsi="Palatino Linotype" w:cs="Palatino Linotype"/>
          <w:color w:val="000000" w:themeColor="text1"/>
        </w:rPr>
        <w:t xml:space="preserve">el </w:t>
      </w:r>
      <w:r w:rsidRPr="00007E7A">
        <w:rPr>
          <w:rFonts w:ascii="Palatino Linotype" w:eastAsia="Palatino Linotype" w:hAnsi="Palatino Linotype" w:cs="Palatino Linotype"/>
          <w:b/>
          <w:bCs/>
          <w:color w:val="000000" w:themeColor="text1"/>
        </w:rPr>
        <w:t>RECURRENTE</w:t>
      </w:r>
      <w:r w:rsidRPr="00007E7A">
        <w:rPr>
          <w:rFonts w:ascii="Palatino Linotype" w:eastAsia="Palatino Linotype" w:hAnsi="Palatino Linotype" w:cs="Palatino Linotype"/>
          <w:color w:val="000000" w:themeColor="text1"/>
        </w:rPr>
        <w:t xml:space="preserve"> interpuso el recurso de revisión en contra de la respuesta, señalando como: </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A85D8C" w:rsidRDefault="00A85D8C" w:rsidP="00A85D8C">
      <w:pPr>
        <w:pStyle w:val="Prrafodelista"/>
        <w:numPr>
          <w:ilvl w:val="0"/>
          <w:numId w:val="9"/>
        </w:numPr>
        <w:jc w:val="both"/>
        <w:rPr>
          <w:rFonts w:ascii="Palatino Linotype" w:eastAsia="Palatino Linotype" w:hAnsi="Palatino Linotype" w:cs="Palatino Linotype"/>
          <w:i/>
          <w:iCs/>
          <w:color w:val="000000" w:themeColor="text1"/>
          <w:sz w:val="24"/>
        </w:rPr>
      </w:pPr>
      <w:r w:rsidRPr="00A85D8C">
        <w:rPr>
          <w:rFonts w:ascii="Palatino Linotype" w:eastAsia="Palatino Linotype" w:hAnsi="Palatino Linotype" w:cs="Palatino Linotype"/>
          <w:b/>
          <w:bCs/>
          <w:color w:val="000000" w:themeColor="text1"/>
          <w:sz w:val="24"/>
        </w:rPr>
        <w:t>ACTO IMPUGNADO</w:t>
      </w:r>
      <w:r w:rsidR="005C06A9" w:rsidRPr="00A85D8C">
        <w:rPr>
          <w:rFonts w:ascii="Palatino Linotype" w:eastAsia="Palatino Linotype" w:hAnsi="Palatino Linotype" w:cs="Palatino Linotype"/>
          <w:b/>
          <w:bCs/>
          <w:i/>
          <w:iCs/>
          <w:color w:val="000000" w:themeColor="text1"/>
          <w:sz w:val="24"/>
        </w:rPr>
        <w:t>:</w:t>
      </w:r>
      <w:r w:rsidR="005C06A9" w:rsidRPr="00A85D8C">
        <w:rPr>
          <w:rFonts w:ascii="Palatino Linotype" w:eastAsia="Palatino Linotype" w:hAnsi="Palatino Linotype" w:cs="Palatino Linotype"/>
          <w:i/>
          <w:iCs/>
          <w:color w:val="000000" w:themeColor="text1"/>
          <w:sz w:val="24"/>
        </w:rPr>
        <w:t xml:space="preserve"> “NO ME FUE PROPORCIONADA LA INFORMACION SOLICITADA” (Sic)</w:t>
      </w:r>
    </w:p>
    <w:p w:rsidR="00AC2325" w:rsidRPr="00A85D8C" w:rsidRDefault="00AC2325" w:rsidP="00007E7A">
      <w:pPr>
        <w:jc w:val="both"/>
        <w:rPr>
          <w:rFonts w:ascii="Palatino Linotype" w:eastAsia="Palatino Linotype" w:hAnsi="Palatino Linotype" w:cs="Palatino Linotype"/>
          <w:color w:val="000000" w:themeColor="text1"/>
          <w:sz w:val="28"/>
        </w:rPr>
      </w:pPr>
    </w:p>
    <w:p w:rsidR="00AC2325" w:rsidRPr="00A85D8C" w:rsidRDefault="00A85D8C" w:rsidP="00A85D8C">
      <w:pPr>
        <w:pStyle w:val="Prrafodelista"/>
        <w:numPr>
          <w:ilvl w:val="0"/>
          <w:numId w:val="9"/>
        </w:numPr>
        <w:jc w:val="both"/>
        <w:rPr>
          <w:rFonts w:ascii="Palatino Linotype" w:eastAsia="Palatino Linotype" w:hAnsi="Palatino Linotype" w:cs="Palatino Linotype"/>
          <w:i/>
          <w:iCs/>
          <w:color w:val="000000" w:themeColor="text1"/>
          <w:sz w:val="24"/>
        </w:rPr>
      </w:pPr>
      <w:r w:rsidRPr="00A85D8C">
        <w:rPr>
          <w:rFonts w:ascii="Palatino Linotype" w:eastAsia="Palatino Linotype" w:hAnsi="Palatino Linotype" w:cs="Palatino Linotype"/>
          <w:b/>
          <w:bCs/>
          <w:color w:val="000000" w:themeColor="text1"/>
          <w:sz w:val="24"/>
        </w:rPr>
        <w:t>RAZONES O MOTIVOS DE INCONFORMIDAD</w:t>
      </w:r>
      <w:r w:rsidR="005C06A9" w:rsidRPr="00A85D8C">
        <w:rPr>
          <w:rFonts w:ascii="Palatino Linotype" w:eastAsia="Palatino Linotype" w:hAnsi="Palatino Linotype" w:cs="Palatino Linotype"/>
          <w:b/>
          <w:bCs/>
          <w:color w:val="000000" w:themeColor="text1"/>
          <w:sz w:val="24"/>
        </w:rPr>
        <w:t xml:space="preserve">: </w:t>
      </w:r>
      <w:r w:rsidR="005C06A9" w:rsidRPr="00A85D8C">
        <w:rPr>
          <w:rFonts w:ascii="Palatino Linotype" w:eastAsia="Palatino Linotype" w:hAnsi="Palatino Linotype" w:cs="Palatino Linotype"/>
          <w:i/>
          <w:iCs/>
          <w:color w:val="000000" w:themeColor="text1"/>
          <w:sz w:val="24"/>
        </w:rPr>
        <w:t>“CON LOS RECURSOS INFORMATICOS ACTUALES, LA INFORMACION QUE SOLICITO PUEDE SER PROCESADA POR EL SUJETO OBLIGADO PARA SER PROPORCIONADA Y NO LO HIZO.” (Sic)</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007E7A">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007E7A">
        <w:rPr>
          <w:rFonts w:ascii="Palatino Linotype" w:eastAsia="Palatino Linotype" w:hAnsi="Palatino Linotype" w:cs="Palatino Linotype"/>
          <w:color w:val="000000" w:themeColor="text1"/>
        </w:rPr>
        <w:t xml:space="preserve">se turna a la </w:t>
      </w:r>
      <w:r w:rsidRPr="00007E7A">
        <w:rPr>
          <w:rFonts w:ascii="Palatino Linotype" w:eastAsia="Palatino Linotype" w:hAnsi="Palatino Linotype" w:cs="Palatino Linotype"/>
          <w:b/>
          <w:bCs/>
          <w:color w:val="000000" w:themeColor="text1"/>
        </w:rPr>
        <w:t xml:space="preserve">Comisionada María del Rosario Mejía Ayala, </w:t>
      </w:r>
      <w:r w:rsidRPr="00007E7A">
        <w:rPr>
          <w:rFonts w:ascii="Palatino Linotype" w:eastAsia="Palatino Linotype" w:hAnsi="Palatino Linotype" w:cs="Palatino Linotype"/>
          <w:color w:val="000000" w:themeColor="text1"/>
        </w:rPr>
        <w:t xml:space="preserve">para su análisis. </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A85D8C"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5C06A9" w:rsidRPr="00007E7A">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5C06A9" w:rsidRPr="00007E7A">
        <w:rPr>
          <w:rFonts w:ascii="Palatino Linotype" w:eastAsia="Palatino Linotype" w:hAnsi="Palatino Linotype" w:cs="Palatino Linotype"/>
          <w:b/>
          <w:bCs/>
          <w:color w:val="000000" w:themeColor="text1"/>
        </w:rPr>
        <w:t>acuerdo de admisión del veintitrés de junio de dos mil veinticinco</w:t>
      </w:r>
      <w:r w:rsidR="005C06A9" w:rsidRPr="00007E7A">
        <w:rPr>
          <w:rFonts w:ascii="Palatino Linotype" w:eastAsia="Palatino Linotype" w:hAnsi="Palatino Linotype" w:cs="Palatino Linotype"/>
          <w:color w:val="000000" w:themeColor="text1"/>
        </w:rPr>
        <w:t xml:space="preserve">, puso a disposición de las partes el expediente electrónico vía </w:t>
      </w:r>
      <w:r w:rsidR="005C06A9" w:rsidRPr="00007E7A">
        <w:rPr>
          <w:rFonts w:ascii="Palatino Linotype" w:eastAsia="Palatino Linotype" w:hAnsi="Palatino Linotype" w:cs="Palatino Linotype"/>
          <w:b/>
          <w:bCs/>
          <w:color w:val="000000" w:themeColor="text1"/>
        </w:rPr>
        <w:t xml:space="preserve">SAIMEX </w:t>
      </w:r>
      <w:r w:rsidR="005C06A9" w:rsidRPr="00007E7A">
        <w:rPr>
          <w:rFonts w:ascii="Palatino Linotype" w:eastAsia="Palatino Linotype" w:hAnsi="Palatino Linotype" w:cs="Palatino Linotype"/>
          <w:color w:val="000000" w:themeColor="text1"/>
        </w:rPr>
        <w:t xml:space="preserve">a efecto de que en un plazo máximo de siete días manifestara lo que a derecho conviniera, ofreciera pruebas </w:t>
      </w:r>
      <w:r w:rsidR="005C06A9" w:rsidRPr="00007E7A">
        <w:rPr>
          <w:rFonts w:ascii="Palatino Linotype" w:eastAsia="Palatino Linotype" w:hAnsi="Palatino Linotype" w:cs="Palatino Linotype"/>
          <w:color w:val="000000" w:themeColor="text1"/>
        </w:rPr>
        <w:lastRenderedPageBreak/>
        <w:t xml:space="preserve">y alegatos según corresponda al caso concreto, de esta forma para que el </w:t>
      </w:r>
      <w:r w:rsidR="005C06A9" w:rsidRPr="00007E7A">
        <w:rPr>
          <w:rFonts w:ascii="Palatino Linotype" w:eastAsia="Palatino Linotype" w:hAnsi="Palatino Linotype" w:cs="Palatino Linotype"/>
          <w:b/>
          <w:bCs/>
          <w:color w:val="000000" w:themeColor="text1"/>
        </w:rPr>
        <w:t>SUJETO OBLIGADO</w:t>
      </w:r>
      <w:r w:rsidR="005C06A9" w:rsidRPr="00007E7A">
        <w:rPr>
          <w:rFonts w:ascii="Palatino Linotype" w:eastAsia="Palatino Linotype" w:hAnsi="Palatino Linotype" w:cs="Palatino Linotype"/>
          <w:color w:val="000000" w:themeColor="text1"/>
        </w:rPr>
        <w:t xml:space="preserve"> presentará el informe justificado procedente. </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El </w:t>
      </w:r>
      <w:r w:rsidRPr="00007E7A">
        <w:rPr>
          <w:rFonts w:ascii="Palatino Linotype" w:eastAsia="Palatino Linotype" w:hAnsi="Palatino Linotype" w:cs="Palatino Linotype"/>
          <w:b/>
          <w:bCs/>
          <w:color w:val="000000" w:themeColor="text1"/>
        </w:rPr>
        <w:t>once de agosto de dos mil veinticinco</w:t>
      </w:r>
      <w:r w:rsidRPr="00007E7A">
        <w:rPr>
          <w:rFonts w:ascii="Palatino Linotype" w:eastAsia="Palatino Linotype" w:hAnsi="Palatino Linotype" w:cs="Palatino Linotype"/>
          <w:color w:val="000000" w:themeColor="text1"/>
        </w:rPr>
        <w:t xml:space="preserv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rindió el informe justificado correspondiente, del que se desprende los siguientes documentos:</w:t>
      </w:r>
    </w:p>
    <w:p w:rsidR="00AC2325" w:rsidRPr="00007E7A"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I</w:t>
      </w:r>
      <w:hyperlink r:id="rId10">
        <w:r w:rsidRPr="00007E7A">
          <w:rPr>
            <w:rFonts w:ascii="Palatino Linotype" w:eastAsia="Palatino Linotype" w:hAnsi="Palatino Linotype" w:cs="Palatino Linotype"/>
            <w:b/>
            <w:bCs/>
            <w:color w:val="000000" w:themeColor="text1"/>
          </w:rPr>
          <w:t>EEM-DO-1983-2025_InformeRR07528_2025_Sol SAIMEX 01035_2025.docx</w:t>
        </w:r>
      </w:hyperlink>
      <w:r w:rsidRPr="00007E7A">
        <w:rPr>
          <w:rFonts w:ascii="Palatino Linotype" w:eastAsia="Palatino Linotype" w:hAnsi="Palatino Linotype" w:cs="Palatino Linotype"/>
          <w:color w:val="000000" w:themeColor="text1"/>
        </w:rPr>
        <w:t xml:space="preserve">: Oficio de fecha veintisiete de junio de dos mil veinticinco, suscrito por el Director de Organización, a través del cual ratifica su respuesta primogénita, en virtud de que a la fecha de otorgar la respuesta a la solicitud, las tablas de resultados de los cómputos distritales judiciales y del Consejo General relacionados con el Proceso Electoral Judicial Extraordinario 2025 del Estado de México, no habían sido publicadas, ni se encontraban disponibles para su entrega o consulta en formatos de base de datos; no obstante y a fin de dar cumplimiento al principio de máxima publicidad, informa que a la fecha de la entrega del Informe Justificado, ya se encuentran publicadas en formato Excel y CSV, los resultados de los comptos de </w:t>
      </w:r>
      <w:r w:rsidRPr="00007E7A">
        <w:rPr>
          <w:rFonts w:ascii="Palatino Linotype" w:eastAsia="Palatino Linotype" w:hAnsi="Palatino Linotype" w:cs="Palatino Linotype"/>
          <w:b/>
          <w:bCs/>
          <w:color w:val="000000" w:themeColor="text1"/>
        </w:rPr>
        <w:t xml:space="preserve">la Presidencia del Tribunal Superior de Justicia, de Magistraturas del Tribunal de Disciplina Judicial de Magistraturas del Tribunal Superior de Justicia, así como de Juezas y Jueces electos el pasado 1 de junio de 2025; </w:t>
      </w:r>
      <w:r w:rsidRPr="00007E7A">
        <w:rPr>
          <w:rFonts w:ascii="Palatino Linotype" w:eastAsia="Palatino Linotype" w:hAnsi="Palatino Linotype" w:cs="Palatino Linotype"/>
          <w:color w:val="000000" w:themeColor="text1"/>
        </w:rPr>
        <w:t>mismos que fueron publicados dentro del plazo señalado en el artículo 430 del Reglamento de Elecciones del INE, y que se encuentran disponibles para su descarga y consulta, en el banner de la página web del IEEM (https://www.ieem.org.mx), bajo el título: “</w:t>
      </w:r>
      <w:r w:rsidRPr="00007E7A">
        <w:rPr>
          <w:rFonts w:ascii="Palatino Linotype" w:eastAsia="Palatino Linotype" w:hAnsi="Palatino Linotype" w:cs="Palatino Linotype"/>
          <w:i/>
          <w:iCs/>
          <w:color w:val="000000" w:themeColor="text1"/>
        </w:rPr>
        <w:t>RESULTADOS DE LOS CÓMPUTOS DE LA PRESIDENCIA DEL TRIBUNAL SUPERIOR DE JUSTICIA (UNA BASE ESTATAL), MAGISTRATURAS DEL TRIBUNAL DE DISCIPLINA JUDICIAL (UNA BASE ESTATAL), DE MAGISTRATURAS DEL TRIBUNAL SUPERIOR DE JUSTICIA (CUATRO BASES REGIONALES), ASÍ COMO DE JUEZAS Y JUECES (13 BASES POR DISTRITO JUDICIAL ELECTORAL)</w:t>
      </w:r>
      <w:r w:rsidRPr="00007E7A">
        <w:rPr>
          <w:rFonts w:ascii="Palatino Linotype" w:eastAsia="Palatino Linotype" w:hAnsi="Palatino Linotype" w:cs="Palatino Linotype"/>
          <w:color w:val="000000" w:themeColor="text1"/>
        </w:rPr>
        <w:t xml:space="preserve">”. </w:t>
      </w:r>
    </w:p>
    <w:p w:rsidR="00AC2325" w:rsidRPr="00007E7A" w:rsidRDefault="00AC2325"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lastRenderedPageBreak/>
        <w:t>No omite mencionar que de acuerdo a lo establecido en el párrafo 2 del artículo 430 del Reglamento de Elecciones del INE, dentro de los treinta días siguientes a aquél en que se notifique por las autoridades jurisdiccionales en materia electoral, la sentencia del último medio de impugnación interpuesto contra los resultados de los cómputos respectivos, deberán actualizarse, en su caso, las tablas de los resultados; razón por la que los resultados actualmente publicados, no tienen el carácter de definitivos.</w:t>
      </w:r>
    </w:p>
    <w:p w:rsidR="00AC2325" w:rsidRPr="00007E7A" w:rsidRDefault="00AC2325"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Así mismo adjunta un documento en el cual se detalla la forma en que se puede realizar la descarga y consulta de la tabla de resultados por casilla de la Elección de Magistradas y Magistrados del Tribunal de Disciplina Judicial del Estado de México, con referencia de Distrito Judicial Electoral, sección electoral, tipo de casilla, votación obtenida por cada una de las candidaturas, recuadros no utilizados, votos nulos y lista nominal.</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I</w:t>
      </w:r>
      <w:hyperlink r:id="rId11">
        <w:r w:rsidRPr="00007E7A">
          <w:rPr>
            <w:rFonts w:ascii="Palatino Linotype" w:eastAsia="Palatino Linotype" w:hAnsi="Palatino Linotype" w:cs="Palatino Linotype"/>
            <w:b/>
            <w:bCs/>
            <w:color w:val="000000" w:themeColor="text1"/>
          </w:rPr>
          <w:t>NFORME JUSTIFICADO RR 7528-2025 UT.docx</w:t>
        </w:r>
      </w:hyperlink>
      <w:r w:rsidRPr="00007E7A">
        <w:rPr>
          <w:rFonts w:ascii="Palatino Linotype" w:eastAsia="Palatino Linotype" w:hAnsi="Palatino Linotype" w:cs="Palatino Linotype"/>
          <w:color w:val="000000" w:themeColor="text1"/>
        </w:rPr>
        <w:t>: Oficio de fecha dos de junio de dos mil veinticinco, denominado “</w:t>
      </w:r>
      <w:r w:rsidRPr="00007E7A">
        <w:rPr>
          <w:rFonts w:ascii="Palatino Linotype" w:eastAsia="Palatino Linotype" w:hAnsi="Palatino Linotype" w:cs="Palatino Linotype"/>
          <w:color w:val="000000" w:themeColor="text1"/>
        </w:rPr>
        <w:tab/>
        <w:t>INFORME JUSTIFICADO 07528/INFOEM/IP/RR/2025”, signado por Jefa de la Unidad de Transparencia, a través del cual refiere que su respuesta primogénita se apegó a lo dispuesto por la normatividad de la materia; no obstante derivado de la interposición del Recursos de Revisión</w:t>
      </w:r>
      <w:r w:rsidRPr="00007E7A">
        <w:rPr>
          <w:rFonts w:ascii="Palatino Linotype" w:eastAsia="Palatino Linotype" w:hAnsi="Palatino Linotype" w:cs="Palatino Linotype"/>
          <w:b/>
          <w:bCs/>
          <w:color w:val="000000" w:themeColor="text1"/>
        </w:rPr>
        <w:t>, adjunta los documentos que el particular requirió en su solicitud, tal y como obra en sus archivos,</w:t>
      </w:r>
      <w:r w:rsidRPr="00007E7A">
        <w:rPr>
          <w:rFonts w:ascii="Palatino Linotype" w:eastAsia="Palatino Linotype" w:hAnsi="Palatino Linotype" w:cs="Palatino Linotype"/>
          <w:color w:val="000000" w:themeColor="text1"/>
        </w:rPr>
        <w:t xml:space="preserve"> destacando que los resultados a la fecha de la entrega no cuentan con el carácter de definitivos; por lo que podrían sufrir un cambio atendiendo a lo señalado por el Reglamento de Elecciones del INE.</w:t>
      </w:r>
    </w:p>
    <w:p w:rsidR="00AC2325" w:rsidRPr="00007E7A" w:rsidRDefault="00BA43DC"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12">
        <w:r w:rsidR="005C06A9" w:rsidRPr="00007E7A">
          <w:rPr>
            <w:rFonts w:ascii="Palatino Linotype" w:eastAsia="Palatino Linotype" w:hAnsi="Palatino Linotype" w:cs="Palatino Linotype"/>
            <w:b/>
            <w:bCs/>
            <w:color w:val="000000" w:themeColor="text1"/>
          </w:rPr>
          <w:t>IEEM_DO_1983_2025 INFORME JUSTIFICADO RR 7528-2025 DO.pdf</w:t>
        </w:r>
      </w:hyperlink>
      <w:r w:rsidR="005C06A9" w:rsidRPr="00007E7A">
        <w:rPr>
          <w:rFonts w:ascii="Palatino Linotype" w:eastAsia="Palatino Linotype" w:hAnsi="Palatino Linotype" w:cs="Palatino Linotype"/>
          <w:color w:val="000000" w:themeColor="text1"/>
        </w:rPr>
        <w:t>: Documento descrito en el primer inciso del este numeral, remitido por duplicado y en versión PDF.</w:t>
      </w:r>
    </w:p>
    <w:p w:rsidR="00AC2325" w:rsidRPr="00007E7A" w:rsidRDefault="00BA43DC"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13">
        <w:r w:rsidR="005C06A9" w:rsidRPr="00007E7A">
          <w:rPr>
            <w:rFonts w:ascii="Palatino Linotype" w:eastAsia="Palatino Linotype" w:hAnsi="Palatino Linotype" w:cs="Palatino Linotype"/>
            <w:b/>
            <w:bCs/>
            <w:color w:val="000000" w:themeColor="text1"/>
          </w:rPr>
          <w:t>INFORME JUSTIFICADO RR 07528-2025.pdf</w:t>
        </w:r>
      </w:hyperlink>
      <w:r w:rsidR="005C06A9" w:rsidRPr="00007E7A">
        <w:rPr>
          <w:rFonts w:ascii="Palatino Linotype" w:eastAsia="Century Gothic" w:hAnsi="Palatino Linotype" w:cs="Century Gothic"/>
          <w:b/>
          <w:bCs/>
          <w:color w:val="000000" w:themeColor="text1"/>
        </w:rPr>
        <w:t>:</w:t>
      </w:r>
      <w:r w:rsidR="005C06A9" w:rsidRPr="00007E7A">
        <w:rPr>
          <w:rFonts w:ascii="Palatino Linotype" w:eastAsia="Palatino Linotype" w:hAnsi="Palatino Linotype" w:cs="Palatino Linotype"/>
          <w:color w:val="000000" w:themeColor="text1"/>
        </w:rPr>
        <w:t xml:space="preserve"> Documento descrito en el segundo inciso del este numeral, remitido por duplicado y en versión PDF.</w:t>
      </w:r>
    </w:p>
    <w:bookmarkStart w:id="1" w:name="_heading=h.mh4xt0ez1qc6" w:colFirst="0" w:colLast="0"/>
    <w:bookmarkEnd w:id="1"/>
    <w:p w:rsidR="00AC2325" w:rsidRDefault="005C06A9" w:rsidP="00007E7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fldChar w:fldCharType="begin"/>
      </w:r>
      <w:r w:rsidRPr="00007E7A">
        <w:rPr>
          <w:rFonts w:ascii="Palatino Linotype" w:eastAsia="Palatino Linotype" w:hAnsi="Palatino Linotype" w:cs="Palatino Linotype"/>
          <w:b/>
          <w:bCs/>
          <w:color w:val="000000" w:themeColor="text1"/>
        </w:rPr>
        <w:instrText xml:space="preserve"> HYPERLINK "https://www.saimex.org.mx/saimex/solicitud/downloadAttach/2496844.page" \h </w:instrText>
      </w:r>
      <w:r w:rsidRPr="00007E7A">
        <w:rPr>
          <w:rFonts w:ascii="Palatino Linotype" w:eastAsia="Palatino Linotype" w:hAnsi="Palatino Linotype" w:cs="Palatino Linotype"/>
          <w:b/>
          <w:bCs/>
          <w:color w:val="000000" w:themeColor="text1"/>
        </w:rPr>
        <w:fldChar w:fldCharType="separate"/>
      </w:r>
      <w:r w:rsidRPr="00007E7A">
        <w:rPr>
          <w:rFonts w:ascii="Palatino Linotype" w:eastAsia="Palatino Linotype" w:hAnsi="Palatino Linotype" w:cs="Palatino Linotype"/>
          <w:b/>
          <w:bCs/>
          <w:color w:val="000000" w:themeColor="text1"/>
        </w:rPr>
        <w:t>ANEXO RESULTADOS.rar</w:t>
      </w:r>
      <w:r w:rsidRPr="00007E7A">
        <w:rPr>
          <w:rFonts w:ascii="Palatino Linotype" w:eastAsia="Palatino Linotype" w:hAnsi="Palatino Linotype" w:cs="Palatino Linotype"/>
          <w:b/>
          <w:bCs/>
          <w:color w:val="000000" w:themeColor="text1"/>
        </w:rPr>
        <w:fldChar w:fldCharType="end"/>
      </w:r>
      <w:r w:rsidRPr="00007E7A">
        <w:rPr>
          <w:rFonts w:ascii="Palatino Linotype" w:eastAsia="Palatino Linotype" w:hAnsi="Palatino Linotype" w:cs="Palatino Linotype"/>
          <w:b/>
          <w:bCs/>
          <w:color w:val="000000" w:themeColor="text1"/>
        </w:rPr>
        <w:t>:</w:t>
      </w:r>
      <w:r w:rsidRPr="00007E7A">
        <w:rPr>
          <w:rFonts w:ascii="Palatino Linotype" w:eastAsia="Palatino Linotype" w:hAnsi="Palatino Linotype" w:cs="Palatino Linotype"/>
          <w:color w:val="000000" w:themeColor="text1"/>
        </w:rPr>
        <w:t xml:space="preserve"> Carpeta zip. comprimida; denominado ANEXOS RESULTADOS, del cual se desprenden los siguientes documentos:</w:t>
      </w:r>
    </w:p>
    <w:p w:rsidR="00007E7A" w:rsidRPr="00007E7A" w:rsidRDefault="00007E7A" w:rsidP="00007E7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2325" w:rsidRPr="00007E7A" w:rsidRDefault="005C06A9" w:rsidP="00A85D8C">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RESULTADOS CÓMPUTOS CSV: </w:t>
      </w:r>
      <w:r w:rsidRPr="00007E7A">
        <w:rPr>
          <w:rFonts w:ascii="Palatino Linotype" w:eastAsia="Palatino Linotype" w:hAnsi="Palatino Linotype" w:cs="Palatino Linotype"/>
          <w:color w:val="000000" w:themeColor="text1"/>
        </w:rPr>
        <w:t xml:space="preserve">Carpeta del que se desprenden 19 documentos en formato Excel que contienen los Resultados por casilla de los Cómputos de la Elección a nivel Estatal, desglosada por Candidatura, Distrito Judicial, tipo de casilla, sección, Recuadros no utilizados, votos nulos y lista nominal </w:t>
      </w:r>
    </w:p>
    <w:p w:rsidR="00AC2325" w:rsidRPr="00007E7A" w:rsidRDefault="005C06A9" w:rsidP="00A85D8C">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RESULTADOS CÓMPUTOS EXCEL: </w:t>
      </w:r>
      <w:r w:rsidRPr="00007E7A">
        <w:rPr>
          <w:rFonts w:ascii="Palatino Linotype" w:eastAsia="Palatino Linotype" w:hAnsi="Palatino Linotype" w:cs="Palatino Linotype"/>
          <w:color w:val="000000" w:themeColor="text1"/>
        </w:rPr>
        <w:t>Documento que contiene los Resultados por Casilla de los Cómputos de la Elección por candidatura, ID Distrito Judicial, Distrito Judicial, Sección, Tipo de Casilla, Recuadros no Utilizados, Votos Nulos y Lista Nominal.</w:t>
      </w:r>
    </w:p>
    <w:p w:rsidR="00AC2325" w:rsidRPr="00007E7A" w:rsidRDefault="005C06A9" w:rsidP="00A85D8C">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 xml:space="preserve">Anexo_IEEM-DO-1983-2025.pdf: </w:t>
      </w:r>
      <w:r w:rsidRPr="00007E7A">
        <w:rPr>
          <w:rFonts w:ascii="Palatino Linotype" w:eastAsia="Palatino Linotype" w:hAnsi="Palatino Linotype" w:cs="Palatino Linotype"/>
          <w:color w:val="000000" w:themeColor="text1"/>
        </w:rPr>
        <w:t xml:space="preserve">Documento PDF constante de ocho fojas, mismo que fue remitido en respuesta, a través del cual informar al particular que la información requerida se encuentra en diversos link de acceso que proporcionan; así mismo explican el procedimiento a seguir a fin de tener a la vista la información que se requiere. </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Por su parte, el </w:t>
      </w:r>
      <w:r w:rsidRPr="00007E7A">
        <w:rPr>
          <w:rFonts w:ascii="Palatino Linotype" w:eastAsia="Palatino Linotype" w:hAnsi="Palatino Linotype" w:cs="Palatino Linotype"/>
          <w:b/>
          <w:bCs/>
          <w:color w:val="000000" w:themeColor="text1"/>
        </w:rPr>
        <w:t>RECURRENTE</w:t>
      </w:r>
      <w:r w:rsidRPr="00007E7A">
        <w:rPr>
          <w:rFonts w:ascii="Palatino Linotype" w:eastAsia="Palatino Linotype" w:hAnsi="Palatino Linotype" w:cs="Palatino Linotype"/>
          <w:color w:val="000000" w:themeColor="text1"/>
        </w:rPr>
        <w:t xml:space="preserve"> dejó de realizar manifestaciones que a su derecho conviniera y asistiera. </w:t>
      </w:r>
    </w:p>
    <w:p w:rsidR="00AC2325" w:rsidRPr="00007E7A" w:rsidRDefault="00AC2325" w:rsidP="00007E7A">
      <w:pPr>
        <w:pBdr>
          <w:top w:val="nil"/>
          <w:left w:val="nil"/>
          <w:bottom w:val="nil"/>
          <w:right w:val="nil"/>
          <w:between w:val="nil"/>
        </w:pBdr>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El </w:t>
      </w:r>
      <w:r w:rsidRPr="00007E7A">
        <w:rPr>
          <w:rFonts w:ascii="Palatino Linotype" w:eastAsia="Palatino Linotype" w:hAnsi="Palatino Linotype" w:cs="Palatino Linotype"/>
          <w:b/>
          <w:bCs/>
          <w:color w:val="000000" w:themeColor="text1"/>
        </w:rPr>
        <w:t>diecinueve de agosto de dos mil veinticinco</w:t>
      </w:r>
      <w:r w:rsidRPr="00007E7A">
        <w:rPr>
          <w:rFonts w:ascii="Palatino Linotype" w:eastAsia="Palatino Linotype" w:hAnsi="Palatino Linotype" w:cs="Palatino Linotype"/>
          <w:color w:val="000000" w:themeColor="text1"/>
        </w:rPr>
        <w:t>, se notificó el acuerdo mediante el cual se amplió el plazo para emitir resolución por un término de 15 días adicionales.</w:t>
      </w:r>
    </w:p>
    <w:p w:rsidR="00AC2325" w:rsidRPr="00007E7A" w:rsidRDefault="00AC2325" w:rsidP="00007E7A">
      <w:pPr>
        <w:pBdr>
          <w:top w:val="nil"/>
          <w:left w:val="nil"/>
          <w:bottom w:val="nil"/>
          <w:right w:val="nil"/>
          <w:between w:val="nil"/>
        </w:pBdr>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La Comisionada Ponente decretó el cierre de instrucción mediante el acuerdo del </w:t>
      </w:r>
      <w:r w:rsidRPr="00007E7A">
        <w:rPr>
          <w:rFonts w:ascii="Palatino Linotype" w:eastAsia="Palatino Linotype" w:hAnsi="Palatino Linotype" w:cs="Palatino Linotype"/>
          <w:b/>
          <w:bCs/>
          <w:color w:val="000000" w:themeColor="text1"/>
        </w:rPr>
        <w:t>veinticinco de noviembre de dos mil veinticinco</w:t>
      </w:r>
      <w:r w:rsidRPr="00007E7A">
        <w:rPr>
          <w:rFonts w:ascii="Palatino Linotype" w:eastAsia="Palatino Linotype" w:hAnsi="Palatino Linotype" w:cs="Palatino Linotype"/>
          <w:color w:val="000000" w:themeColor="text1"/>
        </w:rPr>
        <w:t>.</w:t>
      </w:r>
      <w:r w:rsidR="00A85D8C">
        <w:rPr>
          <w:rFonts w:ascii="Palatino Linotype" w:eastAsia="Palatino Linotype" w:hAnsi="Palatino Linotype" w:cs="Palatino Linotype"/>
          <w:color w:val="000000" w:themeColor="text1"/>
        </w:rPr>
        <w:t xml:space="preserve"> ----------------------------------------------------------</w:t>
      </w:r>
    </w:p>
    <w:p w:rsidR="00AC2325" w:rsidRPr="00007E7A" w:rsidRDefault="00AC2325" w:rsidP="00007E7A">
      <w:pPr>
        <w:rPr>
          <w:rFonts w:ascii="Palatino Linotype" w:eastAsia="Palatino Linotype" w:hAnsi="Palatino Linotype" w:cs="Palatino Linotype"/>
          <w:b/>
          <w:bCs/>
          <w:color w:val="000000" w:themeColor="text1"/>
        </w:rPr>
      </w:pPr>
    </w:p>
    <w:p w:rsidR="00AC2325" w:rsidRPr="00007E7A" w:rsidRDefault="005C06A9" w:rsidP="00007E7A">
      <w:pPr>
        <w:keepNext/>
        <w:keepLines/>
        <w:spacing w:line="360" w:lineRule="auto"/>
        <w:jc w:val="center"/>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lastRenderedPageBreak/>
        <w:t xml:space="preserve">C O N S I D E R A N D O </w:t>
      </w:r>
    </w:p>
    <w:p w:rsidR="00AC2325" w:rsidRPr="00007E7A" w:rsidRDefault="00AC2325" w:rsidP="00007E7A">
      <w:pPr>
        <w:keepNext/>
        <w:keepLines/>
        <w:rPr>
          <w:rFonts w:ascii="Palatino Linotype" w:eastAsia="Palatino Linotype" w:hAnsi="Palatino Linotype" w:cs="Palatino Linotype"/>
          <w:color w:val="000000" w:themeColor="text1"/>
        </w:rPr>
      </w:pPr>
    </w:p>
    <w:p w:rsidR="00AC2325" w:rsidRPr="00007E7A" w:rsidRDefault="005C06A9" w:rsidP="00007E7A">
      <w:pPr>
        <w:keepNext/>
        <w:keepLines/>
        <w:spacing w:line="360" w:lineRule="auto"/>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PRIMERO. De la competencia.</w:t>
      </w: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bookmarkStart w:id="2" w:name="_heading=h.3znysh7" w:colFirst="0" w:colLast="0"/>
      <w:bookmarkEnd w:id="2"/>
      <w:r w:rsidRPr="00007E7A">
        <w:rPr>
          <w:rFonts w:ascii="Palatino Linotype" w:eastAsia="Palatino Linotype" w:hAnsi="Palatino Linotype" w:cs="Palatino Linotype"/>
          <w:color w:val="000000" w:themeColor="text1"/>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007E7A">
        <w:rPr>
          <w:rFonts w:ascii="Palatino Linotype" w:eastAsia="Palatino Linotype" w:hAnsi="Palatino Linotype" w:cs="Palatino Linotype"/>
          <w:b/>
          <w:bCs/>
          <w:color w:val="000000" w:themeColor="text1"/>
          <w:highlight w:val="white"/>
        </w:rPr>
        <w:t>Constitución Política de los Estados Unidos Mexicanos</w:t>
      </w:r>
      <w:r w:rsidRPr="00007E7A">
        <w:rPr>
          <w:rFonts w:ascii="Palatino Linotype" w:eastAsia="Palatino Linotype" w:hAnsi="Palatino Linotype" w:cs="Palatino Linotype"/>
          <w:color w:val="000000" w:themeColor="text1"/>
          <w:highlight w:val="white"/>
        </w:rPr>
        <w:t>; 5, párrafos trigésimo segundo, trigésimo tercero y trigésimo cuarto fracciones IV y V de la </w:t>
      </w:r>
      <w:r w:rsidRPr="00007E7A">
        <w:rPr>
          <w:rFonts w:ascii="Palatino Linotype" w:eastAsia="Palatino Linotype" w:hAnsi="Palatino Linotype" w:cs="Palatino Linotype"/>
          <w:b/>
          <w:bCs/>
          <w:color w:val="000000" w:themeColor="text1"/>
          <w:highlight w:val="white"/>
        </w:rPr>
        <w:t>Constitución Política del Estado Libre y Soberano de México</w:t>
      </w:r>
      <w:r w:rsidRPr="00007E7A">
        <w:rPr>
          <w:rFonts w:ascii="Palatino Linotype" w:eastAsia="Palatino Linotype" w:hAnsi="Palatino Linotype" w:cs="Palatino Linotype"/>
          <w:color w:val="000000" w:themeColor="text1"/>
          <w:highlight w:val="white"/>
        </w:rPr>
        <w:t>; artículos 1, 2 fracción II, 13, 29, 36 fracciones I y II, 176, 178, 179, 181 párrafo tercero y 185 de la </w:t>
      </w:r>
      <w:r w:rsidRPr="00007E7A">
        <w:rPr>
          <w:rFonts w:ascii="Palatino Linotype" w:eastAsia="Palatino Linotype" w:hAnsi="Palatino Linotype" w:cs="Palatino Linotype"/>
          <w:b/>
          <w:bCs/>
          <w:color w:val="000000" w:themeColor="text1"/>
          <w:highlight w:val="white"/>
        </w:rPr>
        <w:t>Ley de Transparencia y Acceso a la Información Pública del Estado de México y Municipios</w:t>
      </w:r>
      <w:r w:rsidRPr="00007E7A">
        <w:rPr>
          <w:rFonts w:ascii="Palatino Linotype" w:eastAsia="Palatino Linotype" w:hAnsi="Palatino Linotype" w:cs="Palatino Linotype"/>
          <w:color w:val="000000" w:themeColor="text1"/>
          <w:highlight w:val="white"/>
        </w:rPr>
        <w:t>; y 7, 9 fracciones I y XXIII, y 11 del </w:t>
      </w:r>
      <w:r w:rsidRPr="00007E7A">
        <w:rPr>
          <w:rFonts w:ascii="Palatino Linotype" w:eastAsia="Palatino Linotype" w:hAnsi="Palatino Linotype" w:cs="Palatino Linotype"/>
          <w:b/>
          <w:bCs/>
          <w:color w:val="000000" w:themeColor="text1"/>
          <w:highlight w:val="white"/>
        </w:rPr>
        <w:t>Reglamento Interior del Instituto de Transparencia, Acceso a la Información Pública y Protección de Datos Personales del Estado de México y Municipios</w:t>
      </w:r>
      <w:r w:rsidRPr="00007E7A">
        <w:rPr>
          <w:rFonts w:ascii="Palatino Linotype" w:eastAsia="Palatino Linotype" w:hAnsi="Palatino Linotype" w:cs="Palatino Linotype"/>
          <w:color w:val="000000" w:themeColor="text1"/>
          <w:highlight w:val="white"/>
        </w:rPr>
        <w:t>.</w:t>
      </w:r>
      <w:r w:rsidRPr="00007E7A">
        <w:rPr>
          <w:rFonts w:ascii="Palatino Linotype" w:eastAsia="Palatino Linotype" w:hAnsi="Palatino Linotype" w:cs="Palatino Linotype"/>
          <w:b/>
          <w:bCs/>
          <w:color w:val="000000" w:themeColor="text1"/>
        </w:rPr>
        <w:t>.</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bookmarkStart w:id="3" w:name="_heading=h.3dy6vkm" w:colFirst="0" w:colLast="0"/>
      <w:bookmarkEnd w:id="3"/>
      <w:r w:rsidRPr="00007E7A">
        <w:rPr>
          <w:rFonts w:ascii="Palatino Linotype" w:eastAsia="Palatino Linotype" w:hAnsi="Palatino Linotype" w:cs="Palatino Linotype"/>
          <w:color w:val="000000" w:themeColor="text1"/>
        </w:rPr>
        <w:t xml:space="preserve">El medio de impugnación fue presentado a través del </w:t>
      </w:r>
      <w:r w:rsidRPr="00007E7A">
        <w:rPr>
          <w:rFonts w:ascii="Palatino Linotype" w:eastAsia="Palatino Linotype" w:hAnsi="Palatino Linotype" w:cs="Palatino Linotype"/>
          <w:b/>
          <w:bCs/>
          <w:color w:val="000000" w:themeColor="text1"/>
        </w:rPr>
        <w:t>SAIMEX,</w:t>
      </w:r>
      <w:r w:rsidRPr="00007E7A">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entregó respuesta el </w:t>
      </w:r>
      <w:r w:rsidRPr="00007E7A">
        <w:rPr>
          <w:rFonts w:ascii="Palatino Linotype" w:eastAsia="Palatino Linotype" w:hAnsi="Palatino Linotype" w:cs="Palatino Linotype"/>
          <w:b/>
          <w:bCs/>
          <w:color w:val="000000" w:themeColor="text1"/>
        </w:rPr>
        <w:t>dieciocho de junio de dos mil veinticinco,</w:t>
      </w:r>
      <w:r w:rsidRPr="00007E7A">
        <w:rPr>
          <w:rFonts w:ascii="Palatino Linotype" w:eastAsia="Palatino Linotype" w:hAnsi="Palatino Linotype" w:cs="Palatino Linotype"/>
          <w:color w:val="000000" w:themeColor="text1"/>
        </w:rPr>
        <w:t xml:space="preserve"> de tal forma que el plazo para interponer el recurso de revisión transcurrió del </w:t>
      </w:r>
      <w:r w:rsidRPr="00007E7A">
        <w:rPr>
          <w:rFonts w:ascii="Palatino Linotype" w:eastAsia="Palatino Linotype" w:hAnsi="Palatino Linotype" w:cs="Palatino Linotype"/>
          <w:b/>
          <w:bCs/>
          <w:color w:val="000000" w:themeColor="text1"/>
        </w:rPr>
        <w:t>diecinueve de junio al nueve de julio de dos mil veinticinco</w:t>
      </w:r>
      <w:r w:rsidRPr="00007E7A">
        <w:rPr>
          <w:rFonts w:ascii="Palatino Linotype" w:eastAsia="Palatino Linotype" w:hAnsi="Palatino Linotype" w:cs="Palatino Linotype"/>
          <w:color w:val="000000" w:themeColor="text1"/>
        </w:rPr>
        <w:t xml:space="preserve">; en consecuencia, presentó su inconformidad el </w:t>
      </w:r>
      <w:r w:rsidRPr="00007E7A">
        <w:rPr>
          <w:rFonts w:ascii="Palatino Linotype" w:eastAsia="Palatino Linotype" w:hAnsi="Palatino Linotype" w:cs="Palatino Linotype"/>
          <w:b/>
          <w:bCs/>
          <w:color w:val="000000" w:themeColor="text1"/>
        </w:rPr>
        <w:t>veinte de junio   de dos mil veinticinco</w:t>
      </w:r>
      <w:r w:rsidRPr="00007E7A">
        <w:rPr>
          <w:rFonts w:ascii="Palatino Linotype" w:eastAsia="Palatino Linotype" w:hAnsi="Palatino Linotype" w:cs="Palatino Linotype"/>
          <w:color w:val="000000" w:themeColor="text1"/>
        </w:rPr>
        <w:t xml:space="preserve">, por lo que se encuentra dentro de los márgenes temporales previstos en el artículo 178 de la </w:t>
      </w:r>
      <w:r w:rsidRPr="00007E7A">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007E7A">
        <w:rPr>
          <w:rFonts w:ascii="Palatino Linotype" w:eastAsia="Palatino Linotype" w:hAnsi="Palatino Linotype" w:cs="Palatino Linotype"/>
          <w:color w:val="000000" w:themeColor="text1"/>
        </w:rPr>
        <w:t>vigente.</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Por otro lado, el escrito contiene las formalidades previstas por el artículo 180 último párrafo de la Ley de la materia actual, por lo que es procedente que este Instituto de </w:t>
      </w:r>
      <w:r w:rsidRPr="00007E7A">
        <w:rPr>
          <w:rFonts w:ascii="Palatino Linotype" w:eastAsia="Palatino Linotype" w:hAnsi="Palatino Linotype" w:cs="Palatino Linotype"/>
          <w:color w:val="000000" w:themeColor="text1"/>
        </w:rPr>
        <w:lastRenderedPageBreak/>
        <w:t>Transparencia, Acceso a la Información Pública y Protección de Datos Personales del Estado de México y Municipios, conozca y resuelva el presente recurso.</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spacing w:line="360" w:lineRule="auto"/>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TERCERO. De las causales del sobreseimiento.</w:t>
      </w: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007E7A">
        <w:rPr>
          <w:rFonts w:ascii="Palatino Linotype" w:eastAsia="Palatino Linotype" w:hAnsi="Palatino Linotype" w:cs="Palatino Linotype"/>
          <w:b/>
          <w:bCs/>
          <w:color w:val="000000" w:themeColor="text1"/>
          <w:u w:val="single"/>
        </w:rPr>
        <w:t>sobreseimiento</w:t>
      </w:r>
      <w:r w:rsidRPr="00007E7A">
        <w:rPr>
          <w:rFonts w:ascii="Palatino Linotype" w:eastAsia="Palatino Linotype" w:hAnsi="Palatino Linotype" w:cs="Palatino Linotype"/>
          <w:color w:val="000000" w:themeColor="text1"/>
        </w:rPr>
        <w:t xml:space="preserve">; y en su caso ordenar la entrega de la información con respecto a la respuesta emitida por el </w:t>
      </w:r>
      <w:r w:rsidRPr="00007E7A">
        <w:rPr>
          <w:rFonts w:ascii="Palatino Linotype" w:eastAsia="Palatino Linotype" w:hAnsi="Palatino Linotype" w:cs="Palatino Linotype"/>
          <w:b/>
          <w:bCs/>
          <w:color w:val="000000" w:themeColor="text1"/>
        </w:rPr>
        <w:t>SUJETO</w:t>
      </w:r>
      <w:r w:rsidRPr="00007E7A">
        <w:rPr>
          <w:rFonts w:ascii="Palatino Linotype" w:eastAsia="Palatino Linotype" w:hAnsi="Palatino Linotype" w:cs="Palatino Linotype"/>
          <w:color w:val="000000" w:themeColor="text1"/>
        </w:rPr>
        <w:t xml:space="preserve"> </w:t>
      </w:r>
      <w:r w:rsidRPr="00007E7A">
        <w:rPr>
          <w:rFonts w:ascii="Palatino Linotype" w:eastAsia="Palatino Linotype" w:hAnsi="Palatino Linotype" w:cs="Palatino Linotype"/>
          <w:b/>
          <w:bCs/>
          <w:color w:val="000000" w:themeColor="text1"/>
        </w:rPr>
        <w:t>OBLIGADO</w:t>
      </w:r>
      <w:r w:rsidRPr="00007E7A">
        <w:rPr>
          <w:rFonts w:ascii="Palatino Linotype" w:eastAsia="Palatino Linotype" w:hAnsi="Palatino Linotype" w:cs="Palatino Linotype"/>
          <w:color w:val="000000" w:themeColor="text1"/>
        </w:rPr>
        <w:t>.</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De acuerdo al precepto legal contenido en la fracción III del artículo 192 de la </w:t>
      </w:r>
      <w:r w:rsidRPr="00007E7A">
        <w:rPr>
          <w:rFonts w:ascii="Palatino Linotype" w:eastAsia="Palatino Linotype" w:hAnsi="Palatino Linotype" w:cs="Palatino Linotype"/>
          <w:b/>
          <w:bCs/>
          <w:color w:val="000000" w:themeColor="text1"/>
        </w:rPr>
        <w:t>Ley de Transparencia y Acceso a la Información Pública del Estado de México y Municipios</w:t>
      </w:r>
      <w:r w:rsidRPr="00007E7A">
        <w:rPr>
          <w:rFonts w:ascii="Palatino Linotype" w:eastAsia="Palatino Linotype" w:hAnsi="Palatino Linotype" w:cs="Palatino Linotype"/>
          <w:color w:val="000000" w:themeColor="text1"/>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Para los efectos de esta resolución, es oportuno precisar los alcances jurídicos de la fracción III de la disposición legal transcrita. Así, procede el sobreseimiento del recurso de revisión cuando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w:t>
      </w:r>
    </w:p>
    <w:p w:rsidR="00AC2325" w:rsidRPr="00007E7A" w:rsidRDefault="005C06A9" w:rsidP="00007E7A">
      <w:pPr>
        <w:numPr>
          <w:ilvl w:val="0"/>
          <w:numId w:val="2"/>
        </w:numP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Modifique el acto impugnado:</w:t>
      </w:r>
      <w:r w:rsidRPr="00007E7A">
        <w:rPr>
          <w:rFonts w:ascii="Palatino Linotype" w:eastAsia="Palatino Linotype" w:hAnsi="Palatino Linotype" w:cs="Palatino Linotype"/>
          <w:color w:val="000000" w:themeColor="text1"/>
        </w:rPr>
        <w:t xml:space="preserve"> Se actualiza cuando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5C06A9" w:rsidP="00007E7A">
      <w:pPr>
        <w:numPr>
          <w:ilvl w:val="0"/>
          <w:numId w:val="2"/>
        </w:numP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lastRenderedPageBreak/>
        <w:t>Revoque el acto impugnado:</w:t>
      </w:r>
      <w:r w:rsidRPr="00007E7A">
        <w:rPr>
          <w:rFonts w:ascii="Palatino Linotype" w:eastAsia="Palatino Linotype" w:hAnsi="Palatino Linotype" w:cs="Palatino Linotype"/>
          <w:color w:val="000000" w:themeColor="text1"/>
        </w:rPr>
        <w:t xml:space="preserve"> En este supuesto,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En el presente caso, el </w:t>
      </w:r>
      <w:r w:rsidRPr="00007E7A">
        <w:rPr>
          <w:rFonts w:ascii="Palatino Linotype" w:eastAsia="Palatino Linotype" w:hAnsi="Palatino Linotype" w:cs="Palatino Linotype"/>
          <w:b/>
          <w:bCs/>
          <w:color w:val="000000" w:themeColor="text1"/>
        </w:rPr>
        <w:t xml:space="preserve">RECURRENTE </w:t>
      </w:r>
      <w:r w:rsidRPr="00007E7A">
        <w:rPr>
          <w:rFonts w:ascii="Palatino Linotype" w:eastAsia="Palatino Linotype" w:hAnsi="Palatino Linotype" w:cs="Palatino Linotype"/>
          <w:color w:val="000000" w:themeColor="text1"/>
        </w:rPr>
        <w:t xml:space="preserve">solicitó </w:t>
      </w:r>
      <w:r w:rsidRPr="00007E7A">
        <w:rPr>
          <w:rFonts w:ascii="Palatino Linotype" w:eastAsia="Palatino Linotype" w:hAnsi="Palatino Linotype" w:cs="Palatino Linotype"/>
          <w:b/>
          <w:bCs/>
          <w:color w:val="000000" w:themeColor="text1"/>
        </w:rPr>
        <w:t>de los Resultados del Proceso Electoral</w:t>
      </w:r>
    </w:p>
    <w:p w:rsidR="00AC2325" w:rsidRPr="00007E7A" w:rsidRDefault="005C06A9" w:rsidP="00A85D8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Resultados a nivel estatal desglosados por </w:t>
      </w:r>
    </w:p>
    <w:p w:rsidR="00AC2325" w:rsidRPr="00007E7A" w:rsidRDefault="005C06A9" w:rsidP="00A85D8C">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Candidatura</w:t>
      </w:r>
    </w:p>
    <w:p w:rsidR="00AC2325" w:rsidRPr="00007E7A" w:rsidRDefault="005C06A9" w:rsidP="00A85D8C">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Distritos Judiciales </w:t>
      </w:r>
    </w:p>
    <w:p w:rsidR="00AC2325" w:rsidRPr="00007E7A" w:rsidRDefault="005C06A9" w:rsidP="00A85D8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Integración de los municipios y secciones que lo conforman</w:t>
      </w:r>
    </w:p>
    <w:p w:rsidR="00AC2325" w:rsidRPr="00007E7A" w:rsidRDefault="005C06A9" w:rsidP="00A85D8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Desglose de resultados por </w:t>
      </w:r>
    </w:p>
    <w:p w:rsidR="00AC2325" w:rsidRPr="00007E7A" w:rsidRDefault="005C06A9" w:rsidP="00A85D8C">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Municipio</w:t>
      </w:r>
    </w:p>
    <w:p w:rsidR="00AC2325" w:rsidRPr="00007E7A" w:rsidRDefault="005C06A9" w:rsidP="00A85D8C">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Sección</w:t>
      </w:r>
    </w:p>
    <w:p w:rsidR="00AC2325" w:rsidRPr="00007E7A" w:rsidRDefault="005C06A9" w:rsidP="00A85D8C">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Candidatura</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En respuesta,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por medio del </w:t>
      </w:r>
      <w:r w:rsidRPr="00007E7A">
        <w:rPr>
          <w:rFonts w:ascii="Palatino Linotype" w:eastAsia="Palatino Linotype" w:hAnsi="Palatino Linotype" w:cs="Palatino Linotype"/>
          <w:b/>
          <w:bCs/>
          <w:color w:val="000000" w:themeColor="text1"/>
        </w:rPr>
        <w:t>Director de Organización</w:t>
      </w:r>
      <w:r w:rsidRPr="00007E7A">
        <w:rPr>
          <w:rFonts w:ascii="Palatino Linotype" w:eastAsia="Palatino Linotype" w:hAnsi="Palatino Linotype" w:cs="Palatino Linotype"/>
          <w:color w:val="000000" w:themeColor="text1"/>
        </w:rPr>
        <w:t xml:space="preserve">,  informó que conforme a las etapas del Proceso Electoral del Estado de México, las tablas de los resultados de los cómputos del Proceso Electoral Judicial Extraordinario 2025 del Estado de México serán publicados dentro de los plazos señalados en el artículo 430 del Reglamento de Elecciones del Instituto Nacional Electoral, por lo que a la fecha de la solicitud aún no se encontraban disponibles para su entrega o consulta en formatos de base de datos, ni mucho </w:t>
      </w:r>
      <w:r w:rsidRPr="00007E7A">
        <w:rPr>
          <w:rFonts w:ascii="Palatino Linotype" w:eastAsia="Palatino Linotype" w:hAnsi="Palatino Linotype" w:cs="Palatino Linotype"/>
          <w:color w:val="000000" w:themeColor="text1"/>
        </w:rPr>
        <w:lastRenderedPageBreak/>
        <w:t>menos desagregado por municipio o sección electoral; no obstante remite links de acceso y explica el procedimiento a seguir a fin de  tener a la vista a información relacionada con la solicitud de información.</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Al respecto, el </w:t>
      </w:r>
      <w:r w:rsidRPr="00007E7A">
        <w:rPr>
          <w:rFonts w:ascii="Palatino Linotype" w:eastAsia="Palatino Linotype" w:hAnsi="Palatino Linotype" w:cs="Palatino Linotype"/>
          <w:b/>
          <w:bCs/>
          <w:color w:val="000000" w:themeColor="text1"/>
        </w:rPr>
        <w:t xml:space="preserve">RECURRENTE </w:t>
      </w:r>
      <w:r w:rsidRPr="00007E7A">
        <w:rPr>
          <w:rFonts w:ascii="Palatino Linotype" w:eastAsia="Palatino Linotype" w:hAnsi="Palatino Linotype" w:cs="Palatino Linotype"/>
          <w:color w:val="000000" w:themeColor="text1"/>
        </w:rPr>
        <w:t xml:space="preserve">interpuso el recurso de revisión en contra de la respuesta, por medio del cual, manifestó que </w:t>
      </w:r>
      <w:r w:rsidRPr="00007E7A">
        <w:rPr>
          <w:rFonts w:ascii="Palatino Linotype" w:eastAsia="Palatino Linotype" w:hAnsi="Palatino Linotype" w:cs="Palatino Linotype"/>
          <w:b/>
          <w:bCs/>
          <w:color w:val="000000" w:themeColor="text1"/>
        </w:rPr>
        <w:t>con los recursos informáticos actuales, la información que solicito puede ser procesada por el SUJETO OBLIGADO</w:t>
      </w:r>
      <w:r w:rsidRPr="00007E7A">
        <w:rPr>
          <w:rFonts w:ascii="Palatino Linotype" w:eastAsia="Palatino Linotype" w:hAnsi="Palatino Linotype" w:cs="Palatino Linotype"/>
          <w:color w:val="000000" w:themeColor="text1"/>
        </w:rPr>
        <w:t xml:space="preserve"> </w:t>
      </w:r>
      <w:r w:rsidRPr="00007E7A">
        <w:rPr>
          <w:rFonts w:ascii="Palatino Linotype" w:eastAsia="Palatino Linotype" w:hAnsi="Palatino Linotype" w:cs="Palatino Linotype"/>
          <w:b/>
          <w:bCs/>
          <w:color w:val="000000" w:themeColor="text1"/>
        </w:rPr>
        <w:t>para ser proporcionada y no lo realizó.</w:t>
      </w:r>
    </w:p>
    <w:p w:rsidR="00AC2325" w:rsidRPr="00007E7A" w:rsidRDefault="00AC2325" w:rsidP="00007E7A">
      <w:pPr>
        <w:tabs>
          <w:tab w:val="left" w:pos="7860"/>
        </w:tabs>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highlight w:val="white"/>
        </w:rPr>
      </w:pPr>
      <w:r w:rsidRPr="00007E7A">
        <w:rPr>
          <w:rFonts w:ascii="Palatino Linotype" w:eastAsia="Palatino Linotype" w:hAnsi="Palatino Linotype" w:cs="Palatino Linotype"/>
          <w:color w:val="000000" w:themeColor="text1"/>
          <w:highlight w:val="white"/>
        </w:rPr>
        <w:t xml:space="preserve">En consecuencia, por medio de un acto jurídico posterior como lo es el informe justificado, el </w:t>
      </w:r>
      <w:r w:rsidRPr="00007E7A">
        <w:rPr>
          <w:rFonts w:ascii="Palatino Linotype" w:eastAsia="Palatino Linotype" w:hAnsi="Palatino Linotype" w:cs="Palatino Linotype"/>
          <w:b/>
          <w:bCs/>
          <w:color w:val="000000" w:themeColor="text1"/>
          <w:highlight w:val="white"/>
        </w:rPr>
        <w:t>SUJETO OBLIGADO</w:t>
      </w:r>
      <w:r w:rsidRPr="00007E7A">
        <w:rPr>
          <w:rFonts w:ascii="Palatino Linotype" w:eastAsia="Palatino Linotype" w:hAnsi="Palatino Linotype" w:cs="Palatino Linotype"/>
          <w:color w:val="000000" w:themeColor="text1"/>
          <w:highlight w:val="white"/>
        </w:rPr>
        <w:t xml:space="preserve"> a través del Director de Organización, remitió en formato Excel los Resultados por casilla de los Cómputos de elección a nivel Estatal, desglosada por Candidatura, Distrito Judicial, tipo de casilla, sección, recuadros no utilizados, votos nulos y lista nominal; así como los Resultados por casilla de los Cómputos de la Elección por candidatura, ID Distrito Judicial, Distrito Judicial, Sección, Tipo de Casilla, recuadros no utilizados, votos nulos y lista nominal; además agrego nuevamente links de acceso explicando el procedimiento a seguir a fin de tener a la vista la información requerida.</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lastRenderedPageBreak/>
        <w:t>En este sentido, para atender las solicitudes de información, los Sujetos Obligados contarán con un área denominada Unidad de Transparencia</w:t>
      </w:r>
      <w:r w:rsidRPr="00007E7A">
        <w:rPr>
          <w:rFonts w:ascii="Palatino Linotype" w:eastAsia="Palatino Linotype" w:hAnsi="Palatino Linotype" w:cs="Palatino Linotype"/>
          <w:color w:val="000000" w:themeColor="text1"/>
          <w:vertAlign w:val="superscript"/>
        </w:rPr>
        <w:footnoteReference w:id="1"/>
      </w:r>
      <w:r w:rsidRPr="00007E7A">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007E7A">
        <w:rPr>
          <w:rFonts w:ascii="Palatino Linotype" w:eastAsia="Palatino Linotype" w:hAnsi="Palatino Linotype" w:cs="Palatino Linotype"/>
          <w:b/>
          <w:bCs/>
          <w:color w:val="000000" w:themeColor="text1"/>
        </w:rPr>
        <w:t xml:space="preserve"> </w:t>
      </w:r>
      <w:r w:rsidRPr="00007E7A">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007E7A">
        <w:rPr>
          <w:rFonts w:ascii="Palatino Linotype" w:eastAsia="Palatino Linotype" w:hAnsi="Palatino Linotype" w:cs="Palatino Linotype"/>
          <w:color w:val="000000" w:themeColor="text1"/>
          <w:vertAlign w:val="superscript"/>
        </w:rPr>
        <w:footnoteReference w:id="2"/>
      </w:r>
      <w:r w:rsidRPr="00007E7A">
        <w:rPr>
          <w:rFonts w:ascii="Palatino Linotype" w:eastAsia="Palatino Linotype" w:hAnsi="Palatino Linotype" w:cs="Palatino Linotype"/>
          <w:color w:val="000000" w:themeColor="text1"/>
        </w:rPr>
        <w:t>.</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AC2325" w:rsidRPr="00007E7A" w:rsidRDefault="005C06A9" w:rsidP="00A85D8C">
      <w:pPr>
        <w:numPr>
          <w:ilvl w:val="1"/>
          <w:numId w:val="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Recibir, tramitar y dar respuesta a las solicitudes de acceso a la información;</w:t>
      </w:r>
    </w:p>
    <w:p w:rsidR="00AC2325" w:rsidRPr="00007E7A" w:rsidRDefault="005C06A9" w:rsidP="00A85D8C">
      <w:pPr>
        <w:numPr>
          <w:ilvl w:val="1"/>
          <w:numId w:val="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AC2325" w:rsidRPr="00007E7A" w:rsidRDefault="005C06A9" w:rsidP="00A85D8C">
      <w:pPr>
        <w:numPr>
          <w:ilvl w:val="1"/>
          <w:numId w:val="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Entregar, en su caso, a los particulares la información solicitada; y </w:t>
      </w:r>
    </w:p>
    <w:p w:rsidR="00AC2325" w:rsidRDefault="005C06A9" w:rsidP="00A85D8C">
      <w:pPr>
        <w:numPr>
          <w:ilvl w:val="1"/>
          <w:numId w:val="4"/>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Efectuar las notificaciones a los solicitantes.</w:t>
      </w:r>
    </w:p>
    <w:p w:rsidR="00007E7A" w:rsidRPr="00007E7A" w:rsidRDefault="00007E7A" w:rsidP="00007E7A">
      <w:pPr>
        <w:pBdr>
          <w:top w:val="nil"/>
          <w:left w:val="nil"/>
          <w:bottom w:val="nil"/>
          <w:right w:val="nil"/>
          <w:between w:val="nil"/>
        </w:pBdr>
        <w:spacing w:after="240"/>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007E7A">
        <w:rPr>
          <w:rFonts w:ascii="Palatino Linotype" w:eastAsia="Palatino Linotype" w:hAnsi="Palatino Linotype" w:cs="Palatino Linotype"/>
          <w:b/>
          <w:bCs/>
          <w:color w:val="000000" w:themeColor="text1"/>
        </w:rPr>
        <w:t xml:space="preserve">SUJETO OBLIGADO </w:t>
      </w:r>
      <w:r w:rsidRPr="00007E7A">
        <w:rPr>
          <w:rFonts w:ascii="Palatino Linotype" w:eastAsia="Palatino Linotype" w:hAnsi="Palatino Linotype" w:cs="Palatino Linotype"/>
          <w:color w:val="000000" w:themeColor="text1"/>
        </w:rPr>
        <w:t>a propuesta del responsable de la Unidad de Transparencia</w:t>
      </w:r>
      <w:r w:rsidRPr="00007E7A">
        <w:rPr>
          <w:rFonts w:ascii="Palatino Linotype" w:eastAsia="Palatino Linotype" w:hAnsi="Palatino Linotype" w:cs="Palatino Linotype"/>
          <w:color w:val="000000" w:themeColor="text1"/>
          <w:vertAlign w:val="superscript"/>
        </w:rPr>
        <w:footnoteReference w:id="3"/>
      </w:r>
      <w:r w:rsidRPr="00007E7A">
        <w:rPr>
          <w:rFonts w:ascii="Palatino Linotype" w:eastAsia="Palatino Linotype" w:hAnsi="Palatino Linotype" w:cs="Palatino Linotype"/>
          <w:color w:val="000000" w:themeColor="text1"/>
        </w:rPr>
        <w:t xml:space="preserve"> y tendrán, entre sus atribuciones, las siguientes</w:t>
      </w:r>
      <w:r w:rsidRPr="00007E7A">
        <w:rPr>
          <w:rFonts w:ascii="Palatino Linotype" w:eastAsia="Palatino Linotype" w:hAnsi="Palatino Linotype" w:cs="Palatino Linotype"/>
          <w:color w:val="000000" w:themeColor="text1"/>
          <w:vertAlign w:val="superscript"/>
        </w:rPr>
        <w:footnoteReference w:id="4"/>
      </w:r>
      <w:r w:rsidRPr="00007E7A">
        <w:rPr>
          <w:rFonts w:ascii="Palatino Linotype" w:eastAsia="Palatino Linotype" w:hAnsi="Palatino Linotype" w:cs="Palatino Linotype"/>
          <w:color w:val="000000" w:themeColor="text1"/>
        </w:rPr>
        <w:t>:</w:t>
      </w:r>
    </w:p>
    <w:p w:rsidR="00AC2325" w:rsidRPr="00007E7A" w:rsidRDefault="005C06A9" w:rsidP="00E1732F">
      <w:pPr>
        <w:numPr>
          <w:ilvl w:val="1"/>
          <w:numId w:val="5"/>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lastRenderedPageBreak/>
        <w:t>Localizar la información que le solicite la Unidad de Transparencia; y</w:t>
      </w:r>
    </w:p>
    <w:p w:rsidR="00AC2325" w:rsidRPr="00007E7A" w:rsidRDefault="005C06A9" w:rsidP="00E1732F">
      <w:pPr>
        <w:numPr>
          <w:ilvl w:val="1"/>
          <w:numId w:val="5"/>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AC2325" w:rsidRPr="00007E7A" w:rsidRDefault="00AC2325" w:rsidP="00007E7A">
      <w:pPr>
        <w:tabs>
          <w:tab w:val="left" w:pos="426"/>
          <w:tab w:val="left" w:pos="567"/>
        </w:tabs>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De tal manera que cada una de las áreas administrativas del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b/>
          <w:bCs/>
          <w:i/>
          <w:iCs/>
          <w:color w:val="000000" w:themeColor="text1"/>
        </w:rPr>
        <w:t>“Artículo 53</w:t>
      </w:r>
      <w:r w:rsidRPr="00007E7A">
        <w:rPr>
          <w:rFonts w:ascii="Palatino Linotype" w:eastAsia="Palatino Linotype" w:hAnsi="Palatino Linotype" w:cs="Palatino Linotype"/>
          <w:i/>
          <w:iCs/>
          <w:color w:val="000000" w:themeColor="text1"/>
        </w:rPr>
        <w:t xml:space="preserve">. Las Unidades de Transparencia tendrán las siguientes funciones: </w:t>
      </w:r>
    </w:p>
    <w:p w:rsidR="00AC2325" w:rsidRPr="00007E7A" w:rsidRDefault="00AC2325"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b/>
          <w:bCs/>
          <w:i/>
          <w:iCs/>
          <w:color w:val="000000" w:themeColor="text1"/>
        </w:rPr>
        <w:t xml:space="preserve">II. Recibir, tramitar y dar respuesta a las solicitudes de acceso a la información;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III. Auxiliar a los particulares en la elaboración de solicitudes de acceso a la información y, en su caso, orientarlos sobre los sujetos obligados competentes conforme a la normatividad aplicable;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b/>
          <w:bCs/>
          <w:i/>
          <w:iCs/>
          <w:color w:val="000000" w:themeColor="text1"/>
        </w:rPr>
        <w:t xml:space="preserve">IV. Realizar, con efectividad, los trámites internos necesarios para la atención de las solicitudes de acceso a la información;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V. Entregar, en su caso, a los particulares la información solicitada;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VI. Efectuar las notificaciones a los solicitantes;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VIII. Proponer a quien preside el Comité de Transparencia, personal habilitado que sea necesario para recibir y dar trámite a las solicitudes de acceso a la información;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b/>
          <w:bCs/>
          <w:i/>
          <w:iCs/>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lastRenderedPageBreak/>
        <w:t xml:space="preserve">X. Presentar ante el Comité, el proyecto de clasificación de información;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XI. Promover e implementar políticas de transparencia proactiva procurando su accesibilidad;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XII. Fomentar la transparencia y accesibilidad al interior del sujeto obligado; </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XIII. Hacer del conocimiento de la instancia competente la probable responsabilidad por el incumplimiento de las obligaciones previstas en la presente Ley; y</w:t>
      </w:r>
    </w:p>
    <w:p w:rsidR="00AC2325" w:rsidRPr="00007E7A" w:rsidRDefault="005C06A9" w:rsidP="00007E7A">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XIV. Las demás que resulten necesarias para facilitar el acceso a la información y aquellas que se desprenden de la presente Ley y demás disposiciones jurídicas aplicables. (…)</w:t>
      </w:r>
    </w:p>
    <w:p w:rsidR="00AC2325" w:rsidRDefault="005C06A9" w:rsidP="00007E7A">
      <w:pPr>
        <w:pBdr>
          <w:top w:val="nil"/>
          <w:left w:val="nil"/>
          <w:bottom w:val="nil"/>
          <w:right w:val="nil"/>
          <w:between w:val="nil"/>
        </w:pBdr>
        <w:tabs>
          <w:tab w:val="left" w:pos="426"/>
        </w:tabs>
        <w:spacing w:after="240"/>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007E7A" w:rsidRPr="00007E7A" w:rsidRDefault="00007E7A" w:rsidP="00007E7A">
      <w:pPr>
        <w:pBdr>
          <w:top w:val="nil"/>
          <w:left w:val="nil"/>
          <w:bottom w:val="nil"/>
          <w:right w:val="nil"/>
          <w:between w:val="nil"/>
        </w:pBdr>
        <w:tabs>
          <w:tab w:val="left" w:pos="426"/>
        </w:tabs>
        <w:spacing w:after="240"/>
        <w:jc w:val="both"/>
        <w:rPr>
          <w:rFonts w:ascii="Palatino Linotype" w:eastAsia="Palatino Linotype" w:hAnsi="Palatino Linotype" w:cs="Palatino Linotype"/>
          <w:i/>
          <w:iCs/>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rsidR="00442883" w:rsidRPr="00007E7A" w:rsidRDefault="00442883" w:rsidP="00007E7A">
      <w:pPr>
        <w:pStyle w:val="Prrafodelista"/>
        <w:ind w:left="0"/>
        <w:rPr>
          <w:rFonts w:ascii="Palatino Linotype" w:eastAsia="Palatino Linotype" w:hAnsi="Palatino Linotype" w:cs="Palatino Linotype"/>
          <w:color w:val="000000" w:themeColor="text1"/>
          <w:sz w:val="24"/>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Ahora bien , resulta conveniente referir que el Reglamento Interno del Instituto Electoral del Estado de México, en su artículo 33, nos establece las atribuciones de la Dirección de Organización, estableciendo lo siguiente:</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highlight w:val="yellow"/>
        </w:rPr>
      </w:pPr>
    </w:p>
    <w:p w:rsidR="00AC2325" w:rsidRPr="00007E7A" w:rsidRDefault="005C06A9" w:rsidP="00007E7A">
      <w:pPr>
        <w:pStyle w:val="Ttulo1"/>
        <w:keepNext w:val="0"/>
        <w:keepLines w:val="0"/>
        <w:widowControl w:val="0"/>
        <w:spacing w:before="0" w:after="0" w:line="360" w:lineRule="auto"/>
        <w:rPr>
          <w:rFonts w:ascii="Palatino Linotype" w:eastAsia="Palatino Linotype" w:hAnsi="Palatino Linotype" w:cs="Palatino Linotype"/>
          <w:i/>
          <w:iCs/>
          <w:color w:val="000000" w:themeColor="text1"/>
          <w:sz w:val="24"/>
          <w:szCs w:val="24"/>
        </w:rPr>
      </w:pPr>
      <w:r w:rsidRPr="00007E7A">
        <w:rPr>
          <w:rFonts w:ascii="Palatino Linotype" w:eastAsia="Palatino Linotype" w:hAnsi="Palatino Linotype" w:cs="Palatino Linotype"/>
          <w:i/>
          <w:iCs/>
          <w:color w:val="000000" w:themeColor="text1"/>
          <w:sz w:val="24"/>
          <w:szCs w:val="24"/>
        </w:rPr>
        <w:t>DE LA DIRECCIÓN DE ORGANIZACIÓN</w:t>
      </w:r>
    </w:p>
    <w:p w:rsidR="00AC2325" w:rsidRPr="00007E7A" w:rsidRDefault="005C06A9"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b/>
          <w:bCs/>
          <w:i/>
          <w:iCs/>
          <w:color w:val="000000" w:themeColor="text1"/>
        </w:rPr>
        <w:t>Artículo 33.</w:t>
      </w:r>
      <w:r w:rsidRPr="00007E7A">
        <w:rPr>
          <w:rFonts w:ascii="Palatino Linotype" w:eastAsia="Palatino Linotype" w:hAnsi="Palatino Linotype" w:cs="Palatino Linotype"/>
          <w:i/>
          <w:iCs/>
          <w:color w:val="000000" w:themeColor="text1"/>
        </w:rPr>
        <w:t xml:space="preserve"> </w:t>
      </w:r>
      <w:r w:rsidRPr="00007E7A">
        <w:rPr>
          <w:rFonts w:ascii="Palatino Linotype" w:eastAsia="Palatino Linotype" w:hAnsi="Palatino Linotype" w:cs="Palatino Linotype"/>
          <w:b/>
          <w:bCs/>
          <w:i/>
          <w:iCs/>
          <w:color w:val="000000" w:themeColor="text1"/>
          <w:u w:val="single"/>
        </w:rPr>
        <w:t>La Dirección de Organización es el órgano del IEEM encargado de planear, organizar, dirigir y coordinar las actividades inherentes a la preparación, organización y desarrollo de los procesos electorales en coordinación con el INE</w:t>
      </w:r>
      <w:r w:rsidRPr="00007E7A">
        <w:rPr>
          <w:rFonts w:ascii="Palatino Linotype" w:eastAsia="Palatino Linotype" w:hAnsi="Palatino Linotype" w:cs="Palatino Linotype"/>
          <w:i/>
          <w:iCs/>
          <w:color w:val="000000" w:themeColor="text1"/>
        </w:rPr>
        <w:t xml:space="preserve">, </w:t>
      </w:r>
      <w:r w:rsidRPr="00007E7A">
        <w:rPr>
          <w:rFonts w:ascii="Palatino Linotype" w:eastAsia="Palatino Linotype" w:hAnsi="Palatino Linotype" w:cs="Palatino Linotype"/>
          <w:b/>
          <w:bCs/>
          <w:i/>
          <w:iCs/>
          <w:color w:val="000000" w:themeColor="text1"/>
          <w:u w:val="single"/>
        </w:rPr>
        <w:t xml:space="preserve">aplicando los procedimientos para el diseño, impresión, producción, resguardo, así como, distribución de la documentación y material electoral, auxiliando en la integración, instalación y funcionamiento de los Órganos Desconcentrados del IEEM, en la recopilación, sistematización, análisis, resguardo de la </w:t>
      </w:r>
      <w:r w:rsidRPr="00007E7A">
        <w:rPr>
          <w:rFonts w:ascii="Palatino Linotype" w:eastAsia="Palatino Linotype" w:hAnsi="Palatino Linotype" w:cs="Palatino Linotype"/>
          <w:b/>
          <w:bCs/>
          <w:i/>
          <w:iCs/>
          <w:color w:val="000000" w:themeColor="text1"/>
          <w:u w:val="single"/>
        </w:rPr>
        <w:lastRenderedPageBreak/>
        <w:t>información y estadística electoral, conforme a las actividades encomendadas por el Consejo General, a</w:t>
      </w:r>
      <w:r w:rsidRPr="00007E7A">
        <w:rPr>
          <w:rFonts w:ascii="Palatino Linotype" w:eastAsia="Palatino Linotype" w:hAnsi="Palatino Linotype" w:cs="Palatino Linotype"/>
          <w:i/>
          <w:iCs/>
          <w:color w:val="000000" w:themeColor="text1"/>
        </w:rPr>
        <w:t>demás atenderá lo relativo a la recepción y trámite de solicitudes de las Observadoras y los Observadores Electorales, en los términos que determine el INE.</w:t>
      </w:r>
    </w:p>
    <w:p w:rsidR="00AC2325" w:rsidRPr="00007E7A" w:rsidRDefault="00AC2325"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AC2325" w:rsidRPr="00007E7A" w:rsidRDefault="005C06A9"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i/>
          <w:iCs/>
          <w:color w:val="000000" w:themeColor="text1"/>
        </w:rPr>
        <w:t>Durante la organización de los Procesos Electorales Concurrentes, será responsable de la Capacitación de las actividades que realizarán las personas Supervisoras Electorales Locales y Capacitadoras Asistentes Electorales Locales, así como de la aplicación de la evaluación del desempeño de estas figuras, mediante el instrumento que diseñe la Unidad Técnica para la Administración de Personal Electoral.</w:t>
      </w:r>
    </w:p>
    <w:p w:rsidR="00AC2325" w:rsidRPr="00007E7A" w:rsidRDefault="00AC2325"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AC2325" w:rsidRPr="00007E7A" w:rsidRDefault="005C06A9"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La Dirección de Organización ejercerá sus atribuciones en términos de lo dispuesto por el artículo 200 del CEEM y demás disposiciones legales aplicables, para tal efecto contará con la siguiente estructura:</w:t>
      </w:r>
    </w:p>
    <w:p w:rsidR="00AC2325" w:rsidRPr="00007E7A" w:rsidRDefault="00AC2325" w:rsidP="00007E7A">
      <w:pPr>
        <w:widowControl w:val="0"/>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Al respecto el Código Electoral del Estado de México, en su artículo 200, nos refiere las atribuciones dela Dirección, instituyendo lo que a continuación se describe:</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Artículo 200.</w:t>
      </w:r>
      <w:r w:rsidRPr="00007E7A">
        <w:rPr>
          <w:rFonts w:ascii="Palatino Linotype" w:hAnsi="Palatino Linotype"/>
          <w:i/>
          <w:iCs/>
          <w:color w:val="000000" w:themeColor="text1"/>
        </w:rPr>
        <w:t xml:space="preserve"> La Dirección de Organización tiene las siguientes atribuciones:</w:t>
      </w:r>
    </w:p>
    <w:p w:rsidR="00AC2325" w:rsidRPr="00007E7A" w:rsidRDefault="00AC2325" w:rsidP="00007E7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i/>
          <w:iCs/>
          <w:color w:val="000000" w:themeColor="text1"/>
        </w:rPr>
      </w:pP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I.</w:t>
      </w:r>
      <w:r w:rsidRPr="00007E7A">
        <w:rPr>
          <w:rFonts w:ascii="Palatino Linotype" w:hAnsi="Palatino Linotype"/>
          <w:i/>
          <w:iCs/>
          <w:color w:val="000000" w:themeColor="text1"/>
        </w:rPr>
        <w:t xml:space="preserve"> Apoyar la integración, instalación y funcionamiento de las juntas distritales y municipales ejecutivas.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II.</w:t>
      </w:r>
      <w:r w:rsidRPr="00007E7A">
        <w:rPr>
          <w:rFonts w:ascii="Palatino Linotype" w:hAnsi="Palatino Linotype"/>
          <w:i/>
          <w:iCs/>
          <w:color w:val="000000" w:themeColor="text1"/>
        </w:rPr>
        <w:t xml:space="preserve"> Realizar la impresión de documentos y producción de materiales.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III.</w:t>
      </w:r>
      <w:r w:rsidRPr="00007E7A">
        <w:rPr>
          <w:rFonts w:ascii="Palatino Linotype" w:hAnsi="Palatino Linotype"/>
          <w:i/>
          <w:iCs/>
          <w:color w:val="000000" w:themeColor="text1"/>
        </w:rPr>
        <w:t xml:space="preserve"> Proveer lo necesario para la impresión y distribución de la documentación electoral autorizada.</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IV.</w:t>
      </w:r>
      <w:r w:rsidRPr="00007E7A">
        <w:rPr>
          <w:rFonts w:ascii="Palatino Linotype" w:hAnsi="Palatino Linotype"/>
          <w:i/>
          <w:iCs/>
          <w:color w:val="000000" w:themeColor="text1"/>
        </w:rPr>
        <w:t xml:space="preserve"> Recabar de los consejos distritales y municipales electorales, copias de las actas de sus sesiones y demás documentos relacionados con el proceso electoral.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V.</w:t>
      </w:r>
      <w:r w:rsidRPr="00007E7A">
        <w:rPr>
          <w:rFonts w:ascii="Palatino Linotype" w:hAnsi="Palatino Linotype"/>
          <w:i/>
          <w:iCs/>
          <w:color w:val="000000" w:themeColor="text1"/>
        </w:rPr>
        <w:t xml:space="preserve"> Recabar la documentación necesaria e integrar los expedientes a fin de que el Consejo General efectúe los cómputos que conforme a este Código debe realizar.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b/>
          <w:bCs/>
          <w:i/>
          <w:iCs/>
          <w:color w:val="000000" w:themeColor="text1"/>
          <w:u w:val="single"/>
        </w:rPr>
      </w:pPr>
      <w:r w:rsidRPr="00007E7A">
        <w:rPr>
          <w:rFonts w:ascii="Palatino Linotype" w:hAnsi="Palatino Linotype"/>
          <w:b/>
          <w:bCs/>
          <w:i/>
          <w:iCs/>
          <w:color w:val="000000" w:themeColor="text1"/>
          <w:u w:val="single"/>
        </w:rPr>
        <w:t xml:space="preserve">VI. Llevar la estadística de las elecciones estatales.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hAnsi="Palatino Linotype"/>
          <w:i/>
          <w:iCs/>
          <w:color w:val="000000" w:themeColor="text1"/>
        </w:rPr>
      </w:pPr>
      <w:r w:rsidRPr="00007E7A">
        <w:rPr>
          <w:rFonts w:ascii="Palatino Linotype" w:hAnsi="Palatino Linotype"/>
          <w:b/>
          <w:bCs/>
          <w:i/>
          <w:iCs/>
          <w:color w:val="000000" w:themeColor="text1"/>
        </w:rPr>
        <w:t>VII.</w:t>
      </w:r>
      <w:r w:rsidRPr="00007E7A">
        <w:rPr>
          <w:rFonts w:ascii="Palatino Linotype" w:hAnsi="Palatino Linotype"/>
          <w:i/>
          <w:iCs/>
          <w:color w:val="000000" w:themeColor="text1"/>
        </w:rPr>
        <w:t xml:space="preserve"> Acordar con el Secretario Ejecutivo los asuntos de su competencia. </w:t>
      </w:r>
    </w:p>
    <w:p w:rsidR="00AC2325" w:rsidRPr="00007E7A" w:rsidRDefault="005C06A9" w:rsidP="00007E7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i/>
          <w:iCs/>
          <w:color w:val="000000" w:themeColor="text1"/>
        </w:rPr>
      </w:pPr>
      <w:r w:rsidRPr="00007E7A">
        <w:rPr>
          <w:rFonts w:ascii="Palatino Linotype" w:hAnsi="Palatino Linotype"/>
          <w:b/>
          <w:bCs/>
          <w:i/>
          <w:iCs/>
          <w:color w:val="000000" w:themeColor="text1"/>
        </w:rPr>
        <w:lastRenderedPageBreak/>
        <w:t>VIII.</w:t>
      </w:r>
      <w:r w:rsidRPr="00007E7A">
        <w:rPr>
          <w:rFonts w:ascii="Palatino Linotype" w:hAnsi="Palatino Linotype"/>
          <w:i/>
          <w:iCs/>
          <w:color w:val="000000" w:themeColor="text1"/>
        </w:rPr>
        <w:t xml:space="preserve"> Las demás que le confiera este Código.</w:t>
      </w:r>
    </w:p>
    <w:p w:rsidR="00AC2325" w:rsidRPr="00007E7A" w:rsidRDefault="00AC2325" w:rsidP="00007E7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En este sentido, se advierte que,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cumplió con el procedimiento de búsqueda exhaustiva y razonable, pues gestionó la solicitud de información en la unidad administrativa en donde </w:t>
      </w:r>
      <w:r w:rsidRPr="00007E7A">
        <w:rPr>
          <w:rFonts w:ascii="Palatino Linotype" w:eastAsia="Palatino Linotype" w:hAnsi="Palatino Linotype" w:cs="Palatino Linotype"/>
          <w:color w:val="000000" w:themeColor="text1"/>
          <w:u w:val="single"/>
        </w:rPr>
        <w:t>pudiera</w:t>
      </w:r>
      <w:r w:rsidRPr="00007E7A">
        <w:rPr>
          <w:rFonts w:ascii="Palatino Linotype" w:eastAsia="Palatino Linotype" w:hAnsi="Palatino Linotype" w:cs="Palatino Linotype"/>
          <w:color w:val="000000" w:themeColor="text1"/>
        </w:rPr>
        <w:t xml:space="preserve"> obrar lo peticionado, siendo esta </w:t>
      </w:r>
      <w:r w:rsidRPr="00007E7A">
        <w:rPr>
          <w:rFonts w:ascii="Palatino Linotype" w:eastAsia="Palatino Linotype" w:hAnsi="Palatino Linotype" w:cs="Palatino Linotype"/>
          <w:b/>
          <w:bCs/>
          <w:color w:val="000000" w:themeColor="text1"/>
        </w:rPr>
        <w:t>la Dirección de Organización del Instituto Electoral del Estado de México.</w:t>
      </w:r>
    </w:p>
    <w:p w:rsidR="00AC2325" w:rsidRPr="00007E7A" w:rsidRDefault="00AC2325" w:rsidP="00007E7A">
      <w:pPr>
        <w:rPr>
          <w:rFonts w:ascii="Palatino Linotype" w:eastAsia="Palatino Linotype" w:hAnsi="Palatino Linotype" w:cs="Palatino Linotype"/>
          <w:color w:val="000000" w:themeColor="text1"/>
        </w:rPr>
      </w:pPr>
    </w:p>
    <w:p w:rsidR="00442883" w:rsidRPr="00FB3E43" w:rsidRDefault="00442883"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FB3E43">
        <w:rPr>
          <w:rFonts w:ascii="Palatino Linotype" w:eastAsia="Palatino Linotype" w:hAnsi="Palatino Linotype" w:cs="Palatino Linotype"/>
          <w:color w:val="000000" w:themeColor="text1"/>
        </w:rPr>
        <w:t xml:space="preserve">En continuidad se reitera que el </w:t>
      </w:r>
      <w:r w:rsidRPr="00FB3E43">
        <w:rPr>
          <w:rFonts w:ascii="Palatino Linotype" w:eastAsia="Palatino Linotype" w:hAnsi="Palatino Linotype" w:cs="Palatino Linotype"/>
          <w:b/>
          <w:color w:val="000000" w:themeColor="text1"/>
        </w:rPr>
        <w:t xml:space="preserve">SUJETO OBLIGADO, </w:t>
      </w:r>
      <w:r w:rsidRPr="00FB3E43">
        <w:rPr>
          <w:rFonts w:ascii="Palatino Linotype" w:eastAsia="Palatino Linotype" w:hAnsi="Palatino Linotype" w:cs="Palatino Linotype"/>
          <w:color w:val="000000" w:themeColor="text1"/>
        </w:rPr>
        <w:t>refirió que a la fecha de la solicitud de información, no se encontraban disponibles los cómputos para su entrega o consulta en una base de datos, ni mucho menos desagregado por municipio o sección electoral ello de acuerdo a lo establecido por el artículo 430 del Reglamento de Elecciones del Instituto Nacional Electoral, que a la letra reza:</w:t>
      </w:r>
    </w:p>
    <w:p w:rsidR="00442883" w:rsidRPr="00FB3E43" w:rsidRDefault="00442883" w:rsidP="00007E7A">
      <w:pPr>
        <w:pStyle w:val="Prrafodelista"/>
        <w:spacing w:line="360" w:lineRule="auto"/>
        <w:ind w:left="0"/>
        <w:jc w:val="center"/>
        <w:rPr>
          <w:rFonts w:ascii="Palatino Linotype" w:hAnsi="Palatino Linotype"/>
          <w:b/>
          <w:i/>
          <w:color w:val="000000" w:themeColor="text1"/>
          <w:sz w:val="24"/>
        </w:rPr>
      </w:pPr>
      <w:r w:rsidRPr="00FB3E43">
        <w:rPr>
          <w:rFonts w:ascii="Palatino Linotype" w:hAnsi="Palatino Linotype"/>
          <w:b/>
          <w:i/>
          <w:color w:val="000000" w:themeColor="text1"/>
          <w:sz w:val="24"/>
        </w:rPr>
        <w:t>Capítulo VIII.</w:t>
      </w:r>
    </w:p>
    <w:p w:rsidR="00442883" w:rsidRPr="00FB3E43" w:rsidRDefault="00442883" w:rsidP="00007E7A">
      <w:pPr>
        <w:pStyle w:val="Prrafodelista"/>
        <w:spacing w:line="360" w:lineRule="auto"/>
        <w:ind w:left="0"/>
        <w:jc w:val="center"/>
        <w:rPr>
          <w:rFonts w:ascii="Palatino Linotype" w:hAnsi="Palatino Linotype"/>
          <w:b/>
          <w:i/>
          <w:color w:val="000000" w:themeColor="text1"/>
          <w:sz w:val="24"/>
        </w:rPr>
      </w:pPr>
      <w:r w:rsidRPr="00FB3E43">
        <w:rPr>
          <w:rFonts w:ascii="Palatino Linotype" w:hAnsi="Palatino Linotype"/>
          <w:b/>
          <w:i/>
          <w:color w:val="000000" w:themeColor="text1"/>
          <w:sz w:val="24"/>
        </w:rPr>
        <w:t>Tablas de Resultados Electorales</w:t>
      </w:r>
    </w:p>
    <w:p w:rsidR="00442883" w:rsidRPr="00FB3E43" w:rsidRDefault="00442883" w:rsidP="00007E7A">
      <w:pPr>
        <w:pStyle w:val="Prrafodelista"/>
        <w:spacing w:line="360" w:lineRule="auto"/>
        <w:ind w:left="0"/>
        <w:jc w:val="both"/>
        <w:rPr>
          <w:rFonts w:ascii="Palatino Linotype" w:hAnsi="Palatino Linotype"/>
          <w:i/>
          <w:color w:val="000000" w:themeColor="text1"/>
          <w:sz w:val="24"/>
        </w:rPr>
      </w:pPr>
    </w:p>
    <w:p w:rsidR="00442883" w:rsidRPr="00FB3E43" w:rsidRDefault="00442883" w:rsidP="00007E7A">
      <w:pPr>
        <w:pStyle w:val="Prrafodelista"/>
        <w:spacing w:line="360" w:lineRule="auto"/>
        <w:ind w:left="0"/>
        <w:jc w:val="both"/>
        <w:rPr>
          <w:rFonts w:ascii="Palatino Linotype" w:hAnsi="Palatino Linotype"/>
          <w:i/>
          <w:color w:val="000000" w:themeColor="text1"/>
          <w:sz w:val="24"/>
        </w:rPr>
      </w:pPr>
      <w:r w:rsidRPr="00FB3E43">
        <w:rPr>
          <w:rFonts w:ascii="Palatino Linotype" w:hAnsi="Palatino Linotype"/>
          <w:b/>
          <w:i/>
          <w:color w:val="000000" w:themeColor="text1"/>
          <w:sz w:val="24"/>
        </w:rPr>
        <w:t>Artículo 430.</w:t>
      </w:r>
      <w:r w:rsidRPr="00FB3E43">
        <w:rPr>
          <w:rFonts w:ascii="Palatino Linotype" w:hAnsi="Palatino Linotype"/>
          <w:i/>
          <w:color w:val="000000" w:themeColor="text1"/>
          <w:sz w:val="24"/>
        </w:rPr>
        <w:t xml:space="preserve"> </w:t>
      </w:r>
    </w:p>
    <w:p w:rsidR="00442883" w:rsidRPr="00FB3E43" w:rsidRDefault="00442883" w:rsidP="00007E7A">
      <w:pPr>
        <w:pStyle w:val="Prrafodelista"/>
        <w:spacing w:line="360" w:lineRule="auto"/>
        <w:ind w:left="0"/>
        <w:jc w:val="both"/>
        <w:rPr>
          <w:rFonts w:ascii="Palatino Linotype" w:hAnsi="Palatino Linotype"/>
          <w:i/>
          <w:color w:val="000000" w:themeColor="text1"/>
          <w:sz w:val="24"/>
        </w:rPr>
      </w:pPr>
      <w:r w:rsidRPr="00FB3E43">
        <w:rPr>
          <w:rFonts w:ascii="Palatino Linotype" w:hAnsi="Palatino Linotype"/>
          <w:i/>
          <w:color w:val="000000" w:themeColor="text1"/>
          <w:sz w:val="24"/>
        </w:rPr>
        <w:t>1. Los OPL deberán publicar en su portal de Internet, las bases de datos que integren los resultados de los cómputos de votos de las elecciones a su cargo</w:t>
      </w:r>
      <w:r w:rsidRPr="00FB3E43">
        <w:rPr>
          <w:rFonts w:ascii="Palatino Linotype" w:hAnsi="Palatino Linotype"/>
          <w:b/>
          <w:i/>
          <w:color w:val="000000" w:themeColor="text1"/>
          <w:sz w:val="24"/>
        </w:rPr>
        <w:t>, a más tardar, cinco días posteriores al cierre de la última sesión de cómputo distrital o municipal,</w:t>
      </w:r>
      <w:r w:rsidRPr="00FB3E43">
        <w:rPr>
          <w:rFonts w:ascii="Palatino Linotype" w:hAnsi="Palatino Linotype"/>
          <w:i/>
          <w:color w:val="000000" w:themeColor="text1"/>
          <w:sz w:val="24"/>
        </w:rPr>
        <w:t xml:space="preserve"> según corresponda. Dichos resultados deberán presentarse desagregados a nivel de acta de escrutinio y cómputo y se deberán apegar a los formatos definidos por el Instituto para estos efectos. </w:t>
      </w:r>
    </w:p>
    <w:p w:rsidR="00442883" w:rsidRPr="00FB3E43" w:rsidRDefault="00442883" w:rsidP="00007E7A">
      <w:pPr>
        <w:pStyle w:val="Prrafodelista"/>
        <w:spacing w:line="360" w:lineRule="auto"/>
        <w:ind w:left="0"/>
        <w:jc w:val="both"/>
        <w:rPr>
          <w:rFonts w:ascii="Palatino Linotype" w:hAnsi="Palatino Linotype"/>
          <w:i/>
          <w:color w:val="000000" w:themeColor="text1"/>
          <w:sz w:val="24"/>
        </w:rPr>
      </w:pPr>
      <w:r w:rsidRPr="00FB3E43">
        <w:rPr>
          <w:rFonts w:ascii="Palatino Linotype" w:hAnsi="Palatino Linotype"/>
          <w:b/>
          <w:i/>
          <w:color w:val="000000" w:themeColor="text1"/>
          <w:sz w:val="24"/>
        </w:rPr>
        <w:t xml:space="preserve">2. Los OPL deberán remitir al Instituto, por conducto de la UTVOPL, las tablas de los resultados electorales actualizadas de las elecciones que hubieren celebrado, tanto ordinarias como extraordinarias, dentro de los treinta días siguientes a aquél en que se hubiese notificado por las autoridades jurisdiccionales en materia electoral, la sentencia del último medio de </w:t>
      </w:r>
      <w:r w:rsidRPr="00FB3E43">
        <w:rPr>
          <w:rFonts w:ascii="Palatino Linotype" w:hAnsi="Palatino Linotype"/>
          <w:b/>
          <w:i/>
          <w:color w:val="000000" w:themeColor="text1"/>
          <w:sz w:val="24"/>
        </w:rPr>
        <w:lastRenderedPageBreak/>
        <w:t>impugnación</w:t>
      </w:r>
      <w:r w:rsidRPr="00FB3E43">
        <w:rPr>
          <w:rFonts w:ascii="Palatino Linotype" w:hAnsi="Palatino Linotype"/>
          <w:i/>
          <w:color w:val="000000" w:themeColor="text1"/>
          <w:sz w:val="24"/>
        </w:rPr>
        <w:t>, que en su caso, se hubiere interpuesto contra los resultados de los cómputos respectivos, a fin de incorporarlos en la versión del Sistema de Consulta de la Estadística Electoral del Instituto.</w:t>
      </w:r>
    </w:p>
    <w:p w:rsidR="00442883" w:rsidRPr="00FB3E43" w:rsidRDefault="00442883" w:rsidP="00007E7A">
      <w:pPr>
        <w:pStyle w:val="Prrafodelista"/>
        <w:spacing w:line="360" w:lineRule="auto"/>
        <w:ind w:left="0"/>
        <w:jc w:val="both"/>
        <w:rPr>
          <w:rFonts w:ascii="Palatino Linotype" w:eastAsia="Palatino Linotype" w:hAnsi="Palatino Linotype" w:cs="Palatino Linotype"/>
          <w:i/>
          <w:color w:val="000000" w:themeColor="text1"/>
          <w:sz w:val="24"/>
        </w:rPr>
      </w:pPr>
      <w:r w:rsidRPr="00FB3E43">
        <w:rPr>
          <w:rFonts w:ascii="Palatino Linotype" w:hAnsi="Palatino Linotype"/>
          <w:i/>
          <w:color w:val="000000" w:themeColor="text1"/>
          <w:sz w:val="24"/>
        </w:rPr>
        <w:t>3. Las tablas de resultados deberán elaborarse conforme a lo dispuesto en los Lineamientos para el diseño de las Tablas de Resultados Electorales de los Organismos Públicos Locales Electorales para su Incorporación al Sistema de Consulta de la Estadística Electoral, que se contienen en el Anexo 15 de este Reglamento, los cuales podrán ser actualizados por el área competente del Instituto, a fin de homogenizar los tiempos de elaboración y entrega de los formatos, así como los elementos que integrarán las tablas de resultados electorales.</w:t>
      </w:r>
    </w:p>
    <w:p w:rsidR="00442883" w:rsidRPr="00FB3E43" w:rsidRDefault="00442883" w:rsidP="00007E7A">
      <w:pPr>
        <w:spacing w:line="360" w:lineRule="auto"/>
        <w:jc w:val="both"/>
        <w:rPr>
          <w:rFonts w:ascii="Palatino Linotype" w:eastAsia="Palatino Linotype" w:hAnsi="Palatino Linotype" w:cs="Palatino Linotype"/>
          <w:color w:val="000000" w:themeColor="text1"/>
        </w:rPr>
      </w:pPr>
    </w:p>
    <w:p w:rsidR="00442883" w:rsidRPr="00FB3E43"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Cs/>
          <w:color w:val="000000" w:themeColor="text1"/>
        </w:rPr>
      </w:pPr>
      <w:r w:rsidRPr="00FB3E43">
        <w:rPr>
          <w:rFonts w:ascii="Palatino Linotype" w:eastAsia="Palatino Linotype" w:hAnsi="Palatino Linotype" w:cs="Palatino Linotype"/>
          <w:bCs/>
          <w:color w:val="000000" w:themeColor="text1"/>
        </w:rPr>
        <w:t>Con lo anterior, se vislumbran los plazos y procesos para emitir las información concerniente a los resultados electorales, ahora bien tomando en consideración que las elecciones se realizaron el primero de junio de dos mil veinticinco y la fecha de la solicitud de información se presentó el diez d</w:t>
      </w:r>
      <w:r w:rsidR="006D0B32" w:rsidRPr="00FB3E43">
        <w:rPr>
          <w:rFonts w:ascii="Palatino Linotype" w:eastAsia="Palatino Linotype" w:hAnsi="Palatino Linotype" w:cs="Palatino Linotype"/>
          <w:bCs/>
          <w:color w:val="000000" w:themeColor="text1"/>
        </w:rPr>
        <w:t>e junio de dos mil veinticinco, y el cómputo de votos concluyo el nueve de junio del mismo año, teniendo como plazo para integrar la base de datos del resultado del cómputo de votos de las elecciones al catorce de junio de dos mil veinticinco, lo cual confirma lo referido por el sujeto obligado.</w:t>
      </w:r>
    </w:p>
    <w:p w:rsidR="00442883" w:rsidRPr="00007E7A" w:rsidRDefault="00442883" w:rsidP="00007E7A">
      <w:pPr>
        <w:pStyle w:val="Prrafodelista"/>
        <w:ind w:left="0"/>
        <w:rPr>
          <w:rFonts w:ascii="Palatino Linotype" w:eastAsia="Palatino Linotype" w:hAnsi="Palatino Linotype" w:cs="Palatino Linotype"/>
          <w:color w:val="000000" w:themeColor="text1"/>
          <w:sz w:val="24"/>
        </w:rPr>
      </w:pPr>
    </w:p>
    <w:p w:rsidR="00AC2325" w:rsidRPr="00007E7A" w:rsidRDefault="005C06A9" w:rsidP="00007E7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Ahora bien, conviene señalar que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al remitir documentos en formato Excel que contienen los resultados por casilla de los Cómputos de la elección a nivel Estatal, desglosada por Candidatura, Distrito Judicial, tipo de casilla, sección, recuadros no utilizados, votos nulos y lista nominal; así como los resultados por casilla de los Cómputos de la elección por candidatura, ID Distrito Judicial, Distrito Judicial, sección, tipo de casilla, recuadros no utilizados, votos nulos y lista nominal, ello a pesar de que la información requerida por el particular aún no se tenía con esas especificaciones a la fecha de la solicitud; </w:t>
      </w:r>
      <w:r w:rsidRPr="00007E7A">
        <w:rPr>
          <w:rFonts w:ascii="Palatino Linotype" w:eastAsia="Palatino Linotype" w:hAnsi="Palatino Linotype" w:cs="Palatino Linotype"/>
          <w:color w:val="000000" w:themeColor="text1"/>
        </w:rPr>
        <w:lastRenderedPageBreak/>
        <w:t>además de proporcionar link de acceso explicando el procedimiento a seguir a fin de tener a la vista la información requerida.</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Por lo que, es importante señalar que el artículo 4, párrafo segundo de la Ley de Transparencia y Acceso a la Información Pública del Estado de México y Municipios, dispone:</w:t>
      </w:r>
    </w:p>
    <w:p w:rsidR="00AC2325" w:rsidRPr="00007E7A" w:rsidRDefault="005C06A9" w:rsidP="00007E7A">
      <w:pPr>
        <w:pBdr>
          <w:top w:val="nil"/>
          <w:left w:val="nil"/>
          <w:bottom w:val="nil"/>
          <w:right w:val="nil"/>
          <w:between w:val="nil"/>
        </w:pBdr>
        <w:tabs>
          <w:tab w:val="left" w:pos="426"/>
          <w:tab w:val="left" w:pos="567"/>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w:t>
      </w:r>
      <w:r w:rsidRPr="00007E7A">
        <w:rPr>
          <w:rFonts w:ascii="Palatino Linotype" w:eastAsia="Palatino Linotype" w:hAnsi="Palatino Linotype" w:cs="Palatino Linotype"/>
          <w:b/>
          <w:bCs/>
          <w:i/>
          <w:iCs/>
          <w:color w:val="000000" w:themeColor="text1"/>
        </w:rPr>
        <w:t>Artículo 4. …</w:t>
      </w:r>
    </w:p>
    <w:p w:rsidR="00AC2325" w:rsidRPr="00007E7A" w:rsidRDefault="005C06A9" w:rsidP="00007E7A">
      <w:pPr>
        <w:pBdr>
          <w:top w:val="nil"/>
          <w:left w:val="nil"/>
          <w:bottom w:val="nil"/>
          <w:right w:val="nil"/>
          <w:between w:val="nil"/>
        </w:pBdr>
        <w:tabs>
          <w:tab w:val="left" w:pos="426"/>
          <w:tab w:val="left" w:pos="567"/>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C2325" w:rsidRPr="00007E7A" w:rsidRDefault="005C06A9" w:rsidP="00007E7A">
      <w:pPr>
        <w:pBdr>
          <w:top w:val="nil"/>
          <w:left w:val="nil"/>
          <w:bottom w:val="nil"/>
          <w:right w:val="nil"/>
          <w:between w:val="nil"/>
        </w:pBdr>
        <w:tabs>
          <w:tab w:val="left" w:pos="1134"/>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w:t>
      </w:r>
      <w:r w:rsidRPr="00007E7A">
        <w:rPr>
          <w:rFonts w:ascii="Palatino Linotype" w:eastAsia="Palatino Linotype" w:hAnsi="Palatino Linotype" w:cs="Palatino Linotype"/>
          <w:b/>
          <w:bCs/>
          <w:i/>
          <w:iCs/>
          <w:color w:val="000000" w:themeColor="text1"/>
        </w:rPr>
        <w:t>Artículo 12.</w:t>
      </w:r>
      <w:r w:rsidRPr="00007E7A">
        <w:rPr>
          <w:rFonts w:ascii="Palatino Linotype" w:eastAsia="Palatino Linotype" w:hAnsi="Palatino Linotype" w:cs="Palatino Linotype"/>
          <w:i/>
          <w:iCs/>
          <w:color w:val="000000" w:themeColor="text1"/>
        </w:rPr>
        <w:t xml:space="preserve"> Quienes generen, recopilen, administren, manejen, procesen, archiven o conserven información pública serán responsables de la misma en los términos de las disposiciones jurídicas aplicables. </w:t>
      </w:r>
    </w:p>
    <w:p w:rsidR="00AC2325" w:rsidRPr="00007E7A" w:rsidRDefault="00AC2325" w:rsidP="00007E7A">
      <w:pPr>
        <w:pBdr>
          <w:top w:val="nil"/>
          <w:left w:val="nil"/>
          <w:bottom w:val="nil"/>
          <w:right w:val="nil"/>
          <w:between w:val="nil"/>
        </w:pBdr>
        <w:tabs>
          <w:tab w:val="left" w:pos="1134"/>
        </w:tabs>
        <w:jc w:val="both"/>
        <w:rPr>
          <w:rFonts w:ascii="Palatino Linotype" w:eastAsia="Palatino Linotype" w:hAnsi="Palatino Linotype" w:cs="Palatino Linotype"/>
          <w:i/>
          <w:iCs/>
          <w:color w:val="000000" w:themeColor="text1"/>
        </w:rPr>
      </w:pPr>
    </w:p>
    <w:p w:rsidR="00AC2325" w:rsidRPr="00007E7A" w:rsidRDefault="005C06A9" w:rsidP="00007E7A">
      <w:pPr>
        <w:tabs>
          <w:tab w:val="left" w:pos="1134"/>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AC2325" w:rsidRPr="00007E7A" w:rsidRDefault="005C06A9" w:rsidP="00007E7A">
      <w:pPr>
        <w:pBdr>
          <w:top w:val="nil"/>
          <w:left w:val="nil"/>
          <w:bottom w:val="nil"/>
          <w:right w:val="nil"/>
          <w:between w:val="nil"/>
        </w:pBdr>
        <w:tabs>
          <w:tab w:val="left" w:pos="709"/>
          <w:tab w:val="left" w:pos="1985"/>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b/>
          <w:bCs/>
          <w:i/>
          <w:iCs/>
          <w:color w:val="000000" w:themeColor="text1"/>
        </w:rPr>
        <w:t>“No existe obligación de elaborar documentos ad hoc para atender las solicitudes de acceso a la información.</w:t>
      </w:r>
      <w:r w:rsidRPr="00007E7A">
        <w:rPr>
          <w:rFonts w:ascii="Palatino Linotype" w:eastAsia="Palatino Linotype" w:hAnsi="Palatino Linotype" w:cs="Palatino Linotype"/>
          <w:i/>
          <w:iCs/>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C2325" w:rsidRPr="00007E7A" w:rsidRDefault="00AC2325" w:rsidP="00007E7A">
      <w:pPr>
        <w:pBdr>
          <w:top w:val="nil"/>
          <w:left w:val="nil"/>
          <w:bottom w:val="nil"/>
          <w:right w:val="nil"/>
          <w:between w:val="nil"/>
        </w:pBdr>
        <w:tabs>
          <w:tab w:val="left" w:pos="709"/>
          <w:tab w:val="left" w:pos="1985"/>
        </w:tabs>
        <w:jc w:val="both"/>
        <w:rPr>
          <w:rFonts w:ascii="Palatino Linotype" w:eastAsia="Palatino Linotype" w:hAnsi="Palatino Linotype" w:cs="Palatino Linotype"/>
          <w:i/>
          <w:iCs/>
          <w:color w:val="000000" w:themeColor="text1"/>
        </w:rPr>
      </w:pPr>
    </w:p>
    <w:p w:rsidR="00AC2325" w:rsidRPr="00007E7A" w:rsidRDefault="005C06A9" w:rsidP="00007E7A">
      <w:pPr>
        <w:pBdr>
          <w:top w:val="nil"/>
          <w:left w:val="nil"/>
          <w:bottom w:val="nil"/>
          <w:right w:val="nil"/>
          <w:between w:val="nil"/>
        </w:pBdr>
        <w:tabs>
          <w:tab w:val="left" w:pos="709"/>
          <w:tab w:val="left" w:pos="1985"/>
        </w:tabs>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t xml:space="preserve">Resoluciones: </w:t>
      </w:r>
    </w:p>
    <w:p w:rsidR="00AC2325" w:rsidRPr="00007E7A" w:rsidRDefault="005C06A9" w:rsidP="00007E7A">
      <w:pPr>
        <w:pBdr>
          <w:top w:val="nil"/>
          <w:left w:val="nil"/>
          <w:bottom w:val="nil"/>
          <w:right w:val="nil"/>
          <w:between w:val="nil"/>
        </w:pBdr>
        <w:tabs>
          <w:tab w:val="left" w:pos="709"/>
          <w:tab w:val="left" w:pos="1985"/>
        </w:tabs>
        <w:jc w:val="both"/>
        <w:rPr>
          <w:rFonts w:ascii="Palatino Linotype" w:eastAsia="Palatino Linotype" w:hAnsi="Palatino Linotype" w:cs="Palatino Linotype"/>
          <w:i/>
          <w:iCs/>
          <w:color w:val="000000" w:themeColor="text1"/>
        </w:rPr>
      </w:pPr>
      <w:r w:rsidRPr="00007E7A">
        <w:rPr>
          <w:rFonts w:ascii="Palatino Linotype" w:eastAsia="Symbol" w:hAnsi="Palatino Linotype" w:cs="Symbol"/>
          <w:i/>
          <w:iCs/>
          <w:color w:val="000000" w:themeColor="text1"/>
        </w:rPr>
        <w:t>∙</w:t>
      </w:r>
      <w:r w:rsidRPr="00007E7A">
        <w:rPr>
          <w:rFonts w:ascii="Palatino Linotype" w:eastAsia="Palatino Linotype" w:hAnsi="Palatino Linotype" w:cs="Palatino Linotype"/>
          <w:i/>
          <w:iCs/>
          <w:color w:val="000000" w:themeColor="text1"/>
        </w:rPr>
        <w:t xml:space="preserve"> RRA 0050/16. Instituto Nacional para la Evaluación de la Educación. 13 julio de 2016. Por unanimidad. Comisionado Ponente: Francisco Javier Acuña Llamas. </w:t>
      </w:r>
    </w:p>
    <w:p w:rsidR="00AC2325" w:rsidRPr="00007E7A" w:rsidRDefault="005C06A9" w:rsidP="00007E7A">
      <w:pPr>
        <w:pBdr>
          <w:top w:val="nil"/>
          <w:left w:val="nil"/>
          <w:bottom w:val="nil"/>
          <w:right w:val="nil"/>
          <w:between w:val="nil"/>
        </w:pBdr>
        <w:tabs>
          <w:tab w:val="left" w:pos="709"/>
          <w:tab w:val="left" w:pos="1985"/>
        </w:tabs>
        <w:jc w:val="both"/>
        <w:rPr>
          <w:rFonts w:ascii="Palatino Linotype" w:eastAsia="Palatino Linotype" w:hAnsi="Palatino Linotype" w:cs="Palatino Linotype"/>
          <w:i/>
          <w:iCs/>
          <w:color w:val="000000" w:themeColor="text1"/>
        </w:rPr>
      </w:pPr>
      <w:r w:rsidRPr="00007E7A">
        <w:rPr>
          <w:rFonts w:ascii="Palatino Linotype" w:eastAsia="Symbol" w:hAnsi="Palatino Linotype" w:cs="Symbol"/>
          <w:i/>
          <w:iCs/>
          <w:color w:val="000000" w:themeColor="text1"/>
        </w:rPr>
        <w:t>∙</w:t>
      </w:r>
      <w:r w:rsidRPr="00007E7A">
        <w:rPr>
          <w:rFonts w:ascii="Palatino Linotype" w:eastAsia="Palatino Linotype" w:hAnsi="Palatino Linotype" w:cs="Palatino Linotype"/>
          <w:i/>
          <w:iCs/>
          <w:color w:val="000000" w:themeColor="text1"/>
        </w:rPr>
        <w:t xml:space="preserve"> RRA 0310/16. Instituto Nacional de Transparencia, Acceso a la Información y Protección de Datos Personales. 10 de agosto de 2016. Por unanimidad. Comisionada Ponente. Areli Cano Guadiana. </w:t>
      </w:r>
    </w:p>
    <w:p w:rsidR="00AC2325" w:rsidRPr="00007E7A" w:rsidRDefault="005C06A9" w:rsidP="00007E7A">
      <w:pPr>
        <w:tabs>
          <w:tab w:val="left" w:pos="709"/>
          <w:tab w:val="left" w:pos="1985"/>
        </w:tabs>
        <w:jc w:val="both"/>
        <w:rPr>
          <w:rFonts w:ascii="Palatino Linotype" w:eastAsia="Palatino Linotype" w:hAnsi="Palatino Linotype" w:cs="Palatino Linotype"/>
          <w:color w:val="000000" w:themeColor="text1"/>
        </w:rPr>
      </w:pPr>
      <w:r w:rsidRPr="00007E7A">
        <w:rPr>
          <w:rFonts w:ascii="Palatino Linotype" w:eastAsia="Symbol" w:hAnsi="Palatino Linotype" w:cs="Symbol"/>
          <w:i/>
          <w:iCs/>
          <w:color w:val="000000" w:themeColor="text1"/>
        </w:rPr>
        <w:t>∙</w:t>
      </w:r>
      <w:r w:rsidRPr="00007E7A">
        <w:rPr>
          <w:rFonts w:ascii="Palatino Linotype" w:eastAsia="Palatino Linotype" w:hAnsi="Palatino Linotype" w:cs="Palatino Linotype"/>
          <w:i/>
          <w:iCs/>
          <w:color w:val="000000" w:themeColor="text1"/>
        </w:rPr>
        <w:t xml:space="preserve"> RRA 1889/16. Secretaría de Hacienda y Crédito Público. 05 de octubre de 2016. Por unanimidad. Comisionada Ponente. Ximena Puente de la Mora.”</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Expuesto lo anterior, se tiene que el</w:t>
      </w:r>
      <w:r w:rsidRPr="00007E7A">
        <w:rPr>
          <w:rFonts w:ascii="Palatino Linotype" w:eastAsia="Palatino Linotype" w:hAnsi="Palatino Linotype" w:cs="Palatino Linotype"/>
          <w:b/>
          <w:bCs/>
          <w:color w:val="000000" w:themeColor="text1"/>
        </w:rPr>
        <w:t xml:space="preserve"> SUJETO OBLIGADO</w:t>
      </w:r>
      <w:r w:rsidRPr="00007E7A">
        <w:rPr>
          <w:rFonts w:ascii="Palatino Linotype" w:eastAsia="Palatino Linotype" w:hAnsi="Palatino Linotype" w:cs="Palatino Linotype"/>
          <w:color w:val="000000" w:themeColor="text1"/>
        </w:rPr>
        <w:t xml:space="preserve"> modificó la respuesta inicial y aportó información novedosa.</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 xml:space="preserve">En este sentido, es dable sostener que, al haber existido un pronunciamiento por parte del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este Instituto no está facultado para manifestarse sobre la veracidad de este, pues no existe precepto legal alguno en la Ley de la materia que lo faculte para que, vía recurso de revisión, pueda pronunciarse al respecto.</w:t>
      </w:r>
    </w:p>
    <w:p w:rsidR="00AC2325" w:rsidRPr="00007E7A" w:rsidRDefault="00AC2325" w:rsidP="00007E7A">
      <w:pPr>
        <w:jc w:val="both"/>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Así, este Pleno advierte que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w:t>
      </w:r>
      <w:r w:rsidRPr="00007E7A">
        <w:rPr>
          <w:rFonts w:ascii="Palatino Linotype" w:eastAsia="Palatino Linotype" w:hAnsi="Palatino Linotype" w:cs="Palatino Linotype"/>
          <w:b/>
          <w:bCs/>
          <w:color w:val="000000" w:themeColor="text1"/>
        </w:rPr>
        <w:t xml:space="preserve">modificó </w:t>
      </w:r>
      <w:r w:rsidRPr="00007E7A">
        <w:rPr>
          <w:rFonts w:ascii="Palatino Linotype" w:eastAsia="Palatino Linotype" w:hAnsi="Palatino Linotype" w:cs="Palatino Linotype"/>
          <w:color w:val="000000" w:themeColor="text1"/>
        </w:rPr>
        <w:t>el acto que le dio origen al recurso de revisión, lo que trae como consecuencia que el mismo quede sin materia, actualizándose de este modo, la hipótesis jurídica contenida en la fracción III del artículo 192 de la Ley de Transparencia Local.</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De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007E7A">
        <w:rPr>
          <w:rFonts w:ascii="Palatino Linotype" w:eastAsia="Palatino Linotype" w:hAnsi="Palatino Linotype" w:cs="Palatino Linotype"/>
          <w:b/>
          <w:bCs/>
          <w:color w:val="000000" w:themeColor="text1"/>
        </w:rPr>
        <w:t>SUJETOS OBLIGADOS</w:t>
      </w:r>
      <w:r w:rsidRPr="00007E7A">
        <w:rPr>
          <w:rFonts w:ascii="Palatino Linotype" w:eastAsia="Palatino Linotype" w:hAnsi="Palatino Linotype" w:cs="Palatino Linotype"/>
          <w:color w:val="000000" w:themeColor="text1"/>
        </w:rPr>
        <w:t xml:space="preserve"> o la negativa de entrega de la misma, derivada de la solicitud de información pública.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lastRenderedPageBreak/>
        <w:t xml:space="preserve">De este modo, cuando el </w:t>
      </w:r>
      <w:r w:rsidRPr="00007E7A">
        <w:rPr>
          <w:rFonts w:ascii="Palatino Linotype" w:eastAsia="Palatino Linotype" w:hAnsi="Palatino Linotype" w:cs="Palatino Linotype"/>
          <w:b/>
          <w:bCs/>
          <w:color w:val="000000" w:themeColor="text1"/>
        </w:rPr>
        <w:t xml:space="preserve">SUJETO OBLIGADO, </w:t>
      </w:r>
      <w:r w:rsidRPr="00007E7A">
        <w:rPr>
          <w:rFonts w:ascii="Palatino Linotype" w:eastAsia="Palatino Linotype" w:hAnsi="Palatino Linotype" w:cs="Palatino Linotype"/>
          <w:color w:val="000000" w:themeColor="text1"/>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007E7A">
        <w:rPr>
          <w:rFonts w:ascii="Palatino Linotype" w:eastAsia="Palatino Linotype" w:hAnsi="Palatino Linotype" w:cs="Palatino Linotype"/>
          <w:i/>
          <w:iCs/>
          <w:color w:val="000000" w:themeColor="text1"/>
        </w:rPr>
        <w:t>litis</w:t>
      </w:r>
      <w:r w:rsidRPr="00007E7A">
        <w:rPr>
          <w:rFonts w:ascii="Palatino Linotype" w:eastAsia="Palatino Linotype" w:hAnsi="Palatino Linotype" w:cs="Palatino Linotype"/>
          <w:color w:val="000000" w:themeColor="text1"/>
        </w:rPr>
        <w:t xml:space="preserve"> planteada, debido a que la afectación en su esfera de derechos fue restituida por la propia autoridad que emitió el acto motivo de impugnación.</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Sirve de sustento a lo anterior la siguiente jurisprudencia por contradicción, cuyo rubro, texto y datos de identificación son los siguientes:</w:t>
      </w:r>
    </w:p>
    <w:p w:rsidR="00AC2325" w:rsidRPr="00007E7A" w:rsidRDefault="005C06A9" w:rsidP="00007E7A">
      <w:pPr>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i/>
          <w:iCs/>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07E7A">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AC2325" w:rsidRDefault="00AC2325" w:rsidP="00007E7A">
      <w:pPr>
        <w:rPr>
          <w:rFonts w:ascii="Palatino Linotype" w:eastAsia="Palatino Linotype" w:hAnsi="Palatino Linotype" w:cs="Palatino Linotype"/>
          <w:color w:val="000000" w:themeColor="text1"/>
        </w:rPr>
      </w:pPr>
    </w:p>
    <w:p w:rsidR="00A85D8C" w:rsidRPr="00007E7A" w:rsidRDefault="00A85D8C" w:rsidP="00007E7A">
      <w:pP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La anterior jurisprudencia resulta aplicable al presente asunto, en dos aspectos:</w:t>
      </w:r>
    </w:p>
    <w:p w:rsidR="00AC2325" w:rsidRPr="00007E7A" w:rsidRDefault="005C06A9" w:rsidP="00007E7A">
      <w:pPr>
        <w:numPr>
          <w:ilvl w:val="0"/>
          <w:numId w:val="3"/>
        </w:numP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La cesación de los efectos perniciosos del acto de autoridad:</w:t>
      </w:r>
      <w:r w:rsidRPr="00007E7A">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de </w:t>
      </w:r>
      <w:r w:rsidRPr="00007E7A">
        <w:rPr>
          <w:rFonts w:ascii="Palatino Linotype" w:eastAsia="Palatino Linotype" w:hAnsi="Palatino Linotype" w:cs="Palatino Linotype"/>
          <w:i/>
          <w:iCs/>
          <w:color w:val="000000" w:themeColor="text1"/>
        </w:rPr>
        <w:t>motu proprio</w:t>
      </w:r>
      <w:r w:rsidRPr="00007E7A">
        <w:rPr>
          <w:rFonts w:ascii="Palatino Linotype" w:eastAsia="Palatino Linotype" w:hAnsi="Palatino Linotype" w:cs="Palatino Linotype"/>
          <w:color w:val="000000" w:themeColor="text1"/>
        </w:rPr>
        <w:t xml:space="preserve"> modifica o revoca de tal manera el acto motivo de la impugnación que lo deja </w:t>
      </w:r>
      <w:r w:rsidRPr="00007E7A">
        <w:rPr>
          <w:rFonts w:ascii="Palatino Linotype" w:eastAsia="Palatino Linotype" w:hAnsi="Palatino Linotype" w:cs="Palatino Linotype"/>
          <w:color w:val="000000" w:themeColor="text1"/>
        </w:rPr>
        <w:lastRenderedPageBreak/>
        <w:t>sin materia; es decir, cesan los efectos de éste y el derecho de acceso a la información pública se encuentra satisfecho.</w:t>
      </w:r>
    </w:p>
    <w:p w:rsidR="00AC2325" w:rsidRPr="00007E7A" w:rsidRDefault="005C06A9" w:rsidP="00007E7A">
      <w:pPr>
        <w:numPr>
          <w:ilvl w:val="0"/>
          <w:numId w:val="3"/>
        </w:numPr>
        <w:ind w:left="0" w:firstLine="0"/>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El momento procesal para modificar el acto impugnado:</w:t>
      </w:r>
      <w:r w:rsidRPr="00007E7A">
        <w:rPr>
          <w:rFonts w:ascii="Palatino Linotype" w:eastAsia="Palatino Linotype" w:hAnsi="Palatino Linotype" w:cs="Palatino Linotype"/>
          <w:color w:val="000000" w:themeColor="text1"/>
        </w:rPr>
        <w:t xml:space="preserve"> Para que se actualice el sobreseimiento de un recurso de revisión, el </w:t>
      </w:r>
      <w:r w:rsidRPr="00007E7A">
        <w:rPr>
          <w:rFonts w:ascii="Palatino Linotype" w:eastAsia="Palatino Linotype" w:hAnsi="Palatino Linotype" w:cs="Palatino Linotype"/>
          <w:b/>
          <w:bCs/>
          <w:color w:val="000000" w:themeColor="text1"/>
        </w:rPr>
        <w:t>SUJETO OBLIGADO</w:t>
      </w:r>
      <w:r w:rsidRPr="00007E7A">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007E7A">
        <w:rPr>
          <w:rFonts w:ascii="Palatino Linotype" w:eastAsia="Palatino Linotype" w:hAnsi="Palatino Linotype" w:cs="Palatino Linotype"/>
          <w:b/>
          <w:bCs/>
          <w:color w:val="000000" w:themeColor="text1"/>
          <w:u w:val="single"/>
        </w:rPr>
        <w:t>posteriormente</w:t>
      </w:r>
      <w:r w:rsidRPr="00007E7A">
        <w:rPr>
          <w:rFonts w:ascii="Palatino Linotype" w:eastAsia="Palatino Linotype" w:hAnsi="Palatino Linotype" w:cs="Palatino Linotype"/>
          <w:color w:val="000000" w:themeColor="text1"/>
        </w:rPr>
        <w:t xml:space="preserve"> a éste, siempre y cuando el Pleno del Instituto no haya dictado resolución definitiva.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Eduardo Pallares, en su artículo </w:t>
      </w:r>
      <w:r w:rsidRPr="00007E7A">
        <w:rPr>
          <w:rFonts w:ascii="Palatino Linotype" w:eastAsia="Palatino Linotype" w:hAnsi="Palatino Linotype" w:cs="Palatino Linotype"/>
          <w:i/>
          <w:iCs/>
          <w:color w:val="000000" w:themeColor="text1"/>
        </w:rPr>
        <w:t>“La caducidad y el sobreseimiento en el amparo”</w:t>
      </w:r>
      <w:r w:rsidRPr="00007E7A">
        <w:rPr>
          <w:rFonts w:ascii="Palatino Linotype" w:eastAsia="Palatino Linotype" w:hAnsi="Palatino Linotype" w:cs="Palatino Linotype"/>
          <w:color w:val="000000" w:themeColor="text1"/>
        </w:rPr>
        <w:t xml:space="preserve">, cita la definición de Aguilera Paz, aduciendo que se </w:t>
      </w:r>
      <w:r w:rsidRPr="00007E7A">
        <w:rPr>
          <w:rFonts w:ascii="Palatino Linotype" w:eastAsia="Palatino Linotype" w:hAnsi="Palatino Linotype" w:cs="Palatino Linotype"/>
          <w:i/>
          <w:iCs/>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007E7A">
        <w:rPr>
          <w:rFonts w:ascii="Palatino Linotype" w:eastAsia="Palatino Linotype" w:hAnsi="Palatino Linotype" w:cs="Palatino Linotype"/>
          <w:color w:val="000000" w:themeColor="text1"/>
        </w:rPr>
        <w:t>. Asimismo, señala que existe el sobreseimiento provisional y el definitivo</w:t>
      </w:r>
      <w:r w:rsidRPr="00007E7A">
        <w:rPr>
          <w:rFonts w:ascii="Palatino Linotype" w:eastAsia="Palatino Linotype" w:hAnsi="Palatino Linotype" w:cs="Palatino Linotype"/>
          <w:i/>
          <w:iCs/>
          <w:color w:val="000000" w:themeColor="text1"/>
        </w:rPr>
        <w:t>: “...el definitivo es una verdadera sentencia que pone fin al juicio, y que una vez dictada, produce cosa juzgada, mientras que el provisorio tiene por efectos suspender la prosecución de la causa...”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Así, para la doctrina el sobreseimiento provoca que un procedimiento se suspenda o se resuelva en definitiva </w:t>
      </w:r>
      <w:r w:rsidRPr="00007E7A">
        <w:rPr>
          <w:rFonts w:ascii="Palatino Linotype" w:eastAsia="Palatino Linotype" w:hAnsi="Palatino Linotype" w:cs="Palatino Linotype"/>
          <w:b/>
          <w:bCs/>
          <w:color w:val="000000" w:themeColor="text1"/>
        </w:rPr>
        <w:t>sin que se entre al estudio de los agravios o motivos de inconformidad.</w:t>
      </w:r>
    </w:p>
    <w:p w:rsidR="00AC2325" w:rsidRPr="00007E7A" w:rsidRDefault="00AC2325" w:rsidP="00007E7A">
      <w:pPr>
        <w:pBdr>
          <w:top w:val="nil"/>
          <w:left w:val="nil"/>
          <w:bottom w:val="nil"/>
          <w:right w:val="nil"/>
          <w:between w:val="nil"/>
        </w:pBdr>
        <w:rPr>
          <w:rFonts w:ascii="Palatino Linotype" w:eastAsia="Palatino Linotype" w:hAnsi="Palatino Linotype" w:cs="Palatino Linotype"/>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Este mismo criterio es compartido por el más alto tribunal del país en múltiples jurisprudencias, por lo que a continuación se agrega una de ellas que sirve como orientador en esta resolución:</w:t>
      </w:r>
    </w:p>
    <w:p w:rsidR="00AC2325" w:rsidRPr="00007E7A" w:rsidRDefault="005C06A9" w:rsidP="00007E7A">
      <w:pPr>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b/>
          <w:bCs/>
          <w:i/>
          <w:iCs/>
          <w:color w:val="000000" w:themeColor="text1"/>
        </w:rPr>
        <w:t>SOBRESEIMIENTO EN EL JUICIO DE AMPARO DIRECTO. IMPIDE EL ESTUDIO DE LAS VIOLACIONES PROCESALES PLANTEADAS EN LOS CONCEPTOS DE VIOLACIÓN. El sobreseimiento</w:t>
      </w:r>
      <w:r w:rsidRPr="00007E7A">
        <w:rPr>
          <w:rFonts w:ascii="Palatino Linotype" w:eastAsia="Palatino Linotype" w:hAnsi="Palatino Linotype" w:cs="Palatino Linotype"/>
          <w:i/>
          <w:iCs/>
          <w:color w:val="000000" w:themeColor="text1"/>
        </w:rPr>
        <w:t xml:space="preserve"> en el juicio de amparo directo </w:t>
      </w:r>
      <w:r w:rsidRPr="00007E7A">
        <w:rPr>
          <w:rFonts w:ascii="Palatino Linotype" w:eastAsia="Palatino Linotype" w:hAnsi="Palatino Linotype" w:cs="Palatino Linotype"/>
          <w:b/>
          <w:bCs/>
          <w:i/>
          <w:iCs/>
          <w:color w:val="000000" w:themeColor="text1"/>
        </w:rPr>
        <w:t>provoca la terminación de la controversia planteada</w:t>
      </w:r>
      <w:r w:rsidRPr="00007E7A">
        <w:rPr>
          <w:rFonts w:ascii="Palatino Linotype" w:eastAsia="Palatino Linotype" w:hAnsi="Palatino Linotype" w:cs="Palatino Linotype"/>
          <w:i/>
          <w:iCs/>
          <w:color w:val="000000" w:themeColor="text1"/>
        </w:rPr>
        <w:t xml:space="preserve"> por el quejoso en la demanda de amparo</w:t>
      </w:r>
      <w:r w:rsidRPr="00007E7A">
        <w:rPr>
          <w:rFonts w:ascii="Palatino Linotype" w:eastAsia="Palatino Linotype" w:hAnsi="Palatino Linotype" w:cs="Palatino Linotype"/>
          <w:b/>
          <w:bCs/>
          <w:i/>
          <w:iCs/>
          <w:color w:val="000000" w:themeColor="text1"/>
        </w:rPr>
        <w:t>, sin hacer un pronunciamiento de fondo sobre la legalidad o ilegalidad de la sentencia reclamada</w:t>
      </w:r>
      <w:r w:rsidRPr="00007E7A">
        <w:rPr>
          <w:rFonts w:ascii="Palatino Linotype" w:eastAsia="Palatino Linotype" w:hAnsi="Palatino Linotype" w:cs="Palatino Linotype"/>
          <w:i/>
          <w:iCs/>
          <w:color w:val="000000" w:themeColor="text1"/>
        </w:rPr>
        <w:t xml:space="preserve">. </w:t>
      </w:r>
      <w:r w:rsidRPr="00007E7A">
        <w:rPr>
          <w:rFonts w:ascii="Palatino Linotype" w:eastAsia="Palatino Linotype" w:hAnsi="Palatino Linotype" w:cs="Palatino Linotype"/>
          <w:b/>
          <w:bCs/>
          <w:i/>
          <w:iCs/>
          <w:color w:val="000000" w:themeColor="text1"/>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007E7A">
        <w:rPr>
          <w:rFonts w:ascii="Palatino Linotype" w:eastAsia="Palatino Linotype" w:hAnsi="Palatino Linotype" w:cs="Palatino Linotype"/>
          <w:i/>
          <w:iCs/>
          <w:color w:val="000000" w:themeColor="text1"/>
        </w:rPr>
        <w:t>.</w:t>
      </w:r>
    </w:p>
    <w:p w:rsidR="00AC2325" w:rsidRPr="00007E7A" w:rsidRDefault="005C06A9" w:rsidP="00007E7A">
      <w:pPr>
        <w:jc w:val="both"/>
        <w:rPr>
          <w:rFonts w:ascii="Palatino Linotype" w:eastAsia="Palatino Linotype" w:hAnsi="Palatino Linotype" w:cs="Palatino Linotype"/>
          <w:i/>
          <w:iCs/>
          <w:color w:val="000000" w:themeColor="text1"/>
        </w:rPr>
      </w:pPr>
      <w:r w:rsidRPr="00007E7A">
        <w:rPr>
          <w:rFonts w:ascii="Palatino Linotype" w:eastAsia="Palatino Linotype" w:hAnsi="Palatino Linotype" w:cs="Palatino Linotype"/>
          <w:i/>
          <w:iCs/>
          <w:color w:val="000000" w:themeColor="text1"/>
        </w:rPr>
        <w:lastRenderedPageBreak/>
        <w:t>SÉPTIMO TRIBUNAL COLEGIADO EN MATERIA CIVIL DEL PRIMER CIRCUITO.</w:t>
      </w:r>
    </w:p>
    <w:p w:rsidR="00AC2325" w:rsidRPr="00007E7A" w:rsidRDefault="005C06A9" w:rsidP="00007E7A">
      <w:pPr>
        <w:jc w:val="both"/>
        <w:rPr>
          <w:rFonts w:ascii="Palatino Linotype" w:eastAsia="Palatino Linotype" w:hAnsi="Palatino Linotype" w:cs="Palatino Linotype"/>
          <w:b/>
          <w:bCs/>
          <w:i/>
          <w:iCs/>
          <w:color w:val="000000" w:themeColor="text1"/>
        </w:rPr>
      </w:pPr>
      <w:r w:rsidRPr="00007E7A">
        <w:rPr>
          <w:rFonts w:ascii="Palatino Linotype" w:eastAsia="Palatino Linotype" w:hAnsi="Palatino Linotype" w:cs="Palatino Linotype"/>
          <w:i/>
          <w:iCs/>
          <w:color w:val="000000" w:themeColor="text1"/>
        </w:rPr>
        <w:t>Amparo directo 699/2008. Mariana Leticia González Steele. 13 de noviembre de 2008. Unanimidad de votos. Ponente: Sara Judith Montalvo Trejo. Secretario: Arnulfo Mateos García.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Bajo ese tenor y en términos del artículo 186 fracción I este Pleno determina el </w:t>
      </w:r>
      <w:r w:rsidRPr="00007E7A">
        <w:rPr>
          <w:rFonts w:ascii="Palatino Linotype" w:eastAsia="Palatino Linotype" w:hAnsi="Palatino Linotype" w:cs="Palatino Linotype"/>
          <w:b/>
          <w:bCs/>
          <w:color w:val="000000" w:themeColor="text1"/>
        </w:rPr>
        <w:t xml:space="preserve">SOBRESEIMIENTO </w:t>
      </w:r>
      <w:r w:rsidRPr="00007E7A">
        <w:rPr>
          <w:rFonts w:ascii="Palatino Linotype" w:eastAsia="Palatino Linotype" w:hAnsi="Palatino Linotype" w:cs="Palatino Linotype"/>
          <w:color w:val="000000" w:themeColor="text1"/>
        </w:rPr>
        <w:t>del presente recurso de revisión, toda vez que la afectación al derecho de acceso a la información pública establecido constitucionalmente a favor del Particular ha sido resarcida</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color w:val="000000" w:themeColor="text1"/>
        </w:rPr>
        <w:t xml:space="preserve">Por lo anteriormente expuesto y fundado, este </w:t>
      </w:r>
      <w:r w:rsidRPr="00007E7A">
        <w:rPr>
          <w:rFonts w:ascii="Palatino Linotype" w:eastAsia="Palatino Linotype" w:hAnsi="Palatino Linotype" w:cs="Palatino Linotype"/>
          <w:b/>
          <w:bCs/>
          <w:color w:val="000000" w:themeColor="text1"/>
        </w:rPr>
        <w:t>ÓRGANO GARANTE</w:t>
      </w:r>
      <w:r w:rsidRPr="00007E7A">
        <w:rPr>
          <w:rFonts w:ascii="Palatino Linotype" w:eastAsia="Palatino Linotype" w:hAnsi="Palatino Linotype" w:cs="Palatino Linotype"/>
          <w:color w:val="000000" w:themeColor="text1"/>
        </w:rPr>
        <w:t xml:space="preserve"> emite los siguientes:</w:t>
      </w:r>
    </w:p>
    <w:p w:rsidR="00AC2325" w:rsidRPr="00007E7A" w:rsidRDefault="00AC2325" w:rsidP="00007E7A">
      <w:pPr>
        <w:jc w:val="both"/>
        <w:rPr>
          <w:rFonts w:ascii="Palatino Linotype" w:eastAsia="Palatino Linotype" w:hAnsi="Palatino Linotype" w:cs="Palatino Linotype"/>
          <w:b/>
          <w:bCs/>
          <w:color w:val="000000" w:themeColor="text1"/>
        </w:rPr>
      </w:pPr>
    </w:p>
    <w:p w:rsidR="00AC2325" w:rsidRPr="00007E7A" w:rsidRDefault="005C06A9" w:rsidP="00007E7A">
      <w:pPr>
        <w:keepNext/>
        <w:keepLines/>
        <w:spacing w:line="360" w:lineRule="auto"/>
        <w:jc w:val="center"/>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R E S O L U T I V O S</w:t>
      </w:r>
    </w:p>
    <w:p w:rsidR="00AC2325" w:rsidRPr="00007E7A" w:rsidRDefault="00AC2325" w:rsidP="00007E7A">
      <w:pPr>
        <w:keepNext/>
        <w:keepLines/>
        <w:rPr>
          <w:rFonts w:ascii="Palatino Linotype" w:eastAsia="Palatino Linotype" w:hAnsi="Palatino Linotype" w:cs="Palatino Linotype"/>
          <w:b/>
          <w:bCs/>
          <w:color w:val="000000" w:themeColor="text1"/>
        </w:rPr>
      </w:pPr>
    </w:p>
    <w:p w:rsidR="00AC2325" w:rsidRPr="00007E7A" w:rsidRDefault="005C06A9" w:rsidP="00007E7A">
      <w:pPr>
        <w:spacing w:line="360" w:lineRule="auto"/>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 xml:space="preserve">PRIMERO. </w:t>
      </w:r>
      <w:r w:rsidRPr="00007E7A">
        <w:rPr>
          <w:rFonts w:ascii="Palatino Linotype" w:eastAsia="Palatino Linotype" w:hAnsi="Palatino Linotype" w:cs="Palatino Linotype"/>
          <w:color w:val="000000" w:themeColor="text1"/>
        </w:rPr>
        <w:t xml:space="preserve">Se </w:t>
      </w:r>
      <w:r w:rsidRPr="00007E7A">
        <w:rPr>
          <w:rFonts w:ascii="Palatino Linotype" w:eastAsia="Palatino Linotype" w:hAnsi="Palatino Linotype" w:cs="Palatino Linotype"/>
          <w:b/>
          <w:bCs/>
          <w:color w:val="000000" w:themeColor="text1"/>
        </w:rPr>
        <w:t>SOBRESEE</w:t>
      </w:r>
      <w:r w:rsidRPr="00007E7A">
        <w:rPr>
          <w:rFonts w:ascii="Palatino Linotype" w:eastAsia="Palatino Linotype" w:hAnsi="Palatino Linotype" w:cs="Palatino Linotype"/>
          <w:color w:val="000000" w:themeColor="text1"/>
        </w:rPr>
        <w:t xml:space="preserve"> el recurso de revisión número </w:t>
      </w:r>
      <w:r w:rsidRPr="00007E7A">
        <w:rPr>
          <w:rFonts w:ascii="Palatino Linotype" w:eastAsia="Palatino Linotype" w:hAnsi="Palatino Linotype" w:cs="Palatino Linotype"/>
          <w:b/>
          <w:bCs/>
          <w:color w:val="000000" w:themeColor="text1"/>
        </w:rPr>
        <w:t xml:space="preserve">07528/INFOEM/IP/RR/2025 </w:t>
      </w:r>
      <w:r w:rsidRPr="00007E7A">
        <w:rPr>
          <w:rFonts w:ascii="Palatino Linotype" w:eastAsia="Palatino Linotype" w:hAnsi="Palatino Linotype" w:cs="Palatino Linotype"/>
          <w:color w:val="000000" w:themeColor="text1"/>
        </w:rPr>
        <w:t xml:space="preserve">conforme al artículo 192 fracción III de la Ley de Transparencia y Acceso a la Información Pública del Estado de México y Municipios, porque al </w:t>
      </w:r>
      <w:r w:rsidRPr="00007E7A">
        <w:rPr>
          <w:rFonts w:ascii="Palatino Linotype" w:eastAsia="Palatino Linotype" w:hAnsi="Palatino Linotype" w:cs="Palatino Linotype"/>
          <w:b/>
          <w:bCs/>
          <w:color w:val="000000" w:themeColor="text1"/>
        </w:rPr>
        <w:t>modificar la respuesta a través del informe justificado y atender lo solicitado</w:t>
      </w:r>
      <w:r w:rsidRPr="00007E7A">
        <w:rPr>
          <w:rFonts w:ascii="Palatino Linotype" w:eastAsia="Palatino Linotype" w:hAnsi="Palatino Linotype" w:cs="Palatino Linotype"/>
          <w:color w:val="000000" w:themeColor="text1"/>
        </w:rPr>
        <w:t xml:space="preserve">, el recurso de revisión quedó sin materia en términos del Considerando </w:t>
      </w:r>
      <w:r w:rsidRPr="00007E7A">
        <w:rPr>
          <w:rFonts w:ascii="Palatino Linotype" w:eastAsia="Palatino Linotype" w:hAnsi="Palatino Linotype" w:cs="Palatino Linotype"/>
          <w:b/>
          <w:bCs/>
          <w:color w:val="000000" w:themeColor="text1"/>
        </w:rPr>
        <w:t>TERCERO</w:t>
      </w:r>
      <w:r w:rsidRPr="00007E7A">
        <w:rPr>
          <w:rFonts w:ascii="Palatino Linotype" w:eastAsia="Palatino Linotype" w:hAnsi="Palatino Linotype" w:cs="Palatino Linotype"/>
          <w:color w:val="000000" w:themeColor="text1"/>
        </w:rPr>
        <w:t xml:space="preserve"> de la presente resolución.</w:t>
      </w:r>
    </w:p>
    <w:p w:rsidR="00AC2325" w:rsidRPr="00007E7A" w:rsidRDefault="005C06A9" w:rsidP="00007E7A">
      <w:pPr>
        <w:spacing w:before="240" w:after="240"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SEGUNDO.</w:t>
      </w:r>
      <w:r w:rsidRPr="00007E7A">
        <w:rPr>
          <w:rFonts w:ascii="Palatino Linotype" w:eastAsia="Palatino Linotype" w:hAnsi="Palatino Linotype" w:cs="Palatino Linotype"/>
          <w:color w:val="000000" w:themeColor="text1"/>
        </w:rPr>
        <w:t xml:space="preserve"> </w:t>
      </w:r>
      <w:r w:rsidR="00007E7A">
        <w:rPr>
          <w:rFonts w:ascii="Palatino Linotype" w:eastAsia="Palatino Linotype" w:hAnsi="Palatino Linotype" w:cs="Palatino Linotype"/>
          <w:b/>
          <w:bCs/>
          <w:color w:val="000000" w:themeColor="text1"/>
        </w:rPr>
        <w:t>Notifíquese</w:t>
      </w:r>
      <w:r w:rsidRPr="00007E7A">
        <w:rPr>
          <w:rFonts w:ascii="Palatino Linotype" w:eastAsia="Palatino Linotype" w:hAnsi="Palatino Linotype" w:cs="Palatino Linotype"/>
          <w:b/>
          <w:bCs/>
          <w:color w:val="000000" w:themeColor="text1"/>
        </w:rPr>
        <w:t xml:space="preserve"> </w:t>
      </w:r>
      <w:r w:rsidRPr="00007E7A">
        <w:rPr>
          <w:rFonts w:ascii="Palatino Linotype" w:eastAsia="Palatino Linotype" w:hAnsi="Palatino Linotype" w:cs="Palatino Linotype"/>
          <w:color w:val="000000" w:themeColor="text1"/>
        </w:rPr>
        <w:t xml:space="preserve">a través del Sistema de Acceso a la Información Mexiquense </w:t>
      </w:r>
      <w:r w:rsidRPr="00007E7A">
        <w:rPr>
          <w:rFonts w:ascii="Palatino Linotype" w:eastAsia="Palatino Linotype" w:hAnsi="Palatino Linotype" w:cs="Palatino Linotype"/>
          <w:b/>
          <w:bCs/>
          <w:color w:val="000000" w:themeColor="text1"/>
        </w:rPr>
        <w:t xml:space="preserve">(SAIMEX) </w:t>
      </w:r>
      <w:r w:rsidRPr="00007E7A">
        <w:rPr>
          <w:rFonts w:ascii="Palatino Linotype" w:eastAsia="Palatino Linotype" w:hAnsi="Palatino Linotype" w:cs="Palatino Linotype"/>
          <w:color w:val="000000" w:themeColor="text1"/>
        </w:rPr>
        <w:t>la presente resolución al Titular de la Unidad de Transparencia del</w:t>
      </w:r>
      <w:r w:rsidRPr="00007E7A">
        <w:rPr>
          <w:rFonts w:ascii="Palatino Linotype" w:eastAsia="Palatino Linotype" w:hAnsi="Palatino Linotype" w:cs="Palatino Linotype"/>
          <w:b/>
          <w:bCs/>
          <w:color w:val="000000" w:themeColor="text1"/>
        </w:rPr>
        <w:t xml:space="preserve"> SUJETO OBLIGADO.</w:t>
      </w:r>
    </w:p>
    <w:p w:rsidR="00AC2325" w:rsidRPr="00007E7A" w:rsidRDefault="005C06A9" w:rsidP="00007E7A">
      <w:pPr>
        <w:shd w:val="clear" w:color="auto" w:fill="FFFFFF"/>
        <w:spacing w:before="240" w:line="360" w:lineRule="auto"/>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lastRenderedPageBreak/>
        <w:t xml:space="preserve">TERCERO. Notifíquese </w:t>
      </w:r>
      <w:r w:rsidRPr="00007E7A">
        <w:rPr>
          <w:rFonts w:ascii="Palatino Linotype" w:eastAsia="Palatino Linotype" w:hAnsi="Palatino Linotype" w:cs="Palatino Linotype"/>
          <w:color w:val="000000" w:themeColor="text1"/>
        </w:rPr>
        <w:t xml:space="preserve">al </w:t>
      </w:r>
      <w:r w:rsidRPr="00007E7A">
        <w:rPr>
          <w:rFonts w:ascii="Palatino Linotype" w:eastAsia="Palatino Linotype" w:hAnsi="Palatino Linotype" w:cs="Palatino Linotype"/>
          <w:b/>
          <w:bCs/>
          <w:color w:val="000000" w:themeColor="text1"/>
        </w:rPr>
        <w:t>RECURRENTE</w:t>
      </w:r>
      <w:r w:rsidRPr="00007E7A">
        <w:rPr>
          <w:rFonts w:ascii="Palatino Linotype" w:eastAsia="Palatino Linotype" w:hAnsi="Palatino Linotype" w:cs="Palatino Linotype"/>
          <w:color w:val="000000" w:themeColor="text1"/>
        </w:rPr>
        <w:t xml:space="preserve"> la presente resolución a través del Sistema de Acceso a la Información Mexiquense </w:t>
      </w:r>
      <w:r w:rsidRPr="00007E7A">
        <w:rPr>
          <w:rFonts w:ascii="Palatino Linotype" w:eastAsia="Palatino Linotype" w:hAnsi="Palatino Linotype" w:cs="Palatino Linotype"/>
          <w:b/>
          <w:bCs/>
          <w:color w:val="000000" w:themeColor="text1"/>
        </w:rPr>
        <w:t>(SAIMEX).</w:t>
      </w:r>
    </w:p>
    <w:p w:rsidR="00AC2325" w:rsidRPr="00007E7A" w:rsidRDefault="00AC2325" w:rsidP="00007E7A">
      <w:pPr>
        <w:shd w:val="clear" w:color="auto" w:fill="FFFFFF"/>
        <w:spacing w:before="240"/>
        <w:jc w:val="both"/>
        <w:rPr>
          <w:rFonts w:ascii="Palatino Linotype" w:eastAsia="Palatino Linotype" w:hAnsi="Palatino Linotype" w:cs="Palatino Linotype"/>
          <w:b/>
          <w:bCs/>
          <w:color w:val="000000" w:themeColor="text1"/>
        </w:rPr>
      </w:pPr>
    </w:p>
    <w:p w:rsidR="00AC2325" w:rsidRPr="00007E7A" w:rsidRDefault="005C06A9" w:rsidP="00007E7A">
      <w:pPr>
        <w:spacing w:line="360" w:lineRule="auto"/>
        <w:jc w:val="both"/>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b/>
          <w:bCs/>
          <w:color w:val="000000" w:themeColor="text1"/>
        </w:rPr>
        <w:t>CUARTO.</w:t>
      </w:r>
      <w:r w:rsidRPr="00007E7A">
        <w:rPr>
          <w:rFonts w:ascii="Palatino Linotype" w:eastAsia="Palatino Linotype" w:hAnsi="Palatino Linotype" w:cs="Palatino Linotype"/>
          <w:color w:val="000000" w:themeColor="text1"/>
        </w:rPr>
        <w:t xml:space="preserve"> Se hace del conocimiento del </w:t>
      </w:r>
      <w:r w:rsidRPr="00007E7A">
        <w:rPr>
          <w:rFonts w:ascii="Palatino Linotype" w:eastAsia="Palatino Linotype" w:hAnsi="Palatino Linotype" w:cs="Palatino Linotype"/>
          <w:b/>
          <w:bCs/>
          <w:color w:val="000000" w:themeColor="text1"/>
        </w:rPr>
        <w:t>RECURRENTE</w:t>
      </w:r>
      <w:r w:rsidRPr="00007E7A">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C2325" w:rsidRPr="00007E7A" w:rsidRDefault="00007E7A" w:rsidP="00007E7A">
      <w:pPr>
        <w:spacing w:before="240" w:after="240" w:line="360" w:lineRule="auto"/>
        <w:jc w:val="both"/>
        <w:rPr>
          <w:rFonts w:ascii="Palatino Linotype" w:eastAsia="Palatino Linotype" w:hAnsi="Palatino Linotype" w:cs="Palatino Linotype"/>
          <w:b/>
          <w:bCs/>
          <w:color w:val="000000" w:themeColor="text1"/>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0B7D83">
        <w:rPr>
          <w:rFonts w:ascii="Palatino Linotype" w:eastAsia="Palatino Linotype" w:hAnsi="Palatino Linotype" w:cs="Palatino Linotype"/>
        </w:rPr>
        <w:t xml:space="preserve"> EMITIENDO OPINIÓN PÚBLICA</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AC2325" w:rsidRPr="00007E7A" w:rsidRDefault="00AC2325" w:rsidP="00007E7A">
      <w:pPr>
        <w:spacing w:before="240" w:after="240"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jc w:val="both"/>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spacing w:line="360" w:lineRule="auto"/>
        <w:rPr>
          <w:rFonts w:ascii="Palatino Linotype" w:eastAsia="Palatino Linotype" w:hAnsi="Palatino Linotype" w:cs="Palatino Linotype"/>
          <w:color w:val="000000" w:themeColor="text1"/>
        </w:rPr>
      </w:pP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AC2325" w:rsidP="00007E7A">
      <w:pPr>
        <w:rPr>
          <w:rFonts w:ascii="Palatino Linotype" w:eastAsia="Palatino Linotype" w:hAnsi="Palatino Linotype" w:cs="Palatino Linotype"/>
          <w:color w:val="000000" w:themeColor="text1"/>
        </w:rPr>
      </w:pPr>
    </w:p>
    <w:p w:rsidR="00AC2325" w:rsidRPr="00007E7A" w:rsidRDefault="00AC2325" w:rsidP="00007E7A">
      <w:pPr>
        <w:rPr>
          <w:rFonts w:ascii="Palatino Linotype" w:eastAsia="Palatino Linotype" w:hAnsi="Palatino Linotype" w:cs="Palatino Linotype"/>
          <w:color w:val="000000" w:themeColor="text1"/>
        </w:rPr>
      </w:pPr>
    </w:p>
    <w:sectPr w:rsidR="00AC2325" w:rsidRPr="00007E7A" w:rsidSect="00A85D8C">
      <w:headerReference w:type="even" r:id="rId14"/>
      <w:headerReference w:type="default" r:id="rId15"/>
      <w:footerReference w:type="default" r:id="rId16"/>
      <w:headerReference w:type="first" r:id="rId17"/>
      <w:footerReference w:type="first" r:id="rId18"/>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3DC" w:rsidRDefault="00BA43DC">
      <w:r>
        <w:separator/>
      </w:r>
    </w:p>
  </w:endnote>
  <w:endnote w:type="continuationSeparator" w:id="0">
    <w:p w:rsidR="00BA43DC" w:rsidRDefault="00BA4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9DB3264-70EF-4EFB-A643-EE73A11B8E9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ABE18A7-D96C-4BB9-9DAF-4B1DDDB461F1}"/>
    <w:embedBold r:id="rId3" w:fontKey="{D0C20989-318A-4EA0-9295-880EFB2E256E}"/>
    <w:embedItalic r:id="rId4" w:fontKey="{44D27666-9B3E-47EB-90C0-60ADB701446A}"/>
    <w:embedBoldItalic r:id="rId5" w:fontKey="{48911465-CCD4-498D-B588-947A6CFCC43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973F89D-B9CE-4F83-9CFA-B56259748F41}"/>
    <w:embedBold r:id="rId7" w:fontKey="{80650BB7-C12C-4286-ABF2-54268CAC09E5}"/>
  </w:font>
  <w:font w:name="Calibri Light">
    <w:panose1 w:val="020F0302020204030204"/>
    <w:charset w:val="00"/>
    <w:family w:val="swiss"/>
    <w:pitch w:val="variable"/>
    <w:sig w:usb0="E4002EFF" w:usb1="C200247B" w:usb2="00000009" w:usb3="00000000" w:csb0="000001FF" w:csb1="00000000"/>
    <w:embedRegular r:id="rId8" w:fontKey="{82589178-D65D-4EE1-B09E-238D5789FD95}"/>
  </w:font>
  <w:font w:name="Century Gothic">
    <w:panose1 w:val="020B0502020202020204"/>
    <w:charset w:val="00"/>
    <w:family w:val="swiss"/>
    <w:pitch w:val="variable"/>
    <w:sig w:usb0="00000287" w:usb1="00000000" w:usb2="00000000" w:usb3="00000000" w:csb0="0000009F" w:csb1="00000000"/>
    <w:embedRegular r:id="rId9" w:fontKey="{CA8FFB42-9CD7-4B50-9863-BE4A483D705E}"/>
    <w:embedBold r:id="rId10" w:fontKey="{C77168C1-9C88-41DD-8B39-1776E4B92015}"/>
  </w:font>
  <w:font w:name="Segoe UI">
    <w:panose1 w:val="020B0502040204020203"/>
    <w:charset w:val="00"/>
    <w:family w:val="swiss"/>
    <w:pitch w:val="variable"/>
    <w:sig w:usb0="E4002EFF" w:usb1="C000E47F" w:usb2="00000009" w:usb3="00000000" w:csb0="000001FF" w:csb1="00000000"/>
    <w:embedRegular r:id="rId11" w:fontKey="{007977B7-3CD9-48EE-A0D3-8877F9263474}"/>
  </w:font>
  <w:font w:name="Cambria">
    <w:panose1 w:val="02040503050406030204"/>
    <w:charset w:val="00"/>
    <w:family w:val="roman"/>
    <w:pitch w:val="variable"/>
    <w:sig w:usb0="E00006FF" w:usb1="420024FF" w:usb2="02000000" w:usb3="00000000" w:csb0="0000019F" w:csb1="00000000"/>
    <w:embedRegular r:id="rId12" w:fontKey="{5983BD16-75B9-43A0-8D2E-8A7F43125043}"/>
  </w:font>
  <w:font w:name="Georgia">
    <w:panose1 w:val="02040502050405020303"/>
    <w:charset w:val="00"/>
    <w:family w:val="roman"/>
    <w:pitch w:val="variable"/>
    <w:sig w:usb0="00000287" w:usb1="00000000" w:usb2="00000000" w:usb3="00000000" w:csb0="0000009F" w:csb1="00000000"/>
    <w:embedItalic r:id="rId13" w:fontKey="{9742B7CE-9117-4F66-A959-83CA4A3AA53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4" w:fontKey="{6907AFC1-6E0E-4CF3-A9B1-3F22BD8EA5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A9" w:rsidRDefault="005C06A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E1732F">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E1732F">
      <w:rPr>
        <w:b/>
        <w:bCs/>
        <w:noProof/>
        <w:color w:val="000000"/>
      </w:rPr>
      <w:t>25</w:t>
    </w:r>
    <w:r>
      <w:rPr>
        <w:b/>
        <w:bCs/>
        <w:color w:val="000000"/>
      </w:rPr>
      <w:fldChar w:fldCharType="end"/>
    </w:r>
  </w:p>
  <w:p w:rsidR="005C06A9" w:rsidRDefault="005C06A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A9" w:rsidRDefault="005C06A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E1732F">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E1732F">
      <w:rPr>
        <w:b/>
        <w:bCs/>
        <w:noProof/>
        <w:color w:val="000000"/>
      </w:rPr>
      <w:t>25</w:t>
    </w:r>
    <w:r>
      <w:rPr>
        <w:b/>
        <w:bCs/>
        <w:color w:val="000000"/>
      </w:rPr>
      <w:fldChar w:fldCharType="end"/>
    </w:r>
  </w:p>
  <w:p w:rsidR="005C06A9" w:rsidRDefault="005C06A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3DC" w:rsidRDefault="00BA43DC">
      <w:r>
        <w:separator/>
      </w:r>
    </w:p>
  </w:footnote>
  <w:footnote w:type="continuationSeparator" w:id="0">
    <w:p w:rsidR="00BA43DC" w:rsidRDefault="00BA43DC">
      <w:r>
        <w:continuationSeparator/>
      </w:r>
    </w:p>
  </w:footnote>
  <w:footnote w:id="1">
    <w:p w:rsidR="005C06A9" w:rsidRDefault="005C06A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2">
    <w:p w:rsidR="005C06A9" w:rsidRDefault="005C06A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3">
    <w:p w:rsidR="005C06A9" w:rsidRDefault="005C06A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4">
    <w:p w:rsidR="005C06A9" w:rsidRDefault="005C06A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A9" w:rsidRDefault="00BA43D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0490" w:type="dxa"/>
      <w:tblInd w:w="0" w:type="dxa"/>
      <w:tblLayout w:type="fixed"/>
      <w:tblLook w:val="0400" w:firstRow="0" w:lastRow="0" w:firstColumn="0" w:lastColumn="0" w:noHBand="0" w:noVBand="1"/>
    </w:tblPr>
    <w:tblGrid>
      <w:gridCol w:w="2268"/>
      <w:gridCol w:w="8222"/>
    </w:tblGrid>
    <w:tr w:rsidR="005C06A9" w:rsidTr="00007E7A">
      <w:trPr>
        <w:trHeight w:val="1435"/>
      </w:trPr>
      <w:tc>
        <w:tcPr>
          <w:tcW w:w="2268" w:type="dxa"/>
          <w:shd w:val="clear" w:color="auto" w:fill="auto"/>
        </w:tcPr>
        <w:p w:rsidR="005C06A9" w:rsidRDefault="005C06A9">
          <w:pPr>
            <w:tabs>
              <w:tab w:val="right" w:pos="4273"/>
            </w:tabs>
            <w:rPr>
              <w:rFonts w:ascii="Garamond" w:eastAsia="Garamond" w:hAnsi="Garamond" w:cs="Garamond"/>
              <w:sz w:val="16"/>
              <w:szCs w:val="16"/>
            </w:rPr>
          </w:pPr>
        </w:p>
      </w:tc>
      <w:tc>
        <w:tcPr>
          <w:tcW w:w="8222" w:type="dxa"/>
          <w:shd w:val="clear" w:color="auto" w:fill="auto"/>
        </w:tcPr>
        <w:tbl>
          <w:tblPr>
            <w:tblStyle w:val="aa"/>
            <w:tblW w:w="7925" w:type="dxa"/>
            <w:tblInd w:w="0" w:type="dxa"/>
            <w:tblLayout w:type="fixed"/>
            <w:tblLook w:val="0400" w:firstRow="0" w:lastRow="0" w:firstColumn="0" w:lastColumn="0" w:noHBand="0" w:noVBand="1"/>
          </w:tblPr>
          <w:tblGrid>
            <w:gridCol w:w="3531"/>
            <w:gridCol w:w="4394"/>
          </w:tblGrid>
          <w:tr w:rsidR="005C06A9" w:rsidTr="00A85D8C">
            <w:trPr>
              <w:trHeight w:val="150"/>
            </w:trPr>
            <w:tc>
              <w:tcPr>
                <w:tcW w:w="3531" w:type="dxa"/>
                <w:shd w:val="clear" w:color="auto" w:fill="auto"/>
              </w:tcPr>
              <w:p w:rsidR="005C06A9" w:rsidRPr="00007E7A" w:rsidRDefault="005C06A9" w:rsidP="00007E7A">
                <w:pPr>
                  <w:tabs>
                    <w:tab w:val="right" w:pos="8838"/>
                  </w:tabs>
                  <w:ind w:left="850" w:right="-105"/>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Recurso de Revisión:</w:t>
                </w:r>
              </w:p>
            </w:tc>
            <w:tc>
              <w:tcPr>
                <w:tcW w:w="4394" w:type="dxa"/>
                <w:shd w:val="clear" w:color="auto" w:fill="auto"/>
              </w:tcPr>
              <w:p w:rsidR="005C06A9" w:rsidRPr="00007E7A" w:rsidRDefault="005C06A9" w:rsidP="00A85D8C">
                <w:pPr>
                  <w:tabs>
                    <w:tab w:val="right" w:pos="8838"/>
                  </w:tabs>
                  <w:ind w:left="-115" w:right="-92"/>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07528/INFOEM/IP/RR/2025</w:t>
                </w:r>
              </w:p>
            </w:tc>
          </w:tr>
          <w:tr w:rsidR="005C06A9" w:rsidTr="00A85D8C">
            <w:trPr>
              <w:trHeight w:val="295"/>
            </w:trPr>
            <w:tc>
              <w:tcPr>
                <w:tcW w:w="3531" w:type="dxa"/>
                <w:shd w:val="clear" w:color="auto" w:fill="auto"/>
              </w:tcPr>
              <w:p w:rsidR="005C06A9" w:rsidRPr="00007E7A" w:rsidRDefault="005C06A9" w:rsidP="00007E7A">
                <w:pPr>
                  <w:tabs>
                    <w:tab w:val="right" w:pos="8838"/>
                  </w:tabs>
                  <w:ind w:left="850" w:right="-105"/>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Sujeto Obligado:</w:t>
                </w:r>
              </w:p>
            </w:tc>
            <w:tc>
              <w:tcPr>
                <w:tcW w:w="4394" w:type="dxa"/>
                <w:shd w:val="clear" w:color="auto" w:fill="auto"/>
              </w:tcPr>
              <w:p w:rsidR="005C06A9" w:rsidRPr="00007E7A" w:rsidRDefault="005C06A9" w:rsidP="00A85D8C">
                <w:pPr>
                  <w:tabs>
                    <w:tab w:val="left" w:pos="2834"/>
                    <w:tab w:val="right" w:pos="8838"/>
                  </w:tabs>
                  <w:ind w:left="-115" w:right="-92"/>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Instituto Electoral del Estado de México</w:t>
                </w:r>
              </w:p>
            </w:tc>
          </w:tr>
          <w:tr w:rsidR="005C06A9" w:rsidTr="00A85D8C">
            <w:trPr>
              <w:trHeight w:val="295"/>
            </w:trPr>
            <w:tc>
              <w:tcPr>
                <w:tcW w:w="3531" w:type="dxa"/>
                <w:shd w:val="clear" w:color="auto" w:fill="auto"/>
              </w:tcPr>
              <w:p w:rsidR="005C06A9" w:rsidRPr="00007E7A" w:rsidRDefault="005C06A9" w:rsidP="00007E7A">
                <w:pPr>
                  <w:tabs>
                    <w:tab w:val="right" w:pos="8838"/>
                  </w:tabs>
                  <w:ind w:left="850" w:right="-105"/>
                  <w:jc w:val="both"/>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Comisionada ponente:</w:t>
                </w:r>
              </w:p>
            </w:tc>
            <w:tc>
              <w:tcPr>
                <w:tcW w:w="4394" w:type="dxa"/>
                <w:shd w:val="clear" w:color="auto" w:fill="auto"/>
              </w:tcPr>
              <w:p w:rsidR="005C06A9" w:rsidRPr="00007E7A" w:rsidRDefault="005C06A9" w:rsidP="00A85D8C">
                <w:pPr>
                  <w:tabs>
                    <w:tab w:val="right" w:pos="8838"/>
                  </w:tabs>
                  <w:ind w:left="-115" w:right="-92"/>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María del Rosario Mejía Ayala</w:t>
                </w:r>
              </w:p>
              <w:p w:rsidR="005C06A9" w:rsidRPr="00007E7A" w:rsidRDefault="005C06A9" w:rsidP="00A85D8C">
                <w:pPr>
                  <w:tabs>
                    <w:tab w:val="right" w:pos="8838"/>
                  </w:tabs>
                  <w:ind w:left="-115" w:right="-92"/>
                  <w:rPr>
                    <w:rFonts w:ascii="Palatino Linotype" w:eastAsia="Palatino Linotype" w:hAnsi="Palatino Linotype" w:cs="Palatino Linotype"/>
                    <w:color w:val="000000" w:themeColor="text1"/>
                  </w:rPr>
                </w:pPr>
              </w:p>
            </w:tc>
          </w:tr>
        </w:tbl>
        <w:p w:rsidR="005C06A9" w:rsidRDefault="005C06A9">
          <w:pPr>
            <w:tabs>
              <w:tab w:val="right" w:pos="8838"/>
            </w:tabs>
            <w:ind w:left="-28"/>
            <w:jc w:val="both"/>
            <w:rPr>
              <w:rFonts w:ascii="Arial" w:eastAsia="Arial" w:hAnsi="Arial" w:cs="Arial"/>
              <w:b/>
              <w:bCs/>
              <w:sz w:val="18"/>
              <w:szCs w:val="18"/>
            </w:rPr>
          </w:pPr>
        </w:p>
      </w:tc>
    </w:tr>
  </w:tbl>
  <w:p w:rsidR="005C06A9" w:rsidRDefault="00BA43D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10065" w:type="dxa"/>
      <w:tblInd w:w="0" w:type="dxa"/>
      <w:tblLayout w:type="fixed"/>
      <w:tblLook w:val="0400" w:firstRow="0" w:lastRow="0" w:firstColumn="0" w:lastColumn="0" w:noHBand="0" w:noVBand="1"/>
    </w:tblPr>
    <w:tblGrid>
      <w:gridCol w:w="2265"/>
      <w:gridCol w:w="7800"/>
    </w:tblGrid>
    <w:tr w:rsidR="005C06A9">
      <w:trPr>
        <w:trHeight w:val="1435"/>
      </w:trPr>
      <w:tc>
        <w:tcPr>
          <w:tcW w:w="2265" w:type="dxa"/>
          <w:shd w:val="clear" w:color="auto" w:fill="auto"/>
        </w:tcPr>
        <w:p w:rsidR="005C06A9" w:rsidRDefault="005C06A9">
          <w:pPr>
            <w:tabs>
              <w:tab w:val="right" w:pos="4273"/>
            </w:tabs>
            <w:rPr>
              <w:rFonts w:ascii="Garamond" w:eastAsia="Garamond" w:hAnsi="Garamond" w:cs="Garamond"/>
              <w:sz w:val="22"/>
              <w:szCs w:val="22"/>
            </w:rPr>
          </w:pPr>
        </w:p>
      </w:tc>
      <w:tc>
        <w:tcPr>
          <w:tcW w:w="7800" w:type="dxa"/>
          <w:shd w:val="clear" w:color="auto" w:fill="auto"/>
        </w:tcPr>
        <w:tbl>
          <w:tblPr>
            <w:tblStyle w:val="ac"/>
            <w:tblW w:w="7968" w:type="dxa"/>
            <w:tblInd w:w="597" w:type="dxa"/>
            <w:tblLayout w:type="fixed"/>
            <w:tblLook w:val="0400" w:firstRow="0" w:lastRow="0" w:firstColumn="0" w:lastColumn="0" w:noHBand="0" w:noVBand="1"/>
          </w:tblPr>
          <w:tblGrid>
            <w:gridCol w:w="2723"/>
            <w:gridCol w:w="5245"/>
          </w:tblGrid>
          <w:tr w:rsidR="00007E7A" w:rsidRPr="00007E7A" w:rsidTr="00A85D8C">
            <w:trPr>
              <w:trHeight w:val="144"/>
            </w:trPr>
            <w:tc>
              <w:tcPr>
                <w:tcW w:w="2723" w:type="dxa"/>
                <w:shd w:val="clear" w:color="auto" w:fill="auto"/>
              </w:tcPr>
              <w:p w:rsidR="005C06A9" w:rsidRPr="00007E7A" w:rsidRDefault="005C06A9" w:rsidP="00A85D8C">
                <w:pPr>
                  <w:tabs>
                    <w:tab w:val="right" w:pos="8838"/>
                  </w:tabs>
                  <w:ind w:left="-85" w:right="-105"/>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Recurso de Revisión:</w:t>
                </w:r>
              </w:p>
            </w:tc>
            <w:tc>
              <w:tcPr>
                <w:tcW w:w="5245" w:type="dxa"/>
                <w:shd w:val="clear" w:color="auto" w:fill="auto"/>
              </w:tcPr>
              <w:p w:rsidR="005C06A9" w:rsidRPr="00007E7A" w:rsidRDefault="005C06A9" w:rsidP="00007E7A">
                <w:pPr>
                  <w:tabs>
                    <w:tab w:val="right" w:pos="8838"/>
                  </w:tabs>
                  <w:ind w:right="-15"/>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07528/INFOEM/IP/RR/2025</w:t>
                </w:r>
              </w:p>
            </w:tc>
          </w:tr>
          <w:tr w:rsidR="00007E7A" w:rsidRPr="00007E7A" w:rsidTr="00A85D8C">
            <w:trPr>
              <w:trHeight w:val="144"/>
            </w:trPr>
            <w:tc>
              <w:tcPr>
                <w:tcW w:w="2723" w:type="dxa"/>
                <w:shd w:val="clear" w:color="auto" w:fill="auto"/>
              </w:tcPr>
              <w:p w:rsidR="005C06A9" w:rsidRPr="00007E7A" w:rsidRDefault="005C06A9" w:rsidP="00A85D8C">
                <w:pPr>
                  <w:tabs>
                    <w:tab w:val="right" w:pos="8838"/>
                  </w:tabs>
                  <w:ind w:left="-85" w:right="-105"/>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Recurrente:</w:t>
                </w:r>
              </w:p>
            </w:tc>
            <w:tc>
              <w:tcPr>
                <w:tcW w:w="5245" w:type="dxa"/>
                <w:shd w:val="clear" w:color="auto" w:fill="auto"/>
              </w:tcPr>
              <w:p w:rsidR="005C06A9" w:rsidRPr="00007E7A" w:rsidRDefault="00E1732F" w:rsidP="00007E7A">
                <w:pPr>
                  <w:tabs>
                    <w:tab w:val="left" w:pos="3122"/>
                    <w:tab w:val="right" w:pos="8838"/>
                  </w:tabs>
                  <w:ind w:right="-15"/>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p>
            </w:tc>
          </w:tr>
          <w:tr w:rsidR="00007E7A" w:rsidRPr="00007E7A" w:rsidTr="00A85D8C">
            <w:trPr>
              <w:trHeight w:val="80"/>
            </w:trPr>
            <w:tc>
              <w:tcPr>
                <w:tcW w:w="2723" w:type="dxa"/>
                <w:shd w:val="clear" w:color="auto" w:fill="auto"/>
              </w:tcPr>
              <w:p w:rsidR="005C06A9" w:rsidRPr="00007E7A" w:rsidRDefault="005C06A9" w:rsidP="00A85D8C">
                <w:pPr>
                  <w:tabs>
                    <w:tab w:val="right" w:pos="8838"/>
                  </w:tabs>
                  <w:ind w:left="-85" w:right="-105"/>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Sujeto Obligado:</w:t>
                </w:r>
              </w:p>
            </w:tc>
            <w:tc>
              <w:tcPr>
                <w:tcW w:w="5245" w:type="dxa"/>
                <w:shd w:val="clear" w:color="auto" w:fill="auto"/>
              </w:tcPr>
              <w:p w:rsidR="005C06A9" w:rsidRPr="00007E7A" w:rsidRDefault="005C06A9" w:rsidP="00007E7A">
                <w:pPr>
                  <w:tabs>
                    <w:tab w:val="left" w:pos="2834"/>
                    <w:tab w:val="right" w:pos="8838"/>
                  </w:tabs>
                  <w:ind w:right="-15"/>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Instituto Electoral del Estado de México</w:t>
                </w:r>
              </w:p>
            </w:tc>
          </w:tr>
          <w:tr w:rsidR="00007E7A" w:rsidRPr="00007E7A" w:rsidTr="00A85D8C">
            <w:trPr>
              <w:trHeight w:val="283"/>
            </w:trPr>
            <w:tc>
              <w:tcPr>
                <w:tcW w:w="2723" w:type="dxa"/>
                <w:shd w:val="clear" w:color="auto" w:fill="auto"/>
              </w:tcPr>
              <w:p w:rsidR="005C06A9" w:rsidRPr="00007E7A" w:rsidRDefault="005C06A9" w:rsidP="00A85D8C">
                <w:pPr>
                  <w:tabs>
                    <w:tab w:val="right" w:pos="8838"/>
                  </w:tabs>
                  <w:ind w:left="-85" w:right="-105"/>
                  <w:rPr>
                    <w:rFonts w:ascii="Palatino Linotype" w:eastAsia="Palatino Linotype" w:hAnsi="Palatino Linotype" w:cs="Palatino Linotype"/>
                    <w:b/>
                    <w:bCs/>
                    <w:color w:val="000000" w:themeColor="text1"/>
                  </w:rPr>
                </w:pPr>
                <w:r w:rsidRPr="00007E7A">
                  <w:rPr>
                    <w:rFonts w:ascii="Palatino Linotype" w:eastAsia="Palatino Linotype" w:hAnsi="Palatino Linotype" w:cs="Palatino Linotype"/>
                    <w:b/>
                    <w:bCs/>
                    <w:color w:val="000000" w:themeColor="text1"/>
                  </w:rPr>
                  <w:t>Comisionada ponente:</w:t>
                </w:r>
              </w:p>
            </w:tc>
            <w:tc>
              <w:tcPr>
                <w:tcW w:w="5245" w:type="dxa"/>
                <w:shd w:val="clear" w:color="auto" w:fill="auto"/>
              </w:tcPr>
              <w:p w:rsidR="005C06A9" w:rsidRPr="00007E7A" w:rsidRDefault="005C06A9" w:rsidP="00007E7A">
                <w:pPr>
                  <w:tabs>
                    <w:tab w:val="right" w:pos="8838"/>
                  </w:tabs>
                  <w:ind w:right="-15"/>
                  <w:rPr>
                    <w:rFonts w:ascii="Palatino Linotype" w:eastAsia="Palatino Linotype" w:hAnsi="Palatino Linotype" w:cs="Palatino Linotype"/>
                    <w:color w:val="000000" w:themeColor="text1"/>
                  </w:rPr>
                </w:pPr>
                <w:r w:rsidRPr="00007E7A">
                  <w:rPr>
                    <w:rFonts w:ascii="Palatino Linotype" w:eastAsia="Palatino Linotype" w:hAnsi="Palatino Linotype" w:cs="Palatino Linotype"/>
                    <w:color w:val="000000" w:themeColor="text1"/>
                  </w:rPr>
                  <w:t>María del Rosario Mejía Ayala</w:t>
                </w:r>
              </w:p>
              <w:p w:rsidR="005C06A9" w:rsidRPr="00007E7A" w:rsidRDefault="005C06A9" w:rsidP="00007E7A">
                <w:pPr>
                  <w:tabs>
                    <w:tab w:val="right" w:pos="8838"/>
                  </w:tabs>
                  <w:ind w:right="-15"/>
                  <w:rPr>
                    <w:rFonts w:ascii="Palatino Linotype" w:eastAsia="Palatino Linotype" w:hAnsi="Palatino Linotype" w:cs="Palatino Linotype"/>
                    <w:color w:val="000000" w:themeColor="text1"/>
                  </w:rPr>
                </w:pPr>
              </w:p>
            </w:tc>
          </w:tr>
        </w:tbl>
        <w:p w:rsidR="005C06A9" w:rsidRDefault="005C06A9">
          <w:pPr>
            <w:tabs>
              <w:tab w:val="right" w:pos="8838"/>
            </w:tabs>
            <w:ind w:left="-28"/>
            <w:jc w:val="both"/>
            <w:rPr>
              <w:rFonts w:ascii="Arial" w:eastAsia="Arial" w:hAnsi="Arial" w:cs="Arial"/>
              <w:b/>
              <w:bCs/>
              <w:sz w:val="22"/>
              <w:szCs w:val="22"/>
            </w:rPr>
          </w:pPr>
        </w:p>
      </w:tc>
    </w:tr>
  </w:tbl>
  <w:p w:rsidR="005C06A9" w:rsidRDefault="00BA43DC">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34D74"/>
    <w:multiLevelType w:val="multilevel"/>
    <w:tmpl w:val="1F763C0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31D03D29"/>
    <w:multiLevelType w:val="multilevel"/>
    <w:tmpl w:val="FD4038D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3A871D34"/>
    <w:multiLevelType w:val="multilevel"/>
    <w:tmpl w:val="FDCAE21E"/>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436671CB"/>
    <w:multiLevelType w:val="multilevel"/>
    <w:tmpl w:val="7412562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FD7445"/>
    <w:multiLevelType w:val="hybridMultilevel"/>
    <w:tmpl w:val="89CE1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7F3CCC"/>
    <w:multiLevelType w:val="multilevel"/>
    <w:tmpl w:val="327E6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3E0F9D"/>
    <w:multiLevelType w:val="multilevel"/>
    <w:tmpl w:val="7980C880"/>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DA4D53"/>
    <w:multiLevelType w:val="multilevel"/>
    <w:tmpl w:val="53508F8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659010E3"/>
    <w:multiLevelType w:val="multilevel"/>
    <w:tmpl w:val="0E9E1E36"/>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8"/>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25"/>
    <w:rsid w:val="00007E7A"/>
    <w:rsid w:val="000B7D83"/>
    <w:rsid w:val="003416FF"/>
    <w:rsid w:val="00442883"/>
    <w:rsid w:val="004D39EC"/>
    <w:rsid w:val="005C06A9"/>
    <w:rsid w:val="006D0B32"/>
    <w:rsid w:val="00966A3B"/>
    <w:rsid w:val="00A85D8C"/>
    <w:rsid w:val="00AC2325"/>
    <w:rsid w:val="00BA0A27"/>
    <w:rsid w:val="00BA43DC"/>
    <w:rsid w:val="00E1732F"/>
    <w:rsid w:val="00E60A6B"/>
    <w:rsid w:val="00FB3E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38C95BC-EC55-47BA-818B-822F3CE5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uiPriority w:val="1"/>
    <w:qFormat/>
    <w:rsid w:val="009469E1"/>
    <w:pPr>
      <w:widowControl w:val="0"/>
      <w:autoSpaceDE w:val="0"/>
      <w:autoSpaceDN w:val="0"/>
    </w:pPr>
    <w:rPr>
      <w:rFonts w:ascii="Cambria" w:eastAsia="Cambria" w:hAnsi="Cambria" w:cs="Cambria"/>
      <w:sz w:val="22"/>
      <w:szCs w:val="22"/>
      <w:lang w:val="es-ES" w:eastAsia="en-US"/>
    </w:rPr>
  </w:style>
  <w:style w:type="character" w:customStyle="1" w:styleId="TextoindependienteCar">
    <w:name w:val="Texto independiente Car"/>
    <w:basedOn w:val="Fuentedeprrafopredeter"/>
    <w:link w:val="Textoindependiente"/>
    <w:uiPriority w:val="1"/>
    <w:rsid w:val="009469E1"/>
    <w:rPr>
      <w:rFonts w:ascii="Cambria" w:eastAsia="Cambria" w:hAnsi="Cambria" w:cs="Cambria"/>
      <w:sz w:val="22"/>
      <w:szCs w:val="22"/>
      <w:lang w:val="es-ES"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eleccionjudicial2025.ieem.org.mx/" TargetMode="External"/><Relationship Id="rId13" Type="http://schemas.openxmlformats.org/officeDocument/2006/relationships/hyperlink" Target="https://www.saimex.org.mx/saimex/solicitud/downloadAttach/2496843.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2496842.pag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2496841.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2496840.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rganizacion.ieem.org.mx/numerali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3/qDQTxed89907yEHcnz8mu6Bw==">CgMxLjAyDmgubWg0eHQwZXoxcWM2MgloLjN6bnlzaDcyCWguM2R5NnZrbTgAciExYVBDQWJiWEY5SDU1TmFqbkJoSVZGaEE2LURzMmRVano=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6712</Words>
  <Characters>36916</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7</cp:revision>
  <dcterms:created xsi:type="dcterms:W3CDTF">2025-11-19T23:47:00Z</dcterms:created>
  <dcterms:modified xsi:type="dcterms:W3CDTF">2025-12-08T23:15:00Z</dcterms:modified>
</cp:coreProperties>
</file>