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2918" w14:textId="77777777" w:rsidR="009B2008" w:rsidRPr="00974279" w:rsidRDefault="009B2008" w:rsidP="00974279">
      <w:pPr>
        <w:rPr>
          <w:rFonts w:ascii="Palatino Linotype" w:eastAsia="Palatino Linotype" w:hAnsi="Palatino Linotype" w:cs="Palatino Linotype"/>
          <w:kern w:val="0"/>
          <w:lang w:eastAsia="es-ES"/>
          <w14:ligatures w14:val="none"/>
        </w:rPr>
      </w:pPr>
    </w:p>
    <w:sdt>
      <w:sdtPr>
        <w:rPr>
          <w:rFonts w:ascii="Palatino Linotype" w:eastAsiaTheme="minorHAnsi" w:hAnsi="Palatino Linotype" w:cstheme="minorBidi"/>
          <w:color w:val="auto"/>
          <w:kern w:val="2"/>
          <w:sz w:val="22"/>
          <w:szCs w:val="22"/>
          <w:lang w:val="es-ES" w:eastAsia="en-US"/>
          <w14:ligatures w14:val="standardContextual"/>
        </w:rPr>
        <w:id w:val="616558600"/>
        <w:docPartObj>
          <w:docPartGallery w:val="Table of Contents"/>
          <w:docPartUnique/>
        </w:docPartObj>
      </w:sdtPr>
      <w:sdtEndPr>
        <w:rPr>
          <w:b/>
          <w:bCs/>
        </w:rPr>
      </w:sdtEndPr>
      <w:sdtContent>
        <w:p w14:paraId="2F5A82A1" w14:textId="258D9D58" w:rsidR="00075226" w:rsidRPr="002B29A1" w:rsidRDefault="00075226" w:rsidP="00801B90">
          <w:pPr>
            <w:pStyle w:val="TtulodeTDC"/>
            <w:spacing w:before="0" w:line="360" w:lineRule="auto"/>
            <w:jc w:val="center"/>
            <w:rPr>
              <w:rFonts w:ascii="Palatino Linotype" w:hAnsi="Palatino Linotype"/>
              <w:color w:val="auto"/>
              <w:sz w:val="22"/>
              <w:lang w:val="es-ES"/>
            </w:rPr>
          </w:pPr>
          <w:r w:rsidRPr="002B29A1">
            <w:rPr>
              <w:rFonts w:ascii="Palatino Linotype" w:hAnsi="Palatino Linotype"/>
              <w:color w:val="auto"/>
              <w:sz w:val="22"/>
              <w:lang w:val="es-ES"/>
            </w:rPr>
            <w:t>RESOLUCIÓN DEL RECURSO DE REVISIÓN 02201/INFOEM/IP/RR/2025</w:t>
          </w:r>
        </w:p>
        <w:p w14:paraId="04524F54" w14:textId="77777777" w:rsidR="00075226" w:rsidRPr="002B29A1" w:rsidRDefault="00075226" w:rsidP="00801B90">
          <w:pPr>
            <w:rPr>
              <w:rFonts w:ascii="Palatino Linotype" w:hAnsi="Palatino Linotype"/>
              <w:lang w:val="es-ES" w:eastAsia="es-MX"/>
            </w:rPr>
          </w:pPr>
        </w:p>
        <w:p w14:paraId="4FEB562A" w14:textId="77777777" w:rsidR="00801B90" w:rsidRPr="002B29A1" w:rsidRDefault="00075226" w:rsidP="00801B90">
          <w:pPr>
            <w:pStyle w:val="TDC1"/>
            <w:tabs>
              <w:tab w:val="right" w:leader="dot" w:pos="8828"/>
            </w:tabs>
            <w:rPr>
              <w:rFonts w:ascii="Palatino Linotype" w:eastAsiaTheme="minorEastAsia" w:hAnsi="Palatino Linotype"/>
              <w:noProof/>
              <w:kern w:val="0"/>
              <w:lang w:eastAsia="es-MX"/>
              <w14:ligatures w14:val="none"/>
            </w:rPr>
          </w:pPr>
          <w:r w:rsidRPr="002B29A1">
            <w:rPr>
              <w:rFonts w:ascii="Palatino Linotype" w:hAnsi="Palatino Linotype"/>
              <w:bCs/>
              <w:lang w:val="es-ES"/>
            </w:rPr>
            <w:fldChar w:fldCharType="begin"/>
          </w:r>
          <w:r w:rsidRPr="002B29A1">
            <w:rPr>
              <w:rFonts w:ascii="Palatino Linotype" w:hAnsi="Palatino Linotype"/>
              <w:bCs/>
              <w:lang w:val="es-ES"/>
            </w:rPr>
            <w:instrText xml:space="preserve"> TOC \o "1-3" \h \z \u </w:instrText>
          </w:r>
          <w:r w:rsidRPr="002B29A1">
            <w:rPr>
              <w:rFonts w:ascii="Palatino Linotype" w:hAnsi="Palatino Linotype"/>
              <w:bCs/>
              <w:lang w:val="es-ES"/>
            </w:rPr>
            <w:fldChar w:fldCharType="separate"/>
          </w:r>
          <w:hyperlink w:anchor="_Toc195191373" w:history="1">
            <w:r w:rsidR="00801B90" w:rsidRPr="002B29A1">
              <w:rPr>
                <w:rStyle w:val="Hipervnculo"/>
                <w:rFonts w:ascii="Palatino Linotype" w:eastAsia="Palatino Linotype" w:hAnsi="Palatino Linotype"/>
                <w:noProof/>
                <w:lang w:eastAsia="es-ES"/>
              </w:rPr>
              <w:t>A N T E C E D E N T E S</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_Toc195191373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2</w:t>
            </w:r>
            <w:r w:rsidR="00801B90" w:rsidRPr="002B29A1">
              <w:rPr>
                <w:rFonts w:ascii="Palatino Linotype" w:hAnsi="Palatino Linotype"/>
                <w:noProof/>
                <w:webHidden/>
              </w:rPr>
              <w:fldChar w:fldCharType="end"/>
            </w:r>
          </w:hyperlink>
        </w:p>
        <w:p w14:paraId="125574DC"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74" w:history="1">
            <w:r w:rsidR="00801B90" w:rsidRPr="002B29A1">
              <w:rPr>
                <w:rStyle w:val="Hipervnculo"/>
                <w:rFonts w:ascii="Palatino Linotype" w:eastAsia="Palatino Linotype" w:hAnsi="Palatino Linotype"/>
                <w:noProof/>
                <w:lang w:eastAsia="es-ES"/>
              </w:rPr>
              <w:t>I. Presentación de la solicitud de información</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_Toc195191374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2</w:t>
            </w:r>
            <w:r w:rsidR="00801B90" w:rsidRPr="002B29A1">
              <w:rPr>
                <w:rFonts w:ascii="Palatino Linotype" w:hAnsi="Palatino Linotype"/>
                <w:noProof/>
                <w:webHidden/>
              </w:rPr>
              <w:fldChar w:fldCharType="end"/>
            </w:r>
          </w:hyperlink>
        </w:p>
        <w:p w14:paraId="7370C91A"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75" w:history="1">
            <w:r w:rsidR="00801B90" w:rsidRPr="002B29A1">
              <w:rPr>
                <w:rStyle w:val="Hipervnculo"/>
                <w:rFonts w:ascii="Palatino Linotype" w:eastAsia="Palatino Linotype" w:hAnsi="Palatino Linotype"/>
                <w:noProof/>
                <w:lang w:eastAsia="es-ES"/>
              </w:rPr>
              <w:t>II. Prórroga para atender su solicitud de información</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_Toc195191375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2</w:t>
            </w:r>
            <w:r w:rsidR="00801B90" w:rsidRPr="002B29A1">
              <w:rPr>
                <w:rFonts w:ascii="Palatino Linotype" w:hAnsi="Palatino Linotype"/>
                <w:noProof/>
                <w:webHidden/>
              </w:rPr>
              <w:fldChar w:fldCharType="end"/>
            </w:r>
          </w:hyperlink>
        </w:p>
        <w:p w14:paraId="48DFD897"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76" w:history="1">
            <w:r w:rsidR="00801B90" w:rsidRPr="002B29A1">
              <w:rPr>
                <w:rStyle w:val="Hipervnculo"/>
                <w:rFonts w:ascii="Palatino Linotype" w:eastAsia="Palatino Linotype" w:hAnsi="Palatino Linotype"/>
                <w:noProof/>
                <w:lang w:eastAsia="es-ES"/>
              </w:rPr>
              <w:t>III. Respuesta del Sujeto Obligado</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_Toc195191376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3</w:t>
            </w:r>
            <w:r w:rsidR="00801B90" w:rsidRPr="002B29A1">
              <w:rPr>
                <w:rFonts w:ascii="Palatino Linotype" w:hAnsi="Palatino Linotype"/>
                <w:noProof/>
                <w:webHidden/>
              </w:rPr>
              <w:fldChar w:fldCharType="end"/>
            </w:r>
          </w:hyperlink>
        </w:p>
        <w:p w14:paraId="4E84F34B"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77" w:history="1">
            <w:r w:rsidR="00801B90" w:rsidRPr="002B29A1">
              <w:rPr>
                <w:rStyle w:val="Hipervnculo"/>
                <w:rFonts w:ascii="Palatino Linotype" w:eastAsia="Palatino Linotype" w:hAnsi="Palatino Linotype"/>
                <w:noProof/>
                <w:lang w:eastAsia="es-ES"/>
              </w:rPr>
              <w:t>IV. Interposición de los Recursos de Revisión</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_Toc195191377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4</w:t>
            </w:r>
            <w:r w:rsidR="00801B90" w:rsidRPr="002B29A1">
              <w:rPr>
                <w:rFonts w:ascii="Palatino Linotype" w:hAnsi="Palatino Linotype"/>
                <w:noProof/>
                <w:webHidden/>
              </w:rPr>
              <w:fldChar w:fldCharType="end"/>
            </w:r>
          </w:hyperlink>
        </w:p>
        <w:p w14:paraId="5D76674D"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78" w:history="1">
            <w:r w:rsidR="00801B90" w:rsidRPr="002B29A1">
              <w:rPr>
                <w:rStyle w:val="Hipervnculo"/>
                <w:rFonts w:ascii="Palatino Linotype" w:eastAsia="Palatino Linotype" w:hAnsi="Palatino Linotype"/>
                <w:noProof/>
                <w:lang w:eastAsia="es-ES"/>
              </w:rPr>
              <w:t>V. Trámite del Recurso de Revisión ante este Instituto</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_Toc195191378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5</w:t>
            </w:r>
            <w:r w:rsidR="00801B90" w:rsidRPr="002B29A1">
              <w:rPr>
                <w:rFonts w:ascii="Palatino Linotype" w:hAnsi="Palatino Linotype"/>
                <w:noProof/>
                <w:webHidden/>
              </w:rPr>
              <w:fldChar w:fldCharType="end"/>
            </w:r>
          </w:hyperlink>
        </w:p>
        <w:p w14:paraId="2265D3C2" w14:textId="77777777" w:rsidR="00801B90" w:rsidRPr="002B29A1" w:rsidRDefault="002E0A2B" w:rsidP="00801B90">
          <w:pPr>
            <w:pStyle w:val="TDC1"/>
            <w:tabs>
              <w:tab w:val="right" w:leader="dot" w:pos="8828"/>
            </w:tabs>
            <w:rPr>
              <w:rFonts w:ascii="Palatino Linotype" w:eastAsiaTheme="minorEastAsia" w:hAnsi="Palatino Linotype"/>
              <w:noProof/>
              <w:kern w:val="0"/>
              <w:lang w:eastAsia="es-MX"/>
              <w14:ligatures w14:val="none"/>
            </w:rPr>
          </w:pPr>
          <w:hyperlink w:anchor="_Toc195191379" w:history="1">
            <w:r w:rsidR="00801B90" w:rsidRPr="002B29A1">
              <w:rPr>
                <w:rStyle w:val="Hipervnculo"/>
                <w:rFonts w:ascii="Palatino Linotype" w:eastAsia="Palatino Linotype" w:hAnsi="Palatino Linotype"/>
                <w:noProof/>
                <w:lang w:eastAsia="es-ES"/>
              </w:rPr>
              <w:t>C O N S I D E R A N D O S</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_Toc195191379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6</w:t>
            </w:r>
            <w:r w:rsidR="00801B90" w:rsidRPr="002B29A1">
              <w:rPr>
                <w:rFonts w:ascii="Palatino Linotype" w:hAnsi="Palatino Linotype"/>
                <w:noProof/>
                <w:webHidden/>
              </w:rPr>
              <w:fldChar w:fldCharType="end"/>
            </w:r>
          </w:hyperlink>
        </w:p>
        <w:p w14:paraId="37798AB3"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0" w:history="1">
            <w:r w:rsidR="00801B90" w:rsidRPr="002B29A1">
              <w:rPr>
                <w:rStyle w:val="Hipervnculo"/>
                <w:rFonts w:ascii="Palatino Linotype" w:eastAsia="Palatino Linotype" w:hAnsi="Palatino Linotype"/>
                <w:noProof/>
                <w:lang w:eastAsia="es-ES"/>
              </w:rPr>
              <w:t>PRIMERO. Competencia</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_Toc195191380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6</w:t>
            </w:r>
            <w:r w:rsidR="00801B90" w:rsidRPr="002B29A1">
              <w:rPr>
                <w:rFonts w:ascii="Palatino Linotype" w:hAnsi="Palatino Linotype"/>
                <w:noProof/>
                <w:webHidden/>
              </w:rPr>
              <w:fldChar w:fldCharType="end"/>
            </w:r>
          </w:hyperlink>
        </w:p>
        <w:p w14:paraId="4CCACAF8"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1" w:history="1">
            <w:r w:rsidR="00801B90" w:rsidRPr="002B29A1">
              <w:rPr>
                <w:rStyle w:val="Hipervnculo"/>
                <w:rFonts w:ascii="Palatino Linotype" w:eastAsia="Palatino Linotype" w:hAnsi="Palatino Linotype"/>
                <w:noProof/>
                <w:lang w:eastAsia="es-ES"/>
              </w:rPr>
              <w:t>SEGUNDO. Causales de improcedencia y sobreseimiento</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_Toc195191381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7</w:t>
            </w:r>
            <w:r w:rsidR="00801B90" w:rsidRPr="002B29A1">
              <w:rPr>
                <w:rFonts w:ascii="Palatino Linotype" w:hAnsi="Palatino Linotype"/>
                <w:noProof/>
                <w:webHidden/>
              </w:rPr>
              <w:fldChar w:fldCharType="end"/>
            </w:r>
          </w:hyperlink>
        </w:p>
        <w:p w14:paraId="1AD9730C"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2" w:history="1">
            <w:r w:rsidR="00801B90" w:rsidRPr="002B29A1">
              <w:rPr>
                <w:rStyle w:val="Hipervnculo"/>
                <w:rFonts w:ascii="Palatino Linotype" w:eastAsia="Palatino Linotype" w:hAnsi="Palatino Linotype"/>
                <w:noProof/>
                <w:lang w:eastAsia="es-ES"/>
              </w:rPr>
              <w:t>TERCERO. Determinación de la Controversia</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_Toc195191382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8</w:t>
            </w:r>
            <w:r w:rsidR="00801B90" w:rsidRPr="002B29A1">
              <w:rPr>
                <w:rFonts w:ascii="Palatino Linotype" w:hAnsi="Palatino Linotype"/>
                <w:noProof/>
                <w:webHidden/>
              </w:rPr>
              <w:fldChar w:fldCharType="end"/>
            </w:r>
          </w:hyperlink>
        </w:p>
        <w:p w14:paraId="231F5CDE"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3" w:history="1">
            <w:r w:rsidR="00801B90" w:rsidRPr="002B29A1">
              <w:rPr>
                <w:rStyle w:val="Hipervnculo"/>
                <w:rFonts w:ascii="Palatino Linotype" w:eastAsia="Palatino Linotype" w:hAnsi="Palatino Linotype"/>
                <w:noProof/>
                <w:lang w:eastAsia="es-ES"/>
              </w:rPr>
              <w:t>CUARTO. Marco normativo aplicable en materia de transparencia y acceso a la información pública</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_Toc195191383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9</w:t>
            </w:r>
            <w:r w:rsidR="00801B90" w:rsidRPr="002B29A1">
              <w:rPr>
                <w:rFonts w:ascii="Palatino Linotype" w:hAnsi="Palatino Linotype"/>
                <w:noProof/>
                <w:webHidden/>
              </w:rPr>
              <w:fldChar w:fldCharType="end"/>
            </w:r>
          </w:hyperlink>
        </w:p>
        <w:p w14:paraId="053A6B65"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4" w:history="1">
            <w:r w:rsidR="00801B90" w:rsidRPr="002B29A1">
              <w:rPr>
                <w:rStyle w:val="Hipervnculo"/>
                <w:rFonts w:ascii="Palatino Linotype" w:eastAsia="Palatino Linotype" w:hAnsi="Palatino Linotype"/>
                <w:noProof/>
                <w:lang w:eastAsia="es-ES"/>
              </w:rPr>
              <w:t>QUINTO. Estudio de Fondo</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_Toc195191384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11</w:t>
            </w:r>
            <w:r w:rsidR="00801B90" w:rsidRPr="002B29A1">
              <w:rPr>
                <w:rFonts w:ascii="Palatino Linotype" w:hAnsi="Palatino Linotype"/>
                <w:noProof/>
                <w:webHidden/>
              </w:rPr>
              <w:fldChar w:fldCharType="end"/>
            </w:r>
          </w:hyperlink>
        </w:p>
        <w:p w14:paraId="2D36C4C1" w14:textId="77777777" w:rsidR="00801B90" w:rsidRPr="002B29A1" w:rsidRDefault="002E0A2B" w:rsidP="00801B90">
          <w:pPr>
            <w:pStyle w:val="TDC2"/>
            <w:tabs>
              <w:tab w:val="right" w:leader="dot" w:pos="8828"/>
            </w:tabs>
            <w:rPr>
              <w:rFonts w:ascii="Palatino Linotype" w:eastAsiaTheme="minorEastAsia" w:hAnsi="Palatino Linotype"/>
              <w:noProof/>
              <w:kern w:val="0"/>
              <w:lang w:eastAsia="es-MX"/>
              <w14:ligatures w14:val="none"/>
            </w:rPr>
          </w:pPr>
          <w:hyperlink w:anchor="_Toc195191385" w:history="1">
            <w:r w:rsidR="00801B90" w:rsidRPr="002B29A1">
              <w:rPr>
                <w:rStyle w:val="Hipervnculo"/>
                <w:rFonts w:ascii="Palatino Linotype" w:eastAsia="Palatino Linotype" w:hAnsi="Palatino Linotype"/>
                <w:noProof/>
                <w:lang w:eastAsia="es-ES"/>
              </w:rPr>
              <w:t>SEXTO. Decisión</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_Toc195191385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47</w:t>
            </w:r>
            <w:r w:rsidR="00801B90" w:rsidRPr="002B29A1">
              <w:rPr>
                <w:rFonts w:ascii="Palatino Linotype" w:hAnsi="Palatino Linotype"/>
                <w:noProof/>
                <w:webHidden/>
              </w:rPr>
              <w:fldChar w:fldCharType="end"/>
            </w:r>
          </w:hyperlink>
        </w:p>
        <w:p w14:paraId="2926E965" w14:textId="77777777" w:rsidR="00801B90" w:rsidRPr="002B29A1" w:rsidRDefault="002E0A2B" w:rsidP="00801B90">
          <w:pPr>
            <w:pStyle w:val="TDC1"/>
            <w:tabs>
              <w:tab w:val="right" w:leader="dot" w:pos="8828"/>
            </w:tabs>
            <w:rPr>
              <w:rFonts w:ascii="Palatino Linotype" w:eastAsiaTheme="minorEastAsia" w:hAnsi="Palatino Linotype"/>
              <w:noProof/>
              <w:kern w:val="0"/>
              <w:lang w:eastAsia="es-MX"/>
              <w14:ligatures w14:val="none"/>
            </w:rPr>
          </w:pPr>
          <w:hyperlink w:anchor="_Toc195191386" w:history="1">
            <w:r w:rsidR="00801B90" w:rsidRPr="002B29A1">
              <w:rPr>
                <w:rStyle w:val="Hipervnculo"/>
                <w:rFonts w:ascii="Palatino Linotype" w:eastAsia="Palatino Linotype" w:hAnsi="Palatino Linotype"/>
                <w:noProof/>
                <w:lang w:eastAsia="es-ES"/>
              </w:rPr>
              <w:t>R E S U E L V E</w:t>
            </w:r>
            <w:r w:rsidR="00801B90" w:rsidRPr="002B29A1">
              <w:rPr>
                <w:rFonts w:ascii="Palatino Linotype" w:hAnsi="Palatino Linotype"/>
                <w:noProof/>
                <w:webHidden/>
              </w:rPr>
              <w:tab/>
            </w:r>
            <w:r w:rsidR="00801B90" w:rsidRPr="002B29A1">
              <w:rPr>
                <w:rFonts w:ascii="Palatino Linotype" w:hAnsi="Palatino Linotype"/>
                <w:noProof/>
                <w:webHidden/>
              </w:rPr>
              <w:fldChar w:fldCharType="begin"/>
            </w:r>
            <w:r w:rsidR="00801B90" w:rsidRPr="002B29A1">
              <w:rPr>
                <w:rFonts w:ascii="Palatino Linotype" w:hAnsi="Palatino Linotype"/>
                <w:noProof/>
                <w:webHidden/>
              </w:rPr>
              <w:instrText xml:space="preserve"> PAGEREF _Toc195191386 \h </w:instrText>
            </w:r>
            <w:r w:rsidR="00801B90" w:rsidRPr="002B29A1">
              <w:rPr>
                <w:rFonts w:ascii="Palatino Linotype" w:hAnsi="Palatino Linotype"/>
                <w:noProof/>
                <w:webHidden/>
              </w:rPr>
            </w:r>
            <w:r w:rsidR="00801B90" w:rsidRPr="002B29A1">
              <w:rPr>
                <w:rFonts w:ascii="Palatino Linotype" w:hAnsi="Palatino Linotype"/>
                <w:noProof/>
                <w:webHidden/>
              </w:rPr>
              <w:fldChar w:fldCharType="separate"/>
            </w:r>
            <w:r w:rsidR="00390FB6">
              <w:rPr>
                <w:rFonts w:ascii="Palatino Linotype" w:hAnsi="Palatino Linotype"/>
                <w:noProof/>
                <w:webHidden/>
              </w:rPr>
              <w:t>47</w:t>
            </w:r>
            <w:r w:rsidR="00801B90" w:rsidRPr="002B29A1">
              <w:rPr>
                <w:rFonts w:ascii="Palatino Linotype" w:hAnsi="Palatino Linotype"/>
                <w:noProof/>
                <w:webHidden/>
              </w:rPr>
              <w:fldChar w:fldCharType="end"/>
            </w:r>
          </w:hyperlink>
        </w:p>
        <w:p w14:paraId="3E5231A1" w14:textId="7510433F" w:rsidR="00075226" w:rsidRPr="002B29A1" w:rsidRDefault="00075226" w:rsidP="00801B90">
          <w:pPr>
            <w:rPr>
              <w:rFonts w:ascii="Palatino Linotype" w:hAnsi="Palatino Linotype"/>
            </w:rPr>
          </w:pPr>
          <w:r w:rsidRPr="002B29A1">
            <w:rPr>
              <w:rFonts w:ascii="Palatino Linotype" w:hAnsi="Palatino Linotype"/>
              <w:bCs/>
              <w:lang w:val="es-ES"/>
            </w:rPr>
            <w:fldChar w:fldCharType="end"/>
          </w:r>
        </w:p>
      </w:sdtContent>
    </w:sdt>
    <w:p w14:paraId="0335A255" w14:textId="77777777" w:rsidR="00CA136E" w:rsidRPr="002B29A1" w:rsidRDefault="00CA136E" w:rsidP="00974279">
      <w:pPr>
        <w:rPr>
          <w:rFonts w:ascii="Palatino Linotype" w:eastAsia="Palatino Linotype" w:hAnsi="Palatino Linotype" w:cs="Palatino Linotype"/>
          <w:kern w:val="0"/>
          <w:lang w:eastAsia="es-ES"/>
          <w14:ligatures w14:val="none"/>
        </w:rPr>
      </w:pPr>
    </w:p>
    <w:p w14:paraId="3BA159A4" w14:textId="77777777" w:rsidR="00CA136E" w:rsidRPr="002B29A1" w:rsidRDefault="00CA136E" w:rsidP="00974279">
      <w:pPr>
        <w:rPr>
          <w:rFonts w:ascii="Palatino Linotype" w:eastAsia="Palatino Linotype" w:hAnsi="Palatino Linotype" w:cs="Palatino Linotype"/>
          <w:kern w:val="0"/>
          <w:lang w:eastAsia="es-ES"/>
          <w14:ligatures w14:val="none"/>
        </w:rPr>
      </w:pPr>
    </w:p>
    <w:p w14:paraId="37F8BC5A" w14:textId="77777777" w:rsidR="00CA136E" w:rsidRPr="002B29A1" w:rsidRDefault="00CA136E" w:rsidP="00974279">
      <w:pPr>
        <w:rPr>
          <w:rFonts w:ascii="Palatino Linotype" w:eastAsia="Palatino Linotype" w:hAnsi="Palatino Linotype" w:cs="Palatino Linotype"/>
          <w:kern w:val="0"/>
          <w:lang w:eastAsia="es-ES"/>
          <w14:ligatures w14:val="none"/>
        </w:rPr>
      </w:pPr>
    </w:p>
    <w:p w14:paraId="5A04C4EF" w14:textId="77777777" w:rsidR="00CA136E" w:rsidRPr="002B29A1" w:rsidRDefault="00CA136E" w:rsidP="00974279">
      <w:pPr>
        <w:rPr>
          <w:rFonts w:ascii="Palatino Linotype" w:eastAsia="Palatino Linotype" w:hAnsi="Palatino Linotype" w:cs="Palatino Linotype"/>
          <w:kern w:val="0"/>
          <w:lang w:eastAsia="es-ES"/>
          <w14:ligatures w14:val="none"/>
        </w:rPr>
      </w:pPr>
    </w:p>
    <w:p w14:paraId="73E05635" w14:textId="0D1BEAA6"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Resolución del Pleno del Instituto de Transparencia, Acceso a la Información Pública y Protección de Datos Personales del Estado de México y Municipios, con domicilio en Metepec, Estado de México, de fecha </w:t>
      </w:r>
      <w:r w:rsidR="009A3D62" w:rsidRPr="002B29A1">
        <w:rPr>
          <w:rFonts w:ascii="Palatino Linotype" w:eastAsia="Palatino Linotype" w:hAnsi="Palatino Linotype" w:cs="Palatino Linotype"/>
          <w:kern w:val="0"/>
          <w:lang w:eastAsia="es-ES"/>
          <w14:ligatures w14:val="none"/>
        </w:rPr>
        <w:t xml:space="preserve">nueve </w:t>
      </w:r>
      <w:r w:rsidRPr="002B29A1">
        <w:rPr>
          <w:rFonts w:ascii="Palatino Linotype" w:eastAsia="Palatino Linotype" w:hAnsi="Palatino Linotype" w:cs="Palatino Linotype"/>
          <w:kern w:val="0"/>
          <w:lang w:eastAsia="es-ES"/>
          <w14:ligatures w14:val="none"/>
        </w:rPr>
        <w:t>de abril de dos mil veinticinco.</w:t>
      </w:r>
    </w:p>
    <w:p w14:paraId="356924B8" w14:textId="77777777" w:rsidR="00801B90" w:rsidRPr="002B29A1" w:rsidRDefault="00801B90" w:rsidP="00974279">
      <w:pPr>
        <w:rPr>
          <w:rFonts w:ascii="Palatino Linotype" w:eastAsia="Palatino Linotype" w:hAnsi="Palatino Linotype" w:cs="Palatino Linotype"/>
          <w:kern w:val="0"/>
          <w:lang w:eastAsia="es-ES"/>
          <w14:ligatures w14:val="none"/>
        </w:rPr>
      </w:pPr>
    </w:p>
    <w:p w14:paraId="4F5B6D1E" w14:textId="235E3090"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 xml:space="preserve">VISTO </w:t>
      </w:r>
      <w:r w:rsidRPr="002B29A1">
        <w:rPr>
          <w:rFonts w:ascii="Palatino Linotype" w:eastAsia="Palatino Linotype" w:hAnsi="Palatino Linotype" w:cs="Palatino Linotype"/>
          <w:kern w:val="0"/>
          <w:lang w:eastAsia="es-ES"/>
          <w14:ligatures w14:val="none"/>
        </w:rPr>
        <w:t>el expedie</w:t>
      </w:r>
      <w:r w:rsidR="009A3D62" w:rsidRPr="002B29A1">
        <w:rPr>
          <w:rFonts w:ascii="Palatino Linotype" w:eastAsia="Palatino Linotype" w:hAnsi="Palatino Linotype" w:cs="Palatino Linotype"/>
          <w:kern w:val="0"/>
          <w:lang w:eastAsia="es-ES"/>
          <w14:ligatures w14:val="none"/>
        </w:rPr>
        <w:t>nte conformado con motivo del Recurso</w:t>
      </w:r>
      <w:r w:rsidRPr="002B29A1">
        <w:rPr>
          <w:rFonts w:ascii="Palatino Linotype" w:eastAsia="Palatino Linotype" w:hAnsi="Palatino Linotype" w:cs="Palatino Linotype"/>
          <w:kern w:val="0"/>
          <w:lang w:eastAsia="es-ES"/>
          <w14:ligatures w14:val="none"/>
        </w:rPr>
        <w:t xml:space="preserve"> de Revisión </w:t>
      </w:r>
      <w:r w:rsidR="005F385A" w:rsidRPr="001976DC">
        <w:rPr>
          <w:rFonts w:ascii="Palatino Linotype" w:eastAsia="Palatino Linotype" w:hAnsi="Palatino Linotype" w:cs="Palatino Linotype"/>
          <w:b/>
          <w:bCs/>
          <w:kern w:val="0"/>
          <w:lang w:eastAsia="es-ES"/>
          <w14:ligatures w14:val="none"/>
        </w:rPr>
        <w:t>022</w:t>
      </w:r>
      <w:r w:rsidRPr="001976DC">
        <w:rPr>
          <w:rFonts w:ascii="Palatino Linotype" w:eastAsia="Palatino Linotype" w:hAnsi="Palatino Linotype" w:cs="Palatino Linotype"/>
          <w:b/>
          <w:bCs/>
          <w:kern w:val="0"/>
          <w:lang w:eastAsia="es-ES"/>
          <w14:ligatures w14:val="none"/>
        </w:rPr>
        <w:t>01/INFOEM/IP/RR/2025</w:t>
      </w:r>
      <w:r w:rsidR="005F385A" w:rsidRPr="002B29A1">
        <w:rPr>
          <w:rFonts w:ascii="Palatino Linotype" w:eastAsia="Palatino Linotype" w:hAnsi="Palatino Linotype" w:cs="Palatino Linotype"/>
          <w:bCs/>
          <w:kern w:val="0"/>
          <w:lang w:eastAsia="es-ES"/>
          <w14:ligatures w14:val="none"/>
        </w:rPr>
        <w:t>, interpuesto</w:t>
      </w:r>
      <w:r w:rsidRPr="002B29A1">
        <w:rPr>
          <w:rFonts w:ascii="Palatino Linotype" w:eastAsia="Palatino Linotype" w:hAnsi="Palatino Linotype" w:cs="Palatino Linotype"/>
          <w:bCs/>
          <w:kern w:val="0"/>
          <w:lang w:eastAsia="es-ES"/>
          <w14:ligatures w14:val="none"/>
        </w:rPr>
        <w:t xml:space="preserve"> por el Recurrente o Particu</w:t>
      </w:r>
      <w:r w:rsidR="005F385A" w:rsidRPr="002B29A1">
        <w:rPr>
          <w:rFonts w:ascii="Palatino Linotype" w:eastAsia="Palatino Linotype" w:hAnsi="Palatino Linotype" w:cs="Palatino Linotype"/>
          <w:bCs/>
          <w:kern w:val="0"/>
          <w:lang w:eastAsia="es-ES"/>
          <w14:ligatures w14:val="none"/>
        </w:rPr>
        <w:t>lar, en contra de la respuesta</w:t>
      </w:r>
      <w:r w:rsidRPr="002B29A1">
        <w:rPr>
          <w:rFonts w:ascii="Palatino Linotype" w:eastAsia="Palatino Linotype" w:hAnsi="Palatino Linotype" w:cs="Palatino Linotype"/>
          <w:bCs/>
          <w:kern w:val="0"/>
          <w:lang w:eastAsia="es-ES"/>
          <w14:ligatures w14:val="none"/>
        </w:rPr>
        <w:t xml:space="preserve"> del Sujeto Obligado, </w:t>
      </w:r>
      <w:r w:rsidRPr="001976DC">
        <w:rPr>
          <w:rFonts w:ascii="Palatino Linotype" w:eastAsia="Palatino Linotype" w:hAnsi="Palatino Linotype" w:cs="Palatino Linotype"/>
          <w:b/>
          <w:bCs/>
          <w:kern w:val="0"/>
          <w:lang w:eastAsia="es-ES"/>
          <w14:ligatures w14:val="none"/>
        </w:rPr>
        <w:t>Ayuntamiento de Toluca</w:t>
      </w:r>
      <w:r w:rsidR="005F385A" w:rsidRPr="002B29A1">
        <w:rPr>
          <w:rFonts w:ascii="Palatino Linotype" w:eastAsia="Palatino Linotype" w:hAnsi="Palatino Linotype" w:cs="Palatino Linotype"/>
          <w:kern w:val="0"/>
          <w:lang w:eastAsia="es-ES"/>
          <w14:ligatures w14:val="none"/>
        </w:rPr>
        <w:t>, a la solicitud</w:t>
      </w:r>
      <w:r w:rsidRPr="002B29A1">
        <w:rPr>
          <w:rFonts w:ascii="Palatino Linotype" w:eastAsia="Palatino Linotype" w:hAnsi="Palatino Linotype" w:cs="Palatino Linotype"/>
          <w:kern w:val="0"/>
          <w:lang w:eastAsia="es-ES"/>
          <w14:ligatures w14:val="none"/>
        </w:rPr>
        <w:t xml:space="preserve"> de acceso a la información pública</w:t>
      </w:r>
      <w:r w:rsidR="005F385A" w:rsidRPr="002B29A1">
        <w:rPr>
          <w:rFonts w:ascii="Palatino Linotype" w:eastAsia="Palatino Linotype" w:hAnsi="Palatino Linotype" w:cs="Palatino Linotype"/>
          <w:kern w:val="0"/>
          <w:lang w:eastAsia="es-ES"/>
          <w14:ligatures w14:val="none"/>
        </w:rPr>
        <w:t xml:space="preserve"> 03544/TOLUCA/IP/2024,</w:t>
      </w:r>
      <w:r w:rsidRPr="002B29A1">
        <w:rPr>
          <w:rFonts w:ascii="Palatino Linotype" w:eastAsia="Palatino Linotype" w:hAnsi="Palatino Linotype" w:cs="Palatino Linotype"/>
          <w:kern w:val="0"/>
          <w:lang w:eastAsia="es-ES"/>
          <w14:ligatures w14:val="none"/>
        </w:rPr>
        <w:t xml:space="preserve"> se emite la presente Resolución, con base en los Antecedentes y Considerandos que a continuación se exponen:</w:t>
      </w:r>
    </w:p>
    <w:p w14:paraId="017605C0" w14:textId="77777777" w:rsidR="009B2008" w:rsidRPr="002B29A1" w:rsidRDefault="009B2008" w:rsidP="00974279">
      <w:pPr>
        <w:tabs>
          <w:tab w:val="center" w:pos="4522"/>
          <w:tab w:val="left" w:pos="7245"/>
        </w:tabs>
        <w:jc w:val="center"/>
        <w:rPr>
          <w:rFonts w:ascii="Palatino Linotype" w:eastAsia="Palatino Linotype" w:hAnsi="Palatino Linotype" w:cs="Palatino Linotype"/>
          <w:b/>
          <w:kern w:val="0"/>
          <w:lang w:eastAsia="es-ES"/>
          <w14:ligatures w14:val="none"/>
        </w:rPr>
      </w:pPr>
    </w:p>
    <w:p w14:paraId="27C73D31" w14:textId="68074ABA" w:rsidR="009B2008" w:rsidRPr="002B29A1" w:rsidRDefault="009B2008" w:rsidP="00974279">
      <w:pPr>
        <w:pStyle w:val="Ttulo1"/>
        <w:spacing w:before="0"/>
        <w:jc w:val="center"/>
        <w:rPr>
          <w:rFonts w:ascii="Palatino Linotype" w:eastAsia="Palatino Linotype" w:hAnsi="Palatino Linotype"/>
          <w:b/>
          <w:color w:val="auto"/>
          <w:sz w:val="22"/>
          <w:lang w:eastAsia="es-ES"/>
        </w:rPr>
      </w:pPr>
      <w:bookmarkStart w:id="0" w:name="_Toc195191373"/>
      <w:r w:rsidRPr="002B29A1">
        <w:rPr>
          <w:rFonts w:ascii="Palatino Linotype" w:eastAsia="Palatino Linotype" w:hAnsi="Palatino Linotype"/>
          <w:b/>
          <w:color w:val="auto"/>
          <w:sz w:val="22"/>
          <w:lang w:eastAsia="es-ES"/>
        </w:rPr>
        <w:t>A N T E C E D E N T E S</w:t>
      </w:r>
      <w:bookmarkEnd w:id="0"/>
    </w:p>
    <w:p w14:paraId="21833B40" w14:textId="77777777" w:rsidR="009B2008" w:rsidRPr="002B29A1" w:rsidRDefault="009B2008" w:rsidP="00974279">
      <w:pPr>
        <w:pBdr>
          <w:top w:val="nil"/>
          <w:left w:val="nil"/>
          <w:bottom w:val="nil"/>
          <w:right w:val="nil"/>
          <w:between w:val="nil"/>
        </w:pBdr>
        <w:tabs>
          <w:tab w:val="left" w:pos="567"/>
        </w:tabs>
        <w:ind w:left="567"/>
        <w:rPr>
          <w:rFonts w:ascii="Palatino Linotype" w:eastAsia="Palatino Linotype" w:hAnsi="Palatino Linotype" w:cs="Palatino Linotype"/>
          <w:color w:val="FF0000"/>
          <w:kern w:val="0"/>
          <w:lang w:eastAsia="es-ES"/>
          <w14:ligatures w14:val="none"/>
        </w:rPr>
      </w:pPr>
    </w:p>
    <w:p w14:paraId="4284B8F0"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 w:name="_Toc195191374"/>
      <w:r w:rsidRPr="002B29A1">
        <w:rPr>
          <w:rFonts w:ascii="Palatino Linotype" w:eastAsia="Palatino Linotype" w:hAnsi="Palatino Linotype"/>
          <w:b/>
          <w:color w:val="auto"/>
          <w:sz w:val="22"/>
          <w:lang w:eastAsia="es-ES"/>
        </w:rPr>
        <w:t>I. Presentación de la solicitud de información</w:t>
      </w:r>
      <w:bookmarkEnd w:id="1"/>
    </w:p>
    <w:p w14:paraId="78B7B799" w14:textId="77777777" w:rsidR="009B2008" w:rsidRPr="002B29A1" w:rsidRDefault="009B2008" w:rsidP="00974279">
      <w:pPr>
        <w:pBdr>
          <w:top w:val="nil"/>
          <w:left w:val="nil"/>
          <w:bottom w:val="nil"/>
          <w:right w:val="nil"/>
          <w:between w:val="nil"/>
        </w:pBdr>
        <w:tabs>
          <w:tab w:val="left" w:pos="567"/>
        </w:tabs>
        <w:rPr>
          <w:rFonts w:ascii="Palatino Linotype" w:eastAsia="Palatino Linotype" w:hAnsi="Palatino Linotype" w:cs="Palatino Linotype"/>
          <w:kern w:val="0"/>
          <w:lang w:eastAsia="es-ES"/>
          <w14:ligatures w14:val="none"/>
        </w:rPr>
      </w:pPr>
    </w:p>
    <w:p w14:paraId="3B0B5A06" w14:textId="083BFE37" w:rsidR="009B2008" w:rsidRPr="002B29A1" w:rsidRDefault="009B2008" w:rsidP="00974279">
      <w:pPr>
        <w:pBdr>
          <w:top w:val="nil"/>
          <w:left w:val="nil"/>
          <w:bottom w:val="nil"/>
          <w:right w:val="nil"/>
          <w:between w:val="nil"/>
        </w:pBdr>
        <w:tabs>
          <w:tab w:val="left" w:pos="567"/>
        </w:tabs>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El </w:t>
      </w:r>
      <w:r w:rsidR="005F385A" w:rsidRPr="002B29A1">
        <w:rPr>
          <w:rFonts w:ascii="Palatino Linotype" w:eastAsia="Palatino Linotype" w:hAnsi="Palatino Linotype" w:cs="Palatino Linotype"/>
          <w:kern w:val="0"/>
          <w:lang w:eastAsia="es-ES"/>
          <w14:ligatures w14:val="none"/>
        </w:rPr>
        <w:t>dieciocho de diciembre de dos mil veinticuatro</w:t>
      </w:r>
      <w:r w:rsidRPr="002B29A1">
        <w:rPr>
          <w:rFonts w:ascii="Palatino Linotype" w:eastAsia="Palatino Linotype" w:hAnsi="Palatino Linotype" w:cs="Palatino Linotype"/>
          <w:kern w:val="0"/>
          <w:lang w:eastAsia="es-ES"/>
          <w14:ligatures w14:val="none"/>
        </w:rPr>
        <w:t xml:space="preserve">, el Particular presentó </w:t>
      </w:r>
      <w:r w:rsidR="005F385A" w:rsidRPr="002B29A1">
        <w:rPr>
          <w:rFonts w:ascii="Palatino Linotype" w:eastAsia="Palatino Linotype" w:hAnsi="Palatino Linotype" w:cs="Palatino Linotype"/>
          <w:kern w:val="0"/>
          <w:lang w:eastAsia="es-ES"/>
          <w14:ligatures w14:val="none"/>
        </w:rPr>
        <w:t xml:space="preserve">la solicitud </w:t>
      </w:r>
      <w:r w:rsidRPr="002B29A1">
        <w:rPr>
          <w:rFonts w:ascii="Palatino Linotype" w:eastAsia="Palatino Linotype" w:hAnsi="Palatino Linotype" w:cs="Palatino Linotype"/>
          <w:kern w:val="0"/>
          <w:lang w:eastAsia="es-ES"/>
          <w14:ligatures w14:val="none"/>
        </w:rPr>
        <w:t>de acceso a la información pública, a través del Sistema de Acceso a la Información Mexiquense (SAIMEX), ante el Ayuntamiento de Toluca, mediante las cuales requirió lo siguiente:</w:t>
      </w:r>
    </w:p>
    <w:p w14:paraId="69C54FF5" w14:textId="77777777" w:rsidR="009B2008" w:rsidRPr="002B29A1" w:rsidRDefault="009B2008" w:rsidP="00974279">
      <w:pPr>
        <w:tabs>
          <w:tab w:val="left" w:pos="4667"/>
        </w:tabs>
        <w:ind w:left="567" w:right="567"/>
        <w:jc w:val="left"/>
        <w:rPr>
          <w:rFonts w:ascii="Palatino Linotype" w:eastAsia="Palatino Linotype" w:hAnsi="Palatino Linotype" w:cs="Palatino Linotype"/>
          <w:i/>
          <w:kern w:val="0"/>
          <w:sz w:val="20"/>
          <w:szCs w:val="20"/>
          <w:lang w:eastAsia="es-ES"/>
          <w14:ligatures w14:val="none"/>
        </w:rPr>
      </w:pPr>
    </w:p>
    <w:p w14:paraId="5E33AD13" w14:textId="77777777" w:rsidR="005E399C" w:rsidRPr="002B29A1" w:rsidRDefault="005E399C" w:rsidP="00974279">
      <w:pPr>
        <w:tabs>
          <w:tab w:val="left" w:pos="4667"/>
        </w:tabs>
        <w:ind w:left="567" w:right="567"/>
        <w:jc w:val="left"/>
        <w:rPr>
          <w:rFonts w:ascii="Palatino Linotype" w:eastAsia="Palatino Linotype" w:hAnsi="Palatino Linotype" w:cs="Palatino Linotype"/>
          <w:b/>
          <w:i/>
          <w:kern w:val="0"/>
          <w:sz w:val="20"/>
          <w:szCs w:val="20"/>
          <w:lang w:eastAsia="es-ES"/>
          <w14:ligatures w14:val="none"/>
        </w:rPr>
      </w:pPr>
      <w:r w:rsidRPr="002B29A1">
        <w:rPr>
          <w:rFonts w:ascii="Palatino Linotype" w:eastAsia="Palatino Linotype" w:hAnsi="Palatino Linotype" w:cs="Palatino Linotype"/>
          <w:b/>
          <w:i/>
          <w:kern w:val="0"/>
          <w:sz w:val="20"/>
          <w:szCs w:val="20"/>
          <w:lang w:eastAsia="es-ES"/>
          <w14:ligatures w14:val="none"/>
        </w:rPr>
        <w:t>“DESCRIPCIÓN CLARA Y PRECISA DE LA INFORMACIÓN SOLICITADA</w:t>
      </w:r>
    </w:p>
    <w:p w14:paraId="75EDBA2C" w14:textId="6DEF5EF9" w:rsidR="005E399C" w:rsidRPr="002B29A1" w:rsidRDefault="005E399C" w:rsidP="00974279">
      <w:pPr>
        <w:tabs>
          <w:tab w:val="left" w:pos="4667"/>
        </w:tabs>
        <w:ind w:left="567" w:right="567"/>
        <w:jc w:val="left"/>
        <w:rPr>
          <w:rFonts w:ascii="Palatino Linotype" w:eastAsia="Palatino Linotype" w:hAnsi="Palatino Linotype" w:cs="Palatino Linotype"/>
          <w:i/>
          <w:kern w:val="0"/>
          <w:sz w:val="20"/>
          <w:szCs w:val="20"/>
          <w:lang w:eastAsia="es-ES"/>
          <w14:ligatures w14:val="none"/>
        </w:rPr>
      </w:pPr>
      <w:r w:rsidRPr="002B29A1">
        <w:rPr>
          <w:rFonts w:ascii="Palatino Linotype" w:eastAsia="Palatino Linotype" w:hAnsi="Palatino Linotype" w:cs="Palatino Linotype"/>
          <w:i/>
          <w:kern w:val="0"/>
          <w:sz w:val="20"/>
          <w:szCs w:val="20"/>
          <w:lang w:eastAsia="es-ES"/>
          <w14:ligatures w14:val="none"/>
        </w:rPr>
        <w:t>Se solicita todas las sesiones de cabildo con su actas de la administración 2019 - 2021” (Sic.)</w:t>
      </w:r>
    </w:p>
    <w:p w14:paraId="22B642F9" w14:textId="77777777" w:rsidR="005E399C" w:rsidRPr="002B29A1" w:rsidRDefault="005E399C" w:rsidP="00974279">
      <w:pPr>
        <w:tabs>
          <w:tab w:val="left" w:pos="4667"/>
        </w:tabs>
        <w:ind w:left="567" w:right="567"/>
        <w:jc w:val="left"/>
        <w:rPr>
          <w:rFonts w:ascii="Palatino Linotype" w:eastAsia="Palatino Linotype" w:hAnsi="Palatino Linotype" w:cs="Palatino Linotype"/>
          <w:b/>
          <w:i/>
          <w:kern w:val="0"/>
          <w:sz w:val="20"/>
          <w:szCs w:val="20"/>
          <w:lang w:eastAsia="es-ES"/>
          <w14:ligatures w14:val="none"/>
        </w:rPr>
      </w:pPr>
    </w:p>
    <w:p w14:paraId="3C0C2E15" w14:textId="38FFB4E0" w:rsidR="005E399C" w:rsidRPr="002B29A1" w:rsidRDefault="005E399C" w:rsidP="00974279">
      <w:pPr>
        <w:tabs>
          <w:tab w:val="left" w:pos="4667"/>
        </w:tabs>
        <w:ind w:left="567" w:right="567"/>
        <w:jc w:val="left"/>
        <w:rPr>
          <w:rFonts w:ascii="Palatino Linotype" w:eastAsia="Palatino Linotype" w:hAnsi="Palatino Linotype" w:cs="Palatino Linotype"/>
          <w:b/>
          <w:i/>
          <w:kern w:val="0"/>
          <w:sz w:val="20"/>
          <w:szCs w:val="20"/>
          <w:lang w:eastAsia="es-ES"/>
          <w14:ligatures w14:val="none"/>
        </w:rPr>
      </w:pPr>
      <w:r w:rsidRPr="002B29A1">
        <w:rPr>
          <w:rFonts w:ascii="Palatino Linotype" w:eastAsia="Palatino Linotype" w:hAnsi="Palatino Linotype" w:cs="Palatino Linotype"/>
          <w:b/>
          <w:i/>
          <w:kern w:val="0"/>
          <w:sz w:val="20"/>
          <w:szCs w:val="20"/>
          <w:lang w:eastAsia="es-ES"/>
          <w14:ligatures w14:val="none"/>
        </w:rPr>
        <w:t>“MODALIDAD DE ENTREGA</w:t>
      </w:r>
    </w:p>
    <w:p w14:paraId="3A9F0938" w14:textId="08517531" w:rsidR="009B2008" w:rsidRPr="002B29A1" w:rsidRDefault="005E399C" w:rsidP="00974279">
      <w:pPr>
        <w:tabs>
          <w:tab w:val="left" w:pos="4667"/>
        </w:tabs>
        <w:ind w:left="567" w:right="567"/>
        <w:jc w:val="left"/>
        <w:rPr>
          <w:rFonts w:ascii="Palatino Linotype" w:eastAsia="Palatino Linotype" w:hAnsi="Palatino Linotype" w:cs="Palatino Linotype"/>
          <w:i/>
          <w:kern w:val="0"/>
          <w:sz w:val="20"/>
          <w:szCs w:val="20"/>
          <w:lang w:eastAsia="es-ES"/>
          <w14:ligatures w14:val="none"/>
        </w:rPr>
      </w:pPr>
      <w:r w:rsidRPr="002B29A1">
        <w:rPr>
          <w:rFonts w:ascii="Palatino Linotype" w:eastAsia="Palatino Linotype" w:hAnsi="Palatino Linotype" w:cs="Palatino Linotype"/>
          <w:i/>
          <w:kern w:val="0"/>
          <w:sz w:val="20"/>
          <w:szCs w:val="20"/>
          <w:lang w:eastAsia="es-ES"/>
          <w14:ligatures w14:val="none"/>
        </w:rPr>
        <w:t>A través del SAIMEX”</w:t>
      </w:r>
    </w:p>
    <w:p w14:paraId="50FD4D10" w14:textId="77777777" w:rsidR="00847766" w:rsidRPr="002B29A1" w:rsidRDefault="00847766" w:rsidP="00974279">
      <w:pPr>
        <w:tabs>
          <w:tab w:val="left" w:pos="4667"/>
        </w:tabs>
        <w:ind w:left="567" w:right="567"/>
        <w:jc w:val="left"/>
        <w:rPr>
          <w:rFonts w:ascii="Palatino Linotype" w:eastAsia="Palatino Linotype" w:hAnsi="Palatino Linotype" w:cs="Palatino Linotype"/>
          <w:i/>
          <w:kern w:val="0"/>
          <w:sz w:val="20"/>
          <w:szCs w:val="20"/>
          <w:lang w:eastAsia="es-ES"/>
          <w14:ligatures w14:val="none"/>
        </w:rPr>
      </w:pPr>
    </w:p>
    <w:p w14:paraId="0F844B90" w14:textId="77777777" w:rsidR="00EA27D8" w:rsidRPr="002B29A1" w:rsidRDefault="00EA27D8" w:rsidP="00974279">
      <w:pPr>
        <w:pStyle w:val="Ttulo2"/>
        <w:spacing w:before="0"/>
        <w:rPr>
          <w:rFonts w:ascii="Palatino Linotype" w:eastAsia="Palatino Linotype" w:hAnsi="Palatino Linotype"/>
          <w:b/>
          <w:color w:val="auto"/>
          <w:sz w:val="22"/>
          <w:lang w:eastAsia="es-ES"/>
        </w:rPr>
      </w:pPr>
      <w:bookmarkStart w:id="2" w:name="_Toc195191375"/>
      <w:r w:rsidRPr="002B29A1">
        <w:rPr>
          <w:rFonts w:ascii="Palatino Linotype" w:eastAsia="Palatino Linotype" w:hAnsi="Palatino Linotype"/>
          <w:b/>
          <w:color w:val="auto"/>
          <w:sz w:val="22"/>
          <w:lang w:eastAsia="es-ES"/>
        </w:rPr>
        <w:t>II. Prórroga para atender su solicitud de información</w:t>
      </w:r>
      <w:bookmarkEnd w:id="2"/>
    </w:p>
    <w:p w14:paraId="3F20F2C2" w14:textId="77777777" w:rsidR="00EA27D8" w:rsidRPr="002B29A1" w:rsidRDefault="00EA27D8" w:rsidP="00974279">
      <w:pPr>
        <w:tabs>
          <w:tab w:val="left" w:pos="4667"/>
        </w:tabs>
        <w:ind w:right="567"/>
        <w:rPr>
          <w:rFonts w:ascii="Palatino Linotype" w:eastAsia="Palatino Linotype" w:hAnsi="Palatino Linotype" w:cs="Palatino Linotype"/>
          <w:b/>
          <w:kern w:val="0"/>
          <w:lang w:eastAsia="es-ES"/>
          <w14:ligatures w14:val="none"/>
        </w:rPr>
      </w:pPr>
    </w:p>
    <w:p w14:paraId="333BF162" w14:textId="465DDAB0" w:rsidR="00EA27D8" w:rsidRPr="002B29A1" w:rsidRDefault="00EA27D8" w:rsidP="00974279">
      <w:pPr>
        <w:tabs>
          <w:tab w:val="left" w:pos="4667"/>
        </w:tabs>
        <w:ind w:right="567"/>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lastRenderedPageBreak/>
        <w:t xml:space="preserve">El veintinueve de enero de dos mil veinticinco, el Sujeto Obligado, a través del Sistema de Acceso a la Información Mexiquense (SAIMEX), notificó una prórroga, a través del Acta </w:t>
      </w:r>
      <w:r w:rsidR="008C0117" w:rsidRPr="002B29A1">
        <w:rPr>
          <w:rFonts w:ascii="Palatino Linotype" w:eastAsia="Palatino Linotype" w:hAnsi="Palatino Linotype" w:cs="Palatino Linotype"/>
          <w:kern w:val="0"/>
          <w:lang w:eastAsia="es-ES"/>
          <w14:ligatures w14:val="none"/>
        </w:rPr>
        <w:t xml:space="preserve">número CT/SE/43/2025 </w:t>
      </w:r>
      <w:r w:rsidRPr="002B29A1">
        <w:rPr>
          <w:rFonts w:ascii="Palatino Linotype" w:eastAsia="Palatino Linotype" w:hAnsi="Palatino Linotype" w:cs="Palatino Linotype"/>
          <w:kern w:val="0"/>
          <w:lang w:eastAsia="es-ES"/>
          <w14:ligatures w14:val="none"/>
        </w:rPr>
        <w:t xml:space="preserve">de la </w:t>
      </w:r>
      <w:r w:rsidR="008C0117" w:rsidRPr="002B29A1">
        <w:rPr>
          <w:rFonts w:ascii="Palatino Linotype" w:eastAsia="Palatino Linotype" w:hAnsi="Palatino Linotype" w:cs="Palatino Linotype"/>
          <w:kern w:val="0"/>
          <w:lang w:eastAsia="es-ES"/>
          <w14:ligatures w14:val="none"/>
        </w:rPr>
        <w:t>Cuadragésima Tercera Sesión</w:t>
      </w:r>
      <w:r w:rsidRPr="002B29A1">
        <w:rPr>
          <w:rFonts w:ascii="Palatino Linotype" w:eastAsia="Palatino Linotype" w:hAnsi="Palatino Linotype" w:cs="Palatino Linotype"/>
          <w:kern w:val="0"/>
          <w:lang w:eastAsia="es-ES"/>
          <w14:ligatures w14:val="none"/>
        </w:rPr>
        <w:t xml:space="preserve"> del Comité de </w:t>
      </w:r>
      <w:r w:rsidR="008C0117" w:rsidRPr="002B29A1">
        <w:rPr>
          <w:rFonts w:ascii="Palatino Linotype" w:eastAsia="Palatino Linotype" w:hAnsi="Palatino Linotype" w:cs="Palatino Linotype"/>
          <w:kern w:val="0"/>
          <w:lang w:eastAsia="es-ES"/>
          <w14:ligatures w14:val="none"/>
        </w:rPr>
        <w:t>Transparencia</w:t>
      </w:r>
      <w:r w:rsidRPr="002B29A1">
        <w:rPr>
          <w:rFonts w:ascii="Palatino Linotype" w:eastAsia="Palatino Linotype" w:hAnsi="Palatino Linotype" w:cs="Palatino Linotype"/>
          <w:kern w:val="0"/>
          <w:lang w:eastAsia="es-ES"/>
          <w14:ligatures w14:val="none"/>
        </w:rPr>
        <w:t xml:space="preserve">, mediante la cual </w:t>
      </w:r>
      <w:r w:rsidR="008C0117" w:rsidRPr="002B29A1">
        <w:rPr>
          <w:rFonts w:ascii="Palatino Linotype" w:eastAsia="Palatino Linotype" w:hAnsi="Palatino Linotype" w:cs="Palatino Linotype"/>
          <w:kern w:val="0"/>
          <w:lang w:eastAsia="es-ES"/>
          <w14:ligatures w14:val="none"/>
        </w:rPr>
        <w:t>autoriza</w:t>
      </w:r>
      <w:r w:rsidRPr="002B29A1">
        <w:rPr>
          <w:rFonts w:ascii="Palatino Linotype" w:eastAsia="Palatino Linotype" w:hAnsi="Palatino Linotype" w:cs="Palatino Linotype"/>
          <w:kern w:val="0"/>
          <w:lang w:eastAsia="es-ES"/>
          <w14:ligatures w14:val="none"/>
        </w:rPr>
        <w:t xml:space="preserve"> la ampliación de término para atender la solicitud de información.</w:t>
      </w:r>
    </w:p>
    <w:p w14:paraId="534C8BEA" w14:textId="77777777" w:rsidR="00EA27D8" w:rsidRPr="002B29A1" w:rsidRDefault="00EA27D8" w:rsidP="00974279">
      <w:pPr>
        <w:tabs>
          <w:tab w:val="left" w:pos="4667"/>
        </w:tabs>
        <w:ind w:right="567"/>
        <w:rPr>
          <w:rFonts w:ascii="Palatino Linotype" w:eastAsia="Palatino Linotype" w:hAnsi="Palatino Linotype" w:cs="Palatino Linotype"/>
          <w:kern w:val="0"/>
          <w:lang w:eastAsia="es-ES"/>
          <w14:ligatures w14:val="none"/>
        </w:rPr>
      </w:pPr>
    </w:p>
    <w:p w14:paraId="02317507" w14:textId="42A2F5C7" w:rsidR="009B2008" w:rsidRPr="002B29A1" w:rsidRDefault="00EA27D8" w:rsidP="00974279">
      <w:pPr>
        <w:pStyle w:val="Ttulo2"/>
        <w:spacing w:before="0"/>
        <w:rPr>
          <w:rFonts w:ascii="Palatino Linotype" w:eastAsia="Palatino Linotype" w:hAnsi="Palatino Linotype"/>
          <w:b/>
          <w:color w:val="auto"/>
          <w:sz w:val="22"/>
          <w:lang w:eastAsia="es-ES"/>
        </w:rPr>
      </w:pPr>
      <w:bookmarkStart w:id="3" w:name="_Toc195191376"/>
      <w:r w:rsidRPr="002B29A1">
        <w:rPr>
          <w:rFonts w:ascii="Palatino Linotype" w:eastAsia="Palatino Linotype" w:hAnsi="Palatino Linotype"/>
          <w:b/>
          <w:color w:val="auto"/>
          <w:sz w:val="22"/>
          <w:lang w:eastAsia="es-ES"/>
        </w:rPr>
        <w:t>I</w:t>
      </w:r>
      <w:r w:rsidR="00844F9D" w:rsidRPr="002B29A1">
        <w:rPr>
          <w:rFonts w:ascii="Palatino Linotype" w:eastAsia="Palatino Linotype" w:hAnsi="Palatino Linotype"/>
          <w:b/>
          <w:color w:val="auto"/>
          <w:sz w:val="22"/>
          <w:lang w:eastAsia="es-ES"/>
        </w:rPr>
        <w:t>II. Respuesta</w:t>
      </w:r>
      <w:r w:rsidR="009B2008" w:rsidRPr="002B29A1">
        <w:rPr>
          <w:rFonts w:ascii="Palatino Linotype" w:eastAsia="Palatino Linotype" w:hAnsi="Palatino Linotype"/>
          <w:b/>
          <w:color w:val="auto"/>
          <w:sz w:val="22"/>
          <w:lang w:eastAsia="es-ES"/>
        </w:rPr>
        <w:t xml:space="preserve"> del Sujeto Obligado</w:t>
      </w:r>
      <w:bookmarkEnd w:id="3"/>
    </w:p>
    <w:p w14:paraId="3E632C30" w14:textId="77777777" w:rsidR="009B2008" w:rsidRPr="002B29A1" w:rsidRDefault="009B2008" w:rsidP="00974279">
      <w:pPr>
        <w:tabs>
          <w:tab w:val="left" w:pos="4667"/>
        </w:tabs>
        <w:ind w:right="567"/>
        <w:rPr>
          <w:rFonts w:ascii="Palatino Linotype" w:eastAsia="Palatino Linotype" w:hAnsi="Palatino Linotype" w:cs="Palatino Linotype"/>
          <w:b/>
          <w:color w:val="FF0000"/>
          <w:kern w:val="0"/>
          <w:lang w:eastAsia="es-ES"/>
          <w14:ligatures w14:val="none"/>
        </w:rPr>
      </w:pPr>
    </w:p>
    <w:p w14:paraId="7DA31271" w14:textId="1F9213BE"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Con fecha </w:t>
      </w:r>
      <w:r w:rsidR="008C0117" w:rsidRPr="002B29A1">
        <w:rPr>
          <w:rFonts w:ascii="Palatino Linotype" w:eastAsia="Palatino Linotype" w:hAnsi="Palatino Linotype" w:cs="Palatino Linotype"/>
          <w:kern w:val="0"/>
          <w:lang w:eastAsia="es-ES"/>
          <w14:ligatures w14:val="none"/>
        </w:rPr>
        <w:t xml:space="preserve">once </w:t>
      </w:r>
      <w:r w:rsidRPr="002B29A1">
        <w:rPr>
          <w:rFonts w:ascii="Palatino Linotype" w:eastAsia="Palatino Linotype" w:hAnsi="Palatino Linotype" w:cs="Palatino Linotype"/>
          <w:kern w:val="0"/>
          <w:lang w:eastAsia="es-ES"/>
          <w14:ligatures w14:val="none"/>
        </w:rPr>
        <w:t>de febrero de dos mil veinticinco, el</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Suj</w:t>
      </w:r>
      <w:r w:rsidR="00844F9D" w:rsidRPr="002B29A1">
        <w:rPr>
          <w:rFonts w:ascii="Palatino Linotype" w:eastAsia="Palatino Linotype" w:hAnsi="Palatino Linotype" w:cs="Palatino Linotype"/>
          <w:kern w:val="0"/>
          <w:lang w:eastAsia="es-ES"/>
          <w14:ligatures w14:val="none"/>
        </w:rPr>
        <w:t>eto Obligado dio respuesta a la solicitud</w:t>
      </w:r>
      <w:r w:rsidRPr="002B29A1">
        <w:rPr>
          <w:rFonts w:ascii="Palatino Linotype" w:eastAsia="Palatino Linotype" w:hAnsi="Palatino Linotype" w:cs="Palatino Linotype"/>
          <w:kern w:val="0"/>
          <w:lang w:eastAsia="es-ES"/>
          <w14:ligatures w14:val="none"/>
        </w:rPr>
        <w:t xml:space="preserve"> de acceso a la información a través del Sistema de Acceso a la Información Mexiquense (SAIMEX), conforme a lo siguiente:</w:t>
      </w:r>
      <w:r w:rsidR="005F385A" w:rsidRPr="002B29A1">
        <w:rPr>
          <w:rFonts w:ascii="Palatino Linotype" w:eastAsia="Palatino Linotype" w:hAnsi="Palatino Linotype" w:cs="Palatino Linotype"/>
          <w:kern w:val="0"/>
          <w:lang w:eastAsia="es-ES"/>
          <w14:ligatures w14:val="none"/>
        </w:rPr>
        <w:t xml:space="preserve"> </w:t>
      </w:r>
    </w:p>
    <w:p w14:paraId="74076432"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475614CD" w14:textId="655CA8A3" w:rsidR="009B2008" w:rsidRPr="002B29A1" w:rsidRDefault="009B2008"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Escrito de fecha </w:t>
      </w:r>
      <w:r w:rsidR="00844F9D" w:rsidRPr="002B29A1">
        <w:rPr>
          <w:rFonts w:ascii="Palatino Linotype" w:eastAsia="Palatino Linotype" w:hAnsi="Palatino Linotype" w:cs="Palatino Linotype"/>
          <w:kern w:val="0"/>
          <w:lang w:eastAsia="es-ES"/>
          <w14:ligatures w14:val="none"/>
        </w:rPr>
        <w:t>diez</w:t>
      </w:r>
      <w:r w:rsidRPr="002B29A1">
        <w:rPr>
          <w:rFonts w:ascii="Palatino Linotype" w:eastAsia="Palatino Linotype" w:hAnsi="Palatino Linotype" w:cs="Palatino Linotype"/>
          <w:kern w:val="0"/>
          <w:lang w:eastAsia="es-ES"/>
          <w14:ligatures w14:val="none"/>
        </w:rPr>
        <w:t xml:space="preserve"> de febrero de dos mil veinticinco, </w:t>
      </w:r>
      <w:r w:rsidR="00DB408C" w:rsidRPr="002B29A1">
        <w:rPr>
          <w:rFonts w:ascii="Palatino Linotype" w:eastAsia="Palatino Linotype" w:hAnsi="Palatino Linotype" w:cs="Palatino Linotype"/>
          <w:kern w:val="0"/>
          <w:lang w:eastAsia="es-ES"/>
          <w14:ligatures w14:val="none"/>
        </w:rPr>
        <w:t xml:space="preserve">suscrito por el Titular de la Unidad de Transparencia, dirigido al Solicitante, por medio del cual se menciona lo siguiente: </w:t>
      </w:r>
    </w:p>
    <w:p w14:paraId="6B2A175F" w14:textId="77777777" w:rsidR="009B2008" w:rsidRPr="002B29A1" w:rsidRDefault="009B2008" w:rsidP="00974279">
      <w:pPr>
        <w:tabs>
          <w:tab w:val="left" w:pos="4667"/>
        </w:tabs>
        <w:ind w:left="567"/>
        <w:rPr>
          <w:rFonts w:ascii="Palatino Linotype" w:eastAsia="Palatino Linotype" w:hAnsi="Palatino Linotype" w:cs="Palatino Linotype"/>
          <w:i/>
          <w:color w:val="FF0000"/>
          <w:kern w:val="0"/>
          <w:lang w:eastAsia="es-ES"/>
          <w14:ligatures w14:val="none"/>
        </w:rPr>
      </w:pPr>
    </w:p>
    <w:p w14:paraId="48CF8069" w14:textId="2E0AE62B" w:rsidR="009B2008" w:rsidRPr="002B29A1" w:rsidRDefault="009B2008" w:rsidP="00974279">
      <w:pPr>
        <w:tabs>
          <w:tab w:val="left" w:pos="4667"/>
        </w:tabs>
        <w:ind w:left="567" w:right="567"/>
        <w:rPr>
          <w:rFonts w:ascii="Palatino Linotype" w:eastAsia="Palatino Linotype" w:hAnsi="Palatino Linotype" w:cs="Palatino Linotype"/>
          <w:i/>
          <w:kern w:val="0"/>
          <w:sz w:val="20"/>
          <w:szCs w:val="20"/>
          <w:lang w:eastAsia="es-ES"/>
          <w14:ligatures w14:val="none"/>
        </w:rPr>
      </w:pPr>
      <w:r w:rsidRPr="002B29A1">
        <w:rPr>
          <w:rFonts w:ascii="Palatino Linotype" w:eastAsia="Palatino Linotype" w:hAnsi="Palatino Linotype" w:cs="Palatino Linotype"/>
          <w:i/>
          <w:kern w:val="0"/>
          <w:sz w:val="20"/>
          <w:szCs w:val="20"/>
          <w:lang w:eastAsia="es-ES"/>
          <w14:ligatures w14:val="none"/>
        </w:rPr>
        <w:t xml:space="preserve">“… </w:t>
      </w:r>
      <w:r w:rsidR="00DB408C" w:rsidRPr="002B29A1">
        <w:rPr>
          <w:rFonts w:ascii="Palatino Linotype" w:eastAsia="Palatino Linotype" w:hAnsi="Palatino Linotype" w:cs="Palatino Linotype"/>
          <w:i/>
          <w:kern w:val="0"/>
          <w:sz w:val="20"/>
          <w:szCs w:val="20"/>
          <w:lang w:eastAsia="es-ES"/>
          <w14:ligatures w14:val="none"/>
        </w:rPr>
        <w:t xml:space="preserve">se hace de su conocimiento que la </w:t>
      </w:r>
      <w:r w:rsidR="00DB408C" w:rsidRPr="002B29A1">
        <w:rPr>
          <w:rFonts w:ascii="Palatino Linotype" w:eastAsia="Palatino Linotype" w:hAnsi="Palatino Linotype" w:cs="Palatino Linotype"/>
          <w:b/>
          <w:bCs/>
          <w:i/>
          <w:kern w:val="0"/>
          <w:sz w:val="20"/>
          <w:szCs w:val="20"/>
          <w:lang w:eastAsia="es-ES"/>
          <w14:ligatures w14:val="none"/>
        </w:rPr>
        <w:t xml:space="preserve">Secretaría del Ayuntamiento y Servidor Público Habilitado, </w:t>
      </w:r>
      <w:r w:rsidR="00DB408C" w:rsidRPr="002B29A1">
        <w:rPr>
          <w:rFonts w:ascii="Palatino Linotype" w:eastAsia="Palatino Linotype" w:hAnsi="Palatino Linotype" w:cs="Palatino Linotype"/>
          <w:i/>
          <w:kern w:val="0"/>
          <w:sz w:val="20"/>
          <w:szCs w:val="20"/>
          <w:lang w:eastAsia="es-ES"/>
          <w14:ligatures w14:val="none"/>
        </w:rPr>
        <w:t>informó que se procedió a realizar la búsqueda exhaustiva y razonable en los archivos que obran en la Coordinación de Apoyo a Cabildo de la Secretaría del Ayuntamiento, en este sentido y de acuerdo a las facultades, competencias y funciones, se hace del conocimiento que se cuenta con la expresión documental que se adjunta al presente, misma que se da por atendida la pretensión del C. Solicitante, al hacer entrega de los documentos denominados “Act</w:t>
      </w:r>
      <w:r w:rsidR="00844F9D" w:rsidRPr="002B29A1">
        <w:rPr>
          <w:rFonts w:ascii="Palatino Linotype" w:eastAsia="Palatino Linotype" w:hAnsi="Palatino Linotype" w:cs="Palatino Linotype"/>
          <w:i/>
          <w:kern w:val="0"/>
          <w:sz w:val="20"/>
          <w:szCs w:val="20"/>
          <w:lang w:eastAsia="es-ES"/>
          <w14:ligatures w14:val="none"/>
        </w:rPr>
        <w:t>as de las Sesiones de Cabildo,</w:t>
      </w:r>
      <w:r w:rsidR="00DB408C" w:rsidRPr="002B29A1">
        <w:rPr>
          <w:rFonts w:ascii="Palatino Linotype" w:eastAsia="Palatino Linotype" w:hAnsi="Palatino Linotype" w:cs="Palatino Linotype"/>
          <w:i/>
          <w:kern w:val="0"/>
          <w:sz w:val="20"/>
          <w:szCs w:val="20"/>
          <w:lang w:eastAsia="es-ES"/>
          <w14:ligatures w14:val="none"/>
        </w:rPr>
        <w:t xml:space="preserve"> del Ayuntamiento Constitucional</w:t>
      </w:r>
      <w:r w:rsidR="00844F9D" w:rsidRPr="002B29A1">
        <w:rPr>
          <w:rFonts w:ascii="Palatino Linotype" w:eastAsia="Palatino Linotype" w:hAnsi="Palatino Linotype" w:cs="Palatino Linotype"/>
          <w:i/>
          <w:kern w:val="0"/>
          <w:sz w:val="20"/>
          <w:szCs w:val="20"/>
          <w:lang w:eastAsia="es-ES"/>
          <w14:ligatures w14:val="none"/>
        </w:rPr>
        <w:t xml:space="preserve"> de Toluca, Estado de México 2019-2021</w:t>
      </w:r>
      <w:r w:rsidR="00DB408C" w:rsidRPr="002B29A1">
        <w:rPr>
          <w:rFonts w:ascii="Palatino Linotype" w:eastAsia="Palatino Linotype" w:hAnsi="Palatino Linotype" w:cs="Palatino Linotype"/>
          <w:i/>
          <w:kern w:val="0"/>
          <w:sz w:val="20"/>
          <w:szCs w:val="20"/>
          <w:lang w:eastAsia="es-ES"/>
          <w14:ligatures w14:val="none"/>
        </w:rPr>
        <w:t xml:space="preserve">…” </w:t>
      </w:r>
    </w:p>
    <w:p w14:paraId="78A41556" w14:textId="77777777" w:rsidR="00847766" w:rsidRPr="002B29A1" w:rsidRDefault="00847766" w:rsidP="00974279">
      <w:pPr>
        <w:tabs>
          <w:tab w:val="left" w:pos="4667"/>
        </w:tabs>
        <w:ind w:left="567" w:right="567"/>
        <w:rPr>
          <w:rFonts w:ascii="Palatino Linotype" w:eastAsia="Palatino Linotype" w:hAnsi="Palatino Linotype" w:cs="Palatino Linotype"/>
          <w:i/>
          <w:kern w:val="0"/>
          <w:sz w:val="20"/>
          <w:szCs w:val="20"/>
          <w:lang w:eastAsia="es-ES"/>
          <w14:ligatures w14:val="none"/>
        </w:rPr>
      </w:pPr>
    </w:p>
    <w:p w14:paraId="2004111A" w14:textId="29B19122" w:rsidR="0056396D" w:rsidRPr="002B29A1" w:rsidRDefault="007F3AC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w:t>
      </w:r>
      <w:r w:rsidR="0056396D" w:rsidRPr="002B29A1">
        <w:rPr>
          <w:rFonts w:ascii="Palatino Linotype" w:eastAsia="Palatino Linotype" w:hAnsi="Palatino Linotype" w:cs="Palatino Linotype"/>
          <w:kern w:val="0"/>
          <w:lang w:eastAsia="es-ES"/>
          <w14:ligatures w14:val="none"/>
        </w:rPr>
        <w:t xml:space="preserve"> Tercera Sesión </w:t>
      </w:r>
      <w:r w:rsidRPr="002B29A1">
        <w:rPr>
          <w:rFonts w:ascii="Palatino Linotype" w:eastAsia="Palatino Linotype" w:hAnsi="Palatino Linotype" w:cs="Palatino Linotype"/>
          <w:kern w:val="0"/>
          <w:lang w:eastAsia="es-ES"/>
          <w14:ligatures w14:val="none"/>
        </w:rPr>
        <w:t>Ordinaria</w:t>
      </w:r>
      <w:r w:rsidR="00E109C9" w:rsidRPr="002B29A1">
        <w:rPr>
          <w:rFonts w:ascii="Palatino Linotype" w:eastAsia="Palatino Linotype" w:hAnsi="Palatino Linotype" w:cs="Palatino Linotype"/>
          <w:kern w:val="0"/>
          <w:lang w:eastAsia="es-ES"/>
          <w14:ligatures w14:val="none"/>
        </w:rPr>
        <w:t xml:space="preserve"> de Ca</w:t>
      </w:r>
      <w:r w:rsidRPr="002B29A1">
        <w:rPr>
          <w:rFonts w:ascii="Palatino Linotype" w:eastAsia="Palatino Linotype" w:hAnsi="Palatino Linotype" w:cs="Palatino Linotype"/>
          <w:kern w:val="0"/>
          <w:lang w:eastAsia="es-ES"/>
          <w14:ligatures w14:val="none"/>
        </w:rPr>
        <w:t>bildo, año dos mil veinte</w:t>
      </w:r>
      <w:r w:rsidR="003457F6" w:rsidRPr="002B29A1">
        <w:rPr>
          <w:rFonts w:ascii="Palatino Linotype" w:eastAsia="Palatino Linotype" w:hAnsi="Palatino Linotype" w:cs="Palatino Linotype"/>
          <w:kern w:val="0"/>
          <w:lang w:eastAsia="es-ES"/>
          <w14:ligatures w14:val="none"/>
        </w:rPr>
        <w:t>.</w:t>
      </w:r>
    </w:p>
    <w:p w14:paraId="5B8E9CD6" w14:textId="77777777" w:rsidR="00847766" w:rsidRPr="002B29A1" w:rsidRDefault="00847766" w:rsidP="00974279">
      <w:pPr>
        <w:pStyle w:val="Prrafodelista"/>
        <w:tabs>
          <w:tab w:val="left" w:pos="4667"/>
        </w:tabs>
        <w:ind w:left="426"/>
        <w:rPr>
          <w:rFonts w:ascii="Palatino Linotype" w:eastAsia="Palatino Linotype" w:hAnsi="Palatino Linotype" w:cs="Palatino Linotype"/>
          <w:kern w:val="0"/>
          <w:lang w:eastAsia="es-ES"/>
          <w14:ligatures w14:val="none"/>
        </w:rPr>
      </w:pPr>
    </w:p>
    <w:p w14:paraId="125D09BE" w14:textId="467CA3B6" w:rsidR="007F3AC6" w:rsidRPr="002B29A1" w:rsidRDefault="007F3AC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Cuarta Sesión Ordinaria de Cabildo, año dos mil veinte.</w:t>
      </w:r>
    </w:p>
    <w:p w14:paraId="13A7CE5E"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36A1656B" w14:textId="1C199680" w:rsidR="007F3AC6" w:rsidRPr="002B29A1" w:rsidRDefault="007F3AC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Quinta Sesión Ordinaria de Cabildo, año dos mil veinte</w:t>
      </w:r>
      <w:r w:rsidR="003457F6" w:rsidRPr="002B29A1">
        <w:rPr>
          <w:rFonts w:ascii="Palatino Linotype" w:eastAsia="Palatino Linotype" w:hAnsi="Palatino Linotype" w:cs="Palatino Linotype"/>
          <w:kern w:val="0"/>
          <w:lang w:eastAsia="es-ES"/>
          <w14:ligatures w14:val="none"/>
        </w:rPr>
        <w:t>.</w:t>
      </w:r>
    </w:p>
    <w:p w14:paraId="2C7F2ADA"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5847DA1E" w14:textId="4F064EB7" w:rsidR="007F3AC6" w:rsidRPr="002B29A1" w:rsidRDefault="007F3AC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Sexta Sesión Ordinaria de Cabildo, año dos mil veinte.</w:t>
      </w:r>
    </w:p>
    <w:p w14:paraId="11BD03F6"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33AED182" w14:textId="53C23174" w:rsidR="003457F6" w:rsidRPr="002B29A1" w:rsidRDefault="007F3AC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Decima Primera Sesión Extraordinaria de Cabildo año dos mil veinte</w:t>
      </w:r>
      <w:r w:rsidR="003457F6" w:rsidRPr="002B29A1">
        <w:rPr>
          <w:rFonts w:ascii="Palatino Linotype" w:eastAsia="Palatino Linotype" w:hAnsi="Palatino Linotype" w:cs="Palatino Linotype"/>
          <w:kern w:val="0"/>
          <w:lang w:eastAsia="es-ES"/>
          <w14:ligatures w14:val="none"/>
        </w:rPr>
        <w:t>.</w:t>
      </w:r>
    </w:p>
    <w:p w14:paraId="0FD376D1"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29A4933F" w14:textId="25E0ACD5" w:rsidR="003457F6" w:rsidRPr="002B29A1" w:rsidRDefault="003457F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Séptima Sesión Ordinaria de Cabildo, año dos mil veinte.</w:t>
      </w:r>
    </w:p>
    <w:p w14:paraId="0041BCAB"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069A49D1" w14:textId="7358080F" w:rsidR="003457F6" w:rsidRPr="002B29A1" w:rsidRDefault="003457F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Séptima Sesión Ordinaria de Cabildo</w:t>
      </w:r>
      <w:r w:rsidR="00847766" w:rsidRPr="002B29A1">
        <w:rPr>
          <w:rFonts w:ascii="Palatino Linotype" w:eastAsia="Palatino Linotype" w:hAnsi="Palatino Linotype" w:cs="Palatino Linotype"/>
          <w:kern w:val="0"/>
          <w:lang w:eastAsia="es-ES"/>
          <w14:ligatures w14:val="none"/>
        </w:rPr>
        <w:t xml:space="preserve"> Abierto</w:t>
      </w:r>
      <w:r w:rsidRPr="002B29A1">
        <w:rPr>
          <w:rFonts w:ascii="Palatino Linotype" w:eastAsia="Palatino Linotype" w:hAnsi="Palatino Linotype" w:cs="Palatino Linotype"/>
          <w:kern w:val="0"/>
          <w:lang w:eastAsia="es-ES"/>
          <w14:ligatures w14:val="none"/>
        </w:rPr>
        <w:t>, año dos mil veinte.</w:t>
      </w:r>
    </w:p>
    <w:p w14:paraId="500216D5"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29F28847" w14:textId="05DC274A" w:rsidR="003457F6" w:rsidRPr="002B29A1" w:rsidRDefault="003457F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Decima Segunda Sesión Extraordinaria de Cabildo, año dos mil veinte.</w:t>
      </w:r>
    </w:p>
    <w:p w14:paraId="01A36E90"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37532C2A" w14:textId="59D2E88D" w:rsidR="003457F6" w:rsidRPr="002B29A1" w:rsidRDefault="003457F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Octava Sesión Ordinaria de Cabildo, año dos mil veinte.</w:t>
      </w:r>
    </w:p>
    <w:p w14:paraId="5728371F" w14:textId="77777777" w:rsidR="00847766" w:rsidRPr="002B29A1" w:rsidRDefault="00847766" w:rsidP="00974279">
      <w:pPr>
        <w:pStyle w:val="Prrafodelista"/>
        <w:rPr>
          <w:rFonts w:ascii="Palatino Linotype" w:eastAsia="Palatino Linotype" w:hAnsi="Palatino Linotype" w:cs="Palatino Linotype"/>
          <w:kern w:val="0"/>
          <w:lang w:eastAsia="es-ES"/>
          <w14:ligatures w14:val="none"/>
        </w:rPr>
      </w:pPr>
    </w:p>
    <w:p w14:paraId="0B304C48" w14:textId="2085E4B5" w:rsidR="003457F6" w:rsidRPr="002B29A1" w:rsidRDefault="003457F6" w:rsidP="00974279">
      <w:pPr>
        <w:pStyle w:val="Prrafodelista"/>
        <w:numPr>
          <w:ilvl w:val="0"/>
          <w:numId w:val="7"/>
        </w:numPr>
        <w:tabs>
          <w:tab w:val="left" w:pos="4667"/>
        </w:tabs>
        <w:ind w:left="426"/>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Trigésima Novena Sesión Ordinaria de Cabildo, año dos mil veinte.</w:t>
      </w:r>
    </w:p>
    <w:p w14:paraId="4C2C9D13" w14:textId="5A40CFA4" w:rsidR="006E555F" w:rsidRPr="002B29A1" w:rsidRDefault="006E555F" w:rsidP="00974279">
      <w:pPr>
        <w:rPr>
          <w:rFonts w:ascii="Palatino Linotype" w:eastAsia="Palatino Linotype" w:hAnsi="Palatino Linotype" w:cs="Palatino Linotype"/>
          <w:kern w:val="0"/>
          <w:lang w:eastAsia="es-ES"/>
          <w14:ligatures w14:val="none"/>
        </w:rPr>
      </w:pPr>
      <w:bookmarkStart w:id="4" w:name="_Hlk193908123"/>
    </w:p>
    <w:p w14:paraId="17FBFB88" w14:textId="17F64297" w:rsidR="009B2008" w:rsidRPr="002B29A1" w:rsidRDefault="009B2008" w:rsidP="00974279">
      <w:pPr>
        <w:pStyle w:val="Ttulo2"/>
        <w:spacing w:before="0"/>
        <w:rPr>
          <w:rFonts w:ascii="Palatino Linotype" w:eastAsia="Palatino Linotype" w:hAnsi="Palatino Linotype"/>
          <w:b/>
          <w:color w:val="auto"/>
          <w:sz w:val="22"/>
          <w:lang w:eastAsia="es-ES"/>
        </w:rPr>
      </w:pPr>
      <w:bookmarkStart w:id="5" w:name="_Toc195191377"/>
      <w:bookmarkEnd w:id="4"/>
      <w:r w:rsidRPr="002B29A1">
        <w:rPr>
          <w:rFonts w:ascii="Palatino Linotype" w:eastAsia="Palatino Linotype" w:hAnsi="Palatino Linotype"/>
          <w:b/>
          <w:color w:val="auto"/>
          <w:sz w:val="22"/>
          <w:lang w:eastAsia="es-ES"/>
        </w:rPr>
        <w:t>I</w:t>
      </w:r>
      <w:r w:rsidR="00CA136E" w:rsidRPr="002B29A1">
        <w:rPr>
          <w:rFonts w:ascii="Palatino Linotype" w:eastAsia="Palatino Linotype" w:hAnsi="Palatino Linotype"/>
          <w:b/>
          <w:color w:val="auto"/>
          <w:sz w:val="22"/>
          <w:lang w:eastAsia="es-ES"/>
        </w:rPr>
        <w:t>V</w:t>
      </w:r>
      <w:r w:rsidRPr="002B29A1">
        <w:rPr>
          <w:rFonts w:ascii="Palatino Linotype" w:eastAsia="Palatino Linotype" w:hAnsi="Palatino Linotype"/>
          <w:b/>
          <w:color w:val="auto"/>
          <w:sz w:val="22"/>
          <w:lang w:eastAsia="es-ES"/>
        </w:rPr>
        <w:t>. Interposición de los Recursos de Revisión</w:t>
      </w:r>
      <w:bookmarkEnd w:id="5"/>
    </w:p>
    <w:p w14:paraId="38ED495A"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71598B15" w14:textId="26B847E8" w:rsidR="0038595D" w:rsidRPr="002B29A1" w:rsidRDefault="0038595D"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El veintisiete de febrero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14:paraId="133999BF" w14:textId="77777777" w:rsidR="0038595D" w:rsidRPr="002B29A1" w:rsidRDefault="0038595D" w:rsidP="00974279">
      <w:pPr>
        <w:ind w:left="567" w:right="567"/>
        <w:rPr>
          <w:rFonts w:ascii="Palatino Linotype" w:eastAsia="Palatino Linotype" w:hAnsi="Palatino Linotype" w:cs="Palatino Linotype"/>
          <w:kern w:val="0"/>
          <w:lang w:eastAsia="es-ES"/>
          <w14:ligatures w14:val="none"/>
        </w:rPr>
      </w:pPr>
    </w:p>
    <w:p w14:paraId="11055951" w14:textId="77777777" w:rsidR="0038595D" w:rsidRPr="002B29A1" w:rsidRDefault="0038595D" w:rsidP="00974279">
      <w:pPr>
        <w:ind w:left="567" w:right="567"/>
        <w:rPr>
          <w:rFonts w:ascii="Palatino Linotype" w:eastAsia="Palatino Linotype" w:hAnsi="Palatino Linotype" w:cs="Palatino Linotype"/>
          <w:b/>
          <w:i/>
          <w:kern w:val="0"/>
          <w:sz w:val="20"/>
          <w:szCs w:val="20"/>
          <w:lang w:eastAsia="es-ES"/>
          <w14:ligatures w14:val="none"/>
        </w:rPr>
      </w:pPr>
      <w:r w:rsidRPr="002B29A1">
        <w:rPr>
          <w:rFonts w:ascii="Palatino Linotype" w:eastAsia="Palatino Linotype" w:hAnsi="Palatino Linotype" w:cs="Palatino Linotype"/>
          <w:b/>
          <w:kern w:val="0"/>
          <w:sz w:val="20"/>
          <w:szCs w:val="20"/>
          <w:lang w:eastAsia="es-ES"/>
          <w14:ligatures w14:val="none"/>
        </w:rPr>
        <w:t>‘</w:t>
      </w:r>
      <w:r w:rsidRPr="002B29A1">
        <w:rPr>
          <w:rFonts w:ascii="Palatino Linotype" w:eastAsia="Palatino Linotype" w:hAnsi="Palatino Linotype" w:cs="Palatino Linotype"/>
          <w:b/>
          <w:i/>
          <w:kern w:val="0"/>
          <w:sz w:val="20"/>
          <w:szCs w:val="20"/>
          <w:lang w:eastAsia="es-ES"/>
          <w14:ligatures w14:val="none"/>
        </w:rPr>
        <w:t>’ACTO IMPUGNADO</w:t>
      </w:r>
    </w:p>
    <w:p w14:paraId="6000E12A" w14:textId="1540400F" w:rsidR="0038595D" w:rsidRPr="002B29A1" w:rsidRDefault="0038595D" w:rsidP="00974279">
      <w:pPr>
        <w:ind w:left="567" w:right="567"/>
        <w:rPr>
          <w:rFonts w:ascii="Palatino Linotype" w:eastAsia="Palatino Linotype" w:hAnsi="Palatino Linotype" w:cs="Palatino Linotype"/>
          <w:i/>
          <w:kern w:val="0"/>
          <w:sz w:val="20"/>
          <w:szCs w:val="20"/>
          <w:lang w:eastAsia="es-ES"/>
          <w14:ligatures w14:val="none"/>
        </w:rPr>
      </w:pPr>
      <w:r w:rsidRPr="002B29A1">
        <w:rPr>
          <w:rFonts w:ascii="Palatino Linotype" w:eastAsia="Palatino Linotype" w:hAnsi="Palatino Linotype" w:cs="Palatino Linotype"/>
          <w:i/>
          <w:kern w:val="0"/>
          <w:sz w:val="20"/>
          <w:szCs w:val="20"/>
          <w:lang w:eastAsia="es-ES"/>
          <w14:ligatures w14:val="none"/>
        </w:rPr>
        <w:t>LA RESPUESTA Y PRORROGA FUERA DEL PLAZO Y LA INFORMACIÓN NO SE ENTREGAN LAS ACTAS” (Sic.)</w:t>
      </w:r>
    </w:p>
    <w:p w14:paraId="5CE64BCD" w14:textId="77777777" w:rsidR="0038595D" w:rsidRPr="002B29A1" w:rsidRDefault="0038595D" w:rsidP="00974279">
      <w:pPr>
        <w:ind w:left="567" w:right="567"/>
        <w:rPr>
          <w:rFonts w:ascii="Palatino Linotype" w:eastAsia="Palatino Linotype" w:hAnsi="Palatino Linotype" w:cs="Palatino Linotype"/>
          <w:i/>
          <w:kern w:val="0"/>
          <w:sz w:val="20"/>
          <w:szCs w:val="20"/>
          <w:lang w:eastAsia="es-ES"/>
          <w14:ligatures w14:val="none"/>
        </w:rPr>
      </w:pPr>
    </w:p>
    <w:p w14:paraId="1CCAE7A5" w14:textId="77777777" w:rsidR="0038595D" w:rsidRPr="002B29A1" w:rsidRDefault="0038595D" w:rsidP="00974279">
      <w:pPr>
        <w:ind w:left="567" w:right="567"/>
        <w:rPr>
          <w:rFonts w:ascii="Palatino Linotype" w:eastAsia="Palatino Linotype" w:hAnsi="Palatino Linotype" w:cs="Palatino Linotype"/>
          <w:b/>
          <w:i/>
          <w:kern w:val="0"/>
          <w:sz w:val="20"/>
          <w:szCs w:val="20"/>
          <w:lang w:eastAsia="es-ES"/>
          <w14:ligatures w14:val="none"/>
        </w:rPr>
      </w:pPr>
      <w:r w:rsidRPr="002B29A1">
        <w:rPr>
          <w:rFonts w:ascii="Palatino Linotype" w:eastAsia="Palatino Linotype" w:hAnsi="Palatino Linotype" w:cs="Palatino Linotype"/>
          <w:b/>
          <w:i/>
          <w:kern w:val="0"/>
          <w:sz w:val="20"/>
          <w:szCs w:val="20"/>
          <w:lang w:eastAsia="es-ES"/>
          <w14:ligatures w14:val="none"/>
        </w:rPr>
        <w:t>‘’RAZONES O MOTIVOS DE LA INCONFORMIDAD</w:t>
      </w:r>
    </w:p>
    <w:p w14:paraId="47D4EC74" w14:textId="0C6BACC4" w:rsidR="009B2008" w:rsidRPr="002B29A1" w:rsidRDefault="0038595D" w:rsidP="00974279">
      <w:pPr>
        <w:ind w:left="567" w:right="567"/>
        <w:rPr>
          <w:rFonts w:ascii="Palatino Linotype" w:eastAsia="Palatino Linotype" w:hAnsi="Palatino Linotype" w:cs="Palatino Linotype"/>
          <w:i/>
          <w:kern w:val="0"/>
          <w:sz w:val="18"/>
          <w:szCs w:val="18"/>
          <w:lang w:eastAsia="es-ES"/>
          <w14:ligatures w14:val="none"/>
        </w:rPr>
      </w:pPr>
      <w:r w:rsidRPr="002B29A1">
        <w:rPr>
          <w:rFonts w:ascii="Palatino Linotype" w:eastAsia="Palatino Linotype" w:hAnsi="Palatino Linotype" w:cs="Palatino Linotype"/>
          <w:i/>
          <w:kern w:val="0"/>
          <w:sz w:val="20"/>
          <w:szCs w:val="20"/>
          <w:lang w:eastAsia="es-ES"/>
          <w14:ligatures w14:val="none"/>
        </w:rPr>
        <w:t>LA RESPUESTA Y PRORROGA FUERA DEL PLAZO Y LA INFORMACIÓN NO SE ENTREGAN LAS ACTAS” (Sic)</w:t>
      </w:r>
    </w:p>
    <w:p w14:paraId="5401E682" w14:textId="77777777" w:rsidR="00021449" w:rsidRPr="002B29A1" w:rsidRDefault="00021449" w:rsidP="00974279">
      <w:pPr>
        <w:ind w:left="567" w:right="567"/>
        <w:rPr>
          <w:rFonts w:ascii="Palatino Linotype" w:eastAsia="Palatino Linotype" w:hAnsi="Palatino Linotype" w:cs="Palatino Linotype"/>
          <w:i/>
          <w:kern w:val="0"/>
          <w:sz w:val="20"/>
          <w:szCs w:val="20"/>
          <w:lang w:eastAsia="es-ES"/>
          <w14:ligatures w14:val="none"/>
        </w:rPr>
      </w:pPr>
    </w:p>
    <w:p w14:paraId="0469BB9F" w14:textId="5D6550E1" w:rsidR="009B2008" w:rsidRPr="002B29A1" w:rsidRDefault="009B2008" w:rsidP="00974279">
      <w:pPr>
        <w:pStyle w:val="Ttulo2"/>
        <w:spacing w:before="0"/>
        <w:rPr>
          <w:rFonts w:ascii="Palatino Linotype" w:eastAsia="Palatino Linotype" w:hAnsi="Palatino Linotype"/>
          <w:b/>
          <w:color w:val="auto"/>
          <w:sz w:val="22"/>
          <w:lang w:eastAsia="es-ES"/>
        </w:rPr>
      </w:pPr>
      <w:bookmarkStart w:id="6" w:name="_Toc195191378"/>
      <w:r w:rsidRPr="002B29A1">
        <w:rPr>
          <w:rFonts w:ascii="Palatino Linotype" w:eastAsia="Palatino Linotype" w:hAnsi="Palatino Linotype"/>
          <w:b/>
          <w:color w:val="auto"/>
          <w:sz w:val="22"/>
          <w:lang w:eastAsia="es-ES"/>
        </w:rPr>
        <w:t>V. Trámite del Recurso de Revisión ante este Instituto</w:t>
      </w:r>
      <w:bookmarkEnd w:id="6"/>
    </w:p>
    <w:p w14:paraId="674F6F44" w14:textId="77777777" w:rsidR="009B2008" w:rsidRPr="002B29A1" w:rsidRDefault="009B2008" w:rsidP="00974279">
      <w:pPr>
        <w:rPr>
          <w:rFonts w:ascii="Palatino Linotype" w:eastAsia="Palatino Linotype" w:hAnsi="Palatino Linotype" w:cs="Palatino Linotype"/>
          <w:b/>
          <w:color w:val="FF0000"/>
          <w:kern w:val="0"/>
          <w:lang w:eastAsia="es-ES"/>
          <w14:ligatures w14:val="none"/>
        </w:rPr>
      </w:pPr>
    </w:p>
    <w:p w14:paraId="03F1C4D5" w14:textId="02D48F09" w:rsidR="0038595D" w:rsidRPr="002B29A1" w:rsidRDefault="0038595D"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a) Turno del Medio de Impugnación</w:t>
      </w:r>
      <w:r w:rsidRPr="002B29A1">
        <w:rPr>
          <w:rFonts w:ascii="Palatino Linotype" w:eastAsia="Palatino Linotype" w:hAnsi="Palatino Linotype" w:cs="Palatino Linotype"/>
          <w:kern w:val="0"/>
          <w:lang w:eastAsia="es-ES"/>
          <w14:ligatures w14:val="none"/>
        </w:rPr>
        <w:t>. El veintisiete de febrero de dos mil veinticinco, el Sistema de Acceso a la Información Mexiquense (SAIMEX), asignó el número de expediente 02201/INFOEM/IP/RR/2025,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6D18D45A" w14:textId="77777777" w:rsidR="0038595D" w:rsidRPr="002B29A1" w:rsidRDefault="0038595D" w:rsidP="00974279">
      <w:pPr>
        <w:rPr>
          <w:rFonts w:ascii="Palatino Linotype" w:eastAsia="Palatino Linotype" w:hAnsi="Palatino Linotype" w:cs="Palatino Linotype"/>
          <w:b/>
          <w:kern w:val="0"/>
          <w:lang w:eastAsia="es-ES"/>
          <w14:ligatures w14:val="none"/>
        </w:rPr>
      </w:pPr>
    </w:p>
    <w:p w14:paraId="0CA80FF0" w14:textId="3A107987" w:rsidR="009B2008" w:rsidRPr="002B29A1" w:rsidRDefault="0038595D" w:rsidP="00974279">
      <w:pPr>
        <w:rPr>
          <w:rFonts w:ascii="Palatino Linotype" w:eastAsia="Palatino Linotype" w:hAnsi="Palatino Linotype" w:cs="Palatino Linotype"/>
          <w:b/>
          <w:kern w:val="0"/>
          <w:lang w:eastAsia="es-ES"/>
          <w14:ligatures w14:val="none"/>
        </w:rPr>
      </w:pPr>
      <w:r w:rsidRPr="002B29A1">
        <w:rPr>
          <w:rFonts w:ascii="Palatino Linotype" w:eastAsia="Palatino Linotype" w:hAnsi="Palatino Linotype" w:cs="Palatino Linotype"/>
          <w:b/>
          <w:kern w:val="0"/>
          <w:lang w:eastAsia="es-ES"/>
          <w14:ligatures w14:val="none"/>
        </w:rPr>
        <w:t xml:space="preserve">b) Admisión del Recurso de Revisión. </w:t>
      </w:r>
      <w:r w:rsidRPr="002B29A1">
        <w:rPr>
          <w:rFonts w:ascii="Palatino Linotype" w:eastAsia="Palatino Linotype" w:hAnsi="Palatino Linotype" w:cs="Palatino Linotype"/>
          <w:kern w:val="0"/>
          <w:lang w:eastAsia="es-ES"/>
          <w14:ligatures w14:val="none"/>
        </w:rPr>
        <w:t>El cinco de marzo de dos mil veinticinco, se</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acordó la admisión del Recurso de Revisión interpuesto por la persona Recurrente en</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contra del Sujeto Obligado, en términos del artículo 185, fracciones I y II de la Ley de</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Transparencia y Acceso a la Información Pública del Estado de México y Municipios, el</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cual fue notificado a las partes el mismo día, a través del Sistema de Acceso a la</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Información Mexiquense (SAIMEX), en el que se les otorgó un plazo de siete días hábiles</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posteriores a la misma, para que manifestaran lo que a su derecho conviniera y formularan alegatos.</w:t>
      </w:r>
    </w:p>
    <w:p w14:paraId="26782442"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6A13C90C" w14:textId="1939F09A"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 xml:space="preserve">c) Informe Justificado. </w:t>
      </w:r>
      <w:r w:rsidR="002F6A29" w:rsidRPr="002B29A1">
        <w:rPr>
          <w:rFonts w:ascii="Palatino Linotype" w:eastAsia="Palatino Linotype" w:hAnsi="Palatino Linotype" w:cs="Palatino Linotype"/>
          <w:kern w:val="0"/>
          <w:lang w:eastAsia="es-ES"/>
          <w14:ligatures w14:val="none"/>
        </w:rPr>
        <w:t xml:space="preserve">El </w:t>
      </w:r>
      <w:r w:rsidR="0038595D" w:rsidRPr="002B29A1">
        <w:rPr>
          <w:rFonts w:ascii="Palatino Linotype" w:eastAsia="Palatino Linotype" w:hAnsi="Palatino Linotype" w:cs="Palatino Linotype"/>
          <w:kern w:val="0"/>
          <w:lang w:eastAsia="es-ES"/>
          <w14:ligatures w14:val="none"/>
        </w:rPr>
        <w:t>catorce de marzo</w:t>
      </w:r>
      <w:r w:rsidR="002F6A29" w:rsidRPr="002B29A1">
        <w:rPr>
          <w:rFonts w:ascii="Palatino Linotype" w:eastAsia="Palatino Linotype" w:hAnsi="Palatino Linotype" w:cs="Palatino Linotype"/>
          <w:kern w:val="0"/>
          <w:lang w:eastAsia="es-ES"/>
          <w14:ligatures w14:val="none"/>
        </w:rPr>
        <w:t xml:space="preserve"> de dos mil veinticinco, a través del Sistema de Acceso a la Información Mexiquense (SAIMEX), se recibió en este Instituto el informe Justificado por parte del Sujeto Obligado por medio del cual </w:t>
      </w:r>
      <w:r w:rsidR="0038595D" w:rsidRPr="002B29A1">
        <w:rPr>
          <w:rFonts w:ascii="Palatino Linotype" w:eastAsia="Palatino Linotype" w:hAnsi="Palatino Linotype" w:cs="Palatino Linotype"/>
          <w:kern w:val="0"/>
          <w:lang w:eastAsia="es-ES"/>
          <w14:ligatures w14:val="none"/>
        </w:rPr>
        <w:t xml:space="preserve">ratifico </w:t>
      </w:r>
      <w:r w:rsidR="002F6A29" w:rsidRPr="002B29A1">
        <w:rPr>
          <w:rFonts w:ascii="Palatino Linotype" w:eastAsia="Palatino Linotype" w:hAnsi="Palatino Linotype" w:cs="Palatino Linotype"/>
          <w:kern w:val="0"/>
          <w:lang w:eastAsia="es-ES"/>
          <w14:ligatures w14:val="none"/>
        </w:rPr>
        <w:t>su respuesta.</w:t>
      </w:r>
    </w:p>
    <w:p w14:paraId="19DC1908" w14:textId="77777777" w:rsidR="002F6A29" w:rsidRPr="002B29A1" w:rsidRDefault="002F6A29" w:rsidP="00974279">
      <w:pPr>
        <w:rPr>
          <w:rFonts w:ascii="Palatino Linotype" w:eastAsia="Palatino Linotype" w:hAnsi="Palatino Linotype" w:cs="Palatino Linotype"/>
          <w:color w:val="FF0000"/>
          <w:kern w:val="0"/>
          <w:lang w:eastAsia="es-ES"/>
          <w14:ligatures w14:val="none"/>
        </w:rPr>
      </w:pPr>
    </w:p>
    <w:p w14:paraId="1414BFBB" w14:textId="49CACECA" w:rsidR="009B2008" w:rsidRPr="002B29A1" w:rsidRDefault="00980CD8" w:rsidP="00974279">
      <w:pPr>
        <w:rPr>
          <w:rFonts w:ascii="Palatino Linotype" w:eastAsia="Palatino Linotype" w:hAnsi="Palatino Linotype" w:cs="Palatino Linotype"/>
          <w:b/>
          <w:bCs/>
          <w:kern w:val="0"/>
          <w:lang w:eastAsia="es-ES"/>
          <w14:ligatures w14:val="none"/>
        </w:rPr>
      </w:pPr>
      <w:r w:rsidRPr="002B29A1">
        <w:rPr>
          <w:rFonts w:ascii="Palatino Linotype" w:eastAsia="Palatino Linotype" w:hAnsi="Palatino Linotype" w:cs="Palatino Linotype"/>
          <w:b/>
          <w:bCs/>
          <w:kern w:val="0"/>
          <w:lang w:eastAsia="es-ES"/>
          <w14:ligatures w14:val="none"/>
        </w:rPr>
        <w:lastRenderedPageBreak/>
        <w:t>d) Vista del Informe Justificado.</w:t>
      </w:r>
      <w:r w:rsidRPr="002B29A1">
        <w:rPr>
          <w:rFonts w:ascii="Palatino Linotype" w:eastAsia="Palatino Linotype" w:hAnsi="Palatino Linotype" w:cs="Palatino Linotype"/>
          <w:kern w:val="0"/>
          <w:lang w:eastAsia="es-ES"/>
          <w14:ligatures w14:val="none"/>
        </w:rPr>
        <w:t xml:space="preserve"> El </w:t>
      </w:r>
      <w:r w:rsidR="00801B90" w:rsidRPr="002B29A1">
        <w:rPr>
          <w:rFonts w:ascii="Palatino Linotype" w:eastAsia="Palatino Linotype" w:hAnsi="Palatino Linotype" w:cs="Palatino Linotype"/>
          <w:kern w:val="0"/>
          <w:lang w:eastAsia="es-ES"/>
          <w14:ligatures w14:val="none"/>
        </w:rPr>
        <w:t>dos</w:t>
      </w:r>
      <w:r w:rsidR="0038595D" w:rsidRPr="002B29A1">
        <w:rPr>
          <w:rFonts w:ascii="Palatino Linotype" w:eastAsia="Palatino Linotype" w:hAnsi="Palatino Linotype" w:cs="Palatino Linotype"/>
          <w:kern w:val="0"/>
          <w:lang w:eastAsia="es-ES"/>
          <w14:ligatures w14:val="none"/>
        </w:rPr>
        <w:t xml:space="preserve"> de abril</w:t>
      </w:r>
      <w:r w:rsidRPr="002B29A1">
        <w:rPr>
          <w:rFonts w:ascii="Palatino Linotype" w:eastAsia="Palatino Linotype" w:hAnsi="Palatino Linotype" w:cs="Palatino Linotype"/>
          <w:kern w:val="0"/>
          <w:lang w:eastAsia="es-ES"/>
          <w14:ligatures w14:val="none"/>
        </w:rPr>
        <w:t xml:space="preserve"> de dos mil veinticinco, se dictó</w:t>
      </w:r>
      <w:r w:rsidR="00FA6C96"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acuerdo por medio del cual se puso a la vista de la persona Recurrente el Informe</w:t>
      </w:r>
      <w:r w:rsidR="00FA6C96"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Justificado entregado por el Sujeto Obligado, el cual fue notificado a las partes, el mismo</w:t>
      </w:r>
      <w:r w:rsidR="00FA6C96"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 xml:space="preserve">día, a través del Sistema de Acceso a la Información Mexiquense (SAIMEX). </w:t>
      </w:r>
      <w:r w:rsidRPr="002B29A1">
        <w:rPr>
          <w:rFonts w:ascii="Palatino Linotype" w:eastAsia="Palatino Linotype" w:hAnsi="Palatino Linotype" w:cs="Palatino Linotype"/>
          <w:b/>
          <w:bCs/>
          <w:kern w:val="0"/>
          <w:lang w:eastAsia="es-ES"/>
          <w14:ligatures w14:val="none"/>
        </w:rPr>
        <w:t>Cabe señalar</w:t>
      </w:r>
      <w:r w:rsidR="00FA6C96" w:rsidRPr="002B29A1">
        <w:rPr>
          <w:rFonts w:ascii="Palatino Linotype" w:eastAsia="Palatino Linotype" w:hAnsi="Palatino Linotype" w:cs="Palatino Linotype"/>
          <w:b/>
          <w:bCs/>
          <w:kern w:val="0"/>
          <w:lang w:eastAsia="es-ES"/>
          <w14:ligatures w14:val="none"/>
        </w:rPr>
        <w:t xml:space="preserve"> </w:t>
      </w:r>
      <w:r w:rsidRPr="002B29A1">
        <w:rPr>
          <w:rFonts w:ascii="Palatino Linotype" w:eastAsia="Palatino Linotype" w:hAnsi="Palatino Linotype" w:cs="Palatino Linotype"/>
          <w:b/>
          <w:bCs/>
          <w:kern w:val="0"/>
          <w:lang w:eastAsia="es-ES"/>
          <w14:ligatures w14:val="none"/>
        </w:rPr>
        <w:t>que el Particular fue omiso en realizar manifestación alguna.</w:t>
      </w:r>
    </w:p>
    <w:p w14:paraId="4449DFE0" w14:textId="77777777" w:rsidR="009B2008" w:rsidRPr="002B29A1" w:rsidRDefault="009B2008" w:rsidP="00974279">
      <w:pPr>
        <w:rPr>
          <w:rFonts w:ascii="Palatino Linotype" w:eastAsia="Palatino Linotype" w:hAnsi="Palatino Linotype" w:cs="Palatino Linotype"/>
          <w:b/>
          <w:color w:val="FF0000"/>
          <w:kern w:val="0"/>
          <w:lang w:eastAsia="es-ES"/>
          <w14:ligatures w14:val="none"/>
        </w:rPr>
      </w:pPr>
    </w:p>
    <w:p w14:paraId="02BB4335" w14:textId="054A84DD" w:rsidR="0038595D" w:rsidRPr="002B29A1" w:rsidRDefault="0038595D" w:rsidP="00974279">
      <w:pPr>
        <w:rPr>
          <w:rFonts w:ascii="Palatino Linotype" w:eastAsia="Palatino Linotype" w:hAnsi="Palatino Linotype" w:cs="Palatino Linotype"/>
          <w:kern w:val="0"/>
          <w:lang w:eastAsia="es-ES"/>
          <w14:ligatures w14:val="none"/>
        </w:rPr>
      </w:pPr>
      <w:bookmarkStart w:id="7" w:name="_heading=h.gjdgxs" w:colFirst="0" w:colLast="0"/>
      <w:bookmarkEnd w:id="7"/>
      <w:r w:rsidRPr="002B29A1">
        <w:rPr>
          <w:rFonts w:ascii="Palatino Linotype" w:eastAsia="Palatino Linotype" w:hAnsi="Palatino Linotype" w:cs="Palatino Linotype"/>
          <w:b/>
          <w:kern w:val="0"/>
          <w:lang w:eastAsia="es-ES"/>
          <w14:ligatures w14:val="none"/>
        </w:rPr>
        <w:t xml:space="preserve">e) Cierre de instrucción. </w:t>
      </w:r>
      <w:r w:rsidR="00801B90" w:rsidRPr="002B29A1">
        <w:rPr>
          <w:rFonts w:ascii="Palatino Linotype" w:eastAsia="Palatino Linotype" w:hAnsi="Palatino Linotype" w:cs="Palatino Linotype"/>
          <w:kern w:val="0"/>
          <w:lang w:eastAsia="es-ES"/>
          <w14:ligatures w14:val="none"/>
        </w:rPr>
        <w:t>El ocho</w:t>
      </w:r>
      <w:r w:rsidRPr="002B29A1">
        <w:rPr>
          <w:rFonts w:ascii="Palatino Linotype" w:eastAsia="Palatino Linotype" w:hAnsi="Palatino Linotype" w:cs="Palatino Linotype"/>
          <w:kern w:val="0"/>
          <w:lang w:eastAsia="es-ES"/>
          <w14:ligatures w14:val="none"/>
        </w:rPr>
        <w:t xml:space="preserve">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50DF549" w14:textId="77777777" w:rsidR="0038595D" w:rsidRPr="002B29A1" w:rsidRDefault="0038595D" w:rsidP="00974279">
      <w:pPr>
        <w:rPr>
          <w:rFonts w:ascii="Palatino Linotype" w:eastAsia="Palatino Linotype" w:hAnsi="Palatino Linotype" w:cs="Palatino Linotype"/>
          <w:kern w:val="0"/>
          <w:lang w:eastAsia="es-ES"/>
          <w14:ligatures w14:val="none"/>
        </w:rPr>
      </w:pPr>
    </w:p>
    <w:p w14:paraId="611E6F09" w14:textId="60C155B3" w:rsidR="009B2008" w:rsidRPr="002B29A1" w:rsidRDefault="0038595D"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En razón de que fue debidamente sustanciado e integrado el expediente electrónico y no existe diligencia pendiente de desahogo, se emite la resolución que conforme a Derecho proceda, de acuerdo a los siguientes:</w:t>
      </w:r>
    </w:p>
    <w:p w14:paraId="117CCCE8" w14:textId="77777777" w:rsidR="009B2008" w:rsidRPr="002B29A1" w:rsidRDefault="009B2008" w:rsidP="00974279">
      <w:pPr>
        <w:rPr>
          <w:rFonts w:ascii="Palatino Linotype" w:eastAsia="Palatino Linotype" w:hAnsi="Palatino Linotype" w:cs="Palatino Linotype"/>
          <w:kern w:val="0"/>
          <w:lang w:eastAsia="es-ES"/>
          <w14:ligatures w14:val="none"/>
        </w:rPr>
      </w:pPr>
    </w:p>
    <w:p w14:paraId="7BCDABA8" w14:textId="77777777" w:rsidR="009B2008" w:rsidRPr="002B29A1" w:rsidRDefault="009B2008" w:rsidP="00974279">
      <w:pPr>
        <w:pStyle w:val="Ttulo1"/>
        <w:spacing w:before="0"/>
        <w:jc w:val="center"/>
        <w:rPr>
          <w:rFonts w:ascii="Palatino Linotype" w:eastAsia="Palatino Linotype" w:hAnsi="Palatino Linotype"/>
          <w:b/>
          <w:color w:val="auto"/>
          <w:sz w:val="22"/>
          <w:lang w:eastAsia="es-ES"/>
        </w:rPr>
      </w:pPr>
      <w:bookmarkStart w:id="8" w:name="_Toc195191379"/>
      <w:r w:rsidRPr="002B29A1">
        <w:rPr>
          <w:rFonts w:ascii="Palatino Linotype" w:eastAsia="Palatino Linotype" w:hAnsi="Palatino Linotype"/>
          <w:b/>
          <w:color w:val="auto"/>
          <w:sz w:val="22"/>
          <w:lang w:eastAsia="es-ES"/>
        </w:rPr>
        <w:t>C O N S I D E R A N D O S</w:t>
      </w:r>
      <w:bookmarkEnd w:id="8"/>
    </w:p>
    <w:p w14:paraId="3CAD2CD6" w14:textId="77777777" w:rsidR="005B2A09" w:rsidRPr="002B29A1" w:rsidRDefault="005B2A09" w:rsidP="00974279">
      <w:pPr>
        <w:jc w:val="center"/>
        <w:rPr>
          <w:rFonts w:ascii="Palatino Linotype" w:eastAsia="Palatino Linotype" w:hAnsi="Palatino Linotype" w:cs="Palatino Linotype"/>
          <w:b/>
          <w:kern w:val="0"/>
          <w:lang w:eastAsia="es-ES"/>
          <w14:ligatures w14:val="none"/>
        </w:rPr>
      </w:pPr>
    </w:p>
    <w:p w14:paraId="1C3F41E5"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9" w:name="_Toc195191380"/>
      <w:r w:rsidRPr="002B29A1">
        <w:rPr>
          <w:rFonts w:ascii="Palatino Linotype" w:eastAsia="Palatino Linotype" w:hAnsi="Palatino Linotype"/>
          <w:b/>
          <w:color w:val="auto"/>
          <w:sz w:val="22"/>
          <w:lang w:eastAsia="es-ES"/>
        </w:rPr>
        <w:t>PRIMERO. Competencia</w:t>
      </w:r>
      <w:bookmarkEnd w:id="9"/>
    </w:p>
    <w:p w14:paraId="73A53502" w14:textId="77777777" w:rsidR="005B2A09" w:rsidRPr="002B29A1" w:rsidRDefault="005B2A09" w:rsidP="00974279">
      <w:pPr>
        <w:rPr>
          <w:rFonts w:ascii="Palatino Linotype" w:eastAsia="Palatino Linotype" w:hAnsi="Palatino Linotype" w:cs="Palatino Linotype"/>
          <w:b/>
          <w:kern w:val="0"/>
          <w:lang w:eastAsia="es-ES"/>
          <w14:ligatures w14:val="none"/>
        </w:rPr>
      </w:pPr>
    </w:p>
    <w:p w14:paraId="2377A259" w14:textId="5E385D7A" w:rsidR="00FF4114" w:rsidRPr="002B29A1" w:rsidRDefault="00FF4114"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w:t>
      </w:r>
      <w:r w:rsidR="00847766"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trigésimo séptimo, trigésimo octavo y trigésimo noveno, fracciones I, II, III, IV y V de la Constitución Política del Estado Libre y Soberano de México;</w:t>
      </w:r>
    </w:p>
    <w:p w14:paraId="238FC6AF" w14:textId="674F1EC7" w:rsidR="009B2008" w:rsidRPr="002B29A1" w:rsidRDefault="00FF4114"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lastRenderedPageBreak/>
        <w:t>1°, 2°, fracciones II y IV; 13, 29</w:t>
      </w:r>
      <w:r w:rsidR="00847766" w:rsidRPr="002B29A1">
        <w:rPr>
          <w:rFonts w:ascii="Palatino Linotype" w:eastAsia="Palatino Linotype" w:hAnsi="Palatino Linotype" w:cs="Palatino Linotype"/>
          <w:kern w:val="0"/>
          <w:lang w:eastAsia="es-ES"/>
          <w14:ligatures w14:val="none"/>
        </w:rPr>
        <w:t>,</w:t>
      </w:r>
      <w:r w:rsidRPr="002B29A1">
        <w:rPr>
          <w:rFonts w:ascii="Palatino Linotype" w:eastAsia="Palatino Linotype" w:hAnsi="Palatino Linotype" w:cs="Palatino Linotype"/>
          <w:kern w:val="0"/>
          <w:lang w:eastAsia="es-ES"/>
          <w14:ligatures w14:val="none"/>
        </w:rPr>
        <w:t xml:space="preserve">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97B2BF3" w14:textId="77777777" w:rsidR="00FF4114" w:rsidRPr="002B29A1" w:rsidRDefault="00FF4114" w:rsidP="00974279">
      <w:pPr>
        <w:rPr>
          <w:rFonts w:ascii="Palatino Linotype" w:eastAsia="Palatino Linotype" w:hAnsi="Palatino Linotype" w:cs="Palatino Linotype"/>
          <w:color w:val="FF0000"/>
          <w:kern w:val="0"/>
          <w:lang w:eastAsia="es-ES"/>
          <w14:ligatures w14:val="none"/>
        </w:rPr>
      </w:pPr>
    </w:p>
    <w:p w14:paraId="5DC5E6F6"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0" w:name="_Toc195191381"/>
      <w:r w:rsidRPr="002B29A1">
        <w:rPr>
          <w:rFonts w:ascii="Palatino Linotype" w:eastAsia="Palatino Linotype" w:hAnsi="Palatino Linotype"/>
          <w:b/>
          <w:color w:val="auto"/>
          <w:sz w:val="22"/>
          <w:lang w:eastAsia="es-ES"/>
        </w:rPr>
        <w:t>SEGUNDO. Causales de improcedencia y sobreseimiento</w:t>
      </w:r>
      <w:bookmarkEnd w:id="10"/>
    </w:p>
    <w:p w14:paraId="0C3A5ED6" w14:textId="77777777" w:rsidR="009B2008" w:rsidRPr="002B29A1" w:rsidRDefault="009B2008" w:rsidP="00974279">
      <w:pPr>
        <w:rPr>
          <w:rFonts w:ascii="Palatino Linotype" w:eastAsia="Palatino Linotype" w:hAnsi="Palatino Linotype" w:cs="Palatino Linotype"/>
          <w:b/>
          <w:color w:val="FF0000"/>
          <w:kern w:val="0"/>
          <w:lang w:eastAsia="es-ES"/>
          <w14:ligatures w14:val="none"/>
        </w:rPr>
      </w:pPr>
    </w:p>
    <w:p w14:paraId="3654E7B2"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De las constancias que forma parte del Recurso de Revisión que se analiza, se advierte que previo al estudio del fondo de la </w:t>
      </w:r>
      <w:r w:rsidRPr="002B29A1">
        <w:rPr>
          <w:rFonts w:ascii="Palatino Linotype" w:eastAsia="Palatino Linotype" w:hAnsi="Palatino Linotype" w:cs="Palatino Linotype"/>
          <w:i/>
          <w:kern w:val="0"/>
          <w:lang w:eastAsia="es-ES"/>
          <w14:ligatures w14:val="none"/>
        </w:rPr>
        <w:t>litis</w:t>
      </w:r>
      <w:r w:rsidRPr="002B29A1">
        <w:rPr>
          <w:rFonts w:ascii="Palatino Linotype" w:eastAsia="Palatino Linotype" w:hAnsi="Palatino Linotype" w:cs="Palatino Linotype"/>
          <w:kern w:val="0"/>
          <w:lang w:eastAsia="es-ES"/>
          <w14:ligatures w14:val="none"/>
        </w:rPr>
        <w:t>, es necesario estudiar las causales de improcedencia y sobreseimiento que se adviertan, para determinar lo que en Derecho proceda.</w:t>
      </w:r>
    </w:p>
    <w:p w14:paraId="72497B17" w14:textId="77777777" w:rsidR="009B2008" w:rsidRPr="002B29A1" w:rsidRDefault="009B2008" w:rsidP="00974279">
      <w:pPr>
        <w:rPr>
          <w:rFonts w:ascii="Palatino Linotype" w:eastAsia="Palatino Linotype" w:hAnsi="Palatino Linotype" w:cs="Palatino Linotype"/>
          <w:b/>
          <w:color w:val="FF0000"/>
          <w:kern w:val="0"/>
          <w:lang w:eastAsia="es-ES"/>
          <w14:ligatures w14:val="none"/>
        </w:rPr>
      </w:pPr>
    </w:p>
    <w:p w14:paraId="080422FC" w14:textId="77777777" w:rsidR="009B2008" w:rsidRPr="002B29A1" w:rsidRDefault="009B2008" w:rsidP="00974279">
      <w:pPr>
        <w:rPr>
          <w:rFonts w:ascii="Palatino Linotype" w:eastAsia="Palatino Linotype" w:hAnsi="Palatino Linotype" w:cs="Palatino Linotype"/>
          <w:b/>
          <w:kern w:val="0"/>
          <w:lang w:eastAsia="es-ES"/>
          <w14:ligatures w14:val="none"/>
        </w:rPr>
      </w:pPr>
      <w:r w:rsidRPr="002B29A1">
        <w:rPr>
          <w:rFonts w:ascii="Palatino Linotype" w:eastAsia="Palatino Linotype" w:hAnsi="Palatino Linotype" w:cs="Palatino Linotype"/>
          <w:b/>
          <w:kern w:val="0"/>
          <w:lang w:eastAsia="es-ES"/>
          <w14:ligatures w14:val="none"/>
        </w:rPr>
        <w:t>Causales de improcedencia</w:t>
      </w:r>
    </w:p>
    <w:p w14:paraId="21BEDA51"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31CA14D1"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08D6307"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3B1CD9DC"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w:t>
      </w:r>
      <w:r w:rsidRPr="002B29A1">
        <w:rPr>
          <w:rFonts w:ascii="Palatino Linotype" w:eastAsia="Palatino Linotype" w:hAnsi="Palatino Linotype" w:cs="Palatino Linotype"/>
          <w:kern w:val="0"/>
          <w:lang w:eastAsia="es-ES"/>
          <w14:ligatures w14:val="none"/>
        </w:rPr>
        <w:lastRenderedPageBreak/>
        <w:t>por la Recurrente ante otra instancia; no existió prevención alguna; la veracidad de la respuesta no formó parte del agravio; ni se realizó una consulta o ampliación a los alcances del requerimiento informativo.</w:t>
      </w:r>
    </w:p>
    <w:p w14:paraId="0F546D45" w14:textId="77777777" w:rsidR="004A0922" w:rsidRPr="002B29A1" w:rsidRDefault="004A0922" w:rsidP="00974279">
      <w:pPr>
        <w:rPr>
          <w:rFonts w:ascii="Palatino Linotype" w:eastAsia="Palatino Linotype" w:hAnsi="Palatino Linotype" w:cs="Palatino Linotype"/>
          <w:kern w:val="0"/>
          <w:lang w:eastAsia="es-ES"/>
          <w14:ligatures w14:val="none"/>
        </w:rPr>
      </w:pPr>
    </w:p>
    <w:p w14:paraId="662047F5" w14:textId="3366F68D"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Asimismo, se actualizan las causales de procedencia del Recurso de Revisión establecidas en el artículo 179, fracci</w:t>
      </w:r>
      <w:r w:rsidR="00FF4114" w:rsidRPr="002B29A1">
        <w:rPr>
          <w:rFonts w:ascii="Palatino Linotype" w:eastAsia="Palatino Linotype" w:hAnsi="Palatino Linotype" w:cs="Palatino Linotype"/>
          <w:kern w:val="0"/>
          <w:lang w:eastAsia="es-ES"/>
          <w14:ligatures w14:val="none"/>
        </w:rPr>
        <w:t>ones</w:t>
      </w:r>
      <w:r w:rsidRPr="002B29A1">
        <w:rPr>
          <w:rFonts w:ascii="Palatino Linotype" w:eastAsia="Palatino Linotype" w:hAnsi="Palatino Linotype" w:cs="Palatino Linotype"/>
          <w:kern w:val="0"/>
          <w:lang w:eastAsia="es-ES"/>
          <w14:ligatures w14:val="none"/>
        </w:rPr>
        <w:t xml:space="preserve"> VI, de la Ley de Transparencia y Acceso a la Información Pública del Estado de México y Municipios, referente a la entrega de información que no corresponde con lo solicitado e incompleta.</w:t>
      </w:r>
    </w:p>
    <w:p w14:paraId="7F7564FB" w14:textId="77777777" w:rsidR="009B2008" w:rsidRPr="002B29A1" w:rsidRDefault="009B2008" w:rsidP="00974279">
      <w:pPr>
        <w:rPr>
          <w:rFonts w:ascii="Palatino Linotype" w:eastAsia="Palatino Linotype" w:hAnsi="Palatino Linotype" w:cs="Palatino Linotype"/>
          <w:kern w:val="0"/>
          <w:lang w:eastAsia="es-ES"/>
          <w14:ligatures w14:val="none"/>
        </w:rPr>
      </w:pPr>
    </w:p>
    <w:p w14:paraId="55AFEF5D"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Causales de sobreseimiento</w:t>
      </w:r>
    </w:p>
    <w:p w14:paraId="597E9821"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689EFF8E"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Por ser de previo y especial pronunciamiento, este Instituto analiza si se actualiza alguna causal de sobreseimiento.</w:t>
      </w:r>
    </w:p>
    <w:p w14:paraId="36BED50F" w14:textId="77777777" w:rsidR="009B2008" w:rsidRPr="002B29A1" w:rsidRDefault="009B2008" w:rsidP="00974279">
      <w:pPr>
        <w:rPr>
          <w:rFonts w:ascii="Palatino Linotype" w:eastAsia="Palatino Linotype" w:hAnsi="Palatino Linotype" w:cs="Palatino Linotype"/>
          <w:kern w:val="0"/>
          <w:lang w:eastAsia="es-ES"/>
          <w14:ligatures w14:val="none"/>
        </w:rPr>
      </w:pPr>
    </w:p>
    <w:p w14:paraId="52007E8F"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804132E" w14:textId="77777777" w:rsidR="009B2008" w:rsidRPr="002B29A1" w:rsidRDefault="009B2008" w:rsidP="00974279">
      <w:pPr>
        <w:rPr>
          <w:rFonts w:ascii="Palatino Linotype" w:eastAsia="Palatino Linotype" w:hAnsi="Palatino Linotype" w:cs="Palatino Linotype"/>
          <w:kern w:val="0"/>
          <w:lang w:eastAsia="es-ES"/>
          <w14:ligatures w14:val="none"/>
        </w:rPr>
      </w:pPr>
    </w:p>
    <w:p w14:paraId="4F60C6BE" w14:textId="77777777" w:rsidR="009B2008" w:rsidRPr="002B29A1" w:rsidRDefault="009B2008" w:rsidP="00974279">
      <w:pPr>
        <w:tabs>
          <w:tab w:val="left" w:pos="4962"/>
        </w:tabs>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Por tales motivos, se considera procedente entrar al fondo del presente asunto. </w:t>
      </w:r>
    </w:p>
    <w:p w14:paraId="4EB54AC1" w14:textId="77777777" w:rsidR="009B2008" w:rsidRPr="002B29A1" w:rsidRDefault="009B2008" w:rsidP="00974279">
      <w:pPr>
        <w:tabs>
          <w:tab w:val="left" w:pos="4962"/>
        </w:tabs>
        <w:rPr>
          <w:rFonts w:ascii="Palatino Linotype" w:eastAsia="Palatino Linotype" w:hAnsi="Palatino Linotype" w:cs="Palatino Linotype"/>
          <w:b/>
          <w:kern w:val="0"/>
          <w:lang w:eastAsia="es-ES"/>
          <w14:ligatures w14:val="none"/>
        </w:rPr>
      </w:pPr>
    </w:p>
    <w:p w14:paraId="1C019EE3"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1" w:name="_Toc195191382"/>
      <w:r w:rsidRPr="002B29A1">
        <w:rPr>
          <w:rFonts w:ascii="Palatino Linotype" w:eastAsia="Palatino Linotype" w:hAnsi="Palatino Linotype"/>
          <w:b/>
          <w:color w:val="auto"/>
          <w:sz w:val="22"/>
          <w:lang w:eastAsia="es-ES"/>
        </w:rPr>
        <w:t>TERCERO. Determinación de la Controversia</w:t>
      </w:r>
      <w:bookmarkEnd w:id="11"/>
    </w:p>
    <w:p w14:paraId="05393CF7" w14:textId="77777777" w:rsidR="009B2008" w:rsidRPr="002B29A1" w:rsidRDefault="009B2008" w:rsidP="00974279">
      <w:pPr>
        <w:tabs>
          <w:tab w:val="left" w:pos="4962"/>
        </w:tabs>
        <w:rPr>
          <w:rFonts w:ascii="Palatino Linotype" w:eastAsia="Palatino Linotype" w:hAnsi="Palatino Linotype" w:cs="Palatino Linotype"/>
          <w:color w:val="FF0000"/>
          <w:kern w:val="0"/>
          <w:lang w:eastAsia="es-ES"/>
          <w14:ligatures w14:val="none"/>
        </w:rPr>
      </w:pPr>
    </w:p>
    <w:p w14:paraId="7C763AD4" w14:textId="5ACD9D70" w:rsidR="009B2008" w:rsidRPr="002B29A1" w:rsidRDefault="009B2008"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lastRenderedPageBreak/>
        <w:t xml:space="preserve">Con el objeto de ilustrar la controversia planteada, resulta conveniente realizar un cuadro, con la solicitud de información, la respuesta y el agravio, para lo cual se desprende que el Particular requirió, </w:t>
      </w:r>
      <w:r w:rsidR="0038595D" w:rsidRPr="002B29A1">
        <w:rPr>
          <w:rFonts w:ascii="Palatino Linotype" w:eastAsia="Palatino Linotype" w:hAnsi="Palatino Linotype" w:cs="Palatino Linotype"/>
          <w:kern w:val="0"/>
          <w:lang w:eastAsia="es-ES"/>
          <w14:ligatures w14:val="none"/>
        </w:rPr>
        <w:t xml:space="preserve">todas </w:t>
      </w:r>
      <w:r w:rsidR="00FF4114" w:rsidRPr="002B29A1">
        <w:rPr>
          <w:rFonts w:ascii="Palatino Linotype" w:eastAsia="Palatino Linotype" w:hAnsi="Palatino Linotype" w:cs="Palatino Linotype"/>
          <w:kern w:val="0"/>
          <w:lang w:eastAsia="es-ES"/>
          <w14:ligatures w14:val="none"/>
        </w:rPr>
        <w:t xml:space="preserve">las </w:t>
      </w:r>
      <w:r w:rsidR="005B2A09" w:rsidRPr="002B29A1">
        <w:rPr>
          <w:rFonts w:ascii="Palatino Linotype" w:eastAsia="Palatino Linotype" w:hAnsi="Palatino Linotype" w:cs="Palatino Linotype"/>
          <w:kern w:val="0"/>
          <w:lang w:eastAsia="es-ES"/>
          <w14:ligatures w14:val="none"/>
        </w:rPr>
        <w:t>A</w:t>
      </w:r>
      <w:r w:rsidR="00FF4114" w:rsidRPr="002B29A1">
        <w:rPr>
          <w:rFonts w:ascii="Palatino Linotype" w:eastAsia="Palatino Linotype" w:hAnsi="Palatino Linotype" w:cs="Palatino Linotype"/>
          <w:kern w:val="0"/>
          <w:lang w:eastAsia="es-ES"/>
          <w14:ligatures w14:val="none"/>
        </w:rPr>
        <w:t xml:space="preserve">ctas </w:t>
      </w:r>
      <w:r w:rsidR="005B2A09" w:rsidRPr="002B29A1">
        <w:rPr>
          <w:rFonts w:ascii="Palatino Linotype" w:eastAsia="Palatino Linotype" w:hAnsi="Palatino Linotype" w:cs="Palatino Linotype"/>
          <w:kern w:val="0"/>
          <w:lang w:eastAsia="es-ES"/>
          <w14:ligatures w14:val="none"/>
        </w:rPr>
        <w:t>de las Sesiones de Cabido</w:t>
      </w:r>
      <w:r w:rsidR="00847766" w:rsidRPr="002B29A1">
        <w:rPr>
          <w:rFonts w:ascii="Palatino Linotype" w:eastAsia="Palatino Linotype" w:hAnsi="Palatino Linotype" w:cs="Palatino Linotype"/>
          <w:kern w:val="0"/>
          <w:lang w:eastAsia="es-ES"/>
          <w14:ligatures w14:val="none"/>
        </w:rPr>
        <w:t>, celebradas del primero de enero de dos mil diecinueve y al treinta y uno de diciembre de dos mil veintiuno.</w:t>
      </w:r>
    </w:p>
    <w:p w14:paraId="34F0A27F" w14:textId="77777777" w:rsidR="004A0922" w:rsidRPr="002B29A1" w:rsidRDefault="004A0922" w:rsidP="00974279">
      <w:pPr>
        <w:widowControl w:val="0"/>
        <w:rPr>
          <w:rFonts w:ascii="Palatino Linotype" w:eastAsia="Palatino Linotype" w:hAnsi="Palatino Linotype" w:cs="Palatino Linotype"/>
          <w:kern w:val="0"/>
          <w:lang w:eastAsia="es-ES"/>
          <w14:ligatures w14:val="none"/>
        </w:rPr>
      </w:pPr>
    </w:p>
    <w:p w14:paraId="2E03627E" w14:textId="76BF7A9C" w:rsidR="00FF4114" w:rsidRPr="002B29A1" w:rsidRDefault="00FF4114"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En respuesta, el Sujeto Obligado a través de la Secretaría del Ayuntamiento señaló que después de haber realizado </w:t>
      </w:r>
      <w:bookmarkStart w:id="12" w:name="_Hlk193907864"/>
      <w:r w:rsidRPr="002B29A1">
        <w:rPr>
          <w:rFonts w:ascii="Palatino Linotype" w:eastAsia="Palatino Linotype" w:hAnsi="Palatino Linotype" w:cs="Palatino Linotype"/>
          <w:kern w:val="0"/>
          <w:lang w:eastAsia="es-ES"/>
          <w14:ligatures w14:val="none"/>
        </w:rPr>
        <w:t>la búsqueda exhaustiva y razonable en los archivos que obra</w:t>
      </w:r>
      <w:r w:rsidR="00847766" w:rsidRPr="002B29A1">
        <w:rPr>
          <w:rFonts w:ascii="Palatino Linotype" w:eastAsia="Palatino Linotype" w:hAnsi="Palatino Linotype" w:cs="Palatino Linotype"/>
          <w:kern w:val="0"/>
          <w:lang w:eastAsia="es-ES"/>
          <w14:ligatures w14:val="none"/>
        </w:rPr>
        <w:t>ban</w:t>
      </w:r>
      <w:r w:rsidRPr="002B29A1">
        <w:rPr>
          <w:rFonts w:ascii="Palatino Linotype" w:eastAsia="Palatino Linotype" w:hAnsi="Palatino Linotype" w:cs="Palatino Linotype"/>
          <w:kern w:val="0"/>
          <w:lang w:eastAsia="es-ES"/>
          <w14:ligatures w14:val="none"/>
        </w:rPr>
        <w:t xml:space="preserve"> en la Coordinación de Apoyo a Cabildo de la Secretaría del Ayuntamiento</w:t>
      </w:r>
      <w:r w:rsidR="001907B0" w:rsidRPr="002B29A1">
        <w:rPr>
          <w:rFonts w:ascii="Palatino Linotype" w:eastAsia="Palatino Linotype" w:hAnsi="Palatino Linotype" w:cs="Palatino Linotype"/>
          <w:kern w:val="0"/>
          <w:lang w:eastAsia="es-ES"/>
          <w14:ligatures w14:val="none"/>
        </w:rPr>
        <w:t xml:space="preserve"> </w:t>
      </w:r>
      <w:r w:rsidR="005B2A09" w:rsidRPr="002B29A1">
        <w:rPr>
          <w:rFonts w:ascii="Palatino Linotype" w:eastAsia="Palatino Linotype" w:hAnsi="Palatino Linotype" w:cs="Palatino Linotype"/>
          <w:kern w:val="0"/>
          <w:lang w:eastAsia="es-ES"/>
          <w14:ligatures w14:val="none"/>
        </w:rPr>
        <w:t xml:space="preserve">proporcionaba las Actas de </w:t>
      </w:r>
      <w:r w:rsidRPr="002B29A1">
        <w:rPr>
          <w:rFonts w:ascii="Palatino Linotype" w:eastAsia="Palatino Linotype" w:hAnsi="Palatino Linotype" w:cs="Palatino Linotype"/>
          <w:kern w:val="0"/>
          <w:lang w:eastAsia="es-ES"/>
          <w14:ligatures w14:val="none"/>
        </w:rPr>
        <w:t xml:space="preserve"> </w:t>
      </w:r>
      <w:bookmarkEnd w:id="12"/>
      <w:r w:rsidR="005B2A09" w:rsidRPr="002B29A1">
        <w:rPr>
          <w:rFonts w:ascii="Palatino Linotype" w:eastAsia="Palatino Linotype" w:hAnsi="Palatino Linotype" w:cs="Palatino Linotype"/>
          <w:kern w:val="0"/>
          <w:lang w:eastAsia="es-ES"/>
          <w14:ligatures w14:val="none"/>
        </w:rPr>
        <w:t>la temporalidad solicitada</w:t>
      </w:r>
      <w:r w:rsidRPr="002B29A1">
        <w:rPr>
          <w:rFonts w:ascii="Palatino Linotype" w:eastAsia="Palatino Linotype" w:hAnsi="Palatino Linotype" w:cs="Palatino Linotype"/>
          <w:kern w:val="0"/>
          <w:lang w:eastAsia="es-ES"/>
          <w14:ligatures w14:val="none"/>
        </w:rPr>
        <w:t xml:space="preserve">; ante circunstancia, el Particular se inconformó de la entrega de información que no corresponde con lo solicitado, lo cual actualiza las causales de procedencia previstas en las fracciones </w:t>
      </w:r>
      <w:r w:rsidR="00A325AC"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VI del artículo 179, de la Ley de Transparencia y Acceso a la Información Pública del Estado de México y Municipios.</w:t>
      </w:r>
      <w:r w:rsidR="00A46436" w:rsidRPr="002B29A1">
        <w:rPr>
          <w:rFonts w:ascii="Palatino Linotype" w:hAnsi="Palatino Linotype"/>
        </w:rPr>
        <w:t xml:space="preserve"> </w:t>
      </w:r>
      <w:r w:rsidR="00A46436" w:rsidRPr="002B29A1">
        <w:rPr>
          <w:rFonts w:ascii="Palatino Linotype" w:eastAsia="Palatino Linotype" w:hAnsi="Palatino Linotype" w:cs="Palatino Linotype"/>
          <w:kern w:val="0"/>
          <w:lang w:eastAsia="es-ES"/>
          <w14:ligatures w14:val="none"/>
        </w:rPr>
        <w:t xml:space="preserve">Municipios. Así, las cosas, una vez admitido y notificado el Recurso de Revisión el Sujeto Obligado </w:t>
      </w:r>
      <w:r w:rsidR="00B80CC3" w:rsidRPr="002B29A1">
        <w:rPr>
          <w:rFonts w:ascii="Palatino Linotype" w:eastAsia="Palatino Linotype" w:hAnsi="Palatino Linotype" w:cs="Palatino Linotype"/>
          <w:kern w:val="0"/>
          <w:lang w:eastAsia="es-ES"/>
          <w14:ligatures w14:val="none"/>
        </w:rPr>
        <w:t>ratificó la respuesta.</w:t>
      </w:r>
    </w:p>
    <w:p w14:paraId="4FF6C99A" w14:textId="7777777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49A0FA34" w14:textId="393FDAF6"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Lo anterior, se desprende de las documentales que obran en el expediente de referencia, materia de la presente resolución, consistente en las solicitudes de acceso a la información, las respuestas</w:t>
      </w:r>
      <w:r w:rsidR="006E2FD7"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los escritos recursales</w:t>
      </w:r>
      <w:r w:rsidR="006E2FD7" w:rsidRPr="002B29A1">
        <w:rPr>
          <w:rFonts w:ascii="Palatino Linotype" w:eastAsia="Palatino Linotype" w:hAnsi="Palatino Linotype" w:cs="Palatino Linotype"/>
          <w:kern w:val="0"/>
          <w:lang w:eastAsia="es-ES"/>
          <w14:ligatures w14:val="none"/>
        </w:rPr>
        <w:t xml:space="preserve"> y los informes justificados</w:t>
      </w:r>
      <w:r w:rsidRPr="002B29A1">
        <w:rPr>
          <w:rFonts w:ascii="Palatino Linotype" w:eastAsia="Palatino Linotype" w:hAnsi="Palatino Linotype" w:cs="Palatino Linotype"/>
          <w:kern w:val="0"/>
          <w:lang w:eastAsia="es-ES"/>
          <w14:ligatures w14:val="none"/>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14:paraId="3FAB6DE3" w14:textId="77777777" w:rsidR="009B2008" w:rsidRPr="002B29A1" w:rsidRDefault="009B2008" w:rsidP="00974279">
      <w:pPr>
        <w:tabs>
          <w:tab w:val="left" w:pos="4962"/>
        </w:tabs>
        <w:rPr>
          <w:rFonts w:ascii="Palatino Linotype" w:eastAsia="Palatino Linotype" w:hAnsi="Palatino Linotype" w:cs="Palatino Linotype"/>
          <w:color w:val="FF0000"/>
          <w:kern w:val="0"/>
          <w:lang w:eastAsia="es-ES"/>
          <w14:ligatures w14:val="none"/>
        </w:rPr>
      </w:pPr>
    </w:p>
    <w:p w14:paraId="2B9FFE48" w14:textId="61BFE03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3" w:name="_Toc195191383"/>
      <w:r w:rsidRPr="002B29A1">
        <w:rPr>
          <w:rFonts w:ascii="Palatino Linotype" w:eastAsia="Palatino Linotype" w:hAnsi="Palatino Linotype"/>
          <w:b/>
          <w:color w:val="auto"/>
          <w:sz w:val="22"/>
          <w:lang w:eastAsia="es-ES"/>
        </w:rPr>
        <w:t>CUARTO. Marco normativo aplicable en materia de transparencia y acceso a la información pública</w:t>
      </w:r>
      <w:bookmarkEnd w:id="13"/>
    </w:p>
    <w:p w14:paraId="2D628DFE" w14:textId="77777777" w:rsidR="005B2A09" w:rsidRPr="002B29A1" w:rsidRDefault="005B2A09" w:rsidP="00974279">
      <w:pPr>
        <w:rPr>
          <w:rFonts w:ascii="Palatino Linotype" w:eastAsia="Palatino Linotype" w:hAnsi="Palatino Linotype" w:cs="Palatino Linotype"/>
          <w:b/>
          <w:color w:val="000000" w:themeColor="text1"/>
          <w:kern w:val="0"/>
          <w:lang w:eastAsia="es-ES"/>
          <w14:ligatures w14:val="none"/>
        </w:rPr>
      </w:pPr>
    </w:p>
    <w:p w14:paraId="6F64AF98" w14:textId="77777777" w:rsidR="005B2A09" w:rsidRPr="002B29A1" w:rsidRDefault="005B2A09"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B38259C" w14:textId="77777777" w:rsidR="006E2FD7" w:rsidRPr="002B29A1" w:rsidRDefault="006E2FD7" w:rsidP="00974279">
      <w:pPr>
        <w:rPr>
          <w:rFonts w:ascii="Palatino Linotype" w:eastAsia="Palatino Linotype" w:hAnsi="Palatino Linotype" w:cs="Palatino Linotype"/>
          <w:b/>
          <w:color w:val="000000" w:themeColor="text1"/>
          <w:kern w:val="0"/>
          <w:lang w:eastAsia="es-ES"/>
          <w14:ligatures w14:val="none"/>
        </w:rPr>
      </w:pPr>
    </w:p>
    <w:p w14:paraId="33EAEAD2" w14:textId="77777777" w:rsidR="009B2008" w:rsidRPr="002B29A1" w:rsidRDefault="009B2008" w:rsidP="00974279">
      <w:pPr>
        <w:rPr>
          <w:rFonts w:ascii="Palatino Linotype" w:eastAsia="Palatino Linotype" w:hAnsi="Palatino Linotype" w:cs="Palatino Linotype"/>
          <w:color w:val="000000" w:themeColor="text1"/>
          <w:kern w:val="0"/>
          <w:lang w:eastAsia="es-ES"/>
          <w14:ligatures w14:val="none"/>
        </w:rPr>
      </w:pPr>
      <w:r w:rsidRPr="002B29A1">
        <w:rPr>
          <w:rFonts w:ascii="Palatino Linotype" w:eastAsia="Palatino Linotype" w:hAnsi="Palatino Linotype" w:cs="Palatino Linotype"/>
          <w:color w:val="000000" w:themeColor="text1"/>
          <w:kern w:val="0"/>
          <w:lang w:eastAsia="es-ES"/>
          <w14:ligatures w14:val="none"/>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63F4BE3" w14:textId="77777777" w:rsidR="009B2008" w:rsidRPr="002B29A1" w:rsidRDefault="009B2008" w:rsidP="00974279">
      <w:pPr>
        <w:widowControl w:val="0"/>
        <w:rPr>
          <w:rFonts w:ascii="Palatino Linotype" w:eastAsia="Palatino Linotype" w:hAnsi="Palatino Linotype" w:cs="Palatino Linotype"/>
          <w:color w:val="000000" w:themeColor="text1"/>
          <w:kern w:val="0"/>
          <w:lang w:eastAsia="es-ES"/>
          <w14:ligatures w14:val="none"/>
        </w:rPr>
      </w:pPr>
    </w:p>
    <w:p w14:paraId="554F15E3" w14:textId="7ED028A6" w:rsidR="009B2008" w:rsidRPr="002B29A1" w:rsidRDefault="005B2A09" w:rsidP="00974279">
      <w:pPr>
        <w:widowControl w:val="0"/>
        <w:rPr>
          <w:rFonts w:ascii="Palatino Linotype" w:eastAsia="Palatino Linotype" w:hAnsi="Palatino Linotype" w:cs="Palatino Linotype"/>
          <w:color w:val="000000" w:themeColor="text1"/>
          <w:kern w:val="0"/>
          <w:lang w:eastAsia="es-ES"/>
          <w14:ligatures w14:val="none"/>
        </w:rPr>
      </w:pPr>
      <w:r w:rsidRPr="002B29A1">
        <w:rPr>
          <w:rFonts w:ascii="Palatino Linotype" w:eastAsia="Palatino Linotype" w:hAnsi="Palatino Linotype" w:cs="Palatino Linotype"/>
          <w:color w:val="000000" w:themeColor="text1"/>
          <w:kern w:val="0"/>
          <w:lang w:eastAsia="es-ES"/>
          <w14:ligatures w14:val="none"/>
        </w:rPr>
        <w:t>Además</w:t>
      </w:r>
      <w:r w:rsidR="009B2008" w:rsidRPr="002B29A1">
        <w:rPr>
          <w:rFonts w:ascii="Palatino Linotype" w:eastAsia="Palatino Linotype" w:hAnsi="Palatino Linotype" w:cs="Palatino Linotype"/>
          <w:color w:val="000000" w:themeColor="text1"/>
          <w:kern w:val="0"/>
          <w:lang w:eastAsia="es-ES"/>
          <w14:ligatures w14:val="none"/>
        </w:rPr>
        <w:t>, la Ley de Transparencia y Acceso a la Información Pública del Estado de México y Municipios (Reglamentaria del artículo 5° de la Constitución Local), establece lo siguiente:</w:t>
      </w:r>
    </w:p>
    <w:p w14:paraId="2F508702" w14:textId="77777777" w:rsidR="005B2A09" w:rsidRPr="002B29A1" w:rsidRDefault="005B2A09" w:rsidP="00974279">
      <w:pPr>
        <w:widowControl w:val="0"/>
        <w:rPr>
          <w:rFonts w:ascii="Palatino Linotype" w:eastAsia="Palatino Linotype" w:hAnsi="Palatino Linotype" w:cs="Palatino Linotype"/>
          <w:color w:val="000000" w:themeColor="text1"/>
          <w:kern w:val="0"/>
          <w:lang w:eastAsia="es-ES"/>
          <w14:ligatures w14:val="none"/>
        </w:rPr>
      </w:pPr>
    </w:p>
    <w:p w14:paraId="778C31F0" w14:textId="77777777" w:rsidR="009B2008" w:rsidRPr="002B29A1" w:rsidRDefault="009B2008" w:rsidP="00974279">
      <w:pPr>
        <w:widowControl w:val="0"/>
        <w:rPr>
          <w:rFonts w:ascii="Palatino Linotype" w:eastAsia="Palatino Linotype" w:hAnsi="Palatino Linotype" w:cs="Palatino Linotype"/>
          <w:color w:val="000000" w:themeColor="text1"/>
          <w:kern w:val="0"/>
          <w:lang w:eastAsia="es-ES"/>
          <w14:ligatures w14:val="none"/>
        </w:rPr>
      </w:pPr>
      <w:r w:rsidRPr="002B29A1">
        <w:rPr>
          <w:rFonts w:ascii="Palatino Linotype" w:eastAsia="Palatino Linotype" w:hAnsi="Palatino Linotype" w:cs="Palatino Linotype"/>
          <w:color w:val="000000" w:themeColor="text1"/>
          <w:kern w:val="0"/>
          <w:lang w:eastAsia="es-ES"/>
          <w14:ligatures w14:val="none"/>
        </w:rPr>
        <w:t>El artículo 12, que, quienes generen, recopilen, administren, manejen, procesen, archiven o conserven información pública serán responsables de la misma.</w:t>
      </w:r>
    </w:p>
    <w:p w14:paraId="5864BA0C" w14:textId="77777777" w:rsidR="009B2008" w:rsidRPr="002B29A1" w:rsidRDefault="009B2008" w:rsidP="00974279">
      <w:pPr>
        <w:widowControl w:val="0"/>
        <w:rPr>
          <w:rFonts w:ascii="Palatino Linotype" w:eastAsia="Palatino Linotype" w:hAnsi="Palatino Linotype" w:cs="Palatino Linotype"/>
          <w:color w:val="000000" w:themeColor="text1"/>
          <w:kern w:val="0"/>
          <w:lang w:eastAsia="es-ES"/>
          <w14:ligatures w14:val="none"/>
        </w:rPr>
      </w:pPr>
    </w:p>
    <w:p w14:paraId="2B4253EC" w14:textId="77777777" w:rsidR="009B2008" w:rsidRPr="002B29A1" w:rsidRDefault="009B2008" w:rsidP="00974279">
      <w:pPr>
        <w:widowControl w:val="0"/>
        <w:rPr>
          <w:rFonts w:ascii="Palatino Linotype" w:eastAsia="Palatino Linotype" w:hAnsi="Palatino Linotype" w:cs="Palatino Linotype"/>
          <w:color w:val="000000" w:themeColor="text1"/>
          <w:kern w:val="0"/>
          <w:lang w:eastAsia="es-ES"/>
          <w14:ligatures w14:val="none"/>
        </w:rPr>
      </w:pPr>
      <w:r w:rsidRPr="002B29A1">
        <w:rPr>
          <w:rFonts w:ascii="Palatino Linotype" w:eastAsia="Palatino Linotype" w:hAnsi="Palatino Linotype" w:cs="Palatino Linotype"/>
          <w:color w:val="000000" w:themeColor="text1"/>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2A9A5E5A" w14:textId="77777777" w:rsidR="009B2008" w:rsidRPr="002B29A1" w:rsidRDefault="009B2008" w:rsidP="00974279">
      <w:pPr>
        <w:widowControl w:val="0"/>
        <w:rPr>
          <w:rFonts w:ascii="Palatino Linotype" w:eastAsia="Palatino Linotype" w:hAnsi="Palatino Linotype" w:cs="Palatino Linotype"/>
          <w:color w:val="000000" w:themeColor="text1"/>
          <w:kern w:val="0"/>
          <w:lang w:eastAsia="es-ES"/>
          <w14:ligatures w14:val="none"/>
        </w:rPr>
      </w:pPr>
    </w:p>
    <w:p w14:paraId="7F225F75" w14:textId="77777777" w:rsidR="009B2008" w:rsidRPr="002B29A1" w:rsidRDefault="009B2008" w:rsidP="00974279">
      <w:pPr>
        <w:rPr>
          <w:rFonts w:ascii="Palatino Linotype" w:eastAsia="Palatino Linotype" w:hAnsi="Palatino Linotype" w:cs="Palatino Linotype"/>
          <w:color w:val="000000" w:themeColor="text1"/>
          <w:kern w:val="0"/>
          <w:lang w:eastAsia="es-ES"/>
          <w14:ligatures w14:val="none"/>
        </w:rPr>
      </w:pPr>
      <w:r w:rsidRPr="002B29A1">
        <w:rPr>
          <w:rFonts w:ascii="Palatino Linotype" w:eastAsia="Palatino Linotype" w:hAnsi="Palatino Linotype" w:cs="Palatino Linotype"/>
          <w:color w:val="000000" w:themeColor="text1"/>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4B5179E" w14:textId="77777777" w:rsidR="009B2008" w:rsidRPr="002B29A1" w:rsidRDefault="009B2008" w:rsidP="00974279">
      <w:pPr>
        <w:tabs>
          <w:tab w:val="left" w:pos="4962"/>
        </w:tabs>
        <w:rPr>
          <w:rFonts w:ascii="Palatino Linotype" w:eastAsia="Palatino Linotype" w:hAnsi="Palatino Linotype" w:cs="Palatino Linotype"/>
          <w:color w:val="ED0000"/>
          <w:kern w:val="0"/>
          <w:lang w:eastAsia="es-ES"/>
          <w14:ligatures w14:val="none"/>
        </w:rPr>
      </w:pPr>
    </w:p>
    <w:p w14:paraId="1257FC04"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4" w:name="_Toc195191384"/>
      <w:r w:rsidRPr="002B29A1">
        <w:rPr>
          <w:rFonts w:ascii="Palatino Linotype" w:eastAsia="Palatino Linotype" w:hAnsi="Palatino Linotype"/>
          <w:b/>
          <w:color w:val="auto"/>
          <w:sz w:val="22"/>
          <w:lang w:eastAsia="es-ES"/>
        </w:rPr>
        <w:lastRenderedPageBreak/>
        <w:t>QUINTO. Estudio de Fondo</w:t>
      </w:r>
      <w:bookmarkEnd w:id="14"/>
    </w:p>
    <w:p w14:paraId="546BE358" w14:textId="77777777" w:rsidR="009B2008" w:rsidRPr="002B29A1" w:rsidRDefault="009B2008" w:rsidP="00974279">
      <w:pPr>
        <w:rPr>
          <w:rFonts w:ascii="Palatino Linotype" w:eastAsia="Palatino Linotype" w:hAnsi="Palatino Linotype" w:cs="Palatino Linotype"/>
          <w:b/>
          <w:color w:val="FF0000"/>
          <w:kern w:val="0"/>
          <w:lang w:eastAsia="es-ES"/>
          <w14:ligatures w14:val="none"/>
        </w:rPr>
      </w:pPr>
    </w:p>
    <w:p w14:paraId="49FD8228" w14:textId="1D74515D" w:rsidR="009B2008" w:rsidRPr="002B29A1" w:rsidRDefault="009B2008" w:rsidP="00974279">
      <w:pPr>
        <w:tabs>
          <w:tab w:val="left" w:pos="4962"/>
        </w:tabs>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Expuestas las posturas de las partes, se procede a realizar el análisis del agravio hecho valer por la ahora Recurrente, concerniente a la entrega de información que no corresponde con lo solicitado, por lo que, en principio es necesario contextualizar la solicitud de información.</w:t>
      </w:r>
    </w:p>
    <w:p w14:paraId="1D77148C" w14:textId="77777777" w:rsidR="009B2008" w:rsidRPr="002B29A1" w:rsidRDefault="009B2008" w:rsidP="00974279">
      <w:pPr>
        <w:tabs>
          <w:tab w:val="left" w:pos="4962"/>
        </w:tabs>
        <w:rPr>
          <w:rFonts w:ascii="Palatino Linotype" w:eastAsia="Palatino Linotype" w:hAnsi="Palatino Linotype" w:cs="Palatino Linotype"/>
          <w:color w:val="FF0000"/>
          <w:kern w:val="0"/>
          <w:lang w:eastAsia="es-ES"/>
          <w14:ligatures w14:val="none"/>
        </w:rPr>
      </w:pPr>
    </w:p>
    <w:p w14:paraId="7C5BF46E" w14:textId="77777777" w:rsidR="009B2008" w:rsidRPr="002B29A1" w:rsidRDefault="009B2008"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6EBD1B4A" w14:textId="77777777" w:rsidR="009B2008" w:rsidRPr="002B29A1" w:rsidRDefault="009B2008" w:rsidP="00974279">
      <w:pPr>
        <w:ind w:right="-28"/>
        <w:rPr>
          <w:rFonts w:ascii="Palatino Linotype" w:eastAsia="Palatino Linotype" w:hAnsi="Palatino Linotype" w:cs="Palatino Linotype"/>
          <w:kern w:val="0"/>
          <w:lang w:eastAsia="es-ES"/>
          <w14:ligatures w14:val="none"/>
        </w:rPr>
      </w:pPr>
    </w:p>
    <w:p w14:paraId="67CCE57C" w14:textId="77777777" w:rsidR="009B2008" w:rsidRPr="002B29A1" w:rsidRDefault="009B2008"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En ese sentido, la Ley Orgánica Municipal del Estado de México y Municipios, en sus artículos 28 y 30, establecen lo siguiente:</w:t>
      </w:r>
    </w:p>
    <w:p w14:paraId="3A8CACC6" w14:textId="77777777" w:rsidR="009B2008" w:rsidRPr="002B29A1" w:rsidRDefault="009B2008" w:rsidP="00974279">
      <w:pPr>
        <w:ind w:right="-28"/>
        <w:rPr>
          <w:rFonts w:ascii="Palatino Linotype" w:eastAsia="Palatino Linotype" w:hAnsi="Palatino Linotype" w:cs="Palatino Linotype"/>
          <w:kern w:val="0"/>
          <w:lang w:eastAsia="es-ES"/>
          <w14:ligatures w14:val="none"/>
        </w:rPr>
      </w:pPr>
    </w:p>
    <w:p w14:paraId="41CD02E5"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El Cabildo sesionará cuando menos, una vez cada ocho días, las cuales serán públicas y deberán transmitirse por Internet;</w:t>
      </w:r>
    </w:p>
    <w:p w14:paraId="70F4D24C" w14:textId="77777777" w:rsidR="009B2008" w:rsidRPr="002B29A1" w:rsidRDefault="009B2008" w:rsidP="00974279">
      <w:pPr>
        <w:pBdr>
          <w:top w:val="nil"/>
          <w:left w:val="nil"/>
          <w:bottom w:val="nil"/>
          <w:right w:val="nil"/>
          <w:between w:val="nil"/>
        </w:pBdr>
        <w:ind w:left="720" w:right="-28"/>
        <w:rPr>
          <w:rFonts w:ascii="Palatino Linotype" w:eastAsia="Palatino Linotype" w:hAnsi="Palatino Linotype" w:cs="Palatino Linotype"/>
          <w:kern w:val="0"/>
          <w:lang w:eastAsia="es-ES"/>
          <w14:ligatures w14:val="none"/>
        </w:rPr>
      </w:pPr>
    </w:p>
    <w:p w14:paraId="7B3495E8"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El Cabildo abierto son las sesiones que celebra el Ayuntamiento, en las que las personas habitantes involucradas participan directamente con derecho a voz, pero sin voto, a fin de discutir asuntos de interés y con competencia sobre el mismo, sesionarán en cabildo abierto cuando menos bimestralmente, y de manera anual.</w:t>
      </w:r>
    </w:p>
    <w:p w14:paraId="2B67DF7E" w14:textId="77777777" w:rsidR="009B2008" w:rsidRPr="002B29A1" w:rsidRDefault="009B2008" w:rsidP="00974279">
      <w:pPr>
        <w:pBdr>
          <w:top w:val="nil"/>
          <w:left w:val="nil"/>
          <w:bottom w:val="nil"/>
          <w:right w:val="nil"/>
          <w:between w:val="nil"/>
        </w:pBdr>
        <w:ind w:left="720"/>
        <w:rPr>
          <w:rFonts w:ascii="Palatino Linotype" w:eastAsia="Palatino Linotype" w:hAnsi="Palatino Linotype" w:cs="Palatino Linotype"/>
          <w:kern w:val="0"/>
          <w:lang w:eastAsia="es-ES"/>
          <w14:ligatures w14:val="none"/>
        </w:rPr>
      </w:pPr>
    </w:p>
    <w:p w14:paraId="4AF5A224"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El Ayuntamiento deberá emitir una convocatoria pública quince días naturales previos a la celebración del Cabildo abierto para que las personas habitantes del municipio que tengan interés se registren como participantes ante la Secretaría del Ayuntamiento. </w:t>
      </w:r>
    </w:p>
    <w:p w14:paraId="4C111AE2" w14:textId="77777777" w:rsidR="005B2A09" w:rsidRPr="002B29A1" w:rsidRDefault="005B2A09" w:rsidP="00974279">
      <w:pPr>
        <w:pStyle w:val="Prrafodelista"/>
        <w:rPr>
          <w:rFonts w:ascii="Palatino Linotype" w:eastAsia="Palatino Linotype" w:hAnsi="Palatino Linotype" w:cs="Palatino Linotype"/>
          <w:kern w:val="0"/>
          <w:lang w:eastAsia="es-ES"/>
          <w14:ligatures w14:val="none"/>
        </w:rPr>
      </w:pPr>
    </w:p>
    <w:p w14:paraId="1D2A223B" w14:textId="572D93F3" w:rsidR="006E2FD7" w:rsidRPr="002B29A1" w:rsidRDefault="006E2FD7"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lastRenderedPageBreak/>
        <w:t xml:space="preserve">El </w:t>
      </w:r>
      <w:r w:rsidR="00B80CC3" w:rsidRPr="002B29A1">
        <w:rPr>
          <w:rFonts w:ascii="Palatino Linotype" w:eastAsia="Palatino Linotype" w:hAnsi="Palatino Linotype" w:cs="Palatino Linotype"/>
          <w:kern w:val="0"/>
          <w:lang w:eastAsia="es-ES"/>
          <w14:ligatures w14:val="none"/>
        </w:rPr>
        <w:t>C</w:t>
      </w:r>
      <w:r w:rsidRPr="002B29A1">
        <w:rPr>
          <w:rFonts w:ascii="Palatino Linotype" w:eastAsia="Palatino Linotype" w:hAnsi="Palatino Linotype" w:cs="Palatino Linotype"/>
          <w:kern w:val="0"/>
          <w:lang w:eastAsia="es-ES"/>
          <w14:ligatures w14:val="none"/>
        </w:rPr>
        <w:t xml:space="preserve">abildo </w:t>
      </w:r>
      <w:r w:rsidR="00B80CC3" w:rsidRPr="002B29A1">
        <w:rPr>
          <w:rFonts w:ascii="Palatino Linotype" w:eastAsia="Palatino Linotype" w:hAnsi="Palatino Linotype" w:cs="Palatino Linotype"/>
          <w:kern w:val="0"/>
          <w:lang w:eastAsia="es-ES"/>
          <w14:ligatures w14:val="none"/>
        </w:rPr>
        <w:t>J</w:t>
      </w:r>
      <w:r w:rsidRPr="002B29A1">
        <w:rPr>
          <w:rFonts w:ascii="Palatino Linotype" w:eastAsia="Palatino Linotype" w:hAnsi="Palatino Linotype" w:cs="Palatino Linotype"/>
          <w:kern w:val="0"/>
          <w:lang w:eastAsia="es-ES"/>
          <w14:ligatures w14:val="none"/>
        </w:rPr>
        <w:t>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w:t>
      </w:r>
    </w:p>
    <w:p w14:paraId="4C5A0FDA" w14:textId="77777777" w:rsidR="009B2008" w:rsidRPr="002B29A1" w:rsidRDefault="009B2008" w:rsidP="00974279">
      <w:pPr>
        <w:pBdr>
          <w:top w:val="nil"/>
          <w:left w:val="nil"/>
          <w:bottom w:val="nil"/>
          <w:right w:val="nil"/>
          <w:between w:val="nil"/>
        </w:pBdr>
        <w:ind w:left="720" w:right="-28"/>
        <w:rPr>
          <w:rFonts w:ascii="Palatino Linotype" w:eastAsia="Palatino Linotype" w:hAnsi="Palatino Linotype" w:cs="Palatino Linotype"/>
          <w:kern w:val="0"/>
          <w:lang w:eastAsia="es-ES"/>
          <w14:ligatures w14:val="none"/>
        </w:rPr>
      </w:pPr>
    </w:p>
    <w:p w14:paraId="361EF0B1"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Las sesiones del Cabildo, constarán en un libro que deberá contener</w:t>
      </w:r>
      <w:r w:rsidRPr="002B29A1">
        <w:rPr>
          <w:rFonts w:ascii="Palatino Linotype" w:eastAsia="Palatino Linotype" w:hAnsi="Palatino Linotype" w:cs="Palatino Linotype"/>
          <w:b/>
          <w:kern w:val="0"/>
          <w:lang w:eastAsia="es-ES"/>
          <w14:ligatures w14:val="none"/>
        </w:rPr>
        <w:t xml:space="preserve"> las actas de las cuales deberán asentarse los extractos de los acuerdos, los asuntos tratados y resultados de la votación;</w:t>
      </w:r>
    </w:p>
    <w:p w14:paraId="6CD7BA96" w14:textId="77777777" w:rsidR="00CA136E" w:rsidRPr="002B29A1" w:rsidRDefault="00CA136E" w:rsidP="00974279">
      <w:pPr>
        <w:pBdr>
          <w:top w:val="nil"/>
          <w:left w:val="nil"/>
          <w:bottom w:val="nil"/>
          <w:right w:val="nil"/>
          <w:between w:val="nil"/>
        </w:pBdr>
        <w:ind w:left="720" w:right="-28"/>
        <w:rPr>
          <w:rFonts w:ascii="Palatino Linotype" w:eastAsia="Palatino Linotype" w:hAnsi="Palatino Linotype" w:cs="Palatino Linotype"/>
          <w:kern w:val="0"/>
          <w:lang w:eastAsia="es-ES"/>
          <w14:ligatures w14:val="none"/>
        </w:rPr>
      </w:pPr>
    </w:p>
    <w:p w14:paraId="360667A8"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Todos los acuerdos de las sesiones y el resultado de la votación, serán difundidos, cada mes en la Gaceta Municipal y en los estrados de la Secretaría del Ayuntamiento, y</w:t>
      </w:r>
    </w:p>
    <w:p w14:paraId="2EC367E8" w14:textId="77777777" w:rsidR="009B2008" w:rsidRPr="002B29A1" w:rsidRDefault="009B2008" w:rsidP="00974279">
      <w:pPr>
        <w:pBdr>
          <w:top w:val="nil"/>
          <w:left w:val="nil"/>
          <w:bottom w:val="nil"/>
          <w:right w:val="nil"/>
          <w:between w:val="nil"/>
        </w:pBdr>
        <w:ind w:left="720"/>
        <w:rPr>
          <w:rFonts w:ascii="Palatino Linotype" w:eastAsia="Palatino Linotype" w:hAnsi="Palatino Linotype" w:cs="Palatino Linotype"/>
          <w:kern w:val="0"/>
          <w:lang w:eastAsia="es-ES"/>
          <w14:ligatures w14:val="none"/>
        </w:rPr>
      </w:pPr>
    </w:p>
    <w:p w14:paraId="1975FAE3" w14:textId="77777777" w:rsidR="009B2008" w:rsidRPr="002B29A1" w:rsidRDefault="009B2008" w:rsidP="00974279">
      <w:pPr>
        <w:numPr>
          <w:ilvl w:val="0"/>
          <w:numId w:val="1"/>
        </w:numPr>
        <w:pBdr>
          <w:top w:val="nil"/>
          <w:left w:val="nil"/>
          <w:bottom w:val="nil"/>
          <w:right w:val="nil"/>
          <w:between w:val="nil"/>
        </w:pBd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5E269481" w14:textId="77777777" w:rsidR="009B2008" w:rsidRPr="002B29A1" w:rsidRDefault="009B2008" w:rsidP="00974279">
      <w:pPr>
        <w:ind w:right="-28"/>
        <w:rPr>
          <w:rFonts w:ascii="Palatino Linotype" w:eastAsia="Palatino Linotype" w:hAnsi="Palatino Linotype" w:cs="Palatino Linotype"/>
          <w:color w:val="FF0000"/>
          <w:kern w:val="0"/>
          <w:lang w:eastAsia="es-ES"/>
          <w14:ligatures w14:val="none"/>
        </w:rPr>
      </w:pPr>
    </w:p>
    <w:p w14:paraId="091C01FE"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Además, el artículo 94 de la Ley de Transparencia local detalla que, la información que corresponde a las Obligaciones Específicas de Transparencia de los Municipios, de las que destaca la contenida en la fracción II, inciso b), concerniente a las actas de sesiones de cabildo y anexos.</w:t>
      </w:r>
    </w:p>
    <w:p w14:paraId="12851AAF" w14:textId="77777777" w:rsidR="009B2008" w:rsidRPr="002B29A1" w:rsidRDefault="009B2008" w:rsidP="00974279">
      <w:pPr>
        <w:ind w:right="-28"/>
        <w:rPr>
          <w:rFonts w:ascii="Palatino Linotype" w:eastAsia="Palatino Linotype" w:hAnsi="Palatino Linotype" w:cs="Palatino Linotype"/>
          <w:color w:val="FF0000"/>
          <w:kern w:val="0"/>
          <w:lang w:eastAsia="es-ES"/>
          <w14:ligatures w14:val="none"/>
        </w:rPr>
      </w:pPr>
    </w:p>
    <w:p w14:paraId="006E5E65" w14:textId="19D52847" w:rsidR="006E2FD7" w:rsidRPr="002B29A1" w:rsidRDefault="009B2008"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En ese orden de ideas, </w:t>
      </w:r>
      <w:r w:rsidR="006E2FD7" w:rsidRPr="002B29A1">
        <w:rPr>
          <w:rFonts w:ascii="Palatino Linotype" w:eastAsia="Palatino Linotype" w:hAnsi="Palatino Linotype" w:cs="Palatino Linotype"/>
          <w:kern w:val="0"/>
          <w:lang w:eastAsia="es-ES"/>
          <w14:ligatures w14:val="none"/>
        </w:rPr>
        <w:t xml:space="preserve">el artículo 32 del Bando Municipal del Ayuntamiento de Toluca do mil veinticinco, establece que la persona titular de la Secretaría del Ayuntamiento estará a cargo de una Secretaria o Secretario, </w:t>
      </w:r>
      <w:r w:rsidR="006E2FD7" w:rsidRPr="002B29A1">
        <w:rPr>
          <w:rFonts w:ascii="Palatino Linotype" w:eastAsia="Palatino Linotype" w:hAnsi="Palatino Linotype" w:cs="Palatino Linotype"/>
          <w:b/>
          <w:bCs/>
          <w:kern w:val="0"/>
          <w:lang w:eastAsia="es-ES"/>
          <w14:ligatures w14:val="none"/>
        </w:rPr>
        <w:t xml:space="preserve">quien tendrá como principales funciones auxiliar a la </w:t>
      </w:r>
      <w:r w:rsidR="006E2FD7" w:rsidRPr="002B29A1">
        <w:rPr>
          <w:rFonts w:ascii="Palatino Linotype" w:eastAsia="Palatino Linotype" w:hAnsi="Palatino Linotype" w:cs="Palatino Linotype"/>
          <w:b/>
          <w:bCs/>
          <w:kern w:val="0"/>
          <w:lang w:eastAsia="es-ES"/>
          <w14:ligatures w14:val="none"/>
        </w:rPr>
        <w:lastRenderedPageBreak/>
        <w:t xml:space="preserve">Presidenta o Presidente Municipal, formular el proyecto de orden del día de las sesiones de cabildo, así como emitir las convocatorias, asistir y levantar las actas correspondientes, </w:t>
      </w:r>
      <w:r w:rsidR="006E2FD7" w:rsidRPr="002B29A1">
        <w:rPr>
          <w:rFonts w:ascii="Palatino Linotype" w:eastAsia="Palatino Linotype" w:hAnsi="Palatino Linotype" w:cs="Palatino Linotype"/>
          <w:kern w:val="0"/>
          <w:lang w:eastAsia="es-ES"/>
          <w14:ligatures w14:val="none"/>
        </w:rPr>
        <w:t>elaborar los informes mensuales y trimestrales de las comisiones edilicias y fomentar la participación ciudadana en apoyo de los programas sociales municipales.</w:t>
      </w:r>
    </w:p>
    <w:p w14:paraId="6C0F0151" w14:textId="77777777" w:rsidR="006E2FD7" w:rsidRPr="002B29A1" w:rsidRDefault="006E2FD7" w:rsidP="00974279">
      <w:pPr>
        <w:ind w:right="-28"/>
        <w:rPr>
          <w:rFonts w:ascii="Palatino Linotype" w:eastAsia="Palatino Linotype" w:hAnsi="Palatino Linotype" w:cs="Palatino Linotype"/>
          <w:kern w:val="0"/>
          <w:lang w:eastAsia="es-ES"/>
          <w14:ligatures w14:val="none"/>
        </w:rPr>
      </w:pPr>
    </w:p>
    <w:p w14:paraId="37714916" w14:textId="4D07C738" w:rsidR="00F81412" w:rsidRPr="002B29A1" w:rsidRDefault="00F81412" w:rsidP="00974279">
      <w:pPr>
        <w:ind w:right="-28"/>
        <w:rPr>
          <w:rFonts w:ascii="Palatino Linotype" w:eastAsia="Palatino Linotype" w:hAnsi="Palatino Linotype" w:cs="Palatino Linotype"/>
          <w:b/>
          <w:bCs/>
          <w:kern w:val="0"/>
          <w:lang w:eastAsia="es-ES"/>
          <w14:ligatures w14:val="none"/>
        </w:rPr>
      </w:pPr>
      <w:r w:rsidRPr="002B29A1">
        <w:rPr>
          <w:rFonts w:ascii="Palatino Linotype" w:eastAsia="Palatino Linotype" w:hAnsi="Palatino Linotype" w:cs="Palatino Linotype"/>
          <w:kern w:val="0"/>
          <w:lang w:eastAsia="es-ES"/>
          <w14:ligatures w14:val="none"/>
        </w:rPr>
        <w:t xml:space="preserve">En esa misma consecución de ideas, el artículo 2.7 del Código Reglamentario Municipal establece que </w:t>
      </w:r>
      <w:r w:rsidRPr="002B29A1">
        <w:rPr>
          <w:rFonts w:ascii="Palatino Linotype" w:eastAsia="Palatino Linotype" w:hAnsi="Palatino Linotype" w:cs="Palatino Linotype"/>
          <w:b/>
          <w:bCs/>
          <w:kern w:val="0"/>
          <w:lang w:eastAsia="es-ES"/>
          <w14:ligatures w14:val="none"/>
        </w:rPr>
        <w:t xml:space="preserve">las </w:t>
      </w:r>
      <w:r w:rsidR="00B80CC3" w:rsidRPr="002B29A1">
        <w:rPr>
          <w:rFonts w:ascii="Palatino Linotype" w:eastAsia="Palatino Linotype" w:hAnsi="Palatino Linotype" w:cs="Palatino Linotype"/>
          <w:b/>
          <w:bCs/>
          <w:kern w:val="0"/>
          <w:lang w:eastAsia="es-ES"/>
          <w14:ligatures w14:val="none"/>
        </w:rPr>
        <w:t>Ses</w:t>
      </w:r>
      <w:r w:rsidRPr="002B29A1">
        <w:rPr>
          <w:rFonts w:ascii="Palatino Linotype" w:eastAsia="Palatino Linotype" w:hAnsi="Palatino Linotype" w:cs="Palatino Linotype"/>
          <w:b/>
          <w:bCs/>
          <w:kern w:val="0"/>
          <w:lang w:eastAsia="es-ES"/>
          <w14:ligatures w14:val="none"/>
        </w:rPr>
        <w:t>iones de Cabildo tendrán carácter de ordinarias, extraordinarias, abiertas, juveniles o solemnes</w:t>
      </w:r>
      <w:r w:rsidRPr="002B29A1">
        <w:rPr>
          <w:rFonts w:ascii="Palatino Linotype" w:eastAsia="Palatino Linotype" w:hAnsi="Palatino Linotype" w:cs="Palatino Linotype"/>
          <w:kern w:val="0"/>
          <w:lang w:eastAsia="es-ES"/>
          <w14:ligatures w14:val="none"/>
        </w:rPr>
        <w:t>, y deberán ser transmitidas en la página oficial del Ayuntamiento</w:t>
      </w:r>
      <w:r w:rsidR="00E342E6" w:rsidRPr="002B29A1">
        <w:rPr>
          <w:rFonts w:ascii="Palatino Linotype" w:eastAsia="Palatino Linotype" w:hAnsi="Palatino Linotype" w:cs="Palatino Linotype"/>
          <w:kern w:val="0"/>
          <w:lang w:eastAsia="es-ES"/>
          <w14:ligatures w14:val="none"/>
        </w:rPr>
        <w:t>.</w:t>
      </w:r>
    </w:p>
    <w:p w14:paraId="6595505B" w14:textId="77777777" w:rsidR="00E342E6" w:rsidRPr="002B29A1" w:rsidRDefault="00E342E6" w:rsidP="00974279">
      <w:pPr>
        <w:ind w:right="-28"/>
        <w:rPr>
          <w:rFonts w:ascii="Palatino Linotype" w:eastAsia="Palatino Linotype" w:hAnsi="Palatino Linotype" w:cs="Palatino Linotype"/>
          <w:kern w:val="0"/>
          <w:lang w:eastAsia="es-ES"/>
          <w14:ligatures w14:val="none"/>
        </w:rPr>
      </w:pPr>
    </w:p>
    <w:p w14:paraId="11065F48" w14:textId="2EAC4875" w:rsidR="00E342E6" w:rsidRPr="002B29A1" w:rsidRDefault="00E342E6"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En ese contexto el artículo 2.10 del Reglamento previamente referido señala que el Cabildo sesionará cuando menos una vez cada ocho días o cuantas veces sea necesario en asuntos de urgente resolución a petición de la mayoría de sus miembros y podrá declararse en sesión permanente cuando la importancia del asunto lo requiera; debiendo sesionar en Cabildo abierto bimestralmente; y de manera anual durante el mes de agosto, en Cabildo Juvenil.</w:t>
      </w:r>
    </w:p>
    <w:p w14:paraId="268633F7" w14:textId="77777777" w:rsidR="00E342E6" w:rsidRPr="002B29A1" w:rsidRDefault="00E342E6" w:rsidP="00974279">
      <w:pPr>
        <w:ind w:right="-28"/>
        <w:rPr>
          <w:rFonts w:ascii="Palatino Linotype" w:eastAsia="Palatino Linotype" w:hAnsi="Palatino Linotype" w:cs="Palatino Linotype"/>
          <w:kern w:val="0"/>
          <w:lang w:eastAsia="es-ES"/>
          <w14:ligatures w14:val="none"/>
        </w:rPr>
      </w:pPr>
    </w:p>
    <w:p w14:paraId="409BB950" w14:textId="45469C01" w:rsidR="00E342E6" w:rsidRPr="002B29A1" w:rsidRDefault="00E342E6"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Debiendo convocar a las sesiones ordinarias a los miembros del Ayuntamiento haciéndoles llegar los dictámenes de las comisiones edilicias, los proyectos de actas, los documentos e información necesarios para el desahogo de los puntos del orden del día, por lo menos, con veinticuatro horas de anticipación; en caso de no contar con la información correspondiente en el plazo previsto para la convocatoria, se podrá solicitar la comparecencia de los Directores con competencia en la materia a tratar.</w:t>
      </w:r>
    </w:p>
    <w:p w14:paraId="0B06F993" w14:textId="77777777" w:rsidR="00E342E6" w:rsidRPr="002B29A1" w:rsidRDefault="00E342E6" w:rsidP="00974279">
      <w:pPr>
        <w:ind w:right="-28"/>
        <w:rPr>
          <w:rFonts w:ascii="Palatino Linotype" w:eastAsia="Palatino Linotype" w:hAnsi="Palatino Linotype" w:cs="Palatino Linotype"/>
          <w:kern w:val="0"/>
          <w:lang w:eastAsia="es-ES"/>
          <w14:ligatures w14:val="none"/>
        </w:rPr>
      </w:pPr>
    </w:p>
    <w:p w14:paraId="34D32F9C" w14:textId="36901D0E" w:rsidR="00E342E6" w:rsidRPr="002B29A1" w:rsidRDefault="00E342E6"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Por su parte, el artículo 2.11 señala que son extraordinarias las sesiones que se celebren cuando algún asunto lo requiera, para ello bastará la convocatoria del presidente municipal o la solicitud de la mayoría de los miembros del Ayuntamiento; dicha convocatoria deberá de ser de por lo menos dos horas antes de la sesión. Mientras que el artículo 2.12 refiere que </w:t>
      </w:r>
      <w:r w:rsidRPr="002B29A1">
        <w:rPr>
          <w:rFonts w:ascii="Palatino Linotype" w:eastAsia="Palatino Linotype" w:hAnsi="Palatino Linotype" w:cs="Palatino Linotype"/>
          <w:kern w:val="0"/>
          <w:lang w:eastAsia="es-ES"/>
          <w14:ligatures w14:val="none"/>
        </w:rPr>
        <w:lastRenderedPageBreak/>
        <w:t xml:space="preserve">las sesiones solemnes se refieren a la rendición de protesta del Ayuntamiento, Informe anual del presidente municipal, asistencia de la o el Presidente de la República o de la o el Gobernador del Estado, entrega de llaves de la Ciudad o algún otro reconocimiento que el Ayuntamiento determine otorgar y </w:t>
      </w:r>
      <w:r w:rsidR="00F91A08" w:rsidRPr="002B29A1">
        <w:rPr>
          <w:rFonts w:ascii="Palatino Linotype" w:eastAsia="Palatino Linotype" w:hAnsi="Palatino Linotype" w:cs="Palatino Linotype"/>
          <w:kern w:val="0"/>
          <w:lang w:eastAsia="es-ES"/>
          <w14:ligatures w14:val="none"/>
        </w:rPr>
        <w:t>las que</w:t>
      </w:r>
      <w:r w:rsidR="00F80374" w:rsidRPr="002B29A1">
        <w:rPr>
          <w:rFonts w:ascii="Palatino Linotype" w:eastAsia="Palatino Linotype" w:hAnsi="Palatino Linotype" w:cs="Palatino Linotype"/>
          <w:kern w:val="0"/>
          <w:lang w:eastAsia="es-ES"/>
          <w14:ligatures w14:val="none"/>
        </w:rPr>
        <w:t xml:space="preserve"> determine el Ayuntamiento y las propias Leyes, atendiendo a la importancia de un caso concreto.</w:t>
      </w:r>
    </w:p>
    <w:p w14:paraId="06005173" w14:textId="7FA83F2C" w:rsidR="00F91A08" w:rsidRPr="002B29A1" w:rsidRDefault="00F91A08"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Al respecto, el artículo 2.38 Bis del Reglamento en comento también refiere que las actas de cabildo firmadas por los miembros del Ayuntamiento, deberán estar integradas en un libro, correspondiendo a la Secretaría del Ayuntamiento llevar y resguardar bajo su más estricta responsabilidad el libro de actas de Cabildo.</w:t>
      </w:r>
    </w:p>
    <w:p w14:paraId="41C88116" w14:textId="77777777" w:rsidR="00E342E6" w:rsidRPr="002B29A1" w:rsidRDefault="00E342E6" w:rsidP="00974279">
      <w:pPr>
        <w:ind w:right="-28"/>
        <w:rPr>
          <w:rFonts w:ascii="Palatino Linotype" w:eastAsia="Palatino Linotype" w:hAnsi="Palatino Linotype" w:cs="Palatino Linotype"/>
          <w:kern w:val="0"/>
          <w:lang w:eastAsia="es-ES"/>
          <w14:ligatures w14:val="none"/>
        </w:rPr>
      </w:pPr>
    </w:p>
    <w:p w14:paraId="0AEAA4D3" w14:textId="43BF5E69" w:rsidR="006E2FD7" w:rsidRPr="002B29A1" w:rsidRDefault="004A3F27" w:rsidP="00974279">
      <w:pPr>
        <w:ind w:right="-28"/>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Ahora bien, respecto de la información solicitada este Instituto </w:t>
      </w:r>
      <w:r w:rsidR="00263B0D" w:rsidRPr="002B29A1">
        <w:rPr>
          <w:rFonts w:ascii="Palatino Linotype" w:eastAsia="Palatino Linotype" w:hAnsi="Palatino Linotype" w:cs="Palatino Linotype"/>
          <w:kern w:val="0"/>
          <w:lang w:eastAsia="es-ES"/>
          <w14:ligatures w14:val="none"/>
        </w:rPr>
        <w:t>revisó el apartado de Gaceta Municipal de la página oficial del Ayuntamiento de Toluca, del cual logró vislumbrar que durante la administración 2019-2021, se realizaron más de cuarenta Sesiones Ordinarias, más de cincuenta Extraordinarias y más de diez de Cabildo Abierto.</w:t>
      </w:r>
    </w:p>
    <w:p w14:paraId="5881912B" w14:textId="77777777" w:rsidR="00823BED" w:rsidRPr="002B29A1" w:rsidRDefault="00823BED" w:rsidP="00974279">
      <w:pPr>
        <w:ind w:right="-28"/>
        <w:rPr>
          <w:rFonts w:ascii="Palatino Linotype" w:eastAsia="Palatino Linotype" w:hAnsi="Palatino Linotype" w:cs="Palatino Linotype"/>
          <w:kern w:val="0"/>
          <w:lang w:eastAsia="es-ES"/>
          <w14:ligatures w14:val="none"/>
        </w:rPr>
      </w:pPr>
    </w:p>
    <w:p w14:paraId="33CF7658" w14:textId="4850C506" w:rsidR="00A44860" w:rsidRPr="002B29A1" w:rsidRDefault="009B2008"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Conforme a lo anterior, se logra vislumbrar que la pretensión del Recurrente, es obtener </w:t>
      </w:r>
      <w:r w:rsidR="00A44860" w:rsidRPr="002B29A1">
        <w:rPr>
          <w:rFonts w:ascii="Palatino Linotype" w:eastAsia="Palatino Linotype" w:hAnsi="Palatino Linotype" w:cs="Palatino Linotype"/>
          <w:kern w:val="0"/>
          <w:lang w:eastAsia="es-ES"/>
          <w14:ligatures w14:val="none"/>
        </w:rPr>
        <w:t xml:space="preserve">las </w:t>
      </w:r>
      <w:r w:rsidR="005B2A09" w:rsidRPr="002B29A1">
        <w:rPr>
          <w:rFonts w:ascii="Palatino Linotype" w:eastAsia="Palatino Linotype" w:hAnsi="Palatino Linotype" w:cs="Palatino Linotype"/>
          <w:kern w:val="0"/>
          <w:lang w:eastAsia="es-ES"/>
          <w14:ligatures w14:val="none"/>
        </w:rPr>
        <w:t>A</w:t>
      </w:r>
      <w:r w:rsidR="00A44860" w:rsidRPr="002B29A1">
        <w:rPr>
          <w:rFonts w:ascii="Palatino Linotype" w:eastAsia="Palatino Linotype" w:hAnsi="Palatino Linotype" w:cs="Palatino Linotype"/>
          <w:kern w:val="0"/>
          <w:lang w:eastAsia="es-ES"/>
          <w14:ligatures w14:val="none"/>
        </w:rPr>
        <w:t xml:space="preserve">ctas de las </w:t>
      </w:r>
      <w:r w:rsidR="005B2A09" w:rsidRPr="002B29A1">
        <w:rPr>
          <w:rFonts w:ascii="Palatino Linotype" w:eastAsia="Palatino Linotype" w:hAnsi="Palatino Linotype" w:cs="Palatino Linotype"/>
          <w:kern w:val="0"/>
          <w:lang w:eastAsia="es-ES"/>
          <w14:ligatures w14:val="none"/>
        </w:rPr>
        <w:t>S</w:t>
      </w:r>
      <w:r w:rsidR="00A44860" w:rsidRPr="002B29A1">
        <w:rPr>
          <w:rFonts w:ascii="Palatino Linotype" w:eastAsia="Palatino Linotype" w:hAnsi="Palatino Linotype" w:cs="Palatino Linotype"/>
          <w:kern w:val="0"/>
          <w:lang w:eastAsia="es-ES"/>
          <w14:ligatures w14:val="none"/>
        </w:rPr>
        <w:t xml:space="preserve">esiones de </w:t>
      </w:r>
      <w:r w:rsidR="005B2A09" w:rsidRPr="002B29A1">
        <w:rPr>
          <w:rFonts w:ascii="Palatino Linotype" w:eastAsia="Palatino Linotype" w:hAnsi="Palatino Linotype" w:cs="Palatino Linotype"/>
          <w:kern w:val="0"/>
          <w:lang w:eastAsia="es-ES"/>
          <w14:ligatures w14:val="none"/>
        </w:rPr>
        <w:t>C</w:t>
      </w:r>
      <w:r w:rsidR="00A44860" w:rsidRPr="002B29A1">
        <w:rPr>
          <w:rFonts w:ascii="Palatino Linotype" w:eastAsia="Palatino Linotype" w:hAnsi="Palatino Linotype" w:cs="Palatino Linotype"/>
          <w:kern w:val="0"/>
          <w:lang w:eastAsia="es-ES"/>
          <w14:ligatures w14:val="none"/>
        </w:rPr>
        <w:t xml:space="preserve">abildo celebradas </w:t>
      </w:r>
      <w:r w:rsidR="009105FA" w:rsidRPr="002B29A1">
        <w:rPr>
          <w:rFonts w:ascii="Palatino Linotype" w:eastAsia="Palatino Linotype" w:hAnsi="Palatino Linotype" w:cs="Palatino Linotype"/>
          <w:kern w:val="0"/>
          <w:lang w:eastAsia="es-ES"/>
          <w14:ligatures w14:val="none"/>
        </w:rPr>
        <w:t>del primero de enero de dos mil diecinueve al treinta y uno de diciembre de dos mil veintiuno</w:t>
      </w:r>
      <w:r w:rsidR="005B2A09" w:rsidRPr="002B29A1">
        <w:rPr>
          <w:rFonts w:ascii="Palatino Linotype" w:eastAsia="Palatino Linotype" w:hAnsi="Palatino Linotype" w:cs="Palatino Linotype"/>
          <w:kern w:val="0"/>
          <w:lang w:eastAsia="es-ES"/>
          <w14:ligatures w14:val="none"/>
        </w:rPr>
        <w:t>.</w:t>
      </w:r>
    </w:p>
    <w:p w14:paraId="7F9E8BDD" w14:textId="2A975867" w:rsidR="009B2008" w:rsidRPr="002B29A1" w:rsidRDefault="009B2008" w:rsidP="00974279">
      <w:pPr>
        <w:rPr>
          <w:rFonts w:ascii="Palatino Linotype" w:eastAsia="Palatino Linotype" w:hAnsi="Palatino Linotype" w:cs="Palatino Linotype"/>
          <w:color w:val="FF0000"/>
          <w:kern w:val="0"/>
          <w:lang w:eastAsia="es-ES"/>
          <w14:ligatures w14:val="none"/>
        </w:rPr>
      </w:pPr>
    </w:p>
    <w:p w14:paraId="5CF51E8F" w14:textId="77777777" w:rsidR="00A44860" w:rsidRPr="002B29A1" w:rsidRDefault="00A44860"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Establecida dicha circunstancia, es necesario precisar que de las constancias que obran en el expediente se logra vislumbrar que el Sujeto Obligado turno la solicitud de información a la </w:t>
      </w:r>
    </w:p>
    <w:p w14:paraId="2081FAB3" w14:textId="47DD51EF" w:rsidR="00A44860" w:rsidRPr="002B29A1" w:rsidRDefault="00A44860"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Secretaría del Ayuntamiento, por lo que, es necesario hacer referencia al </w:t>
      </w:r>
      <w:r w:rsidRPr="002B29A1">
        <w:rPr>
          <w:rFonts w:ascii="Palatino Linotype" w:eastAsia="Palatino Linotype" w:hAnsi="Palatino Linotype" w:cs="Palatino Linotype"/>
          <w:b/>
          <w:bCs/>
          <w:kern w:val="0"/>
          <w:lang w:eastAsia="es-ES"/>
          <w14:ligatures w14:val="none"/>
        </w:rPr>
        <w:t>procedimiento de búsqueda que deben de seguir los Sujetos Obligados para localizar la información,</w:t>
      </w:r>
      <w:r w:rsidRPr="002B29A1">
        <w:rPr>
          <w:rFonts w:ascii="Palatino Linotype" w:eastAsia="Palatino Linotype" w:hAnsi="Palatino Linotype" w:cs="Palatino Linotype"/>
          <w:kern w:val="0"/>
          <w:lang w:eastAsia="es-ES"/>
          <w14:ligatures w14:val="none"/>
        </w:rPr>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w:t>
      </w:r>
      <w:r w:rsidRPr="002B29A1">
        <w:rPr>
          <w:rFonts w:ascii="Palatino Linotype" w:eastAsia="Palatino Linotype" w:hAnsi="Palatino Linotype" w:cs="Palatino Linotype"/>
          <w:kern w:val="0"/>
          <w:lang w:eastAsia="es-ES"/>
          <w14:ligatures w14:val="none"/>
        </w:rPr>
        <w:lastRenderedPageBreak/>
        <w:t>las facultades, competencias y funciones-, con</w:t>
      </w:r>
      <w:r w:rsidRPr="002B29A1">
        <w:rPr>
          <w:rFonts w:ascii="Palatino Linotype" w:hAnsi="Palatino Linotype"/>
        </w:rPr>
        <w:t xml:space="preserve"> </w:t>
      </w:r>
      <w:r w:rsidRPr="002B29A1">
        <w:rPr>
          <w:rFonts w:ascii="Palatino Linotype" w:eastAsia="Palatino Linotype" w:hAnsi="Palatino Linotype" w:cs="Palatino Linotype"/>
          <w:kern w:val="0"/>
          <w:lang w:eastAsia="es-ES"/>
          <w14:ligatures w14:val="none"/>
        </w:rPr>
        <w:t>el objeto de que dichas áreas realicen una búsqueda exhaustiva y razonable de la información requerida.</w:t>
      </w:r>
    </w:p>
    <w:p w14:paraId="05724277" w14:textId="77777777" w:rsidR="00220900" w:rsidRPr="002B29A1" w:rsidRDefault="00220900" w:rsidP="00974279">
      <w:pPr>
        <w:rPr>
          <w:rFonts w:ascii="Palatino Linotype" w:eastAsia="Palatino Linotype" w:hAnsi="Palatino Linotype" w:cs="Palatino Linotype"/>
          <w:b/>
          <w:bCs/>
          <w:kern w:val="0"/>
          <w:lang w:eastAsia="es-ES"/>
          <w14:ligatures w14:val="none"/>
        </w:rPr>
      </w:pPr>
    </w:p>
    <w:p w14:paraId="712533B9" w14:textId="77777777" w:rsidR="009105FA" w:rsidRPr="002B29A1" w:rsidRDefault="009105FA"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t>Así y de lo plasmado en párrafos anteriores, se logra colegir que el Sujeto Obligado cumplió con el procedimiento de búsqueda establecido en el artículo 162 de la Ley de Transparencia y Acceso a la Información Pública del Estado de México y Municipios, toda vez, que gestionó el requerimiento de información al área competente para conocer de lo peticionado.</w:t>
      </w:r>
    </w:p>
    <w:p w14:paraId="604D9D1F" w14:textId="77777777" w:rsidR="009105FA" w:rsidRPr="002B29A1" w:rsidRDefault="009105FA" w:rsidP="00974279">
      <w:pPr>
        <w:rPr>
          <w:rFonts w:ascii="Palatino Linotype" w:eastAsia="Palatino Linotype" w:hAnsi="Palatino Linotype" w:cs="Palatino Linotype"/>
          <w:b/>
          <w:bCs/>
          <w:kern w:val="0"/>
          <w:lang w:eastAsia="es-ES"/>
          <w14:ligatures w14:val="none"/>
        </w:rPr>
      </w:pPr>
    </w:p>
    <w:p w14:paraId="4A83107F" w14:textId="75FD44A0" w:rsidR="009105FA" w:rsidRPr="002B29A1" w:rsidRDefault="009105FA" w:rsidP="00974279">
      <w:pPr>
        <w:contextualSpacing/>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t xml:space="preserve">Ahora bien, en respuesta, la Secretaría del Ayuntamiento proporcionó la digitalización de </w:t>
      </w:r>
      <w:r w:rsidR="00784916" w:rsidRPr="002B29A1">
        <w:rPr>
          <w:rFonts w:ascii="Palatino Linotype" w:eastAsia="Palatino Linotype" w:hAnsi="Palatino Linotype" w:cs="Palatino Linotype"/>
          <w:color w:val="000000"/>
          <w:kern w:val="0"/>
          <w:lang w:eastAsia="es-MX"/>
          <w14:ligatures w14:val="none"/>
        </w:rPr>
        <w:t>diez</w:t>
      </w:r>
      <w:r w:rsidRPr="002B29A1">
        <w:rPr>
          <w:rFonts w:ascii="Palatino Linotype" w:eastAsia="Palatino Linotype" w:hAnsi="Palatino Linotype" w:cs="Palatino Linotype"/>
          <w:color w:val="000000"/>
          <w:kern w:val="0"/>
          <w:lang w:eastAsia="es-MX"/>
          <w14:ligatures w14:val="none"/>
        </w:rPr>
        <w:t xml:space="preserve"> Actas de Sesiones de Cabildo celebradas </w:t>
      </w:r>
      <w:r w:rsidR="00784916" w:rsidRPr="002B29A1">
        <w:rPr>
          <w:rFonts w:ascii="Palatino Linotype" w:eastAsia="Palatino Linotype" w:hAnsi="Palatino Linotype" w:cs="Palatino Linotype"/>
          <w:color w:val="000000"/>
          <w:kern w:val="0"/>
          <w:lang w:eastAsia="es-MX"/>
          <w14:ligatures w14:val="none"/>
        </w:rPr>
        <w:t>durante el dos mil veinte</w:t>
      </w:r>
      <w:r w:rsidRPr="002B29A1">
        <w:rPr>
          <w:rFonts w:ascii="Palatino Linotype" w:eastAsia="Palatino Linotype" w:hAnsi="Palatino Linotype" w:cs="Palatino Linotype"/>
          <w:color w:val="000000"/>
          <w:kern w:val="0"/>
          <w:lang w:eastAsia="es-MX"/>
          <w14:ligatures w14:val="none"/>
        </w:rPr>
        <w:t xml:space="preserve">, es decir, </w:t>
      </w:r>
      <w:r w:rsidR="00784916" w:rsidRPr="002B29A1">
        <w:rPr>
          <w:rFonts w:ascii="Palatino Linotype" w:eastAsia="Palatino Linotype" w:hAnsi="Palatino Linotype" w:cs="Palatino Linotype"/>
          <w:color w:val="000000"/>
          <w:kern w:val="0"/>
          <w:lang w:eastAsia="es-MX"/>
          <w14:ligatures w14:val="none"/>
        </w:rPr>
        <w:t>de la Trigésima Tercera a la Trigésima Novena Ordinaria, Onceava y Doceava Extraordinarias y Séptima de Cabildo Abierto.</w:t>
      </w:r>
    </w:p>
    <w:p w14:paraId="618E17C7" w14:textId="77777777" w:rsidR="00784916" w:rsidRPr="002B29A1" w:rsidRDefault="00784916" w:rsidP="00974279">
      <w:pPr>
        <w:contextualSpacing/>
        <w:rPr>
          <w:rFonts w:ascii="Palatino Linotype" w:eastAsia="Palatino Linotype" w:hAnsi="Palatino Linotype" w:cs="Palatino Linotype"/>
          <w:b/>
          <w:bCs/>
          <w:kern w:val="0"/>
          <w:lang w:eastAsia="es-ES"/>
          <w14:ligatures w14:val="none"/>
        </w:rPr>
      </w:pPr>
    </w:p>
    <w:p w14:paraId="0171A431" w14:textId="6DF2E46A" w:rsidR="00784916" w:rsidRPr="002B29A1" w:rsidRDefault="009105FA"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Conforme a lo anterior, se logra advertir que el Sujeto Obligado proporcion</w:t>
      </w:r>
      <w:r w:rsidR="00784916" w:rsidRPr="002B29A1">
        <w:rPr>
          <w:rFonts w:ascii="Palatino Linotype" w:eastAsia="Palatino Linotype" w:hAnsi="Palatino Linotype" w:cs="Palatino Linotype"/>
          <w:kern w:val="0"/>
          <w:lang w:eastAsia="es-ES"/>
          <w14:ligatures w14:val="none"/>
        </w:rPr>
        <w:t>ó</w:t>
      </w:r>
      <w:r w:rsidRPr="002B29A1">
        <w:rPr>
          <w:rFonts w:ascii="Palatino Linotype" w:eastAsia="Palatino Linotype" w:hAnsi="Palatino Linotype" w:cs="Palatino Linotype"/>
          <w:kern w:val="0"/>
          <w:lang w:eastAsia="es-ES"/>
          <w14:ligatures w14:val="none"/>
        </w:rPr>
        <w:t xml:space="preserve"> parte de la información solicitada, no obstante, la misma está incompleta, toda vez que no </w:t>
      </w:r>
      <w:r w:rsidR="00784916" w:rsidRPr="002B29A1">
        <w:rPr>
          <w:rFonts w:ascii="Palatino Linotype" w:eastAsia="Palatino Linotype" w:hAnsi="Palatino Linotype" w:cs="Palatino Linotype"/>
          <w:kern w:val="0"/>
          <w:lang w:eastAsia="es-ES"/>
          <w14:ligatures w14:val="none"/>
        </w:rPr>
        <w:t>omitió entregar todas las generadas durante el periodo solicitado</w:t>
      </w:r>
      <w:r w:rsidRPr="002B29A1">
        <w:rPr>
          <w:rFonts w:ascii="Palatino Linotype" w:eastAsia="Palatino Linotype" w:hAnsi="Palatino Linotype" w:cs="Palatino Linotype"/>
          <w:kern w:val="0"/>
          <w:lang w:eastAsia="es-ES"/>
          <w14:ligatures w14:val="none"/>
        </w:rPr>
        <w:t xml:space="preserve">; a manera de ejemplo </w:t>
      </w:r>
      <w:r w:rsidR="00784916" w:rsidRPr="002B29A1">
        <w:rPr>
          <w:rFonts w:ascii="Palatino Linotype" w:eastAsia="Palatino Linotype" w:hAnsi="Palatino Linotype" w:cs="Palatino Linotype"/>
          <w:kern w:val="0"/>
          <w:lang w:eastAsia="es-ES"/>
          <w14:ligatures w14:val="none"/>
        </w:rPr>
        <w:t>faltarían</w:t>
      </w:r>
      <w:r w:rsidRPr="002B29A1">
        <w:rPr>
          <w:rFonts w:ascii="Palatino Linotype" w:eastAsia="Palatino Linotype" w:hAnsi="Palatino Linotype" w:cs="Palatino Linotype"/>
          <w:kern w:val="0"/>
          <w:lang w:eastAsia="es-ES"/>
          <w14:ligatures w14:val="none"/>
        </w:rPr>
        <w:t xml:space="preserve"> las actas de la </w:t>
      </w:r>
      <w:r w:rsidR="00784916" w:rsidRPr="002B29A1">
        <w:rPr>
          <w:rFonts w:ascii="Palatino Linotype" w:eastAsia="Palatino Linotype" w:hAnsi="Palatino Linotype" w:cs="Palatino Linotype"/>
          <w:kern w:val="0"/>
          <w:lang w:eastAsia="es-ES"/>
          <w14:ligatures w14:val="none"/>
        </w:rPr>
        <w:t>Primera a la Trigésima Segunda y Cuadragésima Ordinaria, así como, de la Primera a la Décima y de la Décimo Tercera a la Quincuagésima Extraordinaria, de la Primera a la Sexta, Octava y Novena de Cabildo Abierto, entre otras.</w:t>
      </w:r>
    </w:p>
    <w:p w14:paraId="4EB9BF31" w14:textId="77777777" w:rsidR="00784916" w:rsidRPr="002B29A1" w:rsidRDefault="00784916" w:rsidP="00974279">
      <w:pPr>
        <w:rPr>
          <w:rFonts w:ascii="Palatino Linotype" w:eastAsia="Palatino Linotype" w:hAnsi="Palatino Linotype" w:cs="Palatino Linotype"/>
          <w:kern w:val="0"/>
          <w:lang w:eastAsia="es-ES"/>
          <w14:ligatures w14:val="none"/>
        </w:rPr>
      </w:pPr>
    </w:p>
    <w:p w14:paraId="149D5C95" w14:textId="1441AE5F" w:rsidR="00FE356E" w:rsidRPr="002B29A1" w:rsidRDefault="00FE356E"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Por lo tanto, se </w:t>
      </w:r>
      <w:r w:rsidR="00CA136E" w:rsidRPr="002B29A1">
        <w:rPr>
          <w:rFonts w:ascii="Palatino Linotype" w:eastAsia="Palatino Linotype" w:hAnsi="Palatino Linotype" w:cs="Palatino Linotype"/>
          <w:kern w:val="0"/>
          <w:lang w:eastAsia="es-ES"/>
          <w14:ligatures w14:val="none"/>
        </w:rPr>
        <w:t>considera</w:t>
      </w:r>
      <w:r w:rsidRPr="002B29A1">
        <w:rPr>
          <w:rFonts w:ascii="Palatino Linotype" w:eastAsia="Palatino Linotype" w:hAnsi="Palatino Linotype" w:cs="Palatino Linotype"/>
          <w:kern w:val="0"/>
          <w:lang w:eastAsia="es-ES"/>
          <w14:ligatures w14:val="none"/>
        </w:rPr>
        <w:t xml:space="preserve"> que el agravio hecho valer</w:t>
      </w:r>
      <w:r w:rsidRPr="002B29A1">
        <w:rPr>
          <w:rFonts w:ascii="Palatino Linotype" w:eastAsia="Palatino Linotype" w:hAnsi="Palatino Linotype" w:cs="Palatino Linotype"/>
        </w:rPr>
        <w:t xml:space="preserve"> es</w:t>
      </w:r>
      <w:r w:rsidR="00784916" w:rsidRPr="002B29A1">
        <w:rPr>
          <w:rFonts w:ascii="Palatino Linotype" w:eastAsia="Palatino Linotype" w:hAnsi="Palatino Linotype" w:cs="Palatino Linotype"/>
        </w:rPr>
        <w:t xml:space="preserve"> </w:t>
      </w:r>
      <w:r w:rsidR="00784916" w:rsidRPr="002B29A1">
        <w:rPr>
          <w:rFonts w:ascii="Palatino Linotype" w:eastAsia="Palatino Linotype" w:hAnsi="Palatino Linotype" w:cs="Palatino Linotype"/>
          <w:b/>
          <w:bCs/>
        </w:rPr>
        <w:t>PARCIALMENTE</w:t>
      </w:r>
      <w:r w:rsidRPr="002B29A1">
        <w:rPr>
          <w:rFonts w:ascii="Palatino Linotype" w:eastAsia="Palatino Linotype" w:hAnsi="Palatino Linotype" w:cs="Palatino Linotype"/>
        </w:rPr>
        <w:t xml:space="preserve"> </w:t>
      </w:r>
      <w:r w:rsidRPr="002B29A1">
        <w:rPr>
          <w:rFonts w:ascii="Palatino Linotype" w:eastAsia="Palatino Linotype" w:hAnsi="Palatino Linotype" w:cs="Palatino Linotype"/>
          <w:b/>
          <w:bCs/>
        </w:rPr>
        <w:t>FUNDADO,</w:t>
      </w:r>
      <w:r w:rsidRPr="002B29A1">
        <w:rPr>
          <w:rFonts w:ascii="Palatino Linotype" w:eastAsia="Palatino Linotype" w:hAnsi="Palatino Linotype" w:cs="Palatino Linotype"/>
        </w:rPr>
        <w:t xml:space="preserve"> pues el Sujeto Obligado</w:t>
      </w:r>
      <w:r w:rsidR="00784916" w:rsidRPr="002B29A1">
        <w:rPr>
          <w:rFonts w:ascii="Palatino Linotype" w:eastAsia="Palatino Linotype" w:hAnsi="Palatino Linotype" w:cs="Palatino Linotype"/>
        </w:rPr>
        <w:t>, contrario a lo señalado por el Particular, si entregó parte de la información requerida, también lo es que el Ente Recurrido omitió entregar la información de manera completa.</w:t>
      </w:r>
    </w:p>
    <w:p w14:paraId="28F0E389" w14:textId="77777777" w:rsidR="00FE356E" w:rsidRPr="002B29A1" w:rsidRDefault="00FE356E" w:rsidP="00974279">
      <w:pPr>
        <w:rPr>
          <w:rFonts w:ascii="Palatino Linotype" w:eastAsia="Palatino Linotype" w:hAnsi="Palatino Linotype" w:cs="Palatino Linotype"/>
          <w:kern w:val="0"/>
          <w:lang w:eastAsia="es-ES"/>
          <w14:ligatures w14:val="none"/>
        </w:rPr>
      </w:pPr>
    </w:p>
    <w:p w14:paraId="0F07BFA9" w14:textId="704D3594" w:rsidR="00457AB3" w:rsidRPr="002B29A1" w:rsidRDefault="00457AB3"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lastRenderedPageBreak/>
        <w:t>De tal circunstancia, este Instituto considera que, para atender el requerimiento de información, el Sujeto Obligado deberá realizar una búsqueda exhaustiva y razonable en</w:t>
      </w:r>
      <w:r w:rsidR="001848A2"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 xml:space="preserve">los archivos del área previamente referida, a efecto de que entregue las </w:t>
      </w:r>
      <w:r w:rsidR="001848A2" w:rsidRPr="002B29A1">
        <w:rPr>
          <w:rFonts w:ascii="Palatino Linotype" w:eastAsia="Palatino Linotype" w:hAnsi="Palatino Linotype" w:cs="Palatino Linotype"/>
          <w:kern w:val="0"/>
          <w:lang w:eastAsia="es-ES"/>
          <w14:ligatures w14:val="none"/>
        </w:rPr>
        <w:t>A</w:t>
      </w:r>
      <w:r w:rsidRPr="002B29A1">
        <w:rPr>
          <w:rFonts w:ascii="Palatino Linotype" w:eastAsia="Palatino Linotype" w:hAnsi="Palatino Linotype" w:cs="Palatino Linotype"/>
          <w:kern w:val="0"/>
          <w:lang w:eastAsia="es-ES"/>
          <w14:ligatures w14:val="none"/>
        </w:rPr>
        <w:t>ctas de</w:t>
      </w:r>
      <w:r w:rsidR="001848A2" w:rsidRPr="002B29A1">
        <w:rPr>
          <w:rFonts w:ascii="Palatino Linotype" w:eastAsia="Palatino Linotype" w:hAnsi="Palatino Linotype" w:cs="Palatino Linotype"/>
          <w:kern w:val="0"/>
          <w:lang w:eastAsia="es-ES"/>
          <w14:ligatures w14:val="none"/>
        </w:rPr>
        <w:t xml:space="preserve"> las Sesiones de Cabildo</w:t>
      </w:r>
      <w:r w:rsidRPr="002B29A1">
        <w:rPr>
          <w:rFonts w:ascii="Palatino Linotype" w:eastAsia="Palatino Linotype" w:hAnsi="Palatino Linotype" w:cs="Palatino Linotype"/>
          <w:kern w:val="0"/>
          <w:lang w:eastAsia="es-ES"/>
          <w14:ligatures w14:val="none"/>
        </w:rPr>
        <w:t xml:space="preserve"> faltantes;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197003D" w14:textId="77777777" w:rsidR="00457AB3" w:rsidRPr="002B29A1" w:rsidRDefault="00457AB3" w:rsidP="00974279">
      <w:pPr>
        <w:rPr>
          <w:rFonts w:ascii="Palatino Linotype" w:eastAsia="Palatino Linotype" w:hAnsi="Palatino Linotype" w:cs="Palatino Linotype"/>
          <w:kern w:val="0"/>
          <w:lang w:eastAsia="es-ES"/>
          <w14:ligatures w14:val="none"/>
        </w:rPr>
      </w:pPr>
    </w:p>
    <w:p w14:paraId="689370A6" w14:textId="2E08D183" w:rsidR="00457AB3" w:rsidRPr="002B29A1" w:rsidRDefault="00A278F1"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5EFD6EC7" w14:textId="77777777" w:rsidR="00A278F1" w:rsidRPr="002B29A1" w:rsidRDefault="00A278F1" w:rsidP="00974279">
      <w:pPr>
        <w:rPr>
          <w:rFonts w:ascii="Palatino Linotype" w:eastAsia="Palatino Linotype" w:hAnsi="Palatino Linotype" w:cs="Palatino Linotype"/>
          <w:kern w:val="0"/>
          <w:lang w:eastAsia="es-ES"/>
          <w14:ligatures w14:val="none"/>
        </w:rPr>
      </w:pPr>
    </w:p>
    <w:p w14:paraId="11FDD080" w14:textId="0F756F56" w:rsidR="00A278F1" w:rsidRPr="002B29A1" w:rsidRDefault="00A278F1"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las </w:t>
      </w:r>
      <w:r w:rsidR="001848A2" w:rsidRPr="002B29A1">
        <w:rPr>
          <w:rFonts w:ascii="Palatino Linotype" w:eastAsia="Palatino Linotype" w:hAnsi="Palatino Linotype" w:cs="Palatino Linotype"/>
          <w:kern w:val="0"/>
          <w:lang w:eastAsia="es-ES"/>
          <w14:ligatures w14:val="none"/>
        </w:rPr>
        <w:t>Actas de las Sesiones Faltantes.</w:t>
      </w:r>
    </w:p>
    <w:p w14:paraId="09F270E9" w14:textId="77777777" w:rsidR="00847766" w:rsidRPr="002B29A1" w:rsidRDefault="00847766" w:rsidP="00974279">
      <w:pPr>
        <w:rPr>
          <w:rFonts w:ascii="Palatino Linotype" w:eastAsia="Palatino Linotype" w:hAnsi="Palatino Linotype" w:cs="Palatino Linotype"/>
          <w:kern w:val="0"/>
          <w:lang w:eastAsia="es-ES"/>
          <w14:ligatures w14:val="none"/>
        </w:rPr>
      </w:pPr>
    </w:p>
    <w:p w14:paraId="659671E3" w14:textId="53F24A25" w:rsidR="00073F02" w:rsidRPr="002B29A1" w:rsidRDefault="001848A2"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Ahora bien, de la revisión de las Actas entregadas, se </w:t>
      </w:r>
      <w:r w:rsidR="00CA136E" w:rsidRPr="002B29A1">
        <w:rPr>
          <w:rFonts w:ascii="Palatino Linotype" w:eastAsia="Palatino Linotype" w:hAnsi="Palatino Linotype" w:cs="Palatino Linotype"/>
          <w:kern w:val="0"/>
          <w:lang w:eastAsia="es-ES"/>
          <w14:ligatures w14:val="none"/>
        </w:rPr>
        <w:t>logró</w:t>
      </w:r>
      <w:r w:rsidRPr="002B29A1">
        <w:rPr>
          <w:rFonts w:ascii="Palatino Linotype" w:eastAsia="Palatino Linotype" w:hAnsi="Palatino Linotype" w:cs="Palatino Linotype"/>
          <w:kern w:val="0"/>
          <w:lang w:eastAsia="es-ES"/>
          <w14:ligatures w14:val="none"/>
        </w:rPr>
        <w:t xml:space="preserve"> vislumbrar que algunas contienen el nombre de particulares</w:t>
      </w:r>
      <w:r w:rsidR="00784916" w:rsidRPr="002B29A1">
        <w:rPr>
          <w:rFonts w:ascii="Palatino Linotype" w:eastAsia="Palatino Linotype" w:hAnsi="Palatino Linotype" w:cs="Palatino Linotype"/>
          <w:kern w:val="0"/>
          <w:lang w:eastAsia="es-ES"/>
          <w14:ligatures w14:val="none"/>
        </w:rPr>
        <w:t xml:space="preserve"> y de propietarios de licencias de funcionamiento, el domicilio de unidades económicas y de regularización de uso de suelo o construcción</w:t>
      </w:r>
      <w:r w:rsidRPr="002B29A1">
        <w:rPr>
          <w:rFonts w:ascii="Palatino Linotype" w:eastAsia="Palatino Linotype" w:hAnsi="Palatino Linotype" w:cs="Palatino Linotype"/>
          <w:kern w:val="0"/>
          <w:lang w:eastAsia="es-ES"/>
          <w14:ligatures w14:val="none"/>
        </w:rPr>
        <w:t>, por lo que, es necesario analizar si dicho datos es público o privado.</w:t>
      </w:r>
    </w:p>
    <w:p w14:paraId="3D7AC6F1" w14:textId="77777777" w:rsidR="00073F02" w:rsidRPr="002B29A1" w:rsidRDefault="00073F02" w:rsidP="00974279">
      <w:pPr>
        <w:rPr>
          <w:rFonts w:ascii="Palatino Linotype" w:eastAsia="Palatino Linotype" w:hAnsi="Palatino Linotype" w:cs="Palatino Linotype"/>
          <w:kern w:val="0"/>
          <w:lang w:eastAsia="es-ES"/>
          <w14:ligatures w14:val="none"/>
        </w:rPr>
      </w:pPr>
    </w:p>
    <w:p w14:paraId="619720A8" w14:textId="2FB50CEC"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lastRenderedPageBreak/>
        <w:t>Ahora bien, no pasa desapercibido por este Instituto que las Actas entregadas en respuesta, con excepción de la Décima Primera Extraordinaria, fueron proporcionadas en versión pública, sin proporcionar el Acuerdo emitido por el Comité de Transparencia.</w:t>
      </w:r>
    </w:p>
    <w:p w14:paraId="7DCCB4A7"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p>
    <w:p w14:paraId="313B72E4" w14:textId="76D7E0E6" w:rsidR="00974279" w:rsidRPr="002B29A1" w:rsidRDefault="00974279" w:rsidP="00974279">
      <w:pPr>
        <w:autoSpaceDE w:val="0"/>
        <w:autoSpaceDN w:val="0"/>
        <w:adjustRightInd w:val="0"/>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color w:val="000000"/>
          <w:kern w:val="0"/>
          <w:lang w:eastAsia="es-MX"/>
          <w14:ligatures w14:val="none"/>
        </w:rPr>
        <w:t xml:space="preserve">Sobre lo anterior, el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vigentes a la fecha  de la solicitud, establece que los sujetos obligados no podrán emitir acuerdos de carácter general que clasifiquen documentos o expedientes; por lo que, la clasificación de información se llevará a cabo mediante un </w:t>
      </w:r>
      <w:r w:rsidRPr="002B29A1">
        <w:rPr>
          <w:rFonts w:ascii="Palatino Linotype" w:eastAsia="Calibri" w:hAnsi="Palatino Linotype" w:cs="Tahoma"/>
          <w:b/>
          <w:color w:val="000000"/>
          <w:kern w:val="0"/>
          <w:lang w:eastAsia="es-MX"/>
          <w14:ligatures w14:val="none"/>
        </w:rPr>
        <w:t>análisis caso por caso.</w:t>
      </w:r>
    </w:p>
    <w:p w14:paraId="50B350FF" w14:textId="77777777" w:rsidR="00974279" w:rsidRPr="002B29A1" w:rsidRDefault="00974279" w:rsidP="00974279">
      <w:pPr>
        <w:autoSpaceDE w:val="0"/>
        <w:autoSpaceDN w:val="0"/>
        <w:adjustRightInd w:val="0"/>
        <w:rPr>
          <w:rFonts w:ascii="Palatino Linotype" w:eastAsia="Calibri" w:hAnsi="Palatino Linotype" w:cs="Tahoma"/>
          <w:b/>
          <w:color w:val="000000"/>
          <w:kern w:val="0"/>
          <w:lang w:eastAsia="es-MX"/>
          <w14:ligatures w14:val="none"/>
        </w:rPr>
      </w:pPr>
    </w:p>
    <w:p w14:paraId="0A371B02"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t xml:space="preserve">Sobre lo anterior, el artículo 131 de la Ley referida, así como el Quinto de los Lineamientos Generales, establecen que los sujetos obligados </w:t>
      </w:r>
      <w:r w:rsidRPr="002B29A1">
        <w:rPr>
          <w:rFonts w:ascii="Palatino Linotype" w:eastAsia="Calibri" w:hAnsi="Palatino Linotype" w:cs="Tahoma"/>
          <w:b/>
          <w:color w:val="000000"/>
          <w:kern w:val="0"/>
          <w:lang w:eastAsia="es-MX"/>
          <w14:ligatures w14:val="none"/>
        </w:rPr>
        <w:t>deberán fundar y motivar</w:t>
      </w:r>
      <w:r w:rsidRPr="002B29A1">
        <w:rPr>
          <w:rFonts w:ascii="Palatino Linotype" w:eastAsia="Calibri" w:hAnsi="Palatino Linotype" w:cs="Tahoma"/>
          <w:color w:val="000000"/>
          <w:kern w:val="0"/>
          <w:lang w:eastAsia="es-MX"/>
          <w14:ligatures w14:val="none"/>
        </w:rPr>
        <w:t xml:space="preserve"> debidamente la clasificación de la información.</w:t>
      </w:r>
    </w:p>
    <w:p w14:paraId="7F13E36E" w14:textId="77777777" w:rsidR="00974279" w:rsidRPr="002B29A1" w:rsidRDefault="00974279" w:rsidP="00974279">
      <w:pPr>
        <w:autoSpaceDE w:val="0"/>
        <w:autoSpaceDN w:val="0"/>
        <w:adjustRightInd w:val="0"/>
        <w:rPr>
          <w:rFonts w:ascii="Palatino Linotype" w:eastAsia="Calibri" w:hAnsi="Palatino Linotype" w:cs="Tahoma"/>
          <w:b/>
          <w:color w:val="000000"/>
          <w:kern w:val="0"/>
          <w:lang w:eastAsia="es-MX"/>
          <w14:ligatures w14:val="none"/>
        </w:rPr>
      </w:pPr>
    </w:p>
    <w:p w14:paraId="3908ECA5" w14:textId="77777777" w:rsidR="00974279" w:rsidRPr="002B29A1" w:rsidRDefault="00974279" w:rsidP="00974279">
      <w:pPr>
        <w:autoSpaceDE w:val="0"/>
        <w:autoSpaceDN w:val="0"/>
        <w:adjustRightInd w:val="0"/>
        <w:rPr>
          <w:rFonts w:ascii="Palatino Linotype" w:eastAsia="Calibri" w:hAnsi="Palatino Linotype" w:cs="Tahoma"/>
          <w:bCs/>
          <w:iCs/>
          <w:color w:val="000000"/>
          <w:kern w:val="0"/>
          <w:lang w:eastAsia="es-MX"/>
          <w14:ligatures w14:val="none"/>
        </w:rPr>
      </w:pPr>
      <w:r w:rsidRPr="002B29A1">
        <w:rPr>
          <w:rFonts w:ascii="Palatino Linotype" w:eastAsia="Calibri" w:hAnsi="Palatino Linotype" w:cs="Tahoma"/>
          <w:color w:val="000000"/>
          <w:kern w:val="0"/>
          <w:lang w:eastAsia="es-MX"/>
          <w14:ligatures w14:val="none"/>
        </w:rPr>
        <w:t>Al respecto, e</w:t>
      </w:r>
      <w:r w:rsidRPr="002B29A1">
        <w:rPr>
          <w:rFonts w:ascii="Palatino Linotype" w:eastAsia="Calibri" w:hAnsi="Palatino Linotype" w:cs="Tahoma"/>
          <w:bCs/>
          <w:iCs/>
          <w:color w:val="000000"/>
          <w:kern w:val="0"/>
          <w:lang w:eastAsia="es-MX"/>
          <w14:ligatures w14:val="none"/>
        </w:rPr>
        <w:t>l Octavo de los Lineamientos Generales, precisa lo siguiente:</w:t>
      </w:r>
    </w:p>
    <w:p w14:paraId="266B4F2F" w14:textId="77777777" w:rsidR="00974279" w:rsidRPr="002B29A1" w:rsidRDefault="00974279" w:rsidP="00974279">
      <w:pPr>
        <w:autoSpaceDE w:val="0"/>
        <w:autoSpaceDN w:val="0"/>
        <w:adjustRightInd w:val="0"/>
        <w:rPr>
          <w:rFonts w:ascii="Palatino Linotype" w:eastAsia="Calibri" w:hAnsi="Palatino Linotype" w:cs="Tahoma"/>
          <w:bCs/>
          <w:iCs/>
          <w:color w:val="000000"/>
          <w:kern w:val="0"/>
          <w:lang w:eastAsia="es-MX"/>
          <w14:ligatures w14:val="none"/>
        </w:rPr>
      </w:pPr>
    </w:p>
    <w:p w14:paraId="7DC97E5C" w14:textId="77777777" w:rsidR="00974279" w:rsidRPr="002B29A1" w:rsidRDefault="00974279" w:rsidP="00974279">
      <w:pPr>
        <w:numPr>
          <w:ilvl w:val="0"/>
          <w:numId w:val="16"/>
        </w:numPr>
        <w:autoSpaceDE w:val="0"/>
        <w:autoSpaceDN w:val="0"/>
        <w:adjustRightInd w:val="0"/>
        <w:rPr>
          <w:rFonts w:ascii="Palatino Linotype" w:eastAsia="Calibri" w:hAnsi="Palatino Linotype" w:cs="Tahoma"/>
          <w:bCs/>
          <w:color w:val="000000"/>
          <w:kern w:val="0"/>
          <w:u w:val="single"/>
          <w:lang w:eastAsia="es-MX"/>
          <w14:ligatures w14:val="none"/>
        </w:rPr>
      </w:pPr>
      <w:r w:rsidRPr="002B29A1">
        <w:rPr>
          <w:rFonts w:ascii="Palatino Linotype" w:eastAsia="Calibri" w:hAnsi="Palatino Linotype" w:cs="Tahoma"/>
          <w:b/>
          <w:bCs/>
          <w:color w:val="000000"/>
          <w:kern w:val="0"/>
          <w:lang w:eastAsia="es-MX"/>
          <w14:ligatures w14:val="none"/>
        </w:rPr>
        <w:t>Para fundar la clasificación</w:t>
      </w:r>
      <w:r w:rsidRPr="002B29A1">
        <w:rPr>
          <w:rFonts w:ascii="Palatino Linotype" w:eastAsia="Calibri" w:hAnsi="Palatino Linotype" w:cs="Tahoma"/>
          <w:bCs/>
          <w:color w:val="000000"/>
          <w:kern w:val="0"/>
          <w:lang w:eastAsia="es-MX"/>
          <w14:ligatures w14:val="none"/>
        </w:rPr>
        <w:t xml:space="preserve"> de la información se deberán </w:t>
      </w:r>
      <w:r w:rsidRPr="002B29A1">
        <w:rPr>
          <w:rFonts w:ascii="Palatino Linotype" w:eastAsia="Calibri" w:hAnsi="Palatino Linotype" w:cs="Tahoma"/>
          <w:bCs/>
          <w:color w:val="000000"/>
          <w:kern w:val="0"/>
          <w:u w:val="single"/>
          <w:lang w:eastAsia="es-MX"/>
          <w14:ligatures w14:val="none"/>
        </w:rPr>
        <w:t>señalar el artículo, fracción, inciso, párrafo o numeral de la Ley aplicable;</w:t>
      </w:r>
    </w:p>
    <w:p w14:paraId="360189C8" w14:textId="77777777" w:rsidR="00974279" w:rsidRPr="002B29A1" w:rsidRDefault="00974279" w:rsidP="00974279">
      <w:pPr>
        <w:autoSpaceDE w:val="0"/>
        <w:autoSpaceDN w:val="0"/>
        <w:adjustRightInd w:val="0"/>
        <w:rPr>
          <w:rFonts w:ascii="Palatino Linotype" w:eastAsia="Calibri" w:hAnsi="Palatino Linotype" w:cs="Tahoma"/>
          <w:bCs/>
          <w:color w:val="000000"/>
          <w:kern w:val="0"/>
          <w:lang w:eastAsia="es-MX"/>
          <w14:ligatures w14:val="none"/>
        </w:rPr>
      </w:pPr>
    </w:p>
    <w:p w14:paraId="740F88F5" w14:textId="77777777" w:rsidR="00974279" w:rsidRPr="002B29A1" w:rsidRDefault="00974279" w:rsidP="00974279">
      <w:pPr>
        <w:numPr>
          <w:ilvl w:val="0"/>
          <w:numId w:val="16"/>
        </w:numPr>
        <w:autoSpaceDE w:val="0"/>
        <w:autoSpaceDN w:val="0"/>
        <w:adjustRightInd w:val="0"/>
        <w:rPr>
          <w:rFonts w:ascii="Palatino Linotype" w:eastAsia="Calibri" w:hAnsi="Palatino Linotype" w:cs="Tahoma"/>
          <w:bCs/>
          <w:color w:val="000000"/>
          <w:kern w:val="0"/>
          <w:lang w:eastAsia="es-MX"/>
          <w14:ligatures w14:val="none"/>
        </w:rPr>
      </w:pPr>
      <w:r w:rsidRPr="002B29A1">
        <w:rPr>
          <w:rFonts w:ascii="Palatino Linotype" w:eastAsia="Calibri" w:hAnsi="Palatino Linotype" w:cs="Tahoma"/>
          <w:b/>
          <w:bCs/>
          <w:color w:val="000000"/>
          <w:kern w:val="0"/>
          <w:lang w:eastAsia="es-MX"/>
          <w14:ligatures w14:val="none"/>
        </w:rPr>
        <w:t>Para motivar la clasificación</w:t>
      </w:r>
      <w:r w:rsidRPr="002B29A1">
        <w:rPr>
          <w:rFonts w:ascii="Palatino Linotype" w:eastAsia="Calibri" w:hAnsi="Palatino Linotype" w:cs="Tahoma"/>
          <w:bCs/>
          <w:color w:val="000000"/>
          <w:kern w:val="0"/>
          <w:lang w:eastAsia="es-MX"/>
          <w14:ligatures w14:val="none"/>
        </w:rPr>
        <w:t xml:space="preserve"> se deberán </w:t>
      </w:r>
      <w:r w:rsidRPr="002B29A1">
        <w:rPr>
          <w:rFonts w:ascii="Palatino Linotype" w:eastAsia="Calibri" w:hAnsi="Palatino Linotype" w:cs="Tahoma"/>
          <w:bCs/>
          <w:color w:val="000000"/>
          <w:kern w:val="0"/>
          <w:u w:val="single"/>
          <w:lang w:eastAsia="es-MX"/>
          <w14:ligatures w14:val="none"/>
        </w:rPr>
        <w:t>indicar las razones y circunstancias</w:t>
      </w:r>
      <w:r w:rsidRPr="002B29A1">
        <w:rPr>
          <w:rFonts w:ascii="Palatino Linotype" w:eastAsia="Calibri" w:hAnsi="Palatino Linotype" w:cs="Tahoma"/>
          <w:bCs/>
          <w:color w:val="000000"/>
          <w:kern w:val="0"/>
          <w:lang w:eastAsia="es-MX"/>
          <w14:ligatures w14:val="none"/>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13060DE7" w14:textId="77777777" w:rsidR="00974279" w:rsidRPr="002B29A1" w:rsidRDefault="00974279" w:rsidP="00974279">
      <w:pPr>
        <w:autoSpaceDE w:val="0"/>
        <w:autoSpaceDN w:val="0"/>
        <w:adjustRightInd w:val="0"/>
        <w:rPr>
          <w:rFonts w:ascii="Palatino Linotype" w:eastAsia="Calibri" w:hAnsi="Palatino Linotype" w:cs="Tahoma"/>
          <w:bCs/>
          <w:color w:val="000000"/>
          <w:kern w:val="0"/>
          <w:lang w:eastAsia="es-MX"/>
          <w14:ligatures w14:val="none"/>
        </w:rPr>
      </w:pPr>
    </w:p>
    <w:p w14:paraId="6A5003CC"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lastRenderedPageBreak/>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1AAEA1BF" w14:textId="77777777" w:rsidR="00974279" w:rsidRPr="002B29A1" w:rsidRDefault="00974279" w:rsidP="00974279">
      <w:pPr>
        <w:autoSpaceDE w:val="0"/>
        <w:autoSpaceDN w:val="0"/>
        <w:adjustRightInd w:val="0"/>
        <w:ind w:left="567" w:right="567"/>
        <w:rPr>
          <w:rFonts w:ascii="Palatino Linotype" w:eastAsia="Calibri" w:hAnsi="Palatino Linotype" w:cs="Tahoma"/>
          <w:color w:val="000000"/>
          <w:kern w:val="0"/>
          <w:sz w:val="20"/>
          <w:szCs w:val="20"/>
          <w:lang w:eastAsia="es-MX"/>
          <w14:ligatures w14:val="none"/>
        </w:rPr>
      </w:pPr>
    </w:p>
    <w:p w14:paraId="387FE0CC" w14:textId="77777777" w:rsidR="00974279" w:rsidRPr="002B29A1" w:rsidRDefault="00974279" w:rsidP="00974279">
      <w:pPr>
        <w:autoSpaceDE w:val="0"/>
        <w:autoSpaceDN w:val="0"/>
        <w:adjustRightInd w:val="0"/>
        <w:ind w:left="567" w:right="567"/>
        <w:rPr>
          <w:rFonts w:ascii="Palatino Linotype" w:eastAsia="Calibri" w:hAnsi="Palatino Linotype" w:cs="Tahoma"/>
          <w:i/>
          <w:color w:val="000000"/>
          <w:kern w:val="0"/>
          <w:sz w:val="20"/>
          <w:szCs w:val="20"/>
          <w:lang w:eastAsia="es-MX"/>
          <w14:ligatures w14:val="none"/>
        </w:rPr>
      </w:pPr>
      <w:r w:rsidRPr="002B29A1">
        <w:rPr>
          <w:rFonts w:ascii="Palatino Linotype" w:eastAsia="Calibri" w:hAnsi="Palatino Linotype" w:cs="Tahoma"/>
          <w:b/>
          <w:i/>
          <w:color w:val="000000"/>
          <w:kern w:val="0"/>
          <w:sz w:val="20"/>
          <w:szCs w:val="20"/>
          <w:lang w:eastAsia="es-MX"/>
          <w14:ligatures w14:val="none"/>
        </w:rPr>
        <w:t xml:space="preserve">“FUNDAMENTACION Y MOTIVACION, CONCEPTO DE. </w:t>
      </w:r>
      <w:r w:rsidRPr="002B29A1">
        <w:rPr>
          <w:rFonts w:ascii="Palatino Linotype" w:eastAsia="Calibri" w:hAnsi="Palatino Linotype" w:cs="Tahoma"/>
          <w:i/>
          <w:color w:val="000000"/>
          <w:kern w:val="0"/>
          <w:sz w:val="20"/>
          <w:szCs w:val="20"/>
          <w:lang w:eastAsia="es-MX"/>
          <w14:ligatures w14:val="none"/>
        </w:rPr>
        <w:t xml:space="preserve">La </w:t>
      </w:r>
      <w:r w:rsidRPr="002B29A1">
        <w:rPr>
          <w:rFonts w:ascii="Palatino Linotype" w:eastAsia="Calibri" w:hAnsi="Palatino Linotype" w:cs="Tahoma"/>
          <w:i/>
          <w:color w:val="000000"/>
          <w:kern w:val="0"/>
          <w:sz w:val="20"/>
          <w:szCs w:val="20"/>
          <w:u w:val="single"/>
          <w:lang w:eastAsia="es-MX"/>
          <w14:ligatures w14:val="none"/>
        </w:rPr>
        <w:t>garantía de legalidad consagrada en el artículo 16 de nuestra Carta Magna</w:t>
      </w:r>
      <w:r w:rsidRPr="002B29A1">
        <w:rPr>
          <w:rFonts w:ascii="Palatino Linotype" w:eastAsia="Calibri" w:hAnsi="Palatino Linotype" w:cs="Tahoma"/>
          <w:i/>
          <w:color w:val="000000"/>
          <w:kern w:val="0"/>
          <w:sz w:val="20"/>
          <w:szCs w:val="20"/>
          <w:lang w:eastAsia="es-MX"/>
          <w14:ligatures w14:val="none"/>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1CDFC5BB"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p>
    <w:p w14:paraId="4FB165AF"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t>Conforme a lo anterior, se advierte lo siguiente:</w:t>
      </w:r>
    </w:p>
    <w:p w14:paraId="6396C0BD"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p>
    <w:p w14:paraId="296D0E85" w14:textId="77777777" w:rsidR="00974279" w:rsidRPr="002B29A1" w:rsidRDefault="00974279" w:rsidP="00974279">
      <w:pPr>
        <w:numPr>
          <w:ilvl w:val="0"/>
          <w:numId w:val="17"/>
        </w:numPr>
        <w:autoSpaceDE w:val="0"/>
        <w:autoSpaceDN w:val="0"/>
        <w:adjustRightInd w:val="0"/>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b/>
          <w:color w:val="000000"/>
          <w:kern w:val="0"/>
          <w:lang w:eastAsia="es-MX"/>
          <w14:ligatures w14:val="none"/>
        </w:rPr>
        <w:t xml:space="preserve">Fundamentación: </w:t>
      </w:r>
      <w:r w:rsidRPr="002B29A1">
        <w:rPr>
          <w:rFonts w:ascii="Palatino Linotype" w:eastAsia="Calibri" w:hAnsi="Palatino Linotype" w:cs="Tahoma"/>
          <w:color w:val="000000"/>
          <w:kern w:val="0"/>
          <w:lang w:eastAsia="es-MX"/>
          <w14:ligatures w14:val="none"/>
        </w:rPr>
        <w:t>Obligación de la autoridad que emite un acto, para citar los preceptos legales, sustantivos y adjetivos, en que se apoye para la determinación tomada.</w:t>
      </w:r>
    </w:p>
    <w:p w14:paraId="57D2C175" w14:textId="77777777" w:rsidR="00974279" w:rsidRPr="002B29A1" w:rsidRDefault="00974279" w:rsidP="00974279">
      <w:pPr>
        <w:autoSpaceDE w:val="0"/>
        <w:autoSpaceDN w:val="0"/>
        <w:adjustRightInd w:val="0"/>
        <w:rPr>
          <w:rFonts w:ascii="Palatino Linotype" w:eastAsia="Calibri" w:hAnsi="Palatino Linotype" w:cs="Tahoma"/>
          <w:b/>
          <w:color w:val="000000"/>
          <w:kern w:val="0"/>
          <w:lang w:eastAsia="es-MX"/>
          <w14:ligatures w14:val="none"/>
        </w:rPr>
      </w:pPr>
    </w:p>
    <w:p w14:paraId="4B5487BC" w14:textId="77777777" w:rsidR="00974279" w:rsidRPr="002B29A1" w:rsidRDefault="00974279" w:rsidP="00974279">
      <w:pPr>
        <w:numPr>
          <w:ilvl w:val="0"/>
          <w:numId w:val="17"/>
        </w:numPr>
        <w:autoSpaceDE w:val="0"/>
        <w:autoSpaceDN w:val="0"/>
        <w:adjustRightInd w:val="0"/>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b/>
          <w:color w:val="000000"/>
          <w:kern w:val="0"/>
          <w:lang w:eastAsia="es-MX"/>
          <w14:ligatures w14:val="none"/>
        </w:rPr>
        <w:t xml:space="preserve">Motivación: </w:t>
      </w:r>
      <w:r w:rsidRPr="002B29A1">
        <w:rPr>
          <w:rFonts w:ascii="Palatino Linotype" w:eastAsia="Calibri" w:hAnsi="Palatino Linotype" w:cs="Tahoma"/>
          <w:color w:val="000000"/>
          <w:kern w:val="0"/>
          <w:lang w:eastAsia="es-MX"/>
          <w14:ligatures w14:val="none"/>
        </w:rPr>
        <w:t>Razonamientos lógico-jurídicos sobre porque se consideró en el caso en concreto, que se ajusta a la hipótesis normativa.</w:t>
      </w:r>
    </w:p>
    <w:p w14:paraId="04E81629" w14:textId="77777777" w:rsidR="00974279" w:rsidRPr="002B29A1" w:rsidRDefault="00974279" w:rsidP="00974279">
      <w:pPr>
        <w:autoSpaceDE w:val="0"/>
        <w:autoSpaceDN w:val="0"/>
        <w:adjustRightInd w:val="0"/>
        <w:rPr>
          <w:rFonts w:ascii="Palatino Linotype" w:eastAsia="Calibri" w:hAnsi="Palatino Linotype" w:cs="Tahoma"/>
          <w:color w:val="000000"/>
          <w:kern w:val="0"/>
          <w:lang w:val="es-ES" w:eastAsia="es-MX"/>
          <w14:ligatures w14:val="none"/>
        </w:rPr>
      </w:pPr>
    </w:p>
    <w:p w14:paraId="56A6D4B9" w14:textId="1AD987E8" w:rsidR="00974279" w:rsidRPr="002B29A1" w:rsidRDefault="00974279" w:rsidP="00974279">
      <w:pPr>
        <w:autoSpaceDE w:val="0"/>
        <w:autoSpaceDN w:val="0"/>
        <w:adjustRightInd w:val="0"/>
        <w:rPr>
          <w:rFonts w:ascii="Palatino Linotype" w:eastAsia="Calibri" w:hAnsi="Palatino Linotype" w:cs="Tahoma"/>
          <w:color w:val="000000"/>
          <w:kern w:val="0"/>
          <w:lang w:val="es-ES" w:eastAsia="es-MX"/>
          <w14:ligatures w14:val="none"/>
        </w:rPr>
      </w:pPr>
      <w:r w:rsidRPr="002B29A1">
        <w:rPr>
          <w:rFonts w:ascii="Palatino Linotype" w:eastAsia="Calibri" w:hAnsi="Palatino Linotype" w:cs="Tahoma"/>
          <w:color w:val="000000"/>
          <w:kern w:val="0"/>
          <w:lang w:val="es-ES" w:eastAsia="es-MX"/>
          <w14:ligatures w14:val="none"/>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w:t>
      </w:r>
      <w:r w:rsidRPr="002B29A1">
        <w:rPr>
          <w:rFonts w:ascii="Palatino Linotype" w:eastAsia="Calibri" w:hAnsi="Palatino Linotype" w:cs="Tahoma"/>
          <w:color w:val="000000"/>
          <w:kern w:val="0"/>
          <w:lang w:val="es-ES" w:eastAsia="es-MX"/>
          <w14:ligatures w14:val="none"/>
        </w:rPr>
        <w:lastRenderedPageBreak/>
        <w:t>que se demuestre que la información; por lo que, al omitir entregar el Acuerdo de Clasificación no se pueden validar las versiones públicas entregadas, sin embargo, de manera oficiosa se analizan si dichos datos son clasificados o no.</w:t>
      </w:r>
    </w:p>
    <w:p w14:paraId="5CEAE6DE" w14:textId="646E0CB8" w:rsidR="00974279" w:rsidRPr="002B29A1" w:rsidRDefault="00974279" w:rsidP="00974279">
      <w:pPr>
        <w:autoSpaceDE w:val="0"/>
        <w:autoSpaceDN w:val="0"/>
        <w:adjustRightInd w:val="0"/>
        <w:rPr>
          <w:rFonts w:ascii="Palatino Linotype" w:eastAsia="Calibri" w:hAnsi="Palatino Linotype" w:cs="Tahoma"/>
          <w:color w:val="000000"/>
          <w:kern w:val="0"/>
          <w:lang w:val="es-ES" w:eastAsia="es-MX"/>
          <w14:ligatures w14:val="none"/>
        </w:rPr>
      </w:pPr>
    </w:p>
    <w:p w14:paraId="08E7B34E"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p>
    <w:p w14:paraId="3AA7BEFF" w14:textId="77777777" w:rsidR="00974279" w:rsidRPr="002B29A1" w:rsidRDefault="00974279" w:rsidP="00974279">
      <w:pPr>
        <w:autoSpaceDE w:val="0"/>
        <w:autoSpaceDN w:val="0"/>
        <w:adjustRightInd w:val="0"/>
        <w:rPr>
          <w:rFonts w:ascii="Palatino Linotype" w:eastAsia="Calibri" w:hAnsi="Palatino Linotype" w:cs="Tahoma"/>
          <w:color w:val="000000"/>
          <w:kern w:val="0"/>
          <w:lang w:eastAsia="es-MX"/>
          <w14:ligatures w14:val="none"/>
        </w:rPr>
      </w:pPr>
    </w:p>
    <w:p w14:paraId="21E2FE9F" w14:textId="79CEBB10"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En principio, cabe mencionar que el artículo 6°, Apartado A),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C4ED69B" w14:textId="77777777" w:rsidR="00974279" w:rsidRPr="002B29A1" w:rsidRDefault="00974279" w:rsidP="00974279">
      <w:pPr>
        <w:rPr>
          <w:rFonts w:ascii="Palatino Linotype" w:eastAsia="Times New Roman" w:hAnsi="Palatino Linotype" w:cs="Tahoma"/>
          <w:bCs/>
          <w:kern w:val="0"/>
          <w:lang w:eastAsia="es-ES"/>
          <w14:ligatures w14:val="none"/>
        </w:rPr>
      </w:pPr>
    </w:p>
    <w:p w14:paraId="15990F24"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BE691A0" w14:textId="77777777" w:rsidR="00974279" w:rsidRPr="002B29A1" w:rsidRDefault="00974279" w:rsidP="00974279">
      <w:pPr>
        <w:rPr>
          <w:rFonts w:ascii="Palatino Linotype" w:eastAsia="Times New Roman" w:hAnsi="Palatino Linotype" w:cs="Tahoma"/>
          <w:bCs/>
          <w:kern w:val="0"/>
          <w:lang w:eastAsia="es-ES"/>
          <w14:ligatures w14:val="none"/>
        </w:rPr>
      </w:pPr>
    </w:p>
    <w:p w14:paraId="476D6DC8"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C197682" w14:textId="77777777" w:rsidR="00974279" w:rsidRPr="002B29A1" w:rsidRDefault="00974279" w:rsidP="00974279">
      <w:pPr>
        <w:rPr>
          <w:rFonts w:ascii="Palatino Linotype" w:eastAsia="Times New Roman" w:hAnsi="Palatino Linotype" w:cs="Tahoma"/>
          <w:bCs/>
          <w:kern w:val="0"/>
          <w:lang w:eastAsia="es-ES"/>
          <w14:ligatures w14:val="none"/>
        </w:rPr>
      </w:pPr>
    </w:p>
    <w:p w14:paraId="07E445CD"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5B568484" w14:textId="77777777" w:rsidR="00974279" w:rsidRPr="002B29A1" w:rsidRDefault="00974279" w:rsidP="00974279">
      <w:pPr>
        <w:rPr>
          <w:rFonts w:ascii="Palatino Linotype" w:eastAsia="Times New Roman" w:hAnsi="Palatino Linotype" w:cs="Tahoma"/>
          <w:bCs/>
          <w:kern w:val="0"/>
          <w:lang w:eastAsia="es-ES"/>
          <w14:ligatures w14:val="none"/>
        </w:rPr>
      </w:pPr>
    </w:p>
    <w:p w14:paraId="21269AE4"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110D59F" w14:textId="77777777" w:rsidR="00974279" w:rsidRPr="002B29A1" w:rsidRDefault="00974279" w:rsidP="00974279">
      <w:pPr>
        <w:rPr>
          <w:rFonts w:ascii="Palatino Linotype" w:eastAsia="Times New Roman" w:hAnsi="Palatino Linotype" w:cs="Tahoma"/>
          <w:bCs/>
          <w:kern w:val="0"/>
          <w:lang w:eastAsia="es-ES"/>
          <w14:ligatures w14:val="none"/>
        </w:rPr>
      </w:pPr>
    </w:p>
    <w:p w14:paraId="5DE028D3"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En términos de lo expuesto, la documentación y aquellos datos que se consideren confidenciales, serán una limitante del derecho de acceso a la información, siempre y cuando:</w:t>
      </w:r>
    </w:p>
    <w:p w14:paraId="7B8B0E5A" w14:textId="77777777" w:rsidR="00974279" w:rsidRPr="002B29A1" w:rsidRDefault="00974279" w:rsidP="00974279">
      <w:pPr>
        <w:rPr>
          <w:rFonts w:ascii="Palatino Linotype" w:eastAsia="Times New Roman" w:hAnsi="Palatino Linotype" w:cs="Tahoma"/>
          <w:bCs/>
          <w:kern w:val="0"/>
          <w:lang w:eastAsia="es-ES"/>
          <w14:ligatures w14:val="none"/>
        </w:rPr>
      </w:pPr>
    </w:p>
    <w:p w14:paraId="20B27B86" w14:textId="77777777" w:rsidR="00974279" w:rsidRPr="002B29A1" w:rsidRDefault="00974279" w:rsidP="00974279">
      <w:pPr>
        <w:numPr>
          <w:ilvl w:val="0"/>
          <w:numId w:val="19"/>
        </w:num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Se trate de datos personales o información privada; esto es, información concerniente a una persona física o jurídico colectiva y que esta sea identificada o identificable. </w:t>
      </w:r>
    </w:p>
    <w:p w14:paraId="7A397BA6" w14:textId="77777777" w:rsidR="00974279" w:rsidRPr="002B29A1" w:rsidRDefault="00974279" w:rsidP="00974279">
      <w:pPr>
        <w:rPr>
          <w:rFonts w:ascii="Palatino Linotype" w:eastAsia="Times New Roman" w:hAnsi="Palatino Linotype" w:cs="Tahoma"/>
          <w:bCs/>
          <w:kern w:val="0"/>
          <w:lang w:eastAsia="es-ES"/>
          <w14:ligatures w14:val="none"/>
        </w:rPr>
      </w:pPr>
    </w:p>
    <w:p w14:paraId="0A498372" w14:textId="77777777" w:rsidR="00974279" w:rsidRPr="002B29A1" w:rsidRDefault="00974279" w:rsidP="00974279">
      <w:pPr>
        <w:numPr>
          <w:ilvl w:val="0"/>
          <w:numId w:val="19"/>
        </w:num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Para la difusión de los datos, se requiera el consentimiento del titular. </w:t>
      </w:r>
    </w:p>
    <w:p w14:paraId="414474DF" w14:textId="77777777" w:rsidR="00974279" w:rsidRPr="002B29A1" w:rsidRDefault="00974279" w:rsidP="00974279">
      <w:pPr>
        <w:rPr>
          <w:rFonts w:ascii="Palatino Linotype" w:eastAsia="Times New Roman" w:hAnsi="Palatino Linotype" w:cs="Tahoma"/>
          <w:bCs/>
          <w:kern w:val="0"/>
          <w:lang w:eastAsia="es-ES"/>
          <w14:ligatures w14:val="none"/>
        </w:rPr>
      </w:pPr>
    </w:p>
    <w:p w14:paraId="7A445B49"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2B29A1">
        <w:rPr>
          <w:rFonts w:ascii="Palatino Linotype" w:eastAsia="Times New Roman" w:hAnsi="Palatino Linotype" w:cs="Tahoma"/>
          <w:bCs/>
          <w:kern w:val="0"/>
          <w:lang w:eastAsia="es-ES"/>
          <w14:ligatures w14:val="none"/>
        </w:rPr>
        <w:lastRenderedPageBreak/>
        <w:t xml:space="preserve">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B6EFC47" w14:textId="77777777" w:rsidR="00974279" w:rsidRPr="002B29A1" w:rsidRDefault="00974279" w:rsidP="00974279">
      <w:pPr>
        <w:rPr>
          <w:rFonts w:ascii="Palatino Linotype" w:eastAsia="Times New Roman" w:hAnsi="Palatino Linotype" w:cs="Tahoma"/>
          <w:bCs/>
          <w:kern w:val="0"/>
          <w:lang w:eastAsia="es-ES"/>
          <w14:ligatures w14:val="none"/>
        </w:rPr>
      </w:pPr>
    </w:p>
    <w:p w14:paraId="5BD0F3E7" w14:textId="77777777" w:rsidR="00974279" w:rsidRPr="002B29A1" w:rsidRDefault="00974279" w:rsidP="00974279">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Bajo ese contexto, se analizarán si los datos mencionados, deben ser considerados confidenciales, en términos del artículo 143, fracción I, de la Ley de Transparencia y Acceso a la Información Pública del Estado de México y Municipios, o públicos.</w:t>
      </w:r>
    </w:p>
    <w:p w14:paraId="7A29C306" w14:textId="77777777" w:rsidR="00974279" w:rsidRPr="002B29A1" w:rsidRDefault="00974279" w:rsidP="00974279">
      <w:pPr>
        <w:contextualSpacing/>
        <w:rPr>
          <w:rFonts w:ascii="Palatino Linotype" w:eastAsia="Palatino Linotype" w:hAnsi="Palatino Linotype" w:cs="Palatino Linotype"/>
          <w:color w:val="000000"/>
          <w:kern w:val="0"/>
          <w:lang w:eastAsia="es-MX"/>
          <w14:ligatures w14:val="none"/>
        </w:rPr>
      </w:pPr>
    </w:p>
    <w:p w14:paraId="2F2BC2C7" w14:textId="77777777" w:rsidR="00974279" w:rsidRPr="002B29A1" w:rsidRDefault="00974279" w:rsidP="00974279">
      <w:pPr>
        <w:numPr>
          <w:ilvl w:val="0"/>
          <w:numId w:val="20"/>
        </w:numPr>
        <w:contextualSpacing/>
        <w:jc w:val="left"/>
        <w:rPr>
          <w:rFonts w:ascii="Palatino Linotype" w:eastAsia="Calibri" w:hAnsi="Palatino Linotype" w:cs="Times New Roman"/>
          <w:b/>
          <w:bCs/>
          <w:iCs/>
          <w:color w:val="000000"/>
          <w:szCs w:val="24"/>
          <w:lang w:val="es-ES_tradnl"/>
        </w:rPr>
      </w:pPr>
      <w:r w:rsidRPr="002B29A1">
        <w:rPr>
          <w:rFonts w:ascii="Palatino Linotype" w:eastAsia="Calibri" w:hAnsi="Palatino Linotype" w:cs="Times New Roman"/>
          <w:b/>
          <w:bCs/>
          <w:iCs/>
          <w:color w:val="000000"/>
          <w:szCs w:val="24"/>
          <w:lang w:val="es-ES_tradnl"/>
        </w:rPr>
        <w:t>Nombre de particulares</w:t>
      </w:r>
    </w:p>
    <w:p w14:paraId="3CDC210A" w14:textId="77777777" w:rsidR="00974279" w:rsidRPr="002B29A1" w:rsidRDefault="00974279" w:rsidP="00974279">
      <w:pPr>
        <w:ind w:left="720"/>
        <w:rPr>
          <w:rFonts w:ascii="Palatino Linotype" w:eastAsia="Calibri" w:hAnsi="Palatino Linotype" w:cs="Times New Roman"/>
          <w:b/>
          <w:bCs/>
          <w:iCs/>
          <w:color w:val="000000"/>
          <w:kern w:val="0"/>
          <w:lang w:val="es-ES_tradnl"/>
          <w14:ligatures w14:val="none"/>
        </w:rPr>
      </w:pPr>
    </w:p>
    <w:p w14:paraId="63EC40D1" w14:textId="77777777" w:rsidR="00974279" w:rsidRPr="002B29A1" w:rsidRDefault="00974279" w:rsidP="00974279">
      <w:pPr>
        <w:rPr>
          <w:rFonts w:ascii="Palatino Linotype" w:eastAsia="Calibri" w:hAnsi="Palatino Linotype" w:cs="Tahoma"/>
          <w:b/>
          <w:bCs/>
          <w:kern w:val="0"/>
          <w:lang w:val="es-ES_tradnl"/>
          <w14:ligatures w14:val="none"/>
        </w:rPr>
      </w:pPr>
      <w:r w:rsidRPr="002B29A1">
        <w:rPr>
          <w:rFonts w:ascii="Palatino Linotype" w:eastAsia="Calibri" w:hAnsi="Palatino Linotype" w:cs="Tahoma"/>
          <w:bCs/>
          <w:kern w:val="0"/>
          <w14:ligatures w14:val="none"/>
        </w:rPr>
        <w:t xml:space="preserve">Al respecto, se considera que el nombre se integra </w:t>
      </w:r>
      <w:r w:rsidRPr="002B29A1">
        <w:rPr>
          <w:rFonts w:ascii="Palatino Linotype" w:eastAsia="Calibri" w:hAnsi="Palatino Linotype" w:cs="Tahoma"/>
          <w:bCs/>
          <w:kern w:val="0"/>
          <w:lang w:val="es-ES_tradnl"/>
          <w14:ligatures w14:val="none"/>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2B29A1">
        <w:rPr>
          <w:rFonts w:ascii="Palatino Linotype" w:eastAsia="Calibri" w:hAnsi="Palatino Linotype" w:cs="Tahoma"/>
          <w:bCs/>
          <w:i/>
          <w:kern w:val="0"/>
          <w:lang w:val="es-ES_tradnl"/>
          <w14:ligatures w14:val="none"/>
        </w:rPr>
        <w:t>per se</w:t>
      </w:r>
      <w:r w:rsidRPr="002B29A1">
        <w:rPr>
          <w:rFonts w:ascii="Palatino Linotype" w:eastAsia="Calibri" w:hAnsi="Palatino Linotype" w:cs="Tahoma"/>
          <w:bCs/>
          <w:kern w:val="0"/>
          <w:lang w:val="es-ES_tradnl"/>
          <w14:ligatures w14:val="none"/>
        </w:rPr>
        <w:t xml:space="preserve"> es un elemento que hace a una persona física identificada o identificable, por lo que, </w:t>
      </w:r>
      <w:r w:rsidRPr="002B29A1">
        <w:rPr>
          <w:rFonts w:ascii="Palatino Linotype" w:eastAsia="Calibri" w:hAnsi="Palatino Linotype" w:cs="Tahoma"/>
          <w:b/>
          <w:bCs/>
          <w:kern w:val="0"/>
          <w:lang w:val="es-ES_tradnl"/>
          <w14:ligatures w14:val="none"/>
        </w:rPr>
        <w:t>se considera un dato personal.</w:t>
      </w:r>
    </w:p>
    <w:p w14:paraId="797F7700" w14:textId="77777777" w:rsidR="00974279" w:rsidRPr="002B29A1" w:rsidRDefault="00974279" w:rsidP="00974279">
      <w:pPr>
        <w:rPr>
          <w:rFonts w:ascii="Palatino Linotype" w:eastAsia="Calibri" w:hAnsi="Palatino Linotype" w:cs="Tahoma"/>
          <w:b/>
          <w:bCs/>
          <w:kern w:val="0"/>
          <w14:ligatures w14:val="none"/>
        </w:rPr>
      </w:pPr>
    </w:p>
    <w:p w14:paraId="2A053C7A" w14:textId="77777777" w:rsidR="00974279" w:rsidRPr="002B29A1" w:rsidRDefault="00974279" w:rsidP="00974279">
      <w:pPr>
        <w:ind w:right="-93"/>
        <w:rPr>
          <w:rFonts w:ascii="Palatino Linotype" w:eastAsia="Calibri" w:hAnsi="Palatino Linotype" w:cs="Tahoma"/>
          <w:bCs/>
          <w:kern w:val="0"/>
          <w:lang w:val="es-ES"/>
          <w14:ligatures w14:val="none"/>
        </w:rPr>
      </w:pPr>
      <w:r w:rsidRPr="002B29A1">
        <w:rPr>
          <w:rFonts w:ascii="Palatino Linotype" w:eastAsia="Calibri" w:hAnsi="Palatino Linotype" w:cs="Tahoma"/>
          <w:bCs/>
          <w:kern w:val="0"/>
          <w14:ligatures w14:val="none"/>
        </w:rPr>
        <w:t xml:space="preserve">Al respecto </w:t>
      </w:r>
      <w:r w:rsidRPr="002B29A1">
        <w:rPr>
          <w:rFonts w:ascii="Palatino Linotype" w:eastAsia="Calibri" w:hAnsi="Palatino Linotype" w:cs="Tahoma"/>
          <w:bCs/>
          <w:kern w:val="0"/>
          <w:lang w:val="es-ES"/>
          <w14:ligatures w14:val="none"/>
        </w:rPr>
        <w:t xml:space="preserve">cabe señalar lo previsto en la tesis aislada número 1a. CCXIV/2009, emitida por la Primera Sala de la Suprema Corte de Justicia de la Nación, publicada </w:t>
      </w:r>
      <w:r w:rsidRPr="002B29A1">
        <w:rPr>
          <w:rFonts w:ascii="Palatino Linotype" w:eastAsia="Calibri" w:hAnsi="Palatino Linotype" w:cs="Tahoma"/>
          <w:bCs/>
          <w:iCs/>
          <w:kern w:val="0"/>
          <w:lang w:val="es-ES"/>
          <w14:ligatures w14:val="none"/>
        </w:rPr>
        <w:t>en la Gaceta del Semanario Judicial de la Federación, Tomo XXX, de diciembre de 2009, página 277, de la Novena Época, materia constitucional,</w:t>
      </w:r>
      <w:r w:rsidRPr="002B29A1">
        <w:rPr>
          <w:rFonts w:ascii="Palatino Linotype" w:eastAsia="Calibri" w:hAnsi="Palatino Linotype" w:cs="Tahoma"/>
          <w:bCs/>
          <w:kern w:val="0"/>
          <w:lang w:val="es-ES"/>
          <w14:ligatures w14:val="none"/>
        </w:rPr>
        <w:t xml:space="preserve"> que establece lo siguiente:</w:t>
      </w:r>
    </w:p>
    <w:p w14:paraId="4FA8DC8A" w14:textId="77777777" w:rsidR="00974279" w:rsidRPr="002B29A1" w:rsidRDefault="00974279" w:rsidP="00974279">
      <w:pPr>
        <w:ind w:right="-93"/>
        <w:rPr>
          <w:rFonts w:ascii="Palatino Linotype" w:eastAsia="Calibri" w:hAnsi="Palatino Linotype" w:cs="Tahoma"/>
          <w:bCs/>
          <w:kern w:val="0"/>
          <w:lang w:val="es-ES"/>
          <w14:ligatures w14:val="none"/>
        </w:rPr>
      </w:pPr>
    </w:p>
    <w:p w14:paraId="25EDE95E" w14:textId="77777777" w:rsidR="00974279" w:rsidRPr="002B29A1" w:rsidRDefault="00974279" w:rsidP="00974279">
      <w:pPr>
        <w:ind w:left="567" w:right="567"/>
        <w:rPr>
          <w:rFonts w:ascii="Palatino Linotype" w:eastAsia="Calibri" w:hAnsi="Palatino Linotype" w:cs="Tahoma"/>
          <w:bCs/>
          <w:i/>
          <w:kern w:val="0"/>
          <w:sz w:val="20"/>
          <w:szCs w:val="20"/>
          <w:lang w:val="es-ES"/>
          <w14:ligatures w14:val="none"/>
        </w:rPr>
      </w:pPr>
      <w:r w:rsidRPr="002B29A1">
        <w:rPr>
          <w:rFonts w:ascii="Palatino Linotype" w:eastAsia="Calibri" w:hAnsi="Palatino Linotype" w:cs="Tahoma"/>
          <w:bCs/>
          <w:i/>
          <w:kern w:val="0"/>
          <w:sz w:val="20"/>
          <w:szCs w:val="20"/>
          <w:lang w:val="es-ES"/>
          <w14:ligatures w14:val="none"/>
        </w:rPr>
        <w:t>“</w:t>
      </w:r>
      <w:r w:rsidRPr="002B29A1">
        <w:rPr>
          <w:rFonts w:ascii="Palatino Linotype" w:eastAsia="Calibri" w:hAnsi="Palatino Linotype" w:cs="Tahoma"/>
          <w:b/>
          <w:bCs/>
          <w:i/>
          <w:kern w:val="0"/>
          <w:sz w:val="20"/>
          <w:szCs w:val="20"/>
          <w:lang w:val="es-ES"/>
          <w14:ligatures w14:val="none"/>
        </w:rPr>
        <w:t xml:space="preserve">DERECHO A LA VIDA PRIVADA. SU CONTENIDO GENERAL Y LA IMPORTANCIA DE NO DESCONTEXTUALIZAR LAS REFERENCIAS A LA MISMA. </w:t>
      </w:r>
      <w:r w:rsidRPr="002B29A1">
        <w:rPr>
          <w:rFonts w:ascii="Palatino Linotype" w:eastAsia="Calibri" w:hAnsi="Palatino Linotype" w:cs="Tahoma"/>
          <w:bCs/>
          <w:i/>
          <w:kern w:val="0"/>
          <w:sz w:val="20"/>
          <w:szCs w:val="20"/>
          <w:lang w:val="es-ES"/>
          <w14:ligatures w14:val="none"/>
        </w:rPr>
        <w:t xml:space="preserve">La Suprema Corte de Justicia de la Nación se ha referido en varias tesis a los rasgos característicos de la noción de lo ‘privado’. Así, lo ha relacionado con: lo que no constituye vida pública; el ámbito </w:t>
      </w:r>
      <w:r w:rsidRPr="002B29A1">
        <w:rPr>
          <w:rFonts w:ascii="Palatino Linotype" w:eastAsia="Calibri" w:hAnsi="Palatino Linotype" w:cs="Tahoma"/>
          <w:bCs/>
          <w:i/>
          <w:kern w:val="0"/>
          <w:sz w:val="20"/>
          <w:szCs w:val="20"/>
          <w:lang w:val="es-ES"/>
          <w14:ligatures w14:val="none"/>
        </w:rPr>
        <w:lastRenderedPageBreak/>
        <w:t xml:space="preserve">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2B29A1">
        <w:rPr>
          <w:rFonts w:ascii="Palatino Linotype" w:eastAsia="Calibri" w:hAnsi="Palatino Linotype" w:cs="Tahoma"/>
          <w:b/>
          <w:bCs/>
          <w:i/>
          <w:kern w:val="0"/>
          <w:sz w:val="20"/>
          <w:szCs w:val="20"/>
          <w:lang w:val="es-ES"/>
          <w14:ligatures w14:val="none"/>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2B29A1">
        <w:rPr>
          <w:rFonts w:ascii="Palatino Linotype" w:eastAsia="Calibri" w:hAnsi="Palatino Linotype" w:cs="Tahoma"/>
          <w:bCs/>
          <w:i/>
          <w:kern w:val="0"/>
          <w:sz w:val="20"/>
          <w:szCs w:val="20"/>
          <w:lang w:val="es-ES"/>
          <w14:ligatures w14:val="none"/>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2B29A1">
        <w:rPr>
          <w:rFonts w:ascii="Palatino Linotype" w:eastAsia="Calibri" w:hAnsi="Palatino Linotype" w:cs="Tahoma"/>
          <w:b/>
          <w:bCs/>
          <w:i/>
          <w:kern w:val="0"/>
          <w:sz w:val="20"/>
          <w:szCs w:val="20"/>
          <w:lang w:val="es-ES"/>
          <w14:ligatures w14:val="none"/>
        </w:rPr>
        <w:t xml:space="preserve">En un sentido amplio, entonces, la protección constitucional de la vida </w:t>
      </w:r>
      <w:r w:rsidRPr="002B29A1">
        <w:rPr>
          <w:rFonts w:ascii="Palatino Linotype" w:eastAsia="Calibri" w:hAnsi="Palatino Linotype" w:cs="Tahoma"/>
          <w:b/>
          <w:bCs/>
          <w:i/>
          <w:kern w:val="0"/>
          <w:sz w:val="20"/>
          <w:szCs w:val="20"/>
          <w:lang w:val="es-ES"/>
          <w14:ligatures w14:val="none"/>
        </w:rPr>
        <w:lastRenderedPageBreak/>
        <w:t>privada implica poder conducir parte de la vida de uno protegido de la mirada y las injerencias de los demás</w:t>
      </w:r>
      <w:r w:rsidRPr="002B29A1">
        <w:rPr>
          <w:rFonts w:ascii="Palatino Linotype" w:eastAsia="Calibri" w:hAnsi="Palatino Linotype" w:cs="Tahoma"/>
          <w:bCs/>
          <w:i/>
          <w:kern w:val="0"/>
          <w:sz w:val="20"/>
          <w:szCs w:val="20"/>
          <w:lang w:val="es-ES"/>
          <w14:ligatures w14:val="none"/>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331E74D8" w14:textId="77777777" w:rsidR="00974279" w:rsidRPr="002B29A1" w:rsidRDefault="00974279" w:rsidP="00974279">
      <w:pPr>
        <w:ind w:right="-93"/>
        <w:rPr>
          <w:rFonts w:ascii="Palatino Linotype" w:eastAsia="Calibri" w:hAnsi="Palatino Linotype" w:cs="Tahoma"/>
          <w:bCs/>
          <w:kern w:val="0"/>
          <w:lang w:val="es-ES"/>
          <w14:ligatures w14:val="none"/>
        </w:rPr>
      </w:pPr>
    </w:p>
    <w:p w14:paraId="32755710" w14:textId="77777777" w:rsidR="00974279" w:rsidRPr="002B29A1" w:rsidRDefault="00974279" w:rsidP="00974279">
      <w:pPr>
        <w:ind w:right="-93"/>
        <w:rPr>
          <w:rFonts w:ascii="Palatino Linotype" w:eastAsia="Calibri" w:hAnsi="Palatino Linotype" w:cs="Tahoma"/>
          <w:b/>
          <w:bCs/>
          <w:kern w:val="0"/>
          <w:lang w:val="es-ES"/>
          <w14:ligatures w14:val="none"/>
        </w:rPr>
      </w:pPr>
      <w:r w:rsidRPr="002B29A1">
        <w:rPr>
          <w:rFonts w:ascii="Palatino Linotype" w:eastAsia="Calibri" w:hAnsi="Palatino Linotype" w:cs="Tahoma"/>
          <w:bCs/>
          <w:kern w:val="0"/>
          <w:lang w:val="es-ES"/>
          <w14:ligatures w14:val="none"/>
        </w:rPr>
        <w:t xml:space="preserve">De conformidad con lo señalado, se colige que </w:t>
      </w:r>
      <w:r w:rsidRPr="002B29A1">
        <w:rPr>
          <w:rFonts w:ascii="Palatino Linotype" w:eastAsia="Calibri" w:hAnsi="Palatino Linotype" w:cs="Tahoma"/>
          <w:b/>
          <w:bCs/>
          <w:kern w:val="0"/>
          <w:lang w:val="es-ES"/>
          <w14:ligatures w14:val="none"/>
        </w:rPr>
        <w:t>las actividades que realicen los particulares, dentro del ámbito privado, o dentro de la esfera particular, es información que debe protegerse.</w:t>
      </w:r>
    </w:p>
    <w:p w14:paraId="5A99DD6C" w14:textId="77777777" w:rsidR="00974279" w:rsidRPr="002B29A1" w:rsidRDefault="00974279" w:rsidP="00974279">
      <w:pPr>
        <w:ind w:right="-93"/>
        <w:rPr>
          <w:rFonts w:ascii="Palatino Linotype" w:eastAsia="Calibri" w:hAnsi="Palatino Linotype" w:cs="Tahoma"/>
          <w:bCs/>
          <w:kern w:val="0"/>
          <w14:ligatures w14:val="none"/>
        </w:rPr>
      </w:pPr>
    </w:p>
    <w:p w14:paraId="5BD0658E" w14:textId="77777777" w:rsidR="00974279" w:rsidRPr="002B29A1" w:rsidRDefault="00974279" w:rsidP="00974279">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64D4D2F3" w14:textId="77777777" w:rsidR="00974279" w:rsidRPr="002B29A1" w:rsidRDefault="00974279" w:rsidP="00974279">
      <w:pPr>
        <w:ind w:right="-93"/>
        <w:contextualSpacing/>
        <w:rPr>
          <w:rFonts w:ascii="Palatino Linotype" w:eastAsia="Calibri" w:hAnsi="Palatino Linotype" w:cs="Tahoma"/>
          <w:b/>
          <w:kern w:val="0"/>
          <w:szCs w:val="24"/>
          <w:lang w:val="es-ES"/>
          <w14:ligatures w14:val="none"/>
        </w:rPr>
      </w:pPr>
    </w:p>
    <w:p w14:paraId="53AD905D" w14:textId="77777777" w:rsidR="00974279" w:rsidRPr="002B29A1" w:rsidRDefault="00974279" w:rsidP="00974279">
      <w:pPr>
        <w:numPr>
          <w:ilvl w:val="0"/>
          <w:numId w:val="21"/>
        </w:numPr>
        <w:ind w:right="-93"/>
        <w:contextualSpacing/>
        <w:rPr>
          <w:rFonts w:ascii="Palatino Linotype" w:eastAsia="Calibri" w:hAnsi="Palatino Linotype" w:cs="Tahoma"/>
          <w:b/>
          <w:kern w:val="0"/>
          <w:szCs w:val="24"/>
          <w:lang w:val="es-ES"/>
          <w14:ligatures w14:val="none"/>
        </w:rPr>
      </w:pPr>
      <w:r w:rsidRPr="002B29A1">
        <w:rPr>
          <w:rFonts w:ascii="Palatino Linotype" w:eastAsia="Calibri" w:hAnsi="Palatino Linotype" w:cs="Tahoma"/>
          <w:b/>
          <w:bCs/>
          <w:color w:val="000000"/>
          <w:kern w:val="0"/>
          <w:szCs w:val="24"/>
          <w:lang w:eastAsia="es-ES"/>
          <w14:ligatures w14:val="none"/>
        </w:rPr>
        <w:t>Nombre de representante legal</w:t>
      </w:r>
    </w:p>
    <w:p w14:paraId="448822B1" w14:textId="77777777" w:rsidR="00974279" w:rsidRPr="002B29A1" w:rsidRDefault="00974279" w:rsidP="00974279">
      <w:pPr>
        <w:ind w:right="-93"/>
        <w:rPr>
          <w:rFonts w:ascii="Palatino Linotype" w:eastAsia="Calibri" w:hAnsi="Palatino Linotype" w:cs="Tahoma"/>
          <w:bCs/>
          <w:color w:val="000000"/>
          <w:kern w:val="0"/>
          <w:lang w:val="es-ES" w:eastAsia="es-MX"/>
          <w14:ligatures w14:val="none"/>
        </w:rPr>
      </w:pPr>
    </w:p>
    <w:p w14:paraId="35A7B126"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a nombre de la persona moral.</w:t>
      </w:r>
    </w:p>
    <w:p w14:paraId="7D43D844"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2ECCA443"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lastRenderedPageBreak/>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7BC6660B"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0545ADAF"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En esa tesitura, la representación de las personas morales se realizará por medio de representantes o apoderados, y en el caso específico de las sociedades mercantiles, dicha representación se otorgará mediante instrumento público.</w:t>
      </w:r>
    </w:p>
    <w:p w14:paraId="5D24C573"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66B7B36D"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306B56F5"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20F3C03C"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2B29A1">
        <w:rPr>
          <w:rFonts w:ascii="Palatino Linotype" w:eastAsia="Times New Roman" w:hAnsi="Palatino Linotype" w:cs="Tahoma"/>
          <w:b/>
          <w:color w:val="000000"/>
          <w:kern w:val="0"/>
          <w:lang w:val="es-ES" w:eastAsia="es-ES"/>
          <w14:ligatures w14:val="none"/>
        </w:rPr>
        <w:t xml:space="preserve">es público, </w:t>
      </w:r>
      <w:r w:rsidRPr="002B29A1">
        <w:rPr>
          <w:rFonts w:ascii="Palatino Linotype" w:eastAsia="Times New Roman" w:hAnsi="Palatino Linotype" w:cs="Tahoma"/>
          <w:color w:val="000000"/>
          <w:kern w:val="0"/>
          <w:lang w:val="es-ES" w:eastAsia="es-ES"/>
          <w14:ligatures w14:val="none"/>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4B4B1F0B"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42227F5C" w14:textId="56248B15"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 xml:space="preserve">Lo anterior, se robustece con el </w:t>
      </w:r>
      <w:r w:rsidRPr="002B29A1">
        <w:rPr>
          <w:rFonts w:ascii="Palatino Linotype" w:eastAsia="Calibri" w:hAnsi="Palatino Linotype" w:cs="Tahoma"/>
          <w:bCs/>
          <w:iCs/>
          <w:color w:val="000000"/>
          <w:kern w:val="0"/>
          <w:lang w:val="es-ES" w:eastAsia="es-MX"/>
          <w14:ligatures w14:val="none"/>
        </w:rPr>
        <w:t xml:space="preserve">Criterio Orientador, de la Segunda Época, con clave de control </w:t>
      </w:r>
      <w:r w:rsidRPr="002B29A1">
        <w:rPr>
          <w:rFonts w:ascii="Palatino Linotype" w:eastAsia="Calibri" w:hAnsi="Palatino Linotype" w:cs="Tahoma"/>
          <w:bCs/>
          <w:iCs/>
          <w:color w:val="000000"/>
          <w:kern w:val="0"/>
          <w:lang w:eastAsia="es-MX"/>
          <w14:ligatures w14:val="none"/>
        </w:rPr>
        <w:t xml:space="preserve">SO/001/2019, </w:t>
      </w:r>
      <w:r w:rsidRPr="002B29A1">
        <w:rPr>
          <w:rFonts w:ascii="Palatino Linotype" w:eastAsia="Calibri" w:hAnsi="Palatino Linotype" w:cs="Tahoma"/>
          <w:bCs/>
          <w:iCs/>
          <w:color w:val="000000"/>
          <w:kern w:val="0"/>
          <w:lang w:val="es-ES" w:eastAsia="es-MX"/>
          <w14:ligatures w14:val="none"/>
        </w:rPr>
        <w:t xml:space="preserve">emitido por el entonces Instituto Nacional de Transparencia, Acceso a </w:t>
      </w:r>
      <w:r w:rsidRPr="002B29A1">
        <w:rPr>
          <w:rFonts w:ascii="Palatino Linotype" w:eastAsia="Calibri" w:hAnsi="Palatino Linotype" w:cs="Tahoma"/>
          <w:bCs/>
          <w:iCs/>
          <w:color w:val="000000"/>
          <w:kern w:val="0"/>
          <w:lang w:val="es-ES" w:eastAsia="es-MX"/>
          <w14:ligatures w14:val="none"/>
        </w:rPr>
        <w:lastRenderedPageBreak/>
        <w:t>la Información y Protección de Datos Personales, vigente a la fecha de la solicitud</w:t>
      </w:r>
      <w:r w:rsidRPr="002B29A1">
        <w:rPr>
          <w:rFonts w:ascii="Palatino Linotype" w:eastAsia="Times New Roman" w:hAnsi="Palatino Linotype" w:cs="Tahoma"/>
          <w:color w:val="000000"/>
          <w:kern w:val="0"/>
          <w:lang w:val="es-ES" w:eastAsia="es-ES"/>
          <w14:ligatures w14:val="none"/>
        </w:rPr>
        <w:t>, que establece lo siguiente:</w:t>
      </w:r>
    </w:p>
    <w:p w14:paraId="407CC3CA"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0D6FEE48" w14:textId="77777777" w:rsidR="00974279" w:rsidRPr="002B29A1" w:rsidRDefault="00974279" w:rsidP="00974279">
      <w:pPr>
        <w:ind w:left="567" w:right="567"/>
        <w:contextualSpacing/>
        <w:rPr>
          <w:rFonts w:ascii="Palatino Linotype" w:eastAsia="Times New Roman" w:hAnsi="Palatino Linotype" w:cs="Tahoma"/>
          <w:i/>
          <w:color w:val="000000"/>
          <w:kern w:val="0"/>
          <w:sz w:val="20"/>
          <w:szCs w:val="20"/>
          <w:lang w:val="es-ES" w:eastAsia="es-ES"/>
          <w14:ligatures w14:val="none"/>
        </w:rPr>
      </w:pPr>
      <w:r w:rsidRPr="002B29A1">
        <w:rPr>
          <w:rFonts w:ascii="Palatino Linotype" w:eastAsia="Times New Roman" w:hAnsi="Palatino Linotype" w:cs="Tahoma"/>
          <w:b/>
          <w:i/>
          <w:color w:val="000000"/>
          <w:kern w:val="0"/>
          <w:sz w:val="20"/>
          <w:szCs w:val="20"/>
          <w:lang w:eastAsia="es-ES"/>
          <w14:ligatures w14:val="none"/>
        </w:rPr>
        <w:t>“Datos de identificación del representante o apoderado legal.</w:t>
      </w:r>
      <w:r w:rsidRPr="002B29A1">
        <w:rPr>
          <w:rFonts w:ascii="Palatino Linotype" w:eastAsia="Times New Roman" w:hAnsi="Palatino Linotype" w:cs="Tahoma"/>
          <w:i/>
          <w:color w:val="000000"/>
          <w:kern w:val="0"/>
          <w:sz w:val="20"/>
          <w:szCs w:val="20"/>
          <w:lang w:eastAsia="es-ES"/>
          <w14:ligatures w14:val="none"/>
        </w:rPr>
        <w:t xml:space="preserve"> </w:t>
      </w:r>
      <w:r w:rsidRPr="002B29A1">
        <w:rPr>
          <w:rFonts w:ascii="Palatino Linotype" w:eastAsia="Times New Roman" w:hAnsi="Palatino Linotype" w:cs="Tahoma"/>
          <w:b/>
          <w:i/>
          <w:color w:val="000000"/>
          <w:kern w:val="0"/>
          <w:sz w:val="20"/>
          <w:szCs w:val="20"/>
          <w:lang w:eastAsia="es-ES"/>
          <w14:ligatures w14:val="none"/>
        </w:rPr>
        <w:t xml:space="preserve">Naturaleza jurídica. </w:t>
      </w:r>
      <w:r w:rsidRPr="002B29A1">
        <w:rPr>
          <w:rFonts w:ascii="Palatino Linotype" w:eastAsia="Times New Roman" w:hAnsi="Palatino Linotype" w:cs="Tahoma"/>
          <w:i/>
          <w:color w:val="000000"/>
          <w:kern w:val="0"/>
          <w:sz w:val="20"/>
          <w:szCs w:val="20"/>
          <w:lang w:eastAsia="es-ES"/>
          <w14:ligatures w14:val="none"/>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1A150817" w14:textId="77777777" w:rsidR="00974279" w:rsidRPr="002B29A1" w:rsidRDefault="00974279" w:rsidP="00974279">
      <w:pPr>
        <w:contextualSpacing/>
        <w:rPr>
          <w:rFonts w:ascii="Palatino Linotype" w:eastAsia="Times New Roman" w:hAnsi="Palatino Linotype" w:cs="Tahoma"/>
          <w:kern w:val="0"/>
          <w:lang w:val="es-ES" w:eastAsia="es-ES"/>
          <w14:ligatures w14:val="none"/>
        </w:rPr>
      </w:pPr>
    </w:p>
    <w:p w14:paraId="33E41C38"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Ante tales situaciones, el nombre del representante legal, de una persona jurídica colectiva, no es susceptible de ser clasificado como confidencial, en términos del artículo 143, fracción I, de la Ley de Transparencia y Acceso a la Información Pública del Estado de México y Municipios.</w:t>
      </w:r>
    </w:p>
    <w:p w14:paraId="511B5D38" w14:textId="77777777" w:rsidR="00974279" w:rsidRPr="002B29A1" w:rsidRDefault="00974279" w:rsidP="00974279">
      <w:pPr>
        <w:contextualSpacing/>
        <w:rPr>
          <w:rFonts w:ascii="Palatino Linotype" w:eastAsia="Times New Roman" w:hAnsi="Palatino Linotype" w:cs="Tahoma"/>
          <w:color w:val="000000"/>
          <w:kern w:val="0"/>
          <w:lang w:val="es-ES" w:eastAsia="es-ES"/>
          <w14:ligatures w14:val="none"/>
        </w:rPr>
      </w:pPr>
    </w:p>
    <w:p w14:paraId="4DD39EB9"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t>Ahora bien, no pasa desapercibido por este Instituto que las Actas de la 69ª Sesión Ordinaria, 18ª Sesión de Cabildo Abierto, 68ª Sesión Ordinaria, 67ª Sesión Ordinaria, 66ª Sesión Ordinaria, 17ª Sesión Solemne y 53ª Sesión Extraordinaria, fueron proporcionadas en versión pública, sin proporcionar el Acuerdo emitido por el Comité de Transparencia.</w:t>
      </w:r>
    </w:p>
    <w:p w14:paraId="4A7CEEC8"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p>
    <w:p w14:paraId="35E144C0" w14:textId="0C8F075E" w:rsidR="00FC1E62" w:rsidRPr="002B29A1" w:rsidRDefault="003D3024" w:rsidP="00FC1E62">
      <w:pPr>
        <w:autoSpaceDE w:val="0"/>
        <w:autoSpaceDN w:val="0"/>
        <w:adjustRightInd w:val="0"/>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color w:val="000000"/>
          <w:kern w:val="0"/>
          <w:lang w:eastAsia="es-MX"/>
          <w14:ligatures w14:val="none"/>
        </w:rPr>
        <w:t xml:space="preserve">Sobre lo anterior, el </w:t>
      </w:r>
      <w:r w:rsidR="00FC1E62" w:rsidRPr="002B29A1">
        <w:rPr>
          <w:rFonts w:ascii="Palatino Linotype" w:eastAsia="Calibri" w:hAnsi="Palatino Linotype" w:cs="Tahoma"/>
          <w:color w:val="000000"/>
          <w:kern w:val="0"/>
          <w:lang w:eastAsia="es-MX"/>
          <w14:ligatures w14:val="none"/>
        </w:rPr>
        <w:t xml:space="preserve">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00FC1E62" w:rsidRPr="002B29A1">
        <w:rPr>
          <w:rFonts w:ascii="Palatino Linotype" w:eastAsia="Calibri" w:hAnsi="Palatino Linotype" w:cs="Tahoma"/>
          <w:b/>
          <w:color w:val="000000"/>
          <w:kern w:val="0"/>
          <w:lang w:eastAsia="es-MX"/>
          <w14:ligatures w14:val="none"/>
        </w:rPr>
        <w:t>análisis caso por caso.</w:t>
      </w:r>
    </w:p>
    <w:p w14:paraId="1E174847" w14:textId="77777777" w:rsidR="00FC1E62" w:rsidRPr="002B29A1" w:rsidRDefault="00FC1E62" w:rsidP="00FC1E62">
      <w:pPr>
        <w:autoSpaceDE w:val="0"/>
        <w:autoSpaceDN w:val="0"/>
        <w:adjustRightInd w:val="0"/>
        <w:rPr>
          <w:rFonts w:ascii="Palatino Linotype" w:eastAsia="Calibri" w:hAnsi="Palatino Linotype" w:cs="Tahoma"/>
          <w:b/>
          <w:color w:val="000000"/>
          <w:kern w:val="0"/>
          <w:lang w:eastAsia="es-MX"/>
          <w14:ligatures w14:val="none"/>
        </w:rPr>
      </w:pPr>
    </w:p>
    <w:p w14:paraId="7E3C8D0D"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lastRenderedPageBreak/>
        <w:t xml:space="preserve">Sobre lo anterior, el artículo 131 de la Ley referida, así como el Quinto de los Lineamientos Generales, establecen que los sujetos obligados </w:t>
      </w:r>
      <w:r w:rsidRPr="002B29A1">
        <w:rPr>
          <w:rFonts w:ascii="Palatino Linotype" w:eastAsia="Calibri" w:hAnsi="Palatino Linotype" w:cs="Tahoma"/>
          <w:b/>
          <w:color w:val="000000"/>
          <w:kern w:val="0"/>
          <w:lang w:eastAsia="es-MX"/>
          <w14:ligatures w14:val="none"/>
        </w:rPr>
        <w:t>deberán fundar y motivar</w:t>
      </w:r>
      <w:r w:rsidRPr="002B29A1">
        <w:rPr>
          <w:rFonts w:ascii="Palatino Linotype" w:eastAsia="Calibri" w:hAnsi="Palatino Linotype" w:cs="Tahoma"/>
          <w:color w:val="000000"/>
          <w:kern w:val="0"/>
          <w:lang w:eastAsia="es-MX"/>
          <w14:ligatures w14:val="none"/>
        </w:rPr>
        <w:t xml:space="preserve"> debidamente la clasificación de la información.</w:t>
      </w:r>
    </w:p>
    <w:p w14:paraId="73FC33F1" w14:textId="77777777" w:rsidR="00FC1E62" w:rsidRPr="002B29A1" w:rsidRDefault="00FC1E62" w:rsidP="00FC1E62">
      <w:pPr>
        <w:autoSpaceDE w:val="0"/>
        <w:autoSpaceDN w:val="0"/>
        <w:adjustRightInd w:val="0"/>
        <w:rPr>
          <w:rFonts w:ascii="Palatino Linotype" w:eastAsia="Calibri" w:hAnsi="Palatino Linotype" w:cs="Tahoma"/>
          <w:b/>
          <w:color w:val="000000"/>
          <w:kern w:val="0"/>
          <w:lang w:eastAsia="es-MX"/>
          <w14:ligatures w14:val="none"/>
        </w:rPr>
      </w:pPr>
    </w:p>
    <w:p w14:paraId="2D618715" w14:textId="77777777" w:rsidR="00FC1E62" w:rsidRPr="002B29A1" w:rsidRDefault="00FC1E62" w:rsidP="00FC1E62">
      <w:pPr>
        <w:autoSpaceDE w:val="0"/>
        <w:autoSpaceDN w:val="0"/>
        <w:adjustRightInd w:val="0"/>
        <w:rPr>
          <w:rFonts w:ascii="Palatino Linotype" w:eastAsia="Calibri" w:hAnsi="Palatino Linotype" w:cs="Tahoma"/>
          <w:bCs/>
          <w:iCs/>
          <w:color w:val="000000"/>
          <w:kern w:val="0"/>
          <w:lang w:eastAsia="es-MX"/>
          <w14:ligatures w14:val="none"/>
        </w:rPr>
      </w:pPr>
      <w:r w:rsidRPr="002B29A1">
        <w:rPr>
          <w:rFonts w:ascii="Palatino Linotype" w:eastAsia="Calibri" w:hAnsi="Palatino Linotype" w:cs="Tahoma"/>
          <w:color w:val="000000"/>
          <w:kern w:val="0"/>
          <w:lang w:eastAsia="es-MX"/>
          <w14:ligatures w14:val="none"/>
        </w:rPr>
        <w:t>Al respecto, e</w:t>
      </w:r>
      <w:r w:rsidRPr="002B29A1">
        <w:rPr>
          <w:rFonts w:ascii="Palatino Linotype" w:eastAsia="Calibri" w:hAnsi="Palatino Linotype" w:cs="Tahoma"/>
          <w:bCs/>
          <w:iCs/>
          <w:color w:val="000000"/>
          <w:kern w:val="0"/>
          <w:lang w:eastAsia="es-MX"/>
          <w14:ligatures w14:val="none"/>
        </w:rPr>
        <w:t>l Octavo de los Lineamientos Generales, precisa lo siguiente:</w:t>
      </w:r>
    </w:p>
    <w:p w14:paraId="11880514" w14:textId="77777777" w:rsidR="00FC1E62" w:rsidRPr="002B29A1" w:rsidRDefault="00FC1E62" w:rsidP="00FC1E62">
      <w:pPr>
        <w:autoSpaceDE w:val="0"/>
        <w:autoSpaceDN w:val="0"/>
        <w:adjustRightInd w:val="0"/>
        <w:rPr>
          <w:rFonts w:ascii="Palatino Linotype" w:eastAsia="Calibri" w:hAnsi="Palatino Linotype" w:cs="Tahoma"/>
          <w:bCs/>
          <w:iCs/>
          <w:color w:val="000000"/>
          <w:kern w:val="0"/>
          <w:lang w:eastAsia="es-MX"/>
          <w14:ligatures w14:val="none"/>
        </w:rPr>
      </w:pPr>
    </w:p>
    <w:p w14:paraId="2A377894" w14:textId="77777777" w:rsidR="00FC1E62" w:rsidRPr="002B29A1" w:rsidRDefault="00FC1E62" w:rsidP="00FC1E62">
      <w:pPr>
        <w:numPr>
          <w:ilvl w:val="0"/>
          <w:numId w:val="16"/>
        </w:numPr>
        <w:autoSpaceDE w:val="0"/>
        <w:autoSpaceDN w:val="0"/>
        <w:adjustRightInd w:val="0"/>
        <w:spacing w:after="160" w:line="252" w:lineRule="auto"/>
        <w:rPr>
          <w:rFonts w:ascii="Palatino Linotype" w:eastAsia="Calibri" w:hAnsi="Palatino Linotype" w:cs="Tahoma"/>
          <w:bCs/>
          <w:color w:val="000000"/>
          <w:kern w:val="0"/>
          <w:u w:val="single"/>
          <w:lang w:eastAsia="es-MX"/>
          <w14:ligatures w14:val="none"/>
        </w:rPr>
      </w:pPr>
      <w:r w:rsidRPr="002B29A1">
        <w:rPr>
          <w:rFonts w:ascii="Palatino Linotype" w:eastAsia="Calibri" w:hAnsi="Palatino Linotype" w:cs="Tahoma"/>
          <w:b/>
          <w:bCs/>
          <w:color w:val="000000"/>
          <w:kern w:val="0"/>
          <w:lang w:eastAsia="es-MX"/>
          <w14:ligatures w14:val="none"/>
        </w:rPr>
        <w:t>Para fundar la clasificación</w:t>
      </w:r>
      <w:r w:rsidRPr="002B29A1">
        <w:rPr>
          <w:rFonts w:ascii="Palatino Linotype" w:eastAsia="Calibri" w:hAnsi="Palatino Linotype" w:cs="Tahoma"/>
          <w:bCs/>
          <w:color w:val="000000"/>
          <w:kern w:val="0"/>
          <w:lang w:eastAsia="es-MX"/>
          <w14:ligatures w14:val="none"/>
        </w:rPr>
        <w:t xml:space="preserve"> de la información se deberán </w:t>
      </w:r>
      <w:r w:rsidRPr="002B29A1">
        <w:rPr>
          <w:rFonts w:ascii="Palatino Linotype" w:eastAsia="Calibri" w:hAnsi="Palatino Linotype" w:cs="Tahoma"/>
          <w:bCs/>
          <w:color w:val="000000"/>
          <w:kern w:val="0"/>
          <w:u w:val="single"/>
          <w:lang w:eastAsia="es-MX"/>
          <w14:ligatures w14:val="none"/>
        </w:rPr>
        <w:t>señalar el artículo, fracción, inciso, párrafo o numeral de la Ley aplicable;</w:t>
      </w:r>
    </w:p>
    <w:p w14:paraId="2D1994F7" w14:textId="77777777" w:rsidR="00FC1E62" w:rsidRPr="002B29A1" w:rsidRDefault="00FC1E62" w:rsidP="00FC1E62">
      <w:pPr>
        <w:autoSpaceDE w:val="0"/>
        <w:autoSpaceDN w:val="0"/>
        <w:adjustRightInd w:val="0"/>
        <w:rPr>
          <w:rFonts w:ascii="Palatino Linotype" w:eastAsia="Calibri" w:hAnsi="Palatino Linotype" w:cs="Tahoma"/>
          <w:bCs/>
          <w:color w:val="000000"/>
          <w:kern w:val="0"/>
          <w:lang w:eastAsia="es-MX"/>
          <w14:ligatures w14:val="none"/>
        </w:rPr>
      </w:pPr>
    </w:p>
    <w:p w14:paraId="4974A158" w14:textId="77777777" w:rsidR="00FC1E62" w:rsidRPr="002B29A1" w:rsidRDefault="00FC1E62" w:rsidP="00FC1E62">
      <w:pPr>
        <w:numPr>
          <w:ilvl w:val="0"/>
          <w:numId w:val="16"/>
        </w:numPr>
        <w:autoSpaceDE w:val="0"/>
        <w:autoSpaceDN w:val="0"/>
        <w:adjustRightInd w:val="0"/>
        <w:spacing w:after="160" w:line="252" w:lineRule="auto"/>
        <w:rPr>
          <w:rFonts w:ascii="Palatino Linotype" w:eastAsia="Calibri" w:hAnsi="Palatino Linotype" w:cs="Tahoma"/>
          <w:bCs/>
          <w:color w:val="000000"/>
          <w:kern w:val="0"/>
          <w:lang w:eastAsia="es-MX"/>
          <w14:ligatures w14:val="none"/>
        </w:rPr>
      </w:pPr>
      <w:r w:rsidRPr="002B29A1">
        <w:rPr>
          <w:rFonts w:ascii="Palatino Linotype" w:eastAsia="Calibri" w:hAnsi="Palatino Linotype" w:cs="Tahoma"/>
          <w:b/>
          <w:bCs/>
          <w:color w:val="000000"/>
          <w:kern w:val="0"/>
          <w:lang w:eastAsia="es-MX"/>
          <w14:ligatures w14:val="none"/>
        </w:rPr>
        <w:t>Para motivar la clasificación</w:t>
      </w:r>
      <w:r w:rsidRPr="002B29A1">
        <w:rPr>
          <w:rFonts w:ascii="Palatino Linotype" w:eastAsia="Calibri" w:hAnsi="Palatino Linotype" w:cs="Tahoma"/>
          <w:bCs/>
          <w:color w:val="000000"/>
          <w:kern w:val="0"/>
          <w:lang w:eastAsia="es-MX"/>
          <w14:ligatures w14:val="none"/>
        </w:rPr>
        <w:t xml:space="preserve"> se deberán </w:t>
      </w:r>
      <w:r w:rsidRPr="002B29A1">
        <w:rPr>
          <w:rFonts w:ascii="Palatino Linotype" w:eastAsia="Calibri" w:hAnsi="Palatino Linotype" w:cs="Tahoma"/>
          <w:bCs/>
          <w:color w:val="000000"/>
          <w:kern w:val="0"/>
          <w:u w:val="single"/>
          <w:lang w:eastAsia="es-MX"/>
          <w14:ligatures w14:val="none"/>
        </w:rPr>
        <w:t>indicar las razones y circunstancias</w:t>
      </w:r>
      <w:r w:rsidRPr="002B29A1">
        <w:rPr>
          <w:rFonts w:ascii="Palatino Linotype" w:eastAsia="Calibri" w:hAnsi="Palatino Linotype" w:cs="Tahoma"/>
          <w:bCs/>
          <w:color w:val="000000"/>
          <w:kern w:val="0"/>
          <w:lang w:eastAsia="es-MX"/>
          <w14:ligatures w14:val="none"/>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1A5E901A" w14:textId="77777777" w:rsidR="00FC1E62" w:rsidRPr="002B29A1" w:rsidRDefault="00FC1E62" w:rsidP="00FC1E62">
      <w:pPr>
        <w:autoSpaceDE w:val="0"/>
        <w:autoSpaceDN w:val="0"/>
        <w:adjustRightInd w:val="0"/>
        <w:rPr>
          <w:rFonts w:ascii="Palatino Linotype" w:eastAsia="Calibri" w:hAnsi="Palatino Linotype" w:cs="Tahoma"/>
          <w:bCs/>
          <w:color w:val="000000"/>
          <w:kern w:val="0"/>
          <w:lang w:eastAsia="es-MX"/>
          <w14:ligatures w14:val="none"/>
        </w:rPr>
      </w:pPr>
    </w:p>
    <w:p w14:paraId="38CAF4D6"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5D1F82D8" w14:textId="77777777" w:rsidR="00FC1E62" w:rsidRPr="002B29A1" w:rsidRDefault="00FC1E62" w:rsidP="00FC1E62">
      <w:pPr>
        <w:autoSpaceDE w:val="0"/>
        <w:autoSpaceDN w:val="0"/>
        <w:adjustRightInd w:val="0"/>
        <w:ind w:left="567" w:right="567"/>
        <w:rPr>
          <w:rFonts w:ascii="Palatino Linotype" w:eastAsia="Calibri" w:hAnsi="Palatino Linotype" w:cs="Tahoma"/>
          <w:color w:val="000000"/>
          <w:kern w:val="0"/>
          <w:sz w:val="20"/>
          <w:szCs w:val="20"/>
          <w:lang w:eastAsia="es-MX"/>
          <w14:ligatures w14:val="none"/>
        </w:rPr>
      </w:pPr>
    </w:p>
    <w:p w14:paraId="1CEB6ECA" w14:textId="77777777" w:rsidR="00FC1E62" w:rsidRPr="002B29A1" w:rsidRDefault="00FC1E62" w:rsidP="00FC1E62">
      <w:pPr>
        <w:autoSpaceDE w:val="0"/>
        <w:autoSpaceDN w:val="0"/>
        <w:adjustRightInd w:val="0"/>
        <w:ind w:left="567" w:right="567"/>
        <w:rPr>
          <w:rFonts w:ascii="Palatino Linotype" w:eastAsia="Calibri" w:hAnsi="Palatino Linotype" w:cs="Tahoma"/>
          <w:i/>
          <w:color w:val="000000"/>
          <w:kern w:val="0"/>
          <w:sz w:val="20"/>
          <w:szCs w:val="20"/>
          <w:lang w:eastAsia="es-MX"/>
          <w14:ligatures w14:val="none"/>
        </w:rPr>
      </w:pPr>
      <w:r w:rsidRPr="002B29A1">
        <w:rPr>
          <w:rFonts w:ascii="Palatino Linotype" w:eastAsia="Calibri" w:hAnsi="Palatino Linotype" w:cs="Tahoma"/>
          <w:b/>
          <w:i/>
          <w:color w:val="000000"/>
          <w:kern w:val="0"/>
          <w:sz w:val="20"/>
          <w:szCs w:val="20"/>
          <w:lang w:eastAsia="es-MX"/>
          <w14:ligatures w14:val="none"/>
        </w:rPr>
        <w:t xml:space="preserve">“FUNDAMENTACION Y MOTIVACION, CONCEPTO DE. </w:t>
      </w:r>
      <w:r w:rsidRPr="002B29A1">
        <w:rPr>
          <w:rFonts w:ascii="Palatino Linotype" w:eastAsia="Calibri" w:hAnsi="Palatino Linotype" w:cs="Tahoma"/>
          <w:i/>
          <w:color w:val="000000"/>
          <w:kern w:val="0"/>
          <w:sz w:val="20"/>
          <w:szCs w:val="20"/>
          <w:lang w:eastAsia="es-MX"/>
          <w14:ligatures w14:val="none"/>
        </w:rPr>
        <w:t xml:space="preserve">La </w:t>
      </w:r>
      <w:r w:rsidRPr="002B29A1">
        <w:rPr>
          <w:rFonts w:ascii="Palatino Linotype" w:eastAsia="Calibri" w:hAnsi="Palatino Linotype" w:cs="Tahoma"/>
          <w:i/>
          <w:color w:val="000000"/>
          <w:kern w:val="0"/>
          <w:sz w:val="20"/>
          <w:szCs w:val="20"/>
          <w:u w:val="single"/>
          <w:lang w:eastAsia="es-MX"/>
          <w14:ligatures w14:val="none"/>
        </w:rPr>
        <w:t>garantía de legalidad consagrada en el artículo 16 de nuestra Carta Magna</w:t>
      </w:r>
      <w:r w:rsidRPr="002B29A1">
        <w:rPr>
          <w:rFonts w:ascii="Palatino Linotype" w:eastAsia="Calibri" w:hAnsi="Palatino Linotype" w:cs="Tahoma"/>
          <w:i/>
          <w:color w:val="000000"/>
          <w:kern w:val="0"/>
          <w:sz w:val="20"/>
          <w:szCs w:val="20"/>
          <w:lang w:eastAsia="es-MX"/>
          <w14:ligatures w14:val="none"/>
        </w:rPr>
        <w:t xml:space="preserve">, establece que todo acto de autoridad precisa encontrarse debidamente fundado y motivado, entendiéndose por lo primero la obligación de la autoridad que lo emite, para citar los preceptos legales, sustantivos y adjetivos, en que se apoye </w:t>
      </w:r>
      <w:r w:rsidRPr="002B29A1">
        <w:rPr>
          <w:rFonts w:ascii="Palatino Linotype" w:eastAsia="Calibri" w:hAnsi="Palatino Linotype" w:cs="Tahoma"/>
          <w:i/>
          <w:color w:val="000000"/>
          <w:kern w:val="0"/>
          <w:sz w:val="20"/>
          <w:szCs w:val="20"/>
          <w:lang w:eastAsia="es-MX"/>
          <w14:ligatures w14:val="none"/>
        </w:rPr>
        <w:lastRenderedPageBreak/>
        <w:t>la determinación adoptada; y por lo segundo, que exprese una serie de razonamientos lógico-jurídicos sobre el por qué consideró que el caso concreto se ajusta a la hipótesis normativa.”</w:t>
      </w:r>
    </w:p>
    <w:p w14:paraId="0F05F874"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p>
    <w:p w14:paraId="73192F0A"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r w:rsidRPr="002B29A1">
        <w:rPr>
          <w:rFonts w:ascii="Palatino Linotype" w:eastAsia="Calibri" w:hAnsi="Palatino Linotype" w:cs="Tahoma"/>
          <w:color w:val="000000"/>
          <w:kern w:val="0"/>
          <w:lang w:eastAsia="es-MX"/>
          <w14:ligatures w14:val="none"/>
        </w:rPr>
        <w:t>Conforme a lo anterior, se advierte lo siguiente:</w:t>
      </w:r>
    </w:p>
    <w:p w14:paraId="282E759D"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p>
    <w:p w14:paraId="1962DFEE" w14:textId="77777777" w:rsidR="00FC1E62" w:rsidRPr="002B29A1" w:rsidRDefault="00FC1E62" w:rsidP="00FC1E62">
      <w:pPr>
        <w:numPr>
          <w:ilvl w:val="0"/>
          <w:numId w:val="17"/>
        </w:numPr>
        <w:autoSpaceDE w:val="0"/>
        <w:autoSpaceDN w:val="0"/>
        <w:adjustRightInd w:val="0"/>
        <w:spacing w:after="160" w:line="252" w:lineRule="auto"/>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b/>
          <w:color w:val="000000"/>
          <w:kern w:val="0"/>
          <w:lang w:eastAsia="es-MX"/>
          <w14:ligatures w14:val="none"/>
        </w:rPr>
        <w:t xml:space="preserve">Fundamentación: </w:t>
      </w:r>
      <w:r w:rsidRPr="002B29A1">
        <w:rPr>
          <w:rFonts w:ascii="Palatino Linotype" w:eastAsia="Calibri" w:hAnsi="Palatino Linotype" w:cs="Tahoma"/>
          <w:color w:val="000000"/>
          <w:kern w:val="0"/>
          <w:lang w:eastAsia="es-MX"/>
          <w14:ligatures w14:val="none"/>
        </w:rPr>
        <w:t>Obligación de la autoridad que emite un acto, para citar los preceptos legales, sustantivos y adjetivos, en que se apoye para la determinación tomada.</w:t>
      </w:r>
    </w:p>
    <w:p w14:paraId="0135636A" w14:textId="77777777" w:rsidR="00FC1E62" w:rsidRPr="002B29A1" w:rsidRDefault="00FC1E62" w:rsidP="00FC1E62">
      <w:pPr>
        <w:autoSpaceDE w:val="0"/>
        <w:autoSpaceDN w:val="0"/>
        <w:adjustRightInd w:val="0"/>
        <w:rPr>
          <w:rFonts w:ascii="Palatino Linotype" w:eastAsia="Calibri" w:hAnsi="Palatino Linotype" w:cs="Tahoma"/>
          <w:b/>
          <w:color w:val="000000"/>
          <w:kern w:val="0"/>
          <w:lang w:eastAsia="es-MX"/>
          <w14:ligatures w14:val="none"/>
        </w:rPr>
      </w:pPr>
    </w:p>
    <w:p w14:paraId="78338497" w14:textId="77777777" w:rsidR="00FC1E62" w:rsidRPr="002B29A1" w:rsidRDefault="00FC1E62" w:rsidP="00FC1E62">
      <w:pPr>
        <w:numPr>
          <w:ilvl w:val="0"/>
          <w:numId w:val="17"/>
        </w:numPr>
        <w:autoSpaceDE w:val="0"/>
        <w:autoSpaceDN w:val="0"/>
        <w:adjustRightInd w:val="0"/>
        <w:spacing w:after="160" w:line="252" w:lineRule="auto"/>
        <w:rPr>
          <w:rFonts w:ascii="Palatino Linotype" w:eastAsia="Calibri" w:hAnsi="Palatino Linotype" w:cs="Tahoma"/>
          <w:b/>
          <w:color w:val="000000"/>
          <w:kern w:val="0"/>
          <w:lang w:eastAsia="es-MX"/>
          <w14:ligatures w14:val="none"/>
        </w:rPr>
      </w:pPr>
      <w:r w:rsidRPr="002B29A1">
        <w:rPr>
          <w:rFonts w:ascii="Palatino Linotype" w:eastAsia="Calibri" w:hAnsi="Palatino Linotype" w:cs="Tahoma"/>
          <w:b/>
          <w:color w:val="000000"/>
          <w:kern w:val="0"/>
          <w:lang w:eastAsia="es-MX"/>
          <w14:ligatures w14:val="none"/>
        </w:rPr>
        <w:t xml:space="preserve">Motivación: </w:t>
      </w:r>
      <w:r w:rsidRPr="002B29A1">
        <w:rPr>
          <w:rFonts w:ascii="Palatino Linotype" w:eastAsia="Calibri" w:hAnsi="Palatino Linotype" w:cs="Tahoma"/>
          <w:color w:val="000000"/>
          <w:kern w:val="0"/>
          <w:lang w:eastAsia="es-MX"/>
          <w14:ligatures w14:val="none"/>
        </w:rPr>
        <w:t>Razonamientos lógico-jurídicos sobre porque se consideró en el caso en concreto, que se ajusta a la hipótesis normativa.</w:t>
      </w:r>
    </w:p>
    <w:p w14:paraId="6B727FB4" w14:textId="77777777" w:rsidR="00FC1E62" w:rsidRPr="002B29A1" w:rsidRDefault="00FC1E62" w:rsidP="00FC1E62">
      <w:pPr>
        <w:autoSpaceDE w:val="0"/>
        <w:autoSpaceDN w:val="0"/>
        <w:adjustRightInd w:val="0"/>
        <w:rPr>
          <w:rFonts w:ascii="Palatino Linotype" w:eastAsia="Calibri" w:hAnsi="Palatino Linotype" w:cs="Tahoma"/>
          <w:color w:val="000000"/>
          <w:kern w:val="0"/>
          <w:lang w:val="es-ES" w:eastAsia="es-MX"/>
          <w14:ligatures w14:val="none"/>
        </w:rPr>
      </w:pPr>
    </w:p>
    <w:p w14:paraId="229A0285" w14:textId="77777777" w:rsidR="00FC1E62" w:rsidRPr="002B29A1" w:rsidRDefault="00FC1E62" w:rsidP="00FC1E62">
      <w:pPr>
        <w:autoSpaceDE w:val="0"/>
        <w:autoSpaceDN w:val="0"/>
        <w:adjustRightInd w:val="0"/>
        <w:rPr>
          <w:rFonts w:ascii="Palatino Linotype" w:eastAsia="Calibri" w:hAnsi="Palatino Linotype" w:cs="Tahoma"/>
          <w:color w:val="000000"/>
          <w:kern w:val="0"/>
          <w:lang w:val="es-ES" w:eastAsia="es-MX"/>
          <w14:ligatures w14:val="none"/>
        </w:rPr>
      </w:pPr>
      <w:r w:rsidRPr="002B29A1">
        <w:rPr>
          <w:rFonts w:ascii="Palatino Linotype" w:eastAsia="Calibri" w:hAnsi="Palatino Linotype" w:cs="Tahoma"/>
          <w:color w:val="000000"/>
          <w:kern w:val="0"/>
          <w:lang w:val="es-ES" w:eastAsia="es-MX"/>
          <w14:ligatures w14:val="none"/>
        </w:rPr>
        <w:t xml:space="preserve">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w:t>
      </w:r>
    </w:p>
    <w:p w14:paraId="095F71F9" w14:textId="77777777" w:rsidR="00FC1E62" w:rsidRPr="002B29A1" w:rsidRDefault="00FC1E62" w:rsidP="00FC1E62">
      <w:pPr>
        <w:autoSpaceDE w:val="0"/>
        <w:autoSpaceDN w:val="0"/>
        <w:adjustRightInd w:val="0"/>
        <w:rPr>
          <w:rFonts w:ascii="Palatino Linotype" w:eastAsia="Calibri" w:hAnsi="Palatino Linotype" w:cs="Tahoma"/>
          <w:color w:val="000000"/>
          <w:kern w:val="0"/>
          <w:lang w:val="es-ES" w:eastAsia="es-MX"/>
          <w14:ligatures w14:val="none"/>
        </w:rPr>
      </w:pPr>
    </w:p>
    <w:p w14:paraId="2DA42624" w14:textId="77777777" w:rsidR="00FC1E62" w:rsidRPr="002B29A1" w:rsidRDefault="00FC1E62" w:rsidP="00FC1E62">
      <w:pPr>
        <w:autoSpaceDE w:val="0"/>
        <w:autoSpaceDN w:val="0"/>
        <w:adjustRightInd w:val="0"/>
        <w:rPr>
          <w:rFonts w:ascii="Palatino Linotype" w:eastAsia="Calibri" w:hAnsi="Palatino Linotype" w:cs="Tahoma"/>
          <w:color w:val="000000"/>
          <w:kern w:val="0"/>
          <w:lang w:val="es-ES" w:eastAsia="es-MX"/>
          <w14:ligatures w14:val="none"/>
        </w:rPr>
      </w:pPr>
      <w:r w:rsidRPr="002B29A1">
        <w:rPr>
          <w:rFonts w:ascii="Palatino Linotype" w:eastAsia="Calibri" w:hAnsi="Palatino Linotype" w:cs="Tahoma"/>
          <w:color w:val="000000"/>
          <w:kern w:val="0"/>
          <w:lang w:val="es-ES" w:eastAsia="es-MX"/>
          <w14:ligatures w14:val="none"/>
        </w:rPr>
        <w:t xml:space="preserve">Ahora bien, sin menoscabar lo anterior se procede al análisis de los datos clasificados como confidencial en las Actas proporcionadas por el Sujeto Obligado, </w:t>
      </w:r>
      <w:r w:rsidRPr="002B29A1">
        <w:rPr>
          <w:rFonts w:ascii="Palatino Linotype" w:eastAsia="Calibri" w:hAnsi="Palatino Linotype" w:cs="Tahoma"/>
          <w:color w:val="000000"/>
          <w:kern w:val="0"/>
          <w:lang w:eastAsia="es-MX"/>
          <w14:ligatures w14:val="none"/>
        </w:rPr>
        <w:t xml:space="preserve">en los que clasificó los siguientes datos: </w:t>
      </w:r>
    </w:p>
    <w:p w14:paraId="0D57EDE6"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p>
    <w:p w14:paraId="014E5A97" w14:textId="77777777" w:rsidR="00FC1E62" w:rsidRPr="002B29A1" w:rsidRDefault="00FC1E62" w:rsidP="00FC1E62">
      <w:pPr>
        <w:numPr>
          <w:ilvl w:val="0"/>
          <w:numId w:val="18"/>
        </w:numPr>
        <w:autoSpaceDE w:val="0"/>
        <w:autoSpaceDN w:val="0"/>
        <w:adjustRightInd w:val="0"/>
        <w:spacing w:after="160" w:line="252" w:lineRule="auto"/>
        <w:contextualSpacing/>
        <w:rPr>
          <w:rFonts w:ascii="Palatino Linotype" w:eastAsia="Calibri" w:hAnsi="Palatino Linotype" w:cs="Tahoma"/>
          <w:color w:val="000000"/>
          <w:szCs w:val="24"/>
          <w:lang w:eastAsia="es-ES"/>
        </w:rPr>
      </w:pPr>
      <w:r w:rsidRPr="002B29A1">
        <w:rPr>
          <w:rFonts w:ascii="Palatino Linotype" w:eastAsia="Calibri" w:hAnsi="Palatino Linotype" w:cs="Tahoma"/>
          <w:color w:val="000000"/>
          <w:szCs w:val="24"/>
          <w:lang w:eastAsia="es-ES"/>
        </w:rPr>
        <w:t xml:space="preserve">Nombre de particulares;  </w:t>
      </w:r>
    </w:p>
    <w:p w14:paraId="35F5F1A7" w14:textId="77777777" w:rsidR="00FC1E62" w:rsidRPr="002B29A1" w:rsidRDefault="00FC1E62" w:rsidP="00FC1E62">
      <w:pPr>
        <w:numPr>
          <w:ilvl w:val="0"/>
          <w:numId w:val="18"/>
        </w:numPr>
        <w:autoSpaceDE w:val="0"/>
        <w:autoSpaceDN w:val="0"/>
        <w:adjustRightInd w:val="0"/>
        <w:spacing w:after="160" w:line="252" w:lineRule="auto"/>
        <w:contextualSpacing/>
        <w:rPr>
          <w:rFonts w:ascii="Palatino Linotype" w:eastAsia="Calibri" w:hAnsi="Palatino Linotype" w:cs="Tahoma"/>
          <w:color w:val="000000"/>
          <w:szCs w:val="24"/>
          <w:lang w:eastAsia="es-ES"/>
        </w:rPr>
      </w:pPr>
      <w:r w:rsidRPr="002B29A1">
        <w:rPr>
          <w:rFonts w:ascii="Palatino Linotype" w:eastAsia="Calibri" w:hAnsi="Palatino Linotype" w:cs="Tahoma"/>
          <w:color w:val="000000"/>
          <w:szCs w:val="24"/>
          <w:lang w:eastAsia="es-ES"/>
        </w:rPr>
        <w:t xml:space="preserve">Ubicaciones de Unidades Económicas, y </w:t>
      </w:r>
    </w:p>
    <w:p w14:paraId="3744603F" w14:textId="77777777" w:rsidR="00FC1E62" w:rsidRPr="002B29A1" w:rsidRDefault="00FC1E62" w:rsidP="00FC1E62">
      <w:pPr>
        <w:numPr>
          <w:ilvl w:val="0"/>
          <w:numId w:val="18"/>
        </w:numPr>
        <w:autoSpaceDE w:val="0"/>
        <w:autoSpaceDN w:val="0"/>
        <w:adjustRightInd w:val="0"/>
        <w:spacing w:after="160" w:line="252" w:lineRule="auto"/>
        <w:contextualSpacing/>
        <w:rPr>
          <w:rFonts w:ascii="Palatino Linotype" w:eastAsia="Calibri" w:hAnsi="Palatino Linotype" w:cs="Tahoma"/>
          <w:color w:val="000000"/>
          <w:szCs w:val="24"/>
          <w:lang w:eastAsia="es-ES"/>
        </w:rPr>
      </w:pPr>
      <w:r w:rsidRPr="002B29A1">
        <w:rPr>
          <w:rFonts w:ascii="Palatino Linotype" w:eastAsia="Calibri" w:hAnsi="Palatino Linotype" w:cs="Tahoma"/>
          <w:color w:val="000000"/>
          <w:szCs w:val="24"/>
          <w:lang w:eastAsia="es-ES"/>
        </w:rPr>
        <w:t>Nombres de apoderados legales</w:t>
      </w:r>
    </w:p>
    <w:p w14:paraId="552D2841" w14:textId="77777777" w:rsidR="00FC1E62" w:rsidRPr="002B29A1" w:rsidRDefault="00FC1E62" w:rsidP="00FC1E62">
      <w:pPr>
        <w:autoSpaceDE w:val="0"/>
        <w:autoSpaceDN w:val="0"/>
        <w:adjustRightInd w:val="0"/>
        <w:rPr>
          <w:rFonts w:ascii="Palatino Linotype" w:eastAsia="Calibri" w:hAnsi="Palatino Linotype" w:cs="Tahoma"/>
          <w:color w:val="000000"/>
          <w:kern w:val="0"/>
          <w:lang w:eastAsia="es-MX"/>
          <w14:ligatures w14:val="none"/>
        </w:rPr>
      </w:pPr>
    </w:p>
    <w:p w14:paraId="406E1783"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Calibri" w:hAnsi="Palatino Linotype" w:cs="Tahoma"/>
          <w:color w:val="000000"/>
          <w:kern w:val="0"/>
          <w:lang w:eastAsia="es-MX"/>
          <w14:ligatures w14:val="none"/>
        </w:rPr>
        <w:t xml:space="preserve">Conforme a lo anterior, </w:t>
      </w:r>
      <w:r w:rsidRPr="002B29A1">
        <w:rPr>
          <w:rFonts w:ascii="Palatino Linotype" w:eastAsia="Times New Roman" w:hAnsi="Palatino Linotype" w:cs="Tahoma"/>
          <w:color w:val="0D0D0D"/>
          <w:kern w:val="0"/>
          <w:lang w:eastAsia="es-MX"/>
          <w14:ligatures w14:val="none"/>
        </w:rPr>
        <w:t xml:space="preserve">se procede a analizar si los datos previamente referidos son confidenciales o públicos; </w:t>
      </w:r>
      <w:r w:rsidRPr="002B29A1">
        <w:rPr>
          <w:rFonts w:ascii="Palatino Linotype" w:eastAsia="Times New Roman" w:hAnsi="Palatino Linotype" w:cs="Tahoma"/>
          <w:kern w:val="0"/>
          <w:lang w:eastAsia="es-ES"/>
          <w14:ligatures w14:val="none"/>
        </w:rPr>
        <w:t>e</w:t>
      </w:r>
      <w:r w:rsidRPr="002B29A1">
        <w:rPr>
          <w:rFonts w:ascii="Palatino Linotype" w:eastAsia="Times New Roman" w:hAnsi="Palatino Linotype" w:cs="Tahoma"/>
          <w:bCs/>
          <w:kern w:val="0"/>
          <w:lang w:eastAsia="es-ES"/>
          <w14:ligatures w14:val="none"/>
        </w:rPr>
        <w:t xml:space="preserve">n principio, cabe mencionar que el artículo 6°, Apartado A), fracción II, de la Constitución Política de los Estados Unidos Mexicanos, prevé que la información que se refiere a la vida privada y los datos personales, será protegida en los </w:t>
      </w:r>
      <w:r w:rsidRPr="002B29A1">
        <w:rPr>
          <w:rFonts w:ascii="Palatino Linotype" w:eastAsia="Times New Roman" w:hAnsi="Palatino Linotype" w:cs="Tahoma"/>
          <w:bCs/>
          <w:kern w:val="0"/>
          <w:lang w:eastAsia="es-ES"/>
          <w14:ligatures w14:val="none"/>
        </w:rPr>
        <w:lastRenderedPageBreak/>
        <w:t>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FE94360" w14:textId="77777777" w:rsidR="00FC1E62" w:rsidRPr="002B29A1" w:rsidRDefault="00FC1E62" w:rsidP="00FC1E62">
      <w:pPr>
        <w:rPr>
          <w:rFonts w:ascii="Palatino Linotype" w:eastAsia="Times New Roman" w:hAnsi="Palatino Linotype" w:cs="Tahoma"/>
          <w:bCs/>
          <w:kern w:val="0"/>
          <w:lang w:eastAsia="es-ES"/>
          <w14:ligatures w14:val="none"/>
        </w:rPr>
      </w:pPr>
    </w:p>
    <w:p w14:paraId="52CA7B49"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CE88F50" w14:textId="77777777" w:rsidR="00FC1E62" w:rsidRPr="002B29A1" w:rsidRDefault="00FC1E62" w:rsidP="00FC1E62">
      <w:pPr>
        <w:rPr>
          <w:rFonts w:ascii="Palatino Linotype" w:eastAsia="Times New Roman" w:hAnsi="Palatino Linotype" w:cs="Tahoma"/>
          <w:bCs/>
          <w:kern w:val="0"/>
          <w:lang w:eastAsia="es-ES"/>
          <w14:ligatures w14:val="none"/>
        </w:rPr>
      </w:pPr>
    </w:p>
    <w:p w14:paraId="40CECA34"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82FF412" w14:textId="77777777" w:rsidR="00FC1E62" w:rsidRPr="002B29A1" w:rsidRDefault="00FC1E62" w:rsidP="00FC1E62">
      <w:pPr>
        <w:rPr>
          <w:rFonts w:ascii="Palatino Linotype" w:eastAsia="Times New Roman" w:hAnsi="Palatino Linotype" w:cs="Tahoma"/>
          <w:bCs/>
          <w:kern w:val="0"/>
          <w:lang w:eastAsia="es-ES"/>
          <w14:ligatures w14:val="none"/>
        </w:rPr>
      </w:pPr>
    </w:p>
    <w:p w14:paraId="42B345CF"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7289E5EC" w14:textId="77777777" w:rsidR="00FC1E62" w:rsidRPr="002B29A1" w:rsidRDefault="00FC1E62" w:rsidP="00FC1E62">
      <w:pPr>
        <w:rPr>
          <w:rFonts w:ascii="Palatino Linotype" w:eastAsia="Times New Roman" w:hAnsi="Palatino Linotype" w:cs="Tahoma"/>
          <w:bCs/>
          <w:kern w:val="0"/>
          <w:lang w:eastAsia="es-ES"/>
          <w14:ligatures w14:val="none"/>
        </w:rPr>
      </w:pPr>
    </w:p>
    <w:p w14:paraId="2F4672C4"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w:t>
      </w:r>
      <w:r w:rsidRPr="002B29A1">
        <w:rPr>
          <w:rFonts w:ascii="Palatino Linotype" w:eastAsia="Times New Roman" w:hAnsi="Palatino Linotype" w:cs="Tahoma"/>
          <w:bCs/>
          <w:kern w:val="0"/>
          <w:lang w:eastAsia="es-ES"/>
          <w14:ligatures w14:val="none"/>
        </w:rPr>
        <w:lastRenderedPageBreak/>
        <w:t>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CAD8F90" w14:textId="77777777" w:rsidR="00FC1E62" w:rsidRPr="002B29A1" w:rsidRDefault="00FC1E62" w:rsidP="00FC1E62">
      <w:pPr>
        <w:rPr>
          <w:rFonts w:ascii="Palatino Linotype" w:eastAsia="Times New Roman" w:hAnsi="Palatino Linotype" w:cs="Tahoma"/>
          <w:bCs/>
          <w:kern w:val="0"/>
          <w:lang w:eastAsia="es-ES"/>
          <w14:ligatures w14:val="none"/>
        </w:rPr>
      </w:pPr>
    </w:p>
    <w:p w14:paraId="6969504A"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En términos de lo expuesto, la documentación y aquellos datos que se consideren confidenciales, serán una limitante del derecho de acceso a la información, siempre y cuando:</w:t>
      </w:r>
    </w:p>
    <w:p w14:paraId="083A23F1" w14:textId="77777777" w:rsidR="00FC1E62" w:rsidRPr="002B29A1" w:rsidRDefault="00FC1E62" w:rsidP="00FC1E62">
      <w:pPr>
        <w:rPr>
          <w:rFonts w:ascii="Palatino Linotype" w:eastAsia="Times New Roman" w:hAnsi="Palatino Linotype" w:cs="Tahoma"/>
          <w:bCs/>
          <w:kern w:val="0"/>
          <w:lang w:eastAsia="es-ES"/>
          <w14:ligatures w14:val="none"/>
        </w:rPr>
      </w:pPr>
    </w:p>
    <w:p w14:paraId="39818E19" w14:textId="77777777" w:rsidR="00FC1E62" w:rsidRPr="002B29A1" w:rsidRDefault="00FC1E62" w:rsidP="00FC1E62">
      <w:pPr>
        <w:numPr>
          <w:ilvl w:val="0"/>
          <w:numId w:val="19"/>
        </w:numPr>
        <w:spacing w:after="160" w:line="252" w:lineRule="auto"/>
        <w:jc w:val="left"/>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Se trate de datos personales o información privada; esto es, información concerniente a una persona física o jurídico colectiva y que esta sea identificada o identificable. </w:t>
      </w:r>
    </w:p>
    <w:p w14:paraId="3A351BBD" w14:textId="77777777" w:rsidR="00FC1E62" w:rsidRPr="002B29A1" w:rsidRDefault="00FC1E62" w:rsidP="00FC1E62">
      <w:pPr>
        <w:rPr>
          <w:rFonts w:ascii="Palatino Linotype" w:eastAsia="Times New Roman" w:hAnsi="Palatino Linotype" w:cs="Tahoma"/>
          <w:bCs/>
          <w:kern w:val="0"/>
          <w:lang w:eastAsia="es-ES"/>
          <w14:ligatures w14:val="none"/>
        </w:rPr>
      </w:pPr>
    </w:p>
    <w:p w14:paraId="22760684" w14:textId="77777777" w:rsidR="00FC1E62" w:rsidRPr="002B29A1" w:rsidRDefault="00FC1E62" w:rsidP="00FC1E62">
      <w:pPr>
        <w:numPr>
          <w:ilvl w:val="0"/>
          <w:numId w:val="19"/>
        </w:numPr>
        <w:spacing w:after="160" w:line="252" w:lineRule="auto"/>
        <w:jc w:val="left"/>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Para la difusión de los datos, se requiera el consentimiento del titular. </w:t>
      </w:r>
    </w:p>
    <w:p w14:paraId="24E4BC2A" w14:textId="77777777" w:rsidR="00FC1E62" w:rsidRPr="002B29A1" w:rsidRDefault="00FC1E62" w:rsidP="00FC1E62">
      <w:pPr>
        <w:rPr>
          <w:rFonts w:ascii="Palatino Linotype" w:eastAsia="Times New Roman" w:hAnsi="Palatino Linotype" w:cs="Tahoma"/>
          <w:bCs/>
          <w:kern w:val="0"/>
          <w:lang w:eastAsia="es-ES"/>
          <w14:ligatures w14:val="none"/>
        </w:rPr>
      </w:pPr>
    </w:p>
    <w:p w14:paraId="7613524C"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E4932E8" w14:textId="77777777" w:rsidR="00FC1E62" w:rsidRPr="002B29A1" w:rsidRDefault="00FC1E62" w:rsidP="00FC1E62">
      <w:pPr>
        <w:rPr>
          <w:rFonts w:ascii="Palatino Linotype" w:eastAsia="Times New Roman" w:hAnsi="Palatino Linotype" w:cs="Tahoma"/>
          <w:bCs/>
          <w:kern w:val="0"/>
          <w:lang w:eastAsia="es-ES"/>
          <w14:ligatures w14:val="none"/>
        </w:rPr>
      </w:pPr>
    </w:p>
    <w:p w14:paraId="3932CD84" w14:textId="77777777" w:rsidR="00FC1E62" w:rsidRPr="002B29A1" w:rsidRDefault="00FC1E62" w:rsidP="00FC1E62">
      <w:pPr>
        <w:rPr>
          <w:rFonts w:ascii="Palatino Linotype" w:eastAsia="Times New Roman" w:hAnsi="Palatino Linotype" w:cs="Tahoma"/>
          <w:bCs/>
          <w:kern w:val="0"/>
          <w:lang w:eastAsia="es-ES"/>
          <w14:ligatures w14:val="none"/>
        </w:rPr>
      </w:pPr>
      <w:r w:rsidRPr="002B29A1">
        <w:rPr>
          <w:rFonts w:ascii="Palatino Linotype" w:eastAsia="Times New Roman" w:hAnsi="Palatino Linotype" w:cs="Tahoma"/>
          <w:bCs/>
          <w:kern w:val="0"/>
          <w:lang w:eastAsia="es-ES"/>
          <w14:ligatures w14:val="none"/>
        </w:rPr>
        <w:t>Bajo ese contexto, se analizarán si los datos mencionados, deben ser considerados confidenciales, en términos del artículo 143, fracción I, de la Ley de Transparencia y Acceso a la Información Pública del Estado de México y Municipios, o públicos.</w:t>
      </w:r>
    </w:p>
    <w:p w14:paraId="6D03159F" w14:textId="77777777" w:rsidR="00FC1E62" w:rsidRPr="002B29A1" w:rsidRDefault="00FC1E62" w:rsidP="00FC1E62">
      <w:pPr>
        <w:spacing w:after="160"/>
        <w:contextualSpacing/>
        <w:rPr>
          <w:rFonts w:ascii="Palatino Linotype" w:eastAsia="Palatino Linotype" w:hAnsi="Palatino Linotype" w:cs="Palatino Linotype"/>
          <w:color w:val="000000"/>
          <w:kern w:val="0"/>
          <w:lang w:eastAsia="es-MX"/>
          <w14:ligatures w14:val="none"/>
        </w:rPr>
      </w:pPr>
    </w:p>
    <w:p w14:paraId="2A615858" w14:textId="77777777" w:rsidR="00FC1E62" w:rsidRPr="002B29A1" w:rsidRDefault="00FC1E62" w:rsidP="00FC1E62">
      <w:pPr>
        <w:numPr>
          <w:ilvl w:val="0"/>
          <w:numId w:val="20"/>
        </w:numPr>
        <w:spacing w:after="160" w:line="252" w:lineRule="auto"/>
        <w:contextualSpacing/>
        <w:jc w:val="left"/>
        <w:rPr>
          <w:rFonts w:ascii="Times New Roman" w:eastAsia="Calibri" w:hAnsi="Times New Roman" w:cs="Times New Roman"/>
          <w:b/>
          <w:bCs/>
          <w:iCs/>
          <w:color w:val="000000"/>
          <w:szCs w:val="24"/>
          <w:lang w:val="es-ES_tradnl"/>
        </w:rPr>
      </w:pPr>
      <w:r w:rsidRPr="002B29A1">
        <w:rPr>
          <w:rFonts w:ascii="Times New Roman" w:eastAsia="Calibri" w:hAnsi="Times New Roman" w:cs="Times New Roman"/>
          <w:b/>
          <w:bCs/>
          <w:iCs/>
          <w:color w:val="000000"/>
          <w:szCs w:val="24"/>
          <w:lang w:val="es-ES_tradnl"/>
        </w:rPr>
        <w:lastRenderedPageBreak/>
        <w:t>Nombre de particulares</w:t>
      </w:r>
    </w:p>
    <w:p w14:paraId="7386EAE0" w14:textId="77777777" w:rsidR="00FC1E62" w:rsidRPr="002B29A1" w:rsidRDefault="00FC1E62" w:rsidP="00FC1E62">
      <w:pPr>
        <w:ind w:left="720"/>
        <w:rPr>
          <w:rFonts w:ascii="Palatino Linotype" w:eastAsia="Calibri" w:hAnsi="Palatino Linotype" w:cs="Times New Roman"/>
          <w:b/>
          <w:bCs/>
          <w:iCs/>
          <w:color w:val="000000"/>
          <w:kern w:val="0"/>
          <w:lang w:val="es-ES_tradnl"/>
          <w14:ligatures w14:val="none"/>
        </w:rPr>
      </w:pPr>
    </w:p>
    <w:p w14:paraId="19ED9B73" w14:textId="77777777" w:rsidR="00FC1E62" w:rsidRPr="002B29A1" w:rsidRDefault="00FC1E62" w:rsidP="00FC1E62">
      <w:pPr>
        <w:rPr>
          <w:rFonts w:ascii="Palatino Linotype" w:eastAsia="Calibri" w:hAnsi="Palatino Linotype" w:cs="Tahoma"/>
          <w:b/>
          <w:bCs/>
          <w:kern w:val="0"/>
          <w:lang w:val="es-ES_tradnl"/>
          <w14:ligatures w14:val="none"/>
        </w:rPr>
      </w:pPr>
      <w:r w:rsidRPr="002B29A1">
        <w:rPr>
          <w:rFonts w:ascii="Palatino Linotype" w:eastAsia="Calibri" w:hAnsi="Palatino Linotype" w:cs="Tahoma"/>
          <w:bCs/>
          <w:kern w:val="0"/>
          <w14:ligatures w14:val="none"/>
        </w:rPr>
        <w:t xml:space="preserve">Al respecto, se considera que el nombre se integra </w:t>
      </w:r>
      <w:r w:rsidRPr="002B29A1">
        <w:rPr>
          <w:rFonts w:ascii="Palatino Linotype" w:eastAsia="Calibri" w:hAnsi="Palatino Linotype" w:cs="Tahoma"/>
          <w:bCs/>
          <w:kern w:val="0"/>
          <w:lang w:val="es-ES_tradnl"/>
          <w14:ligatures w14:val="none"/>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2B29A1">
        <w:rPr>
          <w:rFonts w:ascii="Palatino Linotype" w:eastAsia="Calibri" w:hAnsi="Palatino Linotype" w:cs="Tahoma"/>
          <w:bCs/>
          <w:i/>
          <w:kern w:val="0"/>
          <w:lang w:val="es-ES_tradnl"/>
          <w14:ligatures w14:val="none"/>
        </w:rPr>
        <w:t>per se</w:t>
      </w:r>
      <w:r w:rsidRPr="002B29A1">
        <w:rPr>
          <w:rFonts w:ascii="Palatino Linotype" w:eastAsia="Calibri" w:hAnsi="Palatino Linotype" w:cs="Tahoma"/>
          <w:bCs/>
          <w:kern w:val="0"/>
          <w:lang w:val="es-ES_tradnl"/>
          <w14:ligatures w14:val="none"/>
        </w:rPr>
        <w:t xml:space="preserve"> es un elemento que hace a una persona física identificada o identificable, por lo que, </w:t>
      </w:r>
      <w:r w:rsidRPr="002B29A1">
        <w:rPr>
          <w:rFonts w:ascii="Palatino Linotype" w:eastAsia="Calibri" w:hAnsi="Palatino Linotype" w:cs="Tahoma"/>
          <w:b/>
          <w:bCs/>
          <w:kern w:val="0"/>
          <w:lang w:val="es-ES_tradnl"/>
          <w14:ligatures w14:val="none"/>
        </w:rPr>
        <w:t>se considera un dato personal.</w:t>
      </w:r>
    </w:p>
    <w:p w14:paraId="4B7138DC" w14:textId="77777777" w:rsidR="00FC1E62" w:rsidRPr="002B29A1" w:rsidRDefault="00FC1E62" w:rsidP="00FC1E62">
      <w:pPr>
        <w:rPr>
          <w:rFonts w:ascii="Palatino Linotype" w:eastAsia="Calibri" w:hAnsi="Palatino Linotype" w:cs="Tahoma"/>
          <w:b/>
          <w:bCs/>
          <w:kern w:val="0"/>
          <w14:ligatures w14:val="none"/>
        </w:rPr>
      </w:pPr>
    </w:p>
    <w:p w14:paraId="519F1E99" w14:textId="77777777" w:rsidR="00FC1E62" w:rsidRPr="002B29A1" w:rsidRDefault="00FC1E62" w:rsidP="00FC1E62">
      <w:pPr>
        <w:ind w:right="-93"/>
        <w:rPr>
          <w:rFonts w:ascii="Palatino Linotype" w:eastAsia="Calibri" w:hAnsi="Palatino Linotype" w:cs="Tahoma"/>
          <w:bCs/>
          <w:kern w:val="0"/>
          <w:lang w:val="es-ES"/>
          <w14:ligatures w14:val="none"/>
        </w:rPr>
      </w:pPr>
      <w:r w:rsidRPr="002B29A1">
        <w:rPr>
          <w:rFonts w:ascii="Palatino Linotype" w:eastAsia="Calibri" w:hAnsi="Palatino Linotype" w:cs="Tahoma"/>
          <w:bCs/>
          <w:kern w:val="0"/>
          <w14:ligatures w14:val="none"/>
        </w:rPr>
        <w:t xml:space="preserve">Al respecto </w:t>
      </w:r>
      <w:r w:rsidRPr="002B29A1">
        <w:rPr>
          <w:rFonts w:ascii="Palatino Linotype" w:eastAsia="Calibri" w:hAnsi="Palatino Linotype" w:cs="Tahoma"/>
          <w:bCs/>
          <w:kern w:val="0"/>
          <w:lang w:val="es-ES"/>
          <w14:ligatures w14:val="none"/>
        </w:rPr>
        <w:t xml:space="preserve">cabe señalar lo previsto en la tesis aislada número 1a. CCXIV/2009, emitida por la Primera Sala de la Suprema Corte de Justicia de la Nación, publicada </w:t>
      </w:r>
      <w:r w:rsidRPr="002B29A1">
        <w:rPr>
          <w:rFonts w:ascii="Palatino Linotype" w:eastAsia="Calibri" w:hAnsi="Palatino Linotype" w:cs="Tahoma"/>
          <w:bCs/>
          <w:iCs/>
          <w:kern w:val="0"/>
          <w:lang w:val="es-ES"/>
          <w14:ligatures w14:val="none"/>
        </w:rPr>
        <w:t>en la Gaceta del Semanario Judicial de la Federación, Tomo XXX, de diciembre de 2009, página 277, de la Novena Época, materia constitucional,</w:t>
      </w:r>
      <w:r w:rsidRPr="002B29A1">
        <w:rPr>
          <w:rFonts w:ascii="Palatino Linotype" w:eastAsia="Calibri" w:hAnsi="Palatino Linotype" w:cs="Tahoma"/>
          <w:bCs/>
          <w:kern w:val="0"/>
          <w:lang w:val="es-ES"/>
          <w14:ligatures w14:val="none"/>
        </w:rPr>
        <w:t xml:space="preserve"> que establece lo siguiente:</w:t>
      </w:r>
    </w:p>
    <w:p w14:paraId="6065A2C8" w14:textId="77777777" w:rsidR="00FC1E62" w:rsidRPr="002B29A1" w:rsidRDefault="00FC1E62" w:rsidP="00FC1E62">
      <w:pPr>
        <w:ind w:left="567" w:right="567"/>
        <w:rPr>
          <w:rFonts w:ascii="Palatino Linotype" w:eastAsia="Calibri" w:hAnsi="Palatino Linotype" w:cs="Tahoma"/>
          <w:bCs/>
          <w:i/>
          <w:kern w:val="0"/>
          <w:sz w:val="20"/>
          <w:szCs w:val="20"/>
          <w:lang w:val="es-ES"/>
          <w14:ligatures w14:val="none"/>
        </w:rPr>
      </w:pPr>
      <w:r w:rsidRPr="002B29A1">
        <w:rPr>
          <w:rFonts w:ascii="Palatino Linotype" w:eastAsia="Calibri" w:hAnsi="Palatino Linotype" w:cs="Tahoma"/>
          <w:bCs/>
          <w:i/>
          <w:kern w:val="0"/>
          <w:sz w:val="20"/>
          <w:szCs w:val="20"/>
          <w:lang w:val="es-ES"/>
          <w14:ligatures w14:val="none"/>
        </w:rPr>
        <w:t>“</w:t>
      </w:r>
      <w:r w:rsidRPr="002B29A1">
        <w:rPr>
          <w:rFonts w:ascii="Palatino Linotype" w:eastAsia="Calibri" w:hAnsi="Palatino Linotype" w:cs="Tahoma"/>
          <w:b/>
          <w:bCs/>
          <w:i/>
          <w:kern w:val="0"/>
          <w:sz w:val="20"/>
          <w:szCs w:val="20"/>
          <w:lang w:val="es-ES"/>
          <w14:ligatures w14:val="none"/>
        </w:rPr>
        <w:t xml:space="preserve">DERECHO A LA VIDA PRIVADA. SU CONTENIDO GENERAL Y LA IMPORTANCIA DE NO DESCONTEXTUALIZAR LAS REFERENCIAS A LA MISMA. </w:t>
      </w:r>
      <w:r w:rsidRPr="002B29A1">
        <w:rPr>
          <w:rFonts w:ascii="Palatino Linotype" w:eastAsia="Calibri" w:hAnsi="Palatino Linotype" w:cs="Tahoma"/>
          <w:bCs/>
          <w:i/>
          <w:kern w:val="0"/>
          <w:sz w:val="20"/>
          <w:szCs w:val="20"/>
          <w:lang w:val="es-ES"/>
          <w14:ligatures w14:val="none"/>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w:t>
      </w:r>
      <w:r w:rsidRPr="002B29A1">
        <w:rPr>
          <w:rFonts w:ascii="Palatino Linotype" w:eastAsia="Calibri" w:hAnsi="Palatino Linotype" w:cs="Tahoma"/>
          <w:bCs/>
          <w:i/>
          <w:kern w:val="0"/>
          <w:sz w:val="20"/>
          <w:szCs w:val="20"/>
          <w:lang w:val="es-ES"/>
          <w14:ligatures w14:val="none"/>
        </w:rPr>
        <w:lastRenderedPageBreak/>
        <w:t xml:space="preserve">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2B29A1">
        <w:rPr>
          <w:rFonts w:ascii="Palatino Linotype" w:eastAsia="Calibri" w:hAnsi="Palatino Linotype" w:cs="Tahoma"/>
          <w:b/>
          <w:bCs/>
          <w:i/>
          <w:kern w:val="0"/>
          <w:sz w:val="20"/>
          <w:szCs w:val="20"/>
          <w:lang w:val="es-ES"/>
          <w14:ligatures w14:val="none"/>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2B29A1">
        <w:rPr>
          <w:rFonts w:ascii="Palatino Linotype" w:eastAsia="Calibri" w:hAnsi="Palatino Linotype" w:cs="Tahoma"/>
          <w:bCs/>
          <w:i/>
          <w:kern w:val="0"/>
          <w:sz w:val="20"/>
          <w:szCs w:val="20"/>
          <w:lang w:val="es-ES"/>
          <w14:ligatures w14:val="none"/>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2B29A1">
        <w:rPr>
          <w:rFonts w:ascii="Palatino Linotype" w:eastAsia="Calibri" w:hAnsi="Palatino Linotype" w:cs="Tahoma"/>
          <w:b/>
          <w:bCs/>
          <w:i/>
          <w:kern w:val="0"/>
          <w:sz w:val="20"/>
          <w:szCs w:val="20"/>
          <w:lang w:val="es-ES"/>
          <w14:ligatures w14:val="none"/>
        </w:rPr>
        <w:t>En un sentido amplio, entonces, la protección constitucional de la vida privada implica poder conducir parte de la vida de uno protegido de la mirada y las injerencias de los demás</w:t>
      </w:r>
      <w:r w:rsidRPr="002B29A1">
        <w:rPr>
          <w:rFonts w:ascii="Palatino Linotype" w:eastAsia="Calibri" w:hAnsi="Palatino Linotype" w:cs="Tahoma"/>
          <w:bCs/>
          <w:i/>
          <w:kern w:val="0"/>
          <w:sz w:val="20"/>
          <w:szCs w:val="20"/>
          <w:lang w:val="es-ES"/>
          <w14:ligatures w14:val="none"/>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3622AC45" w14:textId="77777777" w:rsidR="00FC1E62" w:rsidRPr="002B29A1" w:rsidRDefault="00FC1E62" w:rsidP="00FC1E62">
      <w:pPr>
        <w:ind w:right="-93"/>
        <w:rPr>
          <w:rFonts w:ascii="Palatino Linotype" w:eastAsia="Calibri" w:hAnsi="Palatino Linotype" w:cs="Tahoma"/>
          <w:bCs/>
          <w:kern w:val="0"/>
          <w:lang w:val="es-ES"/>
          <w14:ligatures w14:val="none"/>
        </w:rPr>
      </w:pPr>
    </w:p>
    <w:p w14:paraId="6B37B632" w14:textId="77777777" w:rsidR="00FC1E62" w:rsidRPr="002B29A1" w:rsidRDefault="00FC1E62" w:rsidP="00FC1E62">
      <w:pPr>
        <w:ind w:right="-93"/>
        <w:rPr>
          <w:rFonts w:ascii="Palatino Linotype" w:eastAsia="Calibri" w:hAnsi="Palatino Linotype" w:cs="Tahoma"/>
          <w:b/>
          <w:bCs/>
          <w:kern w:val="0"/>
          <w:lang w:val="es-ES"/>
          <w14:ligatures w14:val="none"/>
        </w:rPr>
      </w:pPr>
      <w:r w:rsidRPr="002B29A1">
        <w:rPr>
          <w:rFonts w:ascii="Palatino Linotype" w:eastAsia="Calibri" w:hAnsi="Palatino Linotype" w:cs="Tahoma"/>
          <w:bCs/>
          <w:kern w:val="0"/>
          <w:lang w:val="es-ES"/>
          <w14:ligatures w14:val="none"/>
        </w:rPr>
        <w:lastRenderedPageBreak/>
        <w:t xml:space="preserve">De conformidad con lo señalado, se colige que </w:t>
      </w:r>
      <w:r w:rsidRPr="002B29A1">
        <w:rPr>
          <w:rFonts w:ascii="Palatino Linotype" w:eastAsia="Calibri" w:hAnsi="Palatino Linotype" w:cs="Tahoma"/>
          <w:b/>
          <w:bCs/>
          <w:kern w:val="0"/>
          <w:lang w:val="es-ES"/>
          <w14:ligatures w14:val="none"/>
        </w:rPr>
        <w:t>las actividades que realicen los particulares, dentro del ámbito privado, o dentro de la esfera particular, es información que debe protegerse.</w:t>
      </w:r>
    </w:p>
    <w:p w14:paraId="535581EA" w14:textId="77777777" w:rsidR="00FC1E62" w:rsidRPr="002B29A1" w:rsidRDefault="00FC1E62" w:rsidP="00FC1E62">
      <w:pPr>
        <w:ind w:right="-93"/>
        <w:rPr>
          <w:rFonts w:ascii="Palatino Linotype" w:eastAsia="Calibri" w:hAnsi="Palatino Linotype" w:cs="Tahoma"/>
          <w:bCs/>
          <w:kern w:val="0"/>
          <w14:ligatures w14:val="none"/>
        </w:rPr>
      </w:pPr>
    </w:p>
    <w:p w14:paraId="1265E1A0"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698D7503" w14:textId="77777777" w:rsidR="00FC1E62" w:rsidRPr="002B29A1" w:rsidRDefault="00FC1E62" w:rsidP="00FC1E62">
      <w:pPr>
        <w:ind w:right="-93"/>
        <w:contextualSpacing/>
        <w:rPr>
          <w:rFonts w:ascii="Palatino Linotype" w:eastAsia="Calibri" w:hAnsi="Palatino Linotype" w:cs="Tahoma"/>
          <w:b/>
          <w:kern w:val="0"/>
          <w:szCs w:val="24"/>
          <w:lang w:val="es-ES"/>
          <w14:ligatures w14:val="none"/>
        </w:rPr>
      </w:pPr>
    </w:p>
    <w:p w14:paraId="72CEF5A3" w14:textId="77777777" w:rsidR="00FC1E62" w:rsidRPr="002B29A1" w:rsidRDefault="00FC1E62" w:rsidP="00FC1E62">
      <w:pPr>
        <w:numPr>
          <w:ilvl w:val="0"/>
          <w:numId w:val="21"/>
        </w:numPr>
        <w:spacing w:after="160" w:line="252" w:lineRule="auto"/>
        <w:ind w:right="-93"/>
        <w:contextualSpacing/>
        <w:rPr>
          <w:rFonts w:ascii="Palatino Linotype" w:eastAsia="Calibri" w:hAnsi="Palatino Linotype" w:cs="Tahoma"/>
          <w:b/>
          <w:kern w:val="0"/>
          <w:szCs w:val="24"/>
          <w:lang w:val="es-ES"/>
          <w14:ligatures w14:val="none"/>
        </w:rPr>
      </w:pPr>
      <w:r w:rsidRPr="002B29A1">
        <w:rPr>
          <w:rFonts w:ascii="Palatino Linotype" w:eastAsia="Calibri" w:hAnsi="Palatino Linotype" w:cs="Tahoma"/>
          <w:b/>
          <w:bCs/>
          <w:color w:val="000000"/>
          <w:kern w:val="0"/>
          <w:szCs w:val="24"/>
          <w:lang w:eastAsia="es-ES"/>
          <w14:ligatures w14:val="none"/>
        </w:rPr>
        <w:t>Nombre de representante legal</w:t>
      </w:r>
    </w:p>
    <w:p w14:paraId="08B27098" w14:textId="77777777" w:rsidR="00FC1E62" w:rsidRPr="002B29A1" w:rsidRDefault="00FC1E62" w:rsidP="00FC1E62">
      <w:pPr>
        <w:ind w:right="-93"/>
        <w:rPr>
          <w:rFonts w:ascii="Palatino Linotype" w:eastAsia="Calibri" w:hAnsi="Palatino Linotype" w:cs="Tahoma"/>
          <w:bCs/>
          <w:color w:val="000000"/>
          <w:kern w:val="0"/>
          <w:lang w:val="es-ES" w:eastAsia="es-MX"/>
          <w14:ligatures w14:val="none"/>
        </w:rPr>
      </w:pPr>
    </w:p>
    <w:p w14:paraId="40962CCB"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Al respecto, resulta necesario señalar que las personas morales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a nombre de la persona moral.</w:t>
      </w:r>
    </w:p>
    <w:p w14:paraId="5C413CB7"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4DC31192"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4F85E6C1"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5EF25659"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En esa tesitura, la representación de las personas morales se realizará por medio de representantes o apoderados, y en el caso específico de las sociedades mercantiles, dicha representación se otorgará mediante instrumento público.</w:t>
      </w:r>
    </w:p>
    <w:p w14:paraId="11E7852D"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79ECD7F3"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lastRenderedPageBreak/>
        <w:t>Ello, toda vez que la representación legal debe ser conocida para surtir efectos ante terceros; es decir, la publicidad de la misma tiene por objeto dar certeza a quienes se relacionan con la persona jurídico colectiva representada, que las actuaciones de su representante están previamente autorizadas y que surtirán efectos legales a que constriñe cada acto.</w:t>
      </w:r>
    </w:p>
    <w:p w14:paraId="0E2585DC"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508CF0B5"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2B29A1">
        <w:rPr>
          <w:rFonts w:ascii="Palatino Linotype" w:eastAsia="Times New Roman" w:hAnsi="Palatino Linotype" w:cs="Tahoma"/>
          <w:b/>
          <w:color w:val="000000"/>
          <w:kern w:val="0"/>
          <w:lang w:val="es-ES" w:eastAsia="es-ES"/>
          <w14:ligatures w14:val="none"/>
        </w:rPr>
        <w:t xml:space="preserve">es público, </w:t>
      </w:r>
      <w:r w:rsidRPr="002B29A1">
        <w:rPr>
          <w:rFonts w:ascii="Palatino Linotype" w:eastAsia="Times New Roman" w:hAnsi="Palatino Linotype" w:cs="Tahoma"/>
          <w:color w:val="000000"/>
          <w:kern w:val="0"/>
          <w:lang w:val="es-ES" w:eastAsia="es-ES"/>
          <w14:ligatures w14:val="none"/>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0FCF6743" w14:textId="77777777" w:rsidR="00567E21" w:rsidRPr="002B29A1" w:rsidRDefault="00567E21" w:rsidP="00FC1E62">
      <w:pPr>
        <w:spacing w:after="160"/>
        <w:contextualSpacing/>
        <w:rPr>
          <w:rFonts w:ascii="Palatino Linotype" w:eastAsia="Times New Roman" w:hAnsi="Palatino Linotype" w:cs="Tahoma"/>
          <w:color w:val="000000"/>
          <w:kern w:val="0"/>
          <w:lang w:val="es-ES" w:eastAsia="es-ES"/>
          <w14:ligatures w14:val="none"/>
        </w:rPr>
      </w:pPr>
    </w:p>
    <w:p w14:paraId="49FB3AE7" w14:textId="35AF67DF"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 xml:space="preserve">Lo anterior, se robustece con el </w:t>
      </w:r>
      <w:r w:rsidR="00567E21" w:rsidRPr="002B29A1">
        <w:rPr>
          <w:rFonts w:ascii="Palatino Linotype" w:eastAsia="Calibri" w:hAnsi="Palatino Linotype" w:cs="Tahoma"/>
          <w:bCs/>
          <w:iCs/>
          <w:color w:val="000000"/>
          <w:kern w:val="0"/>
          <w:lang w:val="es-ES" w:eastAsia="es-MX"/>
          <w14:ligatures w14:val="none"/>
        </w:rPr>
        <w:t>Criterio Orientador</w:t>
      </w:r>
      <w:r w:rsidRPr="002B29A1">
        <w:rPr>
          <w:rFonts w:ascii="Palatino Linotype" w:eastAsia="Calibri" w:hAnsi="Palatino Linotype" w:cs="Tahoma"/>
          <w:bCs/>
          <w:iCs/>
          <w:color w:val="000000"/>
          <w:kern w:val="0"/>
          <w:lang w:val="es-ES" w:eastAsia="es-MX"/>
          <w14:ligatures w14:val="none"/>
        </w:rPr>
        <w:t xml:space="preserve">, de la Segunda Época, con clave de control </w:t>
      </w:r>
      <w:r w:rsidRPr="002B29A1">
        <w:rPr>
          <w:rFonts w:ascii="Palatino Linotype" w:eastAsia="Calibri" w:hAnsi="Palatino Linotype" w:cs="Tahoma"/>
          <w:bCs/>
          <w:iCs/>
          <w:color w:val="000000"/>
          <w:kern w:val="0"/>
          <w:lang w:eastAsia="es-MX"/>
          <w14:ligatures w14:val="none"/>
        </w:rPr>
        <w:t xml:space="preserve">SO/001/2019, </w:t>
      </w:r>
      <w:r w:rsidRPr="002B29A1">
        <w:rPr>
          <w:rFonts w:ascii="Palatino Linotype" w:eastAsia="Calibri" w:hAnsi="Palatino Linotype" w:cs="Tahoma"/>
          <w:bCs/>
          <w:iCs/>
          <w:color w:val="000000"/>
          <w:kern w:val="0"/>
          <w:lang w:val="es-ES" w:eastAsia="es-MX"/>
          <w14:ligatures w14:val="none"/>
        </w:rPr>
        <w:t>emitido por el Instituto Nacional de Transparencia, Acceso a la Información y Protección de Datos Personales</w:t>
      </w:r>
      <w:r w:rsidR="00567E21" w:rsidRPr="002B29A1">
        <w:rPr>
          <w:rFonts w:ascii="Palatino Linotype" w:eastAsia="Calibri" w:hAnsi="Palatino Linotype" w:cs="Tahoma"/>
          <w:bCs/>
          <w:iCs/>
          <w:color w:val="000000"/>
          <w:kern w:val="0"/>
          <w:lang w:val="es-ES" w:eastAsia="es-MX"/>
          <w14:ligatures w14:val="none"/>
        </w:rPr>
        <w:t xml:space="preserve"> vigente a la fecha de la solicitud</w:t>
      </w:r>
      <w:r w:rsidRPr="002B29A1">
        <w:rPr>
          <w:rFonts w:ascii="Palatino Linotype" w:eastAsia="Times New Roman" w:hAnsi="Palatino Linotype" w:cs="Tahoma"/>
          <w:color w:val="000000"/>
          <w:kern w:val="0"/>
          <w:lang w:val="es-ES" w:eastAsia="es-ES"/>
          <w14:ligatures w14:val="none"/>
        </w:rPr>
        <w:t>, que establece lo siguiente:</w:t>
      </w:r>
    </w:p>
    <w:p w14:paraId="460F8004"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5BAEF9F6" w14:textId="77777777" w:rsidR="00FC1E62" w:rsidRPr="002B29A1" w:rsidRDefault="00FC1E62" w:rsidP="00FC1E62">
      <w:pPr>
        <w:ind w:left="567" w:right="567"/>
        <w:contextualSpacing/>
        <w:rPr>
          <w:rFonts w:ascii="Palatino Linotype" w:eastAsia="Times New Roman" w:hAnsi="Palatino Linotype" w:cs="Tahoma"/>
          <w:i/>
          <w:color w:val="000000"/>
          <w:kern w:val="0"/>
          <w:sz w:val="20"/>
          <w:szCs w:val="20"/>
          <w:lang w:val="es-ES" w:eastAsia="es-ES"/>
          <w14:ligatures w14:val="none"/>
        </w:rPr>
      </w:pPr>
      <w:r w:rsidRPr="002B29A1">
        <w:rPr>
          <w:rFonts w:ascii="Palatino Linotype" w:eastAsia="Times New Roman" w:hAnsi="Palatino Linotype" w:cs="Tahoma"/>
          <w:b/>
          <w:i/>
          <w:color w:val="000000"/>
          <w:kern w:val="0"/>
          <w:sz w:val="20"/>
          <w:szCs w:val="20"/>
          <w:lang w:eastAsia="es-ES"/>
          <w14:ligatures w14:val="none"/>
        </w:rPr>
        <w:t>“Datos de identificación del representante o apoderado legal.</w:t>
      </w:r>
      <w:r w:rsidRPr="002B29A1">
        <w:rPr>
          <w:rFonts w:ascii="Palatino Linotype" w:eastAsia="Times New Roman" w:hAnsi="Palatino Linotype" w:cs="Tahoma"/>
          <w:i/>
          <w:color w:val="000000"/>
          <w:kern w:val="0"/>
          <w:sz w:val="20"/>
          <w:szCs w:val="20"/>
          <w:lang w:eastAsia="es-ES"/>
          <w14:ligatures w14:val="none"/>
        </w:rPr>
        <w:t xml:space="preserve"> </w:t>
      </w:r>
      <w:r w:rsidRPr="002B29A1">
        <w:rPr>
          <w:rFonts w:ascii="Palatino Linotype" w:eastAsia="Times New Roman" w:hAnsi="Palatino Linotype" w:cs="Tahoma"/>
          <w:b/>
          <w:i/>
          <w:color w:val="000000"/>
          <w:kern w:val="0"/>
          <w:sz w:val="20"/>
          <w:szCs w:val="20"/>
          <w:lang w:eastAsia="es-ES"/>
          <w14:ligatures w14:val="none"/>
        </w:rPr>
        <w:t xml:space="preserve">Naturaleza jurídica. </w:t>
      </w:r>
      <w:r w:rsidRPr="002B29A1">
        <w:rPr>
          <w:rFonts w:ascii="Palatino Linotype" w:eastAsia="Times New Roman" w:hAnsi="Palatino Linotype" w:cs="Tahoma"/>
          <w:i/>
          <w:color w:val="000000"/>
          <w:kern w:val="0"/>
          <w:sz w:val="20"/>
          <w:szCs w:val="20"/>
          <w:lang w:eastAsia="es-ES"/>
          <w14:ligatures w14:val="none"/>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62B82A68" w14:textId="77777777" w:rsidR="00FC1E62" w:rsidRPr="002B29A1" w:rsidRDefault="00FC1E62" w:rsidP="00FC1E62">
      <w:pPr>
        <w:spacing w:after="160"/>
        <w:contextualSpacing/>
        <w:rPr>
          <w:rFonts w:ascii="Palatino Linotype" w:eastAsia="Times New Roman" w:hAnsi="Palatino Linotype" w:cs="Tahoma"/>
          <w:kern w:val="0"/>
          <w:lang w:val="es-ES" w:eastAsia="es-ES"/>
          <w14:ligatures w14:val="none"/>
        </w:rPr>
      </w:pPr>
    </w:p>
    <w:p w14:paraId="4E3FC207"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r w:rsidRPr="002B29A1">
        <w:rPr>
          <w:rFonts w:ascii="Palatino Linotype" w:eastAsia="Times New Roman" w:hAnsi="Palatino Linotype" w:cs="Tahoma"/>
          <w:color w:val="000000"/>
          <w:kern w:val="0"/>
          <w:lang w:val="es-ES" w:eastAsia="es-ES"/>
          <w14:ligatures w14:val="none"/>
        </w:rPr>
        <w:t xml:space="preserve">Ante tales situaciones, el nombre del representante legal, de una persona jurídica colectiva, no es susceptible de ser clasificado como confidencial, en términos del artículo 143, fracción </w:t>
      </w:r>
      <w:r w:rsidRPr="002B29A1">
        <w:rPr>
          <w:rFonts w:ascii="Palatino Linotype" w:eastAsia="Times New Roman" w:hAnsi="Palatino Linotype" w:cs="Tahoma"/>
          <w:color w:val="000000"/>
          <w:kern w:val="0"/>
          <w:lang w:val="es-ES" w:eastAsia="es-ES"/>
          <w14:ligatures w14:val="none"/>
        </w:rPr>
        <w:lastRenderedPageBreak/>
        <w:t>I, de la Ley de Transparencia y Acceso a la Información Pública del Estado de México y Municipios.</w:t>
      </w:r>
    </w:p>
    <w:p w14:paraId="4485B9C6" w14:textId="5E9DF948" w:rsidR="00FC1E62" w:rsidRPr="002B29A1" w:rsidRDefault="00FC1E62" w:rsidP="00FC1E62">
      <w:pPr>
        <w:numPr>
          <w:ilvl w:val="0"/>
          <w:numId w:val="21"/>
        </w:numPr>
        <w:ind w:right="-93"/>
        <w:contextualSpacing/>
        <w:jc w:val="left"/>
        <w:rPr>
          <w:rFonts w:ascii="Palatino Linotype" w:eastAsia="Calibri" w:hAnsi="Palatino Linotype" w:cs="Tahoma"/>
          <w:bCs/>
          <w:kern w:val="0"/>
          <w14:ligatures w14:val="none"/>
        </w:rPr>
      </w:pPr>
      <w:r w:rsidRPr="002B29A1">
        <w:rPr>
          <w:rFonts w:ascii="Palatino Linotype" w:eastAsia="Calibri" w:hAnsi="Palatino Linotype" w:cs="Tahoma"/>
          <w:b/>
          <w:bCs/>
          <w:kern w:val="0"/>
          <w14:ligatures w14:val="none"/>
        </w:rPr>
        <w:t>Nombre del titular de la Licencia de funcionamiento (persona física que arrendó una local propiedad del Ayuntamiento)</w:t>
      </w:r>
    </w:p>
    <w:p w14:paraId="5934ABA2" w14:textId="77777777" w:rsidR="00FC1E62" w:rsidRPr="002B29A1" w:rsidRDefault="00FC1E62" w:rsidP="00FC1E62">
      <w:pPr>
        <w:rPr>
          <w:rFonts w:ascii="Palatino Linotype" w:eastAsia="Calibri" w:hAnsi="Palatino Linotype" w:cs="Tahoma"/>
          <w:bCs/>
          <w:kern w:val="0"/>
          <w:lang w:val="es-ES"/>
          <w14:ligatures w14:val="none"/>
        </w:rPr>
      </w:pPr>
    </w:p>
    <w:p w14:paraId="5846807D" w14:textId="1D3D9B3E" w:rsidR="00FC1E62" w:rsidRPr="002B29A1" w:rsidRDefault="00FC1E62" w:rsidP="00FC1E62">
      <w:pPr>
        <w:ind w:right="-93"/>
        <w:rPr>
          <w:rFonts w:ascii="Palatino Linotype" w:eastAsia="Calibri" w:hAnsi="Palatino Linotype" w:cs="Tahoma"/>
          <w:bCs/>
          <w:kern w:val="0"/>
          <w:lang w:val="es-ES_tradnl"/>
          <w14:ligatures w14:val="none"/>
        </w:rPr>
      </w:pPr>
      <w:r w:rsidRPr="002B29A1">
        <w:rPr>
          <w:rFonts w:ascii="Palatino Linotype" w:eastAsia="Calibri" w:hAnsi="Palatino Linotype" w:cs="Tahoma"/>
          <w:bCs/>
          <w:kern w:val="0"/>
          <w14:ligatures w14:val="none"/>
        </w:rPr>
        <w:t>Al respecto, cabe recordar que el nombre es</w:t>
      </w:r>
      <w:r w:rsidRPr="002B29A1">
        <w:rPr>
          <w:rFonts w:ascii="Palatino Linotype" w:eastAsia="Calibri" w:hAnsi="Palatino Linotype" w:cs="Tahoma"/>
          <w:bCs/>
          <w:kern w:val="0"/>
          <w:lang w:val="es-ES_tradnl"/>
          <w14:ligatures w14:val="none"/>
        </w:rPr>
        <w:t xml:space="preserve"> un elemento que hace a una persona física identificada o identificable, por lo que, </w:t>
      </w:r>
      <w:r w:rsidRPr="002B29A1">
        <w:rPr>
          <w:rFonts w:ascii="Palatino Linotype" w:eastAsia="Calibri" w:hAnsi="Palatino Linotype" w:cs="Tahoma"/>
          <w:b/>
          <w:bCs/>
          <w:kern w:val="0"/>
          <w:lang w:val="es-ES_tradnl"/>
          <w14:ligatures w14:val="none"/>
        </w:rPr>
        <w:t xml:space="preserve">se considera un dato personal; </w:t>
      </w:r>
      <w:r w:rsidRPr="002B29A1">
        <w:rPr>
          <w:rFonts w:ascii="Palatino Linotype" w:eastAsia="Calibri" w:hAnsi="Palatino Linotype" w:cs="Tahoma"/>
          <w:kern w:val="0"/>
          <w:lang w:val="es-ES_tradnl"/>
          <w14:ligatures w14:val="none"/>
        </w:rPr>
        <w:t xml:space="preserve">sobre el tema, </w:t>
      </w:r>
      <w:r w:rsidRPr="002B29A1">
        <w:rPr>
          <w:rFonts w:ascii="Palatino Linotype" w:eastAsia="Calibri" w:hAnsi="Palatino Linotype" w:cs="Tahoma"/>
          <w:bCs/>
          <w:kern w:val="0"/>
          <w:lang w:val="es-ES_tradnl"/>
          <w14:ligatures w14:val="none"/>
        </w:rPr>
        <w:t>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23BC1C25" w14:textId="77777777" w:rsidR="00FC1E62" w:rsidRPr="002B29A1" w:rsidRDefault="00FC1E62" w:rsidP="00FC1E62">
      <w:pPr>
        <w:rPr>
          <w:rFonts w:ascii="Palatino Linotype" w:eastAsia="Calibri" w:hAnsi="Palatino Linotype" w:cs="Tahoma"/>
          <w:bCs/>
          <w:kern w:val="0"/>
          <w:sz w:val="20"/>
          <w:lang w:val="es-ES_tradnl"/>
          <w14:ligatures w14:val="none"/>
        </w:rPr>
      </w:pPr>
    </w:p>
    <w:p w14:paraId="02907E07" w14:textId="77777777" w:rsidR="00FC1E62" w:rsidRPr="002B29A1" w:rsidRDefault="00FC1E62" w:rsidP="00FC1E62">
      <w:pPr>
        <w:ind w:left="567" w:right="567"/>
        <w:rPr>
          <w:rFonts w:ascii="Palatino Linotype" w:eastAsia="Calibri" w:hAnsi="Palatino Linotype" w:cs="Tahoma"/>
          <w:bCs/>
          <w:i/>
          <w:kern w:val="0"/>
          <w:sz w:val="20"/>
          <w:lang w:eastAsia="es-MX"/>
          <w14:ligatures w14:val="none"/>
        </w:rPr>
      </w:pPr>
      <w:r w:rsidRPr="002B29A1">
        <w:rPr>
          <w:rFonts w:ascii="Palatino Linotype" w:eastAsia="Calibri" w:hAnsi="Palatino Linotype" w:cs="Tahoma"/>
          <w:b/>
          <w:bCs/>
          <w:i/>
          <w:kern w:val="0"/>
          <w:sz w:val="20"/>
          <w:lang w:eastAsia="es-MX"/>
          <w14:ligatures w14:val="none"/>
        </w:rPr>
        <w:t>“Nombre del titular de una licencia que no involucre el aprovechamiento de bienes, servicios y/o recursos públicos, constituye un dato personal susceptible de clasificar como confidencial.</w:t>
      </w:r>
      <w:r w:rsidRPr="002B29A1">
        <w:rPr>
          <w:rFonts w:ascii="Palatino Linotype" w:eastAsia="Calibri" w:hAnsi="Palatino Linotype" w:cs="Tahoma"/>
          <w:bCs/>
          <w:i/>
          <w:kern w:val="0"/>
          <w:sz w:val="20"/>
          <w:lang w:eastAsia="es-MX"/>
          <w14:ligatures w14:val="none"/>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w:t>
      </w:r>
      <w:r w:rsidRPr="002B29A1">
        <w:rPr>
          <w:rFonts w:ascii="Palatino Linotype" w:eastAsia="Calibri" w:hAnsi="Palatino Linotype" w:cs="Tahoma"/>
          <w:bCs/>
          <w:i/>
          <w:kern w:val="0"/>
          <w:sz w:val="20"/>
          <w:lang w:eastAsia="es-MX"/>
          <w14:ligatures w14:val="none"/>
        </w:rPr>
        <w:lastRenderedPageBreak/>
        <w:t>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C3F8A10" w14:textId="77777777" w:rsidR="00FC1E62" w:rsidRPr="002B29A1" w:rsidRDefault="00FC1E62" w:rsidP="00FC1E62">
      <w:pPr>
        <w:ind w:right="-93"/>
        <w:rPr>
          <w:rFonts w:ascii="Palatino Linotype" w:eastAsia="Calibri" w:hAnsi="Palatino Linotype" w:cs="Tahoma"/>
          <w:bCs/>
          <w:kern w:val="0"/>
          <w14:ligatures w14:val="none"/>
        </w:rPr>
      </w:pPr>
    </w:p>
    <w:p w14:paraId="2CA07882"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233BE4FA" w14:textId="77777777" w:rsidR="00FC1E62" w:rsidRPr="002B29A1" w:rsidRDefault="00FC1E62" w:rsidP="00FC1E62">
      <w:pPr>
        <w:ind w:right="-93"/>
        <w:rPr>
          <w:rFonts w:ascii="Palatino Linotype" w:eastAsia="Calibri" w:hAnsi="Palatino Linotype" w:cs="Tahoma"/>
          <w:bCs/>
          <w:kern w:val="0"/>
          <w14:ligatures w14:val="none"/>
        </w:rPr>
      </w:pPr>
    </w:p>
    <w:p w14:paraId="4BCC04D0" w14:textId="009C8F36" w:rsidR="00FC1E62" w:rsidRPr="002B29A1" w:rsidRDefault="00FC1E62" w:rsidP="00FC1E62">
      <w:pPr>
        <w:ind w:right="-93"/>
        <w:rPr>
          <w:rFonts w:ascii="Palatino Linotype" w:eastAsia="Calibri" w:hAnsi="Palatino Linotype" w:cs="Tahoma"/>
          <w:bCs/>
          <w:kern w:val="0"/>
          <w:lang w:val="es-ES_tradnl"/>
          <w14:ligatures w14:val="none"/>
        </w:rPr>
      </w:pPr>
      <w:r w:rsidRPr="002B29A1">
        <w:rPr>
          <w:rFonts w:ascii="Palatino Linotype" w:eastAsia="Calibri" w:hAnsi="Palatino Linotype" w:cs="Tahoma"/>
          <w:bCs/>
          <w:kern w:val="0"/>
          <w:lang w:val="es-ES_tradnl"/>
          <w14:ligatures w14:val="none"/>
        </w:rPr>
        <w:t>No obstante, se considera que el nombre localizado en una licencia de funcionamiento (que corresponde aquel que se le arrendó un local comercial propiedad del Ayuntamiento), guarda cierto interés público, dado que cualquier actividad comercial, industrial o económica, es regulada por el Ayuntamiento de Toluca dentro de su circunscripción territorial, pues ayuda a transparentar la gestión pública.</w:t>
      </w:r>
    </w:p>
    <w:p w14:paraId="6CE19007" w14:textId="77777777" w:rsidR="00FC1E62" w:rsidRPr="002B29A1" w:rsidRDefault="00FC1E62" w:rsidP="00FC1E62">
      <w:pPr>
        <w:ind w:right="-93"/>
        <w:rPr>
          <w:rFonts w:ascii="Palatino Linotype" w:eastAsia="Calibri" w:hAnsi="Palatino Linotype" w:cs="Tahoma"/>
          <w:bCs/>
          <w:kern w:val="0"/>
          <w14:ligatures w14:val="none"/>
        </w:rPr>
      </w:pPr>
    </w:p>
    <w:p w14:paraId="245F4F09" w14:textId="72312A6F"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Al respecto, cabe puntualizar que las licencias, tal como se estableció en párrafos anteriores, se refiere a los documentos que contienen la autorización por parte del Ayuntamiento de Toluca, a través del área de Desarrollo Económico, para que un particular o persona jurídica colectiva pueda realizar una actividad económica, comercial o industrial, regulada por las Leyes respectivas.</w:t>
      </w:r>
    </w:p>
    <w:p w14:paraId="7767D4B9" w14:textId="77777777" w:rsidR="00FC1E62" w:rsidRPr="002B29A1" w:rsidRDefault="00FC1E62" w:rsidP="00FC1E62">
      <w:pPr>
        <w:ind w:right="-93"/>
        <w:rPr>
          <w:rFonts w:ascii="Palatino Linotype" w:eastAsia="Calibri" w:hAnsi="Palatino Linotype" w:cs="Tahoma"/>
          <w:bCs/>
          <w:kern w:val="0"/>
          <w14:ligatures w14:val="none"/>
        </w:rPr>
      </w:pPr>
    </w:p>
    <w:p w14:paraId="6558AFD8" w14:textId="63157148"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lastRenderedPageBreak/>
        <w:t xml:space="preserve">En ese sentido, de acuerdo con el artículo 92, fracción XXXII de la Ley en cita, el legislador contempló como información de interés público y que debe estar disponible para consulta, aquellas licencias otorgadas, especificando </w:t>
      </w:r>
      <w:r w:rsidRPr="002B29A1">
        <w:rPr>
          <w:rFonts w:ascii="Palatino Linotype" w:eastAsia="Calibri" w:hAnsi="Palatino Linotype" w:cs="Tahoma"/>
          <w:b/>
          <w:bCs/>
          <w:kern w:val="0"/>
          <w14:ligatures w14:val="none"/>
        </w:rPr>
        <w:t>el nombre de su titular</w:t>
      </w:r>
      <w:r w:rsidRPr="002B29A1">
        <w:rPr>
          <w:rFonts w:ascii="Palatino Linotype" w:eastAsia="Calibri" w:hAnsi="Palatino Linotype" w:cs="Tahoma"/>
          <w:bCs/>
          <w:kern w:val="0"/>
          <w14:ligatures w14:val="none"/>
        </w:rPr>
        <w:t xml:space="preserve"> y las características principales.</w:t>
      </w:r>
    </w:p>
    <w:p w14:paraId="165EEE61" w14:textId="77777777" w:rsidR="00FC1E62" w:rsidRPr="002B29A1" w:rsidRDefault="00FC1E62" w:rsidP="00FC1E62">
      <w:pPr>
        <w:ind w:right="-93"/>
        <w:rPr>
          <w:rFonts w:ascii="Palatino Linotype" w:eastAsia="Calibri" w:hAnsi="Palatino Linotype" w:cs="Tahoma"/>
          <w:bCs/>
          <w:kern w:val="0"/>
          <w14:ligatures w14:val="none"/>
        </w:rPr>
      </w:pPr>
    </w:p>
    <w:p w14:paraId="52EBAAD9"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w:t>
      </w:r>
      <w:r w:rsidRPr="002B29A1">
        <w:rPr>
          <w:rFonts w:ascii="Palatino Linotype" w:eastAsia="Times New Roman" w:hAnsi="Palatino Linotype" w:cs="Tahoma"/>
          <w:kern w:val="0"/>
          <w:lang w:eastAsia="es-ES"/>
          <w14:ligatures w14:val="none"/>
        </w:rPr>
        <w:t xml:space="preserve"> </w:t>
      </w:r>
      <w:r w:rsidRPr="002B29A1">
        <w:rPr>
          <w:rFonts w:ascii="Palatino Linotype" w:eastAsia="Calibri" w:hAnsi="Palatino Linotype" w:cs="Tahoma"/>
          <w:bCs/>
          <w:kern w:val="0"/>
          <w14:ligatures w14:val="none"/>
        </w:rPr>
        <w:t>Además, se incluyó el deber para los sujetos obligados de proporcionar, en la medida de lo posible, esta información con valor agregado, a efecto de facilitar su uso, comprensión y permitir evaluar su calidad, confiabilidad, oportunidad y veracidad.</w:t>
      </w:r>
    </w:p>
    <w:p w14:paraId="360615BC" w14:textId="77777777" w:rsidR="00FC1E62" w:rsidRPr="002B29A1" w:rsidRDefault="00FC1E62" w:rsidP="00FC1E62">
      <w:pPr>
        <w:ind w:right="-93"/>
        <w:rPr>
          <w:rFonts w:ascii="Palatino Linotype" w:eastAsia="Calibri" w:hAnsi="Palatino Linotype" w:cs="Tahoma"/>
          <w:bCs/>
          <w:kern w:val="0"/>
          <w14:ligatures w14:val="none"/>
        </w:rPr>
      </w:pPr>
    </w:p>
    <w:p w14:paraId="779C5BE5"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persona física de una licencia de funcionamiento, por lo que no es dable, como se asienta en el Criterio Relevante, considerar que el nombre de los titulares estas, deba ser considerado confidencial, aún y cuando el mismo no involucre aprovechamiento de bienes o recursos públicos.</w:t>
      </w:r>
    </w:p>
    <w:p w14:paraId="447E627E" w14:textId="77777777" w:rsidR="00FC1E62" w:rsidRPr="002B29A1" w:rsidRDefault="00FC1E62" w:rsidP="00FC1E62">
      <w:pPr>
        <w:ind w:right="-93"/>
        <w:rPr>
          <w:rFonts w:ascii="Palatino Linotype" w:eastAsia="Calibri" w:hAnsi="Palatino Linotype" w:cs="Tahoma"/>
          <w:bCs/>
          <w:kern w:val="0"/>
          <w14:ligatures w14:val="none"/>
        </w:rPr>
      </w:pPr>
    </w:p>
    <w:p w14:paraId="3F9550D1"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A mayor abundamiento se puede referir que, el artículo 91 de dicho ordenamiento jurídico, establece que la información pública será restringida excepcionalmente, cuando ésta sea clasificada como reservada o confidencial; por lo que, se colige que las obligaciones de transparencia no superan de forma automática la prohibición de no difundir datos personales sin el consentimiento de su titular, como sucede en el caso concreto.</w:t>
      </w:r>
    </w:p>
    <w:p w14:paraId="5E4A41FB" w14:textId="77777777" w:rsidR="00FC1E62" w:rsidRPr="002B29A1" w:rsidRDefault="00FC1E62" w:rsidP="00FC1E62">
      <w:pPr>
        <w:ind w:right="-93"/>
        <w:rPr>
          <w:rFonts w:ascii="Palatino Linotype" w:eastAsia="Calibri" w:hAnsi="Palatino Linotype" w:cs="Tahoma"/>
          <w:bCs/>
          <w:kern w:val="0"/>
          <w14:ligatures w14:val="none"/>
        </w:rPr>
      </w:pPr>
    </w:p>
    <w:p w14:paraId="61D23524"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lastRenderedPageBreak/>
        <w:t xml:space="preserve">Ante tales circunstancias, se desprende que, en el caso concreto, sobreviene una </w:t>
      </w:r>
      <w:r w:rsidRPr="002B29A1">
        <w:rPr>
          <w:rFonts w:ascii="Palatino Linotype" w:eastAsia="Calibri" w:hAnsi="Palatino Linotype" w:cs="Tahoma"/>
          <w:b/>
          <w:bCs/>
          <w:kern w:val="0"/>
          <w14:ligatures w14:val="none"/>
        </w:rPr>
        <w:t>colisión de derechos fundamentales,</w:t>
      </w:r>
      <w:r w:rsidRPr="002B29A1">
        <w:rPr>
          <w:rFonts w:ascii="Palatino Linotype" w:eastAsia="Calibri" w:hAnsi="Palatino Linotype" w:cs="Tahoma"/>
          <w:bCs/>
          <w:kern w:val="0"/>
          <w14:ligatures w14:val="none"/>
        </w:rPr>
        <w:t xml:space="preserve"> esto es, por una parte, se tiene el derecho de acceso a la información del Particular para conocer el nombre de la persona a la cual se le otorgó una licencia para desarrollar determinada actividad, y por la otra, el derecho a la protección de los nombres de aquellas a quienes obtuvieron una autorización específica, lo cual implica dar a conocer datos personales confidenciales consistentes, en el nombre de personas físicas y este vincularlo en la actividad que desarrollan y el lugar en el que se ubica su establecimiento.</w:t>
      </w:r>
    </w:p>
    <w:p w14:paraId="584D82B0" w14:textId="77777777" w:rsidR="00FC1E62" w:rsidRPr="002B29A1" w:rsidRDefault="00FC1E62" w:rsidP="00FC1E62">
      <w:pPr>
        <w:ind w:right="-93"/>
        <w:rPr>
          <w:rFonts w:ascii="Palatino Linotype" w:eastAsia="Calibri" w:hAnsi="Palatino Linotype" w:cs="Tahoma"/>
          <w:bCs/>
          <w:kern w:val="0"/>
          <w14:ligatures w14:val="none"/>
        </w:rPr>
      </w:pPr>
    </w:p>
    <w:p w14:paraId="309B8742" w14:textId="270429D9"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Sobre el particular, debe señalarse </w:t>
      </w:r>
      <w:r w:rsidR="005B13EB" w:rsidRPr="002B29A1">
        <w:rPr>
          <w:rFonts w:ascii="Palatino Linotype" w:eastAsia="Calibri" w:hAnsi="Palatino Linotype" w:cs="Tahoma"/>
          <w:bCs/>
          <w:kern w:val="0"/>
          <w14:ligatures w14:val="none"/>
        </w:rPr>
        <w:t>que,</w:t>
      </w:r>
      <w:r w:rsidRPr="002B29A1">
        <w:rPr>
          <w:rFonts w:ascii="Palatino Linotype" w:eastAsia="Calibri" w:hAnsi="Palatino Linotype" w:cs="Tahoma"/>
          <w:bCs/>
          <w:kern w:val="0"/>
          <w14:ligatures w14:val="none"/>
        </w:rPr>
        <w:t xml:space="preserv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59A0C957" w14:textId="77777777" w:rsidR="00FC1E62" w:rsidRPr="002B29A1" w:rsidRDefault="00FC1E62" w:rsidP="00FC1E62">
      <w:pPr>
        <w:ind w:right="-93"/>
        <w:rPr>
          <w:rFonts w:ascii="Palatino Linotype" w:eastAsia="Calibri" w:hAnsi="Palatino Linotype" w:cs="Tahoma"/>
          <w:bCs/>
          <w:kern w:val="0"/>
          <w14:ligatures w14:val="none"/>
        </w:rPr>
      </w:pPr>
    </w:p>
    <w:p w14:paraId="0858EAB2"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Por cuanto hace a la colisión entre el derecho a la información y el derecho a la intimidad o a la vida privada, el Poder Judicial de la Federación ha sostenido la </w:t>
      </w:r>
      <w:r w:rsidRPr="002B29A1">
        <w:rPr>
          <w:rFonts w:ascii="Palatino Linotype" w:eastAsia="Calibri" w:hAnsi="Palatino Linotype" w:cs="Tahoma"/>
          <w:b/>
          <w:bCs/>
          <w:kern w:val="0"/>
          <w14:ligatures w14:val="none"/>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2B29A1">
        <w:rPr>
          <w:rFonts w:ascii="Palatino Linotype" w:eastAsia="Calibri" w:hAnsi="Palatino Linotype" w:cs="Tahoma"/>
          <w:bCs/>
          <w:kern w:val="0"/>
          <w14:ligatures w14:val="none"/>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6306B35" w14:textId="77777777" w:rsidR="00FC1E62" w:rsidRPr="002B29A1" w:rsidRDefault="00FC1E62" w:rsidP="00FC1E62">
      <w:pPr>
        <w:jc w:val="left"/>
        <w:rPr>
          <w:rFonts w:ascii="Palatino Linotype" w:eastAsia="Calibri" w:hAnsi="Palatino Linotype" w:cs="Tahoma"/>
          <w:bCs/>
          <w:kern w:val="0"/>
          <w14:ligatures w14:val="none"/>
        </w:rPr>
      </w:pPr>
    </w:p>
    <w:p w14:paraId="1A8DA11B" w14:textId="77777777" w:rsidR="00FC1E62" w:rsidRPr="002B29A1" w:rsidRDefault="00FC1E62" w:rsidP="00FC1E62">
      <w:pPr>
        <w:rPr>
          <w:rFonts w:ascii="Palatino Linotype" w:eastAsia="Times New Roman" w:hAnsi="Palatino Linotype" w:cs="Tahoma"/>
          <w:bCs/>
          <w:iCs/>
          <w:kern w:val="0"/>
          <w:lang w:eastAsia="es-ES"/>
          <w14:ligatures w14:val="none"/>
        </w:rPr>
      </w:pPr>
      <w:r w:rsidRPr="002B29A1">
        <w:rPr>
          <w:rFonts w:ascii="Palatino Linotype" w:eastAsia="Calibri" w:hAnsi="Palatino Linotype" w:cs="Tahoma"/>
          <w:bCs/>
          <w:kern w:val="0"/>
          <w14:ligatures w14:val="none"/>
        </w:rPr>
        <w:t>En ese mismo sentido y atendiendo a la naturaleza del derecho a la protección de datos personales, por analogía, este debe ceder cuando exista un interés público mayor de acuerdo a las circunstancias del caso.</w:t>
      </w:r>
      <w:r w:rsidRPr="002B29A1">
        <w:rPr>
          <w:rFonts w:ascii="Palatino Linotype" w:eastAsia="Times New Roman" w:hAnsi="Palatino Linotype" w:cs="Tahoma"/>
          <w:bCs/>
          <w:iCs/>
          <w:kern w:val="0"/>
          <w:lang w:eastAsia="es-ES"/>
          <w14:ligatures w14:val="none"/>
        </w:rPr>
        <w:t xml:space="preserve"> Precisado lo anterior, resulta necesario realizar una ponderación de los dos intereses jurídicos tutelados que convergen en la controversia que </w:t>
      </w:r>
      <w:r w:rsidRPr="002B29A1">
        <w:rPr>
          <w:rFonts w:ascii="Palatino Linotype" w:eastAsia="Times New Roman" w:hAnsi="Palatino Linotype" w:cs="Tahoma"/>
          <w:bCs/>
          <w:iCs/>
          <w:kern w:val="0"/>
          <w:lang w:eastAsia="es-ES"/>
          <w14:ligatures w14:val="none"/>
        </w:rPr>
        <w:lastRenderedPageBreak/>
        <w:t xml:space="preserve">se dirime; para lo cual, el artículo </w:t>
      </w:r>
      <w:r w:rsidRPr="002B29A1">
        <w:rPr>
          <w:rFonts w:ascii="Palatino Linotype" w:eastAsia="Calibri" w:hAnsi="Palatino Linotype" w:cs="Tahoma"/>
          <w:bCs/>
          <w:kern w:val="0"/>
          <w14:ligatures w14:val="none"/>
        </w:rPr>
        <w:t>184 de la Ley de Transparencia y Acceso a la Información Pública del Estado de México y Municipios</w:t>
      </w:r>
      <w:r w:rsidRPr="002B29A1">
        <w:rPr>
          <w:rFonts w:ascii="Palatino Linotype" w:eastAsia="Times New Roman" w:hAnsi="Palatino Linotype" w:cs="Tahoma"/>
          <w:bCs/>
          <w:iCs/>
          <w:kern w:val="0"/>
          <w:lang w:eastAsia="es-ES"/>
          <w14:ligatures w14:val="none"/>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466A3BE9" w14:textId="77777777" w:rsidR="00FC1E62" w:rsidRPr="002B29A1" w:rsidRDefault="00FC1E62" w:rsidP="00FC1E62">
      <w:pPr>
        <w:ind w:right="49"/>
        <w:rPr>
          <w:rFonts w:ascii="Palatino Linotype" w:eastAsia="Times New Roman" w:hAnsi="Palatino Linotype" w:cs="Tahoma"/>
          <w:bCs/>
          <w:iCs/>
          <w:kern w:val="0"/>
          <w:lang w:eastAsia="es-ES"/>
          <w14:ligatures w14:val="none"/>
        </w:rPr>
      </w:pPr>
    </w:p>
    <w:p w14:paraId="74892ED6" w14:textId="77777777" w:rsidR="00FC1E62" w:rsidRPr="002B29A1" w:rsidRDefault="00FC1E62" w:rsidP="005B13EB">
      <w:pPr>
        <w:numPr>
          <w:ilvl w:val="0"/>
          <w:numId w:val="22"/>
        </w:numPr>
        <w:ind w:left="426" w:right="49" w:hanging="426"/>
        <w:contextualSpacing/>
        <w:rPr>
          <w:rFonts w:ascii="Palatino Linotype" w:eastAsia="Times New Roman" w:hAnsi="Palatino Linotype" w:cs="Tahoma"/>
          <w:bCs/>
          <w:iCs/>
          <w:kern w:val="0"/>
          <w:lang w:eastAsia="es-ES"/>
          <w14:ligatures w14:val="none"/>
        </w:rPr>
      </w:pPr>
      <w:r w:rsidRPr="002B29A1">
        <w:rPr>
          <w:rFonts w:ascii="Palatino Linotype" w:eastAsia="Times New Roman" w:hAnsi="Palatino Linotype" w:cs="Tahoma"/>
          <w:b/>
          <w:bCs/>
          <w:iCs/>
          <w:kern w:val="0"/>
          <w:lang w:eastAsia="es-ES"/>
          <w14:ligatures w14:val="none"/>
        </w:rPr>
        <w:t>Idoneidad:</w:t>
      </w:r>
      <w:r w:rsidRPr="002B29A1">
        <w:rPr>
          <w:rFonts w:ascii="Palatino Linotype" w:eastAsia="Times New Roman" w:hAnsi="Palatino Linotype" w:cs="Tahoma"/>
          <w:bCs/>
          <w:iCs/>
          <w:kern w:val="0"/>
          <w:lang w:eastAsia="es-ES"/>
          <w14:ligatures w14:val="none"/>
        </w:rPr>
        <w:t xml:space="preserve"> La legitimidad del derecho adoptado como preferente, que sea el adecuado para el logro de un fin constitucionalmente válido o apto para conseguir el fin pretendido;</w:t>
      </w:r>
    </w:p>
    <w:p w14:paraId="4DD6B5BD" w14:textId="77777777" w:rsidR="00FC1E62" w:rsidRPr="002B29A1" w:rsidRDefault="00FC1E62" w:rsidP="005B13EB">
      <w:pPr>
        <w:ind w:left="426" w:right="49"/>
        <w:contextualSpacing/>
        <w:rPr>
          <w:rFonts w:ascii="Palatino Linotype" w:eastAsia="Times New Roman" w:hAnsi="Palatino Linotype" w:cs="Tahoma"/>
          <w:bCs/>
          <w:iCs/>
          <w:kern w:val="0"/>
          <w:lang w:eastAsia="es-ES"/>
          <w14:ligatures w14:val="none"/>
        </w:rPr>
      </w:pPr>
    </w:p>
    <w:p w14:paraId="4106E003" w14:textId="77777777" w:rsidR="00FC1E62" w:rsidRPr="002B29A1" w:rsidRDefault="00FC1E62" w:rsidP="005B13EB">
      <w:pPr>
        <w:numPr>
          <w:ilvl w:val="0"/>
          <w:numId w:val="22"/>
        </w:numPr>
        <w:ind w:left="426" w:right="49" w:hanging="426"/>
        <w:contextualSpacing/>
        <w:rPr>
          <w:rFonts w:ascii="Palatino Linotype" w:eastAsia="Times New Roman" w:hAnsi="Palatino Linotype" w:cs="Tahoma"/>
          <w:bCs/>
          <w:iCs/>
          <w:kern w:val="0"/>
          <w:lang w:eastAsia="es-ES"/>
          <w14:ligatures w14:val="none"/>
        </w:rPr>
      </w:pPr>
      <w:r w:rsidRPr="002B29A1">
        <w:rPr>
          <w:rFonts w:ascii="Palatino Linotype" w:eastAsia="Times New Roman" w:hAnsi="Palatino Linotype" w:cs="Tahoma"/>
          <w:b/>
          <w:bCs/>
          <w:iCs/>
          <w:kern w:val="0"/>
          <w:lang w:eastAsia="es-ES"/>
          <w14:ligatures w14:val="none"/>
        </w:rPr>
        <w:t>Necesidad:</w:t>
      </w:r>
      <w:r w:rsidRPr="002B29A1">
        <w:rPr>
          <w:rFonts w:ascii="Palatino Linotype" w:eastAsia="Times New Roman" w:hAnsi="Palatino Linotype" w:cs="Tahoma"/>
          <w:bCs/>
          <w:iCs/>
          <w:kern w:val="0"/>
          <w:lang w:eastAsia="es-ES"/>
          <w14:ligatures w14:val="none"/>
        </w:rPr>
        <w:t xml:space="preserve"> La falta de un medio alternativo menos lesivo a la apertura de la información, para satisfacer el interés público, y</w:t>
      </w:r>
    </w:p>
    <w:p w14:paraId="3FCCB073" w14:textId="77777777" w:rsidR="00FC1E62" w:rsidRPr="002B29A1" w:rsidRDefault="00FC1E62" w:rsidP="005B13EB">
      <w:pPr>
        <w:ind w:left="426" w:right="49"/>
        <w:contextualSpacing/>
        <w:rPr>
          <w:rFonts w:ascii="Palatino Linotype" w:eastAsia="Times New Roman" w:hAnsi="Palatino Linotype" w:cs="Tahoma"/>
          <w:bCs/>
          <w:iCs/>
          <w:kern w:val="0"/>
          <w:lang w:eastAsia="es-ES"/>
          <w14:ligatures w14:val="none"/>
        </w:rPr>
      </w:pPr>
    </w:p>
    <w:p w14:paraId="2A9A120E" w14:textId="77777777" w:rsidR="00FC1E62" w:rsidRPr="002B29A1" w:rsidRDefault="00FC1E62" w:rsidP="005B13EB">
      <w:pPr>
        <w:widowControl w:val="0"/>
        <w:numPr>
          <w:ilvl w:val="0"/>
          <w:numId w:val="22"/>
        </w:numPr>
        <w:ind w:left="425" w:right="51" w:hanging="425"/>
        <w:contextualSpacing/>
        <w:rPr>
          <w:rFonts w:ascii="Palatino Linotype" w:eastAsia="Times New Roman" w:hAnsi="Palatino Linotype" w:cs="Tahoma"/>
          <w:bCs/>
          <w:iCs/>
          <w:kern w:val="0"/>
          <w:lang w:eastAsia="es-ES"/>
          <w14:ligatures w14:val="none"/>
        </w:rPr>
      </w:pPr>
      <w:r w:rsidRPr="002B29A1">
        <w:rPr>
          <w:rFonts w:ascii="Palatino Linotype" w:eastAsia="Times New Roman" w:hAnsi="Palatino Linotype" w:cs="Tahoma"/>
          <w:b/>
          <w:bCs/>
          <w:iCs/>
          <w:kern w:val="0"/>
          <w:lang w:eastAsia="es-ES"/>
          <w14:ligatures w14:val="none"/>
        </w:rPr>
        <w:t>Proporcionalidad:</w:t>
      </w:r>
      <w:r w:rsidRPr="002B29A1">
        <w:rPr>
          <w:rFonts w:ascii="Palatino Linotype" w:eastAsia="Times New Roman" w:hAnsi="Palatino Linotype" w:cs="Tahoma"/>
          <w:bCs/>
          <w:iCs/>
          <w:kern w:val="0"/>
          <w:lang w:eastAsia="es-ES"/>
          <w14:ligatures w14:val="none"/>
        </w:rPr>
        <w:t xml:space="preserve"> El equilibrio entre perjuicio y beneficio a favor del interés público, a fin de que la decisión tomada represente un beneficio mayor al perjuicio que podría causar a la población.</w:t>
      </w:r>
    </w:p>
    <w:p w14:paraId="73B37A99" w14:textId="77777777" w:rsidR="00FC1E62" w:rsidRPr="002B29A1" w:rsidRDefault="00FC1E62" w:rsidP="00FC1E62">
      <w:pPr>
        <w:ind w:right="-93"/>
        <w:rPr>
          <w:rFonts w:ascii="Palatino Linotype" w:eastAsia="Calibri" w:hAnsi="Palatino Linotype" w:cs="Tahoma"/>
          <w:bCs/>
          <w:kern w:val="0"/>
          <w14:ligatures w14:val="none"/>
        </w:rPr>
      </w:pPr>
    </w:p>
    <w:p w14:paraId="477345C7" w14:textId="77777777" w:rsidR="00FC1E62" w:rsidRPr="002B29A1" w:rsidRDefault="00FC1E62" w:rsidP="00FC1E62">
      <w:pPr>
        <w:ind w:right="-1"/>
        <w:rPr>
          <w:rFonts w:ascii="Palatino Linotype" w:eastAsia="Calibri" w:hAnsi="Palatino Linotype" w:cs="Tahoma"/>
          <w:kern w:val="0"/>
          <w:lang w:eastAsia="es-ES"/>
          <w14:ligatures w14:val="none"/>
        </w:rPr>
      </w:pPr>
      <w:r w:rsidRPr="002B29A1">
        <w:rPr>
          <w:rFonts w:ascii="Palatino Linotype" w:eastAsia="Calibri" w:hAnsi="Palatino Linotype" w:cs="Tahoma"/>
          <w:kern w:val="0"/>
          <w:lang w:eastAsia="es-ES"/>
          <w14:ligatures w14:val="none"/>
        </w:rPr>
        <w:t>En ese orden de ideas, resulta procedente analizar cada uno de los elementos referidos, partiendo de que, en el caso concreto, se estima como preferente el derecho de acceso a la información, bajo las consideraciones que se verterán a continuación.</w:t>
      </w:r>
    </w:p>
    <w:p w14:paraId="36B820A8" w14:textId="77777777" w:rsidR="005B13EB" w:rsidRPr="002B29A1" w:rsidRDefault="005B13EB" w:rsidP="00FC1E62">
      <w:pPr>
        <w:ind w:right="-1"/>
        <w:rPr>
          <w:rFonts w:ascii="Palatino Linotype" w:eastAsia="Calibri" w:hAnsi="Palatino Linotype" w:cs="Tahoma"/>
          <w:kern w:val="0"/>
          <w:lang w:eastAsia="es-ES"/>
          <w14:ligatures w14:val="none"/>
        </w:rPr>
      </w:pPr>
    </w:p>
    <w:p w14:paraId="2C48C96C" w14:textId="6E7D975C"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
          <w:bCs/>
          <w:iCs/>
          <w:kern w:val="0"/>
          <w:lang w:eastAsia="es-ES"/>
          <w14:ligatures w14:val="none"/>
        </w:rPr>
        <w:t>a) Idoneidad</w:t>
      </w:r>
      <w:r w:rsidRPr="002B29A1">
        <w:rPr>
          <w:rFonts w:ascii="Palatino Linotype" w:eastAsia="Calibri" w:hAnsi="Palatino Linotype" w:cs="Tahoma"/>
          <w:bCs/>
          <w:kern w:val="0"/>
          <w14:ligatures w14:val="none"/>
        </w:rPr>
        <w:t xml:space="preserve">. Existe un fin constitucionalmente válido para dar a conocer el nombre de aquellas personas físicas </w:t>
      </w:r>
      <w:r w:rsidR="005B13EB" w:rsidRPr="002B29A1">
        <w:rPr>
          <w:rFonts w:ascii="Palatino Linotype" w:eastAsia="Calibri" w:hAnsi="Palatino Linotype" w:cs="Tahoma"/>
          <w:bCs/>
          <w:kern w:val="0"/>
          <w14:ligatures w14:val="none"/>
        </w:rPr>
        <w:t>que realizan actividades económicas, industriales y comerciales</w:t>
      </w:r>
      <w:r w:rsidRPr="002B29A1">
        <w:rPr>
          <w:rFonts w:ascii="Palatino Linotype" w:eastAsia="Calibri" w:hAnsi="Palatino Linotype" w:cs="Tahoma"/>
          <w:bCs/>
          <w:kern w:val="0"/>
          <w14:ligatures w14:val="none"/>
        </w:rPr>
        <w:t xml:space="preserve">; dicho fin la rendición de cuentas sobre el quehacer gubernamental que permita identificar a aquellas personas que han sido autorizadas por el Ayuntamiento, para realizar actividades lícitas; esto es, las localizadas en el Catálogo Mexiquense de Actividades Industriales, </w:t>
      </w:r>
      <w:r w:rsidRPr="002B29A1">
        <w:rPr>
          <w:rFonts w:ascii="Palatino Linotype" w:eastAsia="Calibri" w:hAnsi="Palatino Linotype" w:cs="Tahoma"/>
          <w:bCs/>
          <w:kern w:val="0"/>
          <w14:ligatures w14:val="none"/>
        </w:rPr>
        <w:lastRenderedPageBreak/>
        <w:t>Comerciales y de Servicios, a efecto de determinar si la misma se realizó atendiendo a la normatividad aplicable.</w:t>
      </w:r>
    </w:p>
    <w:p w14:paraId="7F63FDCF" w14:textId="77777777" w:rsidR="00FC1E62" w:rsidRPr="002B29A1" w:rsidRDefault="00FC1E62" w:rsidP="00FC1E62">
      <w:pPr>
        <w:ind w:right="-93"/>
        <w:rPr>
          <w:rFonts w:ascii="Palatino Linotype" w:eastAsia="Calibri" w:hAnsi="Palatino Linotype" w:cs="Tahoma"/>
          <w:bCs/>
          <w:kern w:val="0"/>
          <w14:ligatures w14:val="none"/>
        </w:rPr>
      </w:pPr>
    </w:p>
    <w:p w14:paraId="3A0CFCA3" w14:textId="1182FCFD"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Al respecto, es de señalar que la </w:t>
      </w:r>
      <w:r w:rsidRPr="002B29A1">
        <w:rPr>
          <w:rFonts w:ascii="Palatino Linotype" w:eastAsia="Calibri" w:hAnsi="Palatino Linotype" w:cs="Tahoma"/>
          <w:b/>
          <w:bCs/>
          <w:kern w:val="0"/>
          <w14:ligatures w14:val="none"/>
        </w:rPr>
        <w:t xml:space="preserve">transparencia </w:t>
      </w:r>
      <w:r w:rsidRPr="002B29A1">
        <w:rPr>
          <w:rFonts w:ascii="Palatino Linotype" w:eastAsia="Calibri" w:hAnsi="Palatino Linotype" w:cs="Tahoma"/>
          <w:bCs/>
          <w:kern w:val="0"/>
          <w14:ligatures w14:val="none"/>
        </w:rPr>
        <w:t xml:space="preserve">está orientada a maximizar el uso social de la información de los organismos gubernamentales, misma que sirve para exigir cuentas a las autoridades; mientras que la </w:t>
      </w:r>
      <w:r w:rsidRPr="002B29A1">
        <w:rPr>
          <w:rFonts w:ascii="Palatino Linotype" w:eastAsia="Calibri" w:hAnsi="Palatino Linotype" w:cs="Tahoma"/>
          <w:b/>
          <w:bCs/>
          <w:kern w:val="0"/>
          <w14:ligatures w14:val="none"/>
        </w:rPr>
        <w:t>rendición de cuentas</w:t>
      </w:r>
      <w:r w:rsidRPr="002B29A1">
        <w:rPr>
          <w:rFonts w:ascii="Palatino Linotype" w:eastAsia="Calibri" w:hAnsi="Palatino Linotype" w:cs="Tahoma"/>
          <w:bCs/>
          <w:kern w:val="0"/>
          <w14:ligatures w14:val="none"/>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w:t>
      </w:r>
      <w:r w:rsidR="005B13EB" w:rsidRPr="002B29A1">
        <w:rPr>
          <w:rFonts w:ascii="Palatino Linotype" w:eastAsia="Calibri" w:hAnsi="Palatino Linotype" w:cs="Tahoma"/>
          <w:bCs/>
          <w:kern w:val="0"/>
          <w14:ligatures w14:val="none"/>
        </w:rPr>
        <w:t>y,</w:t>
      </w:r>
      <w:r w:rsidRPr="002B29A1">
        <w:rPr>
          <w:rFonts w:ascii="Palatino Linotype" w:eastAsia="Calibri" w:hAnsi="Palatino Linotype" w:cs="Tahoma"/>
          <w:bCs/>
          <w:kern w:val="0"/>
          <w14:ligatures w14:val="none"/>
        </w:rPr>
        <w:t xml:space="preserve"> por tanto, los gobernados requieren información para evaluar críticamente a sus gobernantes y exigirles cuentas.</w:t>
      </w:r>
    </w:p>
    <w:p w14:paraId="1F44DE98" w14:textId="77777777" w:rsidR="00FC1E62" w:rsidRPr="002B29A1" w:rsidRDefault="00FC1E62" w:rsidP="00FC1E62">
      <w:pPr>
        <w:ind w:right="-93"/>
        <w:rPr>
          <w:rFonts w:ascii="Palatino Linotype" w:eastAsia="Calibri" w:hAnsi="Palatino Linotype" w:cs="Tahoma"/>
          <w:bCs/>
          <w:kern w:val="0"/>
          <w14:ligatures w14:val="none"/>
        </w:rPr>
      </w:pPr>
    </w:p>
    <w:p w14:paraId="301C3DD8" w14:textId="77777777" w:rsidR="00FC1E62" w:rsidRPr="002B29A1" w:rsidRDefault="00FC1E62" w:rsidP="00FC1E62">
      <w:pPr>
        <w:ind w:right="-93"/>
        <w:rPr>
          <w:rFonts w:ascii="Palatino Linotype" w:eastAsia="Calibri" w:hAnsi="Palatino Linotype" w:cs="Tahoma"/>
          <w:b/>
          <w:bCs/>
          <w:kern w:val="0"/>
          <w14:ligatures w14:val="none"/>
        </w:rPr>
      </w:pPr>
      <w:r w:rsidRPr="002B29A1">
        <w:rPr>
          <w:rFonts w:ascii="Palatino Linotype" w:eastAsia="Calibri" w:hAnsi="Palatino Linotype" w:cs="Tahoma"/>
          <w:bCs/>
          <w:kern w:val="0"/>
          <w14:ligatures w14:val="none"/>
        </w:rPr>
        <w:t xml:space="preserve">En ese orden de ideas, la transparencia, al permitir y ayudar a la rendición de cuentas, funciona de doble manera, </w:t>
      </w:r>
      <w:r w:rsidRPr="002B29A1">
        <w:rPr>
          <w:rFonts w:ascii="Palatino Linotype" w:eastAsia="Calibri" w:hAnsi="Palatino Linotype" w:cs="Tahoma"/>
          <w:bCs/>
          <w:kern w:val="0"/>
          <w:u w:val="single"/>
          <w14:ligatures w14:val="none"/>
        </w:rPr>
        <w:t>capacitadora</w:t>
      </w:r>
      <w:r w:rsidRPr="002B29A1">
        <w:rPr>
          <w:rFonts w:ascii="Palatino Linotype" w:eastAsia="Calibri" w:hAnsi="Palatino Linotype" w:cs="Tahoma"/>
          <w:bCs/>
          <w:kern w:val="0"/>
          <w14:ligatures w14:val="none"/>
        </w:rPr>
        <w:t xml:space="preserve">, al permitir a la sociedad premiar o castigar el desempeño de los entes públicos, y cómo </w:t>
      </w:r>
      <w:r w:rsidRPr="002B29A1">
        <w:rPr>
          <w:rFonts w:ascii="Palatino Linotype" w:eastAsia="Calibri" w:hAnsi="Palatino Linotype" w:cs="Tahoma"/>
          <w:bCs/>
          <w:kern w:val="0"/>
          <w:u w:val="single"/>
          <w14:ligatures w14:val="none"/>
        </w:rPr>
        <w:t>inhibidora</w:t>
      </w:r>
      <w:r w:rsidRPr="002B29A1">
        <w:rPr>
          <w:rFonts w:ascii="Palatino Linotype" w:eastAsia="Calibri" w:hAnsi="Palatino Linotype" w:cs="Tahoma"/>
          <w:bCs/>
          <w:kern w:val="0"/>
          <w14:ligatures w14:val="none"/>
        </w:rPr>
        <w:t xml:space="preserve"> de conductas y acciones que atenten contra </w:t>
      </w:r>
      <w:r w:rsidRPr="002B29A1">
        <w:rPr>
          <w:rFonts w:ascii="Palatino Linotype" w:eastAsia="Calibri" w:hAnsi="Palatino Linotype" w:cs="Tahoma"/>
          <w:b/>
          <w:bCs/>
          <w:kern w:val="0"/>
          <w14:ligatures w14:val="none"/>
        </w:rPr>
        <w:t xml:space="preserve">el interés público. </w:t>
      </w:r>
    </w:p>
    <w:p w14:paraId="467D4C07" w14:textId="77777777" w:rsidR="00FC1E62" w:rsidRPr="002B29A1" w:rsidRDefault="00FC1E62" w:rsidP="00FC1E62">
      <w:pPr>
        <w:ind w:right="-93"/>
        <w:rPr>
          <w:rFonts w:ascii="Palatino Linotype" w:eastAsia="Calibri" w:hAnsi="Palatino Linotype" w:cs="Tahoma"/>
          <w:bCs/>
          <w:kern w:val="0"/>
          <w14:ligatures w14:val="none"/>
        </w:rPr>
      </w:pPr>
    </w:p>
    <w:p w14:paraId="4FDA8A19" w14:textId="66E347AF" w:rsidR="00FC1E62" w:rsidRPr="002B29A1" w:rsidRDefault="00FC1E62" w:rsidP="00FC1E62">
      <w:pPr>
        <w:ind w:right="-93"/>
        <w:rPr>
          <w:rFonts w:ascii="Palatino Linotype" w:eastAsia="Calibri" w:hAnsi="Palatino Linotype" w:cs="Tahoma"/>
          <w:b/>
          <w:bCs/>
          <w:kern w:val="0"/>
          <w14:ligatures w14:val="none"/>
        </w:rPr>
      </w:pPr>
      <w:r w:rsidRPr="002B29A1">
        <w:rPr>
          <w:rFonts w:ascii="Palatino Linotype" w:eastAsia="Calibri" w:hAnsi="Palatino Linotype" w:cs="Tahoma"/>
          <w:bCs/>
          <w:kern w:val="0"/>
          <w14:ligatures w14:val="none"/>
        </w:rPr>
        <w:t xml:space="preserve">Ahora bien, tal como se estableció en párrafos anteriores, cualquier actividad comercial, industrial o económica, únicamente podrá ser llevada a cabo, bajo el amparo de una licencia de funcionamiento expedida, en el presente caso, por el Ayuntamiento de </w:t>
      </w:r>
      <w:r w:rsidR="005B13EB" w:rsidRPr="002B29A1">
        <w:rPr>
          <w:rFonts w:ascii="Palatino Linotype" w:eastAsia="Calibri" w:hAnsi="Palatino Linotype" w:cs="Tahoma"/>
          <w:bCs/>
          <w:kern w:val="0"/>
          <w14:ligatures w14:val="none"/>
        </w:rPr>
        <w:t>Toluca</w:t>
      </w:r>
      <w:r w:rsidRPr="002B29A1">
        <w:rPr>
          <w:rFonts w:ascii="Palatino Linotype" w:eastAsia="Calibri" w:hAnsi="Palatino Linotype" w:cs="Tahoma"/>
          <w:bCs/>
          <w:kern w:val="0"/>
          <w14:ligatures w14:val="none"/>
        </w:rPr>
        <w:t xml:space="preserve">, siempre y cuando cumplan con los requisitos establecidos en la Ley de Competitividad y Ordenamiento Comercial del Estado de México, su Reglamento, entre otras normatividades; en tal virtud, los nombres de las personas que tienen una autorización para poder realizar diversas unidades económicas, </w:t>
      </w:r>
      <w:r w:rsidRPr="002B29A1">
        <w:rPr>
          <w:rFonts w:ascii="Palatino Linotype" w:eastAsia="Calibri" w:hAnsi="Palatino Linotype" w:cs="Tahoma"/>
          <w:b/>
          <w:bCs/>
          <w:kern w:val="0"/>
          <w14:ligatures w14:val="none"/>
        </w:rPr>
        <w:t>se traduce en información que permite transparentar el otorgamiento por parte del Estado de dichos documentos a diversos particulares.</w:t>
      </w:r>
    </w:p>
    <w:p w14:paraId="0DF0CDF5" w14:textId="77777777" w:rsidR="00FC1E62" w:rsidRPr="002B29A1" w:rsidRDefault="00FC1E62" w:rsidP="00FC1E62">
      <w:pPr>
        <w:ind w:right="-93"/>
        <w:rPr>
          <w:rFonts w:ascii="Palatino Linotype" w:eastAsia="Calibri" w:hAnsi="Palatino Linotype" w:cs="Tahoma"/>
          <w:bCs/>
          <w:kern w:val="0"/>
          <w14:ligatures w14:val="none"/>
        </w:rPr>
      </w:pPr>
    </w:p>
    <w:p w14:paraId="6A19E08E" w14:textId="77777777" w:rsidR="00FC1E62" w:rsidRPr="002B29A1" w:rsidRDefault="00FC1E62" w:rsidP="00FC1E62">
      <w:pPr>
        <w:widowControl w:val="0"/>
        <w:ind w:right="-91"/>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En ese orden de ideas, la Suprema Corte de Justicia de la Nación, ha definido el acceso a la </w:t>
      </w:r>
      <w:r w:rsidRPr="002B29A1">
        <w:rPr>
          <w:rFonts w:ascii="Palatino Linotype" w:eastAsia="Calibri" w:hAnsi="Palatino Linotype" w:cs="Tahoma"/>
          <w:bCs/>
          <w:kern w:val="0"/>
          <w14:ligatures w14:val="none"/>
        </w:rPr>
        <w:lastRenderedPageBreak/>
        <w:t>información como un derecho en sí mismo y como un medio o instrumento para el ejercicio de otros derechos,</w:t>
      </w:r>
      <w:r w:rsidRPr="002B29A1">
        <w:rPr>
          <w:rFonts w:ascii="Palatino Linotype" w:eastAsia="Calibri" w:hAnsi="Palatino Linotype" w:cs="Tahoma"/>
          <w:b/>
          <w:bCs/>
          <w:kern w:val="0"/>
          <w14:ligatures w14:val="none"/>
        </w:rPr>
        <w:t xml:space="preserve"> para que los gobernados ejerzan un control respecto del funcionamiento institucional de los poderes públicos, por lo que se constituye como una exigencia social de todo Estado de Derecho, y como un derecho colectivo o garantía social</w:t>
      </w:r>
      <w:r w:rsidRPr="002B29A1">
        <w:rPr>
          <w:rFonts w:ascii="Palatino Linotype" w:eastAsia="Calibri" w:hAnsi="Palatino Linotype" w:cs="Tahoma"/>
          <w:bCs/>
          <w:kern w:val="0"/>
          <w14:ligatures w14:val="none"/>
        </w:rPr>
        <w:t>,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7DC89C65" w14:textId="77777777" w:rsidR="00FC1E62" w:rsidRPr="002B29A1" w:rsidRDefault="00FC1E62" w:rsidP="00FC1E62">
      <w:pPr>
        <w:ind w:right="-93"/>
        <w:rPr>
          <w:rFonts w:ascii="Palatino Linotype" w:eastAsia="Calibri" w:hAnsi="Palatino Linotype" w:cs="Tahoma"/>
          <w:bCs/>
          <w:kern w:val="0"/>
          <w14:ligatures w14:val="none"/>
        </w:rPr>
      </w:pPr>
    </w:p>
    <w:p w14:paraId="1424D5B7"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A mayor precisión, la transparencia de la información requerida permitiría a la sociedad, en general, conocer los nombres de las personas que acreditaron los elementos necesarios para poder realizar una actividad económica dentro del territorio del Municipio; esto es, de los requisitos establecidos en las leyes respectivas.</w:t>
      </w:r>
    </w:p>
    <w:p w14:paraId="64278D3E" w14:textId="77777777" w:rsidR="00FC1E62" w:rsidRPr="002B29A1" w:rsidRDefault="00FC1E62" w:rsidP="00FC1E62">
      <w:pPr>
        <w:ind w:right="-93"/>
        <w:rPr>
          <w:rFonts w:ascii="Palatino Linotype" w:eastAsia="Calibri" w:hAnsi="Palatino Linotype" w:cs="Tahoma"/>
          <w:bCs/>
          <w:kern w:val="0"/>
          <w14:ligatures w14:val="none"/>
        </w:rPr>
      </w:pPr>
    </w:p>
    <w:p w14:paraId="5C627377" w14:textId="77777777" w:rsidR="00FC1E62" w:rsidRPr="002B29A1" w:rsidRDefault="00FC1E62" w:rsidP="00FC1E62">
      <w:pPr>
        <w:ind w:right="-93"/>
        <w:rPr>
          <w:rFonts w:ascii="Palatino Linotype" w:eastAsia="Calibri" w:hAnsi="Palatino Linotype" w:cs="Tahoma"/>
          <w:b/>
          <w:bCs/>
          <w:kern w:val="0"/>
          <w:u w:val="single"/>
          <w14:ligatures w14:val="none"/>
        </w:rPr>
      </w:pPr>
      <w:r w:rsidRPr="002B29A1">
        <w:rPr>
          <w:rFonts w:ascii="Palatino Linotype" w:eastAsia="Calibri" w:hAnsi="Palatino Linotype" w:cs="Tahoma"/>
          <w:bCs/>
          <w:kern w:val="0"/>
          <w14:ligatures w14:val="none"/>
        </w:rPr>
        <w:t xml:space="preserve">En ese orden de ideas, resulta necesario precisar, que en el artículo 21, fracción III de la Ley de Competitividad y Ordenamiento Comercial del Estado de México, </w:t>
      </w:r>
      <w:r w:rsidRPr="002B29A1">
        <w:rPr>
          <w:rFonts w:ascii="Palatino Linotype" w:eastAsia="Calibri" w:hAnsi="Palatino Linotype" w:cs="Tahoma"/>
          <w:b/>
          <w:bCs/>
          <w:kern w:val="0"/>
          <w:u w:val="single"/>
          <w14:ligatures w14:val="none"/>
        </w:rPr>
        <w:t xml:space="preserve">prevé que es obligación de los propietarios de establecimientos, tener en un lugar visible dentro de la unidad económica, el original o copia certificada de la licencia de funcionamiento. </w:t>
      </w:r>
    </w:p>
    <w:p w14:paraId="47F4844E" w14:textId="77777777" w:rsidR="00FC1E62" w:rsidRPr="002B29A1" w:rsidRDefault="00FC1E62" w:rsidP="00FC1E62">
      <w:pPr>
        <w:ind w:right="-93"/>
        <w:rPr>
          <w:rFonts w:ascii="Palatino Linotype" w:eastAsia="Calibri" w:hAnsi="Palatino Linotype" w:cs="Tahoma"/>
          <w:bCs/>
          <w:kern w:val="0"/>
          <w14:ligatures w14:val="none"/>
        </w:rPr>
      </w:pPr>
    </w:p>
    <w:p w14:paraId="0A8489A4" w14:textId="55A912DE" w:rsidR="00FC1E62" w:rsidRPr="002B29A1" w:rsidRDefault="00FC1E62" w:rsidP="00FC1E62">
      <w:pPr>
        <w:ind w:right="-93"/>
        <w:rPr>
          <w:rFonts w:ascii="Palatino Linotype" w:eastAsia="Calibri" w:hAnsi="Palatino Linotype" w:cs="Tahoma"/>
          <w:bCs/>
          <w:kern w:val="0"/>
          <w:u w:val="single"/>
          <w14:ligatures w14:val="none"/>
        </w:rPr>
      </w:pPr>
      <w:r w:rsidRPr="002B29A1">
        <w:rPr>
          <w:rFonts w:ascii="Palatino Linotype" w:eastAsia="Calibri" w:hAnsi="Palatino Linotype" w:cs="Tahoma"/>
          <w:bCs/>
          <w:kern w:val="0"/>
          <w14:ligatures w14:val="none"/>
        </w:rPr>
        <w:t xml:space="preserve">Por ende, otorgar el nombre de la persona autorizada, a través de una licencia de funcionamiento, </w:t>
      </w:r>
      <w:r w:rsidRPr="002B29A1">
        <w:rPr>
          <w:rFonts w:ascii="Palatino Linotype" w:eastAsia="Calibri" w:hAnsi="Palatino Linotype" w:cs="Tahoma"/>
          <w:bCs/>
          <w:kern w:val="0"/>
          <w:u w:val="single"/>
          <w14:ligatures w14:val="none"/>
        </w:rPr>
        <w:t xml:space="preserve">permite corroborar que la exhibida en el establecimiento comercial, fue emitida efectivamente por la autoridad competente, en el presente caso, por el Municipio de </w:t>
      </w:r>
      <w:r w:rsidR="005B13EB" w:rsidRPr="002B29A1">
        <w:rPr>
          <w:rFonts w:ascii="Palatino Linotype" w:eastAsia="Calibri" w:hAnsi="Palatino Linotype" w:cs="Tahoma"/>
          <w:bCs/>
          <w:kern w:val="0"/>
          <w:u w:val="single"/>
          <w14:ligatures w14:val="none"/>
        </w:rPr>
        <w:t>Ayuntamiento, lo cual toma más relevancia en el presente caso, pues además el Sujeto Obligado les arrendó un local para uso meramente comercial</w:t>
      </w:r>
      <w:r w:rsidRPr="002B29A1">
        <w:rPr>
          <w:rFonts w:ascii="Palatino Linotype" w:eastAsia="Calibri" w:hAnsi="Palatino Linotype" w:cs="Tahoma"/>
          <w:bCs/>
          <w:kern w:val="0"/>
          <w:u w:val="single"/>
          <w14:ligatures w14:val="none"/>
        </w:rPr>
        <w:t>.</w:t>
      </w:r>
    </w:p>
    <w:p w14:paraId="19A1223C" w14:textId="77777777" w:rsidR="00FC1E62" w:rsidRPr="002B29A1" w:rsidRDefault="00FC1E62" w:rsidP="00FC1E62">
      <w:pPr>
        <w:ind w:right="-93"/>
        <w:rPr>
          <w:rFonts w:ascii="Palatino Linotype" w:eastAsia="Calibri" w:hAnsi="Palatino Linotype" w:cs="Tahoma"/>
          <w:bCs/>
          <w:kern w:val="0"/>
          <w:u w:val="single"/>
          <w14:ligatures w14:val="none"/>
        </w:rPr>
      </w:pPr>
    </w:p>
    <w:p w14:paraId="55AB207A"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lastRenderedPageBreak/>
        <w:t>Bajo esa premisa, se entiende que la materia sobre la cual versa la presente solicitud, reviste un interés colectivo para la sociedad, dado que el Estado a nivel municipal, es el encargado de regular los establecimientos comerciales o industriales dentro de extensión territorial.</w:t>
      </w:r>
    </w:p>
    <w:p w14:paraId="2109C981" w14:textId="77777777" w:rsidR="00FC1E62" w:rsidRPr="002B29A1" w:rsidRDefault="00FC1E62" w:rsidP="00FC1E62">
      <w:pPr>
        <w:ind w:right="-93"/>
        <w:rPr>
          <w:rFonts w:ascii="Palatino Linotype" w:eastAsia="Calibri" w:hAnsi="Palatino Linotype" w:cs="Tahoma"/>
          <w:bCs/>
          <w:kern w:val="0"/>
          <w14:ligatures w14:val="none"/>
        </w:rPr>
      </w:pPr>
    </w:p>
    <w:p w14:paraId="0F8423E5" w14:textId="02307023" w:rsidR="00FC1E62" w:rsidRPr="002B29A1" w:rsidRDefault="00FC1E62" w:rsidP="00FC1E62">
      <w:pPr>
        <w:ind w:right="-93"/>
        <w:rPr>
          <w:rFonts w:ascii="Palatino Linotype" w:eastAsia="Calibri" w:hAnsi="Palatino Linotype" w:cs="Tahoma"/>
          <w:b/>
          <w:bCs/>
          <w:kern w:val="0"/>
          <w14:ligatures w14:val="none"/>
        </w:rPr>
      </w:pPr>
      <w:r w:rsidRPr="002B29A1">
        <w:rPr>
          <w:rFonts w:ascii="Palatino Linotype" w:eastAsia="Calibri" w:hAnsi="Palatino Linotype" w:cs="Tahoma"/>
          <w:bCs/>
          <w:kern w:val="0"/>
          <w14:ligatures w14:val="none"/>
        </w:rPr>
        <w:t xml:space="preserve">Así, mediante la difusión de los nombres de aquellas personas que cuentan con la licencia de funcionamiento, permitiría una debida rendición de cuentas, pues es indispensable que se conozcan aquellos que están autorizados por parte del Municipio de </w:t>
      </w:r>
      <w:r w:rsidR="005B13EB" w:rsidRPr="002B29A1">
        <w:rPr>
          <w:rFonts w:ascii="Palatino Linotype" w:eastAsia="Calibri" w:hAnsi="Palatino Linotype" w:cs="Tahoma"/>
          <w:bCs/>
          <w:kern w:val="0"/>
          <w14:ligatures w14:val="none"/>
        </w:rPr>
        <w:t>Toluca</w:t>
      </w:r>
      <w:r w:rsidRPr="002B29A1">
        <w:rPr>
          <w:rFonts w:ascii="Palatino Linotype" w:eastAsia="Calibri" w:hAnsi="Palatino Linotype" w:cs="Tahoma"/>
          <w:bCs/>
          <w:kern w:val="0"/>
          <w14:ligatures w14:val="none"/>
        </w:rPr>
        <w:t xml:space="preserve"> para realizar actividades económicas, mismas que se encuentran reguladas, por lo que, con ello se garantizaría que la sociedad tenga certeza de que </w:t>
      </w:r>
      <w:r w:rsidRPr="002B29A1">
        <w:rPr>
          <w:rFonts w:ascii="Palatino Linotype" w:eastAsia="Calibri" w:hAnsi="Palatino Linotype" w:cs="Tahoma"/>
          <w:b/>
          <w:bCs/>
          <w:kern w:val="0"/>
          <w14:ligatures w14:val="none"/>
        </w:rPr>
        <w:t>las autorizaciones colocadas en los establecimientos, fueron efectivamente emitidas por el sujeto obligado, y no funcionan fuera del marco de la normatividad aplicable.</w:t>
      </w:r>
    </w:p>
    <w:p w14:paraId="5B61CD59" w14:textId="77777777" w:rsidR="00FC1E62" w:rsidRPr="002B29A1" w:rsidRDefault="00FC1E62" w:rsidP="00FC1E62">
      <w:pPr>
        <w:ind w:right="-93"/>
        <w:rPr>
          <w:rFonts w:ascii="Palatino Linotype" w:eastAsia="Calibri" w:hAnsi="Palatino Linotype" w:cs="Tahoma"/>
          <w:bCs/>
          <w:kern w:val="0"/>
          <w14:ligatures w14:val="none"/>
        </w:rPr>
      </w:pPr>
    </w:p>
    <w:p w14:paraId="520FC245"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Es bajo ese contexto, que se considera que el derecho de acceso a la información debe prevalecer frente a la protección del nombre de los titules de licencias de funcionamiento, pues resulta de interés público, el que la sociedad pueda identificar a quiénes están autorizados para ejercer la actividad comercial; lo cual permite corroborar que la localizada en el establecimiento fue efectivamente emitida por el Sujeto Obligado.</w:t>
      </w:r>
    </w:p>
    <w:p w14:paraId="419CC355" w14:textId="77777777" w:rsidR="00FC1E62" w:rsidRPr="002B29A1" w:rsidRDefault="00FC1E62" w:rsidP="00FC1E62">
      <w:pPr>
        <w:ind w:right="-93"/>
        <w:rPr>
          <w:rFonts w:ascii="Palatino Linotype" w:eastAsia="Calibri" w:hAnsi="Palatino Linotype" w:cs="Tahoma"/>
          <w:bCs/>
          <w:kern w:val="0"/>
          <w14:ligatures w14:val="none"/>
        </w:rPr>
      </w:pPr>
    </w:p>
    <w:p w14:paraId="35FE6DCB"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Igualmente, permitiría el escrutinio de la actividad de la autoridad encargada de emitir dichas licencias, en tanto que la sociedad podría advertir si se autorizaron a quienes cumplen con los requisitos establecidos la normatividad aplicable e incluso si dicha licencia se encuentra vigente.</w:t>
      </w:r>
    </w:p>
    <w:p w14:paraId="7CC6DD62" w14:textId="77777777" w:rsidR="00FC1E62" w:rsidRPr="002B29A1" w:rsidRDefault="00FC1E62" w:rsidP="00FC1E62">
      <w:pPr>
        <w:ind w:right="-93"/>
        <w:rPr>
          <w:rFonts w:ascii="Palatino Linotype" w:eastAsia="Calibri" w:hAnsi="Palatino Linotype" w:cs="Tahoma"/>
          <w:b/>
          <w:kern w:val="0"/>
          <w:lang w:eastAsia="es-ES"/>
          <w14:ligatures w14:val="none"/>
        </w:rPr>
      </w:pPr>
    </w:p>
    <w:p w14:paraId="7427F43B" w14:textId="77777777" w:rsidR="00FC1E62" w:rsidRPr="002B29A1" w:rsidRDefault="00FC1E62" w:rsidP="00FC1E62">
      <w:pPr>
        <w:ind w:right="-93"/>
        <w:rPr>
          <w:rFonts w:ascii="Palatino Linotype" w:eastAsia="Calibri" w:hAnsi="Palatino Linotype" w:cs="Tahoma"/>
          <w:b/>
          <w:bCs/>
          <w:kern w:val="0"/>
          <w14:ligatures w14:val="none"/>
        </w:rPr>
      </w:pPr>
      <w:r w:rsidRPr="002B29A1">
        <w:rPr>
          <w:rFonts w:ascii="Palatino Linotype" w:eastAsia="Calibri" w:hAnsi="Palatino Linotype" w:cs="Tahoma"/>
          <w:b/>
          <w:kern w:val="0"/>
          <w:lang w:eastAsia="es-ES"/>
          <w14:ligatures w14:val="none"/>
        </w:rPr>
        <w:t>b) Necesidad.</w:t>
      </w:r>
      <w:r w:rsidRPr="002B29A1">
        <w:rPr>
          <w:rFonts w:ascii="Palatino Linotype" w:eastAsia="Calibri" w:hAnsi="Palatino Linotype" w:cs="Tahoma"/>
          <w:bCs/>
          <w:kern w:val="0"/>
          <w14:ligatures w14:val="none"/>
        </w:rPr>
        <w:t xml:space="preserve"> El sacrifico de la protección del nombre de aquellas personas que se les otorgó una licencia de funcionamiento, como medio para lograr el fin constitucionalmente válido señalado previamente, se justifica en razón de que se satisface el interés mayor de los ciudadanos de conocer si los establecimientos comerciales cuentan con la autorización </w:t>
      </w:r>
      <w:r w:rsidRPr="002B29A1">
        <w:rPr>
          <w:rFonts w:ascii="Palatino Linotype" w:eastAsia="Calibri" w:hAnsi="Palatino Linotype" w:cs="Tahoma"/>
          <w:bCs/>
          <w:kern w:val="0"/>
          <w14:ligatures w14:val="none"/>
        </w:rPr>
        <w:lastRenderedPageBreak/>
        <w:t xml:space="preserve">correspondiente. Además, corrobora si la localizada en el inmueble para llevar a cabo la actividad, fue emitida por el Sujeto Obligado, </w:t>
      </w:r>
      <w:r w:rsidRPr="002B29A1">
        <w:rPr>
          <w:rFonts w:ascii="Palatino Linotype" w:eastAsia="Calibri" w:hAnsi="Palatino Linotype" w:cs="Tahoma"/>
          <w:b/>
          <w:bCs/>
          <w:kern w:val="0"/>
          <w14:ligatures w14:val="none"/>
        </w:rPr>
        <w:t>como regulador de las actividades económicas del Municipio, además de que permite identificar a las personas que acceden al servicio quién es el responsable del local.</w:t>
      </w:r>
    </w:p>
    <w:p w14:paraId="6CD78119"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Sobre el particular, el artículo 2° de la Ley de Transparencia y Acceso a la Información Pública del Estado de México y Municipios, dispone que entre los objetivos de la misma, se encuentran: i) transparentar la gestión pública mediante la difusión de la información generada por los Sujetos Obligados; ii) promover, fomentar y la cultura de la transparencia, el acceso a la información y a la rendición de cuentas y, iii) propiciar la participación ciudadana en la toma de las decisiones públicas, a fin de contribuir a la consolidación de la democracia.</w:t>
      </w:r>
    </w:p>
    <w:p w14:paraId="22809EE9" w14:textId="77777777" w:rsidR="00FC1E62" w:rsidRPr="002B29A1" w:rsidRDefault="00FC1E62" w:rsidP="00FC1E62">
      <w:pPr>
        <w:ind w:right="-93"/>
        <w:rPr>
          <w:rFonts w:ascii="Palatino Linotype" w:eastAsia="Calibri" w:hAnsi="Palatino Linotype" w:cs="Tahoma"/>
          <w:bCs/>
          <w:kern w:val="0"/>
          <w14:ligatures w14:val="none"/>
        </w:rPr>
      </w:pPr>
    </w:p>
    <w:p w14:paraId="3B5D09D1" w14:textId="6847453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En el caso concreto, se considera que no existe un medio menos oneroso que el ejercicio del derecho de acceso a la información para lograr el fin constitucionalmente válido, que es transparentar y rendir cuentas a la sociedad sobre las personas a quiénes se les otorgaron licencias, por parte del Municipio de </w:t>
      </w:r>
      <w:r w:rsidR="005B13EB" w:rsidRPr="002B29A1">
        <w:rPr>
          <w:rFonts w:ascii="Palatino Linotype" w:eastAsia="Calibri" w:hAnsi="Palatino Linotype" w:cs="Tahoma"/>
          <w:bCs/>
          <w:kern w:val="0"/>
          <w14:ligatures w14:val="none"/>
        </w:rPr>
        <w:t>Toluca</w:t>
      </w:r>
      <w:r w:rsidRPr="002B29A1">
        <w:rPr>
          <w:rFonts w:ascii="Palatino Linotype" w:eastAsia="Calibri" w:hAnsi="Palatino Linotype" w:cs="Tahoma"/>
          <w:bCs/>
          <w:kern w:val="0"/>
          <w14:ligatures w14:val="none"/>
        </w:rPr>
        <w:t xml:space="preserve">, a través </w:t>
      </w:r>
      <w:r w:rsidR="005B13EB" w:rsidRPr="002B29A1">
        <w:rPr>
          <w:rFonts w:ascii="Palatino Linotype" w:eastAsia="Calibri" w:hAnsi="Palatino Linotype" w:cs="Tahoma"/>
          <w:bCs/>
          <w:kern w:val="0"/>
          <w14:ligatures w14:val="none"/>
        </w:rPr>
        <w:t>del Área</w:t>
      </w:r>
      <w:r w:rsidRPr="002B29A1">
        <w:rPr>
          <w:rFonts w:ascii="Palatino Linotype" w:eastAsia="Calibri" w:hAnsi="Palatino Linotype" w:cs="Tahoma"/>
          <w:bCs/>
          <w:kern w:val="0"/>
          <w14:ligatures w14:val="none"/>
        </w:rPr>
        <w:t xml:space="preserve"> de Desarrollo Económico, para que pudieran realizar actividades económicas, comerciales o industriales, pues sólo por esta vía se puede conocer la forma en la cual el ente recurrido ejerció sus facultades emanadas en los diversos ordenamientos jurídicos, lo cual permitiría comprobar que las licencias localizadas en los respectivos establecimientos cumplieron con los requisitos establecidos en los mismos.</w:t>
      </w:r>
    </w:p>
    <w:p w14:paraId="7B4E611A" w14:textId="77777777" w:rsidR="00FC1E62" w:rsidRPr="002B29A1" w:rsidRDefault="00FC1E62" w:rsidP="00FC1E62">
      <w:pPr>
        <w:ind w:right="-93"/>
        <w:rPr>
          <w:rFonts w:ascii="Palatino Linotype" w:eastAsia="Calibri" w:hAnsi="Palatino Linotype" w:cs="Tahoma"/>
          <w:bCs/>
          <w:kern w:val="0"/>
          <w14:ligatures w14:val="none"/>
        </w:rPr>
      </w:pPr>
    </w:p>
    <w:p w14:paraId="08F01BE8" w14:textId="11C61B14"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En otras palabras, se considera que sólo con la difusión del nombre del titular de las licencias de funcionamiento</w:t>
      </w:r>
      <w:r w:rsidR="005B13EB" w:rsidRPr="002B29A1">
        <w:rPr>
          <w:rFonts w:ascii="Palatino Linotype" w:eastAsia="Calibri" w:hAnsi="Palatino Linotype" w:cs="Tahoma"/>
          <w:bCs/>
          <w:kern w:val="0"/>
          <w14:ligatures w14:val="none"/>
        </w:rPr>
        <w:t xml:space="preserve"> (que corresponde a aquellos a los cuáles se les arrendó un local comercial propiedad del Ayuntamiento)</w:t>
      </w:r>
      <w:r w:rsidRPr="002B29A1">
        <w:rPr>
          <w:rFonts w:ascii="Palatino Linotype" w:eastAsia="Calibri" w:hAnsi="Palatino Linotype" w:cs="Tahoma"/>
          <w:bCs/>
          <w:kern w:val="0"/>
          <w14:ligatures w14:val="none"/>
        </w:rPr>
        <w:t>, se podrían aportar los elementos necesarios a la ciudadanía para conocer que cualquier establecimiento comercial cuenta con la autorización emitida por el Ayuntamiento.</w:t>
      </w:r>
    </w:p>
    <w:p w14:paraId="7E6B57B0" w14:textId="77777777" w:rsidR="00FC1E62" w:rsidRPr="002B29A1" w:rsidRDefault="00FC1E62" w:rsidP="00FC1E62">
      <w:pPr>
        <w:ind w:right="-93"/>
        <w:rPr>
          <w:rFonts w:ascii="Palatino Linotype" w:eastAsia="Calibri" w:hAnsi="Palatino Linotype" w:cs="Tahoma"/>
          <w:bCs/>
          <w:kern w:val="0"/>
          <w14:ligatures w14:val="none"/>
        </w:rPr>
      </w:pPr>
    </w:p>
    <w:p w14:paraId="770FF4EB"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Es decir, si se negara el derecho de acceso a la información al nombre localizado en dicho documento, se impediría que los ciudadanos pudieran corroborar que las autorizaciones, que por Ley deben de estar visibles en los establecimientos, efectivamente fueron emitidas por el Sujeto Obligado, pues al proteger dicho dato no se tendría certeza de que el titular corresponda con el emitido por el Municipio en comento, además de que impediría conocer o identificar a la persona responsable del mismo, para atender asuntos relacionados con este, pues debe tener presente que la licencia de funcionamiento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14:paraId="3A33D07C" w14:textId="77777777" w:rsidR="00FC1E62" w:rsidRPr="002B29A1" w:rsidRDefault="00FC1E62" w:rsidP="00FC1E62">
      <w:pPr>
        <w:ind w:right="-93"/>
        <w:rPr>
          <w:rFonts w:ascii="Palatino Linotype" w:eastAsia="Calibri" w:hAnsi="Palatino Linotype" w:cs="Tahoma"/>
          <w:bCs/>
          <w:kern w:val="0"/>
          <w14:ligatures w14:val="none"/>
        </w:rPr>
      </w:pPr>
    </w:p>
    <w:p w14:paraId="70D1FB49"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Times New Roman" w:hAnsi="Palatino Linotype" w:cs="Tahoma"/>
          <w:b/>
          <w:kern w:val="0"/>
          <w:lang w:eastAsia="es-ES"/>
          <w14:ligatures w14:val="none"/>
        </w:rPr>
        <w:t>c) Proporcionalidad en sentido estricto</w:t>
      </w:r>
      <w:r w:rsidRPr="002B29A1">
        <w:rPr>
          <w:rFonts w:ascii="Palatino Linotype" w:eastAsia="Times New Roman" w:hAnsi="Palatino Linotype" w:cs="Tahoma"/>
          <w:kern w:val="0"/>
          <w:lang w:eastAsia="es-ES"/>
          <w14:ligatures w14:val="none"/>
        </w:rPr>
        <w:t xml:space="preserve">. </w:t>
      </w:r>
      <w:r w:rsidRPr="002B29A1">
        <w:rPr>
          <w:rFonts w:ascii="Palatino Linotype" w:eastAsia="Calibri" w:hAnsi="Palatino Linotype" w:cs="Tahoma"/>
          <w:bCs/>
          <w:kern w:val="0"/>
          <w14:ligatures w14:val="none"/>
        </w:rPr>
        <w:t>El sacrificio de la protección al nombre de aquellas personas que se les otorgó una licencia para realizar actividades económicas, como medio para lograr el fin constitucionalmente válido señalado previamente, se justifica en razón de que se satisface el interés mayor de los ciudadanos de conocer si los comerciantes cuentan con la autorización correspondiente para llevar a cabo dichas actividades, las cuales son reguladas, específicamente por los Municipios del Estado de México.</w:t>
      </w:r>
    </w:p>
    <w:p w14:paraId="42A22258" w14:textId="77777777" w:rsidR="00FC1E62" w:rsidRPr="002B29A1" w:rsidRDefault="00FC1E62" w:rsidP="00FC1E62">
      <w:pPr>
        <w:ind w:right="-93"/>
        <w:rPr>
          <w:rFonts w:ascii="Palatino Linotype" w:eastAsia="Calibri" w:hAnsi="Palatino Linotype" w:cs="Tahoma"/>
          <w:bCs/>
          <w:kern w:val="0"/>
          <w14:ligatures w14:val="none"/>
        </w:rPr>
      </w:pPr>
    </w:p>
    <w:p w14:paraId="610C6980" w14:textId="77777777"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Aunado a ello, se aportarían elementos para determinar si esas autorizaciones se emitieron conforme a derecho y que las que se encuentran visibles en los establecimientos fueron efectivamente emitidas por el Ayuntamiento, esto es, que se cumplen con los requisitos legales que marcan las disposiciones antes estudiadas.</w:t>
      </w:r>
    </w:p>
    <w:p w14:paraId="3438440B" w14:textId="77777777" w:rsidR="00FC1E62" w:rsidRPr="002B29A1" w:rsidRDefault="00FC1E62" w:rsidP="00FC1E62">
      <w:pPr>
        <w:ind w:right="-93"/>
        <w:rPr>
          <w:rFonts w:ascii="Palatino Linotype" w:eastAsia="Calibri" w:hAnsi="Palatino Linotype" w:cs="Tahoma"/>
          <w:bCs/>
          <w:kern w:val="0"/>
          <w14:ligatures w14:val="none"/>
        </w:rPr>
      </w:pPr>
    </w:p>
    <w:p w14:paraId="6D972D17" w14:textId="370314C9" w:rsidR="00FC1E62" w:rsidRPr="002B29A1" w:rsidRDefault="00FC1E62" w:rsidP="00FC1E62">
      <w:pPr>
        <w:widowControl w:val="0"/>
        <w:ind w:right="-91"/>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Conforme a lo anterior, el </w:t>
      </w:r>
      <w:r w:rsidRPr="002B29A1">
        <w:rPr>
          <w:rFonts w:ascii="Palatino Linotype" w:eastAsia="Times New Roman" w:hAnsi="Palatino Linotype" w:cs="Tahoma"/>
          <w:kern w:val="0"/>
          <w:lang w:val="es-ES_tradnl" w:eastAsia="es-ES"/>
          <w14:ligatures w14:val="none"/>
        </w:rPr>
        <w:t xml:space="preserve">bien jurídico tutelado por el supuesto de confidencialidad previsto en el artículo 143, fracción I de la Ley de la materia, debe ceder frente al derecho de la sociedad de obtener información, en tanto que es mayor el beneficio que representa su </w:t>
      </w:r>
      <w:r w:rsidRPr="002B29A1">
        <w:rPr>
          <w:rFonts w:ascii="Palatino Linotype" w:eastAsia="Times New Roman" w:hAnsi="Palatino Linotype" w:cs="Tahoma"/>
          <w:kern w:val="0"/>
          <w:lang w:val="es-ES_tradnl" w:eastAsia="es-ES"/>
          <w14:ligatures w14:val="none"/>
        </w:rPr>
        <w:lastRenderedPageBreak/>
        <w:t xml:space="preserve">publicidad, pues la misma da cuenta del correcto actuar del Sujeto Obligado como regulador de las actividades comerciales en la extensión territorial del Municipio de </w:t>
      </w:r>
      <w:r w:rsidR="00274797" w:rsidRPr="002B29A1">
        <w:rPr>
          <w:rFonts w:ascii="Palatino Linotype" w:eastAsia="Times New Roman" w:hAnsi="Palatino Linotype" w:cs="Tahoma"/>
          <w:kern w:val="0"/>
          <w:lang w:val="es-ES_tradnl" w:eastAsia="es-ES"/>
          <w14:ligatures w14:val="none"/>
        </w:rPr>
        <w:t>Toluca</w:t>
      </w:r>
      <w:r w:rsidRPr="002B29A1">
        <w:rPr>
          <w:rFonts w:ascii="Palatino Linotype" w:eastAsia="Times New Roman" w:hAnsi="Palatino Linotype" w:cs="Tahoma"/>
          <w:kern w:val="0"/>
          <w:lang w:val="es-ES_tradnl" w:eastAsia="es-ES"/>
          <w14:ligatures w14:val="none"/>
        </w:rPr>
        <w:t xml:space="preserve"> y permite a los usuarios del local comercial identificar al responsable del mismo.</w:t>
      </w:r>
    </w:p>
    <w:p w14:paraId="5BA9B60D" w14:textId="77777777" w:rsidR="00FC1E62" w:rsidRPr="002B29A1" w:rsidRDefault="00FC1E62" w:rsidP="00FC1E62">
      <w:pPr>
        <w:ind w:right="-93"/>
        <w:rPr>
          <w:rFonts w:ascii="Palatino Linotype" w:eastAsia="Calibri" w:hAnsi="Palatino Linotype" w:cs="Tahoma"/>
          <w:bCs/>
          <w:kern w:val="0"/>
          <w14:ligatures w14:val="none"/>
        </w:rPr>
      </w:pPr>
    </w:p>
    <w:p w14:paraId="18BA03BE" w14:textId="4435BE0E"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En ese sentido, la difusión del nombre de los titulares de las licencias de funcionamiento revisten un claro interés público, puesto que existe una necesidad colectiva de conocer y evaluar la emisión de dichas autorizaciones; en razón de que se trata de información generada con motivo del ejercicio de las funciones del Ente Recurrido, a través de la Dirección de Desarrollo Económico, como regulador de cualquier actividad económica, comercial o industrial dentro de su territorio; lo anterior, conforme a la Ley Orgánica Municipal el Estado de México, la Ley de Competitividad y Ordenamiento Comercial del Estado de México y su Reglamento y el Bando Municipal de </w:t>
      </w:r>
      <w:r w:rsidR="00274797" w:rsidRPr="002B29A1">
        <w:rPr>
          <w:rFonts w:ascii="Palatino Linotype" w:eastAsia="Calibri" w:hAnsi="Palatino Linotype" w:cs="Tahoma"/>
          <w:bCs/>
          <w:kern w:val="0"/>
          <w14:ligatures w14:val="none"/>
        </w:rPr>
        <w:t>Toluca</w:t>
      </w:r>
      <w:r w:rsidRPr="002B29A1">
        <w:rPr>
          <w:rFonts w:ascii="Palatino Linotype" w:eastAsia="Calibri" w:hAnsi="Palatino Linotype" w:cs="Tahoma"/>
          <w:bCs/>
          <w:kern w:val="0"/>
          <w14:ligatures w14:val="none"/>
        </w:rPr>
        <w:t>.</w:t>
      </w:r>
    </w:p>
    <w:p w14:paraId="332E3C88" w14:textId="77777777" w:rsidR="00FC1E62" w:rsidRPr="002B29A1" w:rsidRDefault="00FC1E62" w:rsidP="00FC1E62">
      <w:pPr>
        <w:ind w:right="-93"/>
        <w:rPr>
          <w:rFonts w:ascii="Palatino Linotype" w:eastAsia="Calibri" w:hAnsi="Palatino Linotype" w:cs="Tahoma"/>
          <w:bCs/>
          <w:kern w:val="0"/>
          <w14:ligatures w14:val="none"/>
        </w:rPr>
      </w:pPr>
    </w:p>
    <w:p w14:paraId="0FD50334" w14:textId="4AF99835" w:rsidR="00FC1E62" w:rsidRPr="002B29A1" w:rsidRDefault="00FC1E62" w:rsidP="00FC1E62">
      <w:pPr>
        <w:ind w:right="-93"/>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Por todo lo expuesto, </w:t>
      </w:r>
      <w:r w:rsidRPr="002B29A1">
        <w:rPr>
          <w:rFonts w:ascii="Palatino Linotype" w:eastAsia="Calibri" w:hAnsi="Palatino Linotype" w:cs="Tahoma"/>
          <w:b/>
          <w:bCs/>
          <w:kern w:val="0"/>
          <w14:ligatures w14:val="none"/>
        </w:rPr>
        <w:t xml:space="preserve">dar a conocer el nombre </w:t>
      </w:r>
      <w:r w:rsidR="00274797" w:rsidRPr="002B29A1">
        <w:rPr>
          <w:rFonts w:ascii="Palatino Linotype" w:eastAsia="Calibri" w:hAnsi="Palatino Linotype" w:cs="Tahoma"/>
          <w:b/>
          <w:bCs/>
          <w:kern w:val="0"/>
          <w14:ligatures w14:val="none"/>
        </w:rPr>
        <w:t>de las personas a las cuáles se les arrendó un local comercial propiedad del Ayuntamiento</w:t>
      </w:r>
      <w:r w:rsidRPr="002B29A1">
        <w:rPr>
          <w:rFonts w:ascii="Palatino Linotype" w:eastAsia="Calibri" w:hAnsi="Palatino Linotype" w:cs="Tahoma"/>
          <w:b/>
          <w:bCs/>
          <w:kern w:val="0"/>
          <w14:ligatures w14:val="none"/>
        </w:rPr>
        <w:t>, prevalece sobre la protección de los datos personales confidenciales de dichas personas, en razón del interés público que reviste;</w:t>
      </w:r>
      <w:r w:rsidRPr="002B29A1">
        <w:rPr>
          <w:rFonts w:ascii="Palatino Linotype" w:eastAsia="Calibri" w:hAnsi="Palatino Linotype" w:cs="Tahoma"/>
          <w:bCs/>
          <w:kern w:val="0"/>
          <w14:ligatures w14:val="none"/>
        </w:rPr>
        <w:t xml:space="preserve"> por lo que, no resulta aplicable, en el presente caso, el artículo 143, fracción I, de la Ley de Transparencia y Acceso a la Información Pública del Estado de México y Municipios. Lo cual guarda relevancia, pues el Sujeto Obligado dejo visible el dato.</w:t>
      </w:r>
    </w:p>
    <w:p w14:paraId="7F03761C" w14:textId="77777777" w:rsidR="00FC1E62" w:rsidRPr="002B29A1" w:rsidRDefault="00FC1E62" w:rsidP="00FC1E62">
      <w:pPr>
        <w:spacing w:after="160"/>
        <w:contextualSpacing/>
        <w:rPr>
          <w:rFonts w:ascii="Palatino Linotype" w:eastAsia="Times New Roman" w:hAnsi="Palatino Linotype" w:cs="Tahoma"/>
          <w:color w:val="000000"/>
          <w:kern w:val="0"/>
          <w:lang w:val="es-ES" w:eastAsia="es-ES"/>
          <w14:ligatures w14:val="none"/>
        </w:rPr>
      </w:pPr>
    </w:p>
    <w:p w14:paraId="42D6FBC5" w14:textId="77777777" w:rsidR="00FC1E62" w:rsidRPr="002B29A1" w:rsidRDefault="00FC1E62" w:rsidP="00FC1E62">
      <w:pPr>
        <w:numPr>
          <w:ilvl w:val="0"/>
          <w:numId w:val="21"/>
        </w:numPr>
        <w:spacing w:after="160" w:line="252" w:lineRule="auto"/>
        <w:rPr>
          <w:rFonts w:ascii="Palatino Linotype" w:eastAsia="Palatino Linotype" w:hAnsi="Palatino Linotype" w:cs="Tahoma"/>
          <w:bCs/>
          <w:kern w:val="0"/>
          <w:lang w:eastAsia="es-ES"/>
          <w14:ligatures w14:val="none"/>
        </w:rPr>
      </w:pPr>
      <w:r w:rsidRPr="002B29A1">
        <w:rPr>
          <w:rFonts w:ascii="Palatino Linotype" w:eastAsia="Palatino Linotype" w:hAnsi="Palatino Linotype" w:cs="Tahoma"/>
          <w:b/>
          <w:bCs/>
          <w:color w:val="000000"/>
          <w:kern w:val="0"/>
          <w:lang w:eastAsia="es-MX"/>
          <w14:ligatures w14:val="none"/>
        </w:rPr>
        <w:t>Ubicación de la unidad económica.</w:t>
      </w:r>
    </w:p>
    <w:p w14:paraId="4C85881C" w14:textId="77777777" w:rsidR="00FC1E62" w:rsidRPr="002B29A1" w:rsidRDefault="00FC1E62" w:rsidP="00FC1E62">
      <w:pPr>
        <w:rPr>
          <w:rFonts w:ascii="Palatino Linotype" w:eastAsia="Palatino Linotype" w:hAnsi="Palatino Linotype" w:cs="Tahoma"/>
          <w:b/>
          <w:bCs/>
          <w:color w:val="000000"/>
          <w:kern w:val="0"/>
          <w:lang w:eastAsia="es-MX"/>
          <w14:ligatures w14:val="none"/>
        </w:rPr>
      </w:pPr>
    </w:p>
    <w:p w14:paraId="39C38851" w14:textId="77777777" w:rsidR="00FC1E62" w:rsidRPr="002B29A1" w:rsidRDefault="00FC1E62" w:rsidP="00FC1E62">
      <w:pPr>
        <w:rPr>
          <w:rFonts w:ascii="Palatino Linotype" w:eastAsia="Palatino Linotype" w:hAnsi="Palatino Linotype" w:cs="Tahoma"/>
          <w:bCs/>
          <w:color w:val="000000"/>
          <w:kern w:val="0"/>
          <w:lang w:eastAsia="es-MX"/>
          <w14:ligatures w14:val="none"/>
        </w:rPr>
      </w:pPr>
      <w:r w:rsidRPr="002B29A1">
        <w:rPr>
          <w:rFonts w:ascii="Palatino Linotype" w:eastAsia="Palatino Linotype" w:hAnsi="Palatino Linotype" w:cs="Tahoma"/>
          <w:bCs/>
          <w:color w:val="000000"/>
          <w:kern w:val="0"/>
          <w:lang w:eastAsia="es-MX"/>
          <w14:ligatures w14:val="none"/>
        </w:rPr>
        <w:t>Sobre dicho dato, resulta necesario precisar que el domicilio establecido en los permisos, autorizaciones o licencias de funcionamiento, no corresponde al domicilio particular del titular de dichas autorizaciones, sino que corresponde a aquel donde se localiza la unidad económica, es decir, en el lugar en donde se realizará la actividad comercial, industrial o de servicios.</w:t>
      </w:r>
    </w:p>
    <w:p w14:paraId="1D5165B8" w14:textId="77777777" w:rsidR="00FC1E62" w:rsidRPr="002B29A1" w:rsidRDefault="00FC1E62" w:rsidP="00FC1E62">
      <w:pPr>
        <w:rPr>
          <w:rFonts w:ascii="Palatino Linotype" w:eastAsia="Palatino Linotype" w:hAnsi="Palatino Linotype" w:cs="Tahoma"/>
          <w:bCs/>
          <w:color w:val="000000"/>
          <w:kern w:val="0"/>
          <w:lang w:eastAsia="es-MX"/>
          <w14:ligatures w14:val="none"/>
        </w:rPr>
      </w:pPr>
    </w:p>
    <w:p w14:paraId="56B7F299" w14:textId="77777777" w:rsidR="00FC1E62" w:rsidRPr="002B29A1" w:rsidRDefault="00FC1E62" w:rsidP="00FC1E62">
      <w:pPr>
        <w:widowControl w:val="0"/>
        <w:ind w:right="-91"/>
        <w:rPr>
          <w:rFonts w:ascii="Palatino Linotype" w:eastAsia="Palatino Linotype" w:hAnsi="Palatino Linotype" w:cs="Tahoma"/>
          <w:bCs/>
          <w:color w:val="000000"/>
          <w:kern w:val="0"/>
          <w:lang w:eastAsia="es-MX"/>
          <w14:ligatures w14:val="none"/>
        </w:rPr>
      </w:pPr>
      <w:r w:rsidRPr="002B29A1">
        <w:rPr>
          <w:rFonts w:ascii="Palatino Linotype" w:eastAsia="Palatino Linotype" w:hAnsi="Palatino Linotype" w:cs="Tahoma"/>
          <w:bCs/>
          <w:color w:val="000000"/>
          <w:kern w:val="0"/>
          <w:lang w:eastAsia="es-MX"/>
          <w14:ligatures w14:val="none"/>
        </w:rPr>
        <w:t>De tales circunstancias, dicho dato guarda la naturaleza de pública, pues permite identificar, la ubicación de la unidad económica (puesto o establecimiento) que se pretendía obtener un permiso; además, que, en el presente caso, no hace ubicable a una persona, pues se trata de un lugar en la vía pública, al tratarse de un permiso de ambulantaje; por lo tanto, se trata de un dato de acceso a público, pues como se precisó dichos documentos deben de estar a la vista del público en general. Así no resulta procedente, la clasificación, en términos del artículo 143, fracción I de la Ley de Transparencia y Acceso a la Información Pública del Estado de México y Municipios.</w:t>
      </w:r>
    </w:p>
    <w:p w14:paraId="6AE64781" w14:textId="77777777" w:rsidR="00FC1E62" w:rsidRPr="002B29A1" w:rsidRDefault="00FC1E62" w:rsidP="00974279">
      <w:pPr>
        <w:contextualSpacing/>
        <w:rPr>
          <w:rFonts w:ascii="Palatino Linotype" w:eastAsia="Palatino Linotype" w:hAnsi="Palatino Linotype" w:cs="Palatino Linotype"/>
          <w:color w:val="000000"/>
          <w:kern w:val="0"/>
          <w:lang w:eastAsia="es-MX"/>
          <w14:ligatures w14:val="none"/>
        </w:rPr>
      </w:pPr>
    </w:p>
    <w:p w14:paraId="733D40FE" w14:textId="5B4C412B" w:rsidR="00274797" w:rsidRPr="002B29A1" w:rsidRDefault="00274797" w:rsidP="00274797">
      <w:pPr>
        <w:numPr>
          <w:ilvl w:val="0"/>
          <w:numId w:val="23"/>
        </w:numPr>
        <w:spacing w:after="160" w:line="259" w:lineRule="auto"/>
        <w:jc w:val="left"/>
        <w:rPr>
          <w:rFonts w:ascii="Palatino Linotype" w:eastAsia="Calibri" w:hAnsi="Palatino Linotype" w:cs="Tahoma"/>
          <w:b/>
          <w:kern w:val="0"/>
          <w14:ligatures w14:val="none"/>
        </w:rPr>
      </w:pPr>
      <w:r w:rsidRPr="002B29A1">
        <w:rPr>
          <w:rFonts w:ascii="Palatino Linotype" w:eastAsia="Calibri" w:hAnsi="Palatino Linotype" w:cs="Tahoma"/>
          <w:b/>
          <w:kern w:val="0"/>
          <w14:ligatures w14:val="none"/>
        </w:rPr>
        <w:t>Ubicación del predio de regularización.</w:t>
      </w:r>
    </w:p>
    <w:p w14:paraId="0FF33834" w14:textId="77777777" w:rsidR="00274797" w:rsidRPr="002B29A1" w:rsidRDefault="00274797" w:rsidP="00274797">
      <w:pPr>
        <w:ind w:left="720"/>
        <w:rPr>
          <w:rFonts w:ascii="Palatino Linotype" w:eastAsia="Calibri" w:hAnsi="Palatino Linotype" w:cs="Tahoma"/>
          <w:b/>
          <w:kern w:val="0"/>
          <w14:ligatures w14:val="none"/>
        </w:rPr>
      </w:pPr>
    </w:p>
    <w:p w14:paraId="00BFD3F9" w14:textId="3F5704DA" w:rsidR="00274797" w:rsidRPr="002B29A1" w:rsidRDefault="00274797" w:rsidP="00274797">
      <w:pPr>
        <w:rPr>
          <w:rFonts w:ascii="Palatino Linotype" w:eastAsia="Calibri" w:hAnsi="Palatino Linotype" w:cs="Tahoma"/>
          <w:bCs/>
          <w:kern w:val="0"/>
          <w:lang w:val="es-ES"/>
          <w14:ligatures w14:val="none"/>
        </w:rPr>
      </w:pPr>
      <w:r w:rsidRPr="002B29A1">
        <w:rPr>
          <w:rFonts w:ascii="Palatino Linotype" w:eastAsia="Calibri" w:hAnsi="Palatino Linotype" w:cs="Tahoma"/>
          <w:bCs/>
          <w:kern w:val="0"/>
          <w14:ligatures w14:val="none"/>
        </w:rPr>
        <w:t xml:space="preserve">Sobre dicho dato, resulta necesario precisar que el domicilio, no corresponde al domicilio particular del titular del predio, sino que corresponde a aquel donde se realiza una regularización de construcción o uso de suelo; por lo que, el dato en comento únicamente identifica la ubicación donde se realiza la actividad que realizaba el área de Desarrollo Urbano; además, </w:t>
      </w:r>
      <w:r w:rsidRPr="002B29A1">
        <w:rPr>
          <w:rFonts w:ascii="Palatino Linotype" w:eastAsia="Calibri" w:hAnsi="Palatino Linotype" w:cs="Tahoma"/>
          <w:bCs/>
          <w:kern w:val="0"/>
          <w:lang w:val="es-ES"/>
          <w14:ligatures w14:val="none"/>
        </w:rPr>
        <w:t xml:space="preserve">permite acreditar que la ubicación del predio donde se está regularizando una construcción o un uso de suelo, lo cual </w:t>
      </w:r>
      <w:r w:rsidR="0047515E" w:rsidRPr="002B29A1">
        <w:rPr>
          <w:rFonts w:ascii="Palatino Linotype" w:eastAsia="Calibri" w:hAnsi="Palatino Linotype" w:cs="Tahoma"/>
          <w:bCs/>
          <w:kern w:val="0"/>
          <w:lang w:val="es-ES"/>
          <w14:ligatures w14:val="none"/>
        </w:rPr>
        <w:t xml:space="preserve">debe corresponder </w:t>
      </w:r>
      <w:r w:rsidRPr="002B29A1">
        <w:rPr>
          <w:rFonts w:ascii="Palatino Linotype" w:eastAsia="Calibri" w:hAnsi="Palatino Linotype" w:cs="Tahoma"/>
          <w:bCs/>
          <w:kern w:val="0"/>
          <w:lang w:val="es-ES"/>
          <w14:ligatures w14:val="none"/>
        </w:rPr>
        <w:t xml:space="preserve"> al registrado en el Municipio.</w:t>
      </w:r>
    </w:p>
    <w:p w14:paraId="5A33A9F5" w14:textId="77777777" w:rsidR="00274797" w:rsidRPr="002B29A1" w:rsidRDefault="00274797" w:rsidP="00274797">
      <w:pPr>
        <w:rPr>
          <w:rFonts w:ascii="Palatino Linotype" w:eastAsia="Calibri" w:hAnsi="Palatino Linotype" w:cs="Tahoma"/>
          <w:bCs/>
          <w:kern w:val="0"/>
          <w:lang w:val="es-ES"/>
          <w14:ligatures w14:val="none"/>
        </w:rPr>
      </w:pPr>
    </w:p>
    <w:p w14:paraId="65BF28C5" w14:textId="4A1896A0" w:rsidR="00274797" w:rsidRPr="002B29A1" w:rsidRDefault="00274797" w:rsidP="00207C8D">
      <w:pPr>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t xml:space="preserve">Lo anterior, toma relevancia, pues conforme a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dichas Licencias, los domicilios de donde </w:t>
      </w:r>
      <w:r w:rsidR="00207C8D" w:rsidRPr="002B29A1">
        <w:rPr>
          <w:rFonts w:ascii="Palatino Linotype" w:eastAsia="Calibri" w:hAnsi="Palatino Linotype" w:cs="Tahoma"/>
          <w:bCs/>
          <w:kern w:val="0"/>
          <w14:ligatures w14:val="none"/>
        </w:rPr>
        <w:t>se autorice una construcción o uso de suelo.</w:t>
      </w:r>
    </w:p>
    <w:p w14:paraId="676CAC01" w14:textId="77777777" w:rsidR="00207C8D" w:rsidRPr="002B29A1" w:rsidRDefault="00207C8D" w:rsidP="00207C8D">
      <w:pPr>
        <w:rPr>
          <w:rFonts w:ascii="Palatino Linotype" w:eastAsia="Calibri" w:hAnsi="Palatino Linotype" w:cs="Tahoma"/>
          <w:bCs/>
          <w:kern w:val="0"/>
          <w14:ligatures w14:val="none"/>
        </w:rPr>
      </w:pPr>
    </w:p>
    <w:p w14:paraId="718BF8F0" w14:textId="66688539" w:rsidR="00274797" w:rsidRPr="002B29A1" w:rsidRDefault="00274797" w:rsidP="00274797">
      <w:pPr>
        <w:rPr>
          <w:rFonts w:ascii="Palatino Linotype" w:eastAsia="Calibri" w:hAnsi="Palatino Linotype" w:cs="Tahoma"/>
          <w:bCs/>
          <w:kern w:val="0"/>
          <w14:ligatures w14:val="none"/>
        </w:rPr>
      </w:pPr>
      <w:r w:rsidRPr="002B29A1">
        <w:rPr>
          <w:rFonts w:ascii="Palatino Linotype" w:eastAsia="Calibri" w:hAnsi="Palatino Linotype" w:cs="Tahoma"/>
          <w:bCs/>
          <w:kern w:val="0"/>
          <w14:ligatures w14:val="none"/>
        </w:rPr>
        <w:lastRenderedPageBreak/>
        <w:t>De tales circunstancias, dicho dato guarda la naturaleza de pública, pues permite identificar, que la ubicación de la</w:t>
      </w:r>
      <w:r w:rsidR="00207C8D" w:rsidRPr="002B29A1">
        <w:rPr>
          <w:rFonts w:ascii="Palatino Linotype" w:eastAsia="Calibri" w:hAnsi="Palatino Linotype" w:cs="Tahoma"/>
          <w:bCs/>
          <w:kern w:val="0"/>
          <w14:ligatures w14:val="none"/>
        </w:rPr>
        <w:t xml:space="preserve"> regularización de</w:t>
      </w:r>
      <w:r w:rsidRPr="002B29A1">
        <w:rPr>
          <w:rFonts w:ascii="Palatino Linotype" w:eastAsia="Calibri" w:hAnsi="Palatino Linotype" w:cs="Tahoma"/>
          <w:bCs/>
          <w:kern w:val="0"/>
          <w14:ligatures w14:val="none"/>
        </w:rPr>
        <w:t xml:space="preserve"> construcci</w:t>
      </w:r>
      <w:r w:rsidR="00207C8D" w:rsidRPr="002B29A1">
        <w:rPr>
          <w:rFonts w:ascii="Palatino Linotype" w:eastAsia="Calibri" w:hAnsi="Palatino Linotype" w:cs="Tahoma"/>
          <w:bCs/>
          <w:kern w:val="0"/>
          <w14:ligatures w14:val="none"/>
        </w:rPr>
        <w:t>o</w:t>
      </w:r>
      <w:r w:rsidRPr="002B29A1">
        <w:rPr>
          <w:rFonts w:ascii="Palatino Linotype" w:eastAsia="Calibri" w:hAnsi="Palatino Linotype" w:cs="Tahoma"/>
          <w:bCs/>
          <w:kern w:val="0"/>
          <w14:ligatures w14:val="none"/>
        </w:rPr>
        <w:t>n</w:t>
      </w:r>
      <w:r w:rsidR="00207C8D" w:rsidRPr="002B29A1">
        <w:rPr>
          <w:rFonts w:ascii="Palatino Linotype" w:eastAsia="Calibri" w:hAnsi="Palatino Linotype" w:cs="Tahoma"/>
          <w:bCs/>
          <w:kern w:val="0"/>
          <w14:ligatures w14:val="none"/>
        </w:rPr>
        <w:t>es</w:t>
      </w:r>
      <w:r w:rsidRPr="002B29A1">
        <w:rPr>
          <w:rFonts w:ascii="Palatino Linotype" w:eastAsia="Calibri" w:hAnsi="Palatino Linotype" w:cs="Tahoma"/>
          <w:bCs/>
          <w:kern w:val="0"/>
          <w14:ligatures w14:val="none"/>
        </w:rPr>
        <w:t>; por lo que se trata de un dato de acceso a público; por lo que, no resulta procedente, la clasificación, en términos del artículo 143, fracción I de la Ley de Transparencia y Acceso a la Información Pública del Estado de México y Municipios.</w:t>
      </w:r>
    </w:p>
    <w:p w14:paraId="2C04052B" w14:textId="77777777" w:rsidR="00FC1E62" w:rsidRPr="002B29A1" w:rsidRDefault="00FC1E62" w:rsidP="00974279">
      <w:pPr>
        <w:contextualSpacing/>
        <w:rPr>
          <w:rFonts w:ascii="Palatino Linotype" w:eastAsia="Palatino Linotype" w:hAnsi="Palatino Linotype" w:cs="Palatino Linotype"/>
          <w:color w:val="000000"/>
          <w:kern w:val="0"/>
          <w:lang w:eastAsia="es-MX"/>
          <w14:ligatures w14:val="none"/>
        </w:rPr>
      </w:pPr>
    </w:p>
    <w:p w14:paraId="007E4857" w14:textId="51E903D8" w:rsidR="00207C8D" w:rsidRPr="002B29A1" w:rsidRDefault="00207C8D" w:rsidP="00207C8D">
      <w:pPr>
        <w:contextualSpacing/>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bCs/>
          <w:color w:val="000000"/>
          <w:kern w:val="0"/>
          <w:lang w:val="es-ES" w:eastAsia="es-MX"/>
          <w14:ligatures w14:val="none"/>
        </w:rPr>
        <w:t xml:space="preserve">Conforme a lo anterior, se considera que el Sujeto Obligado clasificó datos de naturaleza pública en las </w:t>
      </w:r>
      <w:r w:rsidR="0018406A" w:rsidRPr="002B29A1">
        <w:rPr>
          <w:rFonts w:ascii="Palatino Linotype" w:eastAsia="Palatino Linotype" w:hAnsi="Palatino Linotype" w:cs="Palatino Linotype"/>
          <w:kern w:val="0"/>
          <w:lang w:eastAsia="es-ES"/>
          <w14:ligatures w14:val="none"/>
        </w:rPr>
        <w:t>las Actas de la Trigésima Tercera a la Trigésima Novena Sesión Ordinaria, así como, de la Décimo Segunda Extraordinaria y Novena de Cabildo Abierto</w:t>
      </w:r>
      <w:r w:rsidRPr="002B29A1">
        <w:rPr>
          <w:rFonts w:ascii="Palatino Linotype" w:eastAsia="Palatino Linotype" w:hAnsi="Palatino Linotype" w:cs="Palatino Linotype"/>
          <w:bCs/>
          <w:color w:val="000000"/>
          <w:kern w:val="0"/>
          <w:lang w:val="es-ES" w:eastAsia="es-MX"/>
          <w14:ligatures w14:val="none"/>
        </w:rPr>
        <w:t xml:space="preserve">, al clasificar la ubicación de unidades económicas y de construcciones regularizadas y nombres de arrendadores del Municipio y apoderados legales, por lo que, deberá entregarlos en una versión pública, además de proporcionar el Acta del Comité de Transparencia en el que confirme la clasificación </w:t>
      </w:r>
      <w:r w:rsidR="0018406A" w:rsidRPr="002B29A1">
        <w:rPr>
          <w:rFonts w:ascii="Palatino Linotype" w:eastAsia="Palatino Linotype" w:hAnsi="Palatino Linotype" w:cs="Palatino Linotype"/>
          <w:bCs/>
          <w:color w:val="000000"/>
          <w:kern w:val="0"/>
          <w:lang w:val="es-ES" w:eastAsia="es-MX"/>
          <w14:ligatures w14:val="none"/>
        </w:rPr>
        <w:t>de los nombre de particulares.</w:t>
      </w:r>
    </w:p>
    <w:p w14:paraId="0B6D0279" w14:textId="77777777" w:rsidR="00FC1E62" w:rsidRPr="002B29A1" w:rsidRDefault="00FC1E62" w:rsidP="00974279">
      <w:pPr>
        <w:contextualSpacing/>
        <w:rPr>
          <w:rFonts w:ascii="Palatino Linotype" w:eastAsia="Palatino Linotype" w:hAnsi="Palatino Linotype" w:cs="Palatino Linotype"/>
          <w:color w:val="000000"/>
          <w:kern w:val="0"/>
          <w:lang w:eastAsia="es-MX"/>
          <w14:ligatures w14:val="none"/>
        </w:rPr>
      </w:pPr>
      <w:bookmarkStart w:id="15" w:name="_GoBack"/>
      <w:bookmarkEnd w:id="15"/>
    </w:p>
    <w:p w14:paraId="00F2D7BD" w14:textId="28D9F7AD" w:rsidR="00565C76" w:rsidRPr="002B29A1" w:rsidRDefault="001848A2" w:rsidP="00974279">
      <w:pPr>
        <w:adjustRightInd w:val="0"/>
        <w:snapToGrid w:val="0"/>
        <w:rPr>
          <w:rFonts w:ascii="Palatino Linotype" w:eastAsia="Palatino Linotype" w:hAnsi="Palatino Linotype" w:cs="Palatino Linotype"/>
          <w:kern w:val="0"/>
          <w:lang w:eastAsia="es-ES"/>
          <w14:ligatures w14:val="none"/>
        </w:rPr>
      </w:pPr>
      <w:r w:rsidRPr="002B29A1">
        <w:rPr>
          <w:rFonts w:ascii="Palatino Linotype" w:eastAsia="Times New Roman" w:hAnsi="Palatino Linotype" w:cs="Tahoma"/>
          <w:bCs/>
          <w:kern w:val="0"/>
          <w:lang w:val="es-ES_tradnl" w:eastAsia="es-ES"/>
          <w14:ligatures w14:val="none"/>
        </w:rPr>
        <w:t xml:space="preserve">Finalmente, </w:t>
      </w:r>
      <w:r w:rsidRPr="002B29A1">
        <w:rPr>
          <w:rFonts w:ascii="Palatino Linotype" w:eastAsia="Calibri" w:hAnsi="Palatino Linotype" w:cs="Tahoma"/>
          <w:bCs/>
          <w:iCs/>
          <w:color w:val="000000"/>
          <w:kern w:val="0"/>
          <w:lang w:val="es-ES_tradnl" w:eastAsia="es-MX"/>
          <w14:ligatures w14:val="none"/>
        </w:rPr>
        <w:t xml:space="preserve">este Instituto </w:t>
      </w:r>
      <w:r w:rsidR="00207C8D" w:rsidRPr="002B29A1">
        <w:rPr>
          <w:rFonts w:ascii="Palatino Linotype" w:eastAsia="Calibri" w:hAnsi="Palatino Linotype" w:cs="Tahoma"/>
          <w:bCs/>
          <w:iCs/>
          <w:color w:val="000000"/>
          <w:kern w:val="0"/>
          <w:lang w:val="es-ES_tradnl" w:eastAsia="es-MX"/>
          <w14:ligatures w14:val="none"/>
        </w:rPr>
        <w:t>considera que las Actas</w:t>
      </w:r>
      <w:r w:rsidRPr="002B29A1">
        <w:rPr>
          <w:rFonts w:ascii="Palatino Linotype" w:eastAsia="Calibri" w:hAnsi="Palatino Linotype" w:cs="Tahoma"/>
          <w:bCs/>
          <w:iCs/>
          <w:color w:val="000000"/>
          <w:kern w:val="0"/>
          <w:lang w:val="es-ES_tradnl" w:eastAsia="es-MX"/>
          <w14:ligatures w14:val="none"/>
        </w:rPr>
        <w:t xml:space="preserve"> que den cuenta de lo solicitado, pudieran contar con datos o información clasificada</w:t>
      </w:r>
      <w:r w:rsidR="00207C8D" w:rsidRPr="002B29A1">
        <w:rPr>
          <w:rFonts w:ascii="Palatino Linotype" w:eastAsia="Calibri" w:hAnsi="Palatino Linotype" w:cs="Tahoma"/>
          <w:bCs/>
          <w:iCs/>
          <w:color w:val="000000"/>
          <w:kern w:val="0"/>
          <w:lang w:val="es-ES_tradnl" w:eastAsia="es-MX"/>
          <w14:ligatures w14:val="none"/>
        </w:rPr>
        <w:t xml:space="preserve">, </w:t>
      </w:r>
      <w:r w:rsidRPr="002B29A1">
        <w:rPr>
          <w:rFonts w:ascii="Palatino Linotype" w:eastAsia="Times New Roman" w:hAnsi="Palatino Linotype" w:cs="Tahoma"/>
          <w:bCs/>
          <w:kern w:val="0"/>
          <w:lang w:val="es-ES_tradnl" w:eastAsia="es-ES"/>
          <w14:ligatures w14:val="none"/>
        </w:rPr>
        <w:t>por lo que, en el supuesto, deberá elaborar la versión pública respectiva; a</w:t>
      </w:r>
      <w:r w:rsidRPr="002B29A1">
        <w:rPr>
          <w:rFonts w:ascii="Palatino Linotype" w:eastAsia="Times New Roman" w:hAnsi="Palatino Linotype" w:cs="Tahoma"/>
          <w:bCs/>
          <w:kern w:val="0"/>
          <w:lang w:val="es-ES" w:eastAsia="es-ES"/>
          <w14:ligatures w14:val="none"/>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r w:rsidR="00565C76" w:rsidRPr="002B29A1">
        <w:rPr>
          <w:rFonts w:ascii="Palatino Linotype" w:eastAsia="Palatino Linotype" w:hAnsi="Palatino Linotype" w:cs="Palatino Linotype"/>
          <w:kern w:val="0"/>
          <w:lang w:eastAsia="es-ES"/>
          <w14:ligatures w14:val="none"/>
        </w:rPr>
        <w:br/>
      </w:r>
      <w:r w:rsidR="00565C76" w:rsidRPr="002B29A1">
        <w:rPr>
          <w:rFonts w:ascii="Palatino Linotype" w:eastAsia="Palatino Linotype" w:hAnsi="Palatino Linotype" w:cs="Palatino Linotype"/>
          <w:kern w:val="0"/>
          <w:lang w:eastAsia="es-ES"/>
          <w14:ligatures w14:val="none"/>
        </w:rPr>
        <w:br/>
        <w:t xml:space="preserve">Para tal situación, el Sujeto Obligado deberá seguir el procedimiento establecido en el artículo 168 de dicho ordenamiento jurídico; esto es, que el área competente deberá elaborar </w:t>
      </w:r>
      <w:r w:rsidR="00565C76" w:rsidRPr="002B29A1">
        <w:rPr>
          <w:rFonts w:ascii="Palatino Linotype" w:eastAsia="Palatino Linotype" w:hAnsi="Palatino Linotype" w:cs="Palatino Linotype"/>
          <w:kern w:val="0"/>
          <w:lang w:eastAsia="es-ES"/>
          <w14:ligatures w14:val="none"/>
        </w:rPr>
        <w:lastRenderedPageBreak/>
        <w:t>la versión pública, así como emitir el Acuerdo, por parte del Comité de Transparencia, donde confirme la clasificación de los datos, fundando y motivando la clasificación.</w:t>
      </w:r>
    </w:p>
    <w:p w14:paraId="477C5EEA" w14:textId="77777777" w:rsidR="009B2008" w:rsidRPr="002B29A1" w:rsidRDefault="009B2008" w:rsidP="00974279">
      <w:pPr>
        <w:rPr>
          <w:rFonts w:ascii="Palatino Linotype" w:eastAsia="Palatino Linotype" w:hAnsi="Palatino Linotype" w:cs="Palatino Linotype"/>
          <w:b/>
          <w:kern w:val="0"/>
          <w:lang w:eastAsia="es-ES"/>
          <w14:ligatures w14:val="none"/>
        </w:rPr>
      </w:pPr>
    </w:p>
    <w:p w14:paraId="095218DE" w14:textId="77777777" w:rsidR="009B2008" w:rsidRPr="002B29A1" w:rsidRDefault="009B2008" w:rsidP="00974279">
      <w:pPr>
        <w:pStyle w:val="Ttulo2"/>
        <w:spacing w:before="0"/>
        <w:rPr>
          <w:rFonts w:ascii="Palatino Linotype" w:eastAsia="Palatino Linotype" w:hAnsi="Palatino Linotype"/>
          <w:b/>
          <w:color w:val="auto"/>
          <w:sz w:val="22"/>
          <w:lang w:eastAsia="es-ES"/>
        </w:rPr>
      </w:pPr>
      <w:bookmarkStart w:id="16" w:name="_Toc195191385"/>
      <w:r w:rsidRPr="002B29A1">
        <w:rPr>
          <w:rFonts w:ascii="Palatino Linotype" w:eastAsia="Palatino Linotype" w:hAnsi="Palatino Linotype"/>
          <w:b/>
          <w:color w:val="auto"/>
          <w:sz w:val="22"/>
          <w:lang w:eastAsia="es-ES"/>
        </w:rPr>
        <w:t>SEXTO. Decisión</w:t>
      </w:r>
      <w:bookmarkEnd w:id="16"/>
    </w:p>
    <w:p w14:paraId="2D90B8AB" w14:textId="77777777" w:rsidR="009B2008" w:rsidRPr="002B29A1" w:rsidRDefault="009B2008" w:rsidP="00974279">
      <w:pPr>
        <w:rPr>
          <w:rFonts w:ascii="Palatino Linotype" w:eastAsia="Palatino Linotype" w:hAnsi="Palatino Linotype" w:cs="Palatino Linotype"/>
          <w:b/>
          <w:kern w:val="0"/>
          <w:sz w:val="20"/>
          <w:szCs w:val="20"/>
          <w:lang w:eastAsia="es-ES"/>
          <w14:ligatures w14:val="none"/>
        </w:rPr>
      </w:pPr>
    </w:p>
    <w:p w14:paraId="24093E8E" w14:textId="5FAAD7C0" w:rsidR="009B2008" w:rsidRPr="002B29A1" w:rsidRDefault="009B2008" w:rsidP="00974279">
      <w:pPr>
        <w:tabs>
          <w:tab w:val="left" w:pos="4962"/>
        </w:tabs>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Con fundamento en el artículo 186, fracción III, de la Ley de Transparencia y Acceso a la Información Pública del Estado de México y Municipios, este Instituto considera procedente </w:t>
      </w:r>
      <w:r w:rsidRPr="002B29A1">
        <w:rPr>
          <w:rFonts w:ascii="Palatino Linotype" w:eastAsia="Palatino Linotype" w:hAnsi="Palatino Linotype" w:cs="Palatino Linotype"/>
          <w:b/>
          <w:kern w:val="0"/>
          <w:lang w:eastAsia="es-ES"/>
          <w14:ligatures w14:val="none"/>
        </w:rPr>
        <w:t>MODIFICAR</w:t>
      </w:r>
      <w:r w:rsidR="009E002E" w:rsidRPr="002B29A1">
        <w:rPr>
          <w:rFonts w:ascii="Palatino Linotype" w:eastAsia="Palatino Linotype" w:hAnsi="Palatino Linotype" w:cs="Palatino Linotype"/>
          <w:kern w:val="0"/>
          <w:lang w:eastAsia="es-ES"/>
          <w14:ligatures w14:val="none"/>
        </w:rPr>
        <w:t xml:space="preserve"> la respuesta otorgada a la solicitud</w:t>
      </w:r>
      <w:r w:rsidRPr="002B29A1">
        <w:rPr>
          <w:rFonts w:ascii="Palatino Linotype" w:eastAsia="Palatino Linotype" w:hAnsi="Palatino Linotype" w:cs="Palatino Linotype"/>
          <w:kern w:val="0"/>
          <w:lang w:eastAsia="es-ES"/>
          <w14:ligatures w14:val="none"/>
        </w:rPr>
        <w:t xml:space="preserve"> de información </w:t>
      </w:r>
      <w:r w:rsidR="009E002E" w:rsidRPr="002B29A1">
        <w:rPr>
          <w:rFonts w:ascii="Palatino Linotype" w:eastAsia="Palatino Linotype" w:hAnsi="Palatino Linotype" w:cs="Palatino Linotype"/>
          <w:kern w:val="0"/>
          <w:lang w:eastAsia="es-ES"/>
          <w14:ligatures w14:val="none"/>
        </w:rPr>
        <w:t>03544/TOLUCA/IP/</w:t>
      </w:r>
      <w:r w:rsidR="00207C8D" w:rsidRPr="002B29A1">
        <w:rPr>
          <w:rFonts w:ascii="Palatino Linotype" w:eastAsia="Palatino Linotype" w:hAnsi="Palatino Linotype" w:cs="Palatino Linotype"/>
          <w:kern w:val="0"/>
          <w:lang w:eastAsia="es-ES"/>
          <w14:ligatures w14:val="none"/>
        </w:rPr>
        <w:t xml:space="preserve">2024, </w:t>
      </w:r>
      <w:r w:rsidRPr="002B29A1">
        <w:rPr>
          <w:rFonts w:ascii="Palatino Linotype" w:eastAsia="Palatino Linotype" w:hAnsi="Palatino Linotype" w:cs="Palatino Linotype"/>
          <w:kern w:val="0"/>
          <w:lang w:eastAsia="es-ES"/>
          <w14:ligatures w14:val="none"/>
        </w:rPr>
        <w:t xml:space="preserve">a efecto de que, proporcione los documentos precisados en respuesta. </w:t>
      </w:r>
    </w:p>
    <w:p w14:paraId="39915CA0" w14:textId="77777777" w:rsidR="009E002E" w:rsidRPr="002B29A1" w:rsidRDefault="009E002E" w:rsidP="00974279">
      <w:pPr>
        <w:tabs>
          <w:tab w:val="left" w:pos="4962"/>
        </w:tabs>
        <w:rPr>
          <w:rFonts w:ascii="Palatino Linotype" w:eastAsia="Palatino Linotype" w:hAnsi="Palatino Linotype" w:cs="Palatino Linotype"/>
          <w:b/>
          <w:bCs/>
          <w:kern w:val="0"/>
          <w:lang w:eastAsia="es-ES"/>
          <w14:ligatures w14:val="none"/>
        </w:rPr>
      </w:pPr>
    </w:p>
    <w:p w14:paraId="65F56357" w14:textId="77777777" w:rsidR="009B2008" w:rsidRPr="002B29A1" w:rsidRDefault="009B2008" w:rsidP="00974279">
      <w:pPr>
        <w:rPr>
          <w:rFonts w:ascii="Palatino Linotype" w:eastAsia="Palatino Linotype" w:hAnsi="Palatino Linotype" w:cs="Palatino Linotype"/>
          <w:b/>
          <w:kern w:val="0"/>
          <w:lang w:eastAsia="es-ES"/>
          <w14:ligatures w14:val="none"/>
        </w:rPr>
      </w:pPr>
      <w:r w:rsidRPr="002B29A1">
        <w:rPr>
          <w:rFonts w:ascii="Palatino Linotype" w:eastAsia="Palatino Linotype" w:hAnsi="Palatino Linotype" w:cs="Palatino Linotype"/>
          <w:b/>
          <w:kern w:val="0"/>
          <w:lang w:eastAsia="es-ES"/>
          <w14:ligatures w14:val="none"/>
        </w:rPr>
        <w:t>Términos de la Resolución para conocimiento del Particular</w:t>
      </w:r>
    </w:p>
    <w:p w14:paraId="11F0E0E4" w14:textId="77777777" w:rsidR="009B2008" w:rsidRPr="002B29A1" w:rsidRDefault="009B2008" w:rsidP="00974279">
      <w:pPr>
        <w:rPr>
          <w:rFonts w:ascii="Palatino Linotype" w:eastAsia="Palatino Linotype" w:hAnsi="Palatino Linotype" w:cs="Palatino Linotype"/>
          <w:b/>
          <w:kern w:val="0"/>
          <w:lang w:eastAsia="es-ES"/>
          <w14:ligatures w14:val="none"/>
        </w:rPr>
      </w:pPr>
    </w:p>
    <w:p w14:paraId="5A238143" w14:textId="59D428B4" w:rsidR="009B2008" w:rsidRPr="002B29A1" w:rsidRDefault="009B2008" w:rsidP="00974279">
      <w:pPr>
        <w:rPr>
          <w:rFonts w:ascii="Palatino Linotype" w:eastAsia="Palatino Linotype" w:hAnsi="Palatino Linotype" w:cs="Palatino Linotype"/>
          <w:kern w:val="0"/>
          <w:lang w:eastAsia="es-ES"/>
          <w14:ligatures w14:val="none"/>
        </w:rPr>
      </w:pPr>
      <w:bookmarkStart w:id="17" w:name="_heading=h.1fob9te" w:colFirst="0" w:colLast="0"/>
      <w:bookmarkEnd w:id="17"/>
      <w:r w:rsidRPr="002B29A1">
        <w:rPr>
          <w:rFonts w:ascii="Palatino Linotype" w:eastAsia="Palatino Linotype" w:hAnsi="Palatino Linotype" w:cs="Palatino Linotype"/>
          <w:kern w:val="0"/>
          <w:lang w:eastAsia="es-ES"/>
          <w14:ligatures w14:val="none"/>
        </w:rPr>
        <w:t xml:space="preserve">Se le hace del conocimiento al ahora Recurrente que, en el presente asunto, se le concede la razón, pues si bien el Sujeto Obligado desde respuesta, </w:t>
      </w:r>
      <w:r w:rsidR="000F4A38" w:rsidRPr="002B29A1">
        <w:rPr>
          <w:rFonts w:ascii="Palatino Linotype" w:eastAsia="Palatino Linotype" w:hAnsi="Palatino Linotype" w:cs="Palatino Linotype"/>
          <w:kern w:val="0"/>
          <w:lang w:eastAsia="es-ES"/>
          <w14:ligatures w14:val="none"/>
        </w:rPr>
        <w:t>proporciono documentos que dan cuenta de lo solicitado lo hizo de manera incompleta</w:t>
      </w:r>
      <w:r w:rsidRPr="002B29A1">
        <w:rPr>
          <w:rFonts w:ascii="Palatino Linotype" w:eastAsia="Palatino Linotype" w:hAnsi="Palatino Linotype" w:cs="Palatino Linotype"/>
          <w:kern w:val="0"/>
          <w:lang w:eastAsia="es-ES"/>
          <w14:ligatures w14:val="none"/>
        </w:rPr>
        <w:t>, por lo que, deberá entregar</w:t>
      </w:r>
      <w:r w:rsidR="000F4A38" w:rsidRPr="002B29A1">
        <w:rPr>
          <w:rFonts w:ascii="Palatino Linotype" w:eastAsia="Palatino Linotype" w:hAnsi="Palatino Linotype" w:cs="Palatino Linotype"/>
          <w:kern w:val="0"/>
          <w:lang w:eastAsia="es-ES"/>
          <w14:ligatures w14:val="none"/>
        </w:rPr>
        <w:t xml:space="preserve"> las actas faltantes, en su caso, versión pública.</w:t>
      </w:r>
      <w:r w:rsidR="00A31F29"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F22DDA7" w14:textId="77777777" w:rsidR="009B2008" w:rsidRPr="002B29A1" w:rsidRDefault="009B2008" w:rsidP="00974279">
      <w:pPr>
        <w:rPr>
          <w:rFonts w:ascii="Palatino Linotype" w:eastAsia="Palatino Linotype" w:hAnsi="Palatino Linotype" w:cs="Palatino Linotype"/>
          <w:kern w:val="0"/>
          <w:lang w:eastAsia="es-ES"/>
          <w14:ligatures w14:val="none"/>
        </w:rPr>
      </w:pPr>
    </w:p>
    <w:p w14:paraId="179E223E" w14:textId="77777777" w:rsidR="009B2008"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Por lo expuesto y fundado, este Pleno:</w:t>
      </w:r>
    </w:p>
    <w:p w14:paraId="28945E72" w14:textId="77777777" w:rsidR="009B2008" w:rsidRPr="002B29A1" w:rsidRDefault="009B2008" w:rsidP="00974279">
      <w:pPr>
        <w:rPr>
          <w:rFonts w:ascii="Palatino Linotype" w:eastAsia="Palatino Linotype" w:hAnsi="Palatino Linotype" w:cs="Palatino Linotype"/>
          <w:b/>
          <w:kern w:val="0"/>
          <w:lang w:eastAsia="es-ES"/>
          <w14:ligatures w14:val="none"/>
        </w:rPr>
      </w:pPr>
    </w:p>
    <w:p w14:paraId="5EF7FE8C" w14:textId="77777777" w:rsidR="009B2008" w:rsidRPr="002B29A1" w:rsidRDefault="009B2008" w:rsidP="00974279">
      <w:pPr>
        <w:pStyle w:val="Ttulo1"/>
        <w:spacing w:before="0"/>
        <w:jc w:val="center"/>
        <w:rPr>
          <w:rFonts w:ascii="Palatino Linotype" w:eastAsia="Palatino Linotype" w:hAnsi="Palatino Linotype"/>
          <w:b/>
          <w:color w:val="auto"/>
          <w:sz w:val="22"/>
          <w:lang w:eastAsia="es-ES"/>
        </w:rPr>
      </w:pPr>
      <w:bookmarkStart w:id="18" w:name="_Toc195191386"/>
      <w:r w:rsidRPr="002B29A1">
        <w:rPr>
          <w:rFonts w:ascii="Palatino Linotype" w:eastAsia="Palatino Linotype" w:hAnsi="Palatino Linotype"/>
          <w:b/>
          <w:color w:val="auto"/>
          <w:sz w:val="22"/>
          <w:lang w:eastAsia="es-ES"/>
        </w:rPr>
        <w:t>R E S U E L V E</w:t>
      </w:r>
      <w:bookmarkEnd w:id="18"/>
    </w:p>
    <w:p w14:paraId="6AED3778" w14:textId="77777777" w:rsidR="009B2008" w:rsidRPr="002B29A1" w:rsidRDefault="009B2008" w:rsidP="00974279">
      <w:pPr>
        <w:ind w:right="-28"/>
        <w:rPr>
          <w:rFonts w:ascii="Palatino Linotype" w:eastAsia="Palatino Linotype" w:hAnsi="Palatino Linotype" w:cs="Palatino Linotype"/>
          <w:b/>
          <w:kern w:val="0"/>
          <w:lang w:eastAsia="es-ES"/>
          <w14:ligatures w14:val="none"/>
        </w:rPr>
      </w:pPr>
    </w:p>
    <w:p w14:paraId="2975E50A" w14:textId="6F3F596E" w:rsidR="009B2008" w:rsidRPr="002B29A1" w:rsidRDefault="009B2008" w:rsidP="00974279">
      <w:pPr>
        <w:widowControl w:val="0"/>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 xml:space="preserve">PRIMERO. </w:t>
      </w:r>
      <w:r w:rsidRPr="002B29A1">
        <w:rPr>
          <w:rFonts w:ascii="Palatino Linotype" w:eastAsia="Palatino Linotype" w:hAnsi="Palatino Linotype" w:cs="Palatino Linotype"/>
          <w:kern w:val="0"/>
          <w:lang w:eastAsia="es-ES"/>
          <w14:ligatures w14:val="none"/>
        </w:rPr>
        <w:t xml:space="preserve">Se </w:t>
      </w:r>
      <w:r w:rsidRPr="002B29A1">
        <w:rPr>
          <w:rFonts w:ascii="Palatino Linotype" w:eastAsia="Palatino Linotype" w:hAnsi="Palatino Linotype" w:cs="Palatino Linotype"/>
          <w:b/>
          <w:kern w:val="0"/>
          <w:lang w:eastAsia="es-ES"/>
          <w14:ligatures w14:val="none"/>
        </w:rPr>
        <w:t xml:space="preserve">MODIFICA </w:t>
      </w:r>
      <w:r w:rsidRPr="002B29A1">
        <w:rPr>
          <w:rFonts w:ascii="Palatino Linotype" w:eastAsia="Palatino Linotype" w:hAnsi="Palatino Linotype" w:cs="Palatino Linotype"/>
          <w:kern w:val="0"/>
          <w:lang w:eastAsia="es-ES"/>
          <w14:ligatures w14:val="none"/>
        </w:rPr>
        <w:t>la</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 xml:space="preserve">respuesta entregada por el Ayuntamiento de </w:t>
      </w:r>
      <w:r w:rsidR="006F4725" w:rsidRPr="002B29A1">
        <w:rPr>
          <w:rFonts w:ascii="Palatino Linotype" w:eastAsia="Palatino Linotype" w:hAnsi="Palatino Linotype" w:cs="Palatino Linotype"/>
          <w:kern w:val="0"/>
          <w:lang w:eastAsia="es-ES"/>
          <w14:ligatures w14:val="none"/>
        </w:rPr>
        <w:t xml:space="preserve">Toluca </w:t>
      </w:r>
      <w:r w:rsidR="009E002E" w:rsidRPr="002B29A1">
        <w:rPr>
          <w:rFonts w:ascii="Palatino Linotype" w:eastAsia="Palatino Linotype" w:hAnsi="Palatino Linotype" w:cs="Palatino Linotype"/>
          <w:kern w:val="0"/>
          <w:lang w:eastAsia="es-ES"/>
          <w14:ligatures w14:val="none"/>
        </w:rPr>
        <w:t>a la solicitud de información</w:t>
      </w:r>
      <w:r w:rsidRPr="002B29A1">
        <w:rPr>
          <w:rFonts w:ascii="Palatino Linotype" w:eastAsia="Palatino Linotype" w:hAnsi="Palatino Linotype" w:cs="Palatino Linotype"/>
          <w:b/>
          <w:kern w:val="0"/>
          <w:lang w:eastAsia="es-ES"/>
          <w14:ligatures w14:val="none"/>
        </w:rPr>
        <w:t xml:space="preserve"> </w:t>
      </w:r>
      <w:r w:rsidR="009E002E" w:rsidRPr="002B29A1">
        <w:rPr>
          <w:rFonts w:ascii="Palatino Linotype" w:eastAsia="Palatino Linotype" w:hAnsi="Palatino Linotype" w:cs="Palatino Linotype"/>
          <w:kern w:val="0"/>
          <w:lang w:eastAsia="es-ES"/>
          <w14:ligatures w14:val="none"/>
        </w:rPr>
        <w:t>03544/TOLUCA/IP/2024</w:t>
      </w:r>
      <w:r w:rsidR="00FE356E" w:rsidRPr="002B29A1">
        <w:rPr>
          <w:rFonts w:ascii="Palatino Linotype" w:eastAsia="Palatino Linotype" w:hAnsi="Palatino Linotype" w:cs="Palatino Linotype"/>
          <w:kern w:val="0"/>
          <w:lang w:eastAsia="es-ES"/>
          <w14:ligatures w14:val="none"/>
        </w:rPr>
        <w:t>,</w:t>
      </w:r>
      <w:r w:rsidR="006F4725" w:rsidRPr="002B29A1">
        <w:rPr>
          <w:rFonts w:ascii="Palatino Linotype" w:eastAsia="Palatino Linotype" w:hAnsi="Palatino Linotype" w:cs="Palatino Linotype"/>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 xml:space="preserve">por resultar </w:t>
      </w:r>
      <w:r w:rsidR="00207C8D" w:rsidRPr="002B29A1">
        <w:rPr>
          <w:rFonts w:ascii="Palatino Linotype" w:eastAsia="Palatino Linotype" w:hAnsi="Palatino Linotype" w:cs="Palatino Linotype"/>
          <w:b/>
          <w:bCs/>
          <w:kern w:val="0"/>
          <w:lang w:eastAsia="es-ES"/>
          <w14:ligatures w14:val="none"/>
        </w:rPr>
        <w:t xml:space="preserve">PARCIALMENTE </w:t>
      </w:r>
      <w:r w:rsidRPr="002B29A1">
        <w:rPr>
          <w:rFonts w:ascii="Palatino Linotype" w:eastAsia="Palatino Linotype" w:hAnsi="Palatino Linotype" w:cs="Palatino Linotype"/>
          <w:b/>
          <w:kern w:val="0"/>
          <w:lang w:eastAsia="es-ES"/>
          <w14:ligatures w14:val="none"/>
        </w:rPr>
        <w:t>FUNDADAS</w:t>
      </w:r>
      <w:r w:rsidRPr="002B29A1">
        <w:rPr>
          <w:rFonts w:ascii="Palatino Linotype" w:eastAsia="Palatino Linotype" w:hAnsi="Palatino Linotype" w:cs="Palatino Linotype"/>
          <w:kern w:val="0"/>
          <w:lang w:eastAsia="es-ES"/>
          <w14:ligatures w14:val="none"/>
        </w:rPr>
        <w:t xml:space="preserve"> las razones o motivos de inconformidad hechos valer por el Recurrente</w:t>
      </w:r>
      <w:r w:rsidR="00FE356E" w:rsidRPr="002B29A1">
        <w:rPr>
          <w:rFonts w:ascii="Palatino Linotype" w:eastAsia="Palatino Linotype" w:hAnsi="Palatino Linotype" w:cs="Palatino Linotype"/>
          <w:kern w:val="0"/>
          <w:lang w:eastAsia="es-ES"/>
          <w14:ligatures w14:val="none"/>
        </w:rPr>
        <w:t xml:space="preserve"> en </w:t>
      </w:r>
      <w:r w:rsidR="009E002E" w:rsidRPr="002B29A1">
        <w:rPr>
          <w:rFonts w:ascii="Palatino Linotype" w:eastAsia="Palatino Linotype" w:hAnsi="Palatino Linotype" w:cs="Palatino Linotype"/>
          <w:kern w:val="0"/>
          <w:lang w:eastAsia="es-ES"/>
          <w14:ligatures w14:val="none"/>
        </w:rPr>
        <w:lastRenderedPageBreak/>
        <w:t>términos de los considerandos QUINTO Y SEXTO de la presente Resolución.</w:t>
      </w:r>
    </w:p>
    <w:p w14:paraId="2AE08095" w14:textId="77777777" w:rsidR="009B2008" w:rsidRPr="002B29A1" w:rsidRDefault="009B2008" w:rsidP="00974279">
      <w:pPr>
        <w:widowControl w:val="0"/>
        <w:rPr>
          <w:rFonts w:ascii="Palatino Linotype" w:eastAsia="Palatino Linotype" w:hAnsi="Palatino Linotype" w:cs="Palatino Linotype"/>
          <w:color w:val="FF0000"/>
          <w:kern w:val="0"/>
          <w:lang w:eastAsia="es-ES"/>
          <w14:ligatures w14:val="none"/>
        </w:rPr>
      </w:pPr>
    </w:p>
    <w:p w14:paraId="6BF67874" w14:textId="29567ECD" w:rsidR="006F4725" w:rsidRPr="002B29A1" w:rsidRDefault="009B2008" w:rsidP="00974279">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b/>
          <w:kern w:val="0"/>
          <w:lang w:eastAsia="es-ES"/>
          <w14:ligatures w14:val="none"/>
        </w:rPr>
        <w:t xml:space="preserve">SEGUNDO. </w:t>
      </w:r>
      <w:r w:rsidRPr="002B29A1">
        <w:rPr>
          <w:rFonts w:ascii="Palatino Linotype" w:eastAsia="Palatino Linotype" w:hAnsi="Palatino Linotype" w:cs="Palatino Linotype"/>
          <w:kern w:val="0"/>
          <w:lang w:eastAsia="es-ES"/>
          <w14:ligatures w14:val="none"/>
        </w:rPr>
        <w:t xml:space="preserve">Se </w:t>
      </w:r>
      <w:r w:rsidRPr="002B29A1">
        <w:rPr>
          <w:rFonts w:ascii="Palatino Linotype" w:eastAsia="Palatino Linotype" w:hAnsi="Palatino Linotype" w:cs="Palatino Linotype"/>
          <w:b/>
          <w:kern w:val="0"/>
          <w:lang w:eastAsia="es-ES"/>
          <w14:ligatures w14:val="none"/>
        </w:rPr>
        <w:t>ORDENA</w:t>
      </w:r>
      <w:r w:rsidRPr="002B29A1">
        <w:rPr>
          <w:rFonts w:ascii="Palatino Linotype" w:eastAsia="Palatino Linotype" w:hAnsi="Palatino Linotype" w:cs="Palatino Linotype"/>
          <w:kern w:val="0"/>
          <w:lang w:eastAsia="es-ES"/>
          <w14:ligatures w14:val="none"/>
        </w:rPr>
        <w:t xml:space="preserve"> al Ente Recurrido</w:t>
      </w:r>
      <w:r w:rsidRPr="002B29A1">
        <w:rPr>
          <w:rFonts w:ascii="Palatino Linotype" w:eastAsia="Palatino Linotype" w:hAnsi="Palatino Linotype" w:cs="Palatino Linotype"/>
          <w:b/>
          <w:kern w:val="0"/>
          <w:lang w:eastAsia="es-ES"/>
          <w14:ligatures w14:val="none"/>
        </w:rPr>
        <w:t xml:space="preserve">, </w:t>
      </w:r>
      <w:r w:rsidRPr="002B29A1">
        <w:rPr>
          <w:rFonts w:ascii="Palatino Linotype" w:eastAsia="Palatino Linotype" w:hAnsi="Palatino Linotype" w:cs="Palatino Linotype"/>
          <w:kern w:val="0"/>
          <w:lang w:eastAsia="es-ES"/>
          <w14:ligatures w14:val="none"/>
        </w:rPr>
        <w:t xml:space="preserve">a efecto de que entregue, previa búsqueda exhaustiva y razonable en las unidades </w:t>
      </w:r>
      <w:r w:rsidR="006F4725" w:rsidRPr="002B29A1">
        <w:rPr>
          <w:rFonts w:ascii="Palatino Linotype" w:eastAsia="Palatino Linotype" w:hAnsi="Palatino Linotype" w:cs="Palatino Linotype"/>
          <w:kern w:val="0"/>
          <w:lang w:eastAsia="es-ES"/>
          <w14:ligatures w14:val="none"/>
        </w:rPr>
        <w:t>administrativas</w:t>
      </w:r>
      <w:r w:rsidRPr="002B29A1">
        <w:rPr>
          <w:rFonts w:ascii="Palatino Linotype" w:eastAsia="Palatino Linotype" w:hAnsi="Palatino Linotype" w:cs="Palatino Linotype"/>
          <w:kern w:val="0"/>
          <w:lang w:eastAsia="es-ES"/>
          <w14:ligatures w14:val="none"/>
        </w:rPr>
        <w:t xml:space="preserve"> competentes, a través del Sistema de Acceso a la Información Mexiquense (SAIMEX), </w:t>
      </w:r>
      <w:r w:rsidR="006F4725" w:rsidRPr="002B29A1">
        <w:rPr>
          <w:rFonts w:ascii="Palatino Linotype" w:eastAsia="Palatino Linotype" w:hAnsi="Palatino Linotype" w:cs="Palatino Linotype"/>
          <w:kern w:val="0"/>
          <w:lang w:eastAsia="es-ES"/>
          <w14:ligatures w14:val="none"/>
        </w:rPr>
        <w:t>lo siguiente:</w:t>
      </w:r>
    </w:p>
    <w:p w14:paraId="01B1A6B4" w14:textId="31C3C428" w:rsidR="009B2008" w:rsidRPr="002B29A1" w:rsidRDefault="009B2008" w:rsidP="00974279">
      <w:pPr>
        <w:rPr>
          <w:rFonts w:ascii="Palatino Linotype" w:eastAsia="Palatino Linotype" w:hAnsi="Palatino Linotype" w:cs="Palatino Linotype"/>
          <w:kern w:val="0"/>
          <w:lang w:eastAsia="es-ES"/>
          <w14:ligatures w14:val="none"/>
        </w:rPr>
      </w:pPr>
    </w:p>
    <w:p w14:paraId="28A10D8A" w14:textId="028D1DC8" w:rsidR="009B2008" w:rsidRPr="002B29A1" w:rsidRDefault="00207C8D" w:rsidP="00974279">
      <w:pPr>
        <w:pStyle w:val="Prrafodelista"/>
        <w:numPr>
          <w:ilvl w:val="0"/>
          <w:numId w:val="13"/>
        </w:num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En su caso, en versión pública, l</w:t>
      </w:r>
      <w:r w:rsidR="00380C06" w:rsidRPr="002B29A1">
        <w:rPr>
          <w:rFonts w:ascii="Palatino Linotype" w:eastAsia="Palatino Linotype" w:hAnsi="Palatino Linotype" w:cs="Palatino Linotype"/>
          <w:kern w:val="0"/>
          <w:lang w:eastAsia="es-ES"/>
          <w14:ligatures w14:val="none"/>
        </w:rPr>
        <w:t xml:space="preserve">as </w:t>
      </w:r>
      <w:r w:rsidR="00FE356E" w:rsidRPr="002B29A1">
        <w:rPr>
          <w:rFonts w:ascii="Palatino Linotype" w:eastAsia="Palatino Linotype" w:hAnsi="Palatino Linotype" w:cs="Palatino Linotype"/>
          <w:kern w:val="0"/>
          <w:lang w:eastAsia="es-ES"/>
          <w14:ligatures w14:val="none"/>
        </w:rPr>
        <w:t xml:space="preserve">Actas de las Sesiones de Cabildo </w:t>
      </w:r>
      <w:r w:rsidRPr="002B29A1">
        <w:rPr>
          <w:rFonts w:ascii="Palatino Linotype" w:eastAsia="Palatino Linotype" w:hAnsi="Palatino Linotype" w:cs="Palatino Linotype"/>
          <w:kern w:val="0"/>
          <w:lang w:eastAsia="es-ES"/>
          <w14:ligatures w14:val="none"/>
        </w:rPr>
        <w:t>celebradas del primero de enero de dos mil diecinueve al treinta y uno de diciembre de dos mil veintiuno, faltantes.</w:t>
      </w:r>
    </w:p>
    <w:p w14:paraId="29312236" w14:textId="77777777" w:rsidR="00207C8D" w:rsidRPr="002B29A1" w:rsidRDefault="00207C8D" w:rsidP="00207C8D">
      <w:pPr>
        <w:pStyle w:val="Prrafodelista"/>
        <w:rPr>
          <w:rFonts w:ascii="Palatino Linotype" w:eastAsia="Palatino Linotype" w:hAnsi="Palatino Linotype" w:cs="Palatino Linotype"/>
          <w:kern w:val="0"/>
          <w:lang w:eastAsia="es-ES"/>
          <w14:ligatures w14:val="none"/>
        </w:rPr>
      </w:pPr>
    </w:p>
    <w:p w14:paraId="10E3F0A9" w14:textId="588BA44A" w:rsidR="00207C8D" w:rsidRPr="002B29A1" w:rsidRDefault="00207C8D" w:rsidP="00207C8D">
      <w:pPr>
        <w:pStyle w:val="Prrafodelista"/>
        <w:numPr>
          <w:ilvl w:val="0"/>
          <w:numId w:val="13"/>
        </w:num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En versión pública, las Actas de la Trigésima Tercera a la Trigésima Novena Sesión Ordinaria, así como, de la Décimo Segunda Extraordinaria y Novena de Cabildo Abierto, proporcionadas en respuesta.</w:t>
      </w:r>
    </w:p>
    <w:p w14:paraId="13944123" w14:textId="77777777" w:rsidR="00207C8D" w:rsidRPr="002B29A1" w:rsidRDefault="00207C8D" w:rsidP="00207C8D">
      <w:pPr>
        <w:pStyle w:val="Prrafodelista"/>
        <w:rPr>
          <w:rFonts w:ascii="Palatino Linotype" w:eastAsia="Palatino Linotype" w:hAnsi="Palatino Linotype" w:cs="Palatino Linotype"/>
          <w:kern w:val="0"/>
          <w:lang w:eastAsia="es-ES"/>
          <w14:ligatures w14:val="none"/>
        </w:rPr>
      </w:pPr>
    </w:p>
    <w:p w14:paraId="5E7E69A4" w14:textId="4E526083" w:rsidR="009B2008" w:rsidRPr="002B29A1" w:rsidRDefault="009B2008" w:rsidP="00207C8D">
      <w:pPr>
        <w:rPr>
          <w:rFonts w:ascii="Palatino Linotype" w:eastAsia="Palatino Linotype" w:hAnsi="Palatino Linotype" w:cs="Palatino Linotype"/>
          <w:kern w:val="0"/>
          <w:lang w:eastAsia="es-ES"/>
          <w14:ligatures w14:val="none"/>
        </w:rPr>
      </w:pPr>
      <w:r w:rsidRPr="002B29A1">
        <w:rPr>
          <w:rFonts w:ascii="Palatino Linotype" w:eastAsia="Palatino Linotype" w:hAnsi="Palatino Linotype" w:cs="Palatino Linotype"/>
          <w:kern w:val="0"/>
          <w:lang w:eastAsia="es-ES"/>
          <w14:ligatures w14:val="none"/>
        </w:rPr>
        <w:t xml:space="preserve">Además, deberá proporcionar el Acuerdo de Clasificación donde el Comité de Transparencia, confirme la eliminación de los datos o información, en la versión pública, </w:t>
      </w:r>
      <w:r w:rsidR="00207C8D" w:rsidRPr="002B29A1">
        <w:rPr>
          <w:rFonts w:ascii="Palatino Linotype" w:eastAsia="Palatino Linotype" w:hAnsi="Palatino Linotype" w:cs="Palatino Linotype"/>
          <w:kern w:val="0"/>
          <w:lang w:eastAsia="es-ES"/>
          <w14:ligatures w14:val="none"/>
        </w:rPr>
        <w:t>en términos del Considerando QUINTO, de conformidad con los artículos 49, fracciones II y VIII y 132, fracción II de la Ley de Transparencia y Acceso a la Información Pública del Estado de México y Municipios.</w:t>
      </w:r>
    </w:p>
    <w:p w14:paraId="3962C97E" w14:textId="77777777" w:rsidR="00207C8D" w:rsidRPr="002B29A1" w:rsidRDefault="00207C8D" w:rsidP="00207C8D">
      <w:pPr>
        <w:rPr>
          <w:rFonts w:ascii="Palatino Linotype" w:eastAsia="Palatino Linotype" w:hAnsi="Palatino Linotype" w:cs="Palatino Linotype"/>
          <w:b/>
          <w:color w:val="FF0000"/>
          <w:kern w:val="0"/>
          <w:lang w:eastAsia="es-ES"/>
          <w14:ligatures w14:val="none"/>
        </w:rPr>
      </w:pPr>
    </w:p>
    <w:p w14:paraId="65F73F70" w14:textId="77777777" w:rsidR="00380C06" w:rsidRPr="002B29A1" w:rsidRDefault="00380C06" w:rsidP="00974279">
      <w:pPr>
        <w:ind w:right="-28"/>
        <w:rPr>
          <w:rFonts w:ascii="Palatino Linotype" w:eastAsia="Palatino Linotype" w:hAnsi="Palatino Linotype" w:cs="Palatino Linotype"/>
          <w:b/>
          <w:color w:val="000000"/>
          <w:kern w:val="0"/>
          <w:lang w:eastAsia="es-MX"/>
          <w14:ligatures w14:val="none"/>
        </w:rPr>
      </w:pPr>
      <w:r w:rsidRPr="002B29A1">
        <w:rPr>
          <w:rFonts w:ascii="Palatino Linotype" w:eastAsia="Palatino Linotype" w:hAnsi="Palatino Linotype" w:cs="Palatino Linotype"/>
          <w:b/>
          <w:color w:val="000000"/>
          <w:kern w:val="0"/>
          <w:lang w:eastAsia="es-MX"/>
          <w14:ligatures w14:val="none"/>
        </w:rPr>
        <w:t xml:space="preserve">TERCERO. NOTIFÍQUESE POR SAIMEX </w:t>
      </w:r>
      <w:r w:rsidRPr="002B29A1">
        <w:rPr>
          <w:rFonts w:ascii="Palatino Linotype" w:eastAsia="Palatino Linotype" w:hAnsi="Palatino Linotype" w:cs="Palatino Linotype"/>
          <w:color w:val="000000"/>
          <w:kern w:val="0"/>
          <w:lang w:eastAsia="es-MX"/>
          <w14:ligatures w14:val="non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2B29A1">
        <w:rPr>
          <w:rFonts w:ascii="Palatino Linotype" w:eastAsia="Palatino Linotype" w:hAnsi="Palatino Linotype" w:cs="Palatino Linotype"/>
          <w:color w:val="000000"/>
          <w:kern w:val="0"/>
          <w:lang w:eastAsia="es-MX"/>
          <w14:ligatures w14:val="none"/>
        </w:rPr>
        <w:lastRenderedPageBreak/>
        <w:t>conformidad con lo previsto en los artículos 198, 200, fracción III, 214, 215 y 216 de la Ley referida.</w:t>
      </w:r>
    </w:p>
    <w:p w14:paraId="594986CD" w14:textId="77777777" w:rsidR="00380C06" w:rsidRPr="002B29A1" w:rsidRDefault="00380C06" w:rsidP="00974279">
      <w:pPr>
        <w:ind w:right="-28"/>
        <w:rPr>
          <w:rFonts w:ascii="Palatino Linotype" w:eastAsia="Palatino Linotype" w:hAnsi="Palatino Linotype" w:cs="Palatino Linotype"/>
          <w:color w:val="000000"/>
          <w:kern w:val="0"/>
          <w:lang w:eastAsia="es-MX"/>
          <w14:ligatures w14:val="none"/>
        </w:rPr>
      </w:pPr>
    </w:p>
    <w:p w14:paraId="74C53B83" w14:textId="77777777" w:rsidR="00380C06" w:rsidRPr="002B29A1" w:rsidRDefault="00380C06"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t>De conformidad con el artículo 198 de la Ley de la materia, de considerarlo procedente, el Sujeto Obligado de manera fundada y motivada, podrá solicitar una ampliación de plazo para el cumplimiento de la presente resolución.</w:t>
      </w:r>
    </w:p>
    <w:p w14:paraId="4D891703" w14:textId="77777777" w:rsidR="00380C06" w:rsidRPr="002B29A1" w:rsidRDefault="00380C06" w:rsidP="00974279">
      <w:pPr>
        <w:rPr>
          <w:rFonts w:ascii="Palatino Linotype" w:eastAsia="Palatino Linotype" w:hAnsi="Palatino Linotype" w:cs="Palatino Linotype"/>
          <w:color w:val="000000"/>
          <w:kern w:val="0"/>
          <w:lang w:eastAsia="es-MX"/>
          <w14:ligatures w14:val="none"/>
        </w:rPr>
      </w:pPr>
    </w:p>
    <w:p w14:paraId="1F44A2D6" w14:textId="77777777" w:rsidR="00380C06" w:rsidRPr="002B29A1" w:rsidRDefault="00380C06"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b/>
          <w:color w:val="000000"/>
          <w:kern w:val="0"/>
          <w:lang w:eastAsia="es-MX"/>
          <w14:ligatures w14:val="none"/>
        </w:rPr>
        <w:t>CUARTO. NOTIFÍQUESE POR SAIMEX</w:t>
      </w:r>
      <w:r w:rsidRPr="002B29A1">
        <w:rPr>
          <w:rFonts w:ascii="Palatino Linotype" w:eastAsia="Palatino Linotype" w:hAnsi="Palatino Linotype" w:cs="Palatino Linotype"/>
          <w:color w:val="000000"/>
          <w:kern w:val="0"/>
          <w:lang w:eastAsia="es-MX"/>
          <w14:ligatures w14:val="none"/>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44AA725" w14:textId="33C8BF15" w:rsidR="009E002E" w:rsidRPr="002B29A1" w:rsidRDefault="009E002E" w:rsidP="00974279">
      <w:pPr>
        <w:ind w:right="-93"/>
        <w:rPr>
          <w:rFonts w:ascii="Palatino Linotype" w:eastAsia="Palatino Linotype" w:hAnsi="Palatino Linotype" w:cs="Palatino Linotype"/>
          <w:color w:val="0D0D0D"/>
          <w:kern w:val="0"/>
          <w:lang w:eastAsia="es-MX"/>
          <w14:ligatures w14:val="none"/>
        </w:rPr>
      </w:pPr>
    </w:p>
    <w:p w14:paraId="31C465B7" w14:textId="556ABAB5" w:rsidR="009E002E" w:rsidRPr="002B29A1" w:rsidRDefault="009E002E"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t xml:space="preserve">ASÍ LO RESUELVE, POR </w:t>
      </w:r>
      <w:r w:rsidRPr="002B29A1">
        <w:rPr>
          <w:rFonts w:ascii="Palatino Linotype" w:eastAsia="Palatino Linotype" w:hAnsi="Palatino Linotype" w:cs="Palatino Linotype"/>
          <w:b/>
          <w:color w:val="000000"/>
          <w:kern w:val="0"/>
          <w:lang w:eastAsia="es-MX"/>
          <w14:ligatures w14:val="none"/>
        </w:rPr>
        <w:t>UNANIMIDAD</w:t>
      </w:r>
      <w:r w:rsidRPr="002B29A1">
        <w:rPr>
          <w:rFonts w:ascii="Palatino Linotype" w:eastAsia="Palatino Linotype" w:hAnsi="Palatino Linotype" w:cs="Palatino Linotype"/>
          <w:color w:val="000000"/>
          <w:kern w:val="0"/>
          <w:lang w:eastAsia="es-MX"/>
          <w14:ligatures w14:val="none"/>
        </w:rPr>
        <w:t xml:space="preserve"> DE VOTOS EL PLENO DEL INSTITUTO DE TRANSPARENCIA, ACCESO A LA INFORMACIÓN PÚBLICA Y PROTECCIÓN DE DATOS PERSONALES DEL ESTADO DE MÉXICO Y MUNICIPIOS, CONFORMADO POR</w:t>
      </w:r>
    </w:p>
    <w:p w14:paraId="42BD0C94" w14:textId="6D6A54D7" w:rsidR="009B2008" w:rsidRPr="00974279" w:rsidRDefault="009E002E" w:rsidP="00974279">
      <w:pPr>
        <w:rPr>
          <w:rFonts w:ascii="Palatino Linotype" w:eastAsia="Palatino Linotype" w:hAnsi="Palatino Linotype" w:cs="Palatino Linotype"/>
          <w:color w:val="000000"/>
          <w:kern w:val="0"/>
          <w:lang w:eastAsia="es-MX"/>
          <w14:ligatures w14:val="none"/>
        </w:rPr>
      </w:pPr>
      <w:r w:rsidRPr="002B29A1">
        <w:rPr>
          <w:rFonts w:ascii="Palatino Linotype" w:eastAsia="Palatino Linotype" w:hAnsi="Palatino Linotype" w:cs="Palatino Linotype"/>
          <w:color w:val="000000"/>
          <w:kern w:val="0"/>
          <w:lang w:eastAsia="es-MX"/>
          <w14:ligatures w14:val="none"/>
        </w:rPr>
        <w:t>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69986567"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1676FFE1"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6E431DF2"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1FE0CA7F"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0DC52E1A" w14:textId="77777777" w:rsidR="009B2008" w:rsidRDefault="009B2008" w:rsidP="00974279">
      <w:pPr>
        <w:rPr>
          <w:rFonts w:ascii="Palatino Linotype" w:eastAsia="Palatino Linotype" w:hAnsi="Palatino Linotype" w:cs="Palatino Linotype"/>
          <w:color w:val="FF0000"/>
          <w:kern w:val="0"/>
          <w:sz w:val="20"/>
          <w:szCs w:val="20"/>
          <w:lang w:eastAsia="es-ES"/>
          <w14:ligatures w14:val="none"/>
        </w:rPr>
      </w:pPr>
    </w:p>
    <w:p w14:paraId="1FE652C3" w14:textId="77777777" w:rsidR="00207C8D" w:rsidRDefault="00207C8D" w:rsidP="00974279">
      <w:pPr>
        <w:rPr>
          <w:rFonts w:ascii="Palatino Linotype" w:eastAsia="Palatino Linotype" w:hAnsi="Palatino Linotype" w:cs="Palatino Linotype"/>
          <w:color w:val="FF0000"/>
          <w:kern w:val="0"/>
          <w:sz w:val="20"/>
          <w:szCs w:val="20"/>
          <w:lang w:eastAsia="es-ES"/>
          <w14:ligatures w14:val="none"/>
        </w:rPr>
      </w:pPr>
    </w:p>
    <w:p w14:paraId="77010FFE" w14:textId="77777777" w:rsidR="00207C8D" w:rsidRDefault="00207C8D" w:rsidP="00974279">
      <w:pPr>
        <w:rPr>
          <w:rFonts w:ascii="Palatino Linotype" w:eastAsia="Palatino Linotype" w:hAnsi="Palatino Linotype" w:cs="Palatino Linotype"/>
          <w:color w:val="FF0000"/>
          <w:kern w:val="0"/>
          <w:sz w:val="20"/>
          <w:szCs w:val="20"/>
          <w:lang w:eastAsia="es-ES"/>
          <w14:ligatures w14:val="none"/>
        </w:rPr>
      </w:pPr>
    </w:p>
    <w:p w14:paraId="768F981F" w14:textId="77777777" w:rsidR="00207C8D" w:rsidRDefault="00207C8D" w:rsidP="00974279">
      <w:pPr>
        <w:rPr>
          <w:rFonts w:ascii="Palatino Linotype" w:eastAsia="Palatino Linotype" w:hAnsi="Palatino Linotype" w:cs="Palatino Linotype"/>
          <w:color w:val="FF0000"/>
          <w:kern w:val="0"/>
          <w:sz w:val="20"/>
          <w:szCs w:val="20"/>
          <w:lang w:eastAsia="es-ES"/>
          <w14:ligatures w14:val="none"/>
        </w:rPr>
      </w:pPr>
    </w:p>
    <w:p w14:paraId="0EC2C996" w14:textId="77777777" w:rsidR="00207C8D" w:rsidRDefault="00207C8D" w:rsidP="00974279">
      <w:pPr>
        <w:rPr>
          <w:rFonts w:ascii="Palatino Linotype" w:eastAsia="Palatino Linotype" w:hAnsi="Palatino Linotype" w:cs="Palatino Linotype"/>
          <w:color w:val="FF0000"/>
          <w:kern w:val="0"/>
          <w:sz w:val="20"/>
          <w:szCs w:val="20"/>
          <w:lang w:eastAsia="es-ES"/>
          <w14:ligatures w14:val="none"/>
        </w:rPr>
      </w:pPr>
    </w:p>
    <w:p w14:paraId="0E85C88B" w14:textId="77777777" w:rsidR="00207C8D" w:rsidRDefault="00207C8D" w:rsidP="00974279">
      <w:pPr>
        <w:rPr>
          <w:rFonts w:ascii="Palatino Linotype" w:eastAsia="Palatino Linotype" w:hAnsi="Palatino Linotype" w:cs="Palatino Linotype"/>
          <w:color w:val="FF0000"/>
          <w:kern w:val="0"/>
          <w:sz w:val="20"/>
          <w:szCs w:val="20"/>
          <w:lang w:eastAsia="es-ES"/>
          <w14:ligatures w14:val="none"/>
        </w:rPr>
      </w:pPr>
    </w:p>
    <w:p w14:paraId="5272C845" w14:textId="77777777" w:rsidR="00207C8D" w:rsidRPr="00974279" w:rsidRDefault="00207C8D" w:rsidP="00974279">
      <w:pPr>
        <w:rPr>
          <w:rFonts w:ascii="Palatino Linotype" w:eastAsia="Palatino Linotype" w:hAnsi="Palatino Linotype" w:cs="Palatino Linotype"/>
          <w:color w:val="FF0000"/>
          <w:kern w:val="0"/>
          <w:sz w:val="20"/>
          <w:szCs w:val="20"/>
          <w:lang w:eastAsia="es-ES"/>
          <w14:ligatures w14:val="none"/>
        </w:rPr>
      </w:pPr>
    </w:p>
    <w:p w14:paraId="60864541"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1A1BB618" w14:textId="77777777" w:rsidR="009B2008" w:rsidRPr="00974279" w:rsidRDefault="009B2008" w:rsidP="00974279">
      <w:pPr>
        <w:rPr>
          <w:rFonts w:ascii="Palatino Linotype" w:eastAsia="Palatino Linotype" w:hAnsi="Palatino Linotype" w:cs="Palatino Linotype"/>
          <w:color w:val="FF0000"/>
          <w:kern w:val="0"/>
          <w:sz w:val="20"/>
          <w:szCs w:val="20"/>
          <w:lang w:eastAsia="es-ES"/>
          <w14:ligatures w14:val="none"/>
        </w:rPr>
      </w:pPr>
    </w:p>
    <w:p w14:paraId="63F67E29" w14:textId="77777777" w:rsidR="008302C9" w:rsidRPr="00974279" w:rsidRDefault="008302C9" w:rsidP="00974279">
      <w:pPr>
        <w:rPr>
          <w:rFonts w:ascii="Palatino Linotype" w:hAnsi="Palatino Linotype"/>
          <w:color w:val="FF0000"/>
        </w:rPr>
      </w:pPr>
    </w:p>
    <w:sectPr w:rsidR="008302C9" w:rsidRPr="00974279" w:rsidSect="009B200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45FE1" w14:textId="77777777" w:rsidR="002E0A2B" w:rsidRDefault="002E0A2B" w:rsidP="009B2008">
      <w:pPr>
        <w:spacing w:line="240" w:lineRule="auto"/>
      </w:pPr>
      <w:r>
        <w:separator/>
      </w:r>
    </w:p>
  </w:endnote>
  <w:endnote w:type="continuationSeparator" w:id="0">
    <w:p w14:paraId="07648099" w14:textId="77777777" w:rsidR="002E0A2B" w:rsidRDefault="002E0A2B" w:rsidP="009B2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40BE" w14:textId="77777777" w:rsidR="00417A41" w:rsidRDefault="00417A4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90FB6">
      <w:rPr>
        <w:rFonts w:ascii="Palatino Linotype" w:eastAsia="Palatino Linotype" w:hAnsi="Palatino Linotype" w:cs="Palatino Linotype"/>
        <w:b/>
        <w:noProof/>
        <w:color w:val="000000"/>
      </w:rPr>
      <w:t>50</w:t>
    </w:r>
    <w:r>
      <w:rPr>
        <w:rFonts w:ascii="Palatino Linotype" w:eastAsia="Palatino Linotype" w:hAnsi="Palatino Linotype" w:cs="Palatino Linotype"/>
        <w:b/>
        <w:color w:val="000000"/>
      </w:rPr>
      <w:fldChar w:fldCharType="end"/>
    </w:r>
  </w:p>
  <w:p w14:paraId="37E67365" w14:textId="77777777" w:rsidR="00417A41" w:rsidRDefault="00417A4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4B50" w14:textId="77777777" w:rsidR="00417A41" w:rsidRDefault="00417A41">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90FB6">
      <w:rPr>
        <w:rFonts w:ascii="Palatino Linotype" w:eastAsia="Palatino Linotype" w:hAnsi="Palatino Linotype" w:cs="Palatino Linotype"/>
        <w:b/>
        <w:noProof/>
        <w:color w:val="000000"/>
      </w:rPr>
      <w:t>49</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90FB6">
      <w:rPr>
        <w:rFonts w:ascii="Palatino Linotype" w:eastAsia="Palatino Linotype" w:hAnsi="Palatino Linotype" w:cs="Palatino Linotype"/>
        <w:b/>
        <w:noProof/>
        <w:color w:val="000000"/>
      </w:rPr>
      <w:t>50</w:t>
    </w:r>
    <w:r>
      <w:rPr>
        <w:rFonts w:ascii="Palatino Linotype" w:eastAsia="Palatino Linotype" w:hAnsi="Palatino Linotype" w:cs="Palatino Linotype"/>
        <w:b/>
        <w:color w:val="000000"/>
      </w:rPr>
      <w:fldChar w:fldCharType="end"/>
    </w:r>
  </w:p>
  <w:p w14:paraId="0F5E2CC2" w14:textId="77777777" w:rsidR="00417A41" w:rsidRDefault="00417A41">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DCEF" w14:textId="77777777" w:rsidR="00417A41" w:rsidRDefault="00417A4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90FB6">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390FB6">
      <w:rPr>
        <w:rFonts w:ascii="Palatino Linotype" w:eastAsia="Palatino Linotype" w:hAnsi="Palatino Linotype" w:cs="Palatino Linotype"/>
        <w:b/>
        <w:noProof/>
        <w:color w:val="000000"/>
      </w:rPr>
      <w:t>50</w:t>
    </w:r>
    <w:r>
      <w:rPr>
        <w:rFonts w:ascii="Palatino Linotype" w:eastAsia="Palatino Linotype" w:hAnsi="Palatino Linotype" w:cs="Palatino Linotype"/>
        <w:b/>
        <w:color w:val="000000"/>
      </w:rPr>
      <w:fldChar w:fldCharType="end"/>
    </w:r>
  </w:p>
  <w:p w14:paraId="5614674F" w14:textId="77777777" w:rsidR="00417A41" w:rsidRDefault="00417A4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5AF21" w14:textId="77777777" w:rsidR="002E0A2B" w:rsidRDefault="002E0A2B" w:rsidP="009B2008">
      <w:pPr>
        <w:spacing w:line="240" w:lineRule="auto"/>
      </w:pPr>
      <w:r>
        <w:separator/>
      </w:r>
    </w:p>
  </w:footnote>
  <w:footnote w:type="continuationSeparator" w:id="0">
    <w:p w14:paraId="5D0E7638" w14:textId="77777777" w:rsidR="002E0A2B" w:rsidRDefault="002E0A2B" w:rsidP="009B20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71A8" w14:textId="77777777" w:rsidR="00417A41" w:rsidRDefault="00417A41">
    <w:pPr>
      <w:widowControl w:val="0"/>
      <w:pBdr>
        <w:top w:val="nil"/>
        <w:left w:val="nil"/>
        <w:bottom w:val="nil"/>
        <w:right w:val="nil"/>
        <w:between w:val="nil"/>
      </w:pBdr>
      <w:spacing w:line="276" w:lineRule="auto"/>
      <w:rPr>
        <w:color w:val="000000"/>
      </w:rPr>
    </w:pPr>
  </w:p>
  <w:tbl>
    <w:tblPr>
      <w:tblW w:w="9705" w:type="dxa"/>
      <w:tblLayout w:type="fixed"/>
      <w:tblLook w:val="0400" w:firstRow="0" w:lastRow="0" w:firstColumn="0" w:lastColumn="0" w:noHBand="0" w:noVBand="1"/>
    </w:tblPr>
    <w:tblGrid>
      <w:gridCol w:w="2972"/>
      <w:gridCol w:w="6733"/>
    </w:tblGrid>
    <w:tr w:rsidR="00417A41" w14:paraId="2C277239" w14:textId="77777777">
      <w:trPr>
        <w:trHeight w:val="1435"/>
      </w:trPr>
      <w:tc>
        <w:tcPr>
          <w:tcW w:w="2972" w:type="dxa"/>
        </w:tcPr>
        <w:p w14:paraId="13C8FA19" w14:textId="77777777" w:rsidR="00417A41" w:rsidRDefault="00417A41">
          <w:pPr>
            <w:tabs>
              <w:tab w:val="right" w:pos="4273"/>
            </w:tabs>
            <w:spacing w:line="256" w:lineRule="auto"/>
            <w:rPr>
              <w:rFonts w:ascii="Garamond" w:eastAsia="Garamond" w:hAnsi="Garamond" w:cs="Garamond"/>
            </w:rPr>
          </w:pPr>
        </w:p>
      </w:tc>
      <w:tc>
        <w:tcPr>
          <w:tcW w:w="6733" w:type="dxa"/>
        </w:tcPr>
        <w:p w14:paraId="202F502D" w14:textId="77777777" w:rsidR="00417A41" w:rsidRDefault="00417A41">
          <w:pPr>
            <w:widowControl w:val="0"/>
            <w:pBdr>
              <w:top w:val="nil"/>
              <w:left w:val="nil"/>
              <w:bottom w:val="nil"/>
              <w:right w:val="nil"/>
              <w:between w:val="nil"/>
            </w:pBdr>
            <w:spacing w:line="276" w:lineRule="auto"/>
            <w:rPr>
              <w:rFonts w:ascii="Garamond" w:eastAsia="Garamond" w:hAnsi="Garamond" w:cs="Garamond"/>
            </w:rPr>
          </w:pPr>
        </w:p>
        <w:tbl>
          <w:tblPr>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417A41" w14:paraId="19BAD9D3" w14:textId="77777777">
            <w:trPr>
              <w:trHeight w:val="144"/>
            </w:trPr>
            <w:tc>
              <w:tcPr>
                <w:tcW w:w="2447" w:type="dxa"/>
              </w:tcPr>
              <w:p w14:paraId="52237F93" w14:textId="77777777" w:rsidR="00417A41" w:rsidRDefault="00417A41">
                <w:pPr>
                  <w:tabs>
                    <w:tab w:val="right" w:pos="8838"/>
                  </w:tabs>
                  <w:ind w:left="-69"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088" w:type="dxa"/>
              </w:tcPr>
              <w:p w14:paraId="36E21134" w14:textId="77777777" w:rsidR="00417A41" w:rsidRDefault="00417A41">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02946/INFOEM/IP/RR/2021</w:t>
                </w:r>
              </w:p>
            </w:tc>
          </w:tr>
          <w:tr w:rsidR="00417A41" w14:paraId="50004227" w14:textId="77777777">
            <w:trPr>
              <w:trHeight w:val="283"/>
            </w:trPr>
            <w:tc>
              <w:tcPr>
                <w:tcW w:w="2447" w:type="dxa"/>
              </w:tcPr>
              <w:p w14:paraId="304336A4" w14:textId="77777777" w:rsidR="00417A41" w:rsidRDefault="00417A4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088" w:type="dxa"/>
              </w:tcPr>
              <w:p w14:paraId="1D93F3E4" w14:textId="77777777" w:rsidR="00417A41" w:rsidRDefault="00417A41">
                <w:pPr>
                  <w:tabs>
                    <w:tab w:val="left" w:pos="2834"/>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rPr>
                  <w:t>Ayuntamiento de San Antonio la Isla</w:t>
                </w:r>
              </w:p>
            </w:tc>
          </w:tr>
          <w:tr w:rsidR="00417A41" w14:paraId="18190A85" w14:textId="77777777">
            <w:trPr>
              <w:trHeight w:val="283"/>
            </w:trPr>
            <w:tc>
              <w:tcPr>
                <w:tcW w:w="2447" w:type="dxa"/>
              </w:tcPr>
              <w:p w14:paraId="34F6A138" w14:textId="77777777" w:rsidR="00417A41" w:rsidRDefault="00417A4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088" w:type="dxa"/>
              </w:tcPr>
              <w:p w14:paraId="7493AD05" w14:textId="77777777" w:rsidR="00417A41" w:rsidRDefault="00417A41">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p w14:paraId="60618430" w14:textId="77777777" w:rsidR="00417A41" w:rsidRDefault="00417A41">
                <w:pPr>
                  <w:tabs>
                    <w:tab w:val="right" w:pos="8838"/>
                  </w:tabs>
                  <w:ind w:left="-74" w:right="-105"/>
                  <w:rPr>
                    <w:rFonts w:ascii="Palatino Linotype" w:eastAsia="Palatino Linotype" w:hAnsi="Palatino Linotype" w:cs="Palatino Linotype"/>
                    <w:b/>
                  </w:rPr>
                </w:pPr>
              </w:p>
            </w:tc>
          </w:tr>
        </w:tbl>
        <w:p w14:paraId="13B54512" w14:textId="77777777" w:rsidR="00417A41" w:rsidRDefault="00417A41">
          <w:pPr>
            <w:tabs>
              <w:tab w:val="right" w:pos="8838"/>
            </w:tabs>
            <w:spacing w:line="256" w:lineRule="auto"/>
            <w:ind w:left="-28"/>
            <w:rPr>
              <w:rFonts w:ascii="Arial" w:eastAsia="Arial" w:hAnsi="Arial" w:cs="Arial"/>
              <w:b/>
            </w:rPr>
          </w:pPr>
        </w:p>
      </w:tc>
    </w:tr>
  </w:tbl>
  <w:p w14:paraId="0055AE68" w14:textId="77777777" w:rsidR="00417A41" w:rsidRDefault="00417A41">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lang w:eastAsia="es-MX"/>
      </w:rPr>
      <w:drawing>
        <wp:anchor distT="0" distB="0" distL="0" distR="0" simplePos="0" relativeHeight="251657728" behindDoc="1" locked="0" layoutInCell="1" hidden="0" allowOverlap="1" wp14:anchorId="1C3AEF74" wp14:editId="1C00FCC6">
          <wp:simplePos x="0" y="0"/>
          <wp:positionH relativeFrom="margin">
            <wp:posOffset>-1381124</wp:posOffset>
          </wp:positionH>
          <wp:positionV relativeFrom="margin">
            <wp:posOffset>-1611629</wp:posOffset>
          </wp:positionV>
          <wp:extent cx="5612130" cy="7308215"/>
          <wp:effectExtent l="0" t="0" r="0" b="0"/>
          <wp:wrapNone/>
          <wp:docPr id="18874022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00" w:firstRow="0" w:lastRow="0" w:firstColumn="0" w:lastColumn="0" w:noHBand="0" w:noVBand="1"/>
    </w:tblPr>
    <w:tblGrid>
      <w:gridCol w:w="1985"/>
      <w:gridCol w:w="7371"/>
    </w:tblGrid>
    <w:tr w:rsidR="00417A41" w14:paraId="5C86E0A7" w14:textId="77777777" w:rsidTr="00847766">
      <w:trPr>
        <w:trHeight w:val="993"/>
      </w:trPr>
      <w:tc>
        <w:tcPr>
          <w:tcW w:w="1985" w:type="dxa"/>
        </w:tcPr>
        <w:p w14:paraId="27B94BBC" w14:textId="7E1B2FC0" w:rsidR="00417A41" w:rsidRDefault="00417A41">
          <w:pPr>
            <w:tabs>
              <w:tab w:val="right" w:pos="4273"/>
            </w:tabs>
            <w:spacing w:line="256" w:lineRule="auto"/>
            <w:rPr>
              <w:rFonts w:ascii="Garamond" w:eastAsia="Garamond" w:hAnsi="Garamond" w:cs="Garamond"/>
            </w:rPr>
          </w:pPr>
          <w:r>
            <w:rPr>
              <w:rFonts w:ascii="Garamond" w:eastAsia="Garamond" w:hAnsi="Garamond" w:cs="Garamond"/>
              <w:noProof/>
              <w:color w:val="000000"/>
              <w:lang w:eastAsia="es-MX"/>
            </w:rPr>
            <w:drawing>
              <wp:anchor distT="0" distB="0" distL="0" distR="0" simplePos="0" relativeHeight="251656704" behindDoc="1" locked="0" layoutInCell="1" hidden="0" allowOverlap="1" wp14:anchorId="6CEE0447" wp14:editId="3684957D">
                <wp:simplePos x="0" y="0"/>
                <wp:positionH relativeFrom="margin">
                  <wp:posOffset>-941705</wp:posOffset>
                </wp:positionH>
                <wp:positionV relativeFrom="margin">
                  <wp:posOffset>-643890</wp:posOffset>
                </wp:positionV>
                <wp:extent cx="7835900" cy="10203815"/>
                <wp:effectExtent l="0" t="0" r="0" b="0"/>
                <wp:wrapNone/>
                <wp:docPr id="18874022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7371" w:type="dxa"/>
        </w:tcPr>
        <w:tbl>
          <w:tblPr>
            <w:tblW w:w="6938" w:type="dxa"/>
            <w:tblInd w:w="1168" w:type="dxa"/>
            <w:tblBorders>
              <w:top w:val="nil"/>
              <w:left w:val="nil"/>
              <w:bottom w:val="nil"/>
              <w:right w:val="nil"/>
              <w:insideH w:val="nil"/>
              <w:insideV w:val="nil"/>
            </w:tblBorders>
            <w:tblLayout w:type="fixed"/>
            <w:tblLook w:val="0400" w:firstRow="0" w:lastRow="0" w:firstColumn="0" w:lastColumn="0" w:noHBand="0" w:noVBand="1"/>
          </w:tblPr>
          <w:tblGrid>
            <w:gridCol w:w="2585"/>
            <w:gridCol w:w="3544"/>
            <w:gridCol w:w="809"/>
          </w:tblGrid>
          <w:tr w:rsidR="00417A41" w14:paraId="4C99C426" w14:textId="77777777" w:rsidTr="005B2A09">
            <w:trPr>
              <w:trHeight w:val="194"/>
            </w:trPr>
            <w:tc>
              <w:tcPr>
                <w:tcW w:w="2585" w:type="dxa"/>
              </w:tcPr>
              <w:p w14:paraId="011728A2" w14:textId="77777777" w:rsidR="00417A41" w:rsidRDefault="00417A41"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3544" w:type="dxa"/>
              </w:tcPr>
              <w:p w14:paraId="707E8279" w14:textId="34352B80" w:rsidR="00417A41" w:rsidRDefault="00417A41" w:rsidP="009A3D62">
                <w:pPr>
                  <w:tabs>
                    <w:tab w:val="right" w:pos="8838"/>
                  </w:tabs>
                  <w:spacing w:line="276" w:lineRule="auto"/>
                  <w:ind w:left="-114" w:right="454"/>
                  <w:rPr>
                    <w:rFonts w:ascii="Palatino Linotype" w:eastAsia="Palatino Linotype" w:hAnsi="Palatino Linotype" w:cs="Palatino Linotype"/>
                  </w:rPr>
                </w:pPr>
                <w:r>
                  <w:rPr>
                    <w:rFonts w:ascii="Palatino Linotype" w:eastAsia="Palatino Linotype" w:hAnsi="Palatino Linotype" w:cs="Palatino Linotype"/>
                  </w:rPr>
                  <w:t xml:space="preserve">02201/INFOEM/IP/RR/2025 </w:t>
                </w:r>
              </w:p>
            </w:tc>
            <w:tc>
              <w:tcPr>
                <w:tcW w:w="809" w:type="dxa"/>
              </w:tcPr>
              <w:p w14:paraId="406061EE" w14:textId="77777777" w:rsidR="00417A41" w:rsidRDefault="00417A41" w:rsidP="001848A2">
                <w:pPr>
                  <w:tabs>
                    <w:tab w:val="right" w:pos="8838"/>
                  </w:tabs>
                  <w:spacing w:line="276" w:lineRule="auto"/>
                  <w:ind w:left="-114" w:right="-105"/>
                  <w:rPr>
                    <w:rFonts w:ascii="Palatino Linotype" w:eastAsia="Palatino Linotype" w:hAnsi="Palatino Linotype" w:cs="Palatino Linotype"/>
                  </w:rPr>
                </w:pPr>
              </w:p>
            </w:tc>
          </w:tr>
          <w:tr w:rsidR="00417A41" w14:paraId="0AA11196" w14:textId="77777777" w:rsidTr="005B2A09">
            <w:trPr>
              <w:trHeight w:val="87"/>
            </w:trPr>
            <w:tc>
              <w:tcPr>
                <w:tcW w:w="2585" w:type="dxa"/>
              </w:tcPr>
              <w:p w14:paraId="4206B3BB" w14:textId="77777777" w:rsidR="00417A41" w:rsidRDefault="00417A41"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3544" w:type="dxa"/>
              </w:tcPr>
              <w:p w14:paraId="1629E32E" w14:textId="62ABCDAA" w:rsidR="00417A41" w:rsidRDefault="00417A41" w:rsidP="001848A2">
                <w:pPr>
                  <w:tabs>
                    <w:tab w:val="left" w:pos="2834"/>
                    <w:tab w:val="right" w:pos="8838"/>
                  </w:tabs>
                  <w:spacing w:line="276" w:lineRule="auto"/>
                  <w:ind w:left="-114"/>
                  <w:rPr>
                    <w:rFonts w:ascii="Palatino Linotype" w:eastAsia="Palatino Linotype" w:hAnsi="Palatino Linotype" w:cs="Palatino Linotype"/>
                    <w:b/>
                  </w:rPr>
                </w:pPr>
                <w:r>
                  <w:rPr>
                    <w:rFonts w:ascii="Palatino Linotype" w:eastAsia="Palatino Linotype" w:hAnsi="Palatino Linotype" w:cs="Palatino Linotype"/>
                  </w:rPr>
                  <w:t>Ayuntamiento de Toluca</w:t>
                </w:r>
              </w:p>
            </w:tc>
            <w:tc>
              <w:tcPr>
                <w:tcW w:w="809" w:type="dxa"/>
              </w:tcPr>
              <w:p w14:paraId="5FFD11CF" w14:textId="77777777" w:rsidR="00417A41" w:rsidRDefault="00417A41" w:rsidP="001848A2">
                <w:pPr>
                  <w:tabs>
                    <w:tab w:val="left" w:pos="2834"/>
                    <w:tab w:val="right" w:pos="8838"/>
                  </w:tabs>
                  <w:spacing w:line="276" w:lineRule="auto"/>
                  <w:ind w:left="-114"/>
                  <w:rPr>
                    <w:rFonts w:ascii="Palatino Linotype" w:eastAsia="Palatino Linotype" w:hAnsi="Palatino Linotype" w:cs="Palatino Linotype"/>
                  </w:rPr>
                </w:pPr>
              </w:p>
            </w:tc>
          </w:tr>
          <w:tr w:rsidR="00417A41" w14:paraId="7A656A2A" w14:textId="77777777" w:rsidTr="005B2A09">
            <w:trPr>
              <w:trHeight w:val="383"/>
            </w:trPr>
            <w:tc>
              <w:tcPr>
                <w:tcW w:w="2585" w:type="dxa"/>
              </w:tcPr>
              <w:p w14:paraId="602C63BC" w14:textId="77777777" w:rsidR="00417A41" w:rsidRDefault="00417A41" w:rsidP="001848A2">
                <w:pPr>
                  <w:tabs>
                    <w:tab w:val="right" w:pos="8838"/>
                  </w:tabs>
                  <w:spacing w:line="276" w:lineRule="auto"/>
                  <w:ind w:left="-114"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3544" w:type="dxa"/>
              </w:tcPr>
              <w:p w14:paraId="21FAFEA3" w14:textId="77777777" w:rsidR="00417A41" w:rsidRDefault="00417A41" w:rsidP="001848A2">
                <w:pPr>
                  <w:tabs>
                    <w:tab w:val="right" w:pos="8838"/>
                  </w:tabs>
                  <w:spacing w:line="276" w:lineRule="auto"/>
                  <w:ind w:left="-114" w:right="-105"/>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c>
              <w:tcPr>
                <w:tcW w:w="809" w:type="dxa"/>
              </w:tcPr>
              <w:p w14:paraId="350776CD" w14:textId="77777777" w:rsidR="00417A41" w:rsidRDefault="00417A41" w:rsidP="001848A2">
                <w:pPr>
                  <w:tabs>
                    <w:tab w:val="right" w:pos="8838"/>
                  </w:tabs>
                  <w:spacing w:line="276" w:lineRule="auto"/>
                  <w:ind w:left="-114" w:right="-105"/>
                  <w:rPr>
                    <w:rFonts w:ascii="Palatino Linotype" w:eastAsia="Palatino Linotype" w:hAnsi="Palatino Linotype" w:cs="Palatino Linotype"/>
                  </w:rPr>
                </w:pPr>
              </w:p>
            </w:tc>
          </w:tr>
        </w:tbl>
        <w:p w14:paraId="1FA6C957" w14:textId="77777777" w:rsidR="00417A41" w:rsidRDefault="00417A41" w:rsidP="001848A2">
          <w:pPr>
            <w:tabs>
              <w:tab w:val="right" w:pos="8838"/>
            </w:tabs>
            <w:spacing w:line="276" w:lineRule="auto"/>
            <w:ind w:left="-28"/>
            <w:rPr>
              <w:rFonts w:ascii="Arial" w:eastAsia="Arial" w:hAnsi="Arial" w:cs="Arial"/>
              <w:b/>
            </w:rPr>
          </w:pPr>
        </w:p>
      </w:tc>
    </w:tr>
  </w:tbl>
  <w:p w14:paraId="3D653C89" w14:textId="34B0CFA8" w:rsidR="00417A41" w:rsidRDefault="00417A41" w:rsidP="00847766">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72E6" w14:textId="09F3BF37" w:rsidR="00417A41" w:rsidRDefault="002E0A2B">
    <w:pPr>
      <w:widowControl w:val="0"/>
      <w:pBdr>
        <w:top w:val="nil"/>
        <w:left w:val="nil"/>
        <w:bottom w:val="nil"/>
        <w:right w:val="nil"/>
        <w:between w:val="nil"/>
      </w:pBdr>
      <w:spacing w:line="276" w:lineRule="auto"/>
      <w:rPr>
        <w:color w:val="000000"/>
      </w:rPr>
    </w:pPr>
    <w:r>
      <w:rPr>
        <w:rFonts w:ascii="Garamond" w:eastAsia="Garamond" w:hAnsi="Garamond" w:cs="Garamond"/>
        <w:color w:val="000000"/>
      </w:rPr>
      <w:pict w14:anchorId="1CE2E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47.15pt;margin-top:-151.15pt;width:663.5pt;height:12in;z-index:-251657728;mso-wrap-edited:f;mso-width-percent:0;mso-height-percent:0;mso-position-horizontal-relative:margin;mso-position-vertical-relative:margin;mso-width-percent:0;mso-height-percent:0">
          <v:imagedata r:id="rId1" o:title="image1"/>
          <w10:wrap anchorx="margin" anchory="margin"/>
        </v:shape>
      </w:pict>
    </w:r>
  </w:p>
  <w:tbl>
    <w:tblPr>
      <w:tblW w:w="9498" w:type="dxa"/>
      <w:tblLayout w:type="fixed"/>
      <w:tblLook w:val="0400" w:firstRow="0" w:lastRow="0" w:firstColumn="0" w:lastColumn="0" w:noHBand="0" w:noVBand="1"/>
    </w:tblPr>
    <w:tblGrid>
      <w:gridCol w:w="2977"/>
      <w:gridCol w:w="6521"/>
    </w:tblGrid>
    <w:tr w:rsidR="00417A41" w14:paraId="41BD3C67" w14:textId="77777777" w:rsidTr="005B2A09">
      <w:trPr>
        <w:trHeight w:val="1435"/>
      </w:trPr>
      <w:tc>
        <w:tcPr>
          <w:tcW w:w="2977" w:type="dxa"/>
        </w:tcPr>
        <w:p w14:paraId="7370AEF4" w14:textId="1317ECE3" w:rsidR="00417A41" w:rsidRDefault="00417A41" w:rsidP="005B2A09">
          <w:pPr>
            <w:tabs>
              <w:tab w:val="right" w:pos="4273"/>
            </w:tabs>
            <w:spacing w:line="256" w:lineRule="auto"/>
            <w:rPr>
              <w:rFonts w:ascii="Garamond" w:eastAsia="Garamond" w:hAnsi="Garamond" w:cs="Garamond"/>
            </w:rPr>
          </w:pPr>
        </w:p>
      </w:tc>
      <w:tc>
        <w:tcPr>
          <w:tcW w:w="6521" w:type="dxa"/>
        </w:tcPr>
        <w:tbl>
          <w:tblPr>
            <w:tblW w:w="5605" w:type="dxa"/>
            <w:tblInd w:w="334" w:type="dxa"/>
            <w:tblBorders>
              <w:top w:val="nil"/>
              <w:left w:val="nil"/>
              <w:bottom w:val="nil"/>
              <w:right w:val="nil"/>
              <w:insideH w:val="nil"/>
              <w:insideV w:val="nil"/>
            </w:tblBorders>
            <w:tblLayout w:type="fixed"/>
            <w:tblLook w:val="0400" w:firstRow="0" w:lastRow="0" w:firstColumn="0" w:lastColumn="0" w:noHBand="0" w:noVBand="1"/>
          </w:tblPr>
          <w:tblGrid>
            <w:gridCol w:w="2393"/>
            <w:gridCol w:w="3123"/>
            <w:gridCol w:w="89"/>
          </w:tblGrid>
          <w:tr w:rsidR="00417A41" w14:paraId="0597480E" w14:textId="77777777" w:rsidTr="005B2A09">
            <w:trPr>
              <w:gridAfter w:val="1"/>
              <w:wAfter w:w="89" w:type="dxa"/>
              <w:trHeight w:val="114"/>
            </w:trPr>
            <w:tc>
              <w:tcPr>
                <w:tcW w:w="2393" w:type="dxa"/>
              </w:tcPr>
              <w:p w14:paraId="7B639652" w14:textId="77777777" w:rsidR="00417A41" w:rsidRPr="005B2A09" w:rsidRDefault="00417A41" w:rsidP="001848A2">
                <w:pPr>
                  <w:tabs>
                    <w:tab w:val="right" w:pos="8838"/>
                  </w:tabs>
                  <w:spacing w:line="276" w:lineRule="auto"/>
                  <w:ind w:left="-69" w:right="-105"/>
                  <w:rPr>
                    <w:rFonts w:ascii="Palatino Linotype" w:eastAsia="Palatino Linotype" w:hAnsi="Palatino Linotype" w:cs="Palatino Linotype"/>
                    <w:b/>
                  </w:rPr>
                </w:pPr>
                <w:r w:rsidRPr="005B2A09">
                  <w:rPr>
                    <w:rFonts w:ascii="Palatino Linotype" w:eastAsia="Palatino Linotype" w:hAnsi="Palatino Linotype" w:cs="Palatino Linotype"/>
                    <w:b/>
                  </w:rPr>
                  <w:t>Recurso de Revisión:</w:t>
                </w:r>
              </w:p>
            </w:tc>
            <w:tc>
              <w:tcPr>
                <w:tcW w:w="3123" w:type="dxa"/>
              </w:tcPr>
              <w:p w14:paraId="368ACAEA" w14:textId="3A35F43F" w:rsidR="00417A41" w:rsidRPr="005B2A09" w:rsidRDefault="00417A41" w:rsidP="009A3D62">
                <w:pPr>
                  <w:tabs>
                    <w:tab w:val="right" w:pos="8838"/>
                  </w:tabs>
                  <w:spacing w:line="276" w:lineRule="auto"/>
                  <w:ind w:left="-74" w:right="-105"/>
                  <w:rPr>
                    <w:rFonts w:ascii="Palatino Linotype" w:eastAsia="Palatino Linotype" w:hAnsi="Palatino Linotype" w:cs="Palatino Linotype"/>
                  </w:rPr>
                </w:pPr>
                <w:r w:rsidRPr="005B2A09">
                  <w:rPr>
                    <w:rFonts w:ascii="Palatino Linotype" w:eastAsia="Palatino Linotype" w:hAnsi="Palatino Linotype" w:cs="Palatino Linotype"/>
                  </w:rPr>
                  <w:t>0</w:t>
                </w:r>
                <w:r>
                  <w:rPr>
                    <w:rFonts w:ascii="Palatino Linotype" w:eastAsia="Palatino Linotype" w:hAnsi="Palatino Linotype" w:cs="Palatino Linotype"/>
                  </w:rPr>
                  <w:t>22</w:t>
                </w:r>
                <w:r w:rsidRPr="005B2A09">
                  <w:rPr>
                    <w:rFonts w:ascii="Palatino Linotype" w:eastAsia="Palatino Linotype" w:hAnsi="Palatino Linotype" w:cs="Palatino Linotype"/>
                  </w:rPr>
                  <w:t>01/INFOEM/IP/RR/2025</w:t>
                </w:r>
              </w:p>
            </w:tc>
          </w:tr>
          <w:tr w:rsidR="00417A41" w14:paraId="55F236DC" w14:textId="77777777" w:rsidTr="005B2A09">
            <w:trPr>
              <w:gridAfter w:val="1"/>
              <w:wAfter w:w="89" w:type="dxa"/>
              <w:trHeight w:val="114"/>
            </w:trPr>
            <w:tc>
              <w:tcPr>
                <w:tcW w:w="2393" w:type="dxa"/>
              </w:tcPr>
              <w:p w14:paraId="17B3FAC9" w14:textId="77777777" w:rsidR="00417A41" w:rsidRPr="005B2A09" w:rsidRDefault="00417A41"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Recurrente:</w:t>
                </w:r>
              </w:p>
            </w:tc>
            <w:tc>
              <w:tcPr>
                <w:tcW w:w="3123" w:type="dxa"/>
              </w:tcPr>
              <w:p w14:paraId="6EA89F3F" w14:textId="76D2A8D6" w:rsidR="00417A41" w:rsidRPr="005B2A09" w:rsidRDefault="00417A41" w:rsidP="001848A2">
                <w:pPr>
                  <w:tabs>
                    <w:tab w:val="left" w:pos="2834"/>
                    <w:tab w:val="right" w:pos="8838"/>
                  </w:tabs>
                  <w:spacing w:line="276" w:lineRule="auto"/>
                  <w:ind w:left="-74"/>
                  <w:rPr>
                    <w:rFonts w:ascii="Palatino Linotype" w:eastAsia="Palatino Linotype" w:hAnsi="Palatino Linotype" w:cs="Palatino Linotype"/>
                  </w:rPr>
                </w:pPr>
              </w:p>
            </w:tc>
          </w:tr>
          <w:tr w:rsidR="00417A41" w14:paraId="3996CF8D" w14:textId="77777777" w:rsidTr="005B2A09">
            <w:trPr>
              <w:gridAfter w:val="1"/>
              <w:wAfter w:w="89" w:type="dxa"/>
              <w:trHeight w:val="226"/>
            </w:trPr>
            <w:tc>
              <w:tcPr>
                <w:tcW w:w="2393" w:type="dxa"/>
              </w:tcPr>
              <w:p w14:paraId="482F833E" w14:textId="77777777" w:rsidR="00417A41" w:rsidRPr="005B2A09" w:rsidRDefault="00417A41"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Sujeto Obligado:</w:t>
                </w:r>
              </w:p>
            </w:tc>
            <w:tc>
              <w:tcPr>
                <w:tcW w:w="3123" w:type="dxa"/>
              </w:tcPr>
              <w:p w14:paraId="61CABBE3" w14:textId="145E1AC9" w:rsidR="00417A41" w:rsidRPr="005B2A09" w:rsidRDefault="00417A41" w:rsidP="001848A2">
                <w:pPr>
                  <w:tabs>
                    <w:tab w:val="left" w:pos="2834"/>
                    <w:tab w:val="right" w:pos="8838"/>
                  </w:tabs>
                  <w:spacing w:line="276" w:lineRule="auto"/>
                  <w:ind w:left="-74"/>
                  <w:rPr>
                    <w:rFonts w:ascii="Palatino Linotype" w:eastAsia="Palatino Linotype" w:hAnsi="Palatino Linotype" w:cs="Palatino Linotype"/>
                  </w:rPr>
                </w:pPr>
                <w:r w:rsidRPr="005B2A09">
                  <w:rPr>
                    <w:rFonts w:ascii="Palatino Linotype" w:eastAsia="Palatino Linotype" w:hAnsi="Palatino Linotype" w:cs="Palatino Linotype"/>
                  </w:rPr>
                  <w:t>Ayuntamiento de Toluca</w:t>
                </w:r>
              </w:p>
            </w:tc>
          </w:tr>
          <w:tr w:rsidR="00417A41" w14:paraId="08BF9436" w14:textId="77777777" w:rsidTr="005B2A09">
            <w:trPr>
              <w:trHeight w:val="226"/>
            </w:trPr>
            <w:tc>
              <w:tcPr>
                <w:tcW w:w="2393" w:type="dxa"/>
              </w:tcPr>
              <w:p w14:paraId="69A53720" w14:textId="77777777" w:rsidR="00417A41" w:rsidRPr="005B2A09" w:rsidRDefault="00417A41" w:rsidP="001848A2">
                <w:pPr>
                  <w:tabs>
                    <w:tab w:val="right" w:pos="8838"/>
                  </w:tabs>
                  <w:spacing w:line="276" w:lineRule="auto"/>
                  <w:ind w:left="-74" w:right="-105"/>
                  <w:rPr>
                    <w:rFonts w:ascii="Palatino Linotype" w:eastAsia="Palatino Linotype" w:hAnsi="Palatino Linotype" w:cs="Palatino Linotype"/>
                    <w:b/>
                  </w:rPr>
                </w:pPr>
                <w:r w:rsidRPr="005B2A09">
                  <w:rPr>
                    <w:rFonts w:ascii="Palatino Linotype" w:eastAsia="Palatino Linotype" w:hAnsi="Palatino Linotype" w:cs="Palatino Linotype"/>
                    <w:b/>
                  </w:rPr>
                  <w:t>Comisionado Ponente:</w:t>
                </w:r>
              </w:p>
            </w:tc>
            <w:tc>
              <w:tcPr>
                <w:tcW w:w="3212" w:type="dxa"/>
                <w:gridSpan w:val="2"/>
              </w:tcPr>
              <w:p w14:paraId="0240BDD7" w14:textId="77777777" w:rsidR="00417A41" w:rsidRPr="005B2A09" w:rsidRDefault="00417A41" w:rsidP="001848A2">
                <w:pPr>
                  <w:tabs>
                    <w:tab w:val="right" w:pos="8838"/>
                  </w:tabs>
                  <w:spacing w:line="276" w:lineRule="auto"/>
                  <w:ind w:left="-74" w:right="-105"/>
                  <w:rPr>
                    <w:rFonts w:ascii="Palatino Linotype" w:eastAsia="Palatino Linotype" w:hAnsi="Palatino Linotype" w:cs="Palatino Linotype"/>
                  </w:rPr>
                </w:pPr>
                <w:r w:rsidRPr="005B2A09">
                  <w:rPr>
                    <w:rFonts w:ascii="Palatino Linotype" w:eastAsia="Palatino Linotype" w:hAnsi="Palatino Linotype" w:cs="Palatino Linotype"/>
                  </w:rPr>
                  <w:t>Luis Gustavo Parra Noriega</w:t>
                </w:r>
              </w:p>
            </w:tc>
          </w:tr>
        </w:tbl>
        <w:p w14:paraId="38A58A73" w14:textId="77777777" w:rsidR="00417A41" w:rsidRDefault="00417A41">
          <w:pPr>
            <w:tabs>
              <w:tab w:val="right" w:pos="8838"/>
            </w:tabs>
            <w:spacing w:line="256" w:lineRule="auto"/>
            <w:ind w:left="-28"/>
            <w:rPr>
              <w:rFonts w:ascii="Arial" w:eastAsia="Arial" w:hAnsi="Arial" w:cs="Arial"/>
              <w:b/>
            </w:rPr>
          </w:pPr>
        </w:p>
      </w:tc>
    </w:tr>
  </w:tbl>
  <w:p w14:paraId="13C315C9" w14:textId="3370D04C" w:rsidR="00417A41" w:rsidRDefault="00417A4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138FA"/>
    <w:multiLevelType w:val="hybridMultilevel"/>
    <w:tmpl w:val="164E01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8CD4513"/>
    <w:multiLevelType w:val="hybridMultilevel"/>
    <w:tmpl w:val="4928FD3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414E0"/>
    <w:multiLevelType w:val="hybridMultilevel"/>
    <w:tmpl w:val="26D659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16B4CA3"/>
    <w:multiLevelType w:val="hybridMultilevel"/>
    <w:tmpl w:val="ECBED2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D80B30"/>
    <w:multiLevelType w:val="multilevel"/>
    <w:tmpl w:val="A232E38A"/>
    <w:lvl w:ilvl="0">
      <w:start w:val="8086"/>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4D684E"/>
    <w:multiLevelType w:val="multilevel"/>
    <w:tmpl w:val="AEEE6CB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6D84BD7"/>
    <w:multiLevelType w:val="multilevel"/>
    <w:tmpl w:val="7158D4C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14312"/>
    <w:multiLevelType w:val="multilevel"/>
    <w:tmpl w:val="9D3A29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E34899"/>
    <w:multiLevelType w:val="multilevel"/>
    <w:tmpl w:val="AF4CA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8E2844"/>
    <w:multiLevelType w:val="hybridMultilevel"/>
    <w:tmpl w:val="A272689C"/>
    <w:lvl w:ilvl="0" w:tplc="33022FF2">
      <w:start w:val="2"/>
      <w:numFmt w:val="bullet"/>
      <w:lvlText w:val="-"/>
      <w:lvlJc w:val="left"/>
      <w:pPr>
        <w:ind w:left="720" w:hanging="360"/>
      </w:pPr>
      <w:rPr>
        <w:rFonts w:ascii="Palatino Linotype" w:eastAsia="Palatino Linotype" w:hAnsi="Palatino Linotype" w:cs="Palatino Linotyp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5840091"/>
    <w:multiLevelType w:val="multilevel"/>
    <w:tmpl w:val="BA9A2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626318"/>
    <w:multiLevelType w:val="hybridMultilevel"/>
    <w:tmpl w:val="B57CD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1577BE"/>
    <w:multiLevelType w:val="hybridMultilevel"/>
    <w:tmpl w:val="0C8A87A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A634DF"/>
    <w:multiLevelType w:val="hybridMultilevel"/>
    <w:tmpl w:val="7CCE8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EA7304"/>
    <w:multiLevelType w:val="hybridMultilevel"/>
    <w:tmpl w:val="7FE63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8E7450"/>
    <w:multiLevelType w:val="hybridMultilevel"/>
    <w:tmpl w:val="8034A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9453E1"/>
    <w:multiLevelType w:val="hybridMultilevel"/>
    <w:tmpl w:val="68DE97AA"/>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2"/>
  </w:num>
  <w:num w:numId="5">
    <w:abstractNumId w:val="9"/>
  </w:num>
  <w:num w:numId="6">
    <w:abstractNumId w:val="11"/>
  </w:num>
  <w:num w:numId="7">
    <w:abstractNumId w:val="6"/>
  </w:num>
  <w:num w:numId="8">
    <w:abstractNumId w:val="20"/>
  </w:num>
  <w:num w:numId="9">
    <w:abstractNumId w:val="18"/>
  </w:num>
  <w:num w:numId="10">
    <w:abstractNumId w:val="21"/>
  </w:num>
  <w:num w:numId="11">
    <w:abstractNumId w:val="2"/>
  </w:num>
  <w:num w:numId="12">
    <w:abstractNumId w:val="17"/>
  </w:num>
  <w:num w:numId="13">
    <w:abstractNumId w:val="19"/>
  </w:num>
  <w:num w:numId="14">
    <w:abstractNumId w:val="3"/>
  </w:num>
  <w:num w:numId="15">
    <w:abstractNumId w:val="16"/>
  </w:num>
  <w:num w:numId="16">
    <w:abstractNumId w:val="23"/>
  </w:num>
  <w:num w:numId="17">
    <w:abstractNumId w:val="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0"/>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08"/>
    <w:rsid w:val="00021449"/>
    <w:rsid w:val="000277D8"/>
    <w:rsid w:val="00030A25"/>
    <w:rsid w:val="00052733"/>
    <w:rsid w:val="00073F02"/>
    <w:rsid w:val="00075226"/>
    <w:rsid w:val="000B4B13"/>
    <w:rsid w:val="000B5E65"/>
    <w:rsid w:val="000C4738"/>
    <w:rsid w:val="000E1460"/>
    <w:rsid w:val="000F4A38"/>
    <w:rsid w:val="0012106D"/>
    <w:rsid w:val="0012378F"/>
    <w:rsid w:val="001515D6"/>
    <w:rsid w:val="0018406A"/>
    <w:rsid w:val="001848A2"/>
    <w:rsid w:val="00185C2A"/>
    <w:rsid w:val="001907B0"/>
    <w:rsid w:val="001976DC"/>
    <w:rsid w:val="001B6B05"/>
    <w:rsid w:val="001F54E6"/>
    <w:rsid w:val="00207C8D"/>
    <w:rsid w:val="00213B19"/>
    <w:rsid w:val="0021741F"/>
    <w:rsid w:val="00217546"/>
    <w:rsid w:val="00220900"/>
    <w:rsid w:val="00223C54"/>
    <w:rsid w:val="00224321"/>
    <w:rsid w:val="00251160"/>
    <w:rsid w:val="00263B0D"/>
    <w:rsid w:val="00274797"/>
    <w:rsid w:val="0029551C"/>
    <w:rsid w:val="00297943"/>
    <w:rsid w:val="002B1CE5"/>
    <w:rsid w:val="002B29A1"/>
    <w:rsid w:val="002E0A2B"/>
    <w:rsid w:val="002E60AF"/>
    <w:rsid w:val="002F6783"/>
    <w:rsid w:val="002F6A29"/>
    <w:rsid w:val="00306275"/>
    <w:rsid w:val="003120B2"/>
    <w:rsid w:val="003148EE"/>
    <w:rsid w:val="00317050"/>
    <w:rsid w:val="003457F6"/>
    <w:rsid w:val="0036760F"/>
    <w:rsid w:val="00380C06"/>
    <w:rsid w:val="0038595D"/>
    <w:rsid w:val="00387218"/>
    <w:rsid w:val="00390FB6"/>
    <w:rsid w:val="0039136D"/>
    <w:rsid w:val="00397B48"/>
    <w:rsid w:val="003C6D2C"/>
    <w:rsid w:val="003D3024"/>
    <w:rsid w:val="003D3984"/>
    <w:rsid w:val="00417A41"/>
    <w:rsid w:val="00450778"/>
    <w:rsid w:val="00457AB3"/>
    <w:rsid w:val="00471308"/>
    <w:rsid w:val="0047515E"/>
    <w:rsid w:val="004A0922"/>
    <w:rsid w:val="004A3F27"/>
    <w:rsid w:val="004A4B4B"/>
    <w:rsid w:val="004A5CDC"/>
    <w:rsid w:val="004B2193"/>
    <w:rsid w:val="004B540F"/>
    <w:rsid w:val="004D2AC4"/>
    <w:rsid w:val="004D76EC"/>
    <w:rsid w:val="004F23AC"/>
    <w:rsid w:val="005046DA"/>
    <w:rsid w:val="0056396D"/>
    <w:rsid w:val="00565C76"/>
    <w:rsid w:val="00567E21"/>
    <w:rsid w:val="00585F29"/>
    <w:rsid w:val="005B13EB"/>
    <w:rsid w:val="005B2A09"/>
    <w:rsid w:val="005C3C3D"/>
    <w:rsid w:val="005D0830"/>
    <w:rsid w:val="005E399C"/>
    <w:rsid w:val="005F2EB6"/>
    <w:rsid w:val="005F385A"/>
    <w:rsid w:val="00621FA7"/>
    <w:rsid w:val="006776DD"/>
    <w:rsid w:val="00682A23"/>
    <w:rsid w:val="006964EE"/>
    <w:rsid w:val="006B3407"/>
    <w:rsid w:val="006C61BC"/>
    <w:rsid w:val="006C6A0D"/>
    <w:rsid w:val="006C6B33"/>
    <w:rsid w:val="006D4793"/>
    <w:rsid w:val="006E2FD7"/>
    <w:rsid w:val="006E555F"/>
    <w:rsid w:val="006F4725"/>
    <w:rsid w:val="007033FA"/>
    <w:rsid w:val="00711BDC"/>
    <w:rsid w:val="007132B9"/>
    <w:rsid w:val="00723808"/>
    <w:rsid w:val="0074396A"/>
    <w:rsid w:val="00757C8B"/>
    <w:rsid w:val="0077722B"/>
    <w:rsid w:val="00784916"/>
    <w:rsid w:val="007C5D68"/>
    <w:rsid w:val="007F3AC6"/>
    <w:rsid w:val="00801B90"/>
    <w:rsid w:val="00810BDB"/>
    <w:rsid w:val="00823BED"/>
    <w:rsid w:val="008302C9"/>
    <w:rsid w:val="00830488"/>
    <w:rsid w:val="00844F9D"/>
    <w:rsid w:val="00847766"/>
    <w:rsid w:val="00871A19"/>
    <w:rsid w:val="008920D0"/>
    <w:rsid w:val="00894A80"/>
    <w:rsid w:val="008C0117"/>
    <w:rsid w:val="008D5C60"/>
    <w:rsid w:val="00901C7E"/>
    <w:rsid w:val="009105FA"/>
    <w:rsid w:val="0091524F"/>
    <w:rsid w:val="00933A91"/>
    <w:rsid w:val="00933DAD"/>
    <w:rsid w:val="009622D8"/>
    <w:rsid w:val="00974279"/>
    <w:rsid w:val="00980CD8"/>
    <w:rsid w:val="00980DFB"/>
    <w:rsid w:val="009A3D62"/>
    <w:rsid w:val="009A7EC0"/>
    <w:rsid w:val="009B2008"/>
    <w:rsid w:val="009B421B"/>
    <w:rsid w:val="009D3AEE"/>
    <w:rsid w:val="009D3FCF"/>
    <w:rsid w:val="009E002E"/>
    <w:rsid w:val="00A10D12"/>
    <w:rsid w:val="00A22174"/>
    <w:rsid w:val="00A278F1"/>
    <w:rsid w:val="00A31F29"/>
    <w:rsid w:val="00A325AC"/>
    <w:rsid w:val="00A44860"/>
    <w:rsid w:val="00A46436"/>
    <w:rsid w:val="00A55E29"/>
    <w:rsid w:val="00A71B1D"/>
    <w:rsid w:val="00AB2378"/>
    <w:rsid w:val="00AC31E7"/>
    <w:rsid w:val="00AC3295"/>
    <w:rsid w:val="00AC6AC7"/>
    <w:rsid w:val="00AD1514"/>
    <w:rsid w:val="00AE7F13"/>
    <w:rsid w:val="00B008F5"/>
    <w:rsid w:val="00B65FB3"/>
    <w:rsid w:val="00B739F9"/>
    <w:rsid w:val="00B759C0"/>
    <w:rsid w:val="00B80CC3"/>
    <w:rsid w:val="00B834F6"/>
    <w:rsid w:val="00B853F9"/>
    <w:rsid w:val="00B912CF"/>
    <w:rsid w:val="00BF6796"/>
    <w:rsid w:val="00C2748C"/>
    <w:rsid w:val="00C42923"/>
    <w:rsid w:val="00C5401B"/>
    <w:rsid w:val="00C56367"/>
    <w:rsid w:val="00C8157B"/>
    <w:rsid w:val="00C81ED8"/>
    <w:rsid w:val="00CA136E"/>
    <w:rsid w:val="00CE01C4"/>
    <w:rsid w:val="00CF00A7"/>
    <w:rsid w:val="00CF2697"/>
    <w:rsid w:val="00CF317A"/>
    <w:rsid w:val="00CF52E8"/>
    <w:rsid w:val="00D24021"/>
    <w:rsid w:val="00D43404"/>
    <w:rsid w:val="00D572EF"/>
    <w:rsid w:val="00D57834"/>
    <w:rsid w:val="00D66C9B"/>
    <w:rsid w:val="00D70AA0"/>
    <w:rsid w:val="00D77E4A"/>
    <w:rsid w:val="00D865E6"/>
    <w:rsid w:val="00D95809"/>
    <w:rsid w:val="00D96982"/>
    <w:rsid w:val="00DA6D85"/>
    <w:rsid w:val="00DB101E"/>
    <w:rsid w:val="00DB408C"/>
    <w:rsid w:val="00DB644B"/>
    <w:rsid w:val="00DE37D5"/>
    <w:rsid w:val="00E109C9"/>
    <w:rsid w:val="00E27F0A"/>
    <w:rsid w:val="00E342E6"/>
    <w:rsid w:val="00E37686"/>
    <w:rsid w:val="00E577DD"/>
    <w:rsid w:val="00E96A03"/>
    <w:rsid w:val="00EA27D8"/>
    <w:rsid w:val="00EB6039"/>
    <w:rsid w:val="00EE533B"/>
    <w:rsid w:val="00EE7DFF"/>
    <w:rsid w:val="00EF0BD6"/>
    <w:rsid w:val="00EF3A6B"/>
    <w:rsid w:val="00F04F4D"/>
    <w:rsid w:val="00F303D3"/>
    <w:rsid w:val="00F342A6"/>
    <w:rsid w:val="00F65EAE"/>
    <w:rsid w:val="00F80374"/>
    <w:rsid w:val="00F81412"/>
    <w:rsid w:val="00F91A08"/>
    <w:rsid w:val="00FA4D6E"/>
    <w:rsid w:val="00FA6C96"/>
    <w:rsid w:val="00FC1E62"/>
    <w:rsid w:val="00FE356E"/>
    <w:rsid w:val="00FF4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95635"/>
  <w15:chartTrackingRefBased/>
  <w15:docId w15:val="{F40DD844-08A8-47D2-9BD3-05E22058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13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A13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2008"/>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F3A6B"/>
    <w:pPr>
      <w:ind w:left="720"/>
      <w:contextualSpacing/>
    </w:pPr>
  </w:style>
  <w:style w:type="character" w:customStyle="1" w:styleId="Mencinsinresolver1">
    <w:name w:val="Mención sin resolver1"/>
    <w:basedOn w:val="Fuentedeprrafopredeter"/>
    <w:uiPriority w:val="99"/>
    <w:semiHidden/>
    <w:unhideWhenUsed/>
    <w:rsid w:val="004A3F27"/>
    <w:rPr>
      <w:color w:val="605E5C"/>
      <w:shd w:val="clear" w:color="auto" w:fill="E1DFDD"/>
    </w:rPr>
  </w:style>
  <w:style w:type="table" w:styleId="Tablaconcuadrcula">
    <w:name w:val="Table Grid"/>
    <w:basedOn w:val="Tablanormal"/>
    <w:uiPriority w:val="39"/>
    <w:rsid w:val="002209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136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CA136E"/>
    <w:rPr>
      <w:rFonts w:asciiTheme="majorHAnsi" w:eastAsiaTheme="majorEastAsia" w:hAnsiTheme="majorHAnsi" w:cstheme="majorBidi"/>
      <w:color w:val="2F5496" w:themeColor="accent1" w:themeShade="BF"/>
      <w:sz w:val="26"/>
      <w:szCs w:val="26"/>
    </w:rPr>
  </w:style>
  <w:style w:type="paragraph" w:styleId="TtulodeTDC">
    <w:name w:val="TOC Heading"/>
    <w:basedOn w:val="Ttulo1"/>
    <w:next w:val="Normal"/>
    <w:uiPriority w:val="39"/>
    <w:unhideWhenUsed/>
    <w:qFormat/>
    <w:rsid w:val="00075226"/>
    <w:pPr>
      <w:spacing w:line="259" w:lineRule="auto"/>
      <w:jc w:val="left"/>
      <w:outlineLvl w:val="9"/>
    </w:pPr>
    <w:rPr>
      <w:kern w:val="0"/>
      <w:lang w:eastAsia="es-MX"/>
      <w14:ligatures w14:val="none"/>
    </w:rPr>
  </w:style>
  <w:style w:type="paragraph" w:styleId="TDC1">
    <w:name w:val="toc 1"/>
    <w:basedOn w:val="Normal"/>
    <w:next w:val="Normal"/>
    <w:autoRedefine/>
    <w:uiPriority w:val="39"/>
    <w:unhideWhenUsed/>
    <w:rsid w:val="00075226"/>
    <w:pPr>
      <w:spacing w:after="100"/>
    </w:pPr>
  </w:style>
  <w:style w:type="paragraph" w:styleId="TDC2">
    <w:name w:val="toc 2"/>
    <w:basedOn w:val="Normal"/>
    <w:next w:val="Normal"/>
    <w:autoRedefine/>
    <w:uiPriority w:val="39"/>
    <w:unhideWhenUsed/>
    <w:rsid w:val="00075226"/>
    <w:pPr>
      <w:spacing w:after="100"/>
      <w:ind w:left="220"/>
    </w:pPr>
  </w:style>
  <w:style w:type="character" w:styleId="Hipervnculovisitado">
    <w:name w:val="FollowedHyperlink"/>
    <w:basedOn w:val="Fuentedeprrafopredeter"/>
    <w:uiPriority w:val="99"/>
    <w:semiHidden/>
    <w:unhideWhenUsed/>
    <w:rsid w:val="00B80CC3"/>
    <w:rPr>
      <w:color w:val="954F72" w:themeColor="followed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20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4710">
      <w:bodyDiv w:val="1"/>
      <w:marLeft w:val="0"/>
      <w:marRight w:val="0"/>
      <w:marTop w:val="0"/>
      <w:marBottom w:val="0"/>
      <w:divBdr>
        <w:top w:val="none" w:sz="0" w:space="0" w:color="auto"/>
        <w:left w:val="none" w:sz="0" w:space="0" w:color="auto"/>
        <w:bottom w:val="none" w:sz="0" w:space="0" w:color="auto"/>
        <w:right w:val="none" w:sz="0" w:space="0" w:color="auto"/>
      </w:divBdr>
    </w:div>
    <w:div w:id="221798634">
      <w:bodyDiv w:val="1"/>
      <w:marLeft w:val="0"/>
      <w:marRight w:val="0"/>
      <w:marTop w:val="0"/>
      <w:marBottom w:val="0"/>
      <w:divBdr>
        <w:top w:val="none" w:sz="0" w:space="0" w:color="auto"/>
        <w:left w:val="none" w:sz="0" w:space="0" w:color="auto"/>
        <w:bottom w:val="none" w:sz="0" w:space="0" w:color="auto"/>
        <w:right w:val="none" w:sz="0" w:space="0" w:color="auto"/>
      </w:divBdr>
    </w:div>
    <w:div w:id="268394907">
      <w:bodyDiv w:val="1"/>
      <w:marLeft w:val="0"/>
      <w:marRight w:val="0"/>
      <w:marTop w:val="0"/>
      <w:marBottom w:val="0"/>
      <w:divBdr>
        <w:top w:val="none" w:sz="0" w:space="0" w:color="auto"/>
        <w:left w:val="none" w:sz="0" w:space="0" w:color="auto"/>
        <w:bottom w:val="none" w:sz="0" w:space="0" w:color="auto"/>
        <w:right w:val="none" w:sz="0" w:space="0" w:color="auto"/>
      </w:divBdr>
    </w:div>
    <w:div w:id="331875683">
      <w:bodyDiv w:val="1"/>
      <w:marLeft w:val="0"/>
      <w:marRight w:val="0"/>
      <w:marTop w:val="0"/>
      <w:marBottom w:val="0"/>
      <w:divBdr>
        <w:top w:val="none" w:sz="0" w:space="0" w:color="auto"/>
        <w:left w:val="none" w:sz="0" w:space="0" w:color="auto"/>
        <w:bottom w:val="none" w:sz="0" w:space="0" w:color="auto"/>
        <w:right w:val="none" w:sz="0" w:space="0" w:color="auto"/>
      </w:divBdr>
    </w:div>
    <w:div w:id="377709625">
      <w:bodyDiv w:val="1"/>
      <w:marLeft w:val="0"/>
      <w:marRight w:val="0"/>
      <w:marTop w:val="0"/>
      <w:marBottom w:val="0"/>
      <w:divBdr>
        <w:top w:val="none" w:sz="0" w:space="0" w:color="auto"/>
        <w:left w:val="none" w:sz="0" w:space="0" w:color="auto"/>
        <w:bottom w:val="none" w:sz="0" w:space="0" w:color="auto"/>
        <w:right w:val="none" w:sz="0" w:space="0" w:color="auto"/>
      </w:divBdr>
    </w:div>
    <w:div w:id="401022110">
      <w:bodyDiv w:val="1"/>
      <w:marLeft w:val="0"/>
      <w:marRight w:val="0"/>
      <w:marTop w:val="0"/>
      <w:marBottom w:val="0"/>
      <w:divBdr>
        <w:top w:val="none" w:sz="0" w:space="0" w:color="auto"/>
        <w:left w:val="none" w:sz="0" w:space="0" w:color="auto"/>
        <w:bottom w:val="none" w:sz="0" w:space="0" w:color="auto"/>
        <w:right w:val="none" w:sz="0" w:space="0" w:color="auto"/>
      </w:divBdr>
    </w:div>
    <w:div w:id="439028430">
      <w:bodyDiv w:val="1"/>
      <w:marLeft w:val="0"/>
      <w:marRight w:val="0"/>
      <w:marTop w:val="0"/>
      <w:marBottom w:val="0"/>
      <w:divBdr>
        <w:top w:val="none" w:sz="0" w:space="0" w:color="auto"/>
        <w:left w:val="none" w:sz="0" w:space="0" w:color="auto"/>
        <w:bottom w:val="none" w:sz="0" w:space="0" w:color="auto"/>
        <w:right w:val="none" w:sz="0" w:space="0" w:color="auto"/>
      </w:divBdr>
    </w:div>
    <w:div w:id="496963103">
      <w:bodyDiv w:val="1"/>
      <w:marLeft w:val="0"/>
      <w:marRight w:val="0"/>
      <w:marTop w:val="0"/>
      <w:marBottom w:val="0"/>
      <w:divBdr>
        <w:top w:val="none" w:sz="0" w:space="0" w:color="auto"/>
        <w:left w:val="none" w:sz="0" w:space="0" w:color="auto"/>
        <w:bottom w:val="none" w:sz="0" w:space="0" w:color="auto"/>
        <w:right w:val="none" w:sz="0" w:space="0" w:color="auto"/>
      </w:divBdr>
    </w:div>
    <w:div w:id="504629853">
      <w:bodyDiv w:val="1"/>
      <w:marLeft w:val="0"/>
      <w:marRight w:val="0"/>
      <w:marTop w:val="0"/>
      <w:marBottom w:val="0"/>
      <w:divBdr>
        <w:top w:val="none" w:sz="0" w:space="0" w:color="auto"/>
        <w:left w:val="none" w:sz="0" w:space="0" w:color="auto"/>
        <w:bottom w:val="none" w:sz="0" w:space="0" w:color="auto"/>
        <w:right w:val="none" w:sz="0" w:space="0" w:color="auto"/>
      </w:divBdr>
    </w:div>
    <w:div w:id="533888601">
      <w:bodyDiv w:val="1"/>
      <w:marLeft w:val="0"/>
      <w:marRight w:val="0"/>
      <w:marTop w:val="0"/>
      <w:marBottom w:val="0"/>
      <w:divBdr>
        <w:top w:val="none" w:sz="0" w:space="0" w:color="auto"/>
        <w:left w:val="none" w:sz="0" w:space="0" w:color="auto"/>
        <w:bottom w:val="none" w:sz="0" w:space="0" w:color="auto"/>
        <w:right w:val="none" w:sz="0" w:space="0" w:color="auto"/>
      </w:divBdr>
    </w:div>
    <w:div w:id="626470741">
      <w:bodyDiv w:val="1"/>
      <w:marLeft w:val="0"/>
      <w:marRight w:val="0"/>
      <w:marTop w:val="0"/>
      <w:marBottom w:val="0"/>
      <w:divBdr>
        <w:top w:val="none" w:sz="0" w:space="0" w:color="auto"/>
        <w:left w:val="none" w:sz="0" w:space="0" w:color="auto"/>
        <w:bottom w:val="none" w:sz="0" w:space="0" w:color="auto"/>
        <w:right w:val="none" w:sz="0" w:space="0" w:color="auto"/>
      </w:divBdr>
    </w:div>
    <w:div w:id="811562769">
      <w:bodyDiv w:val="1"/>
      <w:marLeft w:val="0"/>
      <w:marRight w:val="0"/>
      <w:marTop w:val="0"/>
      <w:marBottom w:val="0"/>
      <w:divBdr>
        <w:top w:val="none" w:sz="0" w:space="0" w:color="auto"/>
        <w:left w:val="none" w:sz="0" w:space="0" w:color="auto"/>
        <w:bottom w:val="none" w:sz="0" w:space="0" w:color="auto"/>
        <w:right w:val="none" w:sz="0" w:space="0" w:color="auto"/>
      </w:divBdr>
    </w:div>
    <w:div w:id="1067341432">
      <w:bodyDiv w:val="1"/>
      <w:marLeft w:val="0"/>
      <w:marRight w:val="0"/>
      <w:marTop w:val="0"/>
      <w:marBottom w:val="0"/>
      <w:divBdr>
        <w:top w:val="none" w:sz="0" w:space="0" w:color="auto"/>
        <w:left w:val="none" w:sz="0" w:space="0" w:color="auto"/>
        <w:bottom w:val="none" w:sz="0" w:space="0" w:color="auto"/>
        <w:right w:val="none" w:sz="0" w:space="0" w:color="auto"/>
      </w:divBdr>
    </w:div>
    <w:div w:id="1105462005">
      <w:bodyDiv w:val="1"/>
      <w:marLeft w:val="0"/>
      <w:marRight w:val="0"/>
      <w:marTop w:val="0"/>
      <w:marBottom w:val="0"/>
      <w:divBdr>
        <w:top w:val="none" w:sz="0" w:space="0" w:color="auto"/>
        <w:left w:val="none" w:sz="0" w:space="0" w:color="auto"/>
        <w:bottom w:val="none" w:sz="0" w:space="0" w:color="auto"/>
        <w:right w:val="none" w:sz="0" w:space="0" w:color="auto"/>
      </w:divBdr>
    </w:div>
    <w:div w:id="1122263295">
      <w:bodyDiv w:val="1"/>
      <w:marLeft w:val="0"/>
      <w:marRight w:val="0"/>
      <w:marTop w:val="0"/>
      <w:marBottom w:val="0"/>
      <w:divBdr>
        <w:top w:val="none" w:sz="0" w:space="0" w:color="auto"/>
        <w:left w:val="none" w:sz="0" w:space="0" w:color="auto"/>
        <w:bottom w:val="none" w:sz="0" w:space="0" w:color="auto"/>
        <w:right w:val="none" w:sz="0" w:space="0" w:color="auto"/>
      </w:divBdr>
    </w:div>
    <w:div w:id="1223710242">
      <w:bodyDiv w:val="1"/>
      <w:marLeft w:val="0"/>
      <w:marRight w:val="0"/>
      <w:marTop w:val="0"/>
      <w:marBottom w:val="0"/>
      <w:divBdr>
        <w:top w:val="none" w:sz="0" w:space="0" w:color="auto"/>
        <w:left w:val="none" w:sz="0" w:space="0" w:color="auto"/>
        <w:bottom w:val="none" w:sz="0" w:space="0" w:color="auto"/>
        <w:right w:val="none" w:sz="0" w:space="0" w:color="auto"/>
      </w:divBdr>
    </w:div>
    <w:div w:id="1266307876">
      <w:bodyDiv w:val="1"/>
      <w:marLeft w:val="0"/>
      <w:marRight w:val="0"/>
      <w:marTop w:val="0"/>
      <w:marBottom w:val="0"/>
      <w:divBdr>
        <w:top w:val="none" w:sz="0" w:space="0" w:color="auto"/>
        <w:left w:val="none" w:sz="0" w:space="0" w:color="auto"/>
        <w:bottom w:val="none" w:sz="0" w:space="0" w:color="auto"/>
        <w:right w:val="none" w:sz="0" w:space="0" w:color="auto"/>
      </w:divBdr>
    </w:div>
    <w:div w:id="1447626756">
      <w:bodyDiv w:val="1"/>
      <w:marLeft w:val="0"/>
      <w:marRight w:val="0"/>
      <w:marTop w:val="0"/>
      <w:marBottom w:val="0"/>
      <w:divBdr>
        <w:top w:val="none" w:sz="0" w:space="0" w:color="auto"/>
        <w:left w:val="none" w:sz="0" w:space="0" w:color="auto"/>
        <w:bottom w:val="none" w:sz="0" w:space="0" w:color="auto"/>
        <w:right w:val="none" w:sz="0" w:space="0" w:color="auto"/>
      </w:divBdr>
    </w:div>
    <w:div w:id="1682047423">
      <w:bodyDiv w:val="1"/>
      <w:marLeft w:val="0"/>
      <w:marRight w:val="0"/>
      <w:marTop w:val="0"/>
      <w:marBottom w:val="0"/>
      <w:divBdr>
        <w:top w:val="none" w:sz="0" w:space="0" w:color="auto"/>
        <w:left w:val="none" w:sz="0" w:space="0" w:color="auto"/>
        <w:bottom w:val="none" w:sz="0" w:space="0" w:color="auto"/>
        <w:right w:val="none" w:sz="0" w:space="0" w:color="auto"/>
      </w:divBdr>
    </w:div>
    <w:div w:id="1962298180">
      <w:bodyDiv w:val="1"/>
      <w:marLeft w:val="0"/>
      <w:marRight w:val="0"/>
      <w:marTop w:val="0"/>
      <w:marBottom w:val="0"/>
      <w:divBdr>
        <w:top w:val="none" w:sz="0" w:space="0" w:color="auto"/>
        <w:left w:val="none" w:sz="0" w:space="0" w:color="auto"/>
        <w:bottom w:val="none" w:sz="0" w:space="0" w:color="auto"/>
        <w:right w:val="none" w:sz="0" w:space="0" w:color="auto"/>
      </w:divBdr>
    </w:div>
    <w:div w:id="2043507768">
      <w:bodyDiv w:val="1"/>
      <w:marLeft w:val="0"/>
      <w:marRight w:val="0"/>
      <w:marTop w:val="0"/>
      <w:marBottom w:val="0"/>
      <w:divBdr>
        <w:top w:val="none" w:sz="0" w:space="0" w:color="auto"/>
        <w:left w:val="none" w:sz="0" w:space="0" w:color="auto"/>
        <w:bottom w:val="none" w:sz="0" w:space="0" w:color="auto"/>
        <w:right w:val="none" w:sz="0" w:space="0" w:color="auto"/>
      </w:divBdr>
    </w:div>
    <w:div w:id="2062436101">
      <w:bodyDiv w:val="1"/>
      <w:marLeft w:val="0"/>
      <w:marRight w:val="0"/>
      <w:marTop w:val="0"/>
      <w:marBottom w:val="0"/>
      <w:divBdr>
        <w:top w:val="none" w:sz="0" w:space="0" w:color="auto"/>
        <w:left w:val="none" w:sz="0" w:space="0" w:color="auto"/>
        <w:bottom w:val="none" w:sz="0" w:space="0" w:color="auto"/>
        <w:right w:val="none" w:sz="0" w:space="0" w:color="auto"/>
      </w:divBdr>
    </w:div>
    <w:div w:id="21086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AAEB3-59CF-43B1-81B4-04D756B4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13363</Words>
  <Characters>73498</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USUARIO</cp:lastModifiedBy>
  <cp:revision>3</cp:revision>
  <cp:lastPrinted>2025-04-11T15:10:00Z</cp:lastPrinted>
  <dcterms:created xsi:type="dcterms:W3CDTF">2025-04-11T15:09:00Z</dcterms:created>
  <dcterms:modified xsi:type="dcterms:W3CDTF">2025-04-11T15:10:00Z</dcterms:modified>
</cp:coreProperties>
</file>