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1D" w:rsidRPr="00C15108" w:rsidRDefault="00976436" w:rsidP="00C15108">
      <w:pPr>
        <w:keepNext/>
        <w:keepLines/>
        <w:pBdr>
          <w:top w:val="nil"/>
          <w:left w:val="nil"/>
          <w:bottom w:val="nil"/>
          <w:right w:val="nil"/>
          <w:between w:val="nil"/>
        </w:pBdr>
        <w:spacing w:before="240" w:line="259" w:lineRule="auto"/>
        <w:jc w:val="left"/>
        <w:rPr>
          <w:rFonts w:ascii="Play" w:eastAsia="Play" w:hAnsi="Play" w:cs="Play"/>
          <w:szCs w:val="22"/>
        </w:rPr>
      </w:pPr>
      <w:r w:rsidRPr="00C15108">
        <w:rPr>
          <w:rFonts w:ascii="Play" w:eastAsia="Play" w:hAnsi="Play" w:cs="Play"/>
          <w:szCs w:val="22"/>
        </w:rPr>
        <w:t>Contenido</w:t>
      </w:r>
    </w:p>
    <w:sdt>
      <w:sdtPr>
        <w:id w:val="-954485804"/>
        <w:docPartObj>
          <w:docPartGallery w:val="Table of Contents"/>
          <w:docPartUnique/>
        </w:docPartObj>
      </w:sdtPr>
      <w:sdtEndPr/>
      <w:sdtContent>
        <w:p w:rsidR="00B8771D" w:rsidRPr="00C15108" w:rsidRDefault="00976436" w:rsidP="00C15108">
          <w:pPr>
            <w:pBdr>
              <w:top w:val="nil"/>
              <w:left w:val="nil"/>
              <w:bottom w:val="nil"/>
              <w:right w:val="nil"/>
              <w:between w:val="nil"/>
            </w:pBdr>
            <w:tabs>
              <w:tab w:val="right" w:pos="9034"/>
            </w:tabs>
            <w:spacing w:after="100"/>
            <w:rPr>
              <w:rFonts w:ascii="Aptos" w:eastAsia="Aptos" w:hAnsi="Aptos" w:cs="Aptos"/>
              <w:szCs w:val="22"/>
            </w:rPr>
          </w:pPr>
          <w:r w:rsidRPr="00C15108">
            <w:fldChar w:fldCharType="begin"/>
          </w:r>
          <w:r w:rsidRPr="00C15108">
            <w:instrText xml:space="preserve"> TOC \h \u \z \t "Heading 1,1,Heading 2,2,Heading 3,3,"</w:instrText>
          </w:r>
          <w:r w:rsidRPr="00C15108">
            <w:fldChar w:fldCharType="separate"/>
          </w:r>
          <w:hyperlink w:anchor="_heading=h.2wmqsosfjx5o">
            <w:r w:rsidRPr="00C15108">
              <w:rPr>
                <w:rFonts w:eastAsia="Palatino Linotype" w:cs="Palatino Linotype"/>
                <w:szCs w:val="22"/>
              </w:rPr>
              <w:t>ANTECEDENTES</w:t>
            </w:r>
            <w:r w:rsidRPr="00C15108">
              <w:rPr>
                <w:rFonts w:eastAsia="Palatino Linotype" w:cs="Palatino Linotype"/>
                <w:szCs w:val="22"/>
              </w:rPr>
              <w:tab/>
              <w:t>1</w:t>
            </w:r>
          </w:hyperlink>
        </w:p>
        <w:p w:rsidR="00B8771D" w:rsidRPr="00C15108" w:rsidRDefault="00EE76A8" w:rsidP="00C1510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grlywpq5ewza">
            <w:r w:rsidR="00976436" w:rsidRPr="00C15108">
              <w:rPr>
                <w:rFonts w:eastAsia="Palatino Linotype" w:cs="Palatino Linotype"/>
                <w:szCs w:val="22"/>
              </w:rPr>
              <w:t>DE LAS SOLICITUDES DE INFORMACIÓN</w:t>
            </w:r>
            <w:r w:rsidR="00976436" w:rsidRPr="00C15108">
              <w:rPr>
                <w:rFonts w:eastAsia="Palatino Linotype" w:cs="Palatino Linotype"/>
                <w:szCs w:val="22"/>
              </w:rPr>
              <w:tab/>
              <w:t>1</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4119qgwc2sm">
            <w:r w:rsidR="00976436" w:rsidRPr="00C15108">
              <w:rPr>
                <w:rFonts w:eastAsia="Palatino Linotype" w:cs="Palatino Linotype"/>
                <w:szCs w:val="22"/>
              </w:rPr>
              <w:t>a) Solicitudes de información.</w:t>
            </w:r>
            <w:r w:rsidR="00976436" w:rsidRPr="00C15108">
              <w:rPr>
                <w:rFonts w:eastAsia="Palatino Linotype" w:cs="Palatino Linotype"/>
                <w:szCs w:val="22"/>
              </w:rPr>
              <w:tab/>
              <w:t>1</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z3fw02e83pb">
            <w:r w:rsidR="00976436" w:rsidRPr="00C15108">
              <w:rPr>
                <w:rFonts w:eastAsia="Palatino Linotype" w:cs="Palatino Linotype"/>
                <w:szCs w:val="22"/>
              </w:rPr>
              <w:t>b) Turno de la solicitud de información</w:t>
            </w:r>
            <w:r w:rsidR="00976436" w:rsidRPr="00C15108">
              <w:rPr>
                <w:rFonts w:eastAsia="Palatino Linotype" w:cs="Palatino Linotype"/>
                <w:szCs w:val="22"/>
              </w:rPr>
              <w:tab/>
              <w:t>2</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628mv4is202">
            <w:r w:rsidR="00976436" w:rsidRPr="00C15108">
              <w:rPr>
                <w:rFonts w:eastAsia="Palatino Linotype" w:cs="Palatino Linotype"/>
                <w:szCs w:val="22"/>
              </w:rPr>
              <w:t>c) Respuestas del Sujeto Obligado.</w:t>
            </w:r>
            <w:r w:rsidR="00976436" w:rsidRPr="00C15108">
              <w:rPr>
                <w:rFonts w:eastAsia="Palatino Linotype" w:cs="Palatino Linotype"/>
                <w:szCs w:val="22"/>
              </w:rPr>
              <w:tab/>
              <w:t>2</w:t>
            </w:r>
          </w:hyperlink>
        </w:p>
        <w:p w:rsidR="00B8771D" w:rsidRPr="00C15108" w:rsidRDefault="00EE76A8" w:rsidP="00C1510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yqpqovtvdzqm">
            <w:r w:rsidR="00976436" w:rsidRPr="00C15108">
              <w:rPr>
                <w:rFonts w:eastAsia="Palatino Linotype" w:cs="Palatino Linotype"/>
                <w:szCs w:val="22"/>
              </w:rPr>
              <w:t>DEL RECURSO DE REVISIÓN</w:t>
            </w:r>
            <w:r w:rsidR="00976436" w:rsidRPr="00C15108">
              <w:rPr>
                <w:rFonts w:eastAsia="Palatino Linotype" w:cs="Palatino Linotype"/>
                <w:szCs w:val="22"/>
              </w:rPr>
              <w:tab/>
              <w:t>4</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97azuihpkvt">
            <w:r w:rsidR="00976436" w:rsidRPr="00C15108">
              <w:rPr>
                <w:rFonts w:eastAsia="Palatino Linotype" w:cs="Palatino Linotype"/>
                <w:szCs w:val="22"/>
              </w:rPr>
              <w:t>a) Interposición de los Recursos de Revisión.</w:t>
            </w:r>
            <w:r w:rsidR="00976436" w:rsidRPr="00C15108">
              <w:rPr>
                <w:rFonts w:eastAsia="Palatino Linotype" w:cs="Palatino Linotype"/>
                <w:szCs w:val="22"/>
              </w:rPr>
              <w:tab/>
              <w:t>4</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vjfa7919hrl">
            <w:r w:rsidR="00976436" w:rsidRPr="00C15108">
              <w:rPr>
                <w:rFonts w:eastAsia="Palatino Linotype" w:cs="Palatino Linotype"/>
                <w:szCs w:val="22"/>
              </w:rPr>
              <w:t>b) Turno de los Recursos de Revisión.</w:t>
            </w:r>
            <w:r w:rsidR="00976436" w:rsidRPr="00C15108">
              <w:rPr>
                <w:rFonts w:eastAsia="Palatino Linotype" w:cs="Palatino Linotype"/>
                <w:szCs w:val="22"/>
              </w:rPr>
              <w:tab/>
              <w:t>5</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8h9ms69eb61">
            <w:r w:rsidR="00976436" w:rsidRPr="00C15108">
              <w:rPr>
                <w:rFonts w:eastAsia="Palatino Linotype" w:cs="Palatino Linotype"/>
                <w:szCs w:val="22"/>
              </w:rPr>
              <w:t>c) Admisiones de los Recursos de Revisión.</w:t>
            </w:r>
            <w:r w:rsidR="00976436" w:rsidRPr="00C15108">
              <w:rPr>
                <w:rFonts w:eastAsia="Palatino Linotype" w:cs="Palatino Linotype"/>
                <w:szCs w:val="22"/>
              </w:rPr>
              <w:tab/>
              <w:t>5</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agwv7jlettg">
            <w:r w:rsidR="00976436" w:rsidRPr="00C15108">
              <w:rPr>
                <w:rFonts w:eastAsia="Palatino Linotype" w:cs="Palatino Linotype"/>
                <w:szCs w:val="22"/>
              </w:rPr>
              <w:t>d) Acumulación de los Recursos de Revisión</w:t>
            </w:r>
            <w:r w:rsidR="00976436" w:rsidRPr="00C15108">
              <w:rPr>
                <w:rFonts w:eastAsia="Palatino Linotype" w:cs="Palatino Linotype"/>
                <w:szCs w:val="22"/>
              </w:rPr>
              <w:tab/>
              <w:t>6</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uazhegz4d5j">
            <w:r w:rsidR="00976436" w:rsidRPr="00C15108">
              <w:rPr>
                <w:rFonts w:eastAsia="Palatino Linotype" w:cs="Palatino Linotype"/>
                <w:szCs w:val="22"/>
              </w:rPr>
              <w:t>e) Informes Justificados del Sujeto Obligado.</w:t>
            </w:r>
            <w:r w:rsidR="00976436" w:rsidRPr="00C15108">
              <w:rPr>
                <w:rFonts w:eastAsia="Palatino Linotype" w:cs="Palatino Linotype"/>
                <w:szCs w:val="22"/>
              </w:rPr>
              <w:tab/>
              <w:t>6</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k9crjxname5">
            <w:r w:rsidR="00976436" w:rsidRPr="00C15108">
              <w:rPr>
                <w:rFonts w:eastAsia="Palatino Linotype" w:cs="Palatino Linotype"/>
                <w:szCs w:val="22"/>
              </w:rPr>
              <w:t>f) Manifestaciones de la Parte Recurrente.</w:t>
            </w:r>
            <w:r w:rsidR="00976436" w:rsidRPr="00C15108">
              <w:rPr>
                <w:rFonts w:eastAsia="Palatino Linotype" w:cs="Palatino Linotype"/>
                <w:szCs w:val="22"/>
              </w:rPr>
              <w:tab/>
              <w:t>6</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ro5frh70ab5">
            <w:r w:rsidR="00976436" w:rsidRPr="00C15108">
              <w:rPr>
                <w:rFonts w:eastAsia="Palatino Linotype" w:cs="Palatino Linotype"/>
                <w:szCs w:val="22"/>
              </w:rPr>
              <w:t>g) Cierres de instrucción.</w:t>
            </w:r>
            <w:r w:rsidR="00976436" w:rsidRPr="00C15108">
              <w:rPr>
                <w:rFonts w:eastAsia="Palatino Linotype" w:cs="Palatino Linotype"/>
                <w:szCs w:val="22"/>
              </w:rPr>
              <w:tab/>
              <w:t>6</w:t>
            </w:r>
          </w:hyperlink>
        </w:p>
        <w:p w:rsidR="00B8771D" w:rsidRPr="00C15108" w:rsidRDefault="00EE76A8" w:rsidP="00C15108">
          <w:pPr>
            <w:pBdr>
              <w:top w:val="nil"/>
              <w:left w:val="nil"/>
              <w:bottom w:val="nil"/>
              <w:right w:val="nil"/>
              <w:between w:val="nil"/>
            </w:pBdr>
            <w:tabs>
              <w:tab w:val="right" w:pos="9034"/>
            </w:tabs>
            <w:spacing w:after="100"/>
            <w:rPr>
              <w:rFonts w:ascii="Aptos" w:eastAsia="Aptos" w:hAnsi="Aptos" w:cs="Aptos"/>
              <w:szCs w:val="22"/>
            </w:rPr>
          </w:pPr>
          <w:hyperlink w:anchor="_heading=h.730cs31x2trc">
            <w:r w:rsidR="00976436" w:rsidRPr="00C15108">
              <w:rPr>
                <w:rFonts w:eastAsia="Palatino Linotype" w:cs="Palatino Linotype"/>
                <w:szCs w:val="22"/>
              </w:rPr>
              <w:t>CONSIDERANDOS</w:t>
            </w:r>
            <w:r w:rsidR="00976436" w:rsidRPr="00C15108">
              <w:rPr>
                <w:rFonts w:eastAsia="Palatino Linotype" w:cs="Palatino Linotype"/>
                <w:szCs w:val="22"/>
              </w:rPr>
              <w:tab/>
              <w:t>6</w:t>
            </w:r>
          </w:hyperlink>
        </w:p>
        <w:p w:rsidR="00B8771D" w:rsidRPr="00C15108" w:rsidRDefault="00EE76A8" w:rsidP="00C1510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g5hmi6qb5jeb">
            <w:r w:rsidR="00976436" w:rsidRPr="00C15108">
              <w:rPr>
                <w:rFonts w:eastAsia="Palatino Linotype" w:cs="Palatino Linotype"/>
                <w:szCs w:val="22"/>
              </w:rPr>
              <w:t>PRIMERO. Procedibilidad</w:t>
            </w:r>
            <w:r w:rsidR="00976436" w:rsidRPr="00C15108">
              <w:rPr>
                <w:rFonts w:eastAsia="Palatino Linotype" w:cs="Palatino Linotype"/>
                <w:szCs w:val="22"/>
              </w:rPr>
              <w:tab/>
              <w:t>7</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3i2bxn407sq">
            <w:r w:rsidR="00976436" w:rsidRPr="00C15108">
              <w:rPr>
                <w:rFonts w:eastAsia="Palatino Linotype" w:cs="Palatino Linotype"/>
                <w:szCs w:val="22"/>
              </w:rPr>
              <w:t>a) Competencia del Instituto.</w:t>
            </w:r>
            <w:r w:rsidR="00976436" w:rsidRPr="00C15108">
              <w:rPr>
                <w:rFonts w:eastAsia="Palatino Linotype" w:cs="Palatino Linotype"/>
                <w:szCs w:val="22"/>
              </w:rPr>
              <w:tab/>
              <w:t>7</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80z5qiamegx">
            <w:r w:rsidR="00976436" w:rsidRPr="00C15108">
              <w:rPr>
                <w:rFonts w:eastAsia="Palatino Linotype" w:cs="Palatino Linotype"/>
                <w:szCs w:val="22"/>
              </w:rPr>
              <w:t>b) Legitimidad de la parte recurrente.</w:t>
            </w:r>
            <w:r w:rsidR="00976436" w:rsidRPr="00C15108">
              <w:rPr>
                <w:rFonts w:eastAsia="Palatino Linotype" w:cs="Palatino Linotype"/>
                <w:szCs w:val="22"/>
              </w:rPr>
              <w:tab/>
              <w:t>7</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f2e13a8jbpo">
            <w:r w:rsidR="00976436" w:rsidRPr="00C15108">
              <w:rPr>
                <w:rFonts w:eastAsia="Palatino Linotype" w:cs="Palatino Linotype"/>
                <w:szCs w:val="22"/>
              </w:rPr>
              <w:t>c) Plazo para interponer el recurso</w:t>
            </w:r>
            <w:r w:rsidR="00976436" w:rsidRPr="00C15108">
              <w:rPr>
                <w:rFonts w:eastAsia="Palatino Linotype" w:cs="Palatino Linotype"/>
                <w:szCs w:val="22"/>
              </w:rPr>
              <w:tab/>
              <w:t>7</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ub9osevq41v">
            <w:r w:rsidR="00976436" w:rsidRPr="00C15108">
              <w:rPr>
                <w:rFonts w:eastAsia="Palatino Linotype" w:cs="Palatino Linotype"/>
                <w:szCs w:val="22"/>
              </w:rPr>
              <w:t>d) Causal de procedencia</w:t>
            </w:r>
            <w:r w:rsidR="00976436" w:rsidRPr="00C15108">
              <w:rPr>
                <w:rFonts w:eastAsia="Palatino Linotype" w:cs="Palatino Linotype"/>
                <w:szCs w:val="22"/>
              </w:rPr>
              <w:tab/>
              <w:t>8</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7ylznexuhog">
            <w:r w:rsidR="00976436" w:rsidRPr="00C15108">
              <w:rPr>
                <w:rFonts w:eastAsia="Palatino Linotype" w:cs="Palatino Linotype"/>
                <w:szCs w:val="22"/>
              </w:rPr>
              <w:t>e) Requisitos formales para la interposición del recurso.</w:t>
            </w:r>
            <w:r w:rsidR="00976436" w:rsidRPr="00C15108">
              <w:rPr>
                <w:rFonts w:eastAsia="Palatino Linotype" w:cs="Palatino Linotype"/>
                <w:szCs w:val="22"/>
              </w:rPr>
              <w:tab/>
              <w:t>8</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h2wniwaa3yd">
            <w:r w:rsidR="00976436" w:rsidRPr="00C15108">
              <w:rPr>
                <w:rFonts w:eastAsia="Palatino Linotype" w:cs="Palatino Linotype"/>
                <w:szCs w:val="22"/>
              </w:rPr>
              <w:t>f) Acumulación de los Recursos de Revisión</w:t>
            </w:r>
            <w:r w:rsidR="00976436" w:rsidRPr="00C15108">
              <w:rPr>
                <w:rFonts w:eastAsia="Palatino Linotype" w:cs="Palatino Linotype"/>
                <w:szCs w:val="22"/>
              </w:rPr>
              <w:tab/>
              <w:t>8</w:t>
            </w:r>
          </w:hyperlink>
        </w:p>
        <w:p w:rsidR="00B8771D" w:rsidRPr="00C15108" w:rsidRDefault="00EE76A8" w:rsidP="00C1510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8xdk76dofgtn">
            <w:r w:rsidR="00976436" w:rsidRPr="00C15108">
              <w:rPr>
                <w:rFonts w:eastAsia="Palatino Linotype" w:cs="Palatino Linotype"/>
                <w:szCs w:val="22"/>
              </w:rPr>
              <w:t>SEGUNDO. Estudio de Fondo.</w:t>
            </w:r>
            <w:r w:rsidR="00976436" w:rsidRPr="00C15108">
              <w:rPr>
                <w:rFonts w:eastAsia="Palatino Linotype" w:cs="Palatino Linotype"/>
                <w:szCs w:val="22"/>
              </w:rPr>
              <w:tab/>
              <w:t>8</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hs0hrno4ixy">
            <w:r w:rsidR="00976436" w:rsidRPr="00C15108">
              <w:rPr>
                <w:rFonts w:eastAsia="Palatino Linotype" w:cs="Palatino Linotype"/>
                <w:szCs w:val="22"/>
              </w:rPr>
              <w:t>a) Mandato de transparencia y responsabilidad del Sujeto Obligado</w:t>
            </w:r>
            <w:r w:rsidR="00976436" w:rsidRPr="00C15108">
              <w:rPr>
                <w:rFonts w:eastAsia="Palatino Linotype" w:cs="Palatino Linotype"/>
                <w:szCs w:val="22"/>
              </w:rPr>
              <w:tab/>
              <w:t>8</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yl3f8gd2ire">
            <w:r w:rsidR="00976436" w:rsidRPr="00C15108">
              <w:rPr>
                <w:rFonts w:eastAsia="Palatino Linotype" w:cs="Palatino Linotype"/>
                <w:szCs w:val="22"/>
              </w:rPr>
              <w:t>b) Controversia a resolver.</w:t>
            </w:r>
            <w:r w:rsidR="00976436" w:rsidRPr="00C15108">
              <w:rPr>
                <w:rFonts w:eastAsia="Palatino Linotype" w:cs="Palatino Linotype"/>
                <w:szCs w:val="22"/>
              </w:rPr>
              <w:tab/>
              <w:t>11</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nqyhjakn1dk">
            <w:r w:rsidR="00976436" w:rsidRPr="00C15108">
              <w:rPr>
                <w:rFonts w:eastAsia="Palatino Linotype" w:cs="Palatino Linotype"/>
                <w:szCs w:val="22"/>
              </w:rPr>
              <w:t>c) Estudio de la controversia</w:t>
            </w:r>
            <w:r w:rsidR="00976436" w:rsidRPr="00C15108">
              <w:rPr>
                <w:rFonts w:eastAsia="Palatino Linotype" w:cs="Palatino Linotype"/>
                <w:szCs w:val="22"/>
              </w:rPr>
              <w:tab/>
              <w:t>12</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gteyb7uvprm">
            <w:r w:rsidR="00976436" w:rsidRPr="00C15108">
              <w:rPr>
                <w:rFonts w:eastAsia="Palatino Linotype" w:cs="Palatino Linotype"/>
                <w:szCs w:val="22"/>
              </w:rPr>
              <w:t>d) Versión pública</w:t>
            </w:r>
            <w:r w:rsidR="00976436" w:rsidRPr="00C15108">
              <w:rPr>
                <w:rFonts w:eastAsia="Palatino Linotype" w:cs="Palatino Linotype"/>
                <w:szCs w:val="22"/>
              </w:rPr>
              <w:tab/>
              <w:t>29</w:t>
            </w:r>
          </w:hyperlink>
        </w:p>
        <w:p w:rsidR="00B8771D" w:rsidRPr="00C15108" w:rsidRDefault="00EE76A8" w:rsidP="00C1510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ks4buux8vkk">
            <w:r w:rsidR="00976436" w:rsidRPr="00C15108">
              <w:rPr>
                <w:rFonts w:eastAsia="Palatino Linotype" w:cs="Palatino Linotype"/>
                <w:szCs w:val="22"/>
              </w:rPr>
              <w:t>e) Conclusión</w:t>
            </w:r>
            <w:r w:rsidR="00976436" w:rsidRPr="00C15108">
              <w:rPr>
                <w:rFonts w:eastAsia="Palatino Linotype" w:cs="Palatino Linotype"/>
                <w:szCs w:val="22"/>
              </w:rPr>
              <w:tab/>
              <w:t>39</w:t>
            </w:r>
          </w:hyperlink>
        </w:p>
        <w:p w:rsidR="00B8771D" w:rsidRPr="00C15108" w:rsidRDefault="00EE76A8" w:rsidP="00C15108">
          <w:pPr>
            <w:pBdr>
              <w:top w:val="nil"/>
              <w:left w:val="nil"/>
              <w:bottom w:val="nil"/>
              <w:right w:val="nil"/>
              <w:between w:val="nil"/>
            </w:pBdr>
            <w:tabs>
              <w:tab w:val="right" w:pos="9034"/>
            </w:tabs>
            <w:spacing w:after="100"/>
            <w:rPr>
              <w:rFonts w:ascii="Aptos" w:eastAsia="Aptos" w:hAnsi="Aptos" w:cs="Aptos"/>
              <w:szCs w:val="22"/>
            </w:rPr>
          </w:pPr>
          <w:hyperlink w:anchor="_heading=h.wviofrlls9a7">
            <w:r w:rsidR="00976436" w:rsidRPr="00C15108">
              <w:rPr>
                <w:rFonts w:eastAsia="Palatino Linotype" w:cs="Palatino Linotype"/>
                <w:szCs w:val="22"/>
              </w:rPr>
              <w:t>RESUELVE</w:t>
            </w:r>
            <w:r w:rsidR="00976436" w:rsidRPr="00C15108">
              <w:rPr>
                <w:rFonts w:eastAsia="Palatino Linotype" w:cs="Palatino Linotype"/>
                <w:szCs w:val="22"/>
              </w:rPr>
              <w:tab/>
              <w:t>39</w:t>
            </w:r>
          </w:hyperlink>
        </w:p>
        <w:p w:rsidR="00B8771D" w:rsidRPr="00C15108" w:rsidRDefault="00976436" w:rsidP="00C15108">
          <w:r w:rsidRPr="00C15108">
            <w:fldChar w:fldCharType="end"/>
          </w:r>
        </w:p>
      </w:sdtContent>
    </w:sdt>
    <w:p w:rsidR="00B8771D" w:rsidRPr="00C15108" w:rsidRDefault="00B8771D" w:rsidP="00C15108">
      <w:pPr>
        <w:spacing w:line="240" w:lineRule="auto"/>
        <w:rPr>
          <w:b/>
        </w:rPr>
        <w:sectPr w:rsidR="00B8771D" w:rsidRPr="00C1510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B8771D" w:rsidRPr="00C15108" w:rsidRDefault="00976436" w:rsidP="00C15108">
      <w:pPr>
        <w:rPr>
          <w:b/>
        </w:rPr>
      </w:pPr>
      <w:r w:rsidRPr="00C15108">
        <w:lastRenderedPageBreak/>
        <w:t xml:space="preserve">Resolución del Pleno del Instituto de Transparencia, Acceso a la Información Pública y Protección de Datos Personales del Estado de México y Municipios, con domicilio en Metepec, Estado de México, </w:t>
      </w:r>
      <w:r w:rsidR="00C15108" w:rsidRPr="00C15108">
        <w:t>d</w:t>
      </w:r>
      <w:r w:rsidRPr="00C15108">
        <w:t>el</w:t>
      </w:r>
      <w:r w:rsidRPr="00C15108">
        <w:rPr>
          <w:b/>
        </w:rPr>
        <w:t xml:space="preserve"> </w:t>
      </w:r>
      <w:r w:rsidR="008B4728" w:rsidRPr="00C15108">
        <w:rPr>
          <w:b/>
        </w:rPr>
        <w:t>dos</w:t>
      </w:r>
      <w:r w:rsidRPr="00C15108">
        <w:rPr>
          <w:b/>
        </w:rPr>
        <w:t xml:space="preserve"> de abril de dos mil veinticinco.</w:t>
      </w:r>
    </w:p>
    <w:p w:rsidR="00B8771D" w:rsidRPr="00C15108" w:rsidRDefault="00B8771D" w:rsidP="00C15108"/>
    <w:p w:rsidR="00B8771D" w:rsidRPr="00C15108" w:rsidRDefault="00976436" w:rsidP="00C15108">
      <w:pPr>
        <w:rPr>
          <w:b/>
        </w:rPr>
      </w:pPr>
      <w:bookmarkStart w:id="2" w:name="_heading=h.8q9stszgblqx" w:colFirst="0" w:colLast="0"/>
      <w:bookmarkEnd w:id="2"/>
      <w:r w:rsidRPr="00C15108">
        <w:rPr>
          <w:b/>
        </w:rPr>
        <w:t>VISTOS</w:t>
      </w:r>
      <w:r w:rsidRPr="00C15108">
        <w:t xml:space="preserve"> los expedientes formados con motivo de los Recursos Revisión </w:t>
      </w:r>
      <w:r w:rsidRPr="00C15108">
        <w:rPr>
          <w:b/>
        </w:rPr>
        <w:t xml:space="preserve">02017/INFOEM/IP/RR/2025 </w:t>
      </w:r>
      <w:r w:rsidRPr="00C15108">
        <w:t>y</w:t>
      </w:r>
      <w:r w:rsidRPr="00C15108">
        <w:rPr>
          <w:b/>
        </w:rPr>
        <w:t xml:space="preserve"> 02019/INFOEM/IP/RR/2025 acumulados, </w:t>
      </w:r>
      <w:r w:rsidRPr="00C15108">
        <w:t xml:space="preserve">promovidos por </w:t>
      </w:r>
      <w:bookmarkStart w:id="3" w:name="_GoBack"/>
      <w:r w:rsidR="00790144">
        <w:rPr>
          <w:b/>
        </w:rPr>
        <w:t xml:space="preserve">XXXXXXXX </w:t>
      </w:r>
      <w:proofErr w:type="spellStart"/>
      <w:r w:rsidR="00790144">
        <w:rPr>
          <w:b/>
        </w:rPr>
        <w:t>XXXXXXXX</w:t>
      </w:r>
      <w:proofErr w:type="spellEnd"/>
      <w:r w:rsidR="00790144">
        <w:rPr>
          <w:b/>
        </w:rPr>
        <w:t xml:space="preserve"> XXXXXXX XXXXXXXXX</w:t>
      </w:r>
      <w:bookmarkEnd w:id="3"/>
      <w:r w:rsidRPr="00C15108">
        <w:t>,</w:t>
      </w:r>
      <w:r w:rsidRPr="00C15108">
        <w:rPr>
          <w:b/>
        </w:rPr>
        <w:t xml:space="preserve"> </w:t>
      </w:r>
      <w:r w:rsidRPr="00C15108">
        <w:t>a quien</w:t>
      </w:r>
      <w:r w:rsidRPr="00C15108">
        <w:rPr>
          <w:b/>
        </w:rPr>
        <w:t xml:space="preserve"> </w:t>
      </w:r>
      <w:r w:rsidRPr="00C15108">
        <w:t xml:space="preserve">en lo subsecuente se le denominará </w:t>
      </w:r>
      <w:r w:rsidRPr="00C15108">
        <w:rPr>
          <w:b/>
        </w:rPr>
        <w:t>LA PARTE RECURRENTE</w:t>
      </w:r>
      <w:r w:rsidRPr="00C15108">
        <w:t xml:space="preserve">, en contra de las respuestas del </w:t>
      </w:r>
      <w:r w:rsidRPr="00C15108">
        <w:rPr>
          <w:b/>
        </w:rPr>
        <w:t xml:space="preserve">Ayuntamiento de Jiquipilco, </w:t>
      </w:r>
      <w:r w:rsidRPr="00C15108">
        <w:t xml:space="preserve">que en lo sucesivo se denominará </w:t>
      </w:r>
      <w:r w:rsidRPr="00C15108">
        <w:rPr>
          <w:b/>
        </w:rPr>
        <w:t>EL SUJETO OBLIGADO</w:t>
      </w:r>
      <w:r w:rsidRPr="00C15108">
        <w:t>, se emite la presente Resolución con base en los Antecedentes y Considerandos que se exponen a continuación:</w:t>
      </w:r>
    </w:p>
    <w:p w:rsidR="00B8771D" w:rsidRPr="00C15108" w:rsidRDefault="00B8771D" w:rsidP="00C15108"/>
    <w:p w:rsidR="00B8771D" w:rsidRPr="00C15108" w:rsidRDefault="00976436" w:rsidP="00C15108">
      <w:pPr>
        <w:pStyle w:val="Ttulo1"/>
      </w:pPr>
      <w:bookmarkStart w:id="4" w:name="_heading=h.2wmqsosfjx5o" w:colFirst="0" w:colLast="0"/>
      <w:bookmarkEnd w:id="4"/>
      <w:r w:rsidRPr="00C15108">
        <w:t>ANTECEDENTES</w:t>
      </w:r>
    </w:p>
    <w:p w:rsidR="00B8771D" w:rsidRPr="00C15108" w:rsidRDefault="00B8771D" w:rsidP="00C15108"/>
    <w:p w:rsidR="00B8771D" w:rsidRPr="00C15108" w:rsidRDefault="00976436" w:rsidP="00C15108">
      <w:pPr>
        <w:pStyle w:val="Ttulo2"/>
      </w:pPr>
      <w:bookmarkStart w:id="5" w:name="_heading=h.grlywpq5ewza" w:colFirst="0" w:colLast="0"/>
      <w:bookmarkEnd w:id="5"/>
      <w:r w:rsidRPr="00C15108">
        <w:t>DE LAS SOLICITUDES DE INFORMACIÓN</w:t>
      </w:r>
    </w:p>
    <w:p w:rsidR="00B8771D" w:rsidRPr="00C15108" w:rsidRDefault="00976436" w:rsidP="00C15108">
      <w:pPr>
        <w:pStyle w:val="Ttulo3"/>
      </w:pPr>
      <w:bookmarkStart w:id="6" w:name="_heading=h.d4119qgwc2sm" w:colFirst="0" w:colLast="0"/>
      <w:bookmarkEnd w:id="6"/>
      <w:r w:rsidRPr="00C15108">
        <w:t>a) Solicitudes de información.</w:t>
      </w:r>
    </w:p>
    <w:p w:rsidR="00B8771D" w:rsidRPr="00C15108" w:rsidRDefault="00976436" w:rsidP="00C15108">
      <w:pPr>
        <w:pBdr>
          <w:top w:val="nil"/>
          <w:left w:val="nil"/>
          <w:bottom w:val="nil"/>
          <w:right w:val="nil"/>
          <w:between w:val="nil"/>
        </w:pBdr>
        <w:tabs>
          <w:tab w:val="left" w:pos="0"/>
        </w:tabs>
      </w:pPr>
      <w:r w:rsidRPr="00C15108">
        <w:t xml:space="preserve">El </w:t>
      </w:r>
      <w:r w:rsidRPr="00C15108">
        <w:rPr>
          <w:b/>
        </w:rPr>
        <w:t>quince y diecisiete de enero de dos mil veinticinco,</w:t>
      </w:r>
      <w:r w:rsidRPr="00C15108">
        <w:t xml:space="preserve"> </w:t>
      </w:r>
      <w:r w:rsidRPr="00C15108">
        <w:rPr>
          <w:b/>
        </w:rPr>
        <w:t>LA PARTE RECURRENTE</w:t>
      </w:r>
      <w:r w:rsidRPr="00C15108">
        <w:t xml:space="preserve"> presentó las solicitudes de acceso a la información pública ante el </w:t>
      </w:r>
      <w:r w:rsidRPr="00C15108">
        <w:rPr>
          <w:b/>
        </w:rPr>
        <w:t>SUJETO OBLIGADO</w:t>
      </w:r>
      <w:r w:rsidRPr="00C15108">
        <w:t>, a través del Sistema de Acceso a la Información Mexiquense (SAIMEX). Dichas solicitudes quedaron registradas con los números de folio</w:t>
      </w:r>
      <w:r w:rsidRPr="00C15108">
        <w:rPr>
          <w:b/>
        </w:rPr>
        <w:t xml:space="preserve"> 00019/JIQUIPIL/IP/2025 </w:t>
      </w:r>
      <w:r w:rsidRPr="00C15108">
        <w:t xml:space="preserve">y </w:t>
      </w:r>
      <w:r w:rsidRPr="00C15108">
        <w:rPr>
          <w:b/>
        </w:rPr>
        <w:t xml:space="preserve">00022/JIQUIPIL/IP/2025, </w:t>
      </w:r>
      <w:r w:rsidRPr="00C15108">
        <w:t>requiriendo la siguiente información:</w:t>
      </w:r>
    </w:p>
    <w:p w:rsidR="00B8771D" w:rsidRPr="00C15108" w:rsidRDefault="00B8771D" w:rsidP="00C15108">
      <w:pPr>
        <w:widowControl w:val="0"/>
        <w:rPr>
          <w:b/>
        </w:rPr>
      </w:pPr>
    </w:p>
    <w:tbl>
      <w:tblPr>
        <w:tblStyle w:val="a6"/>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5812"/>
      </w:tblGrid>
      <w:tr w:rsidR="00C15108" w:rsidRPr="00C15108">
        <w:trPr>
          <w:jc w:val="center"/>
        </w:trPr>
        <w:tc>
          <w:tcPr>
            <w:tcW w:w="3015" w:type="dxa"/>
            <w:shd w:val="clear" w:color="auto" w:fill="D9D9D9"/>
          </w:tcPr>
          <w:p w:rsidR="00B8771D" w:rsidRPr="00C15108" w:rsidRDefault="00976436" w:rsidP="00C15108">
            <w:pPr>
              <w:widowControl w:val="0"/>
              <w:jc w:val="center"/>
              <w:rPr>
                <w:b/>
              </w:rPr>
            </w:pPr>
            <w:bookmarkStart w:id="7" w:name="_heading=h.76w35gh592c2" w:colFirst="0" w:colLast="0"/>
            <w:bookmarkEnd w:id="7"/>
            <w:r w:rsidRPr="00C15108">
              <w:rPr>
                <w:b/>
              </w:rPr>
              <w:t>Folio de la Solicitud</w:t>
            </w:r>
          </w:p>
        </w:tc>
        <w:tc>
          <w:tcPr>
            <w:tcW w:w="5812" w:type="dxa"/>
            <w:shd w:val="clear" w:color="auto" w:fill="D9D9D9"/>
          </w:tcPr>
          <w:p w:rsidR="00B8771D" w:rsidRPr="00C15108" w:rsidRDefault="00976436" w:rsidP="00C15108">
            <w:pPr>
              <w:widowControl w:val="0"/>
              <w:jc w:val="center"/>
              <w:rPr>
                <w:b/>
              </w:rPr>
            </w:pPr>
            <w:r w:rsidRPr="00C15108">
              <w:rPr>
                <w:b/>
              </w:rPr>
              <w:t>Solicitud</w:t>
            </w:r>
          </w:p>
        </w:tc>
      </w:tr>
      <w:tr w:rsidR="00C15108" w:rsidRPr="00C15108">
        <w:trPr>
          <w:jc w:val="center"/>
        </w:trPr>
        <w:tc>
          <w:tcPr>
            <w:tcW w:w="3015" w:type="dxa"/>
          </w:tcPr>
          <w:p w:rsidR="00B8771D" w:rsidRPr="00C15108" w:rsidRDefault="00976436" w:rsidP="00C15108">
            <w:pPr>
              <w:widowControl w:val="0"/>
              <w:jc w:val="center"/>
              <w:rPr>
                <w:b/>
              </w:rPr>
            </w:pPr>
            <w:r w:rsidRPr="00C15108">
              <w:rPr>
                <w:b/>
              </w:rPr>
              <w:t>00019/JIQUIPIL/IP/2025</w:t>
            </w:r>
          </w:p>
        </w:tc>
        <w:tc>
          <w:tcPr>
            <w:tcW w:w="5812" w:type="dxa"/>
          </w:tcPr>
          <w:p w:rsidR="00B8771D" w:rsidRPr="00C15108" w:rsidRDefault="00976436" w:rsidP="00C15108">
            <w:pPr>
              <w:widowControl w:val="0"/>
              <w:rPr>
                <w:i/>
              </w:rPr>
            </w:pPr>
            <w:r w:rsidRPr="00C15108">
              <w:rPr>
                <w:i/>
              </w:rPr>
              <w:t>Solicito que a través del Saimex se me proporcione la versión pública de los recibos de nómina emitidos en favor del Presidente, Síndico y Regidores Municipales del Ayuntamiento de Jiquipilco correspondientes a la primera quincena del mes de enero del año 2025.</w:t>
            </w:r>
          </w:p>
        </w:tc>
      </w:tr>
      <w:tr w:rsidR="00B8771D" w:rsidRPr="00C15108">
        <w:trPr>
          <w:jc w:val="center"/>
        </w:trPr>
        <w:tc>
          <w:tcPr>
            <w:tcW w:w="3015" w:type="dxa"/>
          </w:tcPr>
          <w:p w:rsidR="00B8771D" w:rsidRPr="00C15108" w:rsidRDefault="00976436" w:rsidP="00C15108">
            <w:pPr>
              <w:widowControl w:val="0"/>
              <w:jc w:val="center"/>
              <w:rPr>
                <w:b/>
              </w:rPr>
            </w:pPr>
            <w:r w:rsidRPr="00C15108">
              <w:rPr>
                <w:b/>
              </w:rPr>
              <w:lastRenderedPageBreak/>
              <w:t>00022/JIQUIPIL/IP/2025</w:t>
            </w:r>
          </w:p>
        </w:tc>
        <w:tc>
          <w:tcPr>
            <w:tcW w:w="5812" w:type="dxa"/>
          </w:tcPr>
          <w:p w:rsidR="00B8771D" w:rsidRPr="00C15108" w:rsidRDefault="00976436" w:rsidP="00C15108">
            <w:pPr>
              <w:rPr>
                <w:i/>
              </w:rPr>
            </w:pPr>
            <w:r w:rsidRPr="00C15108">
              <w:rPr>
                <w:i/>
              </w:rPr>
              <w:t>Solicito que a través del Saimex se me proporcione la versión pública de los recibos de nóminas correspondientes a la primera quincena del mes de enero del año 2025 de todos y cada uno de los directores o titulares de las unidades o dependencias del Ayuntamiento de Jiquipilco</w:t>
            </w:r>
          </w:p>
        </w:tc>
      </w:tr>
    </w:tbl>
    <w:p w:rsidR="00B8771D" w:rsidRPr="00C15108" w:rsidRDefault="00B8771D" w:rsidP="00C15108">
      <w:pPr>
        <w:widowControl w:val="0"/>
        <w:rPr>
          <w:b/>
        </w:rPr>
      </w:pPr>
    </w:p>
    <w:p w:rsidR="00B8771D" w:rsidRPr="00C15108" w:rsidRDefault="00976436" w:rsidP="00C15108">
      <w:pPr>
        <w:tabs>
          <w:tab w:val="left" w:pos="4667"/>
        </w:tabs>
        <w:ind w:right="567"/>
      </w:pPr>
      <w:r w:rsidRPr="00C15108">
        <w:rPr>
          <w:b/>
        </w:rPr>
        <w:t>Modalidad de entrega</w:t>
      </w:r>
      <w:r w:rsidRPr="00C15108">
        <w:t xml:space="preserve">: a través del </w:t>
      </w:r>
      <w:r w:rsidRPr="00C15108">
        <w:rPr>
          <w:b/>
        </w:rPr>
        <w:t>SAIMEX</w:t>
      </w:r>
      <w:r w:rsidRPr="00C15108">
        <w:t>.</w:t>
      </w:r>
    </w:p>
    <w:p w:rsidR="00B8771D" w:rsidRPr="00C15108" w:rsidRDefault="00B8771D" w:rsidP="00C15108">
      <w:pPr>
        <w:tabs>
          <w:tab w:val="left" w:pos="4667"/>
        </w:tabs>
        <w:ind w:right="567"/>
      </w:pPr>
    </w:p>
    <w:p w:rsidR="00B8771D" w:rsidRPr="00C15108" w:rsidRDefault="00976436" w:rsidP="00C15108">
      <w:pPr>
        <w:pStyle w:val="Ttulo3"/>
        <w:spacing w:line="360" w:lineRule="auto"/>
      </w:pPr>
      <w:bookmarkStart w:id="8" w:name="_heading=h.5z3fw02e83pb" w:colFirst="0" w:colLast="0"/>
      <w:bookmarkEnd w:id="8"/>
      <w:r w:rsidRPr="00C15108">
        <w:t>b) Turno de la solicitud de información</w:t>
      </w:r>
    </w:p>
    <w:p w:rsidR="00B8771D" w:rsidRPr="00C15108" w:rsidRDefault="00976436" w:rsidP="00C15108">
      <w:r w:rsidRPr="00C15108">
        <w:t xml:space="preserve">En cumplimiento al artículo 162 de la Ley de Transparencia y Acceso a la Información Pública del Estado de México y Municipios, el </w:t>
      </w:r>
      <w:r w:rsidRPr="00C15108">
        <w:rPr>
          <w:b/>
        </w:rPr>
        <w:t>siete de febrero de dos mil veinticinco,</w:t>
      </w:r>
      <w:r w:rsidRPr="00C15108">
        <w:t xml:space="preserve"> la Titular de la Unidad de Transparencia del </w:t>
      </w:r>
      <w:r w:rsidRPr="00C15108">
        <w:rPr>
          <w:b/>
        </w:rPr>
        <w:t>SUJETO OBLIGADO</w:t>
      </w:r>
      <w:r w:rsidRPr="00C15108">
        <w:t xml:space="preserve"> turnó la solicitud de información </w:t>
      </w:r>
      <w:r w:rsidRPr="00C15108">
        <w:rPr>
          <w:b/>
        </w:rPr>
        <w:t>00022/JIQUIPIL/IP/2025</w:t>
      </w:r>
      <w:r w:rsidRPr="00C15108">
        <w:t xml:space="preserve"> al servidor público habilitado que estimó pertinente.</w:t>
      </w:r>
    </w:p>
    <w:p w:rsidR="00B8771D" w:rsidRPr="00C15108" w:rsidRDefault="00B8771D" w:rsidP="00C15108">
      <w:pPr>
        <w:tabs>
          <w:tab w:val="left" w:pos="4667"/>
        </w:tabs>
        <w:ind w:right="567"/>
      </w:pPr>
    </w:p>
    <w:p w:rsidR="00B8771D" w:rsidRPr="00C15108" w:rsidRDefault="00976436" w:rsidP="00C15108">
      <w:pPr>
        <w:pStyle w:val="Ttulo3"/>
      </w:pPr>
      <w:bookmarkStart w:id="9" w:name="_heading=h.j628mv4is202" w:colFirst="0" w:colLast="0"/>
      <w:bookmarkEnd w:id="9"/>
      <w:r w:rsidRPr="00C15108">
        <w:t>c) Respuestas del Sujeto Obligado.</w:t>
      </w:r>
    </w:p>
    <w:p w:rsidR="00B8771D" w:rsidRPr="00C15108" w:rsidRDefault="00976436" w:rsidP="00C15108">
      <w:pPr>
        <w:widowControl w:val="0"/>
      </w:pPr>
      <w:r w:rsidRPr="00C15108">
        <w:t xml:space="preserve">De las constancias que obran en los expedientes electrónicos del </w:t>
      </w:r>
      <w:r w:rsidRPr="00C15108">
        <w:rPr>
          <w:b/>
        </w:rPr>
        <w:t xml:space="preserve">SAIMEX </w:t>
      </w:r>
      <w:r w:rsidRPr="00C15108">
        <w:t xml:space="preserve">relacionados con el presente estudio, se aprecia que el </w:t>
      </w:r>
      <w:r w:rsidRPr="00C15108">
        <w:rPr>
          <w:b/>
        </w:rPr>
        <w:t>cinco y siete de febrero de dos mil veinticinco</w:t>
      </w:r>
      <w:r w:rsidRPr="00C15108">
        <w:t xml:space="preserve">, </w:t>
      </w:r>
      <w:r w:rsidRPr="00C15108">
        <w:rPr>
          <w:b/>
        </w:rPr>
        <w:t>EL SUJETO OBLIGADO</w:t>
      </w:r>
      <w:r w:rsidRPr="00C15108">
        <w:t xml:space="preserve"> dio respuesta a las solicitudes de información en el tenor siguiente: </w:t>
      </w:r>
    </w:p>
    <w:p w:rsidR="00B8771D" w:rsidRPr="00C15108" w:rsidRDefault="00B8771D" w:rsidP="00C15108">
      <w:pPr>
        <w:widowControl w:val="0"/>
      </w:pPr>
    </w:p>
    <w:p w:rsidR="00B8771D" w:rsidRPr="00C15108" w:rsidRDefault="00976436" w:rsidP="00C15108">
      <w:pPr>
        <w:widowControl w:val="0"/>
      </w:pPr>
      <w:r w:rsidRPr="00C15108">
        <w:t xml:space="preserve">Folio de la Solicitud: </w:t>
      </w:r>
      <w:r w:rsidRPr="00C15108">
        <w:rPr>
          <w:b/>
        </w:rPr>
        <w:t>00019/JIQUIPIL/IP/2025</w:t>
      </w:r>
    </w:p>
    <w:p w:rsidR="00B8771D" w:rsidRPr="00C15108" w:rsidRDefault="00976436" w:rsidP="00C15108">
      <w:pPr>
        <w:widowControl w:val="0"/>
      </w:pPr>
      <w:r w:rsidRPr="00C15108">
        <w:t xml:space="preserve">Recurso de Revisión: </w:t>
      </w:r>
      <w:r w:rsidRPr="00C15108">
        <w:rPr>
          <w:b/>
        </w:rPr>
        <w:t>02017/INFOEM/IP/RR/2025</w:t>
      </w:r>
    </w:p>
    <w:p w:rsidR="00B8771D" w:rsidRPr="00C15108" w:rsidRDefault="00B8771D" w:rsidP="00C15108">
      <w:pPr>
        <w:pStyle w:val="Puesto"/>
        <w:ind w:firstLine="567"/>
        <w:jc w:val="right"/>
      </w:pPr>
    </w:p>
    <w:p w:rsidR="00B8771D" w:rsidRPr="00C15108" w:rsidRDefault="00976436" w:rsidP="00C15108">
      <w:pPr>
        <w:pStyle w:val="Puesto"/>
        <w:ind w:firstLine="567"/>
      </w:pPr>
      <w:r w:rsidRPr="00C15108">
        <w:t>Folio de la solicitud: 00019/JIQUIPIL/IP/2025</w:t>
      </w:r>
    </w:p>
    <w:p w:rsidR="00B8771D" w:rsidRPr="00C15108" w:rsidRDefault="00B8771D" w:rsidP="00C15108"/>
    <w:p w:rsidR="00B8771D" w:rsidRPr="00C15108" w:rsidRDefault="00976436" w:rsidP="00C15108">
      <w:pPr>
        <w:pStyle w:val="Puesto"/>
        <w:ind w:firstLine="567"/>
      </w:pPr>
      <w:r w:rsidRPr="00C15108">
        <w:t>SE REMITE LA RESPUESTA ENTREGADA POR EL ARES RESPONSABLE</w:t>
      </w:r>
    </w:p>
    <w:p w:rsidR="00B8771D" w:rsidRPr="00C15108" w:rsidRDefault="00B8771D" w:rsidP="00C15108"/>
    <w:p w:rsidR="00B8771D" w:rsidRPr="00C15108" w:rsidRDefault="00976436" w:rsidP="00C15108">
      <w:pPr>
        <w:pStyle w:val="Puesto"/>
        <w:ind w:firstLine="567"/>
      </w:pPr>
      <w:r w:rsidRPr="00C15108">
        <w:t>ATENTAMENTE</w:t>
      </w:r>
    </w:p>
    <w:p w:rsidR="00B8771D" w:rsidRPr="00C15108" w:rsidRDefault="00976436" w:rsidP="00C15108">
      <w:pPr>
        <w:pStyle w:val="Puesto"/>
        <w:ind w:firstLine="567"/>
      </w:pPr>
      <w:r w:rsidRPr="00C15108">
        <w:t>L. EN D. OMAR ROBLES JIMENEZ</w:t>
      </w:r>
    </w:p>
    <w:p w:rsidR="00B8771D" w:rsidRPr="00C15108" w:rsidRDefault="00B8771D" w:rsidP="00C15108">
      <w:pPr>
        <w:widowControl w:val="0"/>
      </w:pPr>
    </w:p>
    <w:p w:rsidR="00B8771D" w:rsidRPr="00C15108" w:rsidRDefault="00976436" w:rsidP="00C15108">
      <w:pPr>
        <w:widowControl w:val="0"/>
      </w:pPr>
      <w:r w:rsidRPr="00C15108">
        <w:lastRenderedPageBreak/>
        <w:t xml:space="preserve">Cabe señalar que </w:t>
      </w:r>
      <w:r w:rsidRPr="00C15108">
        <w:rPr>
          <w:b/>
        </w:rPr>
        <w:t xml:space="preserve">EL SUJETO OBLIGADO </w:t>
      </w:r>
      <w:r w:rsidRPr="00C15108">
        <w:t>adjuntó los archivos electrónicos que se describen a continuación:</w:t>
      </w:r>
    </w:p>
    <w:p w:rsidR="00B8771D" w:rsidRPr="00C15108" w:rsidRDefault="00976436" w:rsidP="00C15108">
      <w:pPr>
        <w:numPr>
          <w:ilvl w:val="0"/>
          <w:numId w:val="3"/>
        </w:numPr>
        <w:rPr>
          <w:b/>
          <w:i/>
        </w:rPr>
      </w:pPr>
      <w:r w:rsidRPr="00C15108">
        <w:rPr>
          <w:b/>
          <w:i/>
        </w:rPr>
        <w:t>RESPUESTA 019 TESORERIA.pdf</w:t>
      </w:r>
    </w:p>
    <w:p w:rsidR="00B8771D" w:rsidRPr="00C15108" w:rsidRDefault="00976436" w:rsidP="00C15108">
      <w:r w:rsidRPr="00C15108">
        <w:t>Archivo constante de una página en la que se contiene el oficio número TMJ/037/2025, de fecha 28 de enero de 2025, dirigido al Coordinador de la Unidad de Transparencia, suscrito por el Tesorero Municipal, quien le indicó que remitió en versión pública los recibos de nómina de la primera quincena de enero de 2025, del Presidente Municipal, Síndico y regidores del ayuntamiento.</w:t>
      </w:r>
    </w:p>
    <w:p w:rsidR="00B8771D" w:rsidRPr="00C15108" w:rsidRDefault="00B8771D" w:rsidP="00C15108"/>
    <w:p w:rsidR="00B8771D" w:rsidRPr="00C15108" w:rsidRDefault="00976436" w:rsidP="00C15108">
      <w:pPr>
        <w:numPr>
          <w:ilvl w:val="0"/>
          <w:numId w:val="2"/>
        </w:numPr>
        <w:rPr>
          <w:b/>
          <w:i/>
        </w:rPr>
      </w:pPr>
      <w:r w:rsidRPr="00C15108">
        <w:rPr>
          <w:b/>
          <w:i/>
        </w:rPr>
        <w:t>Recibo de nómina Cabildo 202501.pdf</w:t>
      </w:r>
    </w:p>
    <w:p w:rsidR="00B8771D" w:rsidRPr="00C15108" w:rsidRDefault="00976436" w:rsidP="00C15108">
      <w:r w:rsidRPr="00C15108">
        <w:t>Archivo constante de nueve páginas, en las que se contiene en versión pública diversos recibos de nómina.</w:t>
      </w:r>
    </w:p>
    <w:p w:rsidR="00B8771D" w:rsidRPr="00C15108" w:rsidRDefault="00B8771D" w:rsidP="00C15108">
      <w:pPr>
        <w:rPr>
          <w:b/>
          <w:i/>
        </w:rPr>
      </w:pPr>
    </w:p>
    <w:p w:rsidR="00B8771D" w:rsidRPr="00C15108" w:rsidRDefault="00976436" w:rsidP="00C15108">
      <w:pPr>
        <w:widowControl w:val="0"/>
      </w:pPr>
      <w:r w:rsidRPr="00C15108">
        <w:t xml:space="preserve">Folio de la Solicitud: </w:t>
      </w:r>
      <w:r w:rsidRPr="00C15108">
        <w:rPr>
          <w:b/>
        </w:rPr>
        <w:t>00022/JIQUIPIL/IP/2025</w:t>
      </w:r>
    </w:p>
    <w:p w:rsidR="00B8771D" w:rsidRPr="00C15108" w:rsidRDefault="00976436" w:rsidP="00C15108">
      <w:pPr>
        <w:widowControl w:val="0"/>
      </w:pPr>
      <w:r w:rsidRPr="00C15108">
        <w:t xml:space="preserve">Recurso de Revisión: </w:t>
      </w:r>
      <w:r w:rsidRPr="00C15108">
        <w:rPr>
          <w:b/>
        </w:rPr>
        <w:t>02019/INFOEM/IP/RR/2025</w:t>
      </w:r>
    </w:p>
    <w:p w:rsidR="00B8771D" w:rsidRPr="00C15108" w:rsidRDefault="00B8771D" w:rsidP="00C15108">
      <w:pPr>
        <w:pStyle w:val="Puesto"/>
        <w:ind w:firstLine="567"/>
        <w:jc w:val="right"/>
      </w:pPr>
    </w:p>
    <w:p w:rsidR="00B8771D" w:rsidRPr="00C15108" w:rsidRDefault="00976436" w:rsidP="00C15108">
      <w:pPr>
        <w:pStyle w:val="Puesto"/>
        <w:ind w:firstLine="567"/>
      </w:pPr>
      <w:r w:rsidRPr="00C15108">
        <w:t>Folio de la solicitud: 00022/JIQUIPIL/IP/2025</w:t>
      </w:r>
    </w:p>
    <w:p w:rsidR="00B8771D" w:rsidRPr="00C15108" w:rsidRDefault="00B8771D" w:rsidP="00C15108"/>
    <w:p w:rsidR="00B8771D" w:rsidRPr="00C15108" w:rsidRDefault="00976436" w:rsidP="00C15108">
      <w:pPr>
        <w:pStyle w:val="Puesto"/>
        <w:ind w:firstLine="567"/>
      </w:pPr>
      <w:r w:rsidRPr="00C15108">
        <w:t>En respuesta a la solicitud recibida, nos permitimos hacer de su conocimiento que con fundamento en el artículo 53, Fracciones: II, V y VI de la Ley de Transparencia y Acceso a la Información Pública del Estado de México y Municipios, le contestamos que:</w:t>
      </w:r>
    </w:p>
    <w:p w:rsidR="00B8771D" w:rsidRPr="00C15108" w:rsidRDefault="00B8771D" w:rsidP="00C15108"/>
    <w:p w:rsidR="00B8771D" w:rsidRPr="00C15108" w:rsidRDefault="00976436" w:rsidP="00C15108">
      <w:pPr>
        <w:pStyle w:val="Puesto"/>
        <w:ind w:firstLine="567"/>
      </w:pPr>
      <w:r w:rsidRPr="00C15108">
        <w:t>SE REMITE RESPUESTA ENTREGADA POR EL ÁREA RESPONSABLE ( TESORERÍA)</w:t>
      </w:r>
    </w:p>
    <w:p w:rsidR="00B8771D" w:rsidRPr="00C15108" w:rsidRDefault="00B8771D" w:rsidP="00C15108"/>
    <w:p w:rsidR="00B8771D" w:rsidRPr="00C15108" w:rsidRDefault="00976436" w:rsidP="00C15108">
      <w:pPr>
        <w:pStyle w:val="Puesto"/>
        <w:ind w:firstLine="567"/>
      </w:pPr>
      <w:r w:rsidRPr="00C15108">
        <w:t>ATENTAMENTE</w:t>
      </w:r>
    </w:p>
    <w:p w:rsidR="00B8771D" w:rsidRPr="00C15108" w:rsidRDefault="00976436" w:rsidP="00C15108">
      <w:pPr>
        <w:pStyle w:val="Puesto"/>
        <w:ind w:firstLine="567"/>
      </w:pPr>
      <w:r w:rsidRPr="00C15108">
        <w:t>L. EN D. OMAR ROBLES JIMENEZ</w:t>
      </w:r>
    </w:p>
    <w:p w:rsidR="00B8771D" w:rsidRPr="00C15108" w:rsidRDefault="00B8771D" w:rsidP="00C15108">
      <w:pPr>
        <w:pStyle w:val="Puesto"/>
        <w:ind w:firstLine="567"/>
      </w:pPr>
    </w:p>
    <w:p w:rsidR="00B8771D" w:rsidRPr="00C15108" w:rsidRDefault="00B8771D" w:rsidP="00C15108">
      <w:pPr>
        <w:rPr>
          <w:i/>
        </w:rPr>
      </w:pPr>
    </w:p>
    <w:p w:rsidR="00B8771D" w:rsidRPr="00C15108" w:rsidRDefault="00976436" w:rsidP="00C15108">
      <w:pPr>
        <w:numPr>
          <w:ilvl w:val="0"/>
          <w:numId w:val="2"/>
        </w:numPr>
        <w:rPr>
          <w:b/>
          <w:i/>
        </w:rPr>
      </w:pPr>
      <w:r w:rsidRPr="00C15108">
        <w:rPr>
          <w:b/>
          <w:i/>
        </w:rPr>
        <w:lastRenderedPageBreak/>
        <w:t>RESPUESTA 22 TESORERIA.pdf</w:t>
      </w:r>
    </w:p>
    <w:p w:rsidR="00B8771D" w:rsidRPr="00C15108" w:rsidRDefault="00976436" w:rsidP="00C15108">
      <w:pPr>
        <w:ind w:left="360"/>
      </w:pPr>
      <w:r w:rsidRPr="00C15108">
        <w:t>Archivo constante de una página en la que se contiene el oficio número TMJ/039/2025, de fecha 28 de enero de 2025, dirigido al Coordinador de la Unidad de Transparencia, suscrito por el Tesorero Municipal, quien le indicó que remitió en versión pública los recibos de nómina de la primera quincena de enero de 2025, de los directores o titulares de las dependencias administrativas del ayuntamiento.</w:t>
      </w:r>
    </w:p>
    <w:p w:rsidR="00B8771D" w:rsidRPr="00C15108" w:rsidRDefault="00B8771D" w:rsidP="00C15108">
      <w:pPr>
        <w:ind w:left="720"/>
        <w:rPr>
          <w:b/>
        </w:rPr>
      </w:pPr>
    </w:p>
    <w:p w:rsidR="00B8771D" w:rsidRPr="00C15108" w:rsidRDefault="00976436" w:rsidP="00C15108">
      <w:pPr>
        <w:numPr>
          <w:ilvl w:val="0"/>
          <w:numId w:val="2"/>
        </w:numPr>
        <w:rPr>
          <w:b/>
          <w:i/>
        </w:rPr>
      </w:pPr>
      <w:r w:rsidRPr="00C15108">
        <w:rPr>
          <w:b/>
          <w:i/>
        </w:rPr>
        <w:t>Recibo de nómina Titulares 202501.pdf</w:t>
      </w:r>
    </w:p>
    <w:p w:rsidR="00B8771D" w:rsidRPr="00C15108" w:rsidRDefault="00976436" w:rsidP="00C15108">
      <w:pPr>
        <w:ind w:left="360"/>
      </w:pPr>
      <w:r w:rsidRPr="00C15108">
        <w:t>Archivo constante de cinco páginas, en las que se contiene en versión pública diversos recibos de nómina.</w:t>
      </w:r>
    </w:p>
    <w:p w:rsidR="00B8771D" w:rsidRPr="00C15108" w:rsidRDefault="00B8771D" w:rsidP="00C15108">
      <w:pPr>
        <w:rPr>
          <w:i/>
        </w:rPr>
      </w:pPr>
    </w:p>
    <w:p w:rsidR="00B8771D" w:rsidRPr="00C15108" w:rsidRDefault="00976436" w:rsidP="00C15108">
      <w:pPr>
        <w:pStyle w:val="Ttulo2"/>
        <w:jc w:val="left"/>
      </w:pPr>
      <w:bookmarkStart w:id="10" w:name="_heading=h.yqpqovtvdzqm" w:colFirst="0" w:colLast="0"/>
      <w:bookmarkEnd w:id="10"/>
      <w:r w:rsidRPr="00C15108">
        <w:t>DEL RECURSO DE REVISIÓN</w:t>
      </w:r>
    </w:p>
    <w:p w:rsidR="00B8771D" w:rsidRPr="00C15108" w:rsidRDefault="00976436" w:rsidP="00C15108">
      <w:pPr>
        <w:pStyle w:val="Ttulo3"/>
      </w:pPr>
      <w:bookmarkStart w:id="11" w:name="_heading=h.l97azuihpkvt" w:colFirst="0" w:colLast="0"/>
      <w:bookmarkEnd w:id="11"/>
      <w:r w:rsidRPr="00C15108">
        <w:t>a) Interposición de los Recursos de Revisión.</w:t>
      </w:r>
    </w:p>
    <w:p w:rsidR="00B8771D" w:rsidRPr="00C15108" w:rsidRDefault="00976436" w:rsidP="00C15108">
      <w:pPr>
        <w:ind w:right="-28"/>
      </w:pPr>
      <w:r w:rsidRPr="00C15108">
        <w:t xml:space="preserve">El </w:t>
      </w:r>
      <w:r w:rsidRPr="00C15108">
        <w:rPr>
          <w:b/>
        </w:rPr>
        <w:t>veinticinco de febrero de dos mil veinticinco,</w:t>
      </w:r>
      <w:r w:rsidRPr="00C15108">
        <w:t xml:space="preserve"> </w:t>
      </w:r>
      <w:r w:rsidRPr="00C15108">
        <w:rPr>
          <w:b/>
        </w:rPr>
        <w:t>LA PARTE RECURRENTE</w:t>
      </w:r>
      <w:r w:rsidRPr="00C15108">
        <w:t xml:space="preserve"> interpuso los recursos de revisión en contra de las respuestas del </w:t>
      </w:r>
      <w:r w:rsidRPr="00C15108">
        <w:rPr>
          <w:b/>
        </w:rPr>
        <w:t>SUJETO OBLIGADO</w:t>
      </w:r>
      <w:r w:rsidRPr="00C15108">
        <w:t xml:space="preserve">, mismos que fueron registrados en el SAIMEX con los números de expediente </w:t>
      </w:r>
      <w:r w:rsidRPr="00C15108">
        <w:rPr>
          <w:b/>
        </w:rPr>
        <w:t xml:space="preserve">02017/INFOEM/IP/RR/2025 </w:t>
      </w:r>
      <w:r w:rsidRPr="00C15108">
        <w:t xml:space="preserve">y </w:t>
      </w:r>
      <w:r w:rsidRPr="00C15108">
        <w:rPr>
          <w:b/>
        </w:rPr>
        <w:t xml:space="preserve">02019/INFOEM/IP/RR/2025; </w:t>
      </w:r>
      <w:r w:rsidRPr="00C15108">
        <w:t>en los cuales manifestó lo siguiente:</w:t>
      </w:r>
    </w:p>
    <w:p w:rsidR="00B8771D" w:rsidRPr="00C15108" w:rsidRDefault="00B8771D" w:rsidP="00C15108"/>
    <w:tbl>
      <w:tblPr>
        <w:tblStyle w:val="a7"/>
        <w:tblpPr w:leftFromText="141" w:rightFromText="141" w:vertAnchor="text" w:tblpX="150" w:tblpY="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694"/>
        <w:gridCol w:w="3260"/>
      </w:tblGrid>
      <w:tr w:rsidR="00C15108" w:rsidRPr="00C15108">
        <w:trPr>
          <w:trHeight w:val="225"/>
        </w:trPr>
        <w:tc>
          <w:tcPr>
            <w:tcW w:w="2830" w:type="dxa"/>
            <w:shd w:val="clear" w:color="auto" w:fill="D9D9D9"/>
            <w:vAlign w:val="center"/>
          </w:tcPr>
          <w:p w:rsidR="00B8771D" w:rsidRPr="00C15108" w:rsidRDefault="00976436" w:rsidP="00C15108">
            <w:pPr>
              <w:spacing w:line="240" w:lineRule="auto"/>
              <w:jc w:val="center"/>
              <w:rPr>
                <w:b/>
              </w:rPr>
            </w:pPr>
            <w:r w:rsidRPr="00C15108">
              <w:rPr>
                <w:b/>
              </w:rPr>
              <w:t>Folio Solicitudes de Información/Folio Recursos de revisión.</w:t>
            </w:r>
          </w:p>
        </w:tc>
        <w:tc>
          <w:tcPr>
            <w:tcW w:w="2694" w:type="dxa"/>
            <w:shd w:val="clear" w:color="auto" w:fill="D9D9D9"/>
            <w:tcMar>
              <w:top w:w="0" w:type="dxa"/>
              <w:left w:w="45" w:type="dxa"/>
              <w:bottom w:w="0" w:type="dxa"/>
              <w:right w:w="45" w:type="dxa"/>
            </w:tcMar>
          </w:tcPr>
          <w:p w:rsidR="00B8771D" w:rsidRPr="00C15108" w:rsidRDefault="00976436" w:rsidP="00C15108">
            <w:pPr>
              <w:spacing w:line="240" w:lineRule="auto"/>
              <w:jc w:val="center"/>
              <w:rPr>
                <w:b/>
                <w:i/>
              </w:rPr>
            </w:pPr>
            <w:r w:rsidRPr="00C15108">
              <w:rPr>
                <w:b/>
              </w:rPr>
              <w:t>Actos impugnados</w:t>
            </w:r>
          </w:p>
        </w:tc>
        <w:tc>
          <w:tcPr>
            <w:tcW w:w="3260" w:type="dxa"/>
            <w:shd w:val="clear" w:color="auto" w:fill="D9D9D9"/>
          </w:tcPr>
          <w:p w:rsidR="00B8771D" w:rsidRPr="00C15108" w:rsidRDefault="00976436" w:rsidP="00C15108">
            <w:pPr>
              <w:spacing w:line="240" w:lineRule="auto"/>
              <w:jc w:val="center"/>
              <w:rPr>
                <w:b/>
              </w:rPr>
            </w:pPr>
            <w:r w:rsidRPr="00C15108">
              <w:rPr>
                <w:b/>
              </w:rPr>
              <w:t>Razones o motivos de inconformidad</w:t>
            </w:r>
          </w:p>
        </w:tc>
      </w:tr>
      <w:tr w:rsidR="00C15108" w:rsidRPr="00C15108">
        <w:trPr>
          <w:trHeight w:val="65"/>
        </w:trPr>
        <w:tc>
          <w:tcPr>
            <w:tcW w:w="2830" w:type="dxa"/>
          </w:tcPr>
          <w:p w:rsidR="00B8771D" w:rsidRPr="00C15108" w:rsidRDefault="00976436" w:rsidP="00C15108">
            <w:pPr>
              <w:spacing w:line="240" w:lineRule="auto"/>
              <w:jc w:val="center"/>
              <w:rPr>
                <w:b/>
              </w:rPr>
            </w:pPr>
            <w:r w:rsidRPr="00C15108">
              <w:rPr>
                <w:b/>
              </w:rPr>
              <w:t>00019/JIQUIPIL/IP/2025</w:t>
            </w:r>
          </w:p>
          <w:p w:rsidR="00B8771D" w:rsidRPr="00C15108" w:rsidRDefault="00976436" w:rsidP="00C15108">
            <w:pPr>
              <w:spacing w:line="240" w:lineRule="auto"/>
              <w:jc w:val="center"/>
              <w:rPr>
                <w:b/>
              </w:rPr>
            </w:pPr>
            <w:r w:rsidRPr="00C15108">
              <w:rPr>
                <w:b/>
              </w:rPr>
              <w:t>02017/INFOEM/IP/RR/2025</w:t>
            </w:r>
          </w:p>
        </w:tc>
        <w:tc>
          <w:tcPr>
            <w:tcW w:w="2694" w:type="dxa"/>
            <w:tcMar>
              <w:top w:w="0" w:type="dxa"/>
              <w:left w:w="45" w:type="dxa"/>
              <w:bottom w:w="0" w:type="dxa"/>
              <w:right w:w="45" w:type="dxa"/>
            </w:tcMar>
          </w:tcPr>
          <w:p w:rsidR="00B8771D" w:rsidRPr="00C15108" w:rsidRDefault="00976436" w:rsidP="00C15108">
            <w:pPr>
              <w:spacing w:line="240" w:lineRule="auto"/>
              <w:ind w:left="88" w:right="96"/>
              <w:rPr>
                <w:i/>
              </w:rPr>
            </w:pPr>
            <w:r w:rsidRPr="00C15108">
              <w:rPr>
                <w:i/>
              </w:rPr>
              <w:t>Se señala como tal el oficio de la tesorera municipal de Jiquipilco marcado con el número TMJ/037/2025 de fecha 28 de enero de 2025.</w:t>
            </w:r>
          </w:p>
        </w:tc>
        <w:tc>
          <w:tcPr>
            <w:tcW w:w="3260" w:type="dxa"/>
          </w:tcPr>
          <w:p w:rsidR="00B8771D" w:rsidRPr="00C15108" w:rsidRDefault="00976436" w:rsidP="00C15108">
            <w:pPr>
              <w:spacing w:line="240" w:lineRule="auto"/>
              <w:ind w:left="142" w:right="132"/>
              <w:rPr>
                <w:i/>
              </w:rPr>
            </w:pPr>
            <w:r w:rsidRPr="00C15108">
              <w:rPr>
                <w:i/>
              </w:rPr>
              <w:t>El Ayuntamiento de Jiquipilco omite fundar y motivar las razones que se tomaron en cuenta para clasificar la información contenida en los recibos de nómina</w:t>
            </w:r>
          </w:p>
        </w:tc>
      </w:tr>
      <w:tr w:rsidR="00C15108" w:rsidRPr="00C15108">
        <w:trPr>
          <w:trHeight w:val="1938"/>
        </w:trPr>
        <w:tc>
          <w:tcPr>
            <w:tcW w:w="2830" w:type="dxa"/>
          </w:tcPr>
          <w:p w:rsidR="00B8771D" w:rsidRPr="00C15108" w:rsidRDefault="00976436" w:rsidP="00C15108">
            <w:pPr>
              <w:spacing w:line="240" w:lineRule="auto"/>
              <w:jc w:val="center"/>
              <w:rPr>
                <w:b/>
              </w:rPr>
            </w:pPr>
            <w:r w:rsidRPr="00C15108">
              <w:rPr>
                <w:b/>
              </w:rPr>
              <w:lastRenderedPageBreak/>
              <w:t>00022/JIQUIPIL/IP/2025</w:t>
            </w:r>
          </w:p>
          <w:p w:rsidR="00B8771D" w:rsidRPr="00C15108" w:rsidRDefault="00976436" w:rsidP="00C15108">
            <w:pPr>
              <w:spacing w:line="240" w:lineRule="auto"/>
              <w:jc w:val="center"/>
              <w:rPr>
                <w:b/>
              </w:rPr>
            </w:pPr>
            <w:r w:rsidRPr="00C15108">
              <w:rPr>
                <w:b/>
              </w:rPr>
              <w:t>02019/INFOEM/IP/RR/2025</w:t>
            </w:r>
          </w:p>
        </w:tc>
        <w:tc>
          <w:tcPr>
            <w:tcW w:w="2694" w:type="dxa"/>
            <w:tcMar>
              <w:top w:w="0" w:type="dxa"/>
              <w:left w:w="45" w:type="dxa"/>
              <w:bottom w:w="0" w:type="dxa"/>
              <w:right w:w="45" w:type="dxa"/>
            </w:tcMar>
          </w:tcPr>
          <w:p w:rsidR="00B8771D" w:rsidRPr="00C15108" w:rsidRDefault="00976436" w:rsidP="00C15108">
            <w:pPr>
              <w:spacing w:line="240" w:lineRule="auto"/>
              <w:ind w:left="88" w:right="96"/>
              <w:rPr>
                <w:i/>
              </w:rPr>
            </w:pPr>
            <w:r w:rsidRPr="00C15108">
              <w:rPr>
                <w:i/>
              </w:rPr>
              <w:t>Se señala como tal el oficio de la tesorera municipal de Jiquipilco marcado con el número TMJ/039/2025 de fecha 28 de enero de 2025.</w:t>
            </w:r>
          </w:p>
        </w:tc>
        <w:tc>
          <w:tcPr>
            <w:tcW w:w="3260" w:type="dxa"/>
          </w:tcPr>
          <w:p w:rsidR="00B8771D" w:rsidRPr="00C15108" w:rsidRDefault="00976436" w:rsidP="00C15108">
            <w:pPr>
              <w:spacing w:line="240" w:lineRule="auto"/>
              <w:ind w:left="142" w:right="132"/>
              <w:rPr>
                <w:i/>
              </w:rPr>
            </w:pPr>
            <w:r w:rsidRPr="00C15108">
              <w:rPr>
                <w:i/>
              </w:rPr>
              <w:t>El Ayuntamiento de Jiquipilco omite fundar y motivar las razones que se tomaron en cuenta para clasificar la información contenida en los recibos de nómina.</w:t>
            </w:r>
          </w:p>
        </w:tc>
      </w:tr>
    </w:tbl>
    <w:p w:rsidR="00B8771D" w:rsidRPr="00C15108" w:rsidRDefault="00B8771D" w:rsidP="00C15108"/>
    <w:p w:rsidR="00B8771D" w:rsidRPr="00C15108" w:rsidRDefault="00B8771D" w:rsidP="00C15108">
      <w:bookmarkStart w:id="12" w:name="_heading=h.svjfa7919hrl" w:colFirst="0" w:colLast="0"/>
      <w:bookmarkEnd w:id="12"/>
    </w:p>
    <w:p w:rsidR="00B8771D" w:rsidRPr="00C15108" w:rsidRDefault="00976436" w:rsidP="00C15108">
      <w:pPr>
        <w:pStyle w:val="Ttulo3"/>
      </w:pPr>
      <w:r w:rsidRPr="00C15108">
        <w:t>b) Turno de los Recursos de Revisión.</w:t>
      </w:r>
    </w:p>
    <w:p w:rsidR="00B8771D" w:rsidRPr="00C15108" w:rsidRDefault="00976436" w:rsidP="00C15108">
      <w:r w:rsidRPr="00C15108">
        <w:t>Con fundamento en el artículo 185, fracción I de la Ley de Transparencia y Acceso a la Información Pública del Estado de México y Municipios, el</w:t>
      </w:r>
      <w:r w:rsidRPr="00C15108">
        <w:rPr>
          <w:b/>
        </w:rPr>
        <w:t xml:space="preserve"> veinticinco de febrero de dos mil veinticinco,</w:t>
      </w:r>
      <w:r w:rsidRPr="00C15108">
        <w:t xml:space="preserve"> se turnaron los recursos de revisión a través del </w:t>
      </w:r>
      <w:r w:rsidRPr="00C15108">
        <w:rPr>
          <w:b/>
        </w:rPr>
        <w:t>SAIMEX</w:t>
      </w:r>
      <w:r w:rsidRPr="00C15108">
        <w:t xml:space="preserve"> </w:t>
      </w:r>
      <w:r w:rsidRPr="00C15108">
        <w:rPr>
          <w:b/>
        </w:rPr>
        <w:t>a</w:t>
      </w:r>
      <w:r w:rsidRPr="00C15108">
        <w:t>, a efecto de decretar su admisión o desechamiento, de la siguiente manera:</w:t>
      </w:r>
    </w:p>
    <w:p w:rsidR="00B8771D" w:rsidRPr="00C15108" w:rsidRDefault="00B8771D" w:rsidP="00C15108"/>
    <w:tbl>
      <w:tblPr>
        <w:tblStyle w:val="a8"/>
        <w:tblpPr w:leftFromText="141" w:rightFromText="141" w:vertAnchor="text" w:tblpX="433" w:tblpY="1"/>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C15108" w:rsidRPr="00C15108">
        <w:trPr>
          <w:trHeight w:val="225"/>
        </w:trPr>
        <w:tc>
          <w:tcPr>
            <w:tcW w:w="2972" w:type="dxa"/>
            <w:shd w:val="clear" w:color="auto" w:fill="D9D9D9"/>
            <w:vAlign w:val="center"/>
          </w:tcPr>
          <w:p w:rsidR="00B8771D" w:rsidRPr="00C15108" w:rsidRDefault="00976436" w:rsidP="00C15108">
            <w:pPr>
              <w:spacing w:line="240" w:lineRule="auto"/>
              <w:jc w:val="center"/>
              <w:rPr>
                <w:b/>
              </w:rPr>
            </w:pPr>
            <w:r w:rsidRPr="00C15108">
              <w:rPr>
                <w:b/>
              </w:rPr>
              <w:t>Folio Solicitudes de Información/Folio Recursos de revisión.</w:t>
            </w:r>
          </w:p>
        </w:tc>
        <w:tc>
          <w:tcPr>
            <w:tcW w:w="5245" w:type="dxa"/>
            <w:shd w:val="clear" w:color="auto" w:fill="D9D9D9"/>
            <w:tcMar>
              <w:top w:w="0" w:type="dxa"/>
              <w:left w:w="45" w:type="dxa"/>
              <w:bottom w:w="0" w:type="dxa"/>
              <w:right w:w="45" w:type="dxa"/>
            </w:tcMar>
          </w:tcPr>
          <w:p w:rsidR="00B8771D" w:rsidRPr="00C15108" w:rsidRDefault="00976436" w:rsidP="00C15108">
            <w:pPr>
              <w:spacing w:line="240" w:lineRule="auto"/>
              <w:jc w:val="center"/>
              <w:rPr>
                <w:b/>
              </w:rPr>
            </w:pPr>
            <w:r w:rsidRPr="00C15108">
              <w:rPr>
                <w:b/>
              </w:rPr>
              <w:t>Turnado</w:t>
            </w:r>
          </w:p>
        </w:tc>
      </w:tr>
      <w:tr w:rsidR="00C15108" w:rsidRPr="00C15108">
        <w:trPr>
          <w:trHeight w:val="65"/>
        </w:trPr>
        <w:tc>
          <w:tcPr>
            <w:tcW w:w="2972" w:type="dxa"/>
            <w:vAlign w:val="center"/>
          </w:tcPr>
          <w:p w:rsidR="00B8771D" w:rsidRPr="00C15108" w:rsidRDefault="00976436" w:rsidP="00C15108">
            <w:pPr>
              <w:spacing w:line="240" w:lineRule="auto"/>
              <w:jc w:val="center"/>
              <w:rPr>
                <w:b/>
              </w:rPr>
            </w:pPr>
            <w:r w:rsidRPr="00C15108">
              <w:rPr>
                <w:b/>
              </w:rPr>
              <w:t>00019/JIQUIPIL/IP/2025</w:t>
            </w:r>
          </w:p>
          <w:p w:rsidR="00B8771D" w:rsidRPr="00C15108" w:rsidRDefault="00976436" w:rsidP="00C15108">
            <w:pPr>
              <w:spacing w:line="240" w:lineRule="auto"/>
              <w:jc w:val="center"/>
              <w:rPr>
                <w:b/>
              </w:rPr>
            </w:pPr>
            <w:r w:rsidRPr="00C15108">
              <w:rPr>
                <w:b/>
              </w:rPr>
              <w:t>02017/INFOEM/IP/RR/2025</w:t>
            </w:r>
          </w:p>
        </w:tc>
        <w:tc>
          <w:tcPr>
            <w:tcW w:w="5245" w:type="dxa"/>
            <w:tcMar>
              <w:top w:w="0" w:type="dxa"/>
              <w:left w:w="45" w:type="dxa"/>
              <w:bottom w:w="0" w:type="dxa"/>
              <w:right w:w="45" w:type="dxa"/>
            </w:tcMar>
            <w:vAlign w:val="center"/>
          </w:tcPr>
          <w:p w:rsidR="00B8771D" w:rsidRPr="00C15108" w:rsidRDefault="00976436" w:rsidP="00C15108">
            <w:pPr>
              <w:spacing w:line="240" w:lineRule="auto"/>
              <w:jc w:val="center"/>
              <w:rPr>
                <w:b/>
              </w:rPr>
            </w:pPr>
            <w:r w:rsidRPr="00C15108">
              <w:rPr>
                <w:b/>
              </w:rPr>
              <w:t>Comisionada SHARON CRISTINA MORALES MARTÍNEZ</w:t>
            </w:r>
          </w:p>
          <w:p w:rsidR="00B8771D" w:rsidRPr="00C15108" w:rsidRDefault="00B8771D" w:rsidP="00C15108">
            <w:pPr>
              <w:spacing w:line="240" w:lineRule="auto"/>
              <w:jc w:val="center"/>
              <w:rPr>
                <w:b/>
              </w:rPr>
            </w:pPr>
          </w:p>
        </w:tc>
      </w:tr>
      <w:tr w:rsidR="00C15108" w:rsidRPr="00C15108">
        <w:trPr>
          <w:trHeight w:val="65"/>
        </w:trPr>
        <w:tc>
          <w:tcPr>
            <w:tcW w:w="2972" w:type="dxa"/>
            <w:vAlign w:val="center"/>
          </w:tcPr>
          <w:p w:rsidR="00B8771D" w:rsidRPr="00C15108" w:rsidRDefault="00976436" w:rsidP="00C15108">
            <w:pPr>
              <w:spacing w:line="240" w:lineRule="auto"/>
              <w:jc w:val="center"/>
              <w:rPr>
                <w:b/>
              </w:rPr>
            </w:pPr>
            <w:r w:rsidRPr="00C15108">
              <w:rPr>
                <w:b/>
              </w:rPr>
              <w:t>00022/JIQUIPIL/IP/2025</w:t>
            </w:r>
          </w:p>
          <w:p w:rsidR="00B8771D" w:rsidRPr="00C15108" w:rsidRDefault="00976436" w:rsidP="00C15108">
            <w:pPr>
              <w:spacing w:line="240" w:lineRule="auto"/>
              <w:jc w:val="center"/>
              <w:rPr>
                <w:b/>
              </w:rPr>
            </w:pPr>
            <w:r w:rsidRPr="00C15108">
              <w:rPr>
                <w:b/>
              </w:rPr>
              <w:t>02019/INFOEM/IP/RR/2025</w:t>
            </w:r>
          </w:p>
        </w:tc>
        <w:tc>
          <w:tcPr>
            <w:tcW w:w="5245" w:type="dxa"/>
            <w:tcMar>
              <w:top w:w="0" w:type="dxa"/>
              <w:left w:w="45" w:type="dxa"/>
              <w:bottom w:w="0" w:type="dxa"/>
              <w:right w:w="45" w:type="dxa"/>
            </w:tcMar>
            <w:vAlign w:val="center"/>
          </w:tcPr>
          <w:p w:rsidR="00B8771D" w:rsidRPr="00C15108" w:rsidRDefault="00976436" w:rsidP="00C15108">
            <w:pPr>
              <w:spacing w:line="240" w:lineRule="auto"/>
              <w:jc w:val="center"/>
              <w:rPr>
                <w:b/>
              </w:rPr>
            </w:pPr>
            <w:r w:rsidRPr="00C15108">
              <w:rPr>
                <w:b/>
              </w:rPr>
              <w:t>Comisionada GUADALUPE RAMÍREZ PEÑA</w:t>
            </w:r>
          </w:p>
        </w:tc>
      </w:tr>
    </w:tbl>
    <w:p w:rsidR="00B8771D" w:rsidRPr="00C15108" w:rsidRDefault="00B8771D" w:rsidP="00C15108"/>
    <w:p w:rsidR="00B8771D" w:rsidRPr="00C15108" w:rsidRDefault="00976436" w:rsidP="00C15108">
      <w:pPr>
        <w:pStyle w:val="Ttulo3"/>
      </w:pPr>
      <w:bookmarkStart w:id="13" w:name="_heading=h.x8h9ms69eb61" w:colFirst="0" w:colLast="0"/>
      <w:bookmarkEnd w:id="13"/>
      <w:r w:rsidRPr="00C15108">
        <w:t>c) Admisiones de los Recursos de Revisión.</w:t>
      </w:r>
    </w:p>
    <w:p w:rsidR="00B8771D" w:rsidRPr="00C15108" w:rsidRDefault="00976436" w:rsidP="00C15108">
      <w:r w:rsidRPr="00C15108">
        <w:t xml:space="preserve">El </w:t>
      </w:r>
      <w:r w:rsidRPr="00C15108">
        <w:rPr>
          <w:b/>
        </w:rPr>
        <w:t>veintisiete</w:t>
      </w:r>
      <w:r w:rsidRPr="00C15108">
        <w:t xml:space="preserve"> y </w:t>
      </w:r>
      <w:r w:rsidRPr="00C15108">
        <w:rPr>
          <w:b/>
        </w:rPr>
        <w:t>veintiocho de febrero de dos mil veinticinco,</w:t>
      </w:r>
      <w:r w:rsidRPr="00C15108">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B8771D" w:rsidRPr="00C15108" w:rsidRDefault="00B8771D" w:rsidP="00C15108"/>
    <w:p w:rsidR="00B8771D" w:rsidRPr="00C15108" w:rsidRDefault="00976436" w:rsidP="00C15108">
      <w:pPr>
        <w:pStyle w:val="Ttulo3"/>
      </w:pPr>
      <w:bookmarkStart w:id="14" w:name="_heading=h.4agwv7jlettg" w:colFirst="0" w:colLast="0"/>
      <w:bookmarkEnd w:id="14"/>
      <w:r w:rsidRPr="00C15108">
        <w:t>d) Acumulación de los Recursos de Revisión</w:t>
      </w:r>
    </w:p>
    <w:p w:rsidR="00B8771D" w:rsidRPr="00C15108" w:rsidRDefault="00976436" w:rsidP="00C15108">
      <w:pPr>
        <w:ind w:left="-57"/>
        <w:rPr>
          <w:b/>
        </w:rPr>
      </w:pPr>
      <w:bookmarkStart w:id="15" w:name="_heading=h.3rdcrjn" w:colFirst="0" w:colLast="0"/>
      <w:bookmarkEnd w:id="15"/>
      <w:r w:rsidRPr="00C15108">
        <w:t xml:space="preserve">Por economía procesal y con la finalidad de evitar resoluciones contradictorias, en la </w:t>
      </w:r>
      <w:r w:rsidRPr="00C15108">
        <w:rPr>
          <w:b/>
        </w:rPr>
        <w:t>Octava Sesión Ordinaria</w:t>
      </w:r>
      <w:r w:rsidRPr="00C15108">
        <w:t>, celebrada el</w:t>
      </w:r>
      <w:r w:rsidRPr="00C15108">
        <w:rPr>
          <w:b/>
        </w:rPr>
        <w:t xml:space="preserve"> seis de marzo de dos mil veinticinco,</w:t>
      </w:r>
      <w:r w:rsidRPr="00C15108">
        <w:t xml:space="preserve"> el Pleno de este Instituto determinó acumular los Recursos de Revisión</w:t>
      </w:r>
      <w:r w:rsidRPr="00C15108">
        <w:rPr>
          <w:b/>
        </w:rPr>
        <w:t xml:space="preserve"> 02019/INFOEM/IP/RR/2025 </w:t>
      </w:r>
      <w:r w:rsidRPr="00C15108">
        <w:t xml:space="preserve">al </w:t>
      </w:r>
      <w:r w:rsidRPr="00C15108">
        <w:rPr>
          <w:b/>
        </w:rPr>
        <w:t>02017/INFOEM/IP/RR/2025.</w:t>
      </w:r>
    </w:p>
    <w:p w:rsidR="00B8771D" w:rsidRPr="00C15108" w:rsidRDefault="00B8771D" w:rsidP="00C15108">
      <w:pPr>
        <w:ind w:left="-57"/>
        <w:rPr>
          <w:b/>
        </w:rPr>
      </w:pPr>
    </w:p>
    <w:p w:rsidR="00B8771D" w:rsidRPr="00C15108" w:rsidRDefault="00976436" w:rsidP="00C15108">
      <w:pPr>
        <w:pStyle w:val="Ttulo3"/>
      </w:pPr>
      <w:bookmarkStart w:id="16" w:name="_heading=h.euazhegz4d5j" w:colFirst="0" w:colLast="0"/>
      <w:bookmarkEnd w:id="16"/>
      <w:r w:rsidRPr="00C15108">
        <w:t>e) Informes Justificados del Sujeto Obligado.</w:t>
      </w:r>
    </w:p>
    <w:p w:rsidR="00B8771D" w:rsidRPr="00C15108" w:rsidRDefault="00976436" w:rsidP="00C15108">
      <w:r w:rsidRPr="00C15108">
        <w:rPr>
          <w:b/>
        </w:rPr>
        <w:t xml:space="preserve">EL SUJETO OBLIGADO </w:t>
      </w:r>
      <w:r w:rsidRPr="00C15108">
        <w:t>no rindió sus informes justificados dentro del término legalmente concedido para tal efecto.</w:t>
      </w:r>
    </w:p>
    <w:p w:rsidR="00B8771D" w:rsidRPr="00C15108" w:rsidRDefault="00B8771D" w:rsidP="00C15108"/>
    <w:p w:rsidR="00B8771D" w:rsidRPr="00C15108" w:rsidRDefault="00976436" w:rsidP="00C15108">
      <w:pPr>
        <w:pStyle w:val="Ttulo3"/>
      </w:pPr>
      <w:bookmarkStart w:id="17" w:name="_heading=h.rk9crjxname5" w:colFirst="0" w:colLast="0"/>
      <w:bookmarkEnd w:id="17"/>
      <w:r w:rsidRPr="00C15108">
        <w:t>f) Manifestaciones de la Parte Recurrente.</w:t>
      </w:r>
    </w:p>
    <w:p w:rsidR="00B8771D" w:rsidRPr="00C15108" w:rsidRDefault="00976436" w:rsidP="00C15108">
      <w:r w:rsidRPr="00C15108">
        <w:rPr>
          <w:b/>
        </w:rPr>
        <w:t xml:space="preserve">LA PARTE RECURRENTE </w:t>
      </w:r>
      <w:r w:rsidRPr="00C15108">
        <w:t>no realizó manifestación alguna dentro del término legalmente concedido para tal efecto, ni presentó pruebas o alegatos.</w:t>
      </w:r>
    </w:p>
    <w:p w:rsidR="00B8771D" w:rsidRPr="00C15108" w:rsidRDefault="00B8771D" w:rsidP="00C15108"/>
    <w:p w:rsidR="00B8771D" w:rsidRPr="00C15108" w:rsidRDefault="00976436" w:rsidP="00C15108">
      <w:pPr>
        <w:pStyle w:val="Ttulo3"/>
      </w:pPr>
      <w:bookmarkStart w:id="18" w:name="_heading=h.gro5frh70ab5" w:colFirst="0" w:colLast="0"/>
      <w:bookmarkEnd w:id="18"/>
      <w:r w:rsidRPr="00C15108">
        <w:t>g) Cierres de instrucción.</w:t>
      </w:r>
    </w:p>
    <w:p w:rsidR="00B8771D" w:rsidRPr="00C15108" w:rsidRDefault="00976436" w:rsidP="00C15108">
      <w:bookmarkStart w:id="19" w:name="_heading=h.44sinio" w:colFirst="0" w:colLast="0"/>
      <w:bookmarkEnd w:id="19"/>
      <w:r w:rsidRPr="00C15108">
        <w:t xml:space="preserve">Al no existir diligencias pendientes por desahogar, el </w:t>
      </w:r>
      <w:r w:rsidRPr="00C15108">
        <w:rPr>
          <w:b/>
        </w:rPr>
        <w:t>catorce de marzo de dos mil veinticinco,</w:t>
      </w:r>
      <w:r w:rsidRPr="00C15108">
        <w:t xml:space="preserve"> la </w:t>
      </w:r>
      <w:r w:rsidRPr="00C15108">
        <w:rPr>
          <w:b/>
        </w:rPr>
        <w:t xml:space="preserve">Comisionada Sharon Cristina Morales Martínez </w:t>
      </w:r>
      <w:r w:rsidRPr="00C15108">
        <w:t>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rsidR="00B8771D" w:rsidRPr="00C15108" w:rsidRDefault="00B8771D" w:rsidP="00C15108"/>
    <w:p w:rsidR="00B8771D" w:rsidRPr="00C15108" w:rsidRDefault="00B8771D" w:rsidP="00C15108"/>
    <w:p w:rsidR="00B8771D" w:rsidRPr="00C15108" w:rsidRDefault="00B8771D" w:rsidP="00C15108"/>
    <w:p w:rsidR="00B8771D" w:rsidRPr="00C15108" w:rsidRDefault="00976436" w:rsidP="00C15108">
      <w:pPr>
        <w:pStyle w:val="Ttulo1"/>
      </w:pPr>
      <w:bookmarkStart w:id="20" w:name="_heading=h.730cs31x2trc" w:colFirst="0" w:colLast="0"/>
      <w:bookmarkEnd w:id="20"/>
      <w:r w:rsidRPr="00C15108">
        <w:lastRenderedPageBreak/>
        <w:t>CONSIDERANDOS</w:t>
      </w:r>
    </w:p>
    <w:p w:rsidR="00B8771D" w:rsidRPr="00C15108" w:rsidRDefault="00B8771D" w:rsidP="00C15108">
      <w:pPr>
        <w:jc w:val="center"/>
        <w:rPr>
          <w:b/>
        </w:rPr>
      </w:pPr>
    </w:p>
    <w:p w:rsidR="00B8771D" w:rsidRPr="00C15108" w:rsidRDefault="00976436" w:rsidP="00C15108">
      <w:pPr>
        <w:pStyle w:val="Ttulo2"/>
      </w:pPr>
      <w:bookmarkStart w:id="21" w:name="_heading=h.g5hmi6qb5jeb" w:colFirst="0" w:colLast="0"/>
      <w:bookmarkEnd w:id="21"/>
      <w:r w:rsidRPr="00C15108">
        <w:t>PRIMERO. Procedibilidad</w:t>
      </w:r>
    </w:p>
    <w:p w:rsidR="00B8771D" w:rsidRPr="00C15108" w:rsidRDefault="00976436" w:rsidP="00C15108">
      <w:pPr>
        <w:pStyle w:val="Ttulo3"/>
      </w:pPr>
      <w:bookmarkStart w:id="22" w:name="_heading=h.p3i2bxn407sq" w:colFirst="0" w:colLast="0"/>
      <w:bookmarkEnd w:id="22"/>
      <w:r w:rsidRPr="00C15108">
        <w:t>a) Competencia del Instituto.</w:t>
      </w:r>
    </w:p>
    <w:p w:rsidR="00B8771D" w:rsidRPr="00C15108" w:rsidRDefault="00976436" w:rsidP="00C15108">
      <w:r w:rsidRPr="00C15108">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B8771D" w:rsidRPr="00C15108" w:rsidRDefault="00B8771D" w:rsidP="00C15108"/>
    <w:p w:rsidR="00B8771D" w:rsidRPr="00C15108" w:rsidRDefault="00976436" w:rsidP="00C15108">
      <w:pPr>
        <w:pStyle w:val="Ttulo3"/>
      </w:pPr>
      <w:bookmarkStart w:id="23" w:name="_heading=h.f80z5qiamegx" w:colFirst="0" w:colLast="0"/>
      <w:bookmarkEnd w:id="23"/>
      <w:r w:rsidRPr="00C15108">
        <w:t>b) Legitimidad de la parte recurrente.</w:t>
      </w:r>
    </w:p>
    <w:p w:rsidR="00B8771D" w:rsidRPr="00C15108" w:rsidRDefault="00976436" w:rsidP="00C15108">
      <w:r w:rsidRPr="00C15108">
        <w:t>Los recursos de revisión fueron interpuestos por parte legítima, ya que se presentó por la misma persona que formuló las solicitudes de acceso a la Información Pública,</w:t>
      </w:r>
      <w:r w:rsidRPr="00C15108">
        <w:rPr>
          <w:b/>
        </w:rPr>
        <w:t xml:space="preserve"> </w:t>
      </w:r>
      <w:r w:rsidRPr="00C15108">
        <w:t>debido a que los datos de acceso</w:t>
      </w:r>
      <w:r w:rsidRPr="00C15108">
        <w:rPr>
          <w:b/>
        </w:rPr>
        <w:t xml:space="preserve"> SAIMEX</w:t>
      </w:r>
      <w:r w:rsidRPr="00C15108">
        <w:t xml:space="preserve"> son personales e irrepetibles.</w:t>
      </w:r>
    </w:p>
    <w:p w:rsidR="00B8771D" w:rsidRPr="00C15108" w:rsidRDefault="00B8771D" w:rsidP="00C15108"/>
    <w:p w:rsidR="00B8771D" w:rsidRPr="00C15108" w:rsidRDefault="00976436" w:rsidP="00C15108">
      <w:pPr>
        <w:pStyle w:val="Ttulo3"/>
      </w:pPr>
      <w:bookmarkStart w:id="24" w:name="_heading=h.if2e13a8jbpo" w:colFirst="0" w:colLast="0"/>
      <w:bookmarkEnd w:id="24"/>
      <w:r w:rsidRPr="00C15108">
        <w:t>c) Plazo para interponer el recurso</w:t>
      </w:r>
    </w:p>
    <w:p w:rsidR="00B8771D" w:rsidRPr="00C15108" w:rsidRDefault="00976436" w:rsidP="00C15108">
      <w:bookmarkStart w:id="25" w:name="_heading=h.z58ct7u8w081" w:colFirst="0" w:colLast="0"/>
      <w:bookmarkEnd w:id="25"/>
      <w:r w:rsidRPr="00C15108">
        <w:rPr>
          <w:b/>
        </w:rPr>
        <w:t>EL SUJETO OBLIGADO</w:t>
      </w:r>
      <w:r w:rsidRPr="00C15108">
        <w:t xml:space="preserve"> notificó las respuestas a las solicitudes de acceso a la Información Pública el </w:t>
      </w:r>
      <w:r w:rsidRPr="00C15108">
        <w:rPr>
          <w:b/>
        </w:rPr>
        <w:t>cinco</w:t>
      </w:r>
      <w:r w:rsidRPr="00C15108">
        <w:t xml:space="preserve"> y </w:t>
      </w:r>
      <w:r w:rsidRPr="00C15108">
        <w:rPr>
          <w:b/>
        </w:rPr>
        <w:t xml:space="preserve">siete de febrero de dos mil veinticinco, </w:t>
      </w:r>
      <w:r w:rsidRPr="00C15108">
        <w:t xml:space="preserve">y los recursos que nos ocupan se tuvieron por presentado el </w:t>
      </w:r>
      <w:r w:rsidRPr="00C15108">
        <w:rPr>
          <w:b/>
        </w:rPr>
        <w:t>veinticinco de febrero de dos mil veinticinco</w:t>
      </w:r>
      <w:r w:rsidRPr="00C15108">
        <w:t xml:space="preserve">; por lo tanto, estos </w:t>
      </w:r>
      <w:r w:rsidRPr="00C15108">
        <w:lastRenderedPageBreak/>
        <w:t>se encuentran dentro del margen temporal previsto en el artículo 178 de la Ley de Transparencia y Acceso a la Información Pública del Estado de México y Municipios.</w:t>
      </w:r>
    </w:p>
    <w:p w:rsidR="00B8771D" w:rsidRPr="00C15108" w:rsidRDefault="00B8771D" w:rsidP="00C15108"/>
    <w:p w:rsidR="00B8771D" w:rsidRPr="00C15108" w:rsidRDefault="00976436" w:rsidP="00C15108">
      <w:pPr>
        <w:pStyle w:val="Ttulo3"/>
      </w:pPr>
      <w:bookmarkStart w:id="26" w:name="_heading=h.gub9osevq41v" w:colFirst="0" w:colLast="0"/>
      <w:bookmarkEnd w:id="26"/>
      <w:r w:rsidRPr="00C15108">
        <w:t>d) Causal de procedencia</w:t>
      </w:r>
    </w:p>
    <w:p w:rsidR="00B8771D" w:rsidRPr="00C15108" w:rsidRDefault="00976436" w:rsidP="00C15108">
      <w:r w:rsidRPr="00C15108">
        <w:t>Resulta procedente la interposición de los recursos de revisión, ya que se actualiza la causal de procedencia señalada en el artículo 179, fracción II de la Ley de Transparencia y Acceso a la Información Pública del Estado de México y Municipios.</w:t>
      </w:r>
    </w:p>
    <w:p w:rsidR="00B8771D" w:rsidRPr="00C15108" w:rsidRDefault="00B8771D" w:rsidP="00C15108"/>
    <w:p w:rsidR="00B8771D" w:rsidRPr="00C15108" w:rsidRDefault="00976436" w:rsidP="00C15108">
      <w:pPr>
        <w:pStyle w:val="Ttulo3"/>
      </w:pPr>
      <w:bookmarkStart w:id="27" w:name="_heading=h.w7ylznexuhog" w:colFirst="0" w:colLast="0"/>
      <w:bookmarkEnd w:id="27"/>
      <w:r w:rsidRPr="00C15108">
        <w:t>e) Requisitos formales para la interposición del recurso.</w:t>
      </w:r>
    </w:p>
    <w:p w:rsidR="00B8771D" w:rsidRPr="00C15108" w:rsidRDefault="00976436" w:rsidP="00C15108">
      <w:r w:rsidRPr="00C15108">
        <w:rPr>
          <w:b/>
        </w:rPr>
        <w:t xml:space="preserve">LA PARTE RECURRENTE </w:t>
      </w:r>
      <w:r w:rsidRPr="00C15108">
        <w:t>acreditó todos y cada uno de los elementos formales exigidos por el artículo 180 de la misma normatividad.</w:t>
      </w:r>
    </w:p>
    <w:p w:rsidR="00B8771D" w:rsidRPr="00C15108" w:rsidRDefault="00B8771D" w:rsidP="00C15108"/>
    <w:p w:rsidR="00B8771D" w:rsidRPr="00C15108" w:rsidRDefault="00976436" w:rsidP="00C15108">
      <w:pPr>
        <w:pStyle w:val="Ttulo3"/>
      </w:pPr>
      <w:bookmarkStart w:id="28" w:name="_heading=h.dh2wniwaa3yd" w:colFirst="0" w:colLast="0"/>
      <w:bookmarkEnd w:id="28"/>
      <w:r w:rsidRPr="00C15108">
        <w:t>f) Acumulación de los Recursos de Revisión</w:t>
      </w:r>
    </w:p>
    <w:p w:rsidR="00B8771D" w:rsidRPr="00C15108" w:rsidRDefault="00976436" w:rsidP="00C15108">
      <w:r w:rsidRPr="00C15108">
        <w:t xml:space="preserve">De las constancias que obran en los expedientes acumulados, se advierte que los recursos de revisión </w:t>
      </w:r>
      <w:r w:rsidRPr="00C15108">
        <w:rPr>
          <w:b/>
        </w:rPr>
        <w:t xml:space="preserve">02017/INFOEM/IP/RR/2025 </w:t>
      </w:r>
      <w:r w:rsidRPr="00C15108">
        <w:t>y</w:t>
      </w:r>
      <w:r w:rsidRPr="00C15108">
        <w:rPr>
          <w:b/>
        </w:rPr>
        <w:t xml:space="preserve"> 02019/INFOEM/IP/RR/2025 </w:t>
      </w:r>
      <w:r w:rsidRPr="00C15108">
        <w:t xml:space="preserve">fueron presentados por la misma </w:t>
      </w:r>
      <w:r w:rsidRPr="00C15108">
        <w:rPr>
          <w:b/>
        </w:rPr>
        <w:t>PARTE RECURRENTE</w:t>
      </w:r>
      <w:r w:rsidRPr="00C15108">
        <w:t xml:space="preserve"> respecto de actos u omisiones similares, realizados por el mismo </w:t>
      </w:r>
      <w:r w:rsidRPr="00C15108">
        <w:rPr>
          <w:b/>
        </w:rPr>
        <w:t>SUJETO OBLIGADO</w:t>
      </w:r>
      <w:r w:rsidRPr="00C15108">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B8771D" w:rsidRPr="00C15108" w:rsidRDefault="00B8771D" w:rsidP="00C15108"/>
    <w:p w:rsidR="00B8771D" w:rsidRPr="00C15108" w:rsidRDefault="00976436" w:rsidP="00C15108">
      <w:pPr>
        <w:pStyle w:val="Ttulo2"/>
      </w:pPr>
      <w:bookmarkStart w:id="29" w:name="_heading=h.8xdk76dofgtn" w:colFirst="0" w:colLast="0"/>
      <w:bookmarkEnd w:id="29"/>
      <w:r w:rsidRPr="00C15108">
        <w:lastRenderedPageBreak/>
        <w:t>SEGUNDO. Estudio de Fondo.</w:t>
      </w:r>
    </w:p>
    <w:p w:rsidR="00B8771D" w:rsidRPr="00C15108" w:rsidRDefault="00976436" w:rsidP="00C15108">
      <w:pPr>
        <w:pStyle w:val="Ttulo3"/>
      </w:pPr>
      <w:bookmarkStart w:id="30" w:name="_heading=h.3hs0hrno4ixy" w:colFirst="0" w:colLast="0"/>
      <w:bookmarkEnd w:id="30"/>
      <w:r w:rsidRPr="00C15108">
        <w:t>a) Mandato de transparencia y responsabilidad del Sujeto Obligado</w:t>
      </w:r>
    </w:p>
    <w:p w:rsidR="00B8771D" w:rsidRPr="00C15108" w:rsidRDefault="00976436" w:rsidP="00C15108">
      <w:r w:rsidRPr="00C15108">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B8771D" w:rsidRPr="00C15108" w:rsidRDefault="00B8771D" w:rsidP="00C15108"/>
    <w:p w:rsidR="00B8771D" w:rsidRPr="00C15108" w:rsidRDefault="00976436" w:rsidP="00C15108">
      <w:pPr>
        <w:spacing w:line="240" w:lineRule="auto"/>
        <w:ind w:left="567" w:right="539"/>
        <w:rPr>
          <w:b/>
          <w:i/>
        </w:rPr>
      </w:pPr>
      <w:r w:rsidRPr="00C15108">
        <w:rPr>
          <w:b/>
          <w:i/>
        </w:rPr>
        <w:t>Constitución Política de los Estados Unidos Mexicanos</w:t>
      </w:r>
    </w:p>
    <w:p w:rsidR="00B8771D" w:rsidRPr="00C15108" w:rsidRDefault="00976436" w:rsidP="00C15108">
      <w:pPr>
        <w:spacing w:line="240" w:lineRule="auto"/>
        <w:ind w:left="567" w:right="539"/>
        <w:rPr>
          <w:b/>
          <w:i/>
        </w:rPr>
      </w:pPr>
      <w:r w:rsidRPr="00C15108">
        <w:rPr>
          <w:b/>
          <w:i/>
        </w:rPr>
        <w:t>“Artículo 6.</w:t>
      </w:r>
    </w:p>
    <w:p w:rsidR="00B8771D" w:rsidRPr="00C15108" w:rsidRDefault="00976436" w:rsidP="00C15108">
      <w:pPr>
        <w:spacing w:line="240" w:lineRule="auto"/>
        <w:ind w:left="567" w:right="539"/>
        <w:rPr>
          <w:i/>
        </w:rPr>
      </w:pPr>
      <w:r w:rsidRPr="00C15108">
        <w:rPr>
          <w:i/>
        </w:rPr>
        <w:t>(…)</w:t>
      </w:r>
    </w:p>
    <w:p w:rsidR="00B8771D" w:rsidRPr="00C15108" w:rsidRDefault="00976436" w:rsidP="00C15108">
      <w:pPr>
        <w:spacing w:line="240" w:lineRule="auto"/>
        <w:ind w:left="567" w:right="539"/>
        <w:rPr>
          <w:i/>
        </w:rPr>
      </w:pPr>
      <w:r w:rsidRPr="00C15108">
        <w:rPr>
          <w:i/>
        </w:rPr>
        <w:t>Para efectos de lo dispuesto en el presente artículo se observará lo siguiente:</w:t>
      </w:r>
    </w:p>
    <w:p w:rsidR="00B8771D" w:rsidRPr="00C15108" w:rsidRDefault="00976436" w:rsidP="00C15108">
      <w:pPr>
        <w:spacing w:line="240" w:lineRule="auto"/>
        <w:ind w:left="567" w:right="539"/>
        <w:rPr>
          <w:b/>
          <w:i/>
        </w:rPr>
      </w:pPr>
      <w:r w:rsidRPr="00C15108">
        <w:rPr>
          <w:b/>
          <w:i/>
        </w:rPr>
        <w:t>A</w:t>
      </w:r>
      <w:r w:rsidRPr="00C15108">
        <w:rPr>
          <w:i/>
        </w:rPr>
        <w:t xml:space="preserve">. </w:t>
      </w:r>
      <w:r w:rsidRPr="00C15108">
        <w:rPr>
          <w:b/>
          <w:i/>
        </w:rPr>
        <w:t>Para el ejercicio del derecho de acceso a la información</w:t>
      </w:r>
      <w:r w:rsidRPr="00C15108">
        <w:rPr>
          <w:i/>
        </w:rPr>
        <w:t xml:space="preserve">, la Federación y </w:t>
      </w:r>
      <w:r w:rsidRPr="00C15108">
        <w:rPr>
          <w:b/>
          <w:i/>
        </w:rPr>
        <w:t>las entidades federativas, en el ámbito de sus respectivas competencias, se regirán por los siguientes principios y bases:</w:t>
      </w:r>
    </w:p>
    <w:p w:rsidR="00B8771D" w:rsidRPr="00C15108" w:rsidRDefault="00976436" w:rsidP="00C15108">
      <w:pPr>
        <w:spacing w:line="240" w:lineRule="auto"/>
        <w:ind w:left="567" w:right="539"/>
        <w:rPr>
          <w:i/>
        </w:rPr>
      </w:pPr>
      <w:r w:rsidRPr="00C15108">
        <w:rPr>
          <w:b/>
          <w:i/>
        </w:rPr>
        <w:t xml:space="preserve">I. </w:t>
      </w:r>
      <w:r w:rsidRPr="00C15108">
        <w:rPr>
          <w:b/>
          <w:i/>
        </w:rPr>
        <w:tab/>
        <w:t>Toda la información en posesión de cualquier</w:t>
      </w:r>
      <w:r w:rsidRPr="00C15108">
        <w:rPr>
          <w:i/>
        </w:rPr>
        <w:t xml:space="preserve"> </w:t>
      </w:r>
      <w:r w:rsidRPr="00C15108">
        <w:rPr>
          <w:b/>
          <w:i/>
        </w:rPr>
        <w:t>autoridad</w:t>
      </w:r>
      <w:r w:rsidRPr="00C1510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15108">
        <w:rPr>
          <w:b/>
          <w:i/>
        </w:rPr>
        <w:t>municipal</w:t>
      </w:r>
      <w:r w:rsidRPr="00C15108">
        <w:rPr>
          <w:i/>
        </w:rPr>
        <w:t xml:space="preserve">, </w:t>
      </w:r>
      <w:r w:rsidRPr="00C15108">
        <w:rPr>
          <w:b/>
          <w:i/>
        </w:rPr>
        <w:t>es pública</w:t>
      </w:r>
      <w:r w:rsidRPr="00C15108">
        <w:rPr>
          <w:i/>
        </w:rPr>
        <w:t xml:space="preserve"> y sólo podrá ser reservada temporalmente por razones de interés público y seguridad nacional, en los términos que fijen las leyes. </w:t>
      </w:r>
      <w:r w:rsidRPr="00C15108">
        <w:rPr>
          <w:b/>
          <w:i/>
        </w:rPr>
        <w:t>En la interpretación de este derecho deberá prevalecer el principio de máxima publicidad. Los sujetos obligados deberán documentar todo acto que derive del ejercicio de sus facultades, competencias o funciones</w:t>
      </w:r>
      <w:r w:rsidRPr="00C15108">
        <w:rPr>
          <w:i/>
        </w:rPr>
        <w:t>, la ley determinará los supuestos específicos bajo los cuales procederá la declaración de inexistencia de la información.”</w:t>
      </w:r>
    </w:p>
    <w:p w:rsidR="00B8771D" w:rsidRPr="00C15108" w:rsidRDefault="00B8771D" w:rsidP="00C15108">
      <w:pPr>
        <w:spacing w:line="240" w:lineRule="auto"/>
        <w:ind w:left="567" w:right="539"/>
        <w:rPr>
          <w:b/>
          <w:i/>
        </w:rPr>
      </w:pPr>
    </w:p>
    <w:p w:rsidR="00B8771D" w:rsidRPr="00C15108" w:rsidRDefault="00976436" w:rsidP="00C15108">
      <w:pPr>
        <w:spacing w:line="240" w:lineRule="auto"/>
        <w:ind w:left="567" w:right="539"/>
        <w:rPr>
          <w:b/>
          <w:i/>
        </w:rPr>
      </w:pPr>
      <w:r w:rsidRPr="00C15108">
        <w:rPr>
          <w:b/>
          <w:i/>
        </w:rPr>
        <w:t>Constitución Política del Estado Libre y Soberano de México</w:t>
      </w:r>
    </w:p>
    <w:p w:rsidR="00B8771D" w:rsidRPr="00C15108" w:rsidRDefault="00976436" w:rsidP="00C15108">
      <w:pPr>
        <w:spacing w:line="240" w:lineRule="auto"/>
        <w:ind w:left="567" w:right="539"/>
        <w:rPr>
          <w:i/>
        </w:rPr>
      </w:pPr>
      <w:r w:rsidRPr="00C15108">
        <w:rPr>
          <w:b/>
          <w:i/>
        </w:rPr>
        <w:t>“Artículo 5</w:t>
      </w:r>
      <w:r w:rsidRPr="00C15108">
        <w:rPr>
          <w:i/>
        </w:rPr>
        <w:t xml:space="preserve">.- </w:t>
      </w:r>
    </w:p>
    <w:p w:rsidR="00B8771D" w:rsidRPr="00C15108" w:rsidRDefault="00976436" w:rsidP="00C15108">
      <w:pPr>
        <w:spacing w:line="240" w:lineRule="auto"/>
        <w:ind w:left="567" w:right="539"/>
        <w:rPr>
          <w:i/>
        </w:rPr>
      </w:pPr>
      <w:r w:rsidRPr="00C15108">
        <w:rPr>
          <w:i/>
        </w:rPr>
        <w:t>(…)</w:t>
      </w:r>
    </w:p>
    <w:p w:rsidR="00B8771D" w:rsidRPr="00C15108" w:rsidRDefault="00976436" w:rsidP="00C15108">
      <w:pPr>
        <w:spacing w:line="240" w:lineRule="auto"/>
        <w:ind w:left="567" w:right="539"/>
        <w:rPr>
          <w:i/>
        </w:rPr>
      </w:pPr>
      <w:r w:rsidRPr="00C15108">
        <w:rPr>
          <w:b/>
          <w:i/>
        </w:rPr>
        <w:t>El derecho a la información será garantizado por el Estado. La ley establecerá las previsiones que permitan asegurar la protección, el respeto y la difusión de este derecho</w:t>
      </w:r>
      <w:r w:rsidRPr="00C15108">
        <w:rPr>
          <w:i/>
        </w:rPr>
        <w:t>.</w:t>
      </w:r>
    </w:p>
    <w:p w:rsidR="00B8771D" w:rsidRPr="00C15108" w:rsidRDefault="00976436" w:rsidP="00C15108">
      <w:pPr>
        <w:spacing w:line="240" w:lineRule="auto"/>
        <w:ind w:left="567" w:right="539"/>
        <w:rPr>
          <w:i/>
        </w:rPr>
      </w:pPr>
      <w:r w:rsidRPr="00C1510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8771D" w:rsidRPr="00C15108" w:rsidRDefault="00976436" w:rsidP="00C15108">
      <w:pPr>
        <w:spacing w:line="240" w:lineRule="auto"/>
        <w:ind w:left="567" w:right="539"/>
        <w:rPr>
          <w:i/>
        </w:rPr>
      </w:pPr>
      <w:r w:rsidRPr="00C15108">
        <w:rPr>
          <w:b/>
          <w:i/>
        </w:rPr>
        <w:t>Este derecho se regirá por los principios y bases siguientes</w:t>
      </w:r>
      <w:r w:rsidRPr="00C15108">
        <w:rPr>
          <w:i/>
        </w:rPr>
        <w:t>:</w:t>
      </w:r>
    </w:p>
    <w:p w:rsidR="00B8771D" w:rsidRPr="00C15108" w:rsidRDefault="00976436" w:rsidP="00C15108">
      <w:pPr>
        <w:spacing w:line="240" w:lineRule="auto"/>
        <w:ind w:left="567" w:right="539"/>
        <w:rPr>
          <w:i/>
        </w:rPr>
      </w:pPr>
      <w:r w:rsidRPr="00C15108">
        <w:rPr>
          <w:b/>
          <w:i/>
        </w:rPr>
        <w:lastRenderedPageBreak/>
        <w:t>I. Toda la información en posesión de cualquier autoridad, entidad, órgano y organismos de los</w:t>
      </w:r>
      <w:r w:rsidRPr="00C15108">
        <w:rPr>
          <w:i/>
        </w:rPr>
        <w:t xml:space="preserve"> Poderes Ejecutivo, Legislativo y Judicial, órganos autónomos, partidos políticos, fideicomisos y fondos públicos estatales y </w:t>
      </w:r>
      <w:r w:rsidRPr="00C15108">
        <w:rPr>
          <w:b/>
          <w:i/>
        </w:rPr>
        <w:t>municipales</w:t>
      </w:r>
      <w:r w:rsidRPr="00C1510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15108">
        <w:rPr>
          <w:b/>
          <w:i/>
        </w:rPr>
        <w:t>es pública</w:t>
      </w:r>
      <w:r w:rsidRPr="00C15108">
        <w:rPr>
          <w:i/>
        </w:rPr>
        <w:t xml:space="preserve"> y sólo podrá ser reservada temporalmente por razones previstas en la Constitución Política de los Estados Unidos Mexicanos de interés público y seguridad, en los términos que fijen las leyes. </w:t>
      </w:r>
      <w:r w:rsidRPr="00C15108">
        <w:rPr>
          <w:b/>
          <w:i/>
        </w:rPr>
        <w:t>En la interpretación de este derecho deberá prevalecer el principio de máxima publicidad</w:t>
      </w:r>
      <w:r w:rsidRPr="00C15108">
        <w:rPr>
          <w:i/>
        </w:rPr>
        <w:t xml:space="preserve">. </w:t>
      </w:r>
      <w:r w:rsidRPr="00C15108">
        <w:rPr>
          <w:b/>
          <w:i/>
        </w:rPr>
        <w:t>Los sujetos obligados deberán documentar todo acto que derive del ejercicio de sus facultades, competencias o funciones</w:t>
      </w:r>
      <w:r w:rsidRPr="00C15108">
        <w:rPr>
          <w:i/>
        </w:rPr>
        <w:t>, la ley determinará los supuestos específicos bajo los cuales procederá la declaración de inexistencia de la información.”</w:t>
      </w:r>
    </w:p>
    <w:p w:rsidR="00B8771D" w:rsidRPr="00C15108" w:rsidRDefault="00B8771D" w:rsidP="00C15108">
      <w:pPr>
        <w:rPr>
          <w:b/>
          <w:i/>
        </w:rPr>
      </w:pPr>
    </w:p>
    <w:p w:rsidR="00B8771D" w:rsidRPr="00C15108" w:rsidRDefault="00976436" w:rsidP="00C15108">
      <w:pPr>
        <w:rPr>
          <w:i/>
        </w:rPr>
      </w:pPr>
      <w:r w:rsidRPr="00C1510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15108">
        <w:rPr>
          <w:i/>
        </w:rPr>
        <w:t>por los principios de simplicidad, rapidez, gratuidad del procedimiento, auxilio y orientación a los particulares.</w:t>
      </w:r>
    </w:p>
    <w:p w:rsidR="00B8771D" w:rsidRPr="00C15108" w:rsidRDefault="00B8771D" w:rsidP="00C15108">
      <w:pPr>
        <w:rPr>
          <w:i/>
        </w:rPr>
      </w:pPr>
    </w:p>
    <w:p w:rsidR="00B8771D" w:rsidRPr="00C15108" w:rsidRDefault="00976436" w:rsidP="00C15108">
      <w:pPr>
        <w:rPr>
          <w:i/>
        </w:rPr>
      </w:pPr>
      <w:r w:rsidRPr="00C1510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B8771D" w:rsidRPr="00C15108" w:rsidRDefault="00B8771D" w:rsidP="00C15108"/>
    <w:p w:rsidR="00B8771D" w:rsidRPr="00C15108" w:rsidRDefault="00976436" w:rsidP="00C15108">
      <w:r w:rsidRPr="00C1510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B8771D" w:rsidRPr="00C15108" w:rsidRDefault="00B8771D" w:rsidP="00C15108"/>
    <w:p w:rsidR="00B8771D" w:rsidRPr="00C15108" w:rsidRDefault="00976436" w:rsidP="00C15108">
      <w:r w:rsidRPr="00C15108">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B8771D" w:rsidRPr="00C15108" w:rsidRDefault="00B8771D" w:rsidP="00C15108"/>
    <w:p w:rsidR="00B8771D" w:rsidRPr="00C15108" w:rsidRDefault="00976436" w:rsidP="00C15108">
      <w:r w:rsidRPr="00C1510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B8771D" w:rsidRPr="00C15108" w:rsidRDefault="00B8771D" w:rsidP="00C15108"/>
    <w:p w:rsidR="00B8771D" w:rsidRPr="00C15108" w:rsidRDefault="00976436" w:rsidP="00C15108">
      <w:bookmarkStart w:id="31" w:name="_heading=h.1pxezwc" w:colFirst="0" w:colLast="0"/>
      <w:bookmarkEnd w:id="31"/>
      <w:r w:rsidRPr="00C15108">
        <w:t xml:space="preserve">Con base en lo anterior, se considera que </w:t>
      </w:r>
      <w:r w:rsidRPr="00C15108">
        <w:rPr>
          <w:b/>
        </w:rPr>
        <w:t>EL</w:t>
      </w:r>
      <w:r w:rsidRPr="00C15108">
        <w:t xml:space="preserve"> </w:t>
      </w:r>
      <w:r w:rsidRPr="00C15108">
        <w:rPr>
          <w:b/>
        </w:rPr>
        <w:t>SUJETO OBLIGADO</w:t>
      </w:r>
      <w:r w:rsidRPr="00C15108">
        <w:t xml:space="preserve"> se encontraba compelido a atender la solicitud de acceso a la información realizada por </w:t>
      </w:r>
      <w:r w:rsidRPr="00C15108">
        <w:rPr>
          <w:b/>
        </w:rPr>
        <w:t>LA PARTE RECURRENTE</w:t>
      </w:r>
      <w:r w:rsidRPr="00C15108">
        <w:t>.</w:t>
      </w:r>
    </w:p>
    <w:p w:rsidR="00B8771D" w:rsidRPr="00C15108" w:rsidRDefault="00B8771D" w:rsidP="00C15108"/>
    <w:p w:rsidR="00B8771D" w:rsidRPr="00C15108" w:rsidRDefault="00976436" w:rsidP="00C15108">
      <w:pPr>
        <w:pStyle w:val="Ttulo3"/>
      </w:pPr>
      <w:bookmarkStart w:id="32" w:name="_heading=h.cyl3f8gd2ire" w:colFirst="0" w:colLast="0"/>
      <w:bookmarkEnd w:id="32"/>
      <w:r w:rsidRPr="00C15108">
        <w:t>b) Controversia a resolver.</w:t>
      </w:r>
    </w:p>
    <w:p w:rsidR="00B8771D" w:rsidRPr="00C15108" w:rsidRDefault="00976436" w:rsidP="00C15108">
      <w:r w:rsidRPr="00C15108">
        <w:t xml:space="preserve">Con el objeto de ilustrar la controversia planteada, resulta conveniente precisar que, una vez realizado el estudio de las constancias que integran el expediente en que se actúa, se desprende que </w:t>
      </w:r>
      <w:r w:rsidRPr="00C15108">
        <w:rPr>
          <w:b/>
        </w:rPr>
        <w:t>LA PARTE RECURRENTE</w:t>
      </w:r>
      <w:r w:rsidRPr="00C15108">
        <w:t xml:space="preserve"> solicitó lo siguiente:</w:t>
      </w:r>
    </w:p>
    <w:p w:rsidR="00B8771D" w:rsidRPr="00C15108" w:rsidRDefault="00B8771D" w:rsidP="00C15108">
      <w:pPr>
        <w:widowControl w:val="0"/>
        <w:pBdr>
          <w:top w:val="nil"/>
          <w:left w:val="nil"/>
          <w:bottom w:val="nil"/>
          <w:right w:val="nil"/>
          <w:between w:val="nil"/>
        </w:pBdr>
        <w:ind w:left="720"/>
        <w:rPr>
          <w:rFonts w:eastAsia="Palatino Linotype" w:cs="Palatino Linotype"/>
          <w:szCs w:val="22"/>
        </w:rPr>
      </w:pPr>
    </w:p>
    <w:p w:rsidR="00B8771D" w:rsidRPr="00C15108" w:rsidRDefault="00976436" w:rsidP="00C15108">
      <w:pPr>
        <w:widowControl w:val="0"/>
        <w:numPr>
          <w:ilvl w:val="0"/>
          <w:numId w:val="1"/>
        </w:numPr>
        <w:pBdr>
          <w:top w:val="nil"/>
          <w:left w:val="nil"/>
          <w:bottom w:val="nil"/>
          <w:right w:val="nil"/>
          <w:between w:val="nil"/>
        </w:pBdr>
        <w:rPr>
          <w:rFonts w:eastAsia="Palatino Linotype" w:cs="Palatino Linotype"/>
          <w:szCs w:val="22"/>
        </w:rPr>
      </w:pPr>
      <w:r w:rsidRPr="00C15108">
        <w:rPr>
          <w:rFonts w:eastAsia="Palatino Linotype" w:cs="Palatino Linotype"/>
          <w:szCs w:val="22"/>
        </w:rPr>
        <w:t>Los recibos de nómina emitidos en favor del Presidente, Síndico y Regidores Municipales del Ayuntamiento de Jiquipilco correspondientes a la primera quincena del mes de enero del año 2025, en versión pública</w:t>
      </w:r>
    </w:p>
    <w:p w:rsidR="00B8771D" w:rsidRPr="00C15108" w:rsidRDefault="00976436" w:rsidP="00C15108">
      <w:pPr>
        <w:widowControl w:val="0"/>
        <w:numPr>
          <w:ilvl w:val="0"/>
          <w:numId w:val="1"/>
        </w:numPr>
        <w:pBdr>
          <w:top w:val="nil"/>
          <w:left w:val="nil"/>
          <w:bottom w:val="nil"/>
          <w:right w:val="nil"/>
          <w:between w:val="nil"/>
        </w:pBdr>
        <w:rPr>
          <w:rFonts w:eastAsia="Palatino Linotype" w:cs="Palatino Linotype"/>
          <w:szCs w:val="22"/>
        </w:rPr>
      </w:pPr>
      <w:r w:rsidRPr="00C15108">
        <w:rPr>
          <w:rFonts w:eastAsia="Palatino Linotype" w:cs="Palatino Linotype"/>
          <w:szCs w:val="22"/>
        </w:rPr>
        <w:lastRenderedPageBreak/>
        <w:t>Los recibos de nóminas de todos y cada uno de los directores o titulares de las unidades o dependencias correspondientes a la primera quincena del mes de enero del año 2025, en versión pública.</w:t>
      </w:r>
    </w:p>
    <w:p w:rsidR="00B8771D" w:rsidRPr="00C15108" w:rsidRDefault="00B8771D" w:rsidP="00C15108">
      <w:pPr>
        <w:widowControl w:val="0"/>
      </w:pPr>
    </w:p>
    <w:p w:rsidR="00B8771D" w:rsidRPr="00C15108" w:rsidRDefault="00976436" w:rsidP="00C15108">
      <w:pPr>
        <w:widowControl w:val="0"/>
      </w:pPr>
      <w:r w:rsidRPr="00C15108">
        <w:t xml:space="preserve">En respuesta, </w:t>
      </w:r>
      <w:r w:rsidRPr="00C15108">
        <w:rPr>
          <w:b/>
        </w:rPr>
        <w:t>EL SUJETO OBLIGADO</w:t>
      </w:r>
      <w:r w:rsidRPr="00C15108">
        <w:t xml:space="preserve"> se pronunció a través del Tesorero Municipal y le proporcionó en versión pública los recibos de nómina solicitados.</w:t>
      </w:r>
    </w:p>
    <w:p w:rsidR="00B8771D" w:rsidRPr="00C15108" w:rsidRDefault="00B8771D" w:rsidP="00C15108">
      <w:pPr>
        <w:ind w:right="-312"/>
        <w:rPr>
          <w:b/>
          <w:i/>
        </w:rPr>
      </w:pPr>
    </w:p>
    <w:p w:rsidR="00B8771D" w:rsidRPr="00C15108" w:rsidRDefault="00976436" w:rsidP="00C15108">
      <w:r w:rsidRPr="00C15108">
        <w:t xml:space="preserve">Derivado de ello, </w:t>
      </w:r>
      <w:r w:rsidRPr="00C15108">
        <w:rPr>
          <w:b/>
        </w:rPr>
        <w:t>LA PARTE RECURRENTE</w:t>
      </w:r>
      <w:r w:rsidRPr="00C15108">
        <w:t xml:space="preserve"> se inconformó refiriendo medularmente de la omisión de fundar y motivar la clasificación de la información de los datos contenidos en los recibos de nómina.</w:t>
      </w:r>
    </w:p>
    <w:p w:rsidR="00B8771D" w:rsidRPr="00C15108" w:rsidRDefault="00B8771D" w:rsidP="00C15108"/>
    <w:p w:rsidR="00B8771D" w:rsidRPr="00C15108" w:rsidRDefault="00976436" w:rsidP="00C15108">
      <w:r w:rsidRPr="00C15108">
        <w:t xml:space="preserve">Abierta la etapa de instrucción, </w:t>
      </w:r>
      <w:r w:rsidRPr="00C15108">
        <w:rPr>
          <w:b/>
        </w:rPr>
        <w:t>EL SUJETO OBLIGADO</w:t>
      </w:r>
      <w:r w:rsidRPr="00C15108">
        <w:t xml:space="preserve"> no rindió su Informe Justificado. </w:t>
      </w:r>
      <w:r w:rsidRPr="00C15108">
        <w:rPr>
          <w:b/>
        </w:rPr>
        <w:t xml:space="preserve">LA PARTE RECURRENTE </w:t>
      </w:r>
      <w:r w:rsidRPr="00C15108">
        <w:t>omitió realizar las manifestaciones que a su derecho conviniera.</w:t>
      </w:r>
    </w:p>
    <w:p w:rsidR="00B8771D" w:rsidRPr="00C15108" w:rsidRDefault="00B8771D" w:rsidP="00C15108"/>
    <w:p w:rsidR="00B8771D" w:rsidRPr="00C15108" w:rsidRDefault="00976436" w:rsidP="00C15108">
      <w:r w:rsidRPr="00C15108">
        <w:t xml:space="preserve">Bajo las premisas anteriores, se concluye que la controversia a dilucidar en el presente medio de impugnación será verificar si la información proporcionada en respuesta por </w:t>
      </w:r>
      <w:r w:rsidRPr="00C15108">
        <w:rPr>
          <w:b/>
        </w:rPr>
        <w:t xml:space="preserve">EL SUJETO OBLIGADO </w:t>
      </w:r>
      <w:r w:rsidRPr="00C15108">
        <w:t xml:space="preserve">es adecuada y suficiente para tener por satisfecho el derecho de acceso a la información pública de </w:t>
      </w:r>
      <w:r w:rsidRPr="00C15108">
        <w:rPr>
          <w:b/>
        </w:rPr>
        <w:t>LA PARTE RECURRENTE</w:t>
      </w:r>
      <w:r w:rsidRPr="00C15108">
        <w:t>, o en su caso, ordenar la entrega de la información que corresponda.</w:t>
      </w:r>
    </w:p>
    <w:p w:rsidR="00B8771D" w:rsidRPr="00C15108" w:rsidRDefault="00B8771D" w:rsidP="00C15108">
      <w:pPr>
        <w:ind w:right="-312"/>
        <w:rPr>
          <w:b/>
          <w:i/>
        </w:rPr>
      </w:pPr>
    </w:p>
    <w:p w:rsidR="00B8771D" w:rsidRPr="00C15108" w:rsidRDefault="00976436" w:rsidP="00C15108">
      <w:pPr>
        <w:pStyle w:val="Ttulo3"/>
        <w:ind w:right="-312"/>
      </w:pPr>
      <w:bookmarkStart w:id="33" w:name="_heading=h.xnqyhjakn1dk" w:colFirst="0" w:colLast="0"/>
      <w:bookmarkEnd w:id="33"/>
      <w:r w:rsidRPr="00C15108">
        <w:t>c) Estudio de la controversia</w:t>
      </w:r>
    </w:p>
    <w:p w:rsidR="00B8771D" w:rsidRPr="00C15108" w:rsidRDefault="00976436" w:rsidP="00C15108">
      <w:r w:rsidRPr="00C15108">
        <w:t xml:space="preserve">Primero, es de puntualizar que, del análisis realizado al acto impugnado en relación con las razones o motivos de inconformidad, vertido por </w:t>
      </w:r>
      <w:r w:rsidRPr="00C15108">
        <w:rPr>
          <w:b/>
        </w:rPr>
        <w:t xml:space="preserve">LA PARTE RECURRENTE </w:t>
      </w:r>
      <w:r w:rsidRPr="00C15108">
        <w:t xml:space="preserve">al momento de presentar su medio de inconformidad en estudio, se advierte que </w:t>
      </w:r>
      <w:r w:rsidRPr="00C15108">
        <w:rPr>
          <w:b/>
        </w:rPr>
        <w:t>LA PARTE RECURRENTE</w:t>
      </w:r>
      <w:r w:rsidRPr="00C15108">
        <w:t xml:space="preserve"> únicamente</w:t>
      </w:r>
      <w:r w:rsidRPr="00C15108">
        <w:rPr>
          <w:b/>
        </w:rPr>
        <w:t xml:space="preserve"> </w:t>
      </w:r>
      <w:r w:rsidRPr="00C15108">
        <w:t>se inconforma por la falta de “</w:t>
      </w:r>
      <w:r w:rsidRPr="00C15108">
        <w:rPr>
          <w:i/>
        </w:rPr>
        <w:t>fundar y motivar las razones que se tomaron en cuenta para clasificar la información contenida en los recibos de nómina” Sic.</w:t>
      </w:r>
      <w:r w:rsidRPr="00C15108">
        <w:t xml:space="preserve"> </w:t>
      </w:r>
    </w:p>
    <w:p w:rsidR="00B8771D" w:rsidRPr="00C15108" w:rsidRDefault="00B8771D" w:rsidP="00C15108"/>
    <w:p w:rsidR="00B8771D" w:rsidRPr="00C15108" w:rsidRDefault="00976436" w:rsidP="00C15108">
      <w:r w:rsidRPr="00C15108">
        <w:t xml:space="preserve">En tal sentido, este Órgano Garante considera que la información entregada en la atención al recurso de revisión de mérito debe declararse consentida; ello en razón de que </w:t>
      </w:r>
      <w:r w:rsidRPr="00C15108">
        <w:rPr>
          <w:b/>
        </w:rPr>
        <w:t>LA PARTE RECURRENTE</w:t>
      </w:r>
      <w:r w:rsidRPr="00C15108">
        <w:t xml:space="preserve"> no realizó manifestaciones de inconformidad en relación a la misma.</w:t>
      </w:r>
    </w:p>
    <w:p w:rsidR="00B8771D" w:rsidRPr="00C15108" w:rsidRDefault="00B8771D" w:rsidP="00C15108"/>
    <w:p w:rsidR="00B8771D" w:rsidRPr="00C15108" w:rsidRDefault="00976436" w:rsidP="00C15108">
      <w:r w:rsidRPr="00C15108">
        <w:t>Sirve de sustento, la tesis jurisprudencial número VI.3o.C. J/60, publicada en el Semanario Judicial de la Federación y su Gaceta bajo el número de registro 176,608 que a la letra dice:</w:t>
      </w:r>
    </w:p>
    <w:p w:rsidR="00B8771D" w:rsidRPr="00C15108" w:rsidRDefault="00B8771D" w:rsidP="00C15108"/>
    <w:p w:rsidR="00B8771D" w:rsidRPr="00C15108" w:rsidRDefault="00976436" w:rsidP="00C15108">
      <w:pPr>
        <w:rPr>
          <w:i/>
        </w:rPr>
      </w:pPr>
      <w:r w:rsidRPr="00C15108">
        <w:rPr>
          <w:b/>
          <w:i/>
        </w:rPr>
        <w:t xml:space="preserve">“ACTOS CONSENTIDOS. SON LOS QUE NO SE IMPUGNAN MEDIANTE EL RECURSO IDÓNEO. </w:t>
      </w:r>
      <w:r w:rsidRPr="00C15108">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B8771D" w:rsidRPr="00C15108" w:rsidRDefault="00B8771D" w:rsidP="00C15108"/>
    <w:p w:rsidR="00B8771D" w:rsidRPr="00C15108" w:rsidRDefault="00976436" w:rsidP="00C15108">
      <w:r w:rsidRPr="00C15108">
        <w:t>Lo anterior es así, debido a que cuando el particular</w:t>
      </w:r>
      <w:r w:rsidRPr="00C15108">
        <w:rPr>
          <w:b/>
        </w:rPr>
        <w:t xml:space="preserve"> </w:t>
      </w:r>
      <w:r w:rsidRPr="00C15108">
        <w:t xml:space="preserve">impugnó la respuesta del </w:t>
      </w:r>
      <w:r w:rsidRPr="00C15108">
        <w:rPr>
          <w:b/>
        </w:rPr>
        <w:t>SUJETO OBLIGADO</w:t>
      </w:r>
      <w:r w:rsidRPr="00C15108">
        <w:t xml:space="preserve">, y no expresó razón o motivo de inconformidad en contra de los rubros entregados, dichos rubros deben declararse atendidos, pues se entiende que </w:t>
      </w:r>
      <w:r w:rsidRPr="00C15108">
        <w:rPr>
          <w:b/>
        </w:rPr>
        <w:t>EL RECURRENTE</w:t>
      </w:r>
      <w:r w:rsidRPr="00C15108">
        <w:t xml:space="preserve"> está conforme con la información proporcionada por </w:t>
      </w:r>
      <w:r w:rsidRPr="00C15108">
        <w:rPr>
          <w:b/>
        </w:rPr>
        <w:t>EL SUJETO OBLIGADO</w:t>
      </w:r>
      <w:r w:rsidRPr="00C15108">
        <w:t xml:space="preserve">, al no contravenir la misma. </w:t>
      </w:r>
    </w:p>
    <w:p w:rsidR="00B8771D" w:rsidRPr="00C15108" w:rsidRDefault="00B8771D" w:rsidP="00C15108"/>
    <w:p w:rsidR="00B8771D" w:rsidRPr="00C15108" w:rsidRDefault="00976436" w:rsidP="00C15108">
      <w:r w:rsidRPr="00C15108">
        <w:t xml:space="preserve">Para mayor precisión a lo aquí expuesto, lo anterior guarda relación toda vez que en el caso de que </w:t>
      </w:r>
      <w:r w:rsidRPr="00C15108">
        <w:rPr>
          <w:b/>
        </w:rPr>
        <w:t>LA PARTE RECURRENTE</w:t>
      </w:r>
      <w:r w:rsidRPr="00C15108">
        <w:t xml:space="preserve"> no haya manifestado su inconformidad en contra del acto en su totalidad o en cualquiera de sus partes, se tendrá por consentido al no haber realizado argumento alguno que formulara un agravio en su contra, por lo que, en la especie, se válida la información respecto de los documentos remitidas en respuesta y se arriba a la conclusión </w:t>
      </w:r>
      <w:r w:rsidRPr="00C15108">
        <w:lastRenderedPageBreak/>
        <w:t>de que estos quedaron firmes. Situación, que se robustece con el Criterio 01/20, emitido por el entonces Instituto Nacional de Transparencia, Acceso a la Información y Protección de Datos Personales, que establece lo siguiente:</w:t>
      </w:r>
    </w:p>
    <w:p w:rsidR="00B8771D" w:rsidRPr="00C15108" w:rsidRDefault="00B8771D" w:rsidP="00C15108"/>
    <w:p w:rsidR="00B8771D" w:rsidRPr="00C15108" w:rsidRDefault="00976436" w:rsidP="00C15108">
      <w:pPr>
        <w:rPr>
          <w:i/>
        </w:rPr>
      </w:pPr>
      <w:r w:rsidRPr="00C15108">
        <w:rPr>
          <w:b/>
          <w:i/>
        </w:rPr>
        <w:t xml:space="preserve">“Actos consentidos tácitamente. Improcedencia de su análisis. </w:t>
      </w:r>
      <w:r w:rsidRPr="00C15108">
        <w:rPr>
          <w:i/>
        </w:rPr>
        <w:t>Si en su recurso de revisión, la persona recurrente no expresó inconformidad alguna con ciertas partes de la respuesta otorgada, se entienden tácitamente consentidas, por ende, no deben formar parte del estudio de fondo de la resolución que emite el Instituto.” Sic.</w:t>
      </w:r>
    </w:p>
    <w:p w:rsidR="00B8771D" w:rsidRPr="00C15108" w:rsidRDefault="00B8771D" w:rsidP="00C15108"/>
    <w:p w:rsidR="00B8771D" w:rsidRPr="00C15108" w:rsidRDefault="00976436" w:rsidP="00C15108">
      <w:r w:rsidRPr="00C15108">
        <w:t>Así como en la Tesis Jurisprudencial Número 3ª./J.7/91, Publicada en el Semanario Judicial de la Federación y su Gaceta bajo el número de registro 174,177, que establece lo siguiente:</w:t>
      </w:r>
    </w:p>
    <w:p w:rsidR="00B8771D" w:rsidRPr="00C15108" w:rsidRDefault="00B8771D" w:rsidP="00C15108"/>
    <w:p w:rsidR="00B8771D" w:rsidRPr="00C15108" w:rsidRDefault="00976436" w:rsidP="00C15108">
      <w:pPr>
        <w:rPr>
          <w:i/>
        </w:rPr>
      </w:pPr>
      <w:r w:rsidRPr="00C15108">
        <w:rPr>
          <w:b/>
          <w:i/>
        </w:rPr>
        <w:t xml:space="preserve">“REVISIÓN EN AMPARO. LOS RESOLUTIVOS NO COMBATIDOS DEBEN DECLARARSE FIRMES. </w:t>
      </w:r>
      <w:r w:rsidRPr="00C15108">
        <w:rPr>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B8771D" w:rsidRPr="00C15108" w:rsidRDefault="00B8771D" w:rsidP="00C15108"/>
    <w:p w:rsidR="00B8771D" w:rsidRPr="00C15108" w:rsidRDefault="00976436" w:rsidP="00C15108">
      <w:r w:rsidRPr="00C15108">
        <w:t xml:space="preserve">Expuesto las posturas de las partes y planteada la controversia en el presente medio de impugnación en estudio, es preciso puntualizar que con el pronunciamiento del </w:t>
      </w:r>
      <w:r w:rsidRPr="00C15108">
        <w:rPr>
          <w:b/>
        </w:rPr>
        <w:t xml:space="preserve">SUJETO OBLIGADO </w:t>
      </w:r>
      <w:r w:rsidRPr="00C15108">
        <w:t xml:space="preserve">se deduce que éste es competente para generar, recopilar, administrar, manejar, procesar, archivar, corregir o poseer la información solicitada, derivado de que éste ha asumido la misma, razón por la que en el presente caso, será innecesario el estudio de la naturaleza jurídica de la información pública solicitada, pues a nada práctico nos conduciría </w:t>
      </w:r>
      <w:r w:rsidRPr="00C15108">
        <w:lastRenderedPageBreak/>
        <w:t xml:space="preserve">su estudio, ya que como se observa de la respuesta vertida por </w:t>
      </w:r>
      <w:r w:rsidRPr="00C15108">
        <w:rPr>
          <w:b/>
        </w:rPr>
        <w:t>EL SUJETO OBLIGADO</w:t>
      </w:r>
      <w:r w:rsidRPr="00C15108">
        <w:t>, dicha información, fue admitida por el mismo, motivo por el cual se actualiza el supuesto jurídico, previsto en el artículo 12 de la Ley de Transparencia y Acceso a la Información Pública del Estado de México y Municipios, que a la letra señala:</w:t>
      </w:r>
    </w:p>
    <w:p w:rsidR="00B8771D" w:rsidRPr="00C15108" w:rsidRDefault="00B8771D" w:rsidP="00C15108"/>
    <w:p w:rsidR="00B8771D" w:rsidRPr="00C15108" w:rsidRDefault="00976436" w:rsidP="00C15108">
      <w:pPr>
        <w:pStyle w:val="Puesto"/>
        <w:ind w:firstLine="567"/>
      </w:pPr>
      <w:r w:rsidRPr="00C15108">
        <w:t>“</w:t>
      </w:r>
      <w:r w:rsidRPr="00C15108">
        <w:rPr>
          <w:b/>
        </w:rPr>
        <w:t>Artículo 12.</w:t>
      </w:r>
      <w:r w:rsidRPr="00C15108">
        <w:t> Quienes generen, recopilen, administren, manejen, procesen, archiven o conserven información pública serán responsables de la misma en los términos de las disposiciones jurídicas aplicables.</w:t>
      </w:r>
    </w:p>
    <w:p w:rsidR="00B8771D" w:rsidRPr="00C15108" w:rsidRDefault="00976436" w:rsidP="00C15108">
      <w:pPr>
        <w:pStyle w:val="Puesto"/>
        <w:ind w:firstLine="567"/>
        <w:rPr>
          <w:i w:val="0"/>
        </w:rPr>
      </w:pPr>
      <w:r w:rsidRPr="00C15108">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B8771D" w:rsidRPr="00C15108" w:rsidRDefault="00B8771D" w:rsidP="00C15108"/>
    <w:p w:rsidR="00B8771D" w:rsidRPr="00C15108" w:rsidRDefault="00976436" w:rsidP="00C15108">
      <w:r w:rsidRPr="00C15108">
        <w:t xml:space="preserve">Enfatizando que de manera general las solicitudes de información presentadas por el ahora </w:t>
      </w:r>
      <w:r w:rsidRPr="00C15108">
        <w:rPr>
          <w:b/>
        </w:rPr>
        <w:t xml:space="preserve">RECURRENTE </w:t>
      </w:r>
      <w:r w:rsidRPr="00C15108">
        <w:t>se refieren de manera general a los recibos de nómina.</w:t>
      </w:r>
    </w:p>
    <w:p w:rsidR="00B8771D" w:rsidRPr="00C15108" w:rsidRDefault="00976436" w:rsidP="00C15108">
      <w:pPr>
        <w:spacing w:before="240" w:after="240"/>
        <w:ind w:right="49"/>
      </w:pPr>
      <w:r w:rsidRPr="00C15108">
        <w:t>Una vez establecido lo anterior, es necesario iniciar señalando que quien se pronunció fue la Tesorería Municipal del ente recurrido, quien de conformidad con la Ley Orgánica Municipal del Estado de México, cuenta con las siguientes atribuciones:</w:t>
      </w:r>
    </w:p>
    <w:p w:rsidR="00B8771D" w:rsidRPr="00C15108" w:rsidRDefault="00976436" w:rsidP="00C15108">
      <w:pPr>
        <w:pStyle w:val="Puesto"/>
        <w:ind w:firstLine="567"/>
        <w:rPr>
          <w:i w:val="0"/>
        </w:rPr>
      </w:pPr>
      <w:r w:rsidRPr="00C15108">
        <w:t>“</w:t>
      </w:r>
      <w:r w:rsidRPr="00C15108">
        <w:rPr>
          <w:b/>
          <w:i w:val="0"/>
        </w:rPr>
        <w:t>Artículo 95.-</w:t>
      </w:r>
      <w:r w:rsidRPr="00C15108">
        <w:rPr>
          <w:i w:val="0"/>
        </w:rPr>
        <w:t xml:space="preserve"> Son atribuciones del tesorero municipal:</w:t>
      </w:r>
    </w:p>
    <w:p w:rsidR="00B8771D" w:rsidRPr="00C15108" w:rsidRDefault="00B8771D" w:rsidP="00C15108">
      <w:pPr>
        <w:pStyle w:val="Puesto"/>
        <w:ind w:firstLine="567"/>
        <w:rPr>
          <w:b/>
          <w:i w:val="0"/>
        </w:rPr>
      </w:pPr>
    </w:p>
    <w:p w:rsidR="00B8771D" w:rsidRPr="00C15108" w:rsidRDefault="00976436" w:rsidP="00C15108">
      <w:pPr>
        <w:pStyle w:val="Puesto"/>
        <w:ind w:firstLine="567"/>
      </w:pPr>
      <w:r w:rsidRPr="00C15108">
        <w:t>I. Administrar la hacienda pública municipal, de conformidad con las disposiciones legales aplicables;</w:t>
      </w:r>
    </w:p>
    <w:p w:rsidR="00B8771D" w:rsidRPr="00C15108" w:rsidRDefault="00976436" w:rsidP="00C15108">
      <w:pPr>
        <w:pStyle w:val="Puesto"/>
        <w:ind w:firstLine="567"/>
      </w:pPr>
      <w:r w:rsidRPr="00C15108">
        <w:t>…</w:t>
      </w:r>
    </w:p>
    <w:p w:rsidR="00B8771D" w:rsidRPr="00C15108" w:rsidRDefault="00976436" w:rsidP="00C15108">
      <w:pPr>
        <w:pStyle w:val="Puesto"/>
        <w:ind w:firstLine="567"/>
      </w:pPr>
      <w:r w:rsidRPr="00C15108">
        <w:t>IV. Llevar los registros contables, financieros y administrativos de los ingresos, egresos, e inventarios;”</w:t>
      </w:r>
    </w:p>
    <w:p w:rsidR="00B8771D" w:rsidRPr="00C15108" w:rsidRDefault="00B8771D" w:rsidP="00C15108">
      <w:pPr>
        <w:pStyle w:val="Puesto"/>
        <w:ind w:firstLine="567"/>
      </w:pPr>
    </w:p>
    <w:p w:rsidR="00B8771D" w:rsidRPr="00C15108" w:rsidRDefault="00976436" w:rsidP="00C15108">
      <w:pPr>
        <w:pStyle w:val="Puesto"/>
        <w:ind w:firstLine="567"/>
      </w:pPr>
      <w:r w:rsidRPr="00C15108">
        <w:t>(Énfasis añadido)</w:t>
      </w:r>
    </w:p>
    <w:p w:rsidR="00B8771D" w:rsidRPr="00C15108" w:rsidRDefault="00B8771D" w:rsidP="00C15108"/>
    <w:p w:rsidR="00B8771D" w:rsidRPr="00C15108" w:rsidRDefault="00976436" w:rsidP="00C15108">
      <w:pPr>
        <w:ind w:right="49"/>
      </w:pPr>
      <w:r w:rsidRPr="00C15108">
        <w:lastRenderedPageBreak/>
        <w:t xml:space="preserve">De tal suerte que como se desprende de lo anteriormente citado, la </w:t>
      </w:r>
      <w:r w:rsidRPr="00C15108">
        <w:rPr>
          <w:b/>
        </w:rPr>
        <w:t xml:space="preserve">Tesorería Municipal </w:t>
      </w:r>
      <w:r w:rsidRPr="00C15108">
        <w:t>es la unidad administrativa encargada de llevar los registros contables, financieros y administrativos de los ingresos, egresos e inventarios,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rsidR="00B8771D" w:rsidRPr="00C15108" w:rsidRDefault="00B8771D" w:rsidP="00C15108"/>
    <w:p w:rsidR="00B8771D" w:rsidRPr="00C15108" w:rsidRDefault="00976436" w:rsidP="00C15108">
      <w:pPr>
        <w:pStyle w:val="Puesto"/>
        <w:ind w:firstLine="567"/>
      </w:pPr>
      <w:r w:rsidRPr="00C15108">
        <w:rPr>
          <w:b/>
        </w:rPr>
        <w:t>XXXIX.</w:t>
      </w:r>
      <w:r w:rsidRPr="00C15108">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rsidR="00B8771D" w:rsidRPr="00C15108" w:rsidRDefault="00B8771D" w:rsidP="00C15108"/>
    <w:p w:rsidR="00B8771D" w:rsidRPr="00C15108" w:rsidRDefault="00976436" w:rsidP="00C15108">
      <w:r w:rsidRPr="00C15108">
        <w:t>En este orden de ideas, se advierte que efectivamente la Unidad de Transparencia cumplió con lo expresado en el artículo 162 de la Ley de Transparencia y Acceso a la Información Pública del Estado de México y Municipios, el cual menciona lo siguiente:</w:t>
      </w:r>
    </w:p>
    <w:p w:rsidR="00B8771D" w:rsidRPr="00C15108" w:rsidRDefault="00B8771D" w:rsidP="00C15108"/>
    <w:p w:rsidR="00B8771D" w:rsidRPr="00C15108" w:rsidRDefault="00976436" w:rsidP="00C15108">
      <w:pPr>
        <w:pStyle w:val="Puesto"/>
        <w:ind w:firstLine="567"/>
      </w:pPr>
      <w:r w:rsidRPr="00C15108">
        <w:t xml:space="preserve">“Artículo 162. Las unidades de transparencia deberán garantizar que las solicitudes </w:t>
      </w:r>
      <w:r w:rsidRPr="00C15108">
        <w:rPr>
          <w:b/>
        </w:rPr>
        <w:t xml:space="preserve">se turnen a todas las Áreas competentes </w:t>
      </w:r>
      <w:r w:rsidRPr="00C15108">
        <w:t>que cuenten con la información o deban tenerla de acuerdo a sus facultades, competencias y funciones, con el objeto de que realicen una búsqueda exhaustiva y razonable de la información solicitada.”</w:t>
      </w:r>
    </w:p>
    <w:p w:rsidR="00B8771D" w:rsidRPr="00C15108" w:rsidRDefault="00B8771D" w:rsidP="00C15108">
      <w:pPr>
        <w:pBdr>
          <w:top w:val="nil"/>
          <w:left w:val="nil"/>
          <w:bottom w:val="nil"/>
          <w:right w:val="nil"/>
          <w:between w:val="nil"/>
        </w:pBdr>
        <w:ind w:right="49"/>
      </w:pPr>
    </w:p>
    <w:p w:rsidR="00B8771D" w:rsidRPr="00C15108" w:rsidRDefault="00976436" w:rsidP="00C15108">
      <w:pPr>
        <w:pBdr>
          <w:top w:val="nil"/>
          <w:left w:val="nil"/>
          <w:bottom w:val="nil"/>
          <w:right w:val="nil"/>
          <w:between w:val="nil"/>
        </w:pBdr>
        <w:ind w:right="49"/>
      </w:pPr>
      <w:r w:rsidRPr="00C15108">
        <w:t xml:space="preserve">En virtud de lo anterior, se tiene que, </w:t>
      </w:r>
      <w:r w:rsidRPr="00C15108">
        <w:rPr>
          <w:b/>
          <w:u w:val="single"/>
        </w:rPr>
        <w:t>el procedimiento de búsqueda de la información se realizó conforme lo estipula la Ley de Transparencia Local. </w:t>
      </w:r>
    </w:p>
    <w:p w:rsidR="00B8771D" w:rsidRPr="00C15108" w:rsidRDefault="00B8771D" w:rsidP="00C15108"/>
    <w:p w:rsidR="00B8771D" w:rsidRPr="00C15108" w:rsidRDefault="00976436" w:rsidP="00C15108">
      <w:r w:rsidRPr="00C15108">
        <w:lastRenderedPageBreak/>
        <w:t xml:space="preserve">Continuando en esta línea de estudio, se procede a analizar la respuesta proporcionada a fin de verificar si la información entregada por </w:t>
      </w:r>
      <w:r w:rsidRPr="00C15108">
        <w:rPr>
          <w:b/>
        </w:rPr>
        <w:t>EL SUJETO OBLIGADO</w:t>
      </w:r>
      <w:r w:rsidRPr="00C15108">
        <w:t xml:space="preserve"> colmó el derecho de acceso a la información pública del particular.</w:t>
      </w:r>
    </w:p>
    <w:p w:rsidR="00B8771D" w:rsidRPr="00C15108" w:rsidRDefault="00B8771D" w:rsidP="00C15108"/>
    <w:p w:rsidR="00B8771D" w:rsidRPr="00C15108" w:rsidRDefault="00976436" w:rsidP="00C15108">
      <w:r w:rsidRPr="00C15108">
        <w:t xml:space="preserve">Para ello, es de recordar que el ahora </w:t>
      </w:r>
      <w:r w:rsidRPr="00C15108">
        <w:rPr>
          <w:b/>
        </w:rPr>
        <w:t xml:space="preserve">RECURRENTE </w:t>
      </w:r>
      <w:r w:rsidRPr="00C15108">
        <w:t>peticionó los recibos de nómina, tanto del Presidente, Síndico y Regidores Municipales así como de todos y cada uno de los directores o titulares de las unidades o dependencias correspondientes a la primera quincena del mes de enero del año 2025, en versión pública.</w:t>
      </w:r>
    </w:p>
    <w:p w:rsidR="00B8771D" w:rsidRPr="00C15108" w:rsidRDefault="00B8771D" w:rsidP="00C15108"/>
    <w:p w:rsidR="00B8771D" w:rsidRPr="00C15108" w:rsidRDefault="00976436" w:rsidP="00C15108">
      <w:r w:rsidRPr="00C15108">
        <w:t xml:space="preserve">Teniendo que, </w:t>
      </w:r>
      <w:r w:rsidRPr="00C15108">
        <w:rPr>
          <w:b/>
        </w:rPr>
        <w:t xml:space="preserve">EL SUJETO OBLIGADO </w:t>
      </w:r>
      <w:r w:rsidRPr="00C15108">
        <w:t xml:space="preserve">a fin de atender dicho requerimiento, le remitió diversos recibos de nómina testados de cuya revisión se logra vislumbrar que clasificó los datos siguientes: </w:t>
      </w:r>
    </w:p>
    <w:p w:rsidR="00B8771D" w:rsidRPr="00C15108" w:rsidRDefault="00B8771D" w:rsidP="00C15108">
      <w:pPr>
        <w:ind w:right="-28"/>
      </w:pPr>
    </w:p>
    <w:p w:rsidR="00B8771D" w:rsidRPr="00C15108" w:rsidRDefault="00976436" w:rsidP="00C15108">
      <w:pPr>
        <w:numPr>
          <w:ilvl w:val="0"/>
          <w:numId w:val="4"/>
        </w:numPr>
      </w:pPr>
      <w:r w:rsidRPr="00C15108">
        <w:t>Registro Federal de Contribuyentes del servidor público (RFC);</w:t>
      </w:r>
    </w:p>
    <w:p w:rsidR="00B8771D" w:rsidRPr="00C15108" w:rsidRDefault="00976436" w:rsidP="00C15108">
      <w:pPr>
        <w:numPr>
          <w:ilvl w:val="0"/>
          <w:numId w:val="4"/>
        </w:numPr>
      </w:pPr>
      <w:r w:rsidRPr="00C15108">
        <w:t>Clave Única de Registro de Población (CURP);</w:t>
      </w:r>
    </w:p>
    <w:p w:rsidR="00B8771D" w:rsidRPr="00C15108" w:rsidRDefault="00976436" w:rsidP="00C15108">
      <w:pPr>
        <w:numPr>
          <w:ilvl w:val="0"/>
          <w:numId w:val="4"/>
        </w:numPr>
      </w:pPr>
      <w:r w:rsidRPr="00C15108">
        <w:t>Número de seguridad social del Instituto de Seguridad Social del Estado de México y Municipios;</w:t>
      </w:r>
    </w:p>
    <w:p w:rsidR="00B8771D" w:rsidRPr="00C15108" w:rsidRDefault="00976436" w:rsidP="00C15108">
      <w:pPr>
        <w:numPr>
          <w:ilvl w:val="0"/>
          <w:numId w:val="4"/>
        </w:numPr>
      </w:pPr>
      <w:r w:rsidRPr="00C15108">
        <w:t>Concepto de las deducciones</w:t>
      </w:r>
    </w:p>
    <w:p w:rsidR="00B8771D" w:rsidRPr="00C15108" w:rsidRDefault="00B8771D" w:rsidP="00C15108"/>
    <w:p w:rsidR="00B8771D" w:rsidRPr="00C15108" w:rsidRDefault="00976436" w:rsidP="00C15108">
      <w:r w:rsidRPr="00C15108">
        <w:t xml:space="preserve">Bajo ese contexto, resulta procedente analizar si dichos datos son públicos o privados; para lo cual,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w:t>
      </w:r>
      <w:r w:rsidRPr="00C15108">
        <w:lastRenderedPageBreak/>
        <w:t xml:space="preserve">la cual establecerá los supuestos de excepción a los principios que rijan el tratamiento de datos, por razones de seguridad nacional, disposiciones de orden público, seguridad y salud públicas o para proteger los derechos de terceros. </w:t>
      </w:r>
    </w:p>
    <w:p w:rsidR="00B8771D" w:rsidRPr="00C15108" w:rsidRDefault="00B8771D" w:rsidP="00C15108">
      <w:pPr>
        <w:ind w:right="-28"/>
      </w:pPr>
    </w:p>
    <w:p w:rsidR="00B8771D" w:rsidRPr="00C15108" w:rsidRDefault="00976436" w:rsidP="00C15108">
      <w:r w:rsidRPr="00C15108">
        <w:t>Acorde con lo anterior, la de la entonces Ley General de Transparencia y Acceso a la Información Pública, vigente a la fecha de la presentación de la solicitud,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B8771D" w:rsidRPr="00C15108" w:rsidRDefault="00B8771D" w:rsidP="00C15108"/>
    <w:p w:rsidR="00B8771D" w:rsidRPr="00C15108" w:rsidRDefault="00976436" w:rsidP="00C15108">
      <w:r w:rsidRPr="00C15108">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B8771D" w:rsidRPr="00C15108" w:rsidRDefault="00B8771D" w:rsidP="00C15108"/>
    <w:p w:rsidR="00B8771D" w:rsidRPr="00C15108" w:rsidRDefault="00976436" w:rsidP="00C15108">
      <w:r w:rsidRPr="00C15108">
        <w:t>En concordancia con lo previo, el artículo 143, fracción I, de la Ley previamente citada, establece que la información privada y los datos personales, concernientes a una persona física o jurídica colectiva identificada o identificable son confidenciales.</w:t>
      </w:r>
    </w:p>
    <w:p w:rsidR="00B8771D" w:rsidRPr="00C15108" w:rsidRDefault="00B8771D" w:rsidP="00C15108"/>
    <w:p w:rsidR="00B8771D" w:rsidRPr="00C15108" w:rsidRDefault="00976436" w:rsidP="00C15108">
      <w:r w:rsidRPr="00C15108">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w:t>
      </w:r>
      <w:r w:rsidRPr="00C15108">
        <w:lastRenderedPageBreak/>
        <w:t>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B8771D" w:rsidRPr="00C15108" w:rsidRDefault="00B8771D" w:rsidP="00C15108"/>
    <w:p w:rsidR="00B8771D" w:rsidRPr="00C15108" w:rsidRDefault="00976436" w:rsidP="00C15108">
      <w:r w:rsidRPr="00C15108">
        <w:t>En términos de lo expuesto, la documentación y aquellos datos que se consideren confidenciales, serán una limitante del derecho de acceso a la información, siempre y cuando:</w:t>
      </w:r>
    </w:p>
    <w:p w:rsidR="00B8771D" w:rsidRPr="00C15108" w:rsidRDefault="00B8771D" w:rsidP="00C15108"/>
    <w:p w:rsidR="00B8771D" w:rsidRPr="00C15108" w:rsidRDefault="00976436" w:rsidP="00C15108">
      <w:pPr>
        <w:numPr>
          <w:ilvl w:val="0"/>
          <w:numId w:val="5"/>
        </w:numPr>
      </w:pPr>
      <w:r w:rsidRPr="00C15108">
        <w:t xml:space="preserve">Se trate de datos personales o información privada; esto es, información concerniente a una persona física o jurídico colectiva y que esta sea identificada o identificable. </w:t>
      </w:r>
    </w:p>
    <w:p w:rsidR="00B8771D" w:rsidRPr="00C15108" w:rsidRDefault="00976436" w:rsidP="00C15108">
      <w:pPr>
        <w:numPr>
          <w:ilvl w:val="0"/>
          <w:numId w:val="5"/>
        </w:numPr>
      </w:pPr>
      <w:r w:rsidRPr="00C15108">
        <w:t xml:space="preserve">Para la difusión de los datos, se requiera el consentimiento del titular. </w:t>
      </w:r>
    </w:p>
    <w:p w:rsidR="00B8771D" w:rsidRPr="00C15108" w:rsidRDefault="00B8771D" w:rsidP="00C15108"/>
    <w:p w:rsidR="00B8771D" w:rsidRPr="00C15108" w:rsidRDefault="00976436" w:rsidP="00C15108">
      <w:r w:rsidRPr="00C15108">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B8771D" w:rsidRPr="00C15108" w:rsidRDefault="00B8771D" w:rsidP="00C15108"/>
    <w:p w:rsidR="00B8771D" w:rsidRPr="00C15108" w:rsidRDefault="00976436" w:rsidP="00C15108">
      <w:pPr>
        <w:numPr>
          <w:ilvl w:val="0"/>
          <w:numId w:val="6"/>
        </w:numPr>
        <w:rPr>
          <w:b/>
        </w:rPr>
      </w:pPr>
      <w:r w:rsidRPr="00C15108">
        <w:rPr>
          <w:b/>
        </w:rPr>
        <w:t>Registro Federal de Contribuyentes (RFC)</w:t>
      </w:r>
    </w:p>
    <w:p w:rsidR="00B8771D" w:rsidRPr="00C15108" w:rsidRDefault="00B8771D" w:rsidP="00C15108"/>
    <w:p w:rsidR="00B8771D" w:rsidRPr="00C15108" w:rsidRDefault="00976436" w:rsidP="00C15108">
      <w:r w:rsidRPr="00C15108">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w:t>
      </w:r>
      <w:r w:rsidRPr="00C15108">
        <w:lastRenderedPageBreak/>
        <w:t>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B8771D" w:rsidRPr="00C15108" w:rsidRDefault="00B8771D" w:rsidP="00C15108"/>
    <w:p w:rsidR="00B8771D" w:rsidRPr="00C15108" w:rsidRDefault="00976436" w:rsidP="00C15108">
      <w:r w:rsidRPr="00C15108">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B8771D" w:rsidRPr="00C15108" w:rsidRDefault="00B8771D" w:rsidP="00C15108"/>
    <w:p w:rsidR="00B8771D" w:rsidRPr="00C15108" w:rsidRDefault="00976436" w:rsidP="00C15108">
      <w:r w:rsidRPr="00C15108">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B8771D" w:rsidRPr="00C15108" w:rsidRDefault="00B8771D" w:rsidP="00C15108"/>
    <w:p w:rsidR="00B8771D" w:rsidRPr="00C15108" w:rsidRDefault="00976436" w:rsidP="00C15108">
      <w:r w:rsidRPr="00C15108">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B8771D" w:rsidRPr="00C15108" w:rsidRDefault="00B8771D" w:rsidP="00C15108"/>
    <w:p w:rsidR="00B8771D" w:rsidRPr="00C15108" w:rsidRDefault="00976436" w:rsidP="00C15108">
      <w:r w:rsidRPr="00C15108">
        <w:t>Lo anterior, resulta congruente con el Criterio de Interpretación, de la Segunda Época, con número de registro SO/019/2017, emitido por el entonces Instituto Nacional de Transparencia, Acceso a la Información y Protección de Datos Personales, en el cual se señala lo siguiente:</w:t>
      </w:r>
    </w:p>
    <w:p w:rsidR="00B8771D" w:rsidRPr="00C15108" w:rsidRDefault="00B8771D" w:rsidP="00C15108"/>
    <w:p w:rsidR="00B8771D" w:rsidRPr="00C15108" w:rsidRDefault="00976436" w:rsidP="00C15108">
      <w:pPr>
        <w:ind w:left="567" w:right="567"/>
        <w:rPr>
          <w:i/>
          <w:sz w:val="20"/>
        </w:rPr>
      </w:pPr>
      <w:r w:rsidRPr="00C15108">
        <w:rPr>
          <w:b/>
          <w:i/>
          <w:sz w:val="20"/>
        </w:rPr>
        <w:lastRenderedPageBreak/>
        <w:t>“Registro Federal de Contribuyentes (RFC) de personas físicas.</w:t>
      </w:r>
      <w:r w:rsidRPr="00C15108">
        <w:rPr>
          <w:i/>
          <w:sz w:val="20"/>
        </w:rPr>
        <w:t xml:space="preserve"> El RFC es una clave de carácter fiscal, única e irrepetible, que permite identificar al titular, su edad y fecha de nacimiento, por lo que es un dato personal de carácter confidencial.”</w:t>
      </w:r>
    </w:p>
    <w:p w:rsidR="00B8771D" w:rsidRPr="00C15108" w:rsidRDefault="00B8771D" w:rsidP="00C15108"/>
    <w:p w:rsidR="00B8771D" w:rsidRPr="00C15108" w:rsidRDefault="00976436" w:rsidP="00C15108">
      <w:r w:rsidRPr="00C15108">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w:t>
      </w:r>
    </w:p>
    <w:p w:rsidR="00B8771D" w:rsidRPr="00C15108" w:rsidRDefault="00B8771D" w:rsidP="00C15108"/>
    <w:p w:rsidR="00B8771D" w:rsidRPr="00C15108" w:rsidRDefault="00B8771D" w:rsidP="00C15108"/>
    <w:p w:rsidR="00B8771D" w:rsidRPr="00C15108" w:rsidRDefault="00976436" w:rsidP="00C15108">
      <w:pPr>
        <w:numPr>
          <w:ilvl w:val="0"/>
          <w:numId w:val="6"/>
        </w:numPr>
        <w:rPr>
          <w:b/>
        </w:rPr>
      </w:pPr>
      <w:r w:rsidRPr="00C15108">
        <w:rPr>
          <w:b/>
        </w:rPr>
        <w:t>Clave Única de Registro de Población (CURP)</w:t>
      </w:r>
    </w:p>
    <w:p w:rsidR="00B8771D" w:rsidRPr="00C15108" w:rsidRDefault="00B8771D" w:rsidP="00C15108"/>
    <w:p w:rsidR="00B8771D" w:rsidRPr="00C15108" w:rsidRDefault="00976436" w:rsidP="00C15108">
      <w:r w:rsidRPr="00C15108">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B8771D" w:rsidRPr="00C15108" w:rsidRDefault="00B8771D" w:rsidP="00C15108"/>
    <w:p w:rsidR="00B8771D" w:rsidRPr="00C15108" w:rsidRDefault="00976436" w:rsidP="00C15108">
      <w:r w:rsidRPr="00C15108">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B8771D" w:rsidRPr="00C15108" w:rsidRDefault="00B8771D" w:rsidP="00C15108"/>
    <w:p w:rsidR="00B8771D" w:rsidRPr="00C15108" w:rsidRDefault="00976436" w:rsidP="00C15108">
      <w:r w:rsidRPr="00C15108">
        <w:lastRenderedPageBreak/>
        <w:t xml:space="preserve">En ese orden de ideas, la Secretaría de Gobernación en las direcciones </w:t>
      </w:r>
      <w:hyperlink r:id="rId11">
        <w:r w:rsidRPr="00C15108">
          <w:rPr>
            <w:u w:val="single"/>
          </w:rPr>
          <w:t>https://consultas.curp.gob.mx/CurpSP/html/informacionecurpPS.html</w:t>
        </w:r>
      </w:hyperlink>
      <w:r w:rsidRPr="00C15108">
        <w:t xml:space="preserve"> y </w:t>
      </w:r>
      <w:hyperlink r:id="rId12">
        <w:r w:rsidRPr="00C15108">
          <w:rPr>
            <w:u w:val="single"/>
          </w:rPr>
          <w:t>https://www.gob.mx/segob/renapo/acciones-y-programas/clave-unica-de-registro-de-poblacion-curp-142226</w:t>
        </w:r>
      </w:hyperlink>
      <w:r w:rsidRPr="00C15108">
        <w:t xml:space="preserve">,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C15108">
        <w:rPr>
          <w:b/>
        </w:rPr>
        <w:t>se generan a partir de los datos contenidos en el documento probatorio de la identidad</w:t>
      </w:r>
      <w:r w:rsidRPr="00C15108">
        <w:t xml:space="preserve"> </w:t>
      </w:r>
      <w:r w:rsidRPr="00C15108">
        <w:rPr>
          <w:b/>
        </w:rPr>
        <w:t xml:space="preserve">del interesado </w:t>
      </w:r>
      <w:r w:rsidRPr="00C15108">
        <w:t>(acta de nacimiento, carta de naturalización o documento migratorio) de la siguiente forma:</w:t>
      </w:r>
    </w:p>
    <w:p w:rsidR="00B8771D" w:rsidRPr="00C15108" w:rsidRDefault="00B8771D" w:rsidP="00C15108"/>
    <w:p w:rsidR="00B8771D" w:rsidRPr="00C15108" w:rsidRDefault="00976436" w:rsidP="00C15108">
      <w:pPr>
        <w:numPr>
          <w:ilvl w:val="0"/>
          <w:numId w:val="7"/>
        </w:numPr>
      </w:pPr>
      <w:r w:rsidRPr="00C15108">
        <w:t>El primero y segundo apellidos, así como al nombre de pila;</w:t>
      </w:r>
    </w:p>
    <w:p w:rsidR="00B8771D" w:rsidRPr="00C15108" w:rsidRDefault="00976436" w:rsidP="00C15108">
      <w:pPr>
        <w:numPr>
          <w:ilvl w:val="0"/>
          <w:numId w:val="7"/>
        </w:numPr>
      </w:pPr>
      <w:r w:rsidRPr="00C15108">
        <w:t>La fecha de nacimiento;</w:t>
      </w:r>
    </w:p>
    <w:p w:rsidR="00B8771D" w:rsidRPr="00C15108" w:rsidRDefault="00976436" w:rsidP="00C15108">
      <w:pPr>
        <w:numPr>
          <w:ilvl w:val="0"/>
          <w:numId w:val="7"/>
        </w:numPr>
      </w:pPr>
      <w:r w:rsidRPr="00C15108">
        <w:t>El sexo, y</w:t>
      </w:r>
    </w:p>
    <w:p w:rsidR="00B8771D" w:rsidRPr="00C15108" w:rsidRDefault="00976436" w:rsidP="00C15108">
      <w:pPr>
        <w:numPr>
          <w:ilvl w:val="0"/>
          <w:numId w:val="7"/>
        </w:numPr>
      </w:pPr>
      <w:r w:rsidRPr="00C15108">
        <w:t>La entidad federativa de nacimiento.</w:t>
      </w:r>
    </w:p>
    <w:p w:rsidR="00B8771D" w:rsidRPr="00C15108" w:rsidRDefault="00B8771D" w:rsidP="00C15108"/>
    <w:p w:rsidR="00B8771D" w:rsidRPr="00C15108" w:rsidRDefault="00976436" w:rsidP="00C15108">
      <w:r w:rsidRPr="00C15108">
        <w:t>Los dos últimos elementos de la Clave Única de Registro de Población evitan la duplicidad de la Clave y garantizan su correcta integración.</w:t>
      </w:r>
    </w:p>
    <w:p w:rsidR="00B8771D" w:rsidRPr="00C15108" w:rsidRDefault="00B8771D" w:rsidP="00C15108"/>
    <w:p w:rsidR="00B8771D" w:rsidRPr="00C15108" w:rsidRDefault="00976436" w:rsidP="00C15108">
      <w:r w:rsidRPr="00C15108">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B8771D" w:rsidRPr="00C15108" w:rsidRDefault="00B8771D" w:rsidP="00C15108"/>
    <w:p w:rsidR="00B8771D" w:rsidRPr="00C15108" w:rsidRDefault="00976436" w:rsidP="00C15108">
      <w:r w:rsidRPr="00C15108">
        <w:lastRenderedPageBreak/>
        <w:t>Situación que se robustece, con el Criterio de Interpretación, de la Segunda Época, con número de registro SO/018/2017, emitido por el entonces Instituto Nacional de Transparencia, Acceso a la Información y Protección de Datos Personales, que establece lo siguiente:</w:t>
      </w:r>
    </w:p>
    <w:p w:rsidR="00B8771D" w:rsidRPr="00C15108" w:rsidRDefault="00B8771D" w:rsidP="00C15108">
      <w:pPr>
        <w:ind w:left="567" w:right="567"/>
        <w:rPr>
          <w:sz w:val="20"/>
        </w:rPr>
      </w:pPr>
    </w:p>
    <w:p w:rsidR="00B8771D" w:rsidRPr="00C15108" w:rsidRDefault="00976436" w:rsidP="00C15108">
      <w:pPr>
        <w:ind w:left="567" w:right="567"/>
        <w:rPr>
          <w:i/>
          <w:sz w:val="20"/>
        </w:rPr>
      </w:pPr>
      <w:r w:rsidRPr="00C15108">
        <w:rPr>
          <w:b/>
          <w:i/>
          <w:sz w:val="20"/>
        </w:rPr>
        <w:t xml:space="preserve">“Clave Única de Registro de Población (CURP). </w:t>
      </w:r>
      <w:r w:rsidRPr="00C15108">
        <w:rPr>
          <w:i/>
          <w:sz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B8771D" w:rsidRPr="00C15108" w:rsidRDefault="00B8771D" w:rsidP="00C15108"/>
    <w:p w:rsidR="00B8771D" w:rsidRPr="00C15108" w:rsidRDefault="00976436" w:rsidP="00C15108">
      <w:pPr>
        <w:rPr>
          <w:b/>
        </w:rPr>
      </w:pPr>
      <w:r w:rsidRPr="00C15108">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rsidR="00B8771D" w:rsidRPr="00C15108" w:rsidRDefault="00B8771D" w:rsidP="00C15108">
      <w:pPr>
        <w:tabs>
          <w:tab w:val="center" w:pos="4522"/>
        </w:tabs>
      </w:pPr>
    </w:p>
    <w:p w:rsidR="00B8771D" w:rsidRPr="00C15108" w:rsidRDefault="00976436" w:rsidP="00C15108">
      <w:pPr>
        <w:numPr>
          <w:ilvl w:val="0"/>
          <w:numId w:val="6"/>
        </w:numPr>
        <w:rPr>
          <w:b/>
        </w:rPr>
      </w:pPr>
      <w:r w:rsidRPr="00C15108">
        <w:rPr>
          <w:b/>
        </w:rPr>
        <w:t>Número de seguridad social del Instituto de Seguridad Social del Estado de México y Municipios</w:t>
      </w:r>
    </w:p>
    <w:p w:rsidR="00B8771D" w:rsidRPr="00C15108" w:rsidRDefault="00B8771D" w:rsidP="00C15108">
      <w:pPr>
        <w:rPr>
          <w:b/>
        </w:rPr>
      </w:pPr>
    </w:p>
    <w:p w:rsidR="00B8771D" w:rsidRPr="00C15108" w:rsidRDefault="00976436" w:rsidP="00C15108">
      <w:r w:rsidRPr="00C15108">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B8771D" w:rsidRPr="00C15108" w:rsidRDefault="00B8771D" w:rsidP="00C15108"/>
    <w:p w:rsidR="00B8771D" w:rsidRPr="00C15108" w:rsidRDefault="00976436" w:rsidP="00C15108">
      <w:r w:rsidRPr="00C15108">
        <w:t xml:space="preserve">En ese contexto, el artículo 9° del mismo ordenamiento, dispone que el Instituto de Seguridad Social del Estado de México y Municipios expedirá documentos de identificación para facilitar </w:t>
      </w:r>
      <w:r w:rsidRPr="00C15108">
        <w:lastRenderedPageBreak/>
        <w:t>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B8771D" w:rsidRPr="00C15108" w:rsidRDefault="00B8771D" w:rsidP="00C15108"/>
    <w:p w:rsidR="00B8771D" w:rsidRPr="00C15108" w:rsidRDefault="00976436" w:rsidP="00C15108">
      <w:r w:rsidRPr="00C15108">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B8771D" w:rsidRPr="00C15108" w:rsidRDefault="00B8771D" w:rsidP="00C15108"/>
    <w:p w:rsidR="00B8771D" w:rsidRPr="00C15108" w:rsidRDefault="00976436" w:rsidP="00C15108">
      <w:r w:rsidRPr="00C15108">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 </w:t>
      </w:r>
    </w:p>
    <w:p w:rsidR="00B8771D" w:rsidRPr="00C15108" w:rsidRDefault="00B8771D" w:rsidP="00C15108">
      <w:pPr>
        <w:tabs>
          <w:tab w:val="left" w:pos="3962"/>
        </w:tabs>
      </w:pPr>
    </w:p>
    <w:p w:rsidR="00B8771D" w:rsidRPr="00C15108" w:rsidRDefault="00976436" w:rsidP="00C15108">
      <w:pPr>
        <w:numPr>
          <w:ilvl w:val="0"/>
          <w:numId w:val="6"/>
        </w:numPr>
        <w:rPr>
          <w:b/>
        </w:rPr>
      </w:pPr>
      <w:r w:rsidRPr="00C15108">
        <w:rPr>
          <w:b/>
        </w:rPr>
        <w:t>Deducciones</w:t>
      </w:r>
    </w:p>
    <w:p w:rsidR="00B8771D" w:rsidRPr="00C15108" w:rsidRDefault="00976436" w:rsidP="00C15108">
      <w:pPr>
        <w:spacing w:before="240" w:after="240"/>
      </w:pPr>
      <w:r w:rsidRPr="00C15108">
        <w:lastRenderedPageBreak/>
        <w:t xml:space="preserve">Sobre las </w:t>
      </w:r>
      <w:r w:rsidRPr="00C15108">
        <w:rPr>
          <w:b/>
          <w:i/>
        </w:rPr>
        <w:t>deducciones por Ley</w:t>
      </w:r>
      <w:r w:rsidRPr="00C15108">
        <w:t>, para entender los límites y alcances de esta restricción, es oportuno recurrir al artículo 84 de la Ley del Trabajo de los Servidores Públicos del Estado y Municipios:</w:t>
      </w:r>
    </w:p>
    <w:p w:rsidR="00B8771D" w:rsidRPr="00C15108" w:rsidRDefault="00976436" w:rsidP="00C15108">
      <w:pPr>
        <w:spacing w:before="120" w:after="120"/>
        <w:ind w:left="851" w:right="900"/>
        <w:rPr>
          <w:b/>
          <w:i/>
        </w:rPr>
      </w:pPr>
      <w:bookmarkStart w:id="34" w:name="_heading=h.i9mk3ga8ug63" w:colFirst="0" w:colLast="0"/>
      <w:bookmarkEnd w:id="34"/>
      <w:r w:rsidRPr="00C15108">
        <w:rPr>
          <w:b/>
          <w:i/>
        </w:rPr>
        <w:t xml:space="preserve">“ARTÍCULO 84. </w:t>
      </w:r>
      <w:r w:rsidRPr="00C15108">
        <w:rPr>
          <w:i/>
        </w:rPr>
        <w:t>Sólo podrán hacerse retenciones, descuentos o deducciones al sueldo de los servidores públicos por concepto de:</w:t>
      </w:r>
    </w:p>
    <w:p w:rsidR="00B8771D" w:rsidRPr="00C15108" w:rsidRDefault="00976436" w:rsidP="00C15108">
      <w:pPr>
        <w:spacing w:before="120" w:after="120"/>
        <w:ind w:left="1134" w:right="902"/>
        <w:rPr>
          <w:i/>
        </w:rPr>
      </w:pPr>
      <w:r w:rsidRPr="00C15108">
        <w:rPr>
          <w:b/>
          <w:i/>
        </w:rPr>
        <w:t>I.</w:t>
      </w:r>
      <w:r w:rsidRPr="00C15108">
        <w:rPr>
          <w:i/>
        </w:rPr>
        <w:t xml:space="preserve"> Gravámenes fiscales relacionados con el sueldo;</w:t>
      </w:r>
    </w:p>
    <w:p w:rsidR="00B8771D" w:rsidRPr="00C15108" w:rsidRDefault="00976436" w:rsidP="00C15108">
      <w:pPr>
        <w:spacing w:before="120" w:after="120"/>
        <w:ind w:left="1134" w:right="902"/>
        <w:rPr>
          <w:i/>
        </w:rPr>
      </w:pPr>
      <w:r w:rsidRPr="00C15108">
        <w:rPr>
          <w:b/>
          <w:i/>
        </w:rPr>
        <w:t>II.</w:t>
      </w:r>
      <w:r w:rsidRPr="00C15108">
        <w:rPr>
          <w:i/>
        </w:rPr>
        <w:t xml:space="preserve"> Deudas contraídas con las instituciones públicas o dependencias por concepto de anticipos de sueldo, pagos hechos con exceso, errores o pérdidas debidamente comprobados;</w:t>
      </w:r>
    </w:p>
    <w:p w:rsidR="00B8771D" w:rsidRPr="00C15108" w:rsidRDefault="00976436" w:rsidP="00C15108">
      <w:pPr>
        <w:spacing w:before="120" w:after="120"/>
        <w:ind w:left="1134" w:right="902"/>
        <w:rPr>
          <w:i/>
        </w:rPr>
      </w:pPr>
      <w:r w:rsidRPr="00C15108">
        <w:rPr>
          <w:b/>
          <w:i/>
        </w:rPr>
        <w:t>III.</w:t>
      </w:r>
      <w:r w:rsidRPr="00C15108">
        <w:rPr>
          <w:i/>
        </w:rPr>
        <w:t xml:space="preserve"> </w:t>
      </w:r>
      <w:r w:rsidRPr="00C15108">
        <w:rPr>
          <w:b/>
          <w:i/>
        </w:rPr>
        <w:t>Cuotas sindicales</w:t>
      </w:r>
      <w:r w:rsidRPr="00C15108">
        <w:rPr>
          <w:i/>
        </w:rPr>
        <w:t>;</w:t>
      </w:r>
    </w:p>
    <w:p w:rsidR="00B8771D" w:rsidRPr="00C15108" w:rsidRDefault="00976436" w:rsidP="00C15108">
      <w:pPr>
        <w:spacing w:before="120" w:after="120"/>
        <w:ind w:left="1134" w:right="902"/>
        <w:rPr>
          <w:i/>
        </w:rPr>
      </w:pPr>
      <w:r w:rsidRPr="00C15108">
        <w:rPr>
          <w:b/>
          <w:i/>
        </w:rPr>
        <w:t>IV.</w:t>
      </w:r>
      <w:r w:rsidRPr="00C15108">
        <w:rPr>
          <w:i/>
        </w:rPr>
        <w:t xml:space="preserve"> Cuotas de aportación a fondos para la constitución de cooperativas y de cajas de ahorro, siempre que el servidor público hubiese manifestado previamente, de manera expresa, su conformidad;</w:t>
      </w:r>
    </w:p>
    <w:p w:rsidR="00B8771D" w:rsidRPr="00C15108" w:rsidRDefault="00976436" w:rsidP="00C15108">
      <w:pPr>
        <w:spacing w:before="120" w:after="120"/>
        <w:ind w:left="1134" w:right="902"/>
        <w:rPr>
          <w:i/>
        </w:rPr>
      </w:pPr>
      <w:r w:rsidRPr="00C15108">
        <w:rPr>
          <w:b/>
          <w:i/>
        </w:rPr>
        <w:t>V.</w:t>
      </w:r>
      <w:r w:rsidRPr="00C15108">
        <w:rPr>
          <w:i/>
        </w:rPr>
        <w:t xml:space="preserve"> Descuentos ordenados por el Instituto de Seguridad Social del Estado de México y Municipios, con motivo de cuotas y obligaciones contraídas con éste por los servidores públicos;</w:t>
      </w:r>
    </w:p>
    <w:p w:rsidR="00B8771D" w:rsidRPr="00C15108" w:rsidRDefault="00976436" w:rsidP="00C15108">
      <w:pPr>
        <w:spacing w:before="120" w:after="120"/>
        <w:ind w:left="1134" w:right="902"/>
        <w:rPr>
          <w:i/>
        </w:rPr>
      </w:pPr>
      <w:r w:rsidRPr="00C15108">
        <w:rPr>
          <w:b/>
          <w:i/>
        </w:rPr>
        <w:t>VI.</w:t>
      </w:r>
      <w:r w:rsidRPr="00C15108">
        <w:rPr>
          <w:i/>
        </w:rPr>
        <w:t xml:space="preserve"> Obligaciones a cargo del servidor público con las que haya consentido, derivadas de la adquisición o del uso de habitaciones consideradas como de interés social;</w:t>
      </w:r>
    </w:p>
    <w:p w:rsidR="00B8771D" w:rsidRPr="00C15108" w:rsidRDefault="00976436" w:rsidP="00C15108">
      <w:pPr>
        <w:spacing w:before="120" w:after="120"/>
        <w:ind w:left="1134" w:right="902"/>
        <w:rPr>
          <w:i/>
        </w:rPr>
      </w:pPr>
      <w:r w:rsidRPr="00C15108">
        <w:rPr>
          <w:b/>
          <w:i/>
        </w:rPr>
        <w:t>VII.</w:t>
      </w:r>
      <w:r w:rsidRPr="00C15108">
        <w:rPr>
          <w:i/>
        </w:rPr>
        <w:t xml:space="preserve"> Faltas de puntualidad o de asistencia injustificadas;</w:t>
      </w:r>
    </w:p>
    <w:p w:rsidR="00B8771D" w:rsidRPr="00C15108" w:rsidRDefault="00976436" w:rsidP="00C15108">
      <w:pPr>
        <w:spacing w:before="120" w:after="120"/>
        <w:ind w:left="1134" w:right="902"/>
        <w:rPr>
          <w:i/>
        </w:rPr>
      </w:pPr>
      <w:r w:rsidRPr="00C15108">
        <w:rPr>
          <w:b/>
          <w:i/>
        </w:rPr>
        <w:t>VIII. Pensiones alimenticias ordenadas por la autoridad judicial;</w:t>
      </w:r>
      <w:r w:rsidRPr="00C15108">
        <w:rPr>
          <w:i/>
        </w:rPr>
        <w:t xml:space="preserve"> o</w:t>
      </w:r>
    </w:p>
    <w:p w:rsidR="00B8771D" w:rsidRPr="00C15108" w:rsidRDefault="00976436" w:rsidP="00C15108">
      <w:pPr>
        <w:spacing w:before="120" w:after="120"/>
        <w:ind w:left="1134" w:right="902"/>
        <w:rPr>
          <w:b/>
          <w:i/>
        </w:rPr>
      </w:pPr>
      <w:r w:rsidRPr="00C15108">
        <w:rPr>
          <w:b/>
          <w:i/>
        </w:rPr>
        <w:t>IX. Cualquier otro convenido con instituciones de servicios y aceptado por el servidor público.</w:t>
      </w:r>
    </w:p>
    <w:p w:rsidR="00B8771D" w:rsidRPr="00C15108" w:rsidRDefault="00976436" w:rsidP="00C15108">
      <w:pPr>
        <w:spacing w:before="120" w:after="120"/>
        <w:ind w:left="851" w:right="900"/>
        <w:rPr>
          <w:i/>
        </w:rPr>
      </w:pPr>
      <w:r w:rsidRPr="00C15108">
        <w:rPr>
          <w:i/>
        </w:rPr>
        <w:lastRenderedPageBreak/>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B8771D" w:rsidRPr="00C15108" w:rsidRDefault="00B8771D" w:rsidP="00C15108"/>
    <w:p w:rsidR="00B8771D" w:rsidRPr="00C15108" w:rsidRDefault="00976436" w:rsidP="00C15108">
      <w:r w:rsidRPr="00C15108">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rsidR="00B8771D" w:rsidRPr="00C15108" w:rsidRDefault="00B8771D" w:rsidP="00C15108"/>
    <w:p w:rsidR="00B8771D" w:rsidRPr="00C15108" w:rsidRDefault="00976436" w:rsidP="00C15108">
      <w:r w:rsidRPr="00C15108">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rsidR="00B8771D" w:rsidRPr="00C15108" w:rsidRDefault="00B8771D" w:rsidP="00C15108"/>
    <w:p w:rsidR="00B8771D" w:rsidRPr="00C15108" w:rsidRDefault="00976436" w:rsidP="00C15108">
      <w:r w:rsidRPr="00C15108">
        <w:t xml:space="preserve">Por tal circunstancia y toda vez, que las deducciones por Ley, son de carácter obligatorio y ayuda a rendir cuentas, de que </w:t>
      </w:r>
      <w:r w:rsidRPr="00C15108">
        <w:rPr>
          <w:b/>
        </w:rPr>
        <w:t>EL SUJETO OBLIGADO</w:t>
      </w:r>
      <w:r w:rsidRPr="00C15108">
        <w:t xml:space="preserve">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rsidR="00B8771D" w:rsidRPr="00C15108" w:rsidRDefault="00B8771D" w:rsidP="00C15108"/>
    <w:p w:rsidR="00B8771D" w:rsidRPr="00C15108" w:rsidRDefault="00976436" w:rsidP="00C15108">
      <w:pPr>
        <w:pBdr>
          <w:top w:val="nil"/>
          <w:left w:val="nil"/>
          <w:bottom w:val="nil"/>
          <w:right w:val="nil"/>
          <w:between w:val="nil"/>
        </w:pBdr>
        <w:rPr>
          <w:rFonts w:eastAsia="Palatino Linotype" w:cs="Palatino Linotype"/>
          <w:szCs w:val="22"/>
        </w:rPr>
      </w:pPr>
      <w:r w:rsidRPr="00C15108">
        <w:rPr>
          <w:rFonts w:eastAsia="Palatino Linotype" w:cs="Palatino Linotype"/>
          <w:szCs w:val="22"/>
        </w:rPr>
        <w:lastRenderedPageBreak/>
        <w:t>Tal es el caso del</w:t>
      </w:r>
      <w:r w:rsidRPr="00C15108">
        <w:rPr>
          <w:rFonts w:eastAsia="Palatino Linotype" w:cs="Palatino Linotype"/>
          <w:b/>
          <w:szCs w:val="22"/>
        </w:rPr>
        <w:t xml:space="preserve"> Sistema De Capitalización Individual (SCI), </w:t>
      </w:r>
      <w:r w:rsidRPr="00C15108">
        <w:rPr>
          <w:rFonts w:eastAsia="Palatino Linotype" w:cs="Palatino Linotype"/>
          <w:szCs w:val="22"/>
        </w:rPr>
        <w:t>la cual está contemplada en los artículos 84 y 115 de la Ley de Seguridad Social para los Servidores Públicos del Estado de México y Municipios, al formar parte de uno de los sistemas que conforma el sistema mixto de pensiones, al corresponder específicamente a una reserva de ahorro en favor de los servidores públicos para su retiro, la cual señala:</w:t>
      </w:r>
    </w:p>
    <w:p w:rsidR="00B8771D" w:rsidRPr="00C15108" w:rsidRDefault="00B8771D" w:rsidP="00C15108">
      <w:pPr>
        <w:pBdr>
          <w:top w:val="nil"/>
          <w:left w:val="nil"/>
          <w:bottom w:val="nil"/>
          <w:right w:val="nil"/>
          <w:between w:val="nil"/>
        </w:pBdr>
        <w:rPr>
          <w:rFonts w:eastAsia="Palatino Linotype" w:cs="Palatino Linotype"/>
          <w:szCs w:val="22"/>
        </w:rPr>
      </w:pPr>
    </w:p>
    <w:p w:rsidR="00B8771D" w:rsidRPr="00C15108" w:rsidRDefault="00976436" w:rsidP="00C15108">
      <w:pPr>
        <w:spacing w:line="276" w:lineRule="auto"/>
        <w:ind w:left="567" w:right="900"/>
        <w:rPr>
          <w:i/>
        </w:rPr>
      </w:pPr>
      <w:r w:rsidRPr="00C15108">
        <w:rPr>
          <w:b/>
          <w:i/>
        </w:rPr>
        <w:t>“ARTICULO 84.-</w:t>
      </w:r>
      <w:r w:rsidRPr="00C15108">
        <w:rPr>
          <w:i/>
        </w:rPr>
        <w:t xml:space="preserve"> Las pensiones que otorga esta ley, se basan en un régimen mixto, siendo una parte de beneficios definidos denominado </w:t>
      </w:r>
      <w:r w:rsidRPr="00C15108">
        <w:rPr>
          <w:b/>
          <w:i/>
        </w:rPr>
        <w:t>sistema solidario de reparto y otra de contribuciones definidas denominado sistema de capitalización individual</w:t>
      </w:r>
      <w:r w:rsidRPr="00C15108">
        <w:rPr>
          <w:i/>
        </w:rPr>
        <w:t>.</w:t>
      </w:r>
    </w:p>
    <w:p w:rsidR="00B8771D" w:rsidRPr="00C15108" w:rsidRDefault="00B8771D" w:rsidP="00C15108">
      <w:pPr>
        <w:spacing w:line="276" w:lineRule="auto"/>
        <w:ind w:left="567" w:right="900"/>
        <w:rPr>
          <w:i/>
        </w:rPr>
      </w:pPr>
    </w:p>
    <w:p w:rsidR="00B8771D" w:rsidRPr="00C15108" w:rsidRDefault="00976436" w:rsidP="00C15108">
      <w:pPr>
        <w:spacing w:line="276" w:lineRule="auto"/>
        <w:ind w:left="567" w:right="900"/>
        <w:rPr>
          <w:i/>
        </w:rPr>
      </w:pPr>
      <w:r w:rsidRPr="00C15108">
        <w:rPr>
          <w:i/>
        </w:rPr>
        <w:t>El monto total para el financiamiento de pensiones de cada servidor público, es equivalente al 16.77% de su sueldo sujeto a cotización, del cual el 13.52% se aplicará al fondo del sistema solidario de reparto y el 3.25% al sistema de capitalización individual.</w:t>
      </w:r>
    </w:p>
    <w:p w:rsidR="00B8771D" w:rsidRPr="00C15108" w:rsidRDefault="00976436" w:rsidP="00C15108">
      <w:pPr>
        <w:spacing w:line="276" w:lineRule="auto"/>
        <w:ind w:left="567" w:right="900"/>
        <w:rPr>
          <w:i/>
        </w:rPr>
      </w:pPr>
      <w:r w:rsidRPr="00C15108">
        <w:rPr>
          <w:i/>
        </w:rPr>
        <w:t xml:space="preserve"> </w:t>
      </w:r>
      <w:r w:rsidRPr="00C15108">
        <w:rPr>
          <w:b/>
          <w:i/>
        </w:rPr>
        <w:t>ARTICULO 115.-</w:t>
      </w:r>
      <w:r w:rsidRPr="00C15108">
        <w:rPr>
          <w:i/>
        </w:rPr>
        <w:t xml:space="preserve"> Por sistema de capitalización individual se entiende aquel régimen cuyo financiamiento es determinado y su beneficio variable, por lo que sus fondos se constituirán en una reserva, cuyo saldo será siempre igual a la suma de las partes alícuotas reconocidas a cada uno de los servidores públicos participantes en el sistema.”</w:t>
      </w:r>
    </w:p>
    <w:p w:rsidR="00B8771D" w:rsidRPr="00C15108" w:rsidRDefault="00B8771D" w:rsidP="00C15108"/>
    <w:p w:rsidR="00B8771D" w:rsidRPr="00C15108" w:rsidRDefault="00976436" w:rsidP="00C15108">
      <w:r w:rsidRPr="00C15108">
        <w:t>En esta misma disposición normativa, en los artículos 5 fracciones II, VII y VIII; 32, 34 y 35, dispone lo siguiente:</w:t>
      </w:r>
    </w:p>
    <w:p w:rsidR="00B8771D" w:rsidRPr="00C15108" w:rsidRDefault="00B8771D" w:rsidP="00C15108"/>
    <w:p w:rsidR="00B8771D" w:rsidRPr="00C15108" w:rsidRDefault="00976436" w:rsidP="00C15108">
      <w:pPr>
        <w:spacing w:line="276" w:lineRule="auto"/>
        <w:ind w:left="567" w:right="616"/>
        <w:rPr>
          <w:i/>
        </w:rPr>
      </w:pPr>
      <w:r w:rsidRPr="00C15108">
        <w:rPr>
          <w:i/>
        </w:rPr>
        <w:t>“</w:t>
      </w:r>
      <w:r w:rsidRPr="00C15108">
        <w:rPr>
          <w:b/>
          <w:i/>
        </w:rPr>
        <w:t>ARTÍCULO 5</w:t>
      </w:r>
      <w:r w:rsidRPr="00C15108">
        <w:rPr>
          <w:i/>
        </w:rPr>
        <w:t>.- Para los efectos de esta ley se entiende por:</w:t>
      </w:r>
    </w:p>
    <w:p w:rsidR="00B8771D" w:rsidRPr="00C15108" w:rsidRDefault="00976436" w:rsidP="00C15108">
      <w:pPr>
        <w:spacing w:line="276" w:lineRule="auto"/>
        <w:ind w:left="567" w:right="616"/>
        <w:rPr>
          <w:i/>
        </w:rPr>
      </w:pPr>
      <w:r w:rsidRPr="00C15108">
        <w:rPr>
          <w:i/>
        </w:rPr>
        <w:t>…</w:t>
      </w:r>
    </w:p>
    <w:p w:rsidR="00B8771D" w:rsidRPr="00C15108" w:rsidRDefault="00976436" w:rsidP="00C15108">
      <w:pPr>
        <w:spacing w:line="276" w:lineRule="auto"/>
        <w:ind w:left="567" w:right="616"/>
        <w:rPr>
          <w:i/>
        </w:rPr>
      </w:pPr>
      <w:r w:rsidRPr="00C15108">
        <w:rPr>
          <w:i/>
        </w:rPr>
        <w:t>II. Institución pública, a los poderes públicos del estado, los ayuntamientos de los municipios y los tribunales administrativos, así como los organismos auxiliares y fideicomisos públicos de carácter estatal y municipal;</w:t>
      </w:r>
    </w:p>
    <w:p w:rsidR="00B8771D" w:rsidRPr="00C15108" w:rsidRDefault="00976436" w:rsidP="00C15108">
      <w:pPr>
        <w:spacing w:line="276" w:lineRule="auto"/>
        <w:ind w:left="567" w:right="616"/>
        <w:rPr>
          <w:i/>
        </w:rPr>
      </w:pPr>
      <w:r w:rsidRPr="00C15108">
        <w:rPr>
          <w:i/>
        </w:rPr>
        <w:t>…</w:t>
      </w:r>
    </w:p>
    <w:p w:rsidR="00B8771D" w:rsidRPr="00C15108" w:rsidRDefault="00976436" w:rsidP="00C15108">
      <w:pPr>
        <w:spacing w:line="276" w:lineRule="auto"/>
        <w:ind w:left="567" w:right="616"/>
        <w:rPr>
          <w:i/>
        </w:rPr>
      </w:pPr>
      <w:r w:rsidRPr="00C15108">
        <w:rPr>
          <w:i/>
        </w:rPr>
        <w:t xml:space="preserve">VII. Cuota, al monto que le corresponde cubrir al servidor público, equivalente a un porcentaje determinado de sus sueldo sujeto a cotización, así como el que debe cubrir el </w:t>
      </w:r>
      <w:r w:rsidRPr="00C15108">
        <w:rPr>
          <w:i/>
        </w:rPr>
        <w:lastRenderedPageBreak/>
        <w:t xml:space="preserve">pensionado o pensionista y que recibe el Instituto para otorgar las prestaciones establecidas en la presente ley; </w:t>
      </w:r>
    </w:p>
    <w:p w:rsidR="00B8771D" w:rsidRPr="00C15108" w:rsidRDefault="00976436" w:rsidP="00C15108">
      <w:pPr>
        <w:spacing w:line="276" w:lineRule="auto"/>
        <w:ind w:left="567" w:right="616"/>
        <w:rPr>
          <w:b/>
          <w:i/>
        </w:rPr>
      </w:pPr>
      <w:r w:rsidRPr="00C15108">
        <w:rPr>
          <w:i/>
        </w:rPr>
        <w:t xml:space="preserve">VIII. </w:t>
      </w:r>
      <w:r w:rsidRPr="00C15108">
        <w:rPr>
          <w:b/>
          <w:i/>
        </w:rPr>
        <w:t>Aportación, al monto que le corresponde cubrir a las instituciones públicas como porcentaje del sueldo sujeto a cotización de cada servidor público;</w:t>
      </w:r>
    </w:p>
    <w:p w:rsidR="00B8771D" w:rsidRPr="00C15108" w:rsidRDefault="00976436" w:rsidP="00C15108">
      <w:pPr>
        <w:spacing w:line="276" w:lineRule="auto"/>
        <w:ind w:left="567" w:right="616"/>
        <w:rPr>
          <w:i/>
        </w:rPr>
      </w:pPr>
      <w:r w:rsidRPr="00C15108">
        <w:rPr>
          <w:i/>
        </w:rPr>
        <w:t>…</w:t>
      </w:r>
    </w:p>
    <w:p w:rsidR="00B8771D" w:rsidRPr="00C15108" w:rsidRDefault="00B8771D" w:rsidP="00C15108">
      <w:pPr>
        <w:spacing w:line="276" w:lineRule="auto"/>
        <w:ind w:left="567" w:right="616"/>
        <w:rPr>
          <w:i/>
        </w:rPr>
      </w:pPr>
    </w:p>
    <w:p w:rsidR="00B8771D" w:rsidRPr="00C15108" w:rsidRDefault="00976436" w:rsidP="00C15108">
      <w:pPr>
        <w:spacing w:line="276" w:lineRule="auto"/>
        <w:ind w:left="567" w:right="616"/>
        <w:rPr>
          <w:b/>
          <w:i/>
        </w:rPr>
      </w:pPr>
      <w:r w:rsidRPr="00C15108">
        <w:rPr>
          <w:b/>
          <w:i/>
        </w:rPr>
        <w:t>Artículo 32.-</w:t>
      </w:r>
      <w:r w:rsidRPr="00C15108">
        <w:rPr>
          <w:i/>
        </w:rPr>
        <w:t xml:space="preserve"> </w:t>
      </w:r>
      <w:r w:rsidRPr="00C15108">
        <w:rPr>
          <w:b/>
          <w:i/>
        </w:rPr>
        <w:t xml:space="preserve">Las cuotas obligatorias que deberán cubrir los servidores públicos al Instituto, serán las siguientes: </w:t>
      </w:r>
    </w:p>
    <w:p w:rsidR="00B8771D" w:rsidRPr="00C15108" w:rsidRDefault="00976436" w:rsidP="00C15108">
      <w:pPr>
        <w:spacing w:line="276" w:lineRule="auto"/>
        <w:ind w:left="567" w:right="616"/>
        <w:rPr>
          <w:i/>
        </w:rPr>
      </w:pPr>
      <w:r w:rsidRPr="00C15108">
        <w:rPr>
          <w:i/>
        </w:rPr>
        <w:t xml:space="preserve">I. El 4.625% del sueldo sujeto a cotización, para cubrir las prestaciones de servicios de salud; </w:t>
      </w:r>
    </w:p>
    <w:p w:rsidR="00B8771D" w:rsidRPr="00C15108" w:rsidRDefault="00976436" w:rsidP="00C15108">
      <w:pPr>
        <w:spacing w:line="276" w:lineRule="auto"/>
        <w:ind w:left="567" w:right="616"/>
        <w:rPr>
          <w:i/>
        </w:rPr>
      </w:pPr>
      <w:r w:rsidRPr="00C15108">
        <w:rPr>
          <w:i/>
        </w:rPr>
        <w:t xml:space="preserve">II. El 7.50% del sueldo sujeto a cotización, para cubrir el financiamiento de pensiones, de la siguiente manera: </w:t>
      </w:r>
    </w:p>
    <w:p w:rsidR="00B8771D" w:rsidRPr="00C15108" w:rsidRDefault="00976436" w:rsidP="00C15108">
      <w:pPr>
        <w:spacing w:line="276" w:lineRule="auto"/>
        <w:ind w:left="567" w:right="616"/>
        <w:rPr>
          <w:i/>
        </w:rPr>
      </w:pPr>
      <w:r w:rsidRPr="00C15108">
        <w:rPr>
          <w:i/>
        </w:rPr>
        <w:t xml:space="preserve">a. 6.10% para el fondo del sistema solidario de reparto. </w:t>
      </w:r>
    </w:p>
    <w:p w:rsidR="00B8771D" w:rsidRPr="00C15108" w:rsidRDefault="00976436" w:rsidP="00C15108">
      <w:pPr>
        <w:spacing w:line="276" w:lineRule="auto"/>
        <w:ind w:left="567" w:right="616"/>
        <w:rPr>
          <w:b/>
          <w:i/>
          <w:u w:val="single"/>
        </w:rPr>
      </w:pPr>
      <w:r w:rsidRPr="00C15108">
        <w:rPr>
          <w:b/>
          <w:i/>
          <w:u w:val="single"/>
        </w:rPr>
        <w:t xml:space="preserve">b. 1.40% para el sistema de capitalización individual. </w:t>
      </w:r>
    </w:p>
    <w:p w:rsidR="00B8771D" w:rsidRPr="00C15108" w:rsidRDefault="00976436" w:rsidP="00C15108">
      <w:pPr>
        <w:spacing w:line="276" w:lineRule="auto"/>
        <w:ind w:left="567" w:right="616"/>
        <w:rPr>
          <w:i/>
        </w:rPr>
      </w:pPr>
      <w:r w:rsidRPr="00C15108">
        <w:rPr>
          <w:i/>
        </w:rPr>
        <w:t>III. Las que determine anualmente el Consejo Directivo para otras prestaciones, señaladas en el Título IV.</w:t>
      </w:r>
    </w:p>
    <w:p w:rsidR="00B8771D" w:rsidRPr="00C15108" w:rsidRDefault="00976436" w:rsidP="00C15108">
      <w:pPr>
        <w:spacing w:line="276" w:lineRule="auto"/>
        <w:ind w:left="567" w:right="616"/>
        <w:rPr>
          <w:i/>
        </w:rPr>
      </w:pPr>
      <w:r w:rsidRPr="00C15108">
        <w:rPr>
          <w:i/>
        </w:rPr>
        <w:t>…</w:t>
      </w:r>
    </w:p>
    <w:p w:rsidR="00B8771D" w:rsidRPr="00C15108" w:rsidRDefault="00B8771D" w:rsidP="00C15108">
      <w:pPr>
        <w:spacing w:line="276" w:lineRule="auto"/>
        <w:ind w:left="567" w:right="616"/>
        <w:rPr>
          <w:i/>
        </w:rPr>
      </w:pPr>
    </w:p>
    <w:p w:rsidR="00B8771D" w:rsidRPr="00C15108" w:rsidRDefault="00976436" w:rsidP="00C15108">
      <w:pPr>
        <w:spacing w:line="276" w:lineRule="auto"/>
        <w:ind w:left="567" w:right="616"/>
        <w:rPr>
          <w:i/>
        </w:rPr>
      </w:pPr>
      <w:r w:rsidRPr="00C15108">
        <w:rPr>
          <w:b/>
          <w:i/>
        </w:rPr>
        <w:t>Artículo 34.-</w:t>
      </w:r>
      <w:r w:rsidRPr="00C15108">
        <w:rPr>
          <w:i/>
        </w:rPr>
        <w:t xml:space="preserve"> </w:t>
      </w:r>
      <w:r w:rsidRPr="00C15108">
        <w:rPr>
          <w:b/>
          <w:i/>
        </w:rPr>
        <w:t>Las aportaciones que deberán cubrir obligatoriamente las instituciones públicas serán las siguientes</w:t>
      </w:r>
      <w:r w:rsidRPr="00C15108">
        <w:rPr>
          <w:i/>
        </w:rPr>
        <w:t xml:space="preserve">: </w:t>
      </w:r>
    </w:p>
    <w:p w:rsidR="00B8771D" w:rsidRPr="00C15108" w:rsidRDefault="00976436" w:rsidP="00C15108">
      <w:pPr>
        <w:spacing w:line="276" w:lineRule="auto"/>
        <w:ind w:left="567" w:right="616"/>
        <w:rPr>
          <w:i/>
        </w:rPr>
      </w:pPr>
      <w:r w:rsidRPr="00C15108">
        <w:rPr>
          <w:i/>
        </w:rPr>
        <w:t xml:space="preserve">I. El 10% del sueldo sujeto a cotización, para cubrir las prestaciones de servicios de salud; </w:t>
      </w:r>
    </w:p>
    <w:p w:rsidR="00B8771D" w:rsidRPr="00C15108" w:rsidRDefault="00976436" w:rsidP="00C15108">
      <w:pPr>
        <w:spacing w:line="276" w:lineRule="auto"/>
        <w:ind w:left="567" w:right="616"/>
        <w:rPr>
          <w:i/>
        </w:rPr>
      </w:pPr>
      <w:r w:rsidRPr="00C15108">
        <w:rPr>
          <w:i/>
        </w:rPr>
        <w:t xml:space="preserve">II. El 9.27% del sueldo sujeto a cotización, para cubrir el financiamiento de pensiones, de la siguiente manera: </w:t>
      </w:r>
    </w:p>
    <w:p w:rsidR="00B8771D" w:rsidRPr="00C15108" w:rsidRDefault="00976436" w:rsidP="00C15108">
      <w:pPr>
        <w:spacing w:line="276" w:lineRule="auto"/>
        <w:ind w:left="567" w:right="616"/>
        <w:rPr>
          <w:i/>
        </w:rPr>
      </w:pPr>
      <w:r w:rsidRPr="00C15108">
        <w:rPr>
          <w:i/>
        </w:rPr>
        <w:t xml:space="preserve">a. 7.42% para el fondo del sistema solidario de reparto. </w:t>
      </w:r>
    </w:p>
    <w:p w:rsidR="00B8771D" w:rsidRPr="00C15108" w:rsidRDefault="00976436" w:rsidP="00C15108">
      <w:pPr>
        <w:spacing w:line="276" w:lineRule="auto"/>
        <w:ind w:left="567" w:right="616"/>
        <w:rPr>
          <w:b/>
          <w:i/>
          <w:u w:val="single"/>
        </w:rPr>
      </w:pPr>
      <w:r w:rsidRPr="00C15108">
        <w:rPr>
          <w:i/>
          <w:u w:val="single"/>
        </w:rPr>
        <w:t xml:space="preserve">b. </w:t>
      </w:r>
      <w:r w:rsidRPr="00C15108">
        <w:rPr>
          <w:b/>
          <w:i/>
          <w:u w:val="single"/>
        </w:rPr>
        <w:t xml:space="preserve">1.85% para el sistema de capitalización individual. </w:t>
      </w:r>
    </w:p>
    <w:p w:rsidR="00B8771D" w:rsidRPr="00C15108" w:rsidRDefault="00976436" w:rsidP="00C15108">
      <w:pPr>
        <w:spacing w:line="276" w:lineRule="auto"/>
        <w:ind w:left="567" w:right="616"/>
        <w:rPr>
          <w:i/>
        </w:rPr>
      </w:pPr>
      <w:r w:rsidRPr="00C15108">
        <w:rPr>
          <w:i/>
        </w:rPr>
        <w:t xml:space="preserve">III. Las que determine anualmente el Consejo Directivo para otras prestaciones, señaladas en el Título IV; </w:t>
      </w:r>
    </w:p>
    <w:p w:rsidR="00B8771D" w:rsidRPr="00C15108" w:rsidRDefault="00976436" w:rsidP="00C15108">
      <w:pPr>
        <w:spacing w:line="276" w:lineRule="auto"/>
        <w:ind w:left="567" w:right="616"/>
        <w:rPr>
          <w:i/>
        </w:rPr>
      </w:pPr>
      <w:r w:rsidRPr="00C15108">
        <w:rPr>
          <w:i/>
        </w:rPr>
        <w:t xml:space="preserve">IV. El 0.875% para gastos de administración; </w:t>
      </w:r>
    </w:p>
    <w:p w:rsidR="00B8771D" w:rsidRPr="00C15108" w:rsidRDefault="00976436" w:rsidP="00C15108">
      <w:pPr>
        <w:spacing w:line="276" w:lineRule="auto"/>
        <w:ind w:left="567" w:right="616"/>
        <w:rPr>
          <w:i/>
        </w:rPr>
      </w:pPr>
      <w:r w:rsidRPr="00C15108">
        <w:rPr>
          <w:i/>
        </w:rPr>
        <w:t>V. Las que se generen a cargo de las Instituciones públicas por concepto de riesgos de trabajo.</w:t>
      </w:r>
    </w:p>
    <w:p w:rsidR="00B8771D" w:rsidRPr="00C15108" w:rsidRDefault="00B8771D" w:rsidP="00C15108"/>
    <w:p w:rsidR="00B8771D" w:rsidRPr="00C15108" w:rsidRDefault="00976436" w:rsidP="00C15108">
      <w:r w:rsidRPr="00C15108">
        <w:t xml:space="preserve">Por lo antes señalado, las aportaciones ya están determinadas por un porcentaje en relación al sueldo del servidor público, las cuales son cubiertas obligatoriamente, tanto por los servidores </w:t>
      </w:r>
      <w:r w:rsidRPr="00C15108">
        <w:lastRenderedPageBreak/>
        <w:t>públicos, como por las instituciones públicas, por lo que al considerar los porcentajes correspondientes al Sistema de Capitalización Individual (%1,40 de servidor público y %1.85 de la Institución pública), es fácilmente identificable al conocer el sueldo del servidor público, por tanto dichos conceptos deberán de ser públicos, aún y cuando se tratan de deducciones al sueldo del trabajador.</w:t>
      </w:r>
    </w:p>
    <w:p w:rsidR="00B8771D" w:rsidRPr="00C15108" w:rsidRDefault="00B8771D" w:rsidP="00C15108"/>
    <w:p w:rsidR="00B8771D" w:rsidRPr="00C15108" w:rsidRDefault="00976436" w:rsidP="00C15108">
      <w:pPr>
        <w:pBdr>
          <w:top w:val="nil"/>
          <w:left w:val="nil"/>
          <w:bottom w:val="nil"/>
          <w:right w:val="nil"/>
          <w:between w:val="nil"/>
        </w:pBdr>
        <w:rPr>
          <w:u w:val="single"/>
        </w:rPr>
      </w:pPr>
      <w:r w:rsidRPr="00C15108">
        <w:t xml:space="preserve">Es necesario precisar que existen deducciones que se generan con motivo de una decisión libre y voluntaria de los servidores públicos, como son: </w:t>
      </w:r>
      <w:r w:rsidRPr="00C15108">
        <w:rPr>
          <w:u w:val="single"/>
        </w:rPr>
        <w:t>créditos personales,</w:t>
      </w:r>
      <w:r w:rsidRPr="00C15108">
        <w:t xml:space="preserve"> </w:t>
      </w:r>
      <w:r w:rsidRPr="00C15108">
        <w:rPr>
          <w:u w:val="single"/>
        </w:rPr>
        <w:t xml:space="preserve">cuotas sindicales y fondo de resistencia del Sindicato Único de Trabajadores de los Poderes, Municipios e Institución Descentralizadas del Estado de México, seguro de vida, accidentes y enfermedades. </w:t>
      </w:r>
      <w:r w:rsidRPr="00C15108">
        <w:t xml:space="preserve">Asimismo, hay otras que se generan con motivo de una sentencia judicial, como es la pensión alimenticia que periódicamente se retira de la cuenta de un empleado, a efecto de que sea entregado a un tercero.  </w:t>
      </w:r>
    </w:p>
    <w:p w:rsidR="00B8771D" w:rsidRPr="00C15108" w:rsidRDefault="00B8771D" w:rsidP="00C15108">
      <w:pPr>
        <w:pBdr>
          <w:top w:val="nil"/>
          <w:left w:val="nil"/>
          <w:bottom w:val="nil"/>
          <w:right w:val="nil"/>
          <w:between w:val="nil"/>
        </w:pBdr>
        <w:ind w:left="720"/>
      </w:pPr>
    </w:p>
    <w:p w:rsidR="00B8771D" w:rsidRPr="00C15108" w:rsidRDefault="00976436" w:rsidP="00C15108">
      <w:pPr>
        <w:pBdr>
          <w:top w:val="nil"/>
          <w:left w:val="nil"/>
          <w:bottom w:val="nil"/>
          <w:right w:val="nil"/>
          <w:between w:val="nil"/>
        </w:pBdr>
      </w:pPr>
      <w:r w:rsidRPr="00C15108">
        <w:t xml:space="preserve">En consecuencia, este tipo de deducciones son fruto de decisiones que impactan en el patrimonio de un servidor público con la finalidad de obtener un beneficio conforme a la decisión de un trabajador, </w:t>
      </w:r>
      <w:r w:rsidRPr="00C15108">
        <w:rPr>
          <w:b/>
        </w:rPr>
        <w:t xml:space="preserve">mismas que no implican la entrega de recursos con cargo al erario, y tampoco reflejan el ejercicio de una prestación; por el contrario, en dichos casos se trata del libre ejercicio del servidor público para disponer de un ingreso que forma parte de su patrimonio. </w:t>
      </w:r>
      <w:r w:rsidRPr="00C15108">
        <w:t xml:space="preserve"> Así, dichas deducciones reflejan el destino que un servidor público da a su patrimonio, lo que se aleja de la transparencia y rendición de cuentas, por tanto se deben de clasificar como confidenciales.</w:t>
      </w:r>
    </w:p>
    <w:p w:rsidR="00B8771D" w:rsidRPr="00C15108" w:rsidRDefault="00B8771D" w:rsidP="00C15108">
      <w:pPr>
        <w:pBdr>
          <w:top w:val="nil"/>
          <w:left w:val="nil"/>
          <w:bottom w:val="nil"/>
          <w:right w:val="nil"/>
          <w:between w:val="nil"/>
        </w:pBdr>
      </w:pPr>
    </w:p>
    <w:p w:rsidR="00B8771D" w:rsidRPr="00C15108" w:rsidRDefault="00976436" w:rsidP="00C15108">
      <w:pPr>
        <w:pBdr>
          <w:top w:val="nil"/>
          <w:left w:val="nil"/>
          <w:bottom w:val="nil"/>
          <w:right w:val="nil"/>
          <w:between w:val="nil"/>
        </w:pBdr>
      </w:pPr>
      <w:r w:rsidRPr="00C15108">
        <w:t>Por lo tanto, en los recibos de nómina que se analizan, se desconocen los conceptos que amparan las cantidades referidas, puesto que se testó dicha información, como se ilustra a manera de ejemplo:</w:t>
      </w:r>
    </w:p>
    <w:p w:rsidR="00B8771D" w:rsidRPr="00C15108" w:rsidRDefault="00976436" w:rsidP="00C15108">
      <w:pPr>
        <w:pBdr>
          <w:top w:val="nil"/>
          <w:left w:val="nil"/>
          <w:bottom w:val="nil"/>
          <w:right w:val="nil"/>
          <w:between w:val="nil"/>
        </w:pBdr>
        <w:jc w:val="center"/>
      </w:pPr>
      <w:r w:rsidRPr="00C15108">
        <w:rPr>
          <w:noProof/>
          <w:lang w:eastAsia="es-MX"/>
        </w:rPr>
        <w:lastRenderedPageBreak/>
        <w:drawing>
          <wp:inline distT="0" distB="0" distL="0" distR="0">
            <wp:extent cx="5567980" cy="1592834"/>
            <wp:effectExtent l="0" t="0" r="0" b="0"/>
            <wp:docPr id="8321550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567980" cy="1592834"/>
                    </a:xfrm>
                    <a:prstGeom prst="rect">
                      <a:avLst/>
                    </a:prstGeom>
                    <a:ln/>
                  </pic:spPr>
                </pic:pic>
              </a:graphicData>
            </a:graphic>
          </wp:inline>
        </w:drawing>
      </w:r>
    </w:p>
    <w:p w:rsidR="00B8771D" w:rsidRPr="00C15108" w:rsidRDefault="00B8771D" w:rsidP="00C15108">
      <w:pPr>
        <w:pBdr>
          <w:top w:val="nil"/>
          <w:left w:val="nil"/>
          <w:bottom w:val="nil"/>
          <w:right w:val="nil"/>
          <w:between w:val="nil"/>
        </w:pBdr>
      </w:pPr>
    </w:p>
    <w:p w:rsidR="00B8771D" w:rsidRPr="00C15108" w:rsidRDefault="00976436" w:rsidP="00C15108">
      <w:pPr>
        <w:pBdr>
          <w:top w:val="nil"/>
          <w:left w:val="nil"/>
          <w:bottom w:val="nil"/>
          <w:right w:val="nil"/>
          <w:between w:val="nil"/>
        </w:pBdr>
      </w:pPr>
      <w:r w:rsidRPr="00C15108">
        <w:t>En consecuencia, no es posible determinar si resultó procedente la clasificación de los datos testados.</w:t>
      </w:r>
    </w:p>
    <w:p w:rsidR="00B8771D" w:rsidRPr="00C15108" w:rsidRDefault="00B8771D" w:rsidP="00C15108">
      <w:pPr>
        <w:pBdr>
          <w:top w:val="nil"/>
          <w:left w:val="nil"/>
          <w:bottom w:val="nil"/>
          <w:right w:val="nil"/>
          <w:between w:val="nil"/>
        </w:pBdr>
      </w:pPr>
    </w:p>
    <w:p w:rsidR="00B8771D" w:rsidRPr="00C15108" w:rsidRDefault="00976436" w:rsidP="00C15108">
      <w:pPr>
        <w:pBdr>
          <w:top w:val="nil"/>
          <w:left w:val="nil"/>
          <w:bottom w:val="nil"/>
          <w:right w:val="nil"/>
          <w:between w:val="nil"/>
        </w:pBdr>
      </w:pPr>
      <w:r w:rsidRPr="00C15108">
        <w:t>Por otro lado, debe traerse a colación lo dispuesto en el artículo 168 de la Ley de Transparencia y Acceso a la Información Pública del Estado de México y Municipios, que precisa que</w:t>
      </w:r>
      <w:r w:rsidRPr="00C15108">
        <w:rPr>
          <w:rFonts w:ascii="Arial" w:eastAsia="Arial" w:hAnsi="Arial" w:cs="Arial"/>
          <w:sz w:val="24"/>
          <w:szCs w:val="24"/>
        </w:rPr>
        <w:t xml:space="preserve"> </w:t>
      </w:r>
      <w:r w:rsidRPr="00C15108">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rsidR="00B8771D" w:rsidRPr="00C15108" w:rsidRDefault="00B8771D" w:rsidP="00C15108">
      <w:pPr>
        <w:tabs>
          <w:tab w:val="left" w:pos="3962"/>
        </w:tabs>
      </w:pPr>
    </w:p>
    <w:p w:rsidR="00B8771D" w:rsidRPr="00C15108" w:rsidRDefault="00976436" w:rsidP="00C15108">
      <w:pPr>
        <w:numPr>
          <w:ilvl w:val="0"/>
          <w:numId w:val="8"/>
        </w:numPr>
        <w:tabs>
          <w:tab w:val="left" w:pos="3962"/>
        </w:tabs>
      </w:pPr>
      <w:r w:rsidRPr="00C15108">
        <w:t>Confirmar la clasificación;</w:t>
      </w:r>
    </w:p>
    <w:p w:rsidR="00B8771D" w:rsidRPr="00C15108" w:rsidRDefault="00976436" w:rsidP="00C15108">
      <w:pPr>
        <w:numPr>
          <w:ilvl w:val="0"/>
          <w:numId w:val="8"/>
        </w:numPr>
        <w:tabs>
          <w:tab w:val="left" w:pos="3962"/>
        </w:tabs>
      </w:pPr>
      <w:r w:rsidRPr="00C15108">
        <w:t>Modificar la clasificación y, otorgar total o parcialmente el acceso a la información, o</w:t>
      </w:r>
    </w:p>
    <w:p w:rsidR="00B8771D" w:rsidRPr="00C15108" w:rsidRDefault="00976436" w:rsidP="00C15108">
      <w:pPr>
        <w:numPr>
          <w:ilvl w:val="0"/>
          <w:numId w:val="8"/>
        </w:numPr>
        <w:tabs>
          <w:tab w:val="left" w:pos="3962"/>
        </w:tabs>
      </w:pPr>
      <w:r w:rsidRPr="00C15108">
        <w:t>Revocar la clasificación y conceder el acceso a la información.</w:t>
      </w:r>
    </w:p>
    <w:p w:rsidR="00B8771D" w:rsidRPr="00C15108" w:rsidRDefault="00B8771D" w:rsidP="00C15108">
      <w:pPr>
        <w:tabs>
          <w:tab w:val="left" w:pos="3962"/>
        </w:tabs>
      </w:pPr>
    </w:p>
    <w:p w:rsidR="00B8771D" w:rsidRPr="00C15108" w:rsidRDefault="00976436" w:rsidP="00C15108">
      <w:r w:rsidRPr="00C15108">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w:t>
      </w:r>
    </w:p>
    <w:p w:rsidR="00B8771D" w:rsidRPr="00C15108" w:rsidRDefault="00B8771D" w:rsidP="00C15108"/>
    <w:p w:rsidR="00B8771D" w:rsidRPr="00C15108" w:rsidRDefault="00976436" w:rsidP="00C15108">
      <w:pPr>
        <w:tabs>
          <w:tab w:val="left" w:pos="5550"/>
        </w:tabs>
        <w:ind w:right="-28"/>
      </w:pPr>
      <w:r w:rsidRPr="00C15108">
        <w:t xml:space="preserve">Sobre dicha situación, </w:t>
      </w:r>
      <w:r w:rsidRPr="00C15108">
        <w:rPr>
          <w:b/>
        </w:rPr>
        <w:t>EL SUJETO OBLIGADO</w:t>
      </w:r>
      <w:r w:rsidRPr="00C15108">
        <w:t xml:space="preserve">, entregó diversos recibos de nómina en versión pública, </w:t>
      </w:r>
      <w:r w:rsidRPr="00C15108">
        <w:rPr>
          <w:u w:val="single"/>
        </w:rPr>
        <w:t xml:space="preserve">sin que se advierta el acuerdo de comité que justifique el razonamiento lógico </w:t>
      </w:r>
      <w:r w:rsidRPr="00C15108">
        <w:rPr>
          <w:u w:val="single"/>
        </w:rPr>
        <w:lastRenderedPageBreak/>
        <w:t>jurídico así como el sustento que permita establecer por qué se testo la información</w:t>
      </w:r>
      <w:r w:rsidRPr="00C15108">
        <w:t xml:space="preserve">, por lo que en esencia las versiones públicas deben ser sometidas a consideración del Comité de Transparencia, para que este, de acuerdo al artículo 49, fracción VIII, apruebe, modifique o revoque la clasificación de información y, en su caso, se elaboren las versiones públicas, </w:t>
      </w:r>
      <w:r w:rsidRPr="00C15108">
        <w:rPr>
          <w:b/>
        </w:rPr>
        <w:t>debiendo justificar de manera fundada y motivada dicha clasificación, emitiendo un acuerdo mediante el cual se sustente la determinación del Comité y hacerlo de conocimiento de los Recurrentes</w:t>
      </w:r>
      <w:r w:rsidRPr="00C15108">
        <w:t xml:space="preserve"> acompañando las versiones públicas correspondientes, situación que en el presente asunto no ocurrió, toda vez que </w:t>
      </w:r>
      <w:r w:rsidRPr="00C15108">
        <w:rPr>
          <w:b/>
        </w:rPr>
        <w:t>EL SUJETO OBLIGADO</w:t>
      </w:r>
      <w:r w:rsidRPr="00C15108">
        <w:t xml:space="preserve"> </w:t>
      </w:r>
      <w:r w:rsidRPr="00C15108">
        <w:rPr>
          <w:b/>
        </w:rPr>
        <w:t>no emitió el acuerdo que sustente las versiones públicas</w:t>
      </w:r>
      <w:r w:rsidRPr="00C15108">
        <w:t>.</w:t>
      </w:r>
    </w:p>
    <w:p w:rsidR="00B8771D" w:rsidRPr="00C15108" w:rsidRDefault="00B8771D" w:rsidP="00C15108"/>
    <w:p w:rsidR="00B8771D" w:rsidRPr="00C15108" w:rsidRDefault="00976436" w:rsidP="00C15108">
      <w:r w:rsidRPr="00C15108">
        <w:t>Expuesto lo anterior, debe señalarse que en el caso en particular no se tiene por colmado los requerimientos en análisis, es decir, respecto de los recibos de nómina; por lo tanto resulta dable ordenar su entrega en correcta versión pública.</w:t>
      </w:r>
    </w:p>
    <w:p w:rsidR="00B8771D" w:rsidRPr="00C15108" w:rsidRDefault="00B8771D" w:rsidP="00C15108"/>
    <w:p w:rsidR="00B8771D" w:rsidRPr="00C15108" w:rsidRDefault="00976436" w:rsidP="00C15108">
      <w:pPr>
        <w:pStyle w:val="Ttulo3"/>
      </w:pPr>
      <w:bookmarkStart w:id="35" w:name="_heading=h.ogteyb7uvprm" w:colFirst="0" w:colLast="0"/>
      <w:bookmarkEnd w:id="35"/>
      <w:r w:rsidRPr="00C15108">
        <w:t>d) Versión pública</w:t>
      </w:r>
    </w:p>
    <w:p w:rsidR="00B8771D" w:rsidRPr="00C15108" w:rsidRDefault="00976436" w:rsidP="00C15108">
      <w:r w:rsidRPr="00C15108">
        <w:t xml:space="preserve">Para el caso de que el o los documentos de los cuales se ordena su entrega contengan datos personales susceptibles de ser testados, deberán ser entregados en </w:t>
      </w:r>
      <w:r w:rsidRPr="00C15108">
        <w:rPr>
          <w:b/>
        </w:rPr>
        <w:t>versión pública</w:t>
      </w:r>
      <w:r w:rsidRPr="00C15108">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B8771D" w:rsidRPr="00C15108" w:rsidRDefault="00B8771D" w:rsidP="00C15108"/>
    <w:p w:rsidR="00B8771D" w:rsidRPr="00C15108" w:rsidRDefault="00976436" w:rsidP="00C15108">
      <w:r w:rsidRPr="00C15108">
        <w:lastRenderedPageBreak/>
        <w:t>A este respecto, los artículos 3, fracciones IX, XX, XXI y XLV; 51 y 52 de la Ley de Transparencia y Acceso a la Información Pública del Estado de México y Municipios establecen:</w:t>
      </w:r>
    </w:p>
    <w:p w:rsidR="00B8771D" w:rsidRPr="00C15108" w:rsidRDefault="00B8771D" w:rsidP="00C15108"/>
    <w:p w:rsidR="00B8771D" w:rsidRPr="00C15108" w:rsidRDefault="00976436" w:rsidP="00C15108">
      <w:pPr>
        <w:pStyle w:val="Puesto"/>
        <w:ind w:firstLine="567"/>
      </w:pPr>
      <w:r w:rsidRPr="00C15108">
        <w:rPr>
          <w:b/>
        </w:rPr>
        <w:t xml:space="preserve">“Artículo 3. </w:t>
      </w:r>
      <w:r w:rsidRPr="00C15108">
        <w:t xml:space="preserve">Para los efectos de la presente Ley se entenderá por: </w:t>
      </w:r>
    </w:p>
    <w:p w:rsidR="00B8771D" w:rsidRPr="00C15108" w:rsidRDefault="00976436" w:rsidP="00C15108">
      <w:pPr>
        <w:pStyle w:val="Puesto"/>
        <w:ind w:firstLine="567"/>
      </w:pPr>
      <w:r w:rsidRPr="00C15108">
        <w:rPr>
          <w:b/>
        </w:rPr>
        <w:t>IX.</w:t>
      </w:r>
      <w:r w:rsidRPr="00C15108">
        <w:t xml:space="preserve"> </w:t>
      </w:r>
      <w:r w:rsidRPr="00C15108">
        <w:rPr>
          <w:b/>
        </w:rPr>
        <w:t xml:space="preserve">Datos personales: </w:t>
      </w:r>
      <w:r w:rsidRPr="00C15108">
        <w:t xml:space="preserve">La información concerniente a una persona, identificada o identificable según lo dispuesto por la Ley de Protección de Datos Personales del Estado de México; </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XX.</w:t>
      </w:r>
      <w:r w:rsidRPr="00C15108">
        <w:t xml:space="preserve"> </w:t>
      </w:r>
      <w:r w:rsidRPr="00C15108">
        <w:rPr>
          <w:b/>
        </w:rPr>
        <w:t>Información clasificada:</w:t>
      </w:r>
      <w:r w:rsidRPr="00C15108">
        <w:t xml:space="preserve"> Aquella considerada por la presente Ley como reservada o confidencial; </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XXI.</w:t>
      </w:r>
      <w:r w:rsidRPr="00C15108">
        <w:t xml:space="preserve"> </w:t>
      </w:r>
      <w:r w:rsidRPr="00C15108">
        <w:rPr>
          <w:b/>
        </w:rPr>
        <w:t>Información confidencial</w:t>
      </w:r>
      <w:r w:rsidRPr="00C1510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XLV. Versión pública:</w:t>
      </w:r>
      <w:r w:rsidRPr="00C15108">
        <w:t xml:space="preserve"> Documento en el que se elimine, suprime o borra la información clasificada como reservada o confidencial para permitir su acceso. </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Artículo 51.</w:t>
      </w:r>
      <w:r w:rsidRPr="00C15108">
        <w:t xml:space="preserve"> Los sujetos obligados designaran a un responsable para atender la Unidad de Transparencia, quien fungirá como enlace entre éstos y los solicitantes. Dicha Unidad será la encargada de tramitar internamente la solicitud de información </w:t>
      </w:r>
      <w:r w:rsidRPr="00C15108">
        <w:rPr>
          <w:b/>
        </w:rPr>
        <w:t xml:space="preserve">y tendrá la responsabilidad de verificar en cada caso que la misma no sea confidencial o reservada. </w:t>
      </w:r>
      <w:r w:rsidRPr="00C15108">
        <w:t>Dicha Unidad contará con las facultades internas necesarias para gestionar la atención a las solicitudes de información en los términos de la Ley General y la presente Ley.</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Artículo 52.</w:t>
      </w:r>
      <w:r w:rsidRPr="00C15108">
        <w:t xml:space="preserve"> Las solicitudes de acceso a la información y las respuestas que se les dé, incluyendo, en su caso, </w:t>
      </w:r>
      <w:r w:rsidRPr="00C15108">
        <w:rPr>
          <w:u w:val="single"/>
        </w:rPr>
        <w:t>la información entregada, así como las resoluciones a los recursos que en su caso se promuevan serán públicas, y de ser el caso que contenga datos personales que deban ser protegidos se podrá dar su acceso en su versión pública</w:t>
      </w:r>
      <w:r w:rsidRPr="00C15108">
        <w:t>, siempre y cuando la resolución de referencia se someta a un proceso de disociación, es decir, no haga identificable al titular de tales datos personales.” (Énfasis añadido)</w:t>
      </w:r>
    </w:p>
    <w:p w:rsidR="00B8771D" w:rsidRPr="00C15108" w:rsidRDefault="00B8771D" w:rsidP="00C15108"/>
    <w:p w:rsidR="00B8771D" w:rsidRPr="00C15108" w:rsidRDefault="00976436" w:rsidP="00C15108">
      <w:r w:rsidRPr="00C15108">
        <w:t xml:space="preserve">Así, los datos personales que obren en poder de los Sujetos Obligados deben estar protegidos, adoptando las medidas de seguridad administrativas, físicas y técnicas necesarias para </w:t>
      </w:r>
      <w:r w:rsidRPr="00C15108">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B8771D" w:rsidRPr="00C15108" w:rsidRDefault="00B8771D" w:rsidP="00C15108"/>
    <w:p w:rsidR="00B8771D" w:rsidRPr="00C15108" w:rsidRDefault="00976436" w:rsidP="00C15108">
      <w:pPr>
        <w:pStyle w:val="Puesto"/>
        <w:ind w:firstLine="567"/>
      </w:pPr>
      <w:r w:rsidRPr="00C15108">
        <w:rPr>
          <w:b/>
        </w:rPr>
        <w:t>“Artículo 22.</w:t>
      </w:r>
      <w:r w:rsidRPr="00C15108">
        <w:t xml:space="preserve"> Todo tratamiento de datos personales que efectúe el responsable deberá estar justificado por finalidades concretas, lícitas, explícitas y legítimas, relacionadas con las atribuciones que la normatividad aplicable les confiera. </w:t>
      </w:r>
    </w:p>
    <w:p w:rsidR="00B8771D" w:rsidRPr="00C15108" w:rsidRDefault="00B8771D" w:rsidP="00C15108"/>
    <w:p w:rsidR="00B8771D" w:rsidRPr="00C15108" w:rsidRDefault="00976436" w:rsidP="00C15108">
      <w:pPr>
        <w:pStyle w:val="Puesto"/>
        <w:ind w:firstLine="567"/>
      </w:pPr>
      <w:r w:rsidRPr="00C15108">
        <w:rPr>
          <w:b/>
        </w:rPr>
        <w:t>Artículo 38.</w:t>
      </w:r>
      <w:r w:rsidRPr="00C15108">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15108">
        <w:rPr>
          <w:b/>
        </w:rPr>
        <w:t>”</w:t>
      </w:r>
      <w:r w:rsidRPr="00C15108">
        <w:t xml:space="preserve"> </w:t>
      </w:r>
    </w:p>
    <w:p w:rsidR="00B8771D" w:rsidRPr="00C15108" w:rsidRDefault="00B8771D" w:rsidP="00C15108">
      <w:pPr>
        <w:rPr>
          <w:i/>
        </w:rPr>
      </w:pPr>
    </w:p>
    <w:p w:rsidR="00B8771D" w:rsidRPr="00C15108" w:rsidRDefault="00976436" w:rsidP="00C15108">
      <w:r w:rsidRPr="00C1510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B8771D" w:rsidRPr="00C15108" w:rsidRDefault="00B8771D" w:rsidP="00C15108"/>
    <w:p w:rsidR="00B8771D" w:rsidRPr="00C15108" w:rsidRDefault="00976436" w:rsidP="00C15108">
      <w:r w:rsidRPr="00C1510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C15108">
        <w:lastRenderedPageBreak/>
        <w:t xml:space="preserve">información confidencial que debe ser protegida por </w:t>
      </w:r>
      <w:r w:rsidRPr="00C15108">
        <w:rPr>
          <w:b/>
        </w:rPr>
        <w:t>EL SUJETO OBLIGADO,</w:t>
      </w:r>
      <w:r w:rsidRPr="00C15108">
        <w:t xml:space="preserve"> por lo que, todo dato personal susceptible de clasificación debe ser protegido.</w:t>
      </w:r>
    </w:p>
    <w:p w:rsidR="00B8771D" w:rsidRPr="00C15108" w:rsidRDefault="00B8771D" w:rsidP="00C15108"/>
    <w:p w:rsidR="00B8771D" w:rsidRPr="00C15108" w:rsidRDefault="00976436" w:rsidP="00C15108">
      <w:r w:rsidRPr="00C1510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B8771D" w:rsidRPr="00C15108" w:rsidRDefault="00B8771D" w:rsidP="00C15108"/>
    <w:p w:rsidR="00B8771D" w:rsidRPr="00C15108" w:rsidRDefault="00976436" w:rsidP="00C15108">
      <w:r w:rsidRPr="00C1510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B8771D" w:rsidRPr="00C15108" w:rsidRDefault="00B8771D" w:rsidP="00C15108"/>
    <w:p w:rsidR="00B8771D" w:rsidRPr="00C15108" w:rsidRDefault="00976436" w:rsidP="00C15108">
      <w:pPr>
        <w:pStyle w:val="Puesto"/>
        <w:ind w:firstLine="567"/>
        <w:rPr>
          <w:b/>
        </w:rPr>
      </w:pPr>
      <w:r w:rsidRPr="00C15108">
        <w:rPr>
          <w:b/>
        </w:rPr>
        <w:t>Ley de Transparencia y Acceso a la Información Pública del Estado de México y Municipios</w:t>
      </w:r>
    </w:p>
    <w:p w:rsidR="00B8771D" w:rsidRPr="00C15108" w:rsidRDefault="00B8771D" w:rsidP="00C15108"/>
    <w:p w:rsidR="00B8771D" w:rsidRPr="00C15108" w:rsidRDefault="00976436" w:rsidP="00C15108">
      <w:pPr>
        <w:pStyle w:val="Puesto"/>
        <w:ind w:firstLine="567"/>
      </w:pPr>
      <w:r w:rsidRPr="00C15108">
        <w:rPr>
          <w:b/>
        </w:rPr>
        <w:t xml:space="preserve">“Artículo 49. </w:t>
      </w:r>
      <w:r w:rsidRPr="00C15108">
        <w:t>Los Comités de Transparencia tendrán las siguientes atribuciones:</w:t>
      </w:r>
    </w:p>
    <w:p w:rsidR="00B8771D" w:rsidRPr="00C15108" w:rsidRDefault="00976436" w:rsidP="00C15108">
      <w:pPr>
        <w:pStyle w:val="Puesto"/>
        <w:ind w:firstLine="567"/>
      </w:pPr>
      <w:r w:rsidRPr="00C15108">
        <w:rPr>
          <w:b/>
        </w:rPr>
        <w:t>VIII.</w:t>
      </w:r>
      <w:r w:rsidRPr="00C15108">
        <w:t xml:space="preserve"> Aprobar, modificar o revocar la clasificación de la información;</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Artículo 132.</w:t>
      </w:r>
      <w:r w:rsidRPr="00C15108">
        <w:t xml:space="preserve"> La clasificación de la información se llevará a cabo en el momento en que:</w:t>
      </w:r>
    </w:p>
    <w:p w:rsidR="00B8771D" w:rsidRPr="00C15108" w:rsidRDefault="00976436" w:rsidP="00C15108">
      <w:pPr>
        <w:pStyle w:val="Puesto"/>
        <w:ind w:firstLine="567"/>
      </w:pPr>
      <w:r w:rsidRPr="00C15108">
        <w:rPr>
          <w:b/>
        </w:rPr>
        <w:t>I.</w:t>
      </w:r>
      <w:r w:rsidRPr="00C15108">
        <w:t xml:space="preserve"> Se reciba una solicitud de acceso a la información;</w:t>
      </w:r>
    </w:p>
    <w:p w:rsidR="00B8771D" w:rsidRPr="00C15108" w:rsidRDefault="00976436" w:rsidP="00C15108">
      <w:pPr>
        <w:pStyle w:val="Puesto"/>
        <w:ind w:firstLine="567"/>
      </w:pPr>
      <w:r w:rsidRPr="00C15108">
        <w:rPr>
          <w:b/>
        </w:rPr>
        <w:t>II.</w:t>
      </w:r>
      <w:r w:rsidRPr="00C15108">
        <w:t xml:space="preserve"> Se determine mediante resolución de autoridad competente; o</w:t>
      </w:r>
    </w:p>
    <w:p w:rsidR="00B8771D" w:rsidRPr="00C15108" w:rsidRDefault="00976436" w:rsidP="00C15108">
      <w:pPr>
        <w:pStyle w:val="Puesto"/>
        <w:ind w:firstLine="567"/>
        <w:rPr>
          <w:b/>
        </w:rPr>
      </w:pPr>
      <w:r w:rsidRPr="00C15108">
        <w:rPr>
          <w:b/>
        </w:rPr>
        <w:t>III.</w:t>
      </w:r>
      <w:r w:rsidRPr="00C15108">
        <w:t xml:space="preserve"> Se generen versiones públicas para dar cumplimiento a las obligaciones de transparencia previstas en esta Ley.</w:t>
      </w:r>
      <w:r w:rsidRPr="00C15108">
        <w:rPr>
          <w:b/>
        </w:rPr>
        <w:t>”</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lastRenderedPageBreak/>
        <w:t>“Segundo. -</w:t>
      </w:r>
      <w:r w:rsidRPr="00C15108">
        <w:t xml:space="preserve"> Para efectos de los presentes Lineamientos Generales, se entenderá por:</w:t>
      </w:r>
    </w:p>
    <w:p w:rsidR="00B8771D" w:rsidRPr="00C15108" w:rsidRDefault="00976436" w:rsidP="00C15108">
      <w:pPr>
        <w:pStyle w:val="Puesto"/>
        <w:ind w:firstLine="567"/>
      </w:pPr>
      <w:r w:rsidRPr="00C15108">
        <w:rPr>
          <w:b/>
        </w:rPr>
        <w:t>XVIII.</w:t>
      </w:r>
      <w:r w:rsidRPr="00C15108">
        <w:t xml:space="preserve">  </w:t>
      </w:r>
      <w:r w:rsidRPr="00C15108">
        <w:rPr>
          <w:b/>
        </w:rPr>
        <w:t>Versión pública:</w:t>
      </w:r>
      <w:r w:rsidRPr="00C1510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B8771D" w:rsidRPr="00C15108" w:rsidRDefault="00B8771D" w:rsidP="00C15108">
      <w:pPr>
        <w:pStyle w:val="Puesto"/>
        <w:ind w:firstLine="567"/>
      </w:pPr>
    </w:p>
    <w:p w:rsidR="00B8771D" w:rsidRPr="00C15108" w:rsidRDefault="00976436" w:rsidP="00C15108">
      <w:pPr>
        <w:pStyle w:val="Puesto"/>
        <w:ind w:firstLine="567"/>
        <w:rPr>
          <w:b/>
        </w:rPr>
      </w:pPr>
      <w:r w:rsidRPr="00C15108">
        <w:rPr>
          <w:b/>
        </w:rPr>
        <w:t>Lineamientos Generales en materia de Clasificación y Desclasificación de la Información</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Cuarto.</w:t>
      </w:r>
      <w:r w:rsidRPr="00C1510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B8771D" w:rsidRPr="00C15108" w:rsidRDefault="00976436" w:rsidP="00C15108">
      <w:pPr>
        <w:pStyle w:val="Puesto"/>
        <w:ind w:firstLine="567"/>
      </w:pPr>
      <w:r w:rsidRPr="00C15108">
        <w:t>Los sujetos obligados deberán aplicar, de manera estricta, las excepciones al derecho de acceso a la información y sólo podrán invocarlas cuando acrediten su procedencia.</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Quinto.</w:t>
      </w:r>
      <w:r w:rsidRPr="00C1510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Sexto.</w:t>
      </w:r>
      <w:r w:rsidRPr="00C15108">
        <w:t xml:space="preserve"> Se deroga.</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Séptimo.</w:t>
      </w:r>
      <w:r w:rsidRPr="00C15108">
        <w:t xml:space="preserve"> La clasificación de la información se llevará a cabo en el momento en que:</w:t>
      </w:r>
    </w:p>
    <w:p w:rsidR="00B8771D" w:rsidRPr="00C15108" w:rsidRDefault="00976436" w:rsidP="00C15108">
      <w:pPr>
        <w:pStyle w:val="Puesto"/>
        <w:ind w:firstLine="567"/>
      </w:pPr>
      <w:r w:rsidRPr="00C15108">
        <w:rPr>
          <w:b/>
        </w:rPr>
        <w:t>I.</w:t>
      </w:r>
      <w:r w:rsidRPr="00C15108">
        <w:t xml:space="preserve">        Se reciba una solicitud de acceso a la información;</w:t>
      </w:r>
    </w:p>
    <w:p w:rsidR="00B8771D" w:rsidRPr="00C15108" w:rsidRDefault="00976436" w:rsidP="00C15108">
      <w:pPr>
        <w:pStyle w:val="Puesto"/>
        <w:ind w:firstLine="567"/>
      </w:pPr>
      <w:r w:rsidRPr="00C15108">
        <w:rPr>
          <w:b/>
        </w:rPr>
        <w:t>II.</w:t>
      </w:r>
      <w:r w:rsidRPr="00C15108">
        <w:t xml:space="preserve">       Se determine mediante resolución del Comité de Transparencia, el órgano garante competente, o en cumplimiento a una sentencia del Poder Judicial; o</w:t>
      </w:r>
    </w:p>
    <w:p w:rsidR="00B8771D" w:rsidRPr="00C15108" w:rsidRDefault="00976436" w:rsidP="00C15108">
      <w:pPr>
        <w:pStyle w:val="Puesto"/>
        <w:ind w:firstLine="567"/>
      </w:pPr>
      <w:r w:rsidRPr="00C15108">
        <w:rPr>
          <w:b/>
        </w:rPr>
        <w:t>III.</w:t>
      </w:r>
      <w:r w:rsidRPr="00C15108">
        <w:t xml:space="preserve">      Se generen versiones públicas para dar cumplimiento a las obligaciones de transparencia previstas en la Ley General, la Ley Federal y las correspondientes de las entidades federativas.</w:t>
      </w:r>
    </w:p>
    <w:p w:rsidR="00B8771D" w:rsidRPr="00C15108" w:rsidRDefault="00976436" w:rsidP="00C15108">
      <w:pPr>
        <w:pStyle w:val="Puesto"/>
        <w:ind w:firstLine="567"/>
      </w:pPr>
      <w:r w:rsidRPr="00C15108">
        <w:t xml:space="preserve">Los titulares de las áreas deberán revisar la información requerida al momento de la recepción de una solicitud de acceso, para verificar, conforme a su naturaleza, si encuadra en una causal de reserva o de confidencialidad. </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lastRenderedPageBreak/>
        <w:t>Octavo.</w:t>
      </w:r>
      <w:r w:rsidRPr="00C1510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B8771D" w:rsidRPr="00C15108" w:rsidRDefault="00976436" w:rsidP="00C15108">
      <w:pPr>
        <w:pStyle w:val="Puesto"/>
        <w:ind w:firstLine="567"/>
      </w:pPr>
      <w:r w:rsidRPr="00C15108">
        <w:t>Para motivar la clasificación se deberán señalar las razones o circunstancias especiales que lo llevaron a concluir que el caso particular se ajusta al supuesto previsto por la norma legal invocada como fundamento.</w:t>
      </w:r>
    </w:p>
    <w:p w:rsidR="00B8771D" w:rsidRPr="00C15108" w:rsidRDefault="00976436" w:rsidP="00C15108">
      <w:pPr>
        <w:pStyle w:val="Puesto"/>
        <w:ind w:firstLine="567"/>
      </w:pPr>
      <w:r w:rsidRPr="00C1510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Noveno.</w:t>
      </w:r>
      <w:r w:rsidRPr="00C1510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B8771D" w:rsidRPr="00C15108" w:rsidRDefault="00B8771D" w:rsidP="00C15108">
      <w:pPr>
        <w:pStyle w:val="Puesto"/>
        <w:ind w:firstLine="567"/>
      </w:pPr>
    </w:p>
    <w:p w:rsidR="00B8771D" w:rsidRPr="00C15108" w:rsidRDefault="00976436" w:rsidP="00C15108">
      <w:pPr>
        <w:pStyle w:val="Puesto"/>
        <w:ind w:firstLine="567"/>
      </w:pPr>
      <w:r w:rsidRPr="00C15108">
        <w:rPr>
          <w:b/>
        </w:rPr>
        <w:t>Décimo.</w:t>
      </w:r>
      <w:r w:rsidRPr="00C1510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B8771D" w:rsidRPr="00C15108" w:rsidRDefault="00976436" w:rsidP="00C15108">
      <w:pPr>
        <w:pStyle w:val="Puesto"/>
        <w:ind w:firstLine="567"/>
      </w:pPr>
      <w:r w:rsidRPr="00C15108">
        <w:t>En ausencia de los titulares de las áreas, la información será clasificada o desclasificada por la persona que lo supla, en términos de la normativa que rija la actuación del sujeto obligado.</w:t>
      </w:r>
    </w:p>
    <w:p w:rsidR="00B8771D" w:rsidRPr="00C15108" w:rsidRDefault="00976436" w:rsidP="00C15108">
      <w:pPr>
        <w:pStyle w:val="Puesto"/>
        <w:ind w:firstLine="567"/>
        <w:rPr>
          <w:b/>
        </w:rPr>
      </w:pPr>
      <w:r w:rsidRPr="00C15108">
        <w:rPr>
          <w:b/>
        </w:rPr>
        <w:t>Décimo primero.</w:t>
      </w:r>
      <w:r w:rsidRPr="00C1510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15108">
        <w:rPr>
          <w:b/>
        </w:rPr>
        <w:t>”</w:t>
      </w:r>
    </w:p>
    <w:p w:rsidR="00B8771D" w:rsidRPr="00C15108" w:rsidRDefault="00B8771D" w:rsidP="00C15108"/>
    <w:p w:rsidR="00B8771D" w:rsidRPr="00C15108" w:rsidRDefault="00976436" w:rsidP="00C15108">
      <w:r w:rsidRPr="00C15108">
        <w:t xml:space="preserve">Consecuentemente, se destaca que la versión pública que elabore </w:t>
      </w:r>
      <w:r w:rsidRPr="00C15108">
        <w:rPr>
          <w:b/>
        </w:rPr>
        <w:t>EL SUJETO OBLIGADO</w:t>
      </w:r>
      <w:r w:rsidRPr="00C15108">
        <w:t xml:space="preserve"> debe cumplir con las formalidades exigidas en la Ley, por lo que para tal efecto emitirá el </w:t>
      </w:r>
      <w:r w:rsidRPr="00C15108">
        <w:rPr>
          <w:b/>
        </w:rPr>
        <w:t>Acuerdo del Comité de Transparencia</w:t>
      </w:r>
      <w:r w:rsidRPr="00C1510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w:t>
      </w:r>
      <w:r w:rsidRPr="00C15108">
        <w:lastRenderedPageBreak/>
        <w:t>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B8771D" w:rsidRPr="00C15108" w:rsidRDefault="00B8771D" w:rsidP="00C15108"/>
    <w:p w:rsidR="00B8771D" w:rsidRPr="00C15108" w:rsidRDefault="00976436" w:rsidP="00C15108">
      <w:r w:rsidRPr="00C15108">
        <w:t>Es importante señalar que, para el caso en concreto, se deben tomar en consideración adicional  a lo anterior, los siguientes criterios respecto a la información que debe ser, o no, clasificada como confidencial:</w:t>
      </w:r>
    </w:p>
    <w:p w:rsidR="00B8771D" w:rsidRPr="00C15108" w:rsidRDefault="00976436" w:rsidP="00C15108">
      <w:pPr>
        <w:spacing w:before="240" w:after="240"/>
      </w:pPr>
      <w:r w:rsidRPr="00C15108">
        <w:t xml:space="preserve">Respecto de los </w:t>
      </w:r>
      <w:r w:rsidRPr="00C15108">
        <w:rPr>
          <w:b/>
        </w:rPr>
        <w:t>números de cuentas bancari</w:t>
      </w:r>
      <w:r w:rsidRPr="00C15108">
        <w:t xml:space="preserve">as, </w:t>
      </w:r>
      <w:r w:rsidRPr="00C15108">
        <w:rPr>
          <w:b/>
        </w:rPr>
        <w:t>claves estandarizadas –interbancarias- (CLABES) y de tarjetas</w:t>
      </w:r>
      <w:r w:rsidRPr="00C15108">
        <w:t>, el Pleno de este Instituto ha determinado que esa información debe clasificarse como confidencial, y elaborarse una versión pública en la que se teste la misma.</w:t>
      </w:r>
    </w:p>
    <w:p w:rsidR="00B8771D" w:rsidRPr="00C15108" w:rsidRDefault="00976436" w:rsidP="00C15108">
      <w:pPr>
        <w:spacing w:before="240" w:after="240"/>
      </w:pPr>
      <w:r w:rsidRPr="00C15108">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B8771D" w:rsidRPr="00C15108" w:rsidRDefault="00976436" w:rsidP="00C15108">
      <w:pPr>
        <w:spacing w:before="240" w:after="240"/>
      </w:pPr>
      <w:r w:rsidRPr="00C15108">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rsidR="00B8771D" w:rsidRPr="00C15108" w:rsidRDefault="00976436" w:rsidP="00C15108">
      <w:pPr>
        <w:pBdr>
          <w:top w:val="nil"/>
          <w:left w:val="nil"/>
          <w:bottom w:val="nil"/>
          <w:right w:val="nil"/>
          <w:between w:val="nil"/>
        </w:pBdr>
        <w:spacing w:before="240" w:after="240"/>
      </w:pPr>
      <w:r w:rsidRPr="00C15108">
        <w:lastRenderedPageBreak/>
        <w:t xml:space="preserve">En esa virtud, este Pleno determina que dicha información no puede ser del dominio público, toda vez que se podría dar un uso inadecuado a la misma o cometer algún ilícito o fraude como ya ha sido expuesto. </w:t>
      </w:r>
    </w:p>
    <w:p w:rsidR="00B8771D" w:rsidRPr="00C15108" w:rsidRDefault="00976436" w:rsidP="00C15108">
      <w:pPr>
        <w:spacing w:before="240" w:after="240"/>
      </w:pPr>
      <w:r w:rsidRPr="00C15108">
        <w:t>Lo anterior no es así tratándose de las cuentas bancarias o claves interbancarias de los Sujetos Obligados ya que su publicidad cede a la rendición de cuentas al transparentar la forma en que son administrados los recursos públicos.</w:t>
      </w:r>
    </w:p>
    <w:p w:rsidR="00B8771D" w:rsidRPr="00C15108" w:rsidRDefault="00976436" w:rsidP="00C15108">
      <w:pPr>
        <w:spacing w:before="240" w:after="240"/>
      </w:pPr>
      <w:r w:rsidRPr="00C15108">
        <w:t>Lo argumentado encuentra sustento en los Criterios de interpretación con clave de control SO/010/2017 y SO/011/2017, emitidos por el entonces Instituto Nacional de Transparencia, Acceso a la Información y Protección de Datos Personales, INAI, que llevan por rubro y texto los siguientes:</w:t>
      </w:r>
    </w:p>
    <w:p w:rsidR="00B8771D" w:rsidRPr="00C15108" w:rsidRDefault="00976436" w:rsidP="00C15108">
      <w:pPr>
        <w:pStyle w:val="Puesto"/>
        <w:ind w:firstLine="567"/>
      </w:pPr>
      <w:r w:rsidRPr="00C15108">
        <w:t>“</w:t>
      </w:r>
      <w:r w:rsidRPr="00C15108">
        <w:rPr>
          <w:b/>
        </w:rPr>
        <w:t>Cuentas bancarias y/o CLABE interbancaria de personas físicas y morales privadas.</w:t>
      </w:r>
      <w:r w:rsidRPr="00C15108">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B8771D" w:rsidRPr="00C15108" w:rsidRDefault="00976436" w:rsidP="00C15108">
      <w:pPr>
        <w:pStyle w:val="Puesto"/>
        <w:ind w:firstLine="567"/>
      </w:pPr>
      <w:r w:rsidRPr="00C15108">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B8771D" w:rsidRPr="00C15108" w:rsidRDefault="00976436" w:rsidP="00C15108">
      <w:pPr>
        <w:spacing w:before="240" w:after="240"/>
      </w:pPr>
      <w:r w:rsidRPr="00C15108">
        <w:t xml:space="preserve">Con relación al </w:t>
      </w:r>
      <w:r w:rsidRPr="00C15108">
        <w:rPr>
          <w:b/>
        </w:rPr>
        <w:t>número de empleado</w:t>
      </w:r>
      <w:r w:rsidRPr="00C15108">
        <w:t xml:space="preserve"> debe precisarse que este constituye un código, en virtud del cual, los trabajadores pueden acceder a un sistema de datos o información de la dependencia o entidad a la que pertenecen, a fin de presentar consultas relacionadas con su </w:t>
      </w:r>
      <w:r w:rsidRPr="00C15108">
        <w:lastRenderedPageBreak/>
        <w:t>situación laboral particular, siendo un número único, permanente e intransferible que se asigna para llevar un registro de los trabajadores</w:t>
      </w:r>
      <w:r w:rsidRPr="00C15108">
        <w:rPr>
          <w:vertAlign w:val="superscript"/>
        </w:rPr>
        <w:footnoteReference w:id="1"/>
      </w:r>
      <w:r w:rsidRPr="00C15108">
        <w:t>.</w:t>
      </w:r>
    </w:p>
    <w:p w:rsidR="00B8771D" w:rsidRPr="00C15108" w:rsidRDefault="00976436" w:rsidP="00C15108">
      <w:pPr>
        <w:spacing w:before="240" w:after="240"/>
      </w:pPr>
      <w:r w:rsidRPr="00C15108">
        <w:t>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Personales, INAI  se ha pronunciado sobre su publicidad, a través del Criterio de interpretación con Clave de control SO/006/2019, que indica lo siguiente:</w:t>
      </w:r>
    </w:p>
    <w:p w:rsidR="00B8771D" w:rsidRPr="00C15108" w:rsidRDefault="00976436" w:rsidP="00C15108">
      <w:pPr>
        <w:pStyle w:val="Puesto"/>
        <w:ind w:firstLine="567"/>
      </w:pPr>
      <w:r w:rsidRPr="00C15108">
        <w:rPr>
          <w:b/>
        </w:rPr>
        <w:t xml:space="preserve">“Número de empleado. </w:t>
      </w:r>
      <w:r w:rsidRPr="00C15108">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B8771D" w:rsidRPr="00C15108" w:rsidRDefault="00976436" w:rsidP="00C15108">
      <w:pPr>
        <w:spacing w:before="240" w:after="240"/>
      </w:pPr>
      <w:r w:rsidRPr="00C15108">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C15108">
        <w:rPr>
          <w:b/>
        </w:rPr>
        <w:t>Sujeto Obligado</w:t>
      </w:r>
      <w:r w:rsidRPr="00C15108">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rsidR="00B8771D" w:rsidRPr="00C15108" w:rsidRDefault="00976436" w:rsidP="00C15108">
      <w:pPr>
        <w:spacing w:before="240" w:after="240"/>
      </w:pPr>
      <w:r w:rsidRPr="00C15108">
        <w:rPr>
          <w:b/>
        </w:rPr>
        <w:lastRenderedPageBreak/>
        <w:t>De la información fiscal</w:t>
      </w:r>
      <w:r w:rsidRPr="00C15108">
        <w:t xml:space="preserve">: </w:t>
      </w:r>
    </w:p>
    <w:p w:rsidR="00B8771D" w:rsidRPr="00C15108" w:rsidRDefault="00976436" w:rsidP="00C15108">
      <w:pPr>
        <w:spacing w:before="240" w:after="240"/>
      </w:pPr>
      <w:r w:rsidRPr="00C15108">
        <w:t xml:space="preserve">La </w:t>
      </w:r>
      <w:r w:rsidRPr="00C15108">
        <w:rPr>
          <w:b/>
        </w:rPr>
        <w:t>Cadena Original</w:t>
      </w:r>
      <w:r w:rsidRPr="00C15108">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C15108">
        <w:rPr>
          <w:b/>
        </w:rPr>
        <w:t>Sujeto Obligado</w:t>
      </w:r>
      <w:r w:rsidRPr="00C15108">
        <w:t xml:space="preserve"> analizar dicha circunstancia con la finalidad de proteger, de ser el caso, la información a través de su clasificación por actualizarse el supuesto de confidencialidad.</w:t>
      </w:r>
    </w:p>
    <w:p w:rsidR="00B8771D" w:rsidRPr="00C15108" w:rsidRDefault="00976436" w:rsidP="00C15108">
      <w:pPr>
        <w:spacing w:before="240" w:after="240"/>
      </w:pPr>
      <w:r w:rsidRPr="00C15108">
        <w:t xml:space="preserve">Los </w:t>
      </w:r>
      <w:r w:rsidRPr="00C15108">
        <w:rPr>
          <w:b/>
        </w:rPr>
        <w:t>códigos bidimensionales</w:t>
      </w:r>
      <w:r w:rsidRPr="00C15108">
        <w:t xml:space="preserve"> o </w:t>
      </w:r>
      <w:r w:rsidRPr="00C15108">
        <w:rPr>
          <w:b/>
        </w:rPr>
        <w:t xml:space="preserve">códigos QR, </w:t>
      </w:r>
      <w:r w:rsidRPr="00C15108">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C15108">
        <w:rPr>
          <w:b/>
        </w:rPr>
        <w:t>Sujeto Obligado</w:t>
      </w:r>
      <w:r w:rsidRPr="00C15108">
        <w:t xml:space="preserve"> analizar dicha circunstancia con la finalidad de determinar si se actualiza algún supuesto de confidencialidad.</w:t>
      </w:r>
    </w:p>
    <w:p w:rsidR="00B8771D" w:rsidRPr="00C15108" w:rsidRDefault="00976436" w:rsidP="00C15108">
      <w:pPr>
        <w:spacing w:before="240" w:after="240"/>
      </w:pPr>
      <w:r w:rsidRPr="00C15108">
        <w:t xml:space="preserve">En tal sentido, si derivado del análisis efectuado por el </w:t>
      </w:r>
      <w:r w:rsidRPr="00C15108">
        <w:rPr>
          <w:b/>
        </w:rPr>
        <w:t>Sujeto Obligado</w:t>
      </w:r>
      <w:r w:rsidRPr="00C15108">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rsidR="00B8771D" w:rsidRPr="00C15108" w:rsidRDefault="00976436" w:rsidP="00C15108">
      <w:pPr>
        <w:pStyle w:val="Ttulo3"/>
        <w:spacing w:line="360" w:lineRule="auto"/>
        <w:ind w:right="-312"/>
      </w:pPr>
      <w:bookmarkStart w:id="36" w:name="_heading=h.aks4buux8vkk" w:colFirst="0" w:colLast="0"/>
      <w:bookmarkEnd w:id="36"/>
      <w:r w:rsidRPr="00C15108">
        <w:t>e) Conclusión</w:t>
      </w:r>
    </w:p>
    <w:p w:rsidR="00B8771D" w:rsidRPr="00C15108" w:rsidRDefault="00976436" w:rsidP="00C15108">
      <w:pPr>
        <w:ind w:right="-312"/>
      </w:pPr>
      <w:r w:rsidRPr="00C15108">
        <w:t xml:space="preserve">En razón de lo anteriormente expuesto, este Instituto estima que las razones o motivos de inconformidad hechos valer por </w:t>
      </w:r>
      <w:r w:rsidRPr="00C15108">
        <w:rPr>
          <w:b/>
        </w:rPr>
        <w:t>LA PARTE RECURRENTE</w:t>
      </w:r>
      <w:r w:rsidRPr="00C15108">
        <w:t xml:space="preserve"> devienen </w:t>
      </w:r>
      <w:r w:rsidRPr="00C15108">
        <w:rPr>
          <w:b/>
        </w:rPr>
        <w:t>fundadas</w:t>
      </w:r>
      <w:r w:rsidRPr="00C15108">
        <w:t xml:space="preserve"> y suficientes </w:t>
      </w:r>
      <w:r w:rsidRPr="00C15108">
        <w:lastRenderedPageBreak/>
        <w:t xml:space="preserve">para </w:t>
      </w:r>
      <w:r w:rsidRPr="00C15108">
        <w:rPr>
          <w:b/>
        </w:rPr>
        <w:t>MODIFICAR</w:t>
      </w:r>
      <w:r w:rsidRPr="00C15108">
        <w:t xml:space="preserve"> la respuesta del </w:t>
      </w:r>
      <w:r w:rsidRPr="00C15108">
        <w:rPr>
          <w:b/>
        </w:rPr>
        <w:t>SUJETO OBLIGADO</w:t>
      </w:r>
      <w:r w:rsidRPr="00C15108">
        <w:t xml:space="preserve"> los medios de impugnación </w:t>
      </w:r>
      <w:r w:rsidRPr="00C15108">
        <w:rPr>
          <w:b/>
        </w:rPr>
        <w:t xml:space="preserve">02017/INFOEM/IP/RR/2025 </w:t>
      </w:r>
      <w:r w:rsidRPr="00C15108">
        <w:t xml:space="preserve">y </w:t>
      </w:r>
      <w:r w:rsidRPr="00C15108">
        <w:rPr>
          <w:b/>
        </w:rPr>
        <w:t xml:space="preserve">02019/INFOEM/IP/RR/2025 </w:t>
      </w:r>
      <w:r w:rsidRPr="00C15108">
        <w:t>a efecto de ordenarle que haga entrega de la información precisada en el presente considerando.</w:t>
      </w:r>
    </w:p>
    <w:p w:rsidR="00B8771D" w:rsidRPr="00C15108" w:rsidRDefault="00B8771D" w:rsidP="00C15108">
      <w:pPr>
        <w:ind w:right="-312"/>
      </w:pPr>
    </w:p>
    <w:p w:rsidR="00B8771D" w:rsidRPr="00C15108" w:rsidRDefault="00976436" w:rsidP="00C15108">
      <w:pPr>
        <w:ind w:right="-312"/>
      </w:pPr>
      <w:bookmarkStart w:id="37" w:name="_heading=h.fbaxse6ygegb" w:colFirst="0" w:colLast="0"/>
      <w:bookmarkEnd w:id="37"/>
      <w:r w:rsidRPr="00C15108">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B8771D" w:rsidRPr="00C15108" w:rsidRDefault="00B8771D" w:rsidP="00C15108">
      <w:pPr>
        <w:ind w:right="-312"/>
      </w:pPr>
    </w:p>
    <w:p w:rsidR="00B8771D" w:rsidRPr="00C15108" w:rsidRDefault="00976436" w:rsidP="00C15108">
      <w:pPr>
        <w:pStyle w:val="Ttulo1"/>
        <w:ind w:right="-312"/>
      </w:pPr>
      <w:bookmarkStart w:id="38" w:name="_heading=h.wviofrlls9a7" w:colFirst="0" w:colLast="0"/>
      <w:bookmarkEnd w:id="38"/>
      <w:r w:rsidRPr="00C15108">
        <w:t>RESUELVE</w:t>
      </w:r>
    </w:p>
    <w:p w:rsidR="00B8771D" w:rsidRPr="00C15108" w:rsidRDefault="00B8771D" w:rsidP="00C15108">
      <w:pPr>
        <w:ind w:right="-312"/>
        <w:rPr>
          <w:b/>
        </w:rPr>
      </w:pPr>
    </w:p>
    <w:p w:rsidR="00B8771D" w:rsidRPr="00C15108" w:rsidRDefault="00976436" w:rsidP="00C15108">
      <w:pPr>
        <w:widowControl w:val="0"/>
        <w:ind w:right="-312"/>
      </w:pPr>
      <w:r w:rsidRPr="00C15108">
        <w:rPr>
          <w:b/>
        </w:rPr>
        <w:t>PRIMERO.</w:t>
      </w:r>
      <w:r w:rsidRPr="00C15108">
        <w:t xml:space="preserve"> Se </w:t>
      </w:r>
      <w:r w:rsidRPr="00C15108">
        <w:rPr>
          <w:b/>
        </w:rPr>
        <w:t>MODIFICAN</w:t>
      </w:r>
      <w:r w:rsidRPr="00C15108">
        <w:t xml:space="preserve"> las respuestas entregadas por </w:t>
      </w:r>
      <w:r w:rsidRPr="00C15108">
        <w:rPr>
          <w:b/>
        </w:rPr>
        <w:t>EL SUJETO OBLIGADO</w:t>
      </w:r>
      <w:r w:rsidRPr="00C15108">
        <w:t xml:space="preserve"> en las solicitudes de información </w:t>
      </w:r>
      <w:r w:rsidRPr="00C15108">
        <w:rPr>
          <w:b/>
        </w:rPr>
        <w:t xml:space="preserve">00019/JIQUIPIL/IP/2025 </w:t>
      </w:r>
      <w:r w:rsidRPr="00C15108">
        <w:t xml:space="preserve">y </w:t>
      </w:r>
      <w:r w:rsidRPr="00C15108">
        <w:rPr>
          <w:b/>
        </w:rPr>
        <w:t>00022/JIQUIPIL/IP/2025</w:t>
      </w:r>
      <w:r w:rsidRPr="00C15108">
        <w:t xml:space="preserve">, por resultar </w:t>
      </w:r>
      <w:r w:rsidRPr="00C15108">
        <w:rPr>
          <w:b/>
        </w:rPr>
        <w:t>FUNDADAS</w:t>
      </w:r>
      <w:r w:rsidRPr="00C15108">
        <w:t xml:space="preserve"> las razones o motivos de inconformidad hechos valer por </w:t>
      </w:r>
      <w:r w:rsidRPr="00C15108">
        <w:rPr>
          <w:b/>
        </w:rPr>
        <w:t>LA PARTE RECURRENTE</w:t>
      </w:r>
      <w:r w:rsidRPr="00C15108">
        <w:t xml:space="preserve"> en los Recursos de Revisión </w:t>
      </w:r>
      <w:r w:rsidRPr="00C15108">
        <w:rPr>
          <w:b/>
        </w:rPr>
        <w:t>02017/INFOEM/IP/RR/2025</w:t>
      </w:r>
      <w:r w:rsidRPr="00C15108">
        <w:t xml:space="preserve"> y</w:t>
      </w:r>
      <w:r w:rsidRPr="00C15108">
        <w:rPr>
          <w:b/>
        </w:rPr>
        <w:t xml:space="preserve"> 02019/INFOEM/IP/RR/2025 acumulados</w:t>
      </w:r>
      <w:r w:rsidRPr="00C15108">
        <w:t>,</w:t>
      </w:r>
      <w:r w:rsidRPr="00C15108">
        <w:rPr>
          <w:b/>
        </w:rPr>
        <w:t xml:space="preserve"> </w:t>
      </w:r>
      <w:r w:rsidRPr="00C15108">
        <w:t xml:space="preserve">en términos del considerando </w:t>
      </w:r>
      <w:r w:rsidRPr="00C15108">
        <w:rPr>
          <w:b/>
        </w:rPr>
        <w:t>SEGUNDO</w:t>
      </w:r>
      <w:r w:rsidRPr="00C15108">
        <w:t xml:space="preserve"> de la presente Resolución.</w:t>
      </w:r>
    </w:p>
    <w:p w:rsidR="00B8771D" w:rsidRPr="00C15108" w:rsidRDefault="00B8771D" w:rsidP="00C15108">
      <w:pPr>
        <w:widowControl w:val="0"/>
        <w:ind w:right="-312"/>
      </w:pPr>
    </w:p>
    <w:p w:rsidR="00B8771D" w:rsidRPr="00C15108" w:rsidRDefault="00976436" w:rsidP="00C15108">
      <w:pPr>
        <w:ind w:right="-312"/>
      </w:pPr>
      <w:r w:rsidRPr="00C15108">
        <w:rPr>
          <w:b/>
        </w:rPr>
        <w:t>SEGUNDO.</w:t>
      </w:r>
      <w:r w:rsidRPr="00C15108">
        <w:t xml:space="preserve"> Se </w:t>
      </w:r>
      <w:r w:rsidRPr="00C15108">
        <w:rPr>
          <w:b/>
        </w:rPr>
        <w:t xml:space="preserve">ORDENA </w:t>
      </w:r>
      <w:r w:rsidRPr="00C15108">
        <w:t xml:space="preserve">al </w:t>
      </w:r>
      <w:r w:rsidRPr="00C15108">
        <w:rPr>
          <w:b/>
        </w:rPr>
        <w:t>SUJETO OBLIGADO</w:t>
      </w:r>
      <w:r w:rsidRPr="00C15108">
        <w:t xml:space="preserve">, a efecto de que entregue a través del </w:t>
      </w:r>
      <w:r w:rsidRPr="00C15108">
        <w:rPr>
          <w:b/>
        </w:rPr>
        <w:t>SAIMEX</w:t>
      </w:r>
      <w:r w:rsidRPr="00C15108">
        <w:t>, lo siguiente:</w:t>
      </w:r>
    </w:p>
    <w:p w:rsidR="00B8771D" w:rsidRPr="00C15108" w:rsidRDefault="00B8771D" w:rsidP="00C15108">
      <w:pPr>
        <w:spacing w:line="240" w:lineRule="auto"/>
        <w:ind w:right="539"/>
        <w:rPr>
          <w:i/>
        </w:rPr>
      </w:pPr>
    </w:p>
    <w:p w:rsidR="00B8771D" w:rsidRPr="00C15108" w:rsidRDefault="00976436" w:rsidP="00C15108">
      <w:pPr>
        <w:spacing w:line="276" w:lineRule="auto"/>
        <w:ind w:left="720" w:right="397"/>
        <w:rPr>
          <w:i/>
        </w:rPr>
      </w:pPr>
      <w:r w:rsidRPr="00C15108">
        <w:rPr>
          <w:i/>
        </w:rPr>
        <w:t xml:space="preserve">Los Recibos de nómina entregados en respuesta en una </w:t>
      </w:r>
      <w:r w:rsidRPr="00C15108">
        <w:rPr>
          <w:b/>
          <w:i/>
        </w:rPr>
        <w:t>correcta versión pública</w:t>
      </w:r>
      <w:r w:rsidRPr="00C15108">
        <w:rPr>
          <w:i/>
        </w:rPr>
        <w:t>.</w:t>
      </w:r>
    </w:p>
    <w:p w:rsidR="00B8771D" w:rsidRPr="00C15108" w:rsidRDefault="00B8771D" w:rsidP="00C15108">
      <w:pPr>
        <w:spacing w:line="276" w:lineRule="auto"/>
        <w:ind w:left="720" w:right="397"/>
        <w:rPr>
          <w:i/>
        </w:rPr>
      </w:pPr>
    </w:p>
    <w:p w:rsidR="00B8771D" w:rsidRPr="00C15108" w:rsidRDefault="00976436" w:rsidP="00C15108">
      <w:pPr>
        <w:spacing w:line="276" w:lineRule="auto"/>
        <w:ind w:left="720" w:right="397"/>
        <w:rPr>
          <w:i/>
        </w:rPr>
      </w:pPr>
      <w:r w:rsidRPr="00C15108">
        <w:rPr>
          <w:i/>
        </w:rPr>
        <w:t xml:space="preserve">Para las versiones públicas, se deberá entregar el Acuerdo del Comité de Transparencia mediante el cual se apruebe la clasificación de información, en términos del artículo 49, </w:t>
      </w:r>
      <w:r w:rsidRPr="00C15108">
        <w:rPr>
          <w:i/>
        </w:rPr>
        <w:lastRenderedPageBreak/>
        <w:t>fracción VIII de la Ley de Transparencia y Acceso a la Información Pública del Estado de México y Municipios.</w:t>
      </w:r>
    </w:p>
    <w:p w:rsidR="00B8771D" w:rsidRPr="00C15108" w:rsidRDefault="00B8771D" w:rsidP="00C15108">
      <w:pPr>
        <w:spacing w:line="276" w:lineRule="auto"/>
        <w:ind w:left="720" w:right="397"/>
        <w:rPr>
          <w:i/>
        </w:rPr>
      </w:pPr>
    </w:p>
    <w:p w:rsidR="00B8771D" w:rsidRPr="00C15108" w:rsidRDefault="00976436" w:rsidP="00C15108">
      <w:pPr>
        <w:ind w:right="-312"/>
      </w:pPr>
      <w:bookmarkStart w:id="39" w:name="_heading=h.1z98ppuzf02j" w:colFirst="0" w:colLast="0"/>
      <w:bookmarkEnd w:id="39"/>
      <w:r w:rsidRPr="00C15108">
        <w:rPr>
          <w:b/>
        </w:rPr>
        <w:t>TERCERO.</w:t>
      </w:r>
      <w:r w:rsidRPr="00C15108">
        <w:t xml:space="preserve"> Notifíquese vía Sistema de Acceso a la Información Mexiquense (</w:t>
      </w:r>
      <w:r w:rsidRPr="00C15108">
        <w:rPr>
          <w:b/>
        </w:rPr>
        <w:t>SAIMEX</w:t>
      </w:r>
      <w:r w:rsidRPr="00C15108">
        <w:t xml:space="preserve">) la presente resolución al Titular de la Unidad de Transparencia del </w:t>
      </w:r>
      <w:r w:rsidRPr="00C15108">
        <w:rPr>
          <w:b/>
        </w:rPr>
        <w:t>SUJETO OBLIGADO</w:t>
      </w:r>
      <w:r w:rsidRPr="00C15108">
        <w:t xml:space="preserve">, para que conforme al artículo 186 último párrafo, 189 segundo párrafo y 194 de la Ley de Transparencia y Acceso a la Información Pública del Estado de México y Municipios, dé cumplimiento a lo ordenado dentro del plazo de </w:t>
      </w:r>
      <w:r w:rsidRPr="00C15108">
        <w:rPr>
          <w:b/>
        </w:rPr>
        <w:t>diez días hábiles</w:t>
      </w:r>
      <w:r w:rsidRPr="00C15108">
        <w:t xml:space="preserve">, e informe a este Instituto en un plazo de </w:t>
      </w:r>
      <w:r w:rsidRPr="00C15108">
        <w:rPr>
          <w:b/>
        </w:rPr>
        <w:t>tres días hábiles</w:t>
      </w:r>
      <w:r w:rsidRPr="00C1510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8771D" w:rsidRPr="00C15108" w:rsidRDefault="00B8771D" w:rsidP="00C15108">
      <w:pPr>
        <w:ind w:right="-312"/>
      </w:pPr>
    </w:p>
    <w:p w:rsidR="00B8771D" w:rsidRPr="00C15108" w:rsidRDefault="00976436" w:rsidP="00C15108">
      <w:pPr>
        <w:ind w:right="-312"/>
      </w:pPr>
      <w:r w:rsidRPr="00C15108">
        <w:rPr>
          <w:b/>
        </w:rPr>
        <w:t>CUARTO.</w:t>
      </w:r>
      <w:r w:rsidRPr="00C15108">
        <w:t xml:space="preserve"> Notifíquese a </w:t>
      </w:r>
      <w:r w:rsidRPr="00C15108">
        <w:rPr>
          <w:b/>
        </w:rPr>
        <w:t>LA PARTE RECURRENTE</w:t>
      </w:r>
      <w:r w:rsidRPr="00C15108">
        <w:t xml:space="preserve"> la presente resolución vía Sistema de Acceso a la Información Mexiquense (</w:t>
      </w:r>
      <w:r w:rsidRPr="00C15108">
        <w:rPr>
          <w:b/>
        </w:rPr>
        <w:t>SAIMEX</w:t>
      </w:r>
      <w:r w:rsidRPr="00C15108">
        <w:t>).</w:t>
      </w:r>
    </w:p>
    <w:p w:rsidR="00B8771D" w:rsidRPr="00C15108" w:rsidRDefault="00B8771D" w:rsidP="00C15108">
      <w:pPr>
        <w:ind w:right="-312"/>
      </w:pPr>
    </w:p>
    <w:p w:rsidR="00B8771D" w:rsidRPr="00C15108" w:rsidRDefault="00976436" w:rsidP="00C15108">
      <w:pPr>
        <w:ind w:right="-312"/>
      </w:pPr>
      <w:r w:rsidRPr="00C15108">
        <w:rPr>
          <w:b/>
        </w:rPr>
        <w:t>QUINTO</w:t>
      </w:r>
      <w:r w:rsidRPr="00C15108">
        <w:t xml:space="preserve">. Hágase del conocimiento a </w:t>
      </w:r>
      <w:r w:rsidRPr="00C15108">
        <w:rPr>
          <w:b/>
        </w:rPr>
        <w:t>LA PARTE RECURRENTE</w:t>
      </w:r>
      <w:r w:rsidRPr="00C1510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B8771D" w:rsidRPr="00C15108" w:rsidRDefault="00B8771D" w:rsidP="00C15108">
      <w:pPr>
        <w:ind w:right="-312"/>
      </w:pPr>
    </w:p>
    <w:p w:rsidR="00B8771D" w:rsidRPr="00C15108" w:rsidRDefault="00976436" w:rsidP="00C15108">
      <w:pPr>
        <w:ind w:right="-312"/>
      </w:pPr>
      <w:r w:rsidRPr="00C15108">
        <w:rPr>
          <w:b/>
        </w:rPr>
        <w:t>SEXTO.</w:t>
      </w:r>
      <w:r w:rsidRPr="00C15108">
        <w:t xml:space="preserve"> De conformidad con el artículo 198 de la Ley de Transparencia y Acceso a la Información Pública del Estado de México y Municipios, el </w:t>
      </w:r>
      <w:r w:rsidRPr="00C15108">
        <w:rPr>
          <w:b/>
        </w:rPr>
        <w:t>SUJETO OBLIGADO</w:t>
      </w:r>
      <w:r w:rsidRPr="00C15108">
        <w:t xml:space="preserve"> podrá solicitar una ampliación de plazo de manera fundada y motivada, para el cumplimiento de la presente resolución.</w:t>
      </w:r>
    </w:p>
    <w:p w:rsidR="00B8771D" w:rsidRPr="00C15108" w:rsidRDefault="00B8771D" w:rsidP="00C15108">
      <w:pPr>
        <w:ind w:right="-312"/>
      </w:pPr>
    </w:p>
    <w:p w:rsidR="00B8771D" w:rsidRPr="00C15108" w:rsidRDefault="00976436" w:rsidP="00C15108">
      <w:pPr>
        <w:spacing w:before="240"/>
      </w:pPr>
      <w:r w:rsidRPr="00C15108">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8B4728" w:rsidRPr="00C15108">
        <w:t>SEGUNDA</w:t>
      </w:r>
      <w:r w:rsidRPr="00C15108">
        <w:t xml:space="preserve"> SESIÓN ORDINARIA, CELEBRADA EL </w:t>
      </w:r>
      <w:r w:rsidR="008B4728" w:rsidRPr="00C15108">
        <w:t>DOS</w:t>
      </w:r>
      <w:r w:rsidRPr="00C15108">
        <w:t xml:space="preserve"> DE ABRIL DE DOS MIL </w:t>
      </w:r>
      <w:r w:rsidR="00C15108">
        <w:t>VEINTICINCO</w:t>
      </w:r>
      <w:r w:rsidRPr="00C15108">
        <w:t>, ANTE EL SECRETARIO TÉCNICO DEL PLENO, ALEXIS TAPIA RAMÍREZ.</w:t>
      </w:r>
    </w:p>
    <w:p w:rsidR="00B8771D" w:rsidRPr="00C15108" w:rsidRDefault="00976436" w:rsidP="00C15108">
      <w:pPr>
        <w:ind w:right="-454"/>
      </w:pPr>
      <w:r w:rsidRPr="00C15108">
        <w:t>SCMM/AGZ/DEMF/PAG</w:t>
      </w:r>
    </w:p>
    <w:p w:rsidR="00B8771D" w:rsidRPr="00C15108" w:rsidRDefault="00B8771D" w:rsidP="00C15108">
      <w:pPr>
        <w:ind w:right="-93"/>
      </w:pPr>
    </w:p>
    <w:p w:rsidR="00B8771D" w:rsidRPr="00C15108" w:rsidRDefault="00B8771D" w:rsidP="00C15108">
      <w:pPr>
        <w:ind w:right="-93"/>
      </w:pPr>
    </w:p>
    <w:p w:rsidR="00B8771D" w:rsidRPr="00C15108" w:rsidRDefault="00B8771D" w:rsidP="00C15108">
      <w:pPr>
        <w:ind w:right="-93"/>
      </w:pPr>
    </w:p>
    <w:p w:rsidR="00B8771D" w:rsidRPr="00C15108" w:rsidRDefault="00B8771D" w:rsidP="00C15108">
      <w:pPr>
        <w:ind w:right="-93"/>
      </w:pPr>
    </w:p>
    <w:p w:rsidR="00B8771D" w:rsidRPr="00C15108" w:rsidRDefault="00B8771D" w:rsidP="00C15108">
      <w:pPr>
        <w:ind w:right="-93"/>
      </w:pPr>
    </w:p>
    <w:p w:rsidR="00B8771D" w:rsidRPr="00C15108" w:rsidRDefault="00B8771D" w:rsidP="00C15108">
      <w:pPr>
        <w:ind w:right="-93"/>
      </w:pPr>
    </w:p>
    <w:p w:rsidR="00B8771D" w:rsidRPr="00C15108" w:rsidRDefault="00B8771D" w:rsidP="00C15108">
      <w:pPr>
        <w:tabs>
          <w:tab w:val="center" w:pos="4568"/>
        </w:tabs>
        <w:ind w:right="-93"/>
      </w:pPr>
    </w:p>
    <w:p w:rsidR="00B8771D" w:rsidRPr="00C15108" w:rsidRDefault="00B8771D" w:rsidP="00C15108">
      <w:pPr>
        <w:tabs>
          <w:tab w:val="center" w:pos="4568"/>
        </w:tabs>
        <w:ind w:right="-93"/>
      </w:pPr>
    </w:p>
    <w:p w:rsidR="00B8771D" w:rsidRPr="00C15108" w:rsidRDefault="00B8771D" w:rsidP="00C15108">
      <w:pPr>
        <w:tabs>
          <w:tab w:val="center" w:pos="4568"/>
        </w:tabs>
        <w:ind w:right="-93"/>
      </w:pPr>
    </w:p>
    <w:p w:rsidR="00B8771D" w:rsidRPr="00C15108" w:rsidRDefault="00B8771D" w:rsidP="00C15108">
      <w:pPr>
        <w:tabs>
          <w:tab w:val="center" w:pos="4568"/>
        </w:tabs>
        <w:ind w:right="-93"/>
      </w:pPr>
    </w:p>
    <w:p w:rsidR="00B8771D" w:rsidRPr="00C15108" w:rsidRDefault="00B8771D" w:rsidP="00C15108">
      <w:pPr>
        <w:tabs>
          <w:tab w:val="center" w:pos="4568"/>
        </w:tabs>
        <w:ind w:right="-93"/>
      </w:pPr>
    </w:p>
    <w:p w:rsidR="00B8771D" w:rsidRDefault="00B8771D" w:rsidP="00C15108">
      <w:pPr>
        <w:tabs>
          <w:tab w:val="center" w:pos="4568"/>
        </w:tabs>
        <w:ind w:right="-93"/>
      </w:pPr>
    </w:p>
    <w:p w:rsidR="00BA5B19" w:rsidRDefault="00BA5B19" w:rsidP="00C15108">
      <w:pPr>
        <w:tabs>
          <w:tab w:val="center" w:pos="4568"/>
        </w:tabs>
        <w:ind w:right="-93"/>
      </w:pPr>
    </w:p>
    <w:p w:rsidR="00BA5B19" w:rsidRDefault="00BA5B19" w:rsidP="00C15108">
      <w:pPr>
        <w:tabs>
          <w:tab w:val="center" w:pos="4568"/>
        </w:tabs>
        <w:ind w:right="-93"/>
      </w:pPr>
    </w:p>
    <w:p w:rsidR="00BA5B19" w:rsidRDefault="00BA5B19" w:rsidP="00C15108">
      <w:pPr>
        <w:tabs>
          <w:tab w:val="center" w:pos="4568"/>
        </w:tabs>
        <w:ind w:right="-93"/>
      </w:pPr>
    </w:p>
    <w:p w:rsidR="00BA5B19" w:rsidRDefault="00BA5B19" w:rsidP="00C15108">
      <w:pPr>
        <w:tabs>
          <w:tab w:val="center" w:pos="4568"/>
        </w:tabs>
        <w:ind w:right="-93"/>
      </w:pPr>
    </w:p>
    <w:p w:rsidR="00BA5B19" w:rsidRDefault="00BA5B19" w:rsidP="00C15108">
      <w:pPr>
        <w:tabs>
          <w:tab w:val="center" w:pos="4568"/>
        </w:tabs>
        <w:ind w:right="-93"/>
      </w:pPr>
    </w:p>
    <w:p w:rsidR="00BA5B19" w:rsidRDefault="00BA5B19" w:rsidP="00C15108">
      <w:pPr>
        <w:tabs>
          <w:tab w:val="center" w:pos="4568"/>
        </w:tabs>
        <w:ind w:right="-93"/>
      </w:pPr>
    </w:p>
    <w:p w:rsidR="00BA5B19" w:rsidRPr="00C15108" w:rsidRDefault="00BA5B19" w:rsidP="00C15108">
      <w:pPr>
        <w:tabs>
          <w:tab w:val="center" w:pos="4568"/>
        </w:tabs>
        <w:ind w:right="-93"/>
      </w:pPr>
    </w:p>
    <w:p w:rsidR="00B8771D" w:rsidRPr="00C15108" w:rsidRDefault="00B8771D" w:rsidP="00C15108">
      <w:pPr>
        <w:tabs>
          <w:tab w:val="center" w:pos="4568"/>
        </w:tabs>
        <w:ind w:right="-93"/>
      </w:pPr>
    </w:p>
    <w:p w:rsidR="00B8771D" w:rsidRPr="00C15108" w:rsidRDefault="00B8771D" w:rsidP="00C15108">
      <w:pPr>
        <w:tabs>
          <w:tab w:val="center" w:pos="4568"/>
        </w:tabs>
        <w:ind w:right="-93"/>
      </w:pPr>
    </w:p>
    <w:p w:rsidR="00B8771D" w:rsidRPr="00C15108" w:rsidRDefault="00B8771D" w:rsidP="00C15108">
      <w:pPr>
        <w:tabs>
          <w:tab w:val="center" w:pos="4568"/>
        </w:tabs>
        <w:ind w:right="-93"/>
      </w:pPr>
    </w:p>
    <w:p w:rsidR="00B8771D" w:rsidRPr="00C15108" w:rsidRDefault="00B8771D" w:rsidP="00C15108"/>
    <w:p w:rsidR="00B8771D" w:rsidRPr="00C15108" w:rsidRDefault="00B8771D" w:rsidP="00C15108"/>
    <w:sectPr w:rsidR="00B8771D" w:rsidRPr="00C15108">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A8" w:rsidRDefault="00EE76A8">
      <w:pPr>
        <w:spacing w:line="240" w:lineRule="auto"/>
      </w:pPr>
      <w:r>
        <w:separator/>
      </w:r>
    </w:p>
  </w:endnote>
  <w:endnote w:type="continuationSeparator" w:id="0">
    <w:p w:rsidR="00EE76A8" w:rsidRDefault="00EE7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D" w:rsidRDefault="00B8771D">
    <w:pPr>
      <w:tabs>
        <w:tab w:val="center" w:pos="4550"/>
        <w:tab w:val="left" w:pos="5818"/>
      </w:tabs>
      <w:ind w:right="260"/>
      <w:jc w:val="right"/>
      <w:rPr>
        <w:color w:val="071320"/>
        <w:sz w:val="24"/>
        <w:szCs w:val="24"/>
      </w:rPr>
    </w:pPr>
  </w:p>
  <w:p w:rsidR="00B8771D" w:rsidRDefault="00B8771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D" w:rsidRDefault="0097643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90144">
      <w:rPr>
        <w:noProof/>
        <w:color w:val="0A1D30"/>
        <w:sz w:val="24"/>
        <w:szCs w:val="24"/>
      </w:rPr>
      <w:t>43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90144">
      <w:rPr>
        <w:noProof/>
        <w:color w:val="0A1D30"/>
        <w:sz w:val="24"/>
        <w:szCs w:val="24"/>
      </w:rPr>
      <w:t>46</w:t>
    </w:r>
    <w:r>
      <w:rPr>
        <w:color w:val="0A1D30"/>
        <w:sz w:val="24"/>
        <w:szCs w:val="24"/>
      </w:rPr>
      <w:fldChar w:fldCharType="end"/>
    </w:r>
  </w:p>
  <w:p w:rsidR="00B8771D" w:rsidRDefault="00B8771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A8" w:rsidRDefault="00EE76A8">
      <w:pPr>
        <w:spacing w:line="240" w:lineRule="auto"/>
      </w:pPr>
      <w:r>
        <w:separator/>
      </w:r>
    </w:p>
  </w:footnote>
  <w:footnote w:type="continuationSeparator" w:id="0">
    <w:p w:rsidR="00EE76A8" w:rsidRDefault="00EE76A8">
      <w:pPr>
        <w:spacing w:line="240" w:lineRule="auto"/>
      </w:pPr>
      <w:r>
        <w:continuationSeparator/>
      </w:r>
    </w:p>
  </w:footnote>
  <w:footnote w:id="1">
    <w:p w:rsidR="00B8771D" w:rsidRDefault="00976436">
      <w:pPr>
        <w:pBdr>
          <w:top w:val="nil"/>
          <w:left w:val="nil"/>
          <w:bottom w:val="nil"/>
          <w:right w:val="nil"/>
          <w:between w:val="nil"/>
        </w:pBdr>
        <w:tabs>
          <w:tab w:val="right" w:pos="0"/>
        </w:tabs>
        <w:rPr>
          <w:color w:val="000000"/>
          <w:sz w:val="16"/>
          <w:szCs w:val="16"/>
        </w:rPr>
      </w:pPr>
      <w:r>
        <w:rPr>
          <w:vertAlign w:val="superscript"/>
        </w:rPr>
        <w:footnoteRef/>
      </w:r>
      <w:r>
        <w:rPr>
          <w:color w:val="000000"/>
          <w:sz w:val="16"/>
          <w:szCs w:val="16"/>
        </w:rPr>
        <w:t xml:space="preserve"> Resolución RRA2431/17 del entonces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D" w:rsidRDefault="00B8771D">
    <w:pPr>
      <w:widowControl w:val="0"/>
      <w:pBdr>
        <w:top w:val="nil"/>
        <w:left w:val="nil"/>
        <w:bottom w:val="nil"/>
        <w:right w:val="nil"/>
        <w:between w:val="nil"/>
      </w:pBdr>
      <w:spacing w:line="276" w:lineRule="auto"/>
      <w:jc w:val="left"/>
    </w:pPr>
  </w:p>
  <w:tbl>
    <w:tblPr>
      <w:tblStyle w:val="a9"/>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8771D">
      <w:trPr>
        <w:trHeight w:val="144"/>
        <w:jc w:val="right"/>
      </w:trPr>
      <w:tc>
        <w:tcPr>
          <w:tcW w:w="2727" w:type="dxa"/>
        </w:tcPr>
        <w:p w:rsidR="00B8771D" w:rsidRDefault="00976436">
          <w:pPr>
            <w:tabs>
              <w:tab w:val="right" w:pos="8838"/>
            </w:tabs>
            <w:ind w:left="-74" w:right="-105"/>
            <w:rPr>
              <w:b/>
            </w:rPr>
          </w:pPr>
          <w:r>
            <w:rPr>
              <w:b/>
            </w:rPr>
            <w:t>Recurso de Revisión:</w:t>
          </w:r>
        </w:p>
      </w:tc>
      <w:tc>
        <w:tcPr>
          <w:tcW w:w="3402" w:type="dxa"/>
        </w:tcPr>
        <w:p w:rsidR="00B8771D" w:rsidRDefault="00976436">
          <w:pPr>
            <w:tabs>
              <w:tab w:val="right" w:pos="8838"/>
            </w:tabs>
            <w:ind w:left="-74" w:right="-105"/>
          </w:pPr>
          <w:r>
            <w:t>02017/INFOEM/IP/RR/2025 y acumulado.</w:t>
          </w:r>
        </w:p>
      </w:tc>
    </w:tr>
    <w:tr w:rsidR="00B8771D">
      <w:trPr>
        <w:trHeight w:val="283"/>
        <w:jc w:val="right"/>
      </w:trPr>
      <w:tc>
        <w:tcPr>
          <w:tcW w:w="2727" w:type="dxa"/>
        </w:tcPr>
        <w:p w:rsidR="00B8771D" w:rsidRDefault="00976436">
          <w:pPr>
            <w:tabs>
              <w:tab w:val="right" w:pos="8838"/>
            </w:tabs>
            <w:ind w:left="-74" w:right="-105"/>
            <w:rPr>
              <w:b/>
            </w:rPr>
          </w:pPr>
          <w:r>
            <w:rPr>
              <w:b/>
            </w:rPr>
            <w:t>Sujeto Obligado:</w:t>
          </w:r>
        </w:p>
      </w:tc>
      <w:tc>
        <w:tcPr>
          <w:tcW w:w="3402" w:type="dxa"/>
        </w:tcPr>
        <w:p w:rsidR="00B8771D" w:rsidRDefault="00976436">
          <w:pPr>
            <w:tabs>
              <w:tab w:val="left" w:pos="2834"/>
              <w:tab w:val="right" w:pos="8838"/>
            </w:tabs>
            <w:ind w:left="-108" w:right="-105"/>
          </w:pPr>
          <w:r>
            <w:t>Ayuntamiento de Jiquipilco</w:t>
          </w:r>
        </w:p>
      </w:tc>
    </w:tr>
    <w:tr w:rsidR="00B8771D">
      <w:trPr>
        <w:trHeight w:val="283"/>
        <w:jc w:val="right"/>
      </w:trPr>
      <w:tc>
        <w:tcPr>
          <w:tcW w:w="2727" w:type="dxa"/>
        </w:tcPr>
        <w:p w:rsidR="00B8771D" w:rsidRDefault="00976436">
          <w:pPr>
            <w:tabs>
              <w:tab w:val="right" w:pos="8838"/>
            </w:tabs>
            <w:ind w:left="-74" w:right="-105"/>
            <w:rPr>
              <w:b/>
            </w:rPr>
          </w:pPr>
          <w:r>
            <w:rPr>
              <w:b/>
            </w:rPr>
            <w:t>Comisionada Ponente:</w:t>
          </w:r>
        </w:p>
      </w:tc>
      <w:tc>
        <w:tcPr>
          <w:tcW w:w="3402" w:type="dxa"/>
        </w:tcPr>
        <w:p w:rsidR="00B8771D" w:rsidRDefault="00976436">
          <w:pPr>
            <w:tabs>
              <w:tab w:val="right" w:pos="8838"/>
            </w:tabs>
            <w:ind w:left="-108" w:right="-105"/>
          </w:pPr>
          <w:r>
            <w:t>Sharon Cristina Morales Martínez</w:t>
          </w:r>
        </w:p>
      </w:tc>
    </w:tr>
  </w:tbl>
  <w:p w:rsidR="00B8771D" w:rsidRDefault="0097643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-1782443</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D" w:rsidRDefault="00B8771D">
    <w:pPr>
      <w:widowControl w:val="0"/>
      <w:pBdr>
        <w:top w:val="nil"/>
        <w:left w:val="nil"/>
        <w:bottom w:val="nil"/>
        <w:right w:val="nil"/>
        <w:between w:val="nil"/>
      </w:pBdr>
      <w:spacing w:line="276" w:lineRule="auto"/>
      <w:jc w:val="left"/>
      <w:rPr>
        <w:color w:val="000000"/>
        <w:sz w:val="14"/>
        <w:szCs w:val="14"/>
      </w:rPr>
    </w:pPr>
  </w:p>
  <w:tbl>
    <w:tblPr>
      <w:tblStyle w:val="aa"/>
      <w:tblW w:w="6660" w:type="dxa"/>
      <w:tblInd w:w="2552" w:type="dxa"/>
      <w:tblLayout w:type="fixed"/>
      <w:tblLook w:val="0400" w:firstRow="0" w:lastRow="0" w:firstColumn="0" w:lastColumn="0" w:noHBand="0" w:noVBand="1"/>
    </w:tblPr>
    <w:tblGrid>
      <w:gridCol w:w="283"/>
      <w:gridCol w:w="6377"/>
    </w:tblGrid>
    <w:tr w:rsidR="00B8771D">
      <w:trPr>
        <w:trHeight w:val="1435"/>
      </w:trPr>
      <w:tc>
        <w:tcPr>
          <w:tcW w:w="283" w:type="dxa"/>
          <w:shd w:val="clear" w:color="auto" w:fill="auto"/>
        </w:tcPr>
        <w:p w:rsidR="00B8771D" w:rsidRDefault="00B8771D">
          <w:pPr>
            <w:tabs>
              <w:tab w:val="right" w:pos="4273"/>
            </w:tabs>
            <w:rPr>
              <w:rFonts w:ascii="Garamond" w:eastAsia="Garamond" w:hAnsi="Garamond" w:cs="Garamond"/>
            </w:rPr>
          </w:pPr>
        </w:p>
      </w:tc>
      <w:tc>
        <w:tcPr>
          <w:tcW w:w="6378" w:type="dxa"/>
          <w:shd w:val="clear" w:color="auto" w:fill="auto"/>
        </w:tcPr>
        <w:p w:rsidR="00B8771D" w:rsidRDefault="00B8771D">
          <w:pPr>
            <w:widowControl w:val="0"/>
            <w:pBdr>
              <w:top w:val="nil"/>
              <w:left w:val="nil"/>
              <w:bottom w:val="nil"/>
              <w:right w:val="nil"/>
              <w:between w:val="nil"/>
            </w:pBdr>
            <w:spacing w:line="276" w:lineRule="auto"/>
            <w:jc w:val="left"/>
            <w:rPr>
              <w:rFonts w:ascii="Garamond" w:eastAsia="Garamond" w:hAnsi="Garamond" w:cs="Garamond"/>
            </w:rPr>
          </w:pPr>
        </w:p>
        <w:tbl>
          <w:tblPr>
            <w:tblStyle w:val="ab"/>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8771D">
            <w:trPr>
              <w:trHeight w:val="144"/>
            </w:trPr>
            <w:tc>
              <w:tcPr>
                <w:tcW w:w="2727" w:type="dxa"/>
              </w:tcPr>
              <w:p w:rsidR="00B8771D" w:rsidRDefault="00976436">
                <w:pPr>
                  <w:tabs>
                    <w:tab w:val="right" w:pos="8838"/>
                  </w:tabs>
                  <w:ind w:left="-74" w:right="-105"/>
                  <w:rPr>
                    <w:b/>
                  </w:rPr>
                </w:pPr>
                <w:bookmarkStart w:id="0" w:name="_heading=h.32hioqz" w:colFirst="0" w:colLast="0"/>
                <w:bookmarkEnd w:id="0"/>
                <w:r>
                  <w:rPr>
                    <w:b/>
                  </w:rPr>
                  <w:t>Recurso de Revisión:</w:t>
                </w:r>
              </w:p>
            </w:tc>
            <w:tc>
              <w:tcPr>
                <w:tcW w:w="3402" w:type="dxa"/>
              </w:tcPr>
              <w:p w:rsidR="00B8771D" w:rsidRDefault="00976436">
                <w:pPr>
                  <w:tabs>
                    <w:tab w:val="right" w:pos="8838"/>
                  </w:tabs>
                  <w:ind w:left="-74" w:right="-105"/>
                </w:pPr>
                <w:r>
                  <w:t xml:space="preserve">02017/INFOEM/IP/RR/2025 y acumulado. </w:t>
                </w:r>
              </w:p>
            </w:tc>
            <w:tc>
              <w:tcPr>
                <w:tcW w:w="3402" w:type="dxa"/>
              </w:tcPr>
              <w:p w:rsidR="00B8771D" w:rsidRDefault="00B8771D">
                <w:pPr>
                  <w:tabs>
                    <w:tab w:val="right" w:pos="8838"/>
                  </w:tabs>
                  <w:ind w:left="-74" w:right="-105"/>
                </w:pPr>
              </w:p>
            </w:tc>
          </w:tr>
          <w:tr w:rsidR="00B8771D">
            <w:trPr>
              <w:trHeight w:val="144"/>
            </w:trPr>
            <w:tc>
              <w:tcPr>
                <w:tcW w:w="2727" w:type="dxa"/>
              </w:tcPr>
              <w:p w:rsidR="00B8771D" w:rsidRDefault="00976436">
                <w:pPr>
                  <w:tabs>
                    <w:tab w:val="right" w:pos="8838"/>
                  </w:tabs>
                  <w:ind w:left="-74" w:right="-105"/>
                  <w:rPr>
                    <w:b/>
                  </w:rPr>
                </w:pPr>
                <w:bookmarkStart w:id="1" w:name="_heading=h.1hmsyys" w:colFirst="0" w:colLast="0"/>
                <w:bookmarkEnd w:id="1"/>
                <w:r>
                  <w:rPr>
                    <w:b/>
                  </w:rPr>
                  <w:t>Recurrente:</w:t>
                </w:r>
              </w:p>
            </w:tc>
            <w:tc>
              <w:tcPr>
                <w:tcW w:w="3402" w:type="dxa"/>
              </w:tcPr>
              <w:p w:rsidR="00B8771D" w:rsidRDefault="00790144">
                <w:pPr>
                  <w:tabs>
                    <w:tab w:val="left" w:pos="3122"/>
                    <w:tab w:val="right" w:pos="8838"/>
                  </w:tabs>
                  <w:ind w:left="-105" w:right="-105"/>
                </w:pPr>
                <w:r>
                  <w:t xml:space="preserve">XXXXXXXX </w:t>
                </w:r>
                <w:proofErr w:type="spellStart"/>
                <w:r>
                  <w:t>XXXXXXXX</w:t>
                </w:r>
                <w:proofErr w:type="spellEnd"/>
                <w:r>
                  <w:t xml:space="preserve"> XXXXXXX XXXXXXXXX</w:t>
                </w:r>
              </w:p>
            </w:tc>
            <w:tc>
              <w:tcPr>
                <w:tcW w:w="3402" w:type="dxa"/>
              </w:tcPr>
              <w:p w:rsidR="00B8771D" w:rsidRDefault="00B8771D">
                <w:pPr>
                  <w:tabs>
                    <w:tab w:val="left" w:pos="3122"/>
                    <w:tab w:val="right" w:pos="8838"/>
                  </w:tabs>
                  <w:ind w:left="-105" w:right="-105"/>
                </w:pPr>
              </w:p>
            </w:tc>
          </w:tr>
          <w:tr w:rsidR="00B8771D">
            <w:trPr>
              <w:trHeight w:val="283"/>
            </w:trPr>
            <w:tc>
              <w:tcPr>
                <w:tcW w:w="2727" w:type="dxa"/>
              </w:tcPr>
              <w:p w:rsidR="00B8771D" w:rsidRDefault="00976436">
                <w:pPr>
                  <w:tabs>
                    <w:tab w:val="right" w:pos="8838"/>
                  </w:tabs>
                  <w:ind w:left="-74" w:right="-105"/>
                  <w:rPr>
                    <w:b/>
                  </w:rPr>
                </w:pPr>
                <w:r>
                  <w:rPr>
                    <w:b/>
                  </w:rPr>
                  <w:t>Sujeto Obligado:</w:t>
                </w:r>
              </w:p>
            </w:tc>
            <w:tc>
              <w:tcPr>
                <w:tcW w:w="3402" w:type="dxa"/>
              </w:tcPr>
              <w:p w:rsidR="00B8771D" w:rsidRDefault="00976436">
                <w:pPr>
                  <w:tabs>
                    <w:tab w:val="left" w:pos="2834"/>
                    <w:tab w:val="right" w:pos="8838"/>
                  </w:tabs>
                  <w:ind w:left="-108" w:right="-105"/>
                </w:pPr>
                <w:r>
                  <w:t>Ayuntamiento de Jiquipilco</w:t>
                </w:r>
              </w:p>
            </w:tc>
            <w:tc>
              <w:tcPr>
                <w:tcW w:w="3402" w:type="dxa"/>
              </w:tcPr>
              <w:p w:rsidR="00B8771D" w:rsidRDefault="00B8771D">
                <w:pPr>
                  <w:tabs>
                    <w:tab w:val="left" w:pos="2834"/>
                    <w:tab w:val="right" w:pos="8838"/>
                  </w:tabs>
                  <w:ind w:left="-108" w:right="-105"/>
                </w:pPr>
              </w:p>
            </w:tc>
          </w:tr>
          <w:tr w:rsidR="00B8771D">
            <w:trPr>
              <w:trHeight w:val="283"/>
            </w:trPr>
            <w:tc>
              <w:tcPr>
                <w:tcW w:w="2727" w:type="dxa"/>
              </w:tcPr>
              <w:p w:rsidR="00B8771D" w:rsidRDefault="00976436">
                <w:pPr>
                  <w:tabs>
                    <w:tab w:val="right" w:pos="8838"/>
                  </w:tabs>
                  <w:ind w:left="-74" w:right="-105"/>
                  <w:rPr>
                    <w:b/>
                  </w:rPr>
                </w:pPr>
                <w:r>
                  <w:rPr>
                    <w:b/>
                  </w:rPr>
                  <w:t>Comisionada Ponente:</w:t>
                </w:r>
              </w:p>
            </w:tc>
            <w:tc>
              <w:tcPr>
                <w:tcW w:w="3402" w:type="dxa"/>
              </w:tcPr>
              <w:p w:rsidR="00B8771D" w:rsidRDefault="00976436">
                <w:pPr>
                  <w:tabs>
                    <w:tab w:val="right" w:pos="8838"/>
                  </w:tabs>
                  <w:ind w:left="-108" w:right="-105"/>
                </w:pPr>
                <w:r>
                  <w:t>Sharon Cristina Morales Martínez</w:t>
                </w:r>
              </w:p>
            </w:tc>
            <w:tc>
              <w:tcPr>
                <w:tcW w:w="3402" w:type="dxa"/>
              </w:tcPr>
              <w:p w:rsidR="00B8771D" w:rsidRDefault="00B8771D">
                <w:pPr>
                  <w:tabs>
                    <w:tab w:val="right" w:pos="8838"/>
                  </w:tabs>
                  <w:ind w:left="-108" w:right="-105"/>
                </w:pPr>
              </w:p>
            </w:tc>
          </w:tr>
        </w:tbl>
        <w:p w:rsidR="00B8771D" w:rsidRDefault="00B8771D">
          <w:pPr>
            <w:tabs>
              <w:tab w:val="right" w:pos="8838"/>
            </w:tabs>
            <w:ind w:left="-28"/>
            <w:rPr>
              <w:rFonts w:ascii="Arial" w:eastAsia="Arial" w:hAnsi="Arial" w:cs="Arial"/>
              <w:b/>
            </w:rPr>
          </w:pPr>
        </w:p>
      </w:tc>
    </w:tr>
  </w:tbl>
  <w:p w:rsidR="00B8771D" w:rsidRDefault="00EE76A8">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A98"/>
    <w:multiLevelType w:val="multilevel"/>
    <w:tmpl w:val="E9B0C26E"/>
    <w:lvl w:ilvl="0">
      <w:start w:val="1"/>
      <w:numFmt w:val="lowerLetter"/>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793BF6"/>
    <w:multiLevelType w:val="multilevel"/>
    <w:tmpl w:val="34561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3451D7"/>
    <w:multiLevelType w:val="multilevel"/>
    <w:tmpl w:val="D7B01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922132"/>
    <w:multiLevelType w:val="multilevel"/>
    <w:tmpl w:val="48EC1D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083BD9"/>
    <w:multiLevelType w:val="multilevel"/>
    <w:tmpl w:val="5378A34A"/>
    <w:lvl w:ilvl="0">
      <w:start w:val="1"/>
      <w:numFmt w:val="bullet"/>
      <w:lvlText w:val="●"/>
      <w:lvlJc w:val="left"/>
      <w:pPr>
        <w:ind w:left="780" w:hanging="360"/>
      </w:pPr>
      <w:rPr>
        <w:rFonts w:ascii="Palatino Linotype" w:eastAsia="Palatino Linotype" w:hAnsi="Palatino Linotype" w:cs="Palatino Linotype"/>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62941DBF"/>
    <w:multiLevelType w:val="multilevel"/>
    <w:tmpl w:val="A77E1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6529BE"/>
    <w:multiLevelType w:val="multilevel"/>
    <w:tmpl w:val="4E66048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6A50FA"/>
    <w:multiLevelType w:val="multilevel"/>
    <w:tmpl w:val="7ABE57B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1D"/>
    <w:rsid w:val="004404A5"/>
    <w:rsid w:val="00790144"/>
    <w:rsid w:val="008B4728"/>
    <w:rsid w:val="00976436"/>
    <w:rsid w:val="00B8771D"/>
    <w:rsid w:val="00BA5B19"/>
    <w:rsid w:val="00C15108"/>
    <w:rsid w:val="00EE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DF8BC3D-7351-4D25-A745-9B4D5D8A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820641"/>
    <w:rPr>
      <w:color w:val="605E5C"/>
      <w:shd w:val="clear" w:color="auto" w:fill="E1DFDD"/>
    </w:rPr>
  </w:style>
  <w:style w:type="character" w:customStyle="1" w:styleId="Mencinsinresolver3">
    <w:name w:val="Mención sin resolver3"/>
    <w:basedOn w:val="Fuentedeprrafopredeter"/>
    <w:uiPriority w:val="99"/>
    <w:semiHidden/>
    <w:unhideWhenUsed/>
    <w:rsid w:val="00AA5163"/>
    <w:rPr>
      <w:color w:val="605E5C"/>
      <w:shd w:val="clear" w:color="auto" w:fill="E1DFDD"/>
    </w:rPr>
  </w:style>
  <w:style w:type="paragraph" w:styleId="Textoindependiente">
    <w:name w:val="Body Text"/>
    <w:basedOn w:val="Normal"/>
    <w:link w:val="TextoindependienteCar"/>
    <w:uiPriority w:val="99"/>
    <w:unhideWhenUsed/>
    <w:rsid w:val="003C71ED"/>
    <w:pPr>
      <w:spacing w:after="120" w:line="240" w:lineRule="auto"/>
      <w:jc w:val="left"/>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uiPriority w:val="99"/>
    <w:rsid w:val="003C71ED"/>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49743C"/>
    <w:rPr>
      <w:color w:val="605E5C"/>
      <w:shd w:val="clear" w:color="auto" w:fill="E1DFDD"/>
    </w:r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AbvSxO22LQXA1G/PwvS/RjH0g==">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11610</Words>
  <Characters>63857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B-204la</dc:creator>
  <cp:lastModifiedBy>INFOEM381</cp:lastModifiedBy>
  <cp:revision>5</cp:revision>
  <cp:lastPrinted>2025-04-03T18:21:00Z</cp:lastPrinted>
  <dcterms:created xsi:type="dcterms:W3CDTF">2025-03-27T16:23:00Z</dcterms:created>
  <dcterms:modified xsi:type="dcterms:W3CDTF">2025-04-29T00:45:00Z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