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4D8F0" w14:textId="4FA4A053"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116B26" w:rsidRPr="004628FD">
        <w:rPr>
          <w:rFonts w:ascii="Palatino Linotype" w:eastAsia="Palatino Linotype" w:hAnsi="Palatino Linotype" w:cs="Palatino Linotype"/>
          <w:sz w:val="22"/>
          <w:szCs w:val="22"/>
        </w:rPr>
        <w:t>quince</w:t>
      </w:r>
      <w:r w:rsidR="00ED23A8" w:rsidRPr="004628FD">
        <w:rPr>
          <w:rFonts w:ascii="Palatino Linotype" w:eastAsia="Palatino Linotype" w:hAnsi="Palatino Linotype" w:cs="Palatino Linotype"/>
          <w:sz w:val="22"/>
          <w:szCs w:val="22"/>
        </w:rPr>
        <w:t xml:space="preserve"> de octubre </w:t>
      </w:r>
      <w:r w:rsidRPr="004628FD">
        <w:rPr>
          <w:rFonts w:ascii="Palatino Linotype" w:eastAsia="Palatino Linotype" w:hAnsi="Palatino Linotype" w:cs="Palatino Linotype"/>
          <w:sz w:val="22"/>
          <w:szCs w:val="22"/>
        </w:rPr>
        <w:t xml:space="preserve">de dos mil veinticinco. </w:t>
      </w:r>
    </w:p>
    <w:p w14:paraId="777344C1" w14:textId="36D0A14B" w:rsidR="00C8599E" w:rsidRPr="004628FD" w:rsidRDefault="00812BF1" w:rsidP="00B24180">
      <w:pPr>
        <w:tabs>
          <w:tab w:val="left" w:pos="5812"/>
        </w:tabs>
        <w:spacing w:before="240" w:after="240" w:line="360" w:lineRule="auto"/>
        <w:jc w:val="both"/>
        <w:rPr>
          <w:rFonts w:ascii="Palatino Linotype" w:eastAsia="Palatino Linotype" w:hAnsi="Palatino Linotype" w:cs="Palatino Linotype"/>
          <w:b/>
          <w:sz w:val="22"/>
          <w:szCs w:val="22"/>
        </w:rPr>
      </w:pPr>
      <w:bookmarkStart w:id="0" w:name="_heading=h.daj3j2xo6q66" w:colFirst="0" w:colLast="0"/>
      <w:bookmarkEnd w:id="0"/>
      <w:r w:rsidRPr="004628FD">
        <w:rPr>
          <w:rFonts w:ascii="Palatino Linotype" w:eastAsia="Palatino Linotype" w:hAnsi="Palatino Linotype" w:cs="Palatino Linotype"/>
          <w:b/>
          <w:sz w:val="22"/>
          <w:szCs w:val="22"/>
        </w:rPr>
        <w:t>VISTO</w:t>
      </w:r>
      <w:r w:rsidRPr="004628FD">
        <w:rPr>
          <w:rFonts w:ascii="Palatino Linotype" w:eastAsia="Palatino Linotype" w:hAnsi="Palatino Linotype" w:cs="Palatino Linotype"/>
          <w:sz w:val="22"/>
          <w:szCs w:val="22"/>
        </w:rPr>
        <w:t xml:space="preserve"> el expediente formado con motivo del recurso de revisión </w:t>
      </w:r>
      <w:r w:rsidRPr="004628FD">
        <w:rPr>
          <w:rFonts w:ascii="Palatino Linotype" w:eastAsia="Palatino Linotype" w:hAnsi="Palatino Linotype" w:cs="Palatino Linotype"/>
          <w:b/>
          <w:sz w:val="22"/>
          <w:szCs w:val="22"/>
        </w:rPr>
        <w:t>0</w:t>
      </w:r>
      <w:r w:rsidR="008445CF" w:rsidRPr="004628FD">
        <w:rPr>
          <w:rFonts w:ascii="Palatino Linotype" w:eastAsia="Palatino Linotype" w:hAnsi="Palatino Linotype" w:cs="Palatino Linotype"/>
          <w:b/>
          <w:sz w:val="22"/>
          <w:szCs w:val="22"/>
        </w:rPr>
        <w:t>750</w:t>
      </w:r>
      <w:r w:rsidR="00ED23A8" w:rsidRPr="004628FD">
        <w:rPr>
          <w:rFonts w:ascii="Palatino Linotype" w:eastAsia="Palatino Linotype" w:hAnsi="Palatino Linotype" w:cs="Palatino Linotype"/>
          <w:b/>
          <w:sz w:val="22"/>
          <w:szCs w:val="22"/>
        </w:rPr>
        <w:t>4</w:t>
      </w:r>
      <w:r w:rsidRPr="004628FD">
        <w:rPr>
          <w:rFonts w:ascii="Palatino Linotype" w:eastAsia="Palatino Linotype" w:hAnsi="Palatino Linotype" w:cs="Palatino Linotype"/>
          <w:b/>
          <w:sz w:val="22"/>
          <w:szCs w:val="22"/>
        </w:rPr>
        <w:t>/INFOEM/IP/RR/2025</w:t>
      </w:r>
      <w:r w:rsidRPr="004628FD">
        <w:rPr>
          <w:rFonts w:ascii="Palatino Linotype" w:eastAsia="Palatino Linotype" w:hAnsi="Palatino Linotype" w:cs="Palatino Linotype"/>
          <w:sz w:val="22"/>
          <w:szCs w:val="22"/>
        </w:rPr>
        <w:t>, interpuesto por</w:t>
      </w:r>
      <w:r w:rsidRPr="004628FD">
        <w:rPr>
          <w:rFonts w:ascii="Palatino Linotype" w:eastAsia="Palatino Linotype" w:hAnsi="Palatino Linotype" w:cs="Palatino Linotype"/>
          <w:b/>
          <w:sz w:val="22"/>
          <w:szCs w:val="22"/>
        </w:rPr>
        <w:t xml:space="preserve"> </w:t>
      </w:r>
      <w:r w:rsidR="009D1BC5" w:rsidRPr="009D1BC5">
        <w:rPr>
          <w:rFonts w:ascii="Palatino Linotype" w:eastAsia="Palatino Linotype" w:hAnsi="Palatino Linotype" w:cs="Palatino Linotype"/>
          <w:b/>
          <w:sz w:val="22"/>
          <w:szCs w:val="22"/>
        </w:rPr>
        <w:t>XXXXXXX XXXXXXXX</w:t>
      </w:r>
      <w:r w:rsidRPr="009D1BC5">
        <w:rPr>
          <w:rFonts w:ascii="Palatino Linotype" w:eastAsia="Palatino Linotype" w:hAnsi="Palatino Linotype" w:cs="Palatino Linotype"/>
          <w:b/>
          <w:sz w:val="22"/>
          <w:szCs w:val="22"/>
        </w:rPr>
        <w:t>,</w:t>
      </w:r>
      <w:bookmarkStart w:id="1" w:name="_GoBack"/>
      <w:bookmarkEnd w:id="1"/>
      <w:r w:rsidRPr="004628FD">
        <w:rPr>
          <w:rFonts w:ascii="Palatino Linotype" w:eastAsia="Palatino Linotype" w:hAnsi="Palatino Linotype" w:cs="Palatino Linotype"/>
          <w:sz w:val="22"/>
          <w:szCs w:val="22"/>
        </w:rPr>
        <w:t xml:space="preserve"> en lo sucesivo</w:t>
      </w:r>
      <w:r w:rsidRPr="004628FD">
        <w:rPr>
          <w:rFonts w:ascii="Palatino Linotype" w:eastAsia="Palatino Linotype" w:hAnsi="Palatino Linotype" w:cs="Palatino Linotype"/>
          <w:b/>
          <w:sz w:val="22"/>
          <w:szCs w:val="22"/>
        </w:rPr>
        <w:t xml:space="preserve"> </w:t>
      </w:r>
      <w:r w:rsidRPr="004628FD">
        <w:rPr>
          <w:rFonts w:ascii="Palatino Linotype" w:eastAsia="Palatino Linotype" w:hAnsi="Palatino Linotype" w:cs="Palatino Linotype"/>
          <w:sz w:val="22"/>
          <w:szCs w:val="22"/>
        </w:rPr>
        <w:t xml:space="preserve">la parte </w:t>
      </w:r>
      <w:r w:rsidRPr="004628FD">
        <w:rPr>
          <w:rFonts w:ascii="Palatino Linotype" w:eastAsia="Palatino Linotype" w:hAnsi="Palatino Linotype" w:cs="Palatino Linotype"/>
          <w:b/>
          <w:sz w:val="22"/>
          <w:szCs w:val="22"/>
        </w:rPr>
        <w:t>Recurrente,</w:t>
      </w:r>
      <w:r w:rsidRPr="004628FD">
        <w:rPr>
          <w:rFonts w:ascii="Palatino Linotype" w:eastAsia="Palatino Linotype" w:hAnsi="Palatino Linotype" w:cs="Palatino Linotype"/>
          <w:sz w:val="22"/>
          <w:szCs w:val="22"/>
        </w:rPr>
        <w:t xml:space="preserve"> en contra de la respuesta a la solicitud de información con número de folio</w:t>
      </w:r>
      <w:r w:rsidRPr="004628FD">
        <w:rPr>
          <w:rFonts w:ascii="Palatino Linotype" w:eastAsia="Palatino Linotype" w:hAnsi="Palatino Linotype" w:cs="Palatino Linotype"/>
          <w:b/>
          <w:sz w:val="22"/>
          <w:szCs w:val="22"/>
        </w:rPr>
        <w:t xml:space="preserve"> </w:t>
      </w:r>
      <w:r w:rsidR="00E54D20" w:rsidRPr="004628FD">
        <w:rPr>
          <w:rFonts w:ascii="Palatino Linotype" w:eastAsia="Palatino Linotype" w:hAnsi="Palatino Linotype" w:cs="Palatino Linotype"/>
          <w:b/>
          <w:sz w:val="22"/>
          <w:szCs w:val="22"/>
        </w:rPr>
        <w:t>01121/CUAUTIZC/IP/2025</w:t>
      </w:r>
      <w:r w:rsidRPr="004628FD">
        <w:rPr>
          <w:rFonts w:ascii="Palatino Linotype" w:eastAsia="Palatino Linotype" w:hAnsi="Palatino Linotype" w:cs="Palatino Linotype"/>
          <w:b/>
          <w:sz w:val="22"/>
          <w:szCs w:val="22"/>
        </w:rPr>
        <w:t xml:space="preserve">, </w:t>
      </w:r>
      <w:r w:rsidRPr="004628FD">
        <w:rPr>
          <w:rFonts w:ascii="Palatino Linotype" w:eastAsia="Palatino Linotype" w:hAnsi="Palatino Linotype" w:cs="Palatino Linotype"/>
          <w:sz w:val="22"/>
          <w:szCs w:val="22"/>
        </w:rPr>
        <w:t xml:space="preserve">por parte del </w:t>
      </w:r>
      <w:r w:rsidR="00E54D20" w:rsidRPr="004628FD">
        <w:rPr>
          <w:rFonts w:ascii="Palatino Linotype" w:eastAsia="Palatino Linotype" w:hAnsi="Palatino Linotype" w:cs="Palatino Linotype"/>
          <w:b/>
          <w:sz w:val="22"/>
          <w:szCs w:val="22"/>
        </w:rPr>
        <w:t>Ayuntamiento de Cuautitlán Izcalli</w:t>
      </w:r>
      <w:r w:rsidR="00ED23A8" w:rsidRPr="004628FD">
        <w:rPr>
          <w:rFonts w:ascii="Palatino Linotype" w:eastAsia="Palatino Linotype" w:hAnsi="Palatino Linotype" w:cs="Palatino Linotype"/>
          <w:b/>
          <w:sz w:val="22"/>
          <w:szCs w:val="22"/>
        </w:rPr>
        <w:t xml:space="preserve">, </w:t>
      </w:r>
      <w:r w:rsidRPr="004628FD">
        <w:rPr>
          <w:rFonts w:ascii="Palatino Linotype" w:eastAsia="Palatino Linotype" w:hAnsi="Palatino Linotype" w:cs="Palatino Linotype"/>
          <w:sz w:val="22"/>
          <w:szCs w:val="22"/>
        </w:rPr>
        <w:t xml:space="preserve">en lo sucesivo el </w:t>
      </w:r>
      <w:r w:rsidRPr="004628FD">
        <w:rPr>
          <w:rFonts w:ascii="Palatino Linotype" w:eastAsia="Palatino Linotype" w:hAnsi="Palatino Linotype" w:cs="Palatino Linotype"/>
          <w:b/>
          <w:sz w:val="22"/>
          <w:szCs w:val="22"/>
        </w:rPr>
        <w:t xml:space="preserve">Sujeto Obligado, </w:t>
      </w:r>
      <w:r w:rsidRPr="004628FD">
        <w:rPr>
          <w:rFonts w:ascii="Palatino Linotype" w:eastAsia="Palatino Linotype" w:hAnsi="Palatino Linotype" w:cs="Palatino Linotype"/>
          <w:sz w:val="22"/>
          <w:szCs w:val="22"/>
        </w:rPr>
        <w:t xml:space="preserve">se procede a dictar la presente resolución con base en los siguientes: </w:t>
      </w:r>
    </w:p>
    <w:p w14:paraId="1C218A97" w14:textId="77777777" w:rsidR="00C8599E" w:rsidRPr="004628FD" w:rsidRDefault="00812BF1" w:rsidP="00B24180">
      <w:pPr>
        <w:spacing w:before="240" w:after="240" w:line="360" w:lineRule="auto"/>
        <w:jc w:val="center"/>
        <w:rPr>
          <w:rFonts w:ascii="Palatino Linotype" w:eastAsia="Palatino Linotype" w:hAnsi="Palatino Linotype" w:cs="Palatino Linotype"/>
          <w:b/>
          <w:sz w:val="22"/>
          <w:szCs w:val="22"/>
        </w:rPr>
      </w:pPr>
      <w:r w:rsidRPr="004628FD">
        <w:rPr>
          <w:rFonts w:ascii="Palatino Linotype" w:eastAsia="Palatino Linotype" w:hAnsi="Palatino Linotype" w:cs="Palatino Linotype"/>
          <w:b/>
          <w:sz w:val="22"/>
          <w:szCs w:val="22"/>
        </w:rPr>
        <w:t>I. A N T E C E D E N T E S</w:t>
      </w:r>
    </w:p>
    <w:p w14:paraId="4DCE7AAD" w14:textId="1B8074CD"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4628FD">
        <w:rPr>
          <w:rFonts w:ascii="Palatino Linotype" w:eastAsia="Palatino Linotype" w:hAnsi="Palatino Linotype" w:cs="Palatino Linotype"/>
          <w:b/>
          <w:sz w:val="22"/>
          <w:szCs w:val="22"/>
        </w:rPr>
        <w:t>1. Solicitud de acceso a la información.</w:t>
      </w:r>
      <w:r w:rsidR="00382805" w:rsidRPr="004628FD">
        <w:rPr>
          <w:rFonts w:ascii="Palatino Linotype" w:eastAsia="Palatino Linotype" w:hAnsi="Palatino Linotype" w:cs="Palatino Linotype"/>
          <w:sz w:val="22"/>
          <w:szCs w:val="22"/>
        </w:rPr>
        <w:t xml:space="preserve"> El </w:t>
      </w:r>
      <w:r w:rsidR="00382805" w:rsidRPr="004628FD">
        <w:rPr>
          <w:rFonts w:ascii="Palatino Linotype" w:eastAsia="Palatino Linotype" w:hAnsi="Palatino Linotype" w:cs="Palatino Linotype"/>
          <w:b/>
          <w:sz w:val="22"/>
          <w:szCs w:val="22"/>
        </w:rPr>
        <w:t>dieciocho de junio</w:t>
      </w:r>
      <w:r w:rsidR="00382805" w:rsidRPr="004628FD">
        <w:rPr>
          <w:rFonts w:ascii="Palatino Linotype" w:eastAsia="Palatino Linotype" w:hAnsi="Palatino Linotype" w:cs="Palatino Linotype"/>
          <w:sz w:val="22"/>
          <w:szCs w:val="22"/>
        </w:rPr>
        <w:t xml:space="preserve"> </w:t>
      </w:r>
      <w:r w:rsidRPr="004628FD">
        <w:rPr>
          <w:rFonts w:ascii="Palatino Linotype" w:eastAsia="Palatino Linotype" w:hAnsi="Palatino Linotype" w:cs="Palatino Linotype"/>
          <w:b/>
          <w:sz w:val="22"/>
          <w:szCs w:val="22"/>
        </w:rPr>
        <w:t xml:space="preserve">de </w:t>
      </w:r>
      <w:r w:rsidR="00ED23A8" w:rsidRPr="004628FD">
        <w:rPr>
          <w:rFonts w:ascii="Palatino Linotype" w:eastAsia="Palatino Linotype" w:hAnsi="Palatino Linotype" w:cs="Palatino Linotype"/>
          <w:b/>
          <w:sz w:val="22"/>
          <w:szCs w:val="22"/>
        </w:rPr>
        <w:t>dos mil veinticinco</w:t>
      </w:r>
      <w:r w:rsidRPr="004628FD">
        <w:rPr>
          <w:rFonts w:ascii="Palatino Linotype" w:eastAsia="Palatino Linotype" w:hAnsi="Palatino Linotype" w:cs="Palatino Linotype"/>
          <w:b/>
          <w:sz w:val="22"/>
          <w:szCs w:val="22"/>
        </w:rPr>
        <w:t>,</w:t>
      </w:r>
      <w:r w:rsidRPr="004628FD">
        <w:rPr>
          <w:rFonts w:ascii="Palatino Linotype" w:eastAsia="Palatino Linotype" w:hAnsi="Palatino Linotype" w:cs="Palatino Linotype"/>
          <w:sz w:val="22"/>
          <w:szCs w:val="22"/>
        </w:rPr>
        <w:t xml:space="preserve"> la parte </w:t>
      </w:r>
      <w:r w:rsidRPr="004628FD">
        <w:rPr>
          <w:rFonts w:ascii="Palatino Linotype" w:eastAsia="Palatino Linotype" w:hAnsi="Palatino Linotype" w:cs="Palatino Linotype"/>
          <w:b/>
          <w:sz w:val="22"/>
          <w:szCs w:val="22"/>
        </w:rPr>
        <w:t xml:space="preserve">Recurrente </w:t>
      </w:r>
      <w:r w:rsidRPr="004628FD">
        <w:rPr>
          <w:rFonts w:ascii="Palatino Linotype" w:eastAsia="Palatino Linotype" w:hAnsi="Palatino Linotype" w:cs="Palatino Linotype"/>
          <w:sz w:val="22"/>
          <w:szCs w:val="22"/>
        </w:rPr>
        <w:t xml:space="preserve">presentó la solicitud de acceso a la información pública ante el </w:t>
      </w:r>
      <w:r w:rsidRPr="004628FD">
        <w:rPr>
          <w:rFonts w:ascii="Palatino Linotype" w:eastAsia="Palatino Linotype" w:hAnsi="Palatino Linotype" w:cs="Palatino Linotype"/>
          <w:b/>
          <w:sz w:val="22"/>
          <w:szCs w:val="22"/>
        </w:rPr>
        <w:t>Sujeto Obligado</w:t>
      </w:r>
      <w:r w:rsidRPr="004628FD">
        <w:rPr>
          <w:rFonts w:ascii="Palatino Linotype" w:eastAsia="Palatino Linotype" w:hAnsi="Palatino Linotype" w:cs="Palatino Linotype"/>
          <w:sz w:val="22"/>
          <w:szCs w:val="22"/>
        </w:rPr>
        <w:t xml:space="preserve">, a través del Sistema de Acceso a la Información Mexiquense, en lo subsecuente el </w:t>
      </w:r>
      <w:r w:rsidRPr="004628FD">
        <w:rPr>
          <w:rFonts w:ascii="Palatino Linotype" w:eastAsia="Palatino Linotype" w:hAnsi="Palatino Linotype" w:cs="Palatino Linotype"/>
          <w:b/>
          <w:sz w:val="22"/>
          <w:szCs w:val="22"/>
        </w:rPr>
        <w:t>SAIMEX,</w:t>
      </w:r>
      <w:r w:rsidRPr="004628FD">
        <w:rPr>
          <w:rFonts w:ascii="Palatino Linotype" w:eastAsia="Palatino Linotype" w:hAnsi="Palatino Linotype" w:cs="Palatino Linotype"/>
          <w:sz w:val="22"/>
          <w:szCs w:val="22"/>
        </w:rPr>
        <w:t xml:space="preserve"> mediante la cual requirió lo siguiente:</w:t>
      </w:r>
    </w:p>
    <w:p w14:paraId="0545250E" w14:textId="7D34B236" w:rsidR="00C8599E" w:rsidRPr="004628FD" w:rsidRDefault="00812BF1" w:rsidP="00B24180">
      <w:pPr>
        <w:spacing w:before="120" w:after="120"/>
        <w:ind w:left="851" w:right="902"/>
        <w:jc w:val="both"/>
        <w:rPr>
          <w:rFonts w:ascii="Palatino Linotype" w:eastAsia="Palatino Linotype" w:hAnsi="Palatino Linotype" w:cs="Palatino Linotype"/>
          <w:b/>
          <w:i/>
          <w:sz w:val="22"/>
          <w:szCs w:val="22"/>
        </w:rPr>
      </w:pPr>
      <w:r w:rsidRPr="004628FD">
        <w:rPr>
          <w:rFonts w:ascii="Palatino Linotype" w:eastAsia="Palatino Linotype" w:hAnsi="Palatino Linotype" w:cs="Palatino Linotype"/>
          <w:i/>
          <w:sz w:val="22"/>
          <w:szCs w:val="22"/>
        </w:rPr>
        <w:t xml:space="preserve"> “</w:t>
      </w:r>
      <w:r w:rsidR="00E54D20" w:rsidRPr="004628FD">
        <w:rPr>
          <w:rFonts w:ascii="Palatino Linotype" w:eastAsia="Palatino Linotype" w:hAnsi="Palatino Linotype" w:cs="Palatino Linotype"/>
          <w:i/>
          <w:sz w:val="22"/>
          <w:szCs w:val="22"/>
        </w:rPr>
        <w:t xml:space="preserve">solicito saber </w:t>
      </w:r>
      <w:proofErr w:type="spellStart"/>
      <w:r w:rsidR="00E54D20" w:rsidRPr="004628FD">
        <w:rPr>
          <w:rFonts w:ascii="Palatino Linotype" w:eastAsia="Palatino Linotype" w:hAnsi="Palatino Linotype" w:cs="Palatino Linotype"/>
          <w:i/>
          <w:sz w:val="22"/>
          <w:szCs w:val="22"/>
        </w:rPr>
        <w:t>cuantas</w:t>
      </w:r>
      <w:proofErr w:type="spellEnd"/>
      <w:r w:rsidR="00E54D20" w:rsidRPr="004628FD">
        <w:rPr>
          <w:rFonts w:ascii="Palatino Linotype" w:eastAsia="Palatino Linotype" w:hAnsi="Palatino Linotype" w:cs="Palatino Linotype"/>
          <w:i/>
          <w:sz w:val="22"/>
          <w:szCs w:val="22"/>
        </w:rPr>
        <w:t xml:space="preserve"> reuniones, talleres, seminarios, cursos a tomado la contralora municipal en razón de obtener las actitudes, habilidades y conocimientos necesarios para Coordinarse con la Auditoría Superior de la Federación, el Órgano Superior de Fiscalización del Estado de México (OSFEM), la Contraloría del Poder Legislativo, la Secretaría de la Contraloría del Gobierno del Estado de México, la Fiscalía Especializada en Combate a la Corrupción, el Tribunal de Justicia Administrativa del Estado de México, el Comité Coordinador del Sistema Municipal Anticorrupción, el Comité de Participación Ciudadana Municipal del Sistema Municipal Anticorrupción y otros entes fiscalizadores de carácter federal y estatal, para el cumplimiento de sus funciones; toda vez que se percibe su nulo conocimiento, su escaso dominio de los temas en el ejercicio de su encargo, ya que lleva a cabo la implementación de </w:t>
      </w:r>
      <w:proofErr w:type="spellStart"/>
      <w:r w:rsidR="00E54D20" w:rsidRPr="004628FD">
        <w:rPr>
          <w:rFonts w:ascii="Palatino Linotype" w:eastAsia="Palatino Linotype" w:hAnsi="Palatino Linotype" w:cs="Palatino Linotype"/>
          <w:i/>
          <w:sz w:val="22"/>
          <w:szCs w:val="22"/>
        </w:rPr>
        <w:t>practicas</w:t>
      </w:r>
      <w:proofErr w:type="spellEnd"/>
      <w:r w:rsidR="00E54D20" w:rsidRPr="004628FD">
        <w:rPr>
          <w:rFonts w:ascii="Palatino Linotype" w:eastAsia="Palatino Linotype" w:hAnsi="Palatino Linotype" w:cs="Palatino Linotype"/>
          <w:i/>
          <w:sz w:val="22"/>
          <w:szCs w:val="22"/>
        </w:rPr>
        <w:t xml:space="preserve"> que </w:t>
      </w:r>
      <w:proofErr w:type="spellStart"/>
      <w:r w:rsidR="00E54D20" w:rsidRPr="004628FD">
        <w:rPr>
          <w:rFonts w:ascii="Palatino Linotype" w:eastAsia="Palatino Linotype" w:hAnsi="Palatino Linotype" w:cs="Palatino Linotype"/>
          <w:i/>
          <w:sz w:val="22"/>
          <w:szCs w:val="22"/>
        </w:rPr>
        <w:t>mas</w:t>
      </w:r>
      <w:proofErr w:type="spellEnd"/>
      <w:r w:rsidR="00E54D20" w:rsidRPr="004628FD">
        <w:rPr>
          <w:rFonts w:ascii="Palatino Linotype" w:eastAsia="Palatino Linotype" w:hAnsi="Palatino Linotype" w:cs="Palatino Linotype"/>
          <w:i/>
          <w:sz w:val="22"/>
          <w:szCs w:val="22"/>
        </w:rPr>
        <w:t xml:space="preserve"> bien parecen </w:t>
      </w:r>
      <w:r w:rsidR="00E54D20" w:rsidRPr="004628FD">
        <w:rPr>
          <w:rFonts w:ascii="Palatino Linotype" w:eastAsia="Palatino Linotype" w:hAnsi="Palatino Linotype" w:cs="Palatino Linotype"/>
          <w:i/>
          <w:sz w:val="22"/>
          <w:szCs w:val="22"/>
        </w:rPr>
        <w:lastRenderedPageBreak/>
        <w:t xml:space="preserve">estropear, entorpecer y anular el flujo de las actividades de la administración </w:t>
      </w:r>
      <w:proofErr w:type="spellStart"/>
      <w:r w:rsidR="00E54D20" w:rsidRPr="004628FD">
        <w:rPr>
          <w:rFonts w:ascii="Palatino Linotype" w:eastAsia="Palatino Linotype" w:hAnsi="Palatino Linotype" w:cs="Palatino Linotype"/>
          <w:i/>
          <w:sz w:val="22"/>
          <w:szCs w:val="22"/>
        </w:rPr>
        <w:t>publica</w:t>
      </w:r>
      <w:proofErr w:type="spellEnd"/>
      <w:r w:rsidRPr="004628FD">
        <w:rPr>
          <w:rFonts w:ascii="Palatino Linotype" w:eastAsia="Palatino Linotype" w:hAnsi="Palatino Linotype" w:cs="Palatino Linotype"/>
          <w:b/>
          <w:i/>
          <w:sz w:val="22"/>
          <w:szCs w:val="22"/>
        </w:rPr>
        <w:t>”</w:t>
      </w:r>
      <w:r w:rsidRPr="004628FD">
        <w:rPr>
          <w:rFonts w:ascii="Palatino Linotype" w:eastAsia="Palatino Linotype" w:hAnsi="Palatino Linotype" w:cs="Palatino Linotype"/>
          <w:i/>
          <w:sz w:val="22"/>
          <w:szCs w:val="22"/>
        </w:rPr>
        <w:t xml:space="preserve"> (sic) </w:t>
      </w:r>
    </w:p>
    <w:p w14:paraId="48AB3445"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4628FD">
        <w:rPr>
          <w:rFonts w:ascii="Palatino Linotype" w:eastAsia="Palatino Linotype" w:hAnsi="Palatino Linotype" w:cs="Palatino Linotype"/>
          <w:b/>
          <w:sz w:val="22"/>
          <w:szCs w:val="22"/>
        </w:rPr>
        <w:t>Modalidad de Entrega:</w:t>
      </w:r>
      <w:r w:rsidRPr="004628FD">
        <w:rPr>
          <w:rFonts w:ascii="Palatino Linotype" w:eastAsia="Palatino Linotype" w:hAnsi="Palatino Linotype" w:cs="Palatino Linotype"/>
          <w:sz w:val="22"/>
          <w:szCs w:val="22"/>
        </w:rPr>
        <w:t xml:space="preserve"> a través del</w:t>
      </w:r>
      <w:r w:rsidRPr="004628FD">
        <w:rPr>
          <w:rFonts w:ascii="Palatino Linotype" w:eastAsia="Palatino Linotype" w:hAnsi="Palatino Linotype" w:cs="Palatino Linotype"/>
          <w:b/>
          <w:sz w:val="22"/>
          <w:szCs w:val="22"/>
        </w:rPr>
        <w:t xml:space="preserve"> SAIMEX.</w:t>
      </w:r>
    </w:p>
    <w:p w14:paraId="6B011F05" w14:textId="50E555E5"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b/>
          <w:sz w:val="22"/>
          <w:szCs w:val="22"/>
        </w:rPr>
        <w:t xml:space="preserve">2. </w:t>
      </w:r>
      <w:r w:rsidR="00E54D20" w:rsidRPr="004628FD">
        <w:rPr>
          <w:rFonts w:ascii="Palatino Linotype" w:eastAsia="Palatino Linotype" w:hAnsi="Palatino Linotype" w:cs="Palatino Linotype"/>
          <w:b/>
          <w:sz w:val="22"/>
          <w:szCs w:val="22"/>
        </w:rPr>
        <w:t>No se da Curso a Solicitud</w:t>
      </w:r>
      <w:r w:rsidRPr="004628FD">
        <w:rPr>
          <w:rFonts w:ascii="Palatino Linotype" w:eastAsia="Palatino Linotype" w:hAnsi="Palatino Linotype" w:cs="Palatino Linotype"/>
          <w:b/>
          <w:sz w:val="22"/>
          <w:szCs w:val="22"/>
        </w:rPr>
        <w:t xml:space="preserve">. </w:t>
      </w:r>
      <w:r w:rsidRPr="004628FD">
        <w:rPr>
          <w:rFonts w:ascii="Palatino Linotype" w:eastAsia="Palatino Linotype" w:hAnsi="Palatino Linotype" w:cs="Palatino Linotype"/>
          <w:sz w:val="22"/>
          <w:szCs w:val="22"/>
        </w:rPr>
        <w:t xml:space="preserve">El </w:t>
      </w:r>
      <w:r w:rsidR="00E54D20" w:rsidRPr="004628FD">
        <w:rPr>
          <w:rFonts w:ascii="Palatino Linotype" w:eastAsia="Palatino Linotype" w:hAnsi="Palatino Linotype" w:cs="Palatino Linotype"/>
          <w:b/>
          <w:sz w:val="22"/>
          <w:szCs w:val="22"/>
        </w:rPr>
        <w:t xml:space="preserve">dieciocho de junio </w:t>
      </w:r>
      <w:r w:rsidRPr="004628FD">
        <w:rPr>
          <w:rFonts w:ascii="Palatino Linotype" w:eastAsia="Palatino Linotype" w:hAnsi="Palatino Linotype" w:cs="Palatino Linotype"/>
          <w:b/>
          <w:sz w:val="22"/>
          <w:szCs w:val="22"/>
        </w:rPr>
        <w:t>de dos mil veinticinco,</w:t>
      </w:r>
      <w:r w:rsidRPr="004628FD">
        <w:rPr>
          <w:rFonts w:ascii="Palatino Linotype" w:eastAsia="Palatino Linotype" w:hAnsi="Palatino Linotype" w:cs="Palatino Linotype"/>
          <w:sz w:val="22"/>
          <w:szCs w:val="22"/>
        </w:rPr>
        <w:t xml:space="preserve"> el </w:t>
      </w:r>
      <w:r w:rsidRPr="004628FD">
        <w:rPr>
          <w:rFonts w:ascii="Palatino Linotype" w:eastAsia="Palatino Linotype" w:hAnsi="Palatino Linotype" w:cs="Palatino Linotype"/>
          <w:b/>
          <w:sz w:val="22"/>
          <w:szCs w:val="22"/>
        </w:rPr>
        <w:t xml:space="preserve">Sujeto Obligado </w:t>
      </w:r>
      <w:r w:rsidRPr="004628FD">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250FE87F" w14:textId="649D24B8" w:rsidR="00C8599E" w:rsidRPr="004628FD" w:rsidRDefault="00812BF1" w:rsidP="00B24180">
      <w:pPr>
        <w:spacing w:before="240" w:after="24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w:t>
      </w:r>
      <w:r w:rsidR="001C1EF8" w:rsidRPr="004628FD">
        <w:rPr>
          <w:rFonts w:ascii="Palatino Linotype" w:eastAsia="Palatino Linotype" w:hAnsi="Palatino Linotype" w:cs="Palatino Linotype"/>
          <w:i/>
          <w:sz w:val="22"/>
          <w:szCs w:val="22"/>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r w:rsidRPr="004628FD">
        <w:rPr>
          <w:rFonts w:ascii="Palatino Linotype" w:eastAsia="Palatino Linotype" w:hAnsi="Palatino Linotype" w:cs="Palatino Linotype"/>
          <w:i/>
          <w:sz w:val="22"/>
          <w:szCs w:val="22"/>
        </w:rPr>
        <w:t>..” (sic)</w:t>
      </w:r>
    </w:p>
    <w:p w14:paraId="6E571658" w14:textId="77777777" w:rsidR="00C8599E" w:rsidRPr="004628FD" w:rsidRDefault="00812BF1" w:rsidP="00B24180">
      <w:pPr>
        <w:spacing w:before="240" w:after="240" w:line="360" w:lineRule="auto"/>
        <w:ind w:right="49"/>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El </w:t>
      </w:r>
      <w:r w:rsidRPr="004628FD">
        <w:rPr>
          <w:rFonts w:ascii="Palatino Linotype" w:eastAsia="Palatino Linotype" w:hAnsi="Palatino Linotype" w:cs="Palatino Linotype"/>
          <w:b/>
          <w:sz w:val="22"/>
          <w:szCs w:val="22"/>
        </w:rPr>
        <w:t xml:space="preserve">Sujeto Obligado </w:t>
      </w:r>
      <w:r w:rsidRPr="004628FD">
        <w:rPr>
          <w:rFonts w:ascii="Palatino Linotype" w:eastAsia="Palatino Linotype" w:hAnsi="Palatino Linotype" w:cs="Palatino Linotype"/>
          <w:sz w:val="22"/>
          <w:szCs w:val="22"/>
        </w:rPr>
        <w:t>adjuntó lo siguiente:</w:t>
      </w:r>
    </w:p>
    <w:p w14:paraId="5F6433B0" w14:textId="633EDA0C" w:rsidR="001C1EF8" w:rsidRPr="004628FD" w:rsidRDefault="00812BF1" w:rsidP="001C1EF8">
      <w:pPr>
        <w:spacing w:before="240" w:after="240" w:line="360" w:lineRule="auto"/>
        <w:ind w:right="49"/>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 Oficio número </w:t>
      </w:r>
      <w:r w:rsidR="001C1EF8" w:rsidRPr="004628FD">
        <w:rPr>
          <w:rFonts w:ascii="Palatino Linotype" w:eastAsia="Palatino Linotype" w:hAnsi="Palatino Linotype" w:cs="Palatino Linotype"/>
          <w:sz w:val="22"/>
          <w:szCs w:val="22"/>
        </w:rPr>
        <w:t>PM/CUT/871/2025</w:t>
      </w:r>
      <w:r w:rsidRPr="004628FD">
        <w:rPr>
          <w:rFonts w:ascii="Palatino Linotype" w:eastAsia="Palatino Linotype" w:hAnsi="Palatino Linotype" w:cs="Palatino Linotype"/>
          <w:sz w:val="22"/>
          <w:szCs w:val="22"/>
        </w:rPr>
        <w:t xml:space="preserve">, mediante el cual </w:t>
      </w:r>
      <w:r w:rsidR="001C1EF8" w:rsidRPr="004628FD">
        <w:rPr>
          <w:rFonts w:ascii="Palatino Linotype" w:eastAsia="Palatino Linotype" w:hAnsi="Palatino Linotype" w:cs="Palatino Linotype"/>
          <w:sz w:val="22"/>
          <w:szCs w:val="22"/>
        </w:rPr>
        <w:t xml:space="preserve">la Coordinadora de Transparencia señaló que al momento de realizar el estudio y análisis del requerimiento formulado a efecto de poder determinar el área competente para su atención, se observó que del requerimiento se desprende que no se solicitó información que implique documentos generados por el ayuntamiento, si no que se emitió una percepción personal, de conformidad con el artículo </w:t>
      </w:r>
      <w:r w:rsidR="001C1EF8" w:rsidRPr="004628FD">
        <w:rPr>
          <w:rFonts w:ascii="Palatino Linotype" w:hAnsi="Palatino Linotype"/>
          <w:sz w:val="22"/>
          <w:szCs w:val="22"/>
        </w:rPr>
        <w:t xml:space="preserve">3 fracción XI de la Ley de Transparencia y Acceso a la Información Pública del Estado de México y Municipios, razón por la cual </w:t>
      </w:r>
      <w:r w:rsidR="007E0AB9" w:rsidRPr="004628FD">
        <w:rPr>
          <w:rFonts w:ascii="Palatino Linotype" w:hAnsi="Palatino Linotype"/>
          <w:sz w:val="22"/>
          <w:szCs w:val="22"/>
        </w:rPr>
        <w:t>estimó procedente desechar el requerimiento al considerar que no actualiza la hipótesis que contempla el Derecho de acceso a la información pública, al no describir el documento público que se solicita según lo estipulado en el artículo 155 de la Ley de la materia.</w:t>
      </w:r>
    </w:p>
    <w:p w14:paraId="2B04BF20" w14:textId="0AB403DC" w:rsidR="00C8599E" w:rsidRPr="004628FD" w:rsidRDefault="00812BF1" w:rsidP="00B24180">
      <w:pPr>
        <w:spacing w:before="240" w:after="240" w:line="360" w:lineRule="auto"/>
        <w:ind w:right="49"/>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b/>
          <w:sz w:val="22"/>
          <w:szCs w:val="22"/>
        </w:rPr>
        <w:t xml:space="preserve">3. Interposición del recurso de revisión. </w:t>
      </w:r>
      <w:r w:rsidRPr="004628FD">
        <w:rPr>
          <w:rFonts w:ascii="Palatino Linotype" w:eastAsia="Palatino Linotype" w:hAnsi="Palatino Linotype" w:cs="Palatino Linotype"/>
          <w:sz w:val="22"/>
          <w:szCs w:val="22"/>
        </w:rPr>
        <w:t xml:space="preserve">Inconforme con los términos de la respuesta emitida por parte del </w:t>
      </w:r>
      <w:r w:rsidRPr="004628FD">
        <w:rPr>
          <w:rFonts w:ascii="Palatino Linotype" w:eastAsia="Palatino Linotype" w:hAnsi="Palatino Linotype" w:cs="Palatino Linotype"/>
          <w:b/>
          <w:sz w:val="22"/>
          <w:szCs w:val="22"/>
        </w:rPr>
        <w:t>Sujeto Obligado</w:t>
      </w:r>
      <w:r w:rsidRPr="004628FD">
        <w:rPr>
          <w:rFonts w:ascii="Palatino Linotype" w:eastAsia="Palatino Linotype" w:hAnsi="Palatino Linotype" w:cs="Palatino Linotype"/>
          <w:sz w:val="22"/>
          <w:szCs w:val="22"/>
        </w:rPr>
        <w:t xml:space="preserve">, el </w:t>
      </w:r>
      <w:r w:rsidR="00161E36" w:rsidRPr="004628FD">
        <w:rPr>
          <w:rFonts w:ascii="Palatino Linotype" w:eastAsia="Palatino Linotype" w:hAnsi="Palatino Linotype" w:cs="Palatino Linotype"/>
          <w:b/>
          <w:sz w:val="22"/>
          <w:szCs w:val="22"/>
        </w:rPr>
        <w:t>diecinueve de junio</w:t>
      </w:r>
      <w:r w:rsidRPr="004628FD">
        <w:rPr>
          <w:rFonts w:ascii="Palatino Linotype" w:eastAsia="Palatino Linotype" w:hAnsi="Palatino Linotype" w:cs="Palatino Linotype"/>
          <w:b/>
          <w:sz w:val="22"/>
          <w:szCs w:val="22"/>
        </w:rPr>
        <w:t xml:space="preserve"> de dos mil veinticinco,</w:t>
      </w:r>
      <w:r w:rsidRPr="004628FD">
        <w:rPr>
          <w:rFonts w:ascii="Palatino Linotype" w:eastAsia="Palatino Linotype" w:hAnsi="Palatino Linotype" w:cs="Palatino Linotype"/>
          <w:sz w:val="22"/>
          <w:szCs w:val="22"/>
        </w:rPr>
        <w:t xml:space="preserve"> la parte </w:t>
      </w:r>
      <w:r w:rsidRPr="004628FD">
        <w:rPr>
          <w:rFonts w:ascii="Palatino Linotype" w:eastAsia="Palatino Linotype" w:hAnsi="Palatino Linotype" w:cs="Palatino Linotype"/>
          <w:b/>
          <w:sz w:val="22"/>
          <w:szCs w:val="22"/>
        </w:rPr>
        <w:t>Recurrente</w:t>
      </w:r>
      <w:r w:rsidRPr="004628FD">
        <w:rPr>
          <w:rFonts w:ascii="Palatino Linotype" w:eastAsia="Palatino Linotype" w:hAnsi="Palatino Linotype" w:cs="Palatino Linotype"/>
          <w:sz w:val="22"/>
          <w:szCs w:val="22"/>
        </w:rPr>
        <w:t xml:space="preserve"> interpuso el recurso de revisión a través de </w:t>
      </w:r>
      <w:r w:rsidRPr="004628FD">
        <w:rPr>
          <w:rFonts w:ascii="Palatino Linotype" w:eastAsia="Palatino Linotype" w:hAnsi="Palatino Linotype" w:cs="Palatino Linotype"/>
          <w:b/>
          <w:sz w:val="22"/>
          <w:szCs w:val="22"/>
        </w:rPr>
        <w:t xml:space="preserve">SAIMEX, </w:t>
      </w:r>
      <w:r w:rsidRPr="004628FD">
        <w:rPr>
          <w:rFonts w:ascii="Palatino Linotype" w:eastAsia="Palatino Linotype" w:hAnsi="Palatino Linotype" w:cs="Palatino Linotype"/>
          <w:sz w:val="22"/>
          <w:szCs w:val="22"/>
        </w:rPr>
        <w:t>en donde se manifestó de la siguiente manera:</w:t>
      </w:r>
    </w:p>
    <w:p w14:paraId="7024EFF6" w14:textId="77777777" w:rsidR="00C8599E" w:rsidRPr="004628FD" w:rsidRDefault="00812BF1" w:rsidP="00B24180">
      <w:pPr>
        <w:spacing w:before="240" w:after="240" w:line="360" w:lineRule="auto"/>
        <w:ind w:right="49"/>
        <w:jc w:val="both"/>
        <w:rPr>
          <w:rFonts w:ascii="Palatino Linotype" w:eastAsia="Palatino Linotype" w:hAnsi="Palatino Linotype" w:cs="Palatino Linotype"/>
          <w:b/>
          <w:sz w:val="22"/>
          <w:szCs w:val="22"/>
        </w:rPr>
      </w:pPr>
      <w:r w:rsidRPr="004628FD">
        <w:rPr>
          <w:rFonts w:ascii="Palatino Linotype" w:eastAsia="Palatino Linotype" w:hAnsi="Palatino Linotype" w:cs="Palatino Linotype"/>
          <w:b/>
          <w:sz w:val="22"/>
          <w:szCs w:val="22"/>
        </w:rPr>
        <w:lastRenderedPageBreak/>
        <w:t xml:space="preserve">Acto impugnado: </w:t>
      </w:r>
    </w:p>
    <w:p w14:paraId="54169931" w14:textId="7B9C8DFC" w:rsidR="00C8599E" w:rsidRPr="004628FD" w:rsidRDefault="00812BF1" w:rsidP="00B24180">
      <w:pPr>
        <w:tabs>
          <w:tab w:val="left" w:pos="2745"/>
        </w:tabs>
        <w:spacing w:before="240" w:after="240"/>
        <w:ind w:left="851" w:right="900"/>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w:t>
      </w:r>
      <w:r w:rsidR="00161E36" w:rsidRPr="004628FD">
        <w:rPr>
          <w:rFonts w:ascii="Palatino Linotype" w:eastAsia="Palatino Linotype" w:hAnsi="Palatino Linotype" w:cs="Palatino Linotype"/>
          <w:i/>
          <w:sz w:val="22"/>
          <w:szCs w:val="22"/>
        </w:rPr>
        <w:t>LA TITULAR DE TRANPARENCIA MANUFIESTA QUE: "...no requiere algún documento especifico, como lo manifiesta el artículo 3 fracción XI de la Ley de Transparencia y Acceso a la Información Pública del Estado de México y Municipios..." PERO ES CLARO QUE SOLICITE cuantas reuniones, talleres, seminarios, cursos a tomado la contralora municipal en razón de obtener las actitudes, habilidades y conocimientos necesarios ... PARA EL CUMPLIMIENTO DE SUS FUNCIONES</w:t>
      </w:r>
      <w:r w:rsidRPr="004628FD">
        <w:rPr>
          <w:rFonts w:ascii="Palatino Linotype" w:eastAsia="Palatino Linotype" w:hAnsi="Palatino Linotype" w:cs="Palatino Linotype"/>
          <w:i/>
          <w:sz w:val="22"/>
          <w:szCs w:val="22"/>
        </w:rPr>
        <w:t>” (sic)</w:t>
      </w:r>
    </w:p>
    <w:p w14:paraId="01FFCB24" w14:textId="77777777" w:rsidR="00C8599E" w:rsidRPr="004628FD" w:rsidRDefault="00812BF1" w:rsidP="00B24180">
      <w:pPr>
        <w:spacing w:line="360" w:lineRule="auto"/>
        <w:jc w:val="both"/>
        <w:rPr>
          <w:rFonts w:ascii="Palatino Linotype" w:eastAsia="Palatino Linotype" w:hAnsi="Palatino Linotype" w:cs="Palatino Linotype"/>
          <w:sz w:val="22"/>
          <w:szCs w:val="22"/>
        </w:rPr>
      </w:pPr>
      <w:bookmarkStart w:id="4" w:name="_heading=h.30j0zll" w:colFirst="0" w:colLast="0"/>
      <w:bookmarkEnd w:id="4"/>
      <w:r w:rsidRPr="004628FD">
        <w:rPr>
          <w:rFonts w:ascii="Palatino Linotype" w:eastAsia="Palatino Linotype" w:hAnsi="Palatino Linotype" w:cs="Palatino Linotype"/>
          <w:b/>
          <w:sz w:val="22"/>
          <w:szCs w:val="22"/>
        </w:rPr>
        <w:t>Y, Razones o motivos de inconformidad</w:t>
      </w:r>
      <w:r w:rsidRPr="004628FD">
        <w:rPr>
          <w:rFonts w:ascii="Palatino Linotype" w:eastAsia="Palatino Linotype" w:hAnsi="Palatino Linotype" w:cs="Palatino Linotype"/>
          <w:sz w:val="22"/>
          <w:szCs w:val="22"/>
        </w:rPr>
        <w:t>:</w:t>
      </w:r>
    </w:p>
    <w:p w14:paraId="4D20CB7D" w14:textId="45592B7D" w:rsidR="00C8599E" w:rsidRPr="004628FD" w:rsidRDefault="00812BF1" w:rsidP="00B24180">
      <w:pPr>
        <w:tabs>
          <w:tab w:val="left" w:pos="2745"/>
        </w:tabs>
        <w:spacing w:before="240" w:after="240"/>
        <w:ind w:left="851" w:right="900"/>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w:t>
      </w:r>
      <w:r w:rsidR="00161E36" w:rsidRPr="004628FD">
        <w:rPr>
          <w:rFonts w:ascii="Palatino Linotype" w:eastAsia="Palatino Linotype" w:hAnsi="Palatino Linotype" w:cs="Palatino Linotype"/>
          <w:i/>
          <w:sz w:val="22"/>
          <w:szCs w:val="22"/>
        </w:rPr>
        <w:t xml:space="preserve">solicito saber </w:t>
      </w:r>
      <w:proofErr w:type="spellStart"/>
      <w:r w:rsidR="00161E36" w:rsidRPr="004628FD">
        <w:rPr>
          <w:rFonts w:ascii="Palatino Linotype" w:eastAsia="Palatino Linotype" w:hAnsi="Palatino Linotype" w:cs="Palatino Linotype"/>
          <w:i/>
          <w:sz w:val="22"/>
          <w:szCs w:val="22"/>
        </w:rPr>
        <w:t>cuantas</w:t>
      </w:r>
      <w:proofErr w:type="spellEnd"/>
      <w:r w:rsidR="00161E36" w:rsidRPr="004628FD">
        <w:rPr>
          <w:rFonts w:ascii="Palatino Linotype" w:eastAsia="Palatino Linotype" w:hAnsi="Palatino Linotype" w:cs="Palatino Linotype"/>
          <w:i/>
          <w:sz w:val="22"/>
          <w:szCs w:val="22"/>
        </w:rPr>
        <w:t xml:space="preserve"> reuniones, talleres, seminarios, cursos a tomado la contralora municipal en razón de obtener las actitudes, habilidades y conocimientos necesarios para Coordinarse con la Auditoría Superior de la Federación, el Órgano Superior de Fiscalización del Estado de México (OSFEM), la Contraloría del Poder Legislativo, la Secretaría de la Contraloría del Gobierno del Estado de México, la Fiscalía Especializada en Combate a la Corrupción, el Tribunal de Justicia Administrativa del Estado de México, el Comité Coordinador del Sistema Municipal Anticorrupción, el Comité de Participación Ciudadana Municipal del Sistema Municipal Anticorrupción y otros entes fiscalizadores de carácter </w:t>
      </w:r>
      <w:proofErr w:type="spellStart"/>
      <w:r w:rsidR="00161E36" w:rsidRPr="004628FD">
        <w:rPr>
          <w:rFonts w:ascii="Palatino Linotype" w:eastAsia="Palatino Linotype" w:hAnsi="Palatino Linotype" w:cs="Palatino Linotype"/>
          <w:i/>
          <w:sz w:val="22"/>
          <w:szCs w:val="22"/>
        </w:rPr>
        <w:t>federaly</w:t>
      </w:r>
      <w:proofErr w:type="spellEnd"/>
      <w:r w:rsidR="00161E36" w:rsidRPr="004628FD">
        <w:rPr>
          <w:rFonts w:ascii="Palatino Linotype" w:eastAsia="Palatino Linotype" w:hAnsi="Palatino Linotype" w:cs="Palatino Linotype"/>
          <w:i/>
          <w:sz w:val="22"/>
          <w:szCs w:val="22"/>
        </w:rPr>
        <w:t xml:space="preserve"> estatal, para el cumplimiento de sus funciones;</w:t>
      </w:r>
      <w:r w:rsidRPr="004628FD">
        <w:rPr>
          <w:rFonts w:ascii="Palatino Linotype" w:eastAsia="Palatino Linotype" w:hAnsi="Palatino Linotype" w:cs="Palatino Linotype"/>
          <w:i/>
          <w:sz w:val="22"/>
          <w:szCs w:val="22"/>
        </w:rPr>
        <w:t>” (sic)</w:t>
      </w:r>
    </w:p>
    <w:p w14:paraId="7E2B6914" w14:textId="77777777" w:rsidR="00C8599E" w:rsidRPr="004628FD" w:rsidRDefault="00812BF1" w:rsidP="00B24180">
      <w:pPr>
        <w:spacing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b/>
          <w:sz w:val="22"/>
          <w:szCs w:val="22"/>
        </w:rPr>
        <w:t xml:space="preserve">4. Turno. </w:t>
      </w:r>
      <w:r w:rsidRPr="004628FD">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628FD">
        <w:rPr>
          <w:rFonts w:ascii="Palatino Linotype" w:eastAsia="Palatino Linotype" w:hAnsi="Palatino Linotype" w:cs="Palatino Linotype"/>
          <w:b/>
          <w:sz w:val="22"/>
          <w:szCs w:val="22"/>
        </w:rPr>
        <w:t xml:space="preserve">Guadalupe Ramírez Peña, </w:t>
      </w:r>
      <w:r w:rsidRPr="004628FD">
        <w:rPr>
          <w:rFonts w:ascii="Palatino Linotype" w:eastAsia="Palatino Linotype" w:hAnsi="Palatino Linotype" w:cs="Palatino Linotype"/>
          <w:sz w:val="22"/>
          <w:szCs w:val="22"/>
        </w:rPr>
        <w:t xml:space="preserve">a efecto de que analizara sobre su admisión o su </w:t>
      </w:r>
      <w:proofErr w:type="spellStart"/>
      <w:r w:rsidRPr="004628FD">
        <w:rPr>
          <w:rFonts w:ascii="Palatino Linotype" w:eastAsia="Palatino Linotype" w:hAnsi="Palatino Linotype" w:cs="Palatino Linotype"/>
          <w:sz w:val="22"/>
          <w:szCs w:val="22"/>
        </w:rPr>
        <w:t>desechamiento</w:t>
      </w:r>
      <w:proofErr w:type="spellEnd"/>
      <w:r w:rsidRPr="004628FD">
        <w:rPr>
          <w:rFonts w:ascii="Palatino Linotype" w:eastAsia="Palatino Linotype" w:hAnsi="Palatino Linotype" w:cs="Palatino Linotype"/>
          <w:sz w:val="22"/>
          <w:szCs w:val="22"/>
        </w:rPr>
        <w:t>.</w:t>
      </w:r>
    </w:p>
    <w:p w14:paraId="626B1FF8" w14:textId="35FD0CFA" w:rsidR="00C8599E" w:rsidRPr="004628FD" w:rsidRDefault="00812BF1" w:rsidP="00B24180">
      <w:pPr>
        <w:spacing w:before="240" w:after="240" w:line="360" w:lineRule="auto"/>
        <w:jc w:val="both"/>
        <w:rPr>
          <w:rFonts w:ascii="Palatino Linotype" w:eastAsia="Palatino Linotype" w:hAnsi="Palatino Linotype" w:cs="Palatino Linotype"/>
          <w:b/>
          <w:sz w:val="22"/>
          <w:szCs w:val="22"/>
        </w:rPr>
      </w:pPr>
      <w:r w:rsidRPr="004628FD">
        <w:rPr>
          <w:rFonts w:ascii="Palatino Linotype" w:eastAsia="Palatino Linotype" w:hAnsi="Palatino Linotype" w:cs="Palatino Linotype"/>
          <w:b/>
          <w:sz w:val="22"/>
          <w:szCs w:val="22"/>
        </w:rPr>
        <w:t>5. Admisión del Recurso de revisión.</w:t>
      </w:r>
      <w:r w:rsidRPr="004628FD">
        <w:rPr>
          <w:rFonts w:ascii="Palatino Linotype" w:eastAsia="Palatino Linotype" w:hAnsi="Palatino Linotype" w:cs="Palatino Linotype"/>
          <w:sz w:val="22"/>
          <w:szCs w:val="22"/>
        </w:rPr>
        <w:t xml:space="preserve"> El</w:t>
      </w:r>
      <w:r w:rsidRPr="004628FD">
        <w:rPr>
          <w:rFonts w:ascii="Palatino Linotype" w:eastAsia="Palatino Linotype" w:hAnsi="Palatino Linotype" w:cs="Palatino Linotype"/>
          <w:b/>
          <w:sz w:val="22"/>
          <w:szCs w:val="22"/>
        </w:rPr>
        <w:t xml:space="preserve"> </w:t>
      </w:r>
      <w:r w:rsidR="00C536D8" w:rsidRPr="004628FD">
        <w:rPr>
          <w:rFonts w:ascii="Palatino Linotype" w:eastAsia="Palatino Linotype" w:hAnsi="Palatino Linotype" w:cs="Palatino Linotype"/>
          <w:b/>
          <w:sz w:val="22"/>
          <w:szCs w:val="22"/>
        </w:rPr>
        <w:t xml:space="preserve">veinticuatro de </w:t>
      </w:r>
      <w:r w:rsidR="00D922DE" w:rsidRPr="004628FD">
        <w:rPr>
          <w:rFonts w:ascii="Palatino Linotype" w:eastAsia="Palatino Linotype" w:hAnsi="Palatino Linotype" w:cs="Palatino Linotype"/>
          <w:b/>
          <w:sz w:val="22"/>
          <w:szCs w:val="22"/>
        </w:rPr>
        <w:t>junio</w:t>
      </w:r>
      <w:r w:rsidRPr="004628FD">
        <w:rPr>
          <w:rFonts w:ascii="Palatino Linotype" w:eastAsia="Palatino Linotype" w:hAnsi="Palatino Linotype" w:cs="Palatino Linotype"/>
          <w:b/>
          <w:sz w:val="22"/>
          <w:szCs w:val="22"/>
        </w:rPr>
        <w:t xml:space="preserve"> de dos mil veinticinco, </w:t>
      </w:r>
      <w:r w:rsidRPr="004628FD">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628FD">
        <w:rPr>
          <w:rFonts w:ascii="Palatino Linotype" w:eastAsia="Palatino Linotype" w:hAnsi="Palatino Linotype" w:cs="Palatino Linotype"/>
          <w:b/>
          <w:sz w:val="22"/>
          <w:szCs w:val="22"/>
        </w:rPr>
        <w:t xml:space="preserve">Sujeto Obligado </w:t>
      </w:r>
      <w:r w:rsidRPr="004628FD">
        <w:rPr>
          <w:rFonts w:ascii="Palatino Linotype" w:eastAsia="Palatino Linotype" w:hAnsi="Palatino Linotype" w:cs="Palatino Linotype"/>
          <w:sz w:val="22"/>
          <w:szCs w:val="22"/>
        </w:rPr>
        <w:t>presentara su informe justificado.</w:t>
      </w:r>
    </w:p>
    <w:p w14:paraId="4E62E336" w14:textId="39DD902B" w:rsidR="00C536D8" w:rsidRPr="004628FD" w:rsidRDefault="00812BF1" w:rsidP="00C536D8">
      <w:pPr>
        <w:spacing w:before="240" w:after="240" w:line="360" w:lineRule="auto"/>
        <w:jc w:val="both"/>
        <w:rPr>
          <w:rFonts w:ascii="Palatino Linotype" w:eastAsia="Palatino Linotype" w:hAnsi="Palatino Linotype" w:cs="Palatino Linotype"/>
          <w:sz w:val="22"/>
          <w:szCs w:val="22"/>
        </w:rPr>
      </w:pPr>
      <w:bookmarkStart w:id="5" w:name="_heading=h.2s8eyo1" w:colFirst="0" w:colLast="0"/>
      <w:bookmarkEnd w:id="5"/>
      <w:r w:rsidRPr="004628FD">
        <w:rPr>
          <w:rFonts w:ascii="Palatino Linotype" w:eastAsia="Palatino Linotype" w:hAnsi="Palatino Linotype" w:cs="Palatino Linotype"/>
          <w:b/>
          <w:sz w:val="22"/>
          <w:szCs w:val="22"/>
        </w:rPr>
        <w:t>6. Manifestaciones</w:t>
      </w:r>
      <w:r w:rsidRPr="004628FD">
        <w:rPr>
          <w:rFonts w:ascii="Palatino Linotype" w:eastAsia="Palatino Linotype" w:hAnsi="Palatino Linotype" w:cs="Palatino Linotype"/>
          <w:sz w:val="22"/>
          <w:szCs w:val="22"/>
        </w:rPr>
        <w:t xml:space="preserve">. </w:t>
      </w:r>
      <w:r w:rsidR="00C536D8" w:rsidRPr="004628FD">
        <w:rPr>
          <w:rFonts w:ascii="Palatino Linotype" w:eastAsia="Palatino Linotype" w:hAnsi="Palatino Linotype" w:cs="Palatino Linotype"/>
          <w:sz w:val="22"/>
          <w:szCs w:val="22"/>
        </w:rPr>
        <w:t xml:space="preserve">El </w:t>
      </w:r>
      <w:r w:rsidR="0053319D" w:rsidRPr="004628FD">
        <w:rPr>
          <w:rFonts w:ascii="Palatino Linotype" w:eastAsia="Palatino Linotype" w:hAnsi="Palatino Linotype" w:cs="Palatino Linotype"/>
          <w:b/>
          <w:sz w:val="22"/>
          <w:szCs w:val="22"/>
        </w:rPr>
        <w:t>treinta</w:t>
      </w:r>
      <w:r w:rsidR="00C536D8" w:rsidRPr="004628FD">
        <w:rPr>
          <w:rFonts w:ascii="Palatino Linotype" w:eastAsia="Palatino Linotype" w:hAnsi="Palatino Linotype" w:cs="Palatino Linotype"/>
          <w:b/>
          <w:sz w:val="22"/>
          <w:szCs w:val="22"/>
        </w:rPr>
        <w:t xml:space="preserve"> de junio de dos mil veinticinco</w:t>
      </w:r>
      <w:r w:rsidR="00C536D8" w:rsidRPr="004628FD">
        <w:rPr>
          <w:rFonts w:ascii="Palatino Linotype" w:eastAsia="Palatino Linotype" w:hAnsi="Palatino Linotype" w:cs="Palatino Linotype"/>
          <w:sz w:val="22"/>
          <w:szCs w:val="22"/>
        </w:rPr>
        <w:t xml:space="preserve">, el </w:t>
      </w:r>
      <w:r w:rsidR="00C536D8" w:rsidRPr="004628FD">
        <w:rPr>
          <w:rFonts w:ascii="Palatino Linotype" w:eastAsia="Palatino Linotype" w:hAnsi="Palatino Linotype" w:cs="Palatino Linotype"/>
          <w:b/>
          <w:sz w:val="22"/>
          <w:szCs w:val="22"/>
        </w:rPr>
        <w:t>Sujeto Obligado</w:t>
      </w:r>
      <w:r w:rsidR="00C536D8" w:rsidRPr="004628FD">
        <w:rPr>
          <w:rFonts w:ascii="Palatino Linotype" w:eastAsia="Palatino Linotype" w:hAnsi="Palatino Linotype" w:cs="Palatino Linotype"/>
          <w:sz w:val="22"/>
          <w:szCs w:val="22"/>
        </w:rPr>
        <w:t xml:space="preserve"> remitió, a través del SAIMEX, el oficio </w:t>
      </w:r>
      <w:r w:rsidR="00C536D8" w:rsidRPr="004628FD">
        <w:rPr>
          <w:rFonts w:ascii="Palatino Linotype" w:hAnsi="Palatino Linotype"/>
          <w:sz w:val="22"/>
          <w:szCs w:val="22"/>
        </w:rPr>
        <w:t xml:space="preserve">PM/CUT/968/2025, en el que se refiere que la Coordinación de Transparencia notificó que no se daba curso a la solicitud, cabe señalar que el oficio se entregó incompleto, sin embargo, </w:t>
      </w:r>
      <w:r w:rsidR="00C536D8" w:rsidRPr="004628FD">
        <w:rPr>
          <w:rFonts w:ascii="Palatino Linotype" w:eastAsia="Palatino Linotype" w:hAnsi="Palatino Linotype" w:cs="Palatino Linotype"/>
          <w:sz w:val="22"/>
          <w:szCs w:val="22"/>
        </w:rPr>
        <w:t>se hizo del conocimiento de la persona solicitante a efecto de que manifestara lo que a su derecho estimara conveniente, siendo omisa en ejercer dicha prerrogativa.</w:t>
      </w:r>
    </w:p>
    <w:p w14:paraId="4E0E4FAB" w14:textId="6045E406"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b/>
          <w:sz w:val="22"/>
          <w:szCs w:val="22"/>
        </w:rPr>
        <w:t xml:space="preserve">7. Cierre de instrucción. </w:t>
      </w:r>
      <w:r w:rsidRPr="004628F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C536D8" w:rsidRPr="004628FD">
        <w:rPr>
          <w:rFonts w:ascii="Palatino Linotype" w:eastAsia="Palatino Linotype" w:hAnsi="Palatino Linotype" w:cs="Palatino Linotype"/>
          <w:b/>
          <w:sz w:val="22"/>
          <w:szCs w:val="22"/>
        </w:rPr>
        <w:t xml:space="preserve">siete de octubre </w:t>
      </w:r>
      <w:r w:rsidRPr="004628FD">
        <w:rPr>
          <w:rFonts w:ascii="Palatino Linotype" w:eastAsia="Palatino Linotype" w:hAnsi="Palatino Linotype" w:cs="Palatino Linotype"/>
          <w:b/>
          <w:sz w:val="22"/>
          <w:szCs w:val="22"/>
        </w:rPr>
        <w:t>de dos mil veinticinco</w:t>
      </w:r>
      <w:r w:rsidRPr="004628F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61332CF" w14:textId="7D4493E8" w:rsidR="00C8599E" w:rsidRPr="004628FD" w:rsidRDefault="00812BF1" w:rsidP="00B24180">
      <w:pPr>
        <w:spacing w:before="240" w:after="240" w:line="360" w:lineRule="auto"/>
        <w:jc w:val="both"/>
        <w:rPr>
          <w:rFonts w:ascii="Palatino Linotype" w:eastAsia="Palatino Linotype" w:hAnsi="Palatino Linotype" w:cs="Palatino Linotype"/>
          <w:b/>
          <w:sz w:val="22"/>
          <w:szCs w:val="22"/>
        </w:rPr>
      </w:pPr>
      <w:r w:rsidRPr="004628FD">
        <w:rPr>
          <w:rFonts w:ascii="Palatino Linotype" w:eastAsia="Palatino Linotype" w:hAnsi="Palatino Linotype" w:cs="Palatino Linotype"/>
          <w:b/>
          <w:sz w:val="22"/>
          <w:szCs w:val="22"/>
        </w:rPr>
        <w:t>8</w:t>
      </w:r>
      <w:r w:rsidRPr="004628FD">
        <w:rPr>
          <w:rFonts w:ascii="Palatino Linotype" w:eastAsia="Palatino Linotype" w:hAnsi="Palatino Linotype" w:cs="Palatino Linotype"/>
          <w:sz w:val="22"/>
          <w:szCs w:val="22"/>
        </w:rPr>
        <w:t xml:space="preserve">. </w:t>
      </w:r>
      <w:r w:rsidRPr="004628FD">
        <w:rPr>
          <w:rFonts w:ascii="Palatino Linotype" w:eastAsia="Palatino Linotype" w:hAnsi="Palatino Linotype" w:cs="Palatino Linotype"/>
          <w:b/>
          <w:sz w:val="22"/>
          <w:szCs w:val="22"/>
        </w:rPr>
        <w:t>Ampliación del término para resolver</w:t>
      </w:r>
      <w:r w:rsidRPr="004628FD">
        <w:rPr>
          <w:rFonts w:ascii="Palatino Linotype" w:eastAsia="Palatino Linotype" w:hAnsi="Palatino Linotype" w:cs="Palatino Linotype"/>
          <w:sz w:val="22"/>
          <w:szCs w:val="22"/>
        </w:rPr>
        <w:t xml:space="preserve">. El </w:t>
      </w:r>
      <w:r w:rsidR="00B87048" w:rsidRPr="004628FD">
        <w:rPr>
          <w:rFonts w:ascii="Palatino Linotype" w:eastAsia="Palatino Linotype" w:hAnsi="Palatino Linotype" w:cs="Palatino Linotype"/>
          <w:b/>
          <w:sz w:val="22"/>
          <w:szCs w:val="22"/>
        </w:rPr>
        <w:t>siete de octubre de dos mil veinticinco</w:t>
      </w:r>
      <w:r w:rsidRPr="004628FD">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7990E0F3"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612BB7E"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7AFBC4B"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D77C31"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4C40957" w14:textId="77777777" w:rsidR="00C8599E" w:rsidRPr="004628FD" w:rsidRDefault="00812BF1" w:rsidP="00B24180">
      <w:pPr>
        <w:spacing w:before="240" w:after="240" w:line="360" w:lineRule="auto"/>
        <w:jc w:val="both"/>
        <w:rPr>
          <w:rFonts w:ascii="Palatino Linotype" w:eastAsia="Palatino Linotype" w:hAnsi="Palatino Linotype" w:cs="Palatino Linotype"/>
          <w:strike/>
          <w:sz w:val="22"/>
          <w:szCs w:val="22"/>
        </w:rPr>
      </w:pPr>
      <w:r w:rsidRPr="004628FD">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FA72885" w14:textId="77777777" w:rsidR="00C8599E" w:rsidRPr="004628FD" w:rsidRDefault="00812BF1" w:rsidP="00B24180">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ACA4EF5" w14:textId="77777777" w:rsidR="00C8599E" w:rsidRPr="004628FD" w:rsidRDefault="00812BF1" w:rsidP="00B24180">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Actividad Procesal del interesado. Acciones u omisiones del interesado.</w:t>
      </w:r>
    </w:p>
    <w:p w14:paraId="1E43E246" w14:textId="77777777" w:rsidR="00C8599E" w:rsidRPr="004628FD" w:rsidRDefault="00812BF1" w:rsidP="00B24180">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2D4C6608" w14:textId="77777777" w:rsidR="00C8599E" w:rsidRPr="004628FD" w:rsidRDefault="00812BF1" w:rsidP="00B24180">
      <w:pPr>
        <w:tabs>
          <w:tab w:val="left" w:pos="567"/>
        </w:tabs>
        <w:spacing w:before="240" w:after="240" w:line="360" w:lineRule="auto"/>
        <w:ind w:left="284"/>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66F30923"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4B26174" w14:textId="77777777" w:rsidR="00C8599E" w:rsidRPr="004628FD" w:rsidRDefault="00812BF1" w:rsidP="00B24180">
      <w:pPr>
        <w:spacing w:before="240" w:after="240" w:line="360" w:lineRule="auto"/>
        <w:jc w:val="both"/>
        <w:rPr>
          <w:rFonts w:ascii="Palatino Linotype" w:eastAsia="Palatino Linotype" w:hAnsi="Palatino Linotype" w:cs="Palatino Linotype"/>
          <w:b/>
          <w:sz w:val="22"/>
          <w:szCs w:val="22"/>
        </w:rPr>
      </w:pPr>
      <w:r w:rsidRPr="004628FD">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4628FD">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4628FD">
        <w:rPr>
          <w:rFonts w:ascii="Palatino Linotype" w:eastAsia="Palatino Linotype" w:hAnsi="Palatino Linotype" w:cs="Palatino Linotype"/>
          <w:sz w:val="22"/>
          <w:szCs w:val="22"/>
        </w:rPr>
        <w:t>, visible en la Gaceta del Seminario Judicial de la Federación con el registro digital 205635.</w:t>
      </w:r>
    </w:p>
    <w:p w14:paraId="1A515B89"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E3159AE"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64A49EC" w14:textId="77777777" w:rsidR="00C8599E" w:rsidRPr="004628FD" w:rsidRDefault="00812BF1" w:rsidP="00B24180">
      <w:pPr>
        <w:spacing w:before="120" w:after="120"/>
        <w:ind w:left="851" w:right="902"/>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 </w:t>
      </w:r>
      <w:r w:rsidRPr="004628FD">
        <w:rPr>
          <w:rFonts w:ascii="Palatino Linotype" w:eastAsia="Palatino Linotype" w:hAnsi="Palatino Linotype" w:cs="Palatino Linotype"/>
          <w:i/>
          <w:sz w:val="22"/>
          <w:szCs w:val="22"/>
        </w:rPr>
        <w:t>“</w:t>
      </w:r>
      <w:r w:rsidRPr="004628FD">
        <w:rPr>
          <w:rFonts w:ascii="Palatino Linotype" w:eastAsia="Palatino Linotype" w:hAnsi="Palatino Linotype" w:cs="Palatino Linotype"/>
          <w:b/>
          <w:i/>
          <w:sz w:val="22"/>
          <w:szCs w:val="22"/>
        </w:rPr>
        <w:t>PLAZO RAZONABLE PARA RESOLVER. DIMENSIÓN Y EFECTOS DE ESTE CONCEPTO CUANDO SE ADUCE EXCESIVA CARGA DE TRABAJO</w:t>
      </w:r>
      <w:r w:rsidRPr="004628FD">
        <w:rPr>
          <w:rFonts w:ascii="Palatino Linotype" w:eastAsia="Palatino Linotype" w:hAnsi="Palatino Linotype" w:cs="Palatino Linotype"/>
          <w:i/>
          <w:sz w:val="22"/>
          <w:szCs w:val="22"/>
        </w:rPr>
        <w:t>.”</w:t>
      </w:r>
      <w:r w:rsidRPr="004628FD">
        <w:rPr>
          <w:rFonts w:ascii="Palatino Linotype" w:eastAsia="Palatino Linotype" w:hAnsi="Palatino Linotype" w:cs="Palatino Linotype"/>
          <w:sz w:val="22"/>
          <w:szCs w:val="22"/>
        </w:rPr>
        <w:t xml:space="preserve"> consultable en el Seminario Judicial de la Federación y su gaceta, con el registro digital 2002351.</w:t>
      </w:r>
    </w:p>
    <w:p w14:paraId="6B0290D0" w14:textId="77777777" w:rsidR="00C8599E" w:rsidRPr="004628FD" w:rsidRDefault="00812BF1" w:rsidP="00B24180">
      <w:pPr>
        <w:spacing w:before="120" w:after="120"/>
        <w:ind w:left="851" w:right="902"/>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i/>
          <w:sz w:val="22"/>
          <w:szCs w:val="22"/>
        </w:rPr>
        <w:t>“</w:t>
      </w:r>
      <w:r w:rsidRPr="004628FD">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4628FD">
        <w:rPr>
          <w:rFonts w:ascii="Palatino Linotype" w:eastAsia="Palatino Linotype" w:hAnsi="Palatino Linotype" w:cs="Palatino Linotype"/>
          <w:i/>
          <w:sz w:val="22"/>
          <w:szCs w:val="22"/>
        </w:rPr>
        <w:t>.”</w:t>
      </w:r>
      <w:r w:rsidRPr="004628FD">
        <w:rPr>
          <w:rFonts w:ascii="Palatino Linotype" w:eastAsia="Palatino Linotype" w:hAnsi="Palatino Linotype" w:cs="Palatino Linotype"/>
          <w:sz w:val="22"/>
          <w:szCs w:val="22"/>
        </w:rPr>
        <w:t>, visible en el Seminario Judicial de la Federación y su gaceta, con el registro digital 2002350.</w:t>
      </w:r>
    </w:p>
    <w:p w14:paraId="5C7A7099"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603E934B"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BA58BCC" w14:textId="77777777" w:rsidR="00C8599E" w:rsidRPr="004628FD" w:rsidRDefault="00812BF1" w:rsidP="00B24180">
      <w:pPr>
        <w:widowControl w:val="0"/>
        <w:spacing w:before="240" w:after="240" w:line="360" w:lineRule="auto"/>
        <w:jc w:val="center"/>
        <w:rPr>
          <w:rFonts w:ascii="Palatino Linotype" w:eastAsia="Palatino Linotype" w:hAnsi="Palatino Linotype" w:cs="Palatino Linotype"/>
          <w:b/>
          <w:sz w:val="22"/>
          <w:szCs w:val="22"/>
        </w:rPr>
      </w:pPr>
      <w:r w:rsidRPr="004628FD">
        <w:rPr>
          <w:rFonts w:ascii="Palatino Linotype" w:eastAsia="Palatino Linotype" w:hAnsi="Palatino Linotype" w:cs="Palatino Linotype"/>
          <w:b/>
          <w:sz w:val="22"/>
          <w:szCs w:val="22"/>
        </w:rPr>
        <w:t>II. C O N S I D E R A N D O S</w:t>
      </w:r>
    </w:p>
    <w:p w14:paraId="78F0EBFF"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b/>
          <w:sz w:val="22"/>
          <w:szCs w:val="22"/>
        </w:rPr>
        <w:t>Primero. Competencia.</w:t>
      </w:r>
      <w:r w:rsidRPr="004628F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D9A7C23"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4628FD">
        <w:rPr>
          <w:rFonts w:ascii="Palatino Linotype" w:eastAsia="Palatino Linotype" w:hAnsi="Palatino Linotype" w:cs="Palatino Linotype"/>
          <w:b/>
          <w:sz w:val="22"/>
          <w:szCs w:val="22"/>
        </w:rPr>
        <w:t>Segundo. Oportunidad y Procedibilidad del Recurso de Revisión</w:t>
      </w:r>
      <w:r w:rsidRPr="004628FD">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A993723" w14:textId="3CFAF0E6"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4628FD">
        <w:rPr>
          <w:rFonts w:ascii="Palatino Linotype" w:eastAsia="Palatino Linotype" w:hAnsi="Palatino Linotype" w:cs="Palatino Linotype"/>
          <w:b/>
          <w:sz w:val="22"/>
          <w:szCs w:val="22"/>
        </w:rPr>
        <w:t xml:space="preserve">Sujeto Obligado </w:t>
      </w:r>
      <w:r w:rsidRPr="004628FD">
        <w:rPr>
          <w:rFonts w:ascii="Palatino Linotype" w:eastAsia="Palatino Linotype" w:hAnsi="Palatino Linotype" w:cs="Palatino Linotype"/>
          <w:sz w:val="22"/>
          <w:szCs w:val="22"/>
        </w:rPr>
        <w:t xml:space="preserve">remitió la respuesta a la solicitud de información el día </w:t>
      </w:r>
      <w:r w:rsidR="00CA3D09" w:rsidRPr="004628FD">
        <w:rPr>
          <w:rFonts w:ascii="Palatino Linotype" w:eastAsia="Palatino Linotype" w:hAnsi="Palatino Linotype" w:cs="Palatino Linotype"/>
          <w:b/>
          <w:sz w:val="22"/>
          <w:szCs w:val="22"/>
        </w:rPr>
        <w:t xml:space="preserve">dieciocho de junio </w:t>
      </w:r>
      <w:r w:rsidR="001614A0" w:rsidRPr="004628FD">
        <w:rPr>
          <w:rFonts w:ascii="Palatino Linotype" w:eastAsia="Palatino Linotype" w:hAnsi="Palatino Linotype" w:cs="Palatino Linotype"/>
          <w:b/>
          <w:sz w:val="22"/>
          <w:szCs w:val="22"/>
        </w:rPr>
        <w:t>de dos mil veinticinco</w:t>
      </w:r>
      <w:r w:rsidRPr="004628FD">
        <w:rPr>
          <w:rFonts w:ascii="Palatino Linotype" w:eastAsia="Palatino Linotype" w:hAnsi="Palatino Linotype" w:cs="Palatino Linotype"/>
          <w:b/>
          <w:sz w:val="22"/>
          <w:szCs w:val="22"/>
        </w:rPr>
        <w:t xml:space="preserve">, </w:t>
      </w:r>
      <w:r w:rsidRPr="004628FD">
        <w:rPr>
          <w:rFonts w:ascii="Palatino Linotype" w:eastAsia="Palatino Linotype" w:hAnsi="Palatino Linotype" w:cs="Palatino Linotype"/>
          <w:sz w:val="22"/>
          <w:szCs w:val="22"/>
        </w:rPr>
        <w:t xml:space="preserve">mientras que el recurso de revisión interpuesto por la parte </w:t>
      </w:r>
      <w:r w:rsidRPr="004628FD">
        <w:rPr>
          <w:rFonts w:ascii="Palatino Linotype" w:eastAsia="Palatino Linotype" w:hAnsi="Palatino Linotype" w:cs="Palatino Linotype"/>
          <w:b/>
          <w:sz w:val="22"/>
          <w:szCs w:val="22"/>
        </w:rPr>
        <w:t xml:space="preserve">Recurrente, </w:t>
      </w:r>
      <w:r w:rsidRPr="004628FD">
        <w:rPr>
          <w:rFonts w:ascii="Palatino Linotype" w:eastAsia="Palatino Linotype" w:hAnsi="Palatino Linotype" w:cs="Palatino Linotype"/>
          <w:sz w:val="22"/>
          <w:szCs w:val="22"/>
        </w:rPr>
        <w:t>se tuvo por presentado el día</w:t>
      </w:r>
      <w:r w:rsidR="00AE7275" w:rsidRPr="004628FD">
        <w:rPr>
          <w:rFonts w:ascii="Palatino Linotype" w:eastAsia="Palatino Linotype" w:hAnsi="Palatino Linotype" w:cs="Palatino Linotype"/>
          <w:sz w:val="22"/>
          <w:szCs w:val="22"/>
        </w:rPr>
        <w:t xml:space="preserve"> </w:t>
      </w:r>
      <w:r w:rsidR="00CA3D09" w:rsidRPr="004628FD">
        <w:rPr>
          <w:rFonts w:ascii="Palatino Linotype" w:eastAsia="Palatino Linotype" w:hAnsi="Palatino Linotype" w:cs="Palatino Linotype"/>
          <w:b/>
          <w:sz w:val="22"/>
          <w:szCs w:val="22"/>
        </w:rPr>
        <w:t>diecinueve</w:t>
      </w:r>
      <w:r w:rsidR="00AE7275" w:rsidRPr="004628FD">
        <w:rPr>
          <w:rFonts w:ascii="Palatino Linotype" w:eastAsia="Palatino Linotype" w:hAnsi="Palatino Linotype" w:cs="Palatino Linotype"/>
          <w:b/>
          <w:sz w:val="22"/>
          <w:szCs w:val="22"/>
        </w:rPr>
        <w:t xml:space="preserve"> </w:t>
      </w:r>
      <w:r w:rsidR="001614A0" w:rsidRPr="004628FD">
        <w:rPr>
          <w:rFonts w:ascii="Palatino Linotype" w:eastAsia="Palatino Linotype" w:hAnsi="Palatino Linotype" w:cs="Palatino Linotype"/>
          <w:b/>
          <w:sz w:val="22"/>
          <w:szCs w:val="22"/>
        </w:rPr>
        <w:t>de junio de dos mil veinticinco</w:t>
      </w:r>
      <w:r w:rsidRPr="004628FD">
        <w:rPr>
          <w:rFonts w:ascii="Palatino Linotype" w:eastAsia="Palatino Linotype" w:hAnsi="Palatino Linotype" w:cs="Palatino Linotype"/>
          <w:b/>
          <w:sz w:val="22"/>
          <w:szCs w:val="22"/>
        </w:rPr>
        <w:t xml:space="preserve">, </w:t>
      </w:r>
      <w:r w:rsidRPr="004628FD">
        <w:rPr>
          <w:rFonts w:ascii="Palatino Linotype" w:eastAsia="Palatino Linotype" w:hAnsi="Palatino Linotype" w:cs="Palatino Linotype"/>
          <w:sz w:val="22"/>
          <w:szCs w:val="22"/>
        </w:rPr>
        <w:t xml:space="preserve">esto es, </w:t>
      </w:r>
      <w:r w:rsidR="00C3718E" w:rsidRPr="004628FD">
        <w:rPr>
          <w:rFonts w:ascii="Palatino Linotype" w:eastAsia="Palatino Linotype" w:hAnsi="Palatino Linotype" w:cs="Palatino Linotype"/>
          <w:sz w:val="22"/>
          <w:szCs w:val="22"/>
        </w:rPr>
        <w:t xml:space="preserve">al </w:t>
      </w:r>
      <w:r w:rsidR="00CA3D09" w:rsidRPr="004628FD">
        <w:rPr>
          <w:rFonts w:ascii="Palatino Linotype" w:eastAsia="Palatino Linotype" w:hAnsi="Palatino Linotype" w:cs="Palatino Linotype"/>
          <w:sz w:val="22"/>
          <w:szCs w:val="22"/>
        </w:rPr>
        <w:t>siguiente</w:t>
      </w:r>
      <w:r w:rsidR="00C3718E" w:rsidRPr="004628FD">
        <w:rPr>
          <w:rFonts w:ascii="Palatino Linotype" w:eastAsia="Palatino Linotype" w:hAnsi="Palatino Linotype" w:cs="Palatino Linotype"/>
          <w:sz w:val="22"/>
          <w:szCs w:val="22"/>
        </w:rPr>
        <w:t xml:space="preserve"> día</w:t>
      </w:r>
      <w:r w:rsidR="00CA3D09" w:rsidRPr="004628FD">
        <w:rPr>
          <w:rFonts w:ascii="Palatino Linotype" w:eastAsia="Palatino Linotype" w:hAnsi="Palatino Linotype" w:cs="Palatino Linotype"/>
          <w:sz w:val="22"/>
          <w:szCs w:val="22"/>
        </w:rPr>
        <w:t xml:space="preserve"> hábil posterior a aquel</w:t>
      </w:r>
      <w:r w:rsidR="00C3718E" w:rsidRPr="004628FD">
        <w:rPr>
          <w:rFonts w:ascii="Palatino Linotype" w:eastAsia="Palatino Linotype" w:hAnsi="Palatino Linotype" w:cs="Palatino Linotype"/>
          <w:sz w:val="22"/>
          <w:szCs w:val="22"/>
        </w:rPr>
        <w:t xml:space="preserve"> </w:t>
      </w:r>
      <w:r w:rsidR="00761E4F" w:rsidRPr="004628FD">
        <w:rPr>
          <w:rFonts w:ascii="Palatino Linotype" w:eastAsia="Palatino Linotype" w:hAnsi="Palatino Linotype" w:cs="Palatino Linotype"/>
          <w:sz w:val="22"/>
          <w:szCs w:val="22"/>
        </w:rPr>
        <w:t xml:space="preserve">en </w:t>
      </w:r>
      <w:r w:rsidR="00CA3D09" w:rsidRPr="004628FD">
        <w:rPr>
          <w:rFonts w:ascii="Palatino Linotype" w:eastAsia="Palatino Linotype" w:hAnsi="Palatino Linotype" w:cs="Palatino Linotype"/>
          <w:sz w:val="22"/>
          <w:szCs w:val="22"/>
        </w:rPr>
        <w:t xml:space="preserve">el </w:t>
      </w:r>
      <w:r w:rsidRPr="004628FD">
        <w:rPr>
          <w:rFonts w:ascii="Palatino Linotype" w:eastAsia="Palatino Linotype" w:hAnsi="Palatino Linotype" w:cs="Palatino Linotype"/>
          <w:sz w:val="22"/>
          <w:szCs w:val="22"/>
        </w:rPr>
        <w:t>que tuvo conocimiento de la respuesta impugnada. En este sentido, se concluye que el presente recurso de revisión se encuentra dentro de los márgenes temporales previstos en las disposiciones legales referidas.</w:t>
      </w:r>
    </w:p>
    <w:p w14:paraId="29A0EC24" w14:textId="60997DFA" w:rsidR="00C8599E" w:rsidRPr="004628FD" w:rsidRDefault="00812BF1" w:rsidP="00B24180">
      <w:pPr>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4628FD">
        <w:rPr>
          <w:rFonts w:ascii="Palatino Linotype" w:eastAsia="Palatino Linotype" w:hAnsi="Palatino Linotype" w:cs="Palatino Linotype"/>
          <w:sz w:val="22"/>
          <w:szCs w:val="22"/>
        </w:rPr>
        <w:t>Además, por cuanto hace a la procedibilidad del recurso de revisión, es de suma importancia señalar que la parte</w:t>
      </w:r>
      <w:r w:rsidRPr="004628FD">
        <w:rPr>
          <w:rFonts w:ascii="Palatino Linotype" w:eastAsia="Palatino Linotype" w:hAnsi="Palatino Linotype" w:cs="Palatino Linotype"/>
          <w:b/>
          <w:sz w:val="22"/>
          <w:szCs w:val="22"/>
        </w:rPr>
        <w:t xml:space="preserve"> Recurrente</w:t>
      </w:r>
      <w:r w:rsidRPr="004628FD">
        <w:rPr>
          <w:rFonts w:ascii="Palatino Linotype" w:eastAsia="Palatino Linotype" w:hAnsi="Palatino Linotype" w:cs="Palatino Linotype"/>
          <w:sz w:val="22"/>
          <w:szCs w:val="22"/>
        </w:rPr>
        <w:t xml:space="preserve">, </w:t>
      </w:r>
      <w:r w:rsidR="00C3718E" w:rsidRPr="004628FD">
        <w:rPr>
          <w:rFonts w:ascii="Palatino Linotype" w:eastAsia="Palatino Linotype" w:hAnsi="Palatino Linotype" w:cs="Palatino Linotype"/>
          <w:sz w:val="22"/>
          <w:szCs w:val="22"/>
        </w:rPr>
        <w:t xml:space="preserve">no </w:t>
      </w:r>
      <w:r w:rsidRPr="004628FD">
        <w:rPr>
          <w:rFonts w:ascii="Palatino Linotype" w:eastAsia="Palatino Linotype" w:hAnsi="Palatino Linotype" w:cs="Palatino Linotype"/>
          <w:sz w:val="22"/>
          <w:szCs w:val="22"/>
        </w:rPr>
        <w:t xml:space="preserve">señaló </w:t>
      </w:r>
      <w:r w:rsidR="00C3718E" w:rsidRPr="004628FD">
        <w:rPr>
          <w:rFonts w:ascii="Palatino Linotype" w:eastAsia="Palatino Linotype" w:hAnsi="Palatino Linotype" w:cs="Palatino Linotype"/>
          <w:sz w:val="22"/>
          <w:szCs w:val="22"/>
        </w:rPr>
        <w:t>nombre completo</w:t>
      </w:r>
      <w:r w:rsidRPr="004628FD">
        <w:rPr>
          <w:rFonts w:ascii="Palatino Linotype" w:eastAsia="Palatino Linotype" w:hAnsi="Palatino Linotype" w:cs="Palatino Linotype"/>
          <w:sz w:val="22"/>
          <w:szCs w:val="22"/>
        </w:rPr>
        <w:t>,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D8FE544" w14:textId="77777777" w:rsidR="00C8599E" w:rsidRPr="004628FD" w:rsidRDefault="00812BF1" w:rsidP="00B24180">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w:t>
      </w:r>
      <w:r w:rsidRPr="004628FD">
        <w:rPr>
          <w:rFonts w:ascii="Palatino Linotype" w:eastAsia="Palatino Linotype" w:hAnsi="Palatino Linotype" w:cs="Palatino Linotype"/>
          <w:b/>
          <w:i/>
          <w:sz w:val="22"/>
          <w:szCs w:val="22"/>
        </w:rPr>
        <w:t>Las solicitudes anónimas</w:t>
      </w:r>
      <w:r w:rsidRPr="004628FD">
        <w:rPr>
          <w:rFonts w:ascii="Palatino Linotype" w:eastAsia="Palatino Linotype" w:hAnsi="Palatino Linotype" w:cs="Palatino Linotype"/>
          <w:i/>
          <w:sz w:val="22"/>
          <w:szCs w:val="22"/>
        </w:rPr>
        <w:t xml:space="preserve">, con </w:t>
      </w:r>
      <w:r w:rsidRPr="004628FD">
        <w:rPr>
          <w:rFonts w:ascii="Palatino Linotype" w:eastAsia="Palatino Linotype" w:hAnsi="Palatino Linotype" w:cs="Palatino Linotype"/>
          <w:b/>
          <w:i/>
          <w:sz w:val="22"/>
          <w:szCs w:val="22"/>
        </w:rPr>
        <w:t>nombre incompleto o seudónimo</w:t>
      </w:r>
      <w:r w:rsidRPr="004628FD">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345B206B" w14:textId="77777777" w:rsidR="00C8599E" w:rsidRPr="004628FD" w:rsidRDefault="00812BF1" w:rsidP="00B24180">
      <w:pPr>
        <w:spacing w:before="240" w:after="240" w:line="360" w:lineRule="auto"/>
        <w:jc w:val="both"/>
        <w:rPr>
          <w:rFonts w:ascii="Palatino Linotype" w:eastAsia="Palatino Linotype" w:hAnsi="Palatino Linotype" w:cs="Palatino Linotype"/>
          <w:b/>
          <w:sz w:val="22"/>
          <w:szCs w:val="22"/>
        </w:rPr>
      </w:pPr>
      <w:r w:rsidRPr="004628FD">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4628FD">
        <w:rPr>
          <w:rFonts w:ascii="Palatino Linotype" w:eastAsia="Palatino Linotype" w:hAnsi="Palatino Linotype" w:cs="Palatino Linotype"/>
          <w:b/>
          <w:sz w:val="22"/>
          <w:szCs w:val="22"/>
        </w:rPr>
        <w:t xml:space="preserve"> SAIMEX.</w:t>
      </w:r>
    </w:p>
    <w:p w14:paraId="26F783FC" w14:textId="591BE80B"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4628FD">
        <w:rPr>
          <w:rFonts w:ascii="Palatino Linotype" w:eastAsia="Palatino Linotype" w:hAnsi="Palatino Linotype" w:cs="Palatino Linotype"/>
          <w:b/>
          <w:sz w:val="22"/>
          <w:szCs w:val="22"/>
        </w:rPr>
        <w:t>Recurrente</w:t>
      </w:r>
      <w:r w:rsidRPr="004628FD">
        <w:rPr>
          <w:rFonts w:ascii="Palatino Linotype" w:eastAsia="Palatino Linotype" w:hAnsi="Palatino Linotype" w:cs="Palatino Linotype"/>
          <w:sz w:val="22"/>
          <w:szCs w:val="22"/>
        </w:rPr>
        <w:t xml:space="preserve"> en sus motivos de inconformidad, de acuerdo al artículo 179, fracción </w:t>
      </w:r>
      <w:r w:rsidR="006044DA" w:rsidRPr="004628FD">
        <w:rPr>
          <w:rFonts w:ascii="Palatino Linotype" w:eastAsia="Palatino Linotype" w:hAnsi="Palatino Linotype" w:cs="Palatino Linotype"/>
          <w:sz w:val="22"/>
          <w:szCs w:val="22"/>
        </w:rPr>
        <w:t>I</w:t>
      </w:r>
      <w:r w:rsidRPr="004628FD">
        <w:rPr>
          <w:rFonts w:ascii="Palatino Linotype" w:eastAsia="Palatino Linotype" w:hAnsi="Palatino Linotype" w:cs="Palatino Linotype"/>
          <w:sz w:val="22"/>
          <w:szCs w:val="22"/>
        </w:rPr>
        <w:t xml:space="preserve"> del ordenamiento legal citado, que a la letra dice: </w:t>
      </w:r>
    </w:p>
    <w:p w14:paraId="102193EB" w14:textId="6AE22E45" w:rsidR="00C8599E" w:rsidRPr="004628FD" w:rsidRDefault="00812BF1" w:rsidP="00B24180">
      <w:pPr>
        <w:tabs>
          <w:tab w:val="left" w:pos="7938"/>
        </w:tabs>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w:t>
      </w:r>
      <w:r w:rsidRPr="004628FD">
        <w:rPr>
          <w:rFonts w:ascii="Palatino Linotype" w:eastAsia="Palatino Linotype" w:hAnsi="Palatino Linotype" w:cs="Palatino Linotype"/>
          <w:b/>
          <w:i/>
          <w:sz w:val="22"/>
          <w:szCs w:val="22"/>
        </w:rPr>
        <w:t>Artículo 179.</w:t>
      </w:r>
      <w:r w:rsidRPr="004628F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3344C9A" w14:textId="16872577" w:rsidR="00C8599E" w:rsidRPr="004628FD" w:rsidRDefault="006044DA" w:rsidP="00B24180">
      <w:pPr>
        <w:tabs>
          <w:tab w:val="left" w:pos="7938"/>
        </w:tabs>
        <w:spacing w:before="120" w:after="120"/>
        <w:ind w:left="1134" w:right="900"/>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 xml:space="preserve">I. </w:t>
      </w:r>
      <w:r w:rsidRPr="004628FD">
        <w:rPr>
          <w:rFonts w:ascii="Palatino Linotype" w:eastAsia="Palatino Linotype" w:hAnsi="Palatino Linotype" w:cs="Palatino Linotype"/>
          <w:bCs/>
          <w:i/>
          <w:sz w:val="22"/>
          <w:szCs w:val="22"/>
        </w:rPr>
        <w:t>La negativa a la información solicitada</w:t>
      </w:r>
      <w:r w:rsidR="00812BF1" w:rsidRPr="004628FD">
        <w:rPr>
          <w:rFonts w:ascii="Palatino Linotype" w:eastAsia="Palatino Linotype" w:hAnsi="Palatino Linotype" w:cs="Palatino Linotype"/>
          <w:i/>
          <w:sz w:val="22"/>
          <w:szCs w:val="22"/>
        </w:rPr>
        <w:t>;”</w:t>
      </w:r>
    </w:p>
    <w:p w14:paraId="386B980F" w14:textId="77777777" w:rsidR="00C8599E" w:rsidRPr="004628FD" w:rsidRDefault="00812BF1" w:rsidP="00B24180">
      <w:pPr>
        <w:spacing w:before="240" w:after="240" w:line="360" w:lineRule="auto"/>
        <w:jc w:val="both"/>
        <w:rPr>
          <w:rFonts w:ascii="Palatino Linotype" w:eastAsia="Palatino Linotype" w:hAnsi="Palatino Linotype" w:cs="Palatino Linotype"/>
          <w:b/>
          <w:sz w:val="22"/>
          <w:szCs w:val="22"/>
        </w:rPr>
      </w:pPr>
      <w:r w:rsidRPr="004628FD">
        <w:rPr>
          <w:rFonts w:ascii="Palatino Linotype" w:eastAsia="Palatino Linotype" w:hAnsi="Palatino Linotype" w:cs="Palatino Linotype"/>
          <w:b/>
          <w:sz w:val="22"/>
          <w:szCs w:val="22"/>
        </w:rPr>
        <w:t xml:space="preserve">Tercero. Materia de la revisión. </w:t>
      </w:r>
      <w:r w:rsidRPr="004628FD">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4628FD">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4628FD">
        <w:rPr>
          <w:rFonts w:ascii="Palatino Linotype" w:eastAsia="Palatino Linotype" w:hAnsi="Palatino Linotype" w:cs="Palatino Linotype"/>
          <w:sz w:val="22"/>
          <w:szCs w:val="22"/>
        </w:rPr>
        <w:t xml:space="preserve">de la parte </w:t>
      </w:r>
      <w:r w:rsidRPr="004628FD">
        <w:rPr>
          <w:rFonts w:ascii="Palatino Linotype" w:eastAsia="Palatino Linotype" w:hAnsi="Palatino Linotype" w:cs="Palatino Linotype"/>
          <w:b/>
          <w:sz w:val="22"/>
          <w:szCs w:val="22"/>
        </w:rPr>
        <w:t>Recurrente</w:t>
      </w:r>
      <w:r w:rsidRPr="004628FD">
        <w:rPr>
          <w:rFonts w:ascii="Palatino Linotype" w:eastAsia="Palatino Linotype" w:hAnsi="Palatino Linotype" w:cs="Palatino Linotype"/>
          <w:sz w:val="22"/>
          <w:szCs w:val="22"/>
        </w:rPr>
        <w:t>, o en su defecto, en caso de ser procedente, ordenar la entrega de información.</w:t>
      </w:r>
    </w:p>
    <w:p w14:paraId="12B54D18"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4628FD">
        <w:rPr>
          <w:rFonts w:ascii="Palatino Linotype" w:eastAsia="Palatino Linotype" w:hAnsi="Palatino Linotype" w:cs="Palatino Linotype"/>
          <w:b/>
          <w:sz w:val="22"/>
          <w:szCs w:val="22"/>
        </w:rPr>
        <w:t xml:space="preserve">Cuarto. Estudio del asunto. </w:t>
      </w:r>
      <w:r w:rsidRPr="004628FD">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05B5CCC" w14:textId="77777777" w:rsidR="00C8599E" w:rsidRPr="004628FD" w:rsidRDefault="00812BF1" w:rsidP="00B24180">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w:t>
      </w:r>
      <w:r w:rsidRPr="004628FD">
        <w:rPr>
          <w:rFonts w:ascii="Palatino Linotype" w:eastAsia="Palatino Linotype" w:hAnsi="Palatino Linotype" w:cs="Palatino Linotype"/>
          <w:b/>
          <w:i/>
          <w:sz w:val="22"/>
          <w:szCs w:val="22"/>
        </w:rPr>
        <w:t>Artículo 4</w:t>
      </w:r>
      <w:r w:rsidRPr="004628F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C03D819" w14:textId="77777777" w:rsidR="00C8599E" w:rsidRPr="004628FD" w:rsidRDefault="00812BF1" w:rsidP="00B24180">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628F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A8616B1" w14:textId="77777777" w:rsidR="00C8599E" w:rsidRPr="004628FD" w:rsidRDefault="00812BF1" w:rsidP="00B24180">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628FD">
        <w:rPr>
          <w:rFonts w:ascii="Palatino Linotype" w:eastAsia="Palatino Linotype" w:hAnsi="Palatino Linotype" w:cs="Palatino Linotype"/>
          <w:i/>
          <w:sz w:val="22"/>
          <w:szCs w:val="22"/>
        </w:rPr>
        <w:t>.”</w:t>
      </w:r>
    </w:p>
    <w:p w14:paraId="25215573"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AD7EBC1" w14:textId="77777777" w:rsidR="00C8599E" w:rsidRPr="004628FD" w:rsidRDefault="00812BF1" w:rsidP="00B24180">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“Artículo 12.-</w:t>
      </w:r>
      <w:r w:rsidRPr="004628F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87C0FD3" w14:textId="77777777" w:rsidR="00C8599E" w:rsidRPr="004628FD" w:rsidRDefault="00812BF1" w:rsidP="00B24180">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628FD">
        <w:rPr>
          <w:rFonts w:ascii="Palatino Linotype" w:eastAsia="Palatino Linotype" w:hAnsi="Palatino Linotype" w:cs="Palatino Linotype"/>
          <w:i/>
          <w:sz w:val="22"/>
          <w:szCs w:val="22"/>
        </w:rPr>
        <w:t xml:space="preserve">. </w:t>
      </w:r>
      <w:r w:rsidRPr="004628FD">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6A77DAC8" w14:textId="77777777" w:rsidR="00C8599E" w:rsidRPr="004628FD" w:rsidRDefault="00812BF1" w:rsidP="00B24180">
      <w:pPr>
        <w:spacing w:before="240" w:after="240" w:line="360" w:lineRule="auto"/>
        <w:ind w:right="-93"/>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3110F4A" w14:textId="77777777" w:rsidR="00C8599E" w:rsidRPr="004628FD" w:rsidRDefault="00812BF1" w:rsidP="00B24180">
      <w:pPr>
        <w:spacing w:before="240" w:after="240" w:line="360" w:lineRule="auto"/>
        <w:jc w:val="both"/>
        <w:rPr>
          <w:rFonts w:ascii="Palatino Linotype" w:eastAsia="Palatino Linotype" w:hAnsi="Palatino Linotype" w:cs="Palatino Linotype"/>
          <w:b/>
          <w:sz w:val="22"/>
          <w:szCs w:val="22"/>
        </w:rPr>
      </w:pPr>
      <w:r w:rsidRPr="004628FD">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4628FD">
        <w:rPr>
          <w:rFonts w:ascii="Palatino Linotype" w:eastAsia="Palatino Linotype" w:hAnsi="Palatino Linotype" w:cs="Palatino Linotype"/>
          <w:b/>
          <w:sz w:val="22"/>
          <w:szCs w:val="22"/>
        </w:rPr>
        <w:t xml:space="preserve"> </w:t>
      </w:r>
    </w:p>
    <w:p w14:paraId="10843B30" w14:textId="77777777" w:rsidR="00C8599E" w:rsidRPr="004628FD" w:rsidRDefault="00812BF1" w:rsidP="00B24180">
      <w:pPr>
        <w:spacing w:before="120" w:after="120"/>
        <w:ind w:left="1134"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 xml:space="preserve"> “</w:t>
      </w:r>
      <w:r w:rsidRPr="004628FD">
        <w:rPr>
          <w:rFonts w:ascii="Palatino Linotype" w:eastAsia="Palatino Linotype" w:hAnsi="Palatino Linotype" w:cs="Palatino Linotype"/>
          <w:b/>
          <w:i/>
          <w:sz w:val="22"/>
          <w:szCs w:val="22"/>
        </w:rPr>
        <w:t>No existe obligación de elaborar documentos ad hoc para atender las solicitudes de acceso a la información.</w:t>
      </w:r>
      <w:r w:rsidRPr="004628F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BDF67D8" w14:textId="77777777" w:rsidR="00C8599E" w:rsidRPr="004628FD" w:rsidRDefault="00812BF1" w:rsidP="00B24180">
      <w:pPr>
        <w:spacing w:before="120" w:after="12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49FA748" w14:textId="77777777" w:rsidR="00C8599E" w:rsidRPr="004628FD" w:rsidRDefault="00812BF1" w:rsidP="00B24180">
      <w:pPr>
        <w:spacing w:before="120" w:after="12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BE13883" w14:textId="77777777" w:rsidR="00C8599E" w:rsidRPr="004628FD" w:rsidRDefault="00812BF1" w:rsidP="00B24180">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w:t>
      </w:r>
      <w:r w:rsidRPr="004628FD">
        <w:rPr>
          <w:rFonts w:ascii="Palatino Linotype" w:eastAsia="Palatino Linotype" w:hAnsi="Palatino Linotype" w:cs="Palatino Linotype"/>
          <w:b/>
          <w:i/>
          <w:sz w:val="22"/>
          <w:szCs w:val="22"/>
        </w:rPr>
        <w:t xml:space="preserve">Artículo 3. </w:t>
      </w:r>
      <w:r w:rsidRPr="004628FD">
        <w:rPr>
          <w:rFonts w:ascii="Palatino Linotype" w:eastAsia="Palatino Linotype" w:hAnsi="Palatino Linotype" w:cs="Palatino Linotype"/>
          <w:i/>
          <w:sz w:val="22"/>
          <w:szCs w:val="22"/>
        </w:rPr>
        <w:t>Para los efectos de la presente Ley se entenderá por:</w:t>
      </w:r>
    </w:p>
    <w:p w14:paraId="0A42051C" w14:textId="77777777" w:rsidR="00C8599E" w:rsidRPr="004628FD" w:rsidRDefault="00812BF1" w:rsidP="00B24180">
      <w:pPr>
        <w:spacing w:before="120" w:after="120"/>
        <w:ind w:left="1134"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w:t>
      </w:r>
    </w:p>
    <w:p w14:paraId="21CABF0B" w14:textId="77777777" w:rsidR="00C8599E" w:rsidRPr="004628FD" w:rsidRDefault="00812BF1" w:rsidP="00B24180">
      <w:pPr>
        <w:spacing w:before="120" w:after="120"/>
        <w:ind w:left="1134"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XI. Documento:</w:t>
      </w:r>
      <w:r w:rsidRPr="004628FD">
        <w:rPr>
          <w:rFonts w:ascii="Palatino Linotype" w:eastAsia="Palatino Linotype" w:hAnsi="Palatino Linotype" w:cs="Palatino Linotype"/>
          <w:i/>
          <w:sz w:val="22"/>
          <w:szCs w:val="22"/>
        </w:rPr>
        <w:t xml:space="preserve"> Los expedientes, reportes, estudios, actas</w:t>
      </w:r>
      <w:r w:rsidRPr="004628FD">
        <w:rPr>
          <w:rFonts w:ascii="Palatino Linotype" w:eastAsia="Palatino Linotype" w:hAnsi="Palatino Linotype" w:cs="Palatino Linotype"/>
          <w:b/>
          <w:i/>
          <w:sz w:val="22"/>
          <w:szCs w:val="22"/>
        </w:rPr>
        <w:t>,</w:t>
      </w:r>
      <w:r w:rsidRPr="004628F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A0FC17D"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7ED6F7" w14:textId="77777777" w:rsidR="00C8599E" w:rsidRPr="004628FD" w:rsidRDefault="00812BF1" w:rsidP="00B24180">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sz w:val="22"/>
          <w:szCs w:val="22"/>
        </w:rPr>
        <w:t>“</w:t>
      </w:r>
      <w:r w:rsidRPr="004628F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628F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20993A1" w14:textId="77777777" w:rsidR="00C8599E" w:rsidRPr="004628FD" w:rsidRDefault="00812BF1" w:rsidP="00B24180">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4714F6B" w14:textId="77777777" w:rsidR="00C8599E" w:rsidRPr="004628FD" w:rsidRDefault="00812BF1" w:rsidP="00B24180">
      <w:pPr>
        <w:spacing w:before="120" w:after="120"/>
        <w:ind w:left="1134"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A00A418" w14:textId="77777777" w:rsidR="00C8599E" w:rsidRPr="004628FD" w:rsidRDefault="00812BF1" w:rsidP="00B24180">
      <w:pPr>
        <w:spacing w:before="120" w:after="120"/>
        <w:ind w:left="1134"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5A41FF6" w14:textId="77777777" w:rsidR="00C8599E" w:rsidRPr="004628FD" w:rsidRDefault="00812BF1" w:rsidP="00B24180">
      <w:pPr>
        <w:spacing w:before="120" w:after="120"/>
        <w:ind w:left="1134"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746AE1C7" w14:textId="77777777" w:rsidR="00C8599E" w:rsidRPr="004628FD" w:rsidRDefault="00812BF1" w:rsidP="00B24180">
      <w:pPr>
        <w:spacing w:before="240" w:after="240" w:line="360" w:lineRule="auto"/>
        <w:ind w:right="51"/>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3647F16"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16C4923" w14:textId="77777777" w:rsidR="00C8599E" w:rsidRPr="004628FD" w:rsidRDefault="00812BF1" w:rsidP="00B24180">
      <w:pPr>
        <w:spacing w:before="240" w:after="240" w:line="360" w:lineRule="auto"/>
        <w:ind w:right="51"/>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4628FD">
        <w:rPr>
          <w:rFonts w:ascii="Palatino Linotype" w:eastAsia="Palatino Linotype" w:hAnsi="Palatino Linotype" w:cs="Palatino Linotype"/>
          <w:b/>
          <w:sz w:val="22"/>
          <w:szCs w:val="22"/>
        </w:rPr>
        <w:t>Recurrente</w:t>
      </w:r>
      <w:r w:rsidRPr="004628FD">
        <w:rPr>
          <w:rFonts w:ascii="Palatino Linotype" w:eastAsia="Palatino Linotype" w:hAnsi="Palatino Linotype" w:cs="Palatino Linotype"/>
          <w:sz w:val="22"/>
          <w:szCs w:val="22"/>
        </w:rPr>
        <w:t xml:space="preserve"> requirió al </w:t>
      </w:r>
      <w:r w:rsidRPr="004628FD">
        <w:rPr>
          <w:rFonts w:ascii="Palatino Linotype" w:eastAsia="Palatino Linotype" w:hAnsi="Palatino Linotype" w:cs="Palatino Linotype"/>
          <w:b/>
          <w:sz w:val="22"/>
          <w:szCs w:val="22"/>
        </w:rPr>
        <w:t xml:space="preserve">Sujeto Obligado </w:t>
      </w:r>
      <w:r w:rsidRPr="004628FD">
        <w:rPr>
          <w:rFonts w:ascii="Palatino Linotype" w:eastAsia="Palatino Linotype" w:hAnsi="Palatino Linotype" w:cs="Palatino Linotype"/>
          <w:sz w:val="22"/>
          <w:szCs w:val="22"/>
        </w:rPr>
        <w:t>le proporcione, información consistente en lo siguiente:</w:t>
      </w:r>
    </w:p>
    <w:p w14:paraId="2E806485" w14:textId="38B473F2" w:rsidR="005D55D0" w:rsidRPr="004628FD" w:rsidRDefault="0048315A" w:rsidP="00B24180">
      <w:pPr>
        <w:spacing w:before="240" w:after="240" w:line="360" w:lineRule="auto"/>
        <w:ind w:left="284" w:right="51"/>
        <w:jc w:val="both"/>
        <w:rPr>
          <w:rFonts w:ascii="Palatino Linotype" w:eastAsia="Palatino Linotype" w:hAnsi="Palatino Linotype" w:cs="Palatino Linotype"/>
          <w:b/>
          <w:sz w:val="22"/>
          <w:szCs w:val="22"/>
        </w:rPr>
      </w:pPr>
      <w:r w:rsidRPr="004628FD">
        <w:rPr>
          <w:rFonts w:ascii="Palatino Linotype" w:eastAsia="Palatino Linotype" w:hAnsi="Palatino Linotype" w:cs="Palatino Linotype"/>
          <w:sz w:val="22"/>
          <w:szCs w:val="22"/>
        </w:rPr>
        <w:t xml:space="preserve">1. </w:t>
      </w:r>
      <w:r w:rsidR="005D55D0" w:rsidRPr="004628FD">
        <w:rPr>
          <w:rFonts w:ascii="Palatino Linotype" w:eastAsia="Palatino Linotype" w:hAnsi="Palatino Linotype" w:cs="Palatino Linotype"/>
          <w:sz w:val="22"/>
          <w:szCs w:val="22"/>
        </w:rPr>
        <w:t xml:space="preserve">Cuántas reuniones, talleres, seminarios y cursos </w:t>
      </w:r>
      <w:r w:rsidR="004A322D" w:rsidRPr="004628FD">
        <w:rPr>
          <w:rFonts w:ascii="Palatino Linotype" w:eastAsia="Palatino Linotype" w:hAnsi="Palatino Linotype" w:cs="Palatino Linotype"/>
          <w:sz w:val="22"/>
          <w:szCs w:val="22"/>
        </w:rPr>
        <w:t>h</w:t>
      </w:r>
      <w:r w:rsidR="005D55D0" w:rsidRPr="004628FD">
        <w:rPr>
          <w:rFonts w:ascii="Palatino Linotype" w:eastAsia="Palatino Linotype" w:hAnsi="Palatino Linotype" w:cs="Palatino Linotype"/>
          <w:sz w:val="22"/>
          <w:szCs w:val="22"/>
        </w:rPr>
        <w:t>a tomado la Contralora  Municipal en razón de obtener las actitudes, habilidades y conocimientos necesarios para Coordinarse con la Auditoría Superior de la Federación, el Órgano Superior de Fiscalización del Estado de México (OSFEM), la Contraloría del Poder Legislativo, la Secretaría de la Contraloría del Gobierno del Estado de México, la Fiscalía Especializada en Combate a la Corrupción, el Tribunal de Justicia Administrativa del Estado de México, el Comité Coordinador del Sistema Municipal Anticorrupción, el Comité de Participación Ciudadana Municipal del Sistema Municipal Anticorrupción y otros entes fiscalizadores de carácter federal y estatal, para el cumplimiento de sus funciones</w:t>
      </w:r>
      <w:r w:rsidR="005D55D0" w:rsidRPr="004628FD">
        <w:rPr>
          <w:rFonts w:ascii="Palatino Linotype" w:eastAsia="Palatino Linotype" w:hAnsi="Palatino Linotype" w:cs="Palatino Linotype"/>
          <w:b/>
          <w:sz w:val="22"/>
          <w:szCs w:val="22"/>
        </w:rPr>
        <w:t>.</w:t>
      </w:r>
    </w:p>
    <w:p w14:paraId="0CE87700" w14:textId="63869ED6" w:rsidR="00782C32" w:rsidRPr="004628FD" w:rsidRDefault="009C1DCB" w:rsidP="005D55D0">
      <w:pPr>
        <w:spacing w:before="280" w:after="28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Previo a entrar al estudio de fondo del presente asunto, es oportuno </w:t>
      </w:r>
      <w:r w:rsidR="005D55D0" w:rsidRPr="004628FD">
        <w:rPr>
          <w:rFonts w:ascii="Palatino Linotype" w:eastAsia="Palatino Linotype" w:hAnsi="Palatino Linotype" w:cs="Palatino Linotype"/>
          <w:sz w:val="22"/>
          <w:szCs w:val="22"/>
        </w:rPr>
        <w:t xml:space="preserve">mencionar que </w:t>
      </w:r>
      <w:r w:rsidR="00782C32" w:rsidRPr="004628FD">
        <w:rPr>
          <w:rFonts w:ascii="Palatino Linotype" w:eastAsia="Palatino Linotype" w:hAnsi="Palatino Linotype" w:cs="Palatino Linotype"/>
          <w:sz w:val="22"/>
          <w:szCs w:val="22"/>
        </w:rPr>
        <w:t xml:space="preserve">si bien es cierto </w:t>
      </w:r>
      <w:r w:rsidR="005D55D0" w:rsidRPr="004628FD">
        <w:rPr>
          <w:rFonts w:ascii="Palatino Linotype" w:eastAsia="Palatino Linotype" w:hAnsi="Palatino Linotype" w:cs="Palatino Linotype"/>
          <w:sz w:val="22"/>
          <w:szCs w:val="22"/>
        </w:rPr>
        <w:t>el requerimiento</w:t>
      </w:r>
      <w:r w:rsidR="00782C32" w:rsidRPr="004628FD">
        <w:rPr>
          <w:rFonts w:ascii="Palatino Linotype" w:eastAsia="Palatino Linotype" w:hAnsi="Palatino Linotype" w:cs="Palatino Linotype"/>
          <w:sz w:val="22"/>
          <w:szCs w:val="22"/>
        </w:rPr>
        <w:t xml:space="preserve"> de información se plante</w:t>
      </w:r>
      <w:r w:rsidR="005D55D0" w:rsidRPr="004628FD">
        <w:rPr>
          <w:rFonts w:ascii="Palatino Linotype" w:eastAsia="Palatino Linotype" w:hAnsi="Palatino Linotype" w:cs="Palatino Linotype"/>
          <w:sz w:val="22"/>
          <w:szCs w:val="22"/>
        </w:rPr>
        <w:t>ó</w:t>
      </w:r>
      <w:r w:rsidR="00782C32" w:rsidRPr="004628FD">
        <w:rPr>
          <w:rFonts w:ascii="Palatino Linotype" w:eastAsia="Palatino Linotype" w:hAnsi="Palatino Linotype" w:cs="Palatino Linotype"/>
          <w:sz w:val="22"/>
          <w:szCs w:val="22"/>
        </w:rPr>
        <w:t xml:space="preserve"> a través de </w:t>
      </w:r>
      <w:r w:rsidR="005D55D0" w:rsidRPr="004628FD">
        <w:rPr>
          <w:rFonts w:ascii="Palatino Linotype" w:eastAsia="Palatino Linotype" w:hAnsi="Palatino Linotype" w:cs="Palatino Linotype"/>
          <w:sz w:val="22"/>
          <w:szCs w:val="22"/>
        </w:rPr>
        <w:t xml:space="preserve">un </w:t>
      </w:r>
      <w:r w:rsidR="00782C32" w:rsidRPr="004628FD">
        <w:rPr>
          <w:rFonts w:ascii="Palatino Linotype" w:eastAsia="Palatino Linotype" w:hAnsi="Palatino Linotype" w:cs="Palatino Linotype"/>
          <w:sz w:val="22"/>
          <w:szCs w:val="22"/>
        </w:rPr>
        <w:t xml:space="preserve">cuestionamiento, debe reiterarse que para que sea posible el ejercicio del Derecho de Acceso a la Información Pública, los requerimientos deben consistir en información que se encuentre registrada en cualquier soporte documental; ya sea, porque el </w:t>
      </w:r>
      <w:r w:rsidR="00782C32" w:rsidRPr="004628FD">
        <w:rPr>
          <w:rFonts w:ascii="Palatino Linotype" w:eastAsia="Palatino Linotype" w:hAnsi="Palatino Linotype" w:cs="Palatino Linotype"/>
          <w:b/>
          <w:sz w:val="22"/>
          <w:szCs w:val="22"/>
        </w:rPr>
        <w:t>Sujeto Obligado</w:t>
      </w:r>
      <w:r w:rsidR="00782C32" w:rsidRPr="004628FD">
        <w:rPr>
          <w:rFonts w:ascii="Palatino Linotype" w:eastAsia="Palatino Linotype" w:hAnsi="Palatino Linotype" w:cs="Palatino Linotype"/>
          <w:sz w:val="22"/>
          <w:szCs w:val="22"/>
        </w:rPr>
        <w:t xml:space="preserve"> la generó o porque como parte del ejercicio de sus funciones la recibió y por consiguiente, la administra y posee.</w:t>
      </w:r>
    </w:p>
    <w:p w14:paraId="397DE319" w14:textId="77777777" w:rsidR="00782C32" w:rsidRPr="004628FD" w:rsidRDefault="00782C32" w:rsidP="00B24180">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Bajo esta lógica, el Pleno de este Instituto ha sostenido que, en aquellos casos en los que las personas solicitantes no señalen de manera concreta el o los documentos a los que desean acceder, al no ser expertos en la materia, los Sujetos Obligados cuentan con el deber de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se deberá proceder a la entrega del soporte documental en donde conste la información que brinde respuesta a la solicitud, con la finalidad de que la persona solicitante pueda buscar conforme a su interés.</w:t>
      </w:r>
    </w:p>
    <w:p w14:paraId="792C9A3D" w14:textId="1AC4D461" w:rsidR="00393E6B" w:rsidRPr="004628FD" w:rsidRDefault="00393E6B" w:rsidP="00B24180">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Como sustento a lo anterior resulta aplicable el </w:t>
      </w:r>
      <w:r w:rsidR="00782376" w:rsidRPr="004628FD">
        <w:rPr>
          <w:rFonts w:ascii="Palatino Linotype" w:eastAsia="Palatino Linotype" w:hAnsi="Palatino Linotype" w:cs="Palatino Linotype"/>
          <w:sz w:val="22"/>
          <w:szCs w:val="22"/>
        </w:rPr>
        <w:t>c</w:t>
      </w:r>
      <w:r w:rsidRPr="004628FD">
        <w:rPr>
          <w:rFonts w:ascii="Palatino Linotype" w:eastAsia="Palatino Linotype" w:hAnsi="Palatino Linotype" w:cs="Palatino Linotype"/>
          <w:sz w:val="22"/>
          <w:szCs w:val="22"/>
        </w:rPr>
        <w:t>riterio</w:t>
      </w:r>
      <w:r w:rsidR="00782376" w:rsidRPr="004628FD">
        <w:rPr>
          <w:rFonts w:ascii="Palatino Linotype" w:eastAsia="Palatino Linotype" w:hAnsi="Palatino Linotype" w:cs="Palatino Linotype"/>
          <w:sz w:val="22"/>
          <w:szCs w:val="22"/>
        </w:rPr>
        <w:t xml:space="preserve"> orientador con clave de control SO/016/2017</w:t>
      </w:r>
      <w:r w:rsidRPr="004628FD">
        <w:rPr>
          <w:rFonts w:ascii="Palatino Linotype" w:eastAsia="Palatino Linotype" w:hAnsi="Palatino Linotype" w:cs="Palatino Linotype"/>
          <w:sz w:val="22"/>
          <w:szCs w:val="22"/>
        </w:rPr>
        <w:t xml:space="preserve">, emitido por el </w:t>
      </w:r>
      <w:r w:rsidR="00782376" w:rsidRPr="004628FD">
        <w:rPr>
          <w:rFonts w:ascii="Palatino Linotype" w:eastAsia="Palatino Linotype" w:hAnsi="Palatino Linotype" w:cs="Palatino Linotype"/>
          <w:sz w:val="22"/>
          <w:szCs w:val="22"/>
        </w:rPr>
        <w:t xml:space="preserve">entonces </w:t>
      </w:r>
      <w:r w:rsidRPr="004628FD">
        <w:rPr>
          <w:rFonts w:ascii="Palatino Linotype" w:eastAsia="Palatino Linotype" w:hAnsi="Palatino Linotype" w:cs="Palatino Linotype"/>
          <w:sz w:val="22"/>
          <w:szCs w:val="22"/>
        </w:rPr>
        <w:t xml:space="preserve">Instituto Nacional de Transparencia, Acceso a la Información y Protección de Datos Personales, INAI, establece lo siguiente: </w:t>
      </w:r>
    </w:p>
    <w:p w14:paraId="3F2620C7" w14:textId="77777777" w:rsidR="00393E6B" w:rsidRPr="004628FD" w:rsidRDefault="00393E6B" w:rsidP="00B24180">
      <w:pPr>
        <w:pBdr>
          <w:top w:val="nil"/>
          <w:left w:val="nil"/>
          <w:bottom w:val="nil"/>
          <w:right w:val="nil"/>
          <w:between w:val="nil"/>
        </w:pBdr>
        <w:spacing w:after="120"/>
        <w:ind w:left="851" w:right="902"/>
        <w:jc w:val="both"/>
        <w:rPr>
          <w:rFonts w:ascii="Palatino Linotype" w:eastAsia="Palatino Linotype" w:hAnsi="Palatino Linotype" w:cs="Palatino Linotype"/>
          <w:sz w:val="22"/>
          <w:szCs w:val="22"/>
        </w:rPr>
      </w:pPr>
      <w:r w:rsidRPr="004628FD">
        <w:rPr>
          <w:rFonts w:ascii="Palatino Linotype" w:hAnsi="Palatino Linotype"/>
          <w:sz w:val="22"/>
          <w:szCs w:val="22"/>
        </w:rPr>
        <w:t xml:space="preserve"> “</w:t>
      </w:r>
      <w:r w:rsidRPr="004628FD">
        <w:rPr>
          <w:rFonts w:ascii="Palatino Linotype" w:eastAsia="Palatino Linotype" w:hAnsi="Palatino Linotype" w:cs="Palatino Linotype"/>
          <w:b/>
          <w:i/>
          <w:sz w:val="22"/>
          <w:szCs w:val="22"/>
        </w:rPr>
        <w:t xml:space="preserve">Expresión documental. </w:t>
      </w:r>
      <w:r w:rsidRPr="004628FD">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34C44DA2" w14:textId="77777777" w:rsidR="00393E6B" w:rsidRPr="004628FD" w:rsidRDefault="00393E6B" w:rsidP="00B24180">
      <w:pPr>
        <w:spacing w:before="240" w:after="240" w:line="360" w:lineRule="auto"/>
        <w:jc w:val="both"/>
        <w:rPr>
          <w:rFonts w:ascii="Palatino Linotype" w:hAnsi="Palatino Linotype"/>
          <w:sz w:val="22"/>
          <w:szCs w:val="22"/>
          <w:lang w:val="es-ES"/>
        </w:rPr>
      </w:pPr>
      <w:r w:rsidRPr="004628FD">
        <w:rPr>
          <w:rFonts w:ascii="Palatino Linotype" w:hAnsi="Palatino Linotype"/>
          <w:sz w:val="22"/>
          <w:szCs w:val="22"/>
          <w:lang w:val="es-ES"/>
        </w:rPr>
        <w:t>Ello es así, ya que la transparencia implica el deber de los Sujetos Obligados de documentar todo acto que derive del ejercicio de sus facultades, competencias o funciones, considerando desde su origen la eventual publicidad y reutilización de la información que generen; ello, de conformidad con lo establecido en el artículo 18 de la Ley de Transparencia y Acceso a la Información Pública del Estado de México y Municipios.</w:t>
      </w:r>
    </w:p>
    <w:p w14:paraId="54959A4D" w14:textId="64D6792C" w:rsidR="00782C32" w:rsidRPr="004628FD" w:rsidRDefault="00782C32" w:rsidP="00B24180">
      <w:pPr>
        <w:spacing w:before="240" w:after="240" w:line="360" w:lineRule="auto"/>
        <w:jc w:val="both"/>
        <w:rPr>
          <w:rFonts w:ascii="Palatino Linotype" w:hAnsi="Palatino Linotype"/>
          <w:sz w:val="22"/>
          <w:szCs w:val="22"/>
          <w:lang w:val="es-ES"/>
        </w:rPr>
      </w:pPr>
      <w:r w:rsidRPr="004628FD">
        <w:rPr>
          <w:rFonts w:ascii="Palatino Linotype" w:eastAsia="Palatino Linotype" w:hAnsi="Palatino Linotype" w:cs="Palatino Linotype"/>
          <w:sz w:val="22"/>
          <w:szCs w:val="22"/>
        </w:rPr>
        <w:t>En ese tenor, si b</w:t>
      </w:r>
      <w:r w:rsidR="005D55D0" w:rsidRPr="004628FD">
        <w:rPr>
          <w:rFonts w:ascii="Palatino Linotype" w:eastAsia="Palatino Linotype" w:hAnsi="Palatino Linotype" w:cs="Palatino Linotype"/>
          <w:sz w:val="22"/>
          <w:szCs w:val="22"/>
        </w:rPr>
        <w:t>ien, por la manera en cómo está formulado el requerimiento pudiera</w:t>
      </w:r>
      <w:r w:rsidRPr="004628FD">
        <w:rPr>
          <w:rFonts w:ascii="Palatino Linotype" w:eastAsia="Palatino Linotype" w:hAnsi="Palatino Linotype" w:cs="Palatino Linotype"/>
          <w:sz w:val="22"/>
          <w:szCs w:val="22"/>
        </w:rPr>
        <w:t xml:space="preserve"> ser</w:t>
      </w:r>
      <w:r w:rsidR="005D55D0" w:rsidRPr="004628FD">
        <w:rPr>
          <w:rFonts w:ascii="Palatino Linotype" w:eastAsia="Palatino Linotype" w:hAnsi="Palatino Linotype" w:cs="Palatino Linotype"/>
          <w:sz w:val="22"/>
          <w:szCs w:val="22"/>
        </w:rPr>
        <w:t xml:space="preserve"> considerado</w:t>
      </w:r>
      <w:r w:rsidRPr="004628FD">
        <w:rPr>
          <w:rFonts w:ascii="Palatino Linotype" w:eastAsia="Palatino Linotype" w:hAnsi="Palatino Linotype" w:cs="Palatino Linotype"/>
          <w:sz w:val="22"/>
          <w:szCs w:val="22"/>
        </w:rPr>
        <w:t xml:space="preserve"> como derecho de petición,</w:t>
      </w:r>
      <w:r w:rsidR="005D55D0" w:rsidRPr="004628FD">
        <w:rPr>
          <w:rFonts w:ascii="Palatino Linotype" w:eastAsia="Palatino Linotype" w:hAnsi="Palatino Linotype" w:cs="Palatino Linotype"/>
          <w:sz w:val="22"/>
          <w:szCs w:val="22"/>
        </w:rPr>
        <w:t xml:space="preserve"> se estima dable analizar dicho</w:t>
      </w:r>
      <w:r w:rsidRPr="004628FD">
        <w:rPr>
          <w:rFonts w:ascii="Palatino Linotype" w:eastAsia="Palatino Linotype" w:hAnsi="Palatino Linotype" w:cs="Palatino Linotype"/>
          <w:sz w:val="22"/>
          <w:szCs w:val="22"/>
        </w:rPr>
        <w:t xml:space="preserve"> requerimientos bajo el amparo del principio de máxima publicidad consagrado en el numeral 8 de la Ley de Transparencia y Acceso a la Información Pública del Estado de México y Municipios, que es del tenor literal siguiente:</w:t>
      </w:r>
    </w:p>
    <w:p w14:paraId="2C3C1737" w14:textId="77777777" w:rsidR="00A15511" w:rsidRPr="004628FD" w:rsidRDefault="00A15511" w:rsidP="00B24180">
      <w:pPr>
        <w:spacing w:before="120" w:after="120"/>
        <w:ind w:left="851" w:right="902"/>
        <w:jc w:val="both"/>
        <w:rPr>
          <w:rFonts w:ascii="Palatino Linotype" w:hAnsi="Palatino Linotype" w:cs="Arial"/>
          <w:i/>
          <w:sz w:val="22"/>
          <w:szCs w:val="22"/>
          <w:lang w:val="es-ES"/>
        </w:rPr>
      </w:pPr>
      <w:r w:rsidRPr="004628FD">
        <w:rPr>
          <w:rFonts w:ascii="Palatino Linotype" w:hAnsi="Palatino Linotype" w:cs="Arial"/>
          <w:i/>
          <w:sz w:val="22"/>
          <w:szCs w:val="22"/>
          <w:lang w:val="es-ES"/>
        </w:rPr>
        <w:t>“</w:t>
      </w:r>
      <w:r w:rsidRPr="004628FD">
        <w:rPr>
          <w:rFonts w:ascii="Palatino Linotype" w:hAnsi="Palatino Linotype" w:cs="Arial"/>
          <w:b/>
          <w:i/>
          <w:sz w:val="22"/>
          <w:szCs w:val="22"/>
          <w:lang w:val="es-ES"/>
        </w:rPr>
        <w:t>Artículo 8</w:t>
      </w:r>
      <w:r w:rsidRPr="004628FD">
        <w:rPr>
          <w:rFonts w:ascii="Palatino Linotype" w:hAnsi="Palatino Linotype" w:cs="Arial"/>
          <w:i/>
          <w:sz w:val="22"/>
          <w:szCs w:val="22"/>
          <w:lang w:val="es-ES"/>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85374C5" w14:textId="77777777" w:rsidR="00A15511" w:rsidRPr="004628FD" w:rsidRDefault="00A15511" w:rsidP="00B24180">
      <w:pPr>
        <w:spacing w:before="120" w:after="120"/>
        <w:ind w:left="851" w:right="902"/>
        <w:jc w:val="both"/>
        <w:rPr>
          <w:rFonts w:ascii="Palatino Linotype" w:hAnsi="Palatino Linotype" w:cs="Arial"/>
          <w:i/>
          <w:sz w:val="22"/>
          <w:szCs w:val="22"/>
          <w:lang w:val="es-ES"/>
        </w:rPr>
      </w:pPr>
      <w:r w:rsidRPr="004628FD">
        <w:rPr>
          <w:rFonts w:ascii="Palatino Linotype" w:hAnsi="Palatino Linotype" w:cs="Arial"/>
          <w:i/>
          <w:sz w:val="22"/>
          <w:szCs w:val="22"/>
          <w:lang w:val="es-ES"/>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54B37099" w14:textId="77777777" w:rsidR="00A15511" w:rsidRPr="004628FD" w:rsidRDefault="00A15511" w:rsidP="00B24180">
      <w:pPr>
        <w:jc w:val="both"/>
        <w:rPr>
          <w:rFonts w:ascii="Palatino Linotype" w:hAnsi="Palatino Linotype" w:cs="Arial"/>
          <w:sz w:val="22"/>
          <w:szCs w:val="22"/>
          <w:lang w:val="es-ES"/>
        </w:rPr>
      </w:pPr>
    </w:p>
    <w:p w14:paraId="02F37EEB" w14:textId="77777777" w:rsidR="00A15511" w:rsidRPr="004628FD" w:rsidRDefault="00A15511" w:rsidP="00B24180">
      <w:pPr>
        <w:spacing w:line="360" w:lineRule="auto"/>
        <w:jc w:val="both"/>
        <w:rPr>
          <w:rFonts w:ascii="Palatino Linotype" w:hAnsi="Palatino Linotype" w:cs="Arial"/>
          <w:sz w:val="22"/>
          <w:szCs w:val="22"/>
          <w:lang w:val="es-ES"/>
        </w:rPr>
      </w:pPr>
      <w:r w:rsidRPr="004628FD">
        <w:rPr>
          <w:rFonts w:ascii="Palatino Linotype" w:hAnsi="Palatino Linotype" w:cs="Arial"/>
          <w:sz w:val="22"/>
          <w:szCs w:val="22"/>
          <w:lang w:val="es-ES"/>
        </w:rPr>
        <w:t>En este sentido, es conveniente invocar la tesis 1a. CCCXXVII/2014 (10a.) emitida por la Primera Sala de la Suprema Corte de Justicia de la Nación, cuyo sentido es el siguiente:</w:t>
      </w:r>
    </w:p>
    <w:p w14:paraId="5258AEF9" w14:textId="77777777" w:rsidR="00A15511" w:rsidRPr="004628FD" w:rsidRDefault="00A15511" w:rsidP="00B24180">
      <w:pPr>
        <w:spacing w:before="120" w:after="120"/>
        <w:ind w:left="851" w:right="901"/>
        <w:jc w:val="both"/>
        <w:rPr>
          <w:rFonts w:ascii="Palatino Linotype" w:hAnsi="Palatino Linotype" w:cs="Arial"/>
          <w:i/>
          <w:sz w:val="22"/>
          <w:szCs w:val="22"/>
          <w:lang w:val="es-ES"/>
        </w:rPr>
      </w:pPr>
      <w:r w:rsidRPr="004628FD">
        <w:rPr>
          <w:rFonts w:ascii="Palatino Linotype" w:eastAsia="Palatino Linotype" w:hAnsi="Palatino Linotype" w:cs="Palatino Linotype"/>
          <w:sz w:val="22"/>
          <w:szCs w:val="22"/>
        </w:rPr>
        <w:t>“</w:t>
      </w:r>
      <w:r w:rsidRPr="004628FD">
        <w:rPr>
          <w:rFonts w:ascii="Palatino Linotype" w:hAnsi="Palatino Linotype" w:cs="Arial"/>
          <w:b/>
          <w:i/>
          <w:sz w:val="22"/>
          <w:szCs w:val="22"/>
          <w:lang w:val="es-ES"/>
        </w:rPr>
        <w:t xml:space="preserve">PRINCIPIO PRO PERSONA. REQUISITOS MÍNIMOS PARA QUE SE ATIENDA EL FONDO DE LA SOLICITUD DE SU APLICACIÓN, O LA IMPUGNACIÓN DE SU OMISIÓN POR LA AUTORIDAD RESPONSABLE. </w:t>
      </w:r>
      <w:r w:rsidRPr="004628FD">
        <w:rPr>
          <w:rFonts w:ascii="Palatino Linotype" w:hAnsi="Palatino Linotype" w:cs="Arial"/>
          <w:i/>
          <w:sz w:val="22"/>
          <w:szCs w:val="22"/>
          <w:lang w:val="es-ES"/>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4628FD">
        <w:rPr>
          <w:rFonts w:ascii="Palatino Linotype" w:hAnsi="Palatino Linotype" w:cs="Arial"/>
          <w:i/>
          <w:sz w:val="22"/>
          <w:szCs w:val="22"/>
          <w:lang w:val="es-ES"/>
        </w:rPr>
        <w:t>pro</w:t>
      </w:r>
      <w:proofErr w:type="spellEnd"/>
      <w:r w:rsidRPr="004628FD">
        <w:rPr>
          <w:rFonts w:ascii="Palatino Linotype" w:hAnsi="Palatino Linotype" w:cs="Arial"/>
          <w:i/>
          <w:sz w:val="22"/>
          <w:szCs w:val="22"/>
          <w:lang w:val="es-ES"/>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5305EF3E" w14:textId="68EA67F4" w:rsidR="005D55D0" w:rsidRPr="004628FD" w:rsidRDefault="005D55D0" w:rsidP="005D55D0">
      <w:pPr>
        <w:spacing w:before="240" w:after="240" w:line="360" w:lineRule="auto"/>
        <w:ind w:right="49"/>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Asimismo, es oportuno referir que no escapa de la óptica de este Organismo Garante que la persona solicitante, al momento de  presentar su solicitud, realizó diversos planteamientos subjetivos, tales como “</w:t>
      </w:r>
      <w:r w:rsidRPr="004628FD">
        <w:rPr>
          <w:rFonts w:ascii="Palatino Linotype" w:eastAsia="Palatino Linotype" w:hAnsi="Palatino Linotype" w:cs="Palatino Linotype"/>
          <w:i/>
          <w:sz w:val="22"/>
          <w:szCs w:val="22"/>
        </w:rPr>
        <w:t xml:space="preserve">toda vez que se percibe su nulo conocimiento, su escaso dominio de los temas en el ejercicio de su encargo, ya que lleva a cabo la implementación de </w:t>
      </w:r>
      <w:proofErr w:type="spellStart"/>
      <w:r w:rsidRPr="004628FD">
        <w:rPr>
          <w:rFonts w:ascii="Palatino Linotype" w:eastAsia="Palatino Linotype" w:hAnsi="Palatino Linotype" w:cs="Palatino Linotype"/>
          <w:i/>
          <w:sz w:val="22"/>
          <w:szCs w:val="22"/>
        </w:rPr>
        <w:t>practicas</w:t>
      </w:r>
      <w:proofErr w:type="spellEnd"/>
      <w:r w:rsidRPr="004628FD">
        <w:rPr>
          <w:rFonts w:ascii="Palatino Linotype" w:eastAsia="Palatino Linotype" w:hAnsi="Palatino Linotype" w:cs="Palatino Linotype"/>
          <w:i/>
          <w:sz w:val="22"/>
          <w:szCs w:val="22"/>
        </w:rPr>
        <w:t xml:space="preserve"> que </w:t>
      </w:r>
      <w:proofErr w:type="spellStart"/>
      <w:r w:rsidRPr="004628FD">
        <w:rPr>
          <w:rFonts w:ascii="Palatino Linotype" w:eastAsia="Palatino Linotype" w:hAnsi="Palatino Linotype" w:cs="Palatino Linotype"/>
          <w:i/>
          <w:sz w:val="22"/>
          <w:szCs w:val="22"/>
        </w:rPr>
        <w:t>mas</w:t>
      </w:r>
      <w:proofErr w:type="spellEnd"/>
      <w:r w:rsidRPr="004628FD">
        <w:rPr>
          <w:rFonts w:ascii="Palatino Linotype" w:eastAsia="Palatino Linotype" w:hAnsi="Palatino Linotype" w:cs="Palatino Linotype"/>
          <w:i/>
          <w:sz w:val="22"/>
          <w:szCs w:val="22"/>
        </w:rPr>
        <w:t xml:space="preserve"> bien parecen estropear, entorpecer y anular el flujo de las actividades de la administración </w:t>
      </w:r>
      <w:proofErr w:type="spellStart"/>
      <w:r w:rsidRPr="004628FD">
        <w:rPr>
          <w:rFonts w:ascii="Palatino Linotype" w:eastAsia="Palatino Linotype" w:hAnsi="Palatino Linotype" w:cs="Palatino Linotype"/>
          <w:i/>
          <w:sz w:val="22"/>
          <w:szCs w:val="22"/>
        </w:rPr>
        <w:t>publica</w:t>
      </w:r>
      <w:proofErr w:type="spellEnd"/>
      <w:r w:rsidRPr="004628FD">
        <w:rPr>
          <w:rFonts w:ascii="Palatino Linotype" w:eastAsia="Palatino Linotype" w:hAnsi="Palatino Linotype" w:cs="Palatino Linotype"/>
          <w:sz w:val="22"/>
          <w:szCs w:val="22"/>
        </w:rPr>
        <w:t>” (sic), ante lo cual se puntualiza que el Derecho al acceso a la información pública constituye una prerrogativa para acceder a documentos o registros de información pública generada o en posesión de los Sujetos Obligados,  motivo por el cual, este Organismo Garante precisa que dichas manifestaciones no son susceptibles de ser tomadas en consideración en la resolución del presente asunto, toda vez que no constituyen el ejercicio de un Derecho de acceso a la información pública, sino más bien el ejerci</w:t>
      </w:r>
      <w:r w:rsidR="00761680" w:rsidRPr="004628FD">
        <w:rPr>
          <w:rFonts w:ascii="Palatino Linotype" w:eastAsia="Palatino Linotype" w:hAnsi="Palatino Linotype" w:cs="Palatino Linotype"/>
          <w:sz w:val="22"/>
          <w:szCs w:val="22"/>
        </w:rPr>
        <w:t xml:space="preserve">cio de un Derecho de expresión. </w:t>
      </w:r>
      <w:r w:rsidRPr="004628FD">
        <w:rPr>
          <w:rFonts w:ascii="Palatino Linotype" w:eastAsia="Palatino Linotype" w:hAnsi="Palatino Linotype" w:cs="Palatino Linotype"/>
          <w:sz w:val="22"/>
          <w:szCs w:val="22"/>
        </w:rPr>
        <w:t>En este sentido, se trata de manifestaciones sobre las cuales este Instituto no está facultado para pronunciarse.</w:t>
      </w:r>
    </w:p>
    <w:p w14:paraId="7E4E252B" w14:textId="77777777" w:rsidR="005D55D0" w:rsidRPr="004628FD" w:rsidRDefault="00635DF2" w:rsidP="005D55D0">
      <w:pPr>
        <w:spacing w:before="240" w:after="240" w:line="360" w:lineRule="auto"/>
        <w:ind w:right="49"/>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Una vez aclarado lo anterior</w:t>
      </w:r>
      <w:r w:rsidR="00401AE4" w:rsidRPr="004628FD">
        <w:rPr>
          <w:rFonts w:ascii="Palatino Linotype" w:eastAsia="Palatino Linotype" w:hAnsi="Palatino Linotype" w:cs="Palatino Linotype"/>
          <w:sz w:val="22"/>
          <w:szCs w:val="22"/>
        </w:rPr>
        <w:t xml:space="preserve">, es de mencionar que, en respuesta a la solicitud, </w:t>
      </w:r>
      <w:r w:rsidR="005D55D0" w:rsidRPr="004628FD">
        <w:rPr>
          <w:rFonts w:ascii="Palatino Linotype" w:eastAsia="Palatino Linotype" w:hAnsi="Palatino Linotype" w:cs="Palatino Linotype"/>
          <w:sz w:val="22"/>
          <w:szCs w:val="22"/>
        </w:rPr>
        <w:t xml:space="preserve">la Coordinadora de Transparencia señaló que al momento de realizar el estudio y análisis del requerimiento formulado a efecto de poder determinar el área competente para su atención, se observó que del requerimiento se desprende que no se solicitó información que implique documentos generados por el ayuntamiento, si no que se emitió una percepción personal, de conformidad con el artículo </w:t>
      </w:r>
      <w:r w:rsidR="005D55D0" w:rsidRPr="004628FD">
        <w:rPr>
          <w:rFonts w:ascii="Palatino Linotype" w:hAnsi="Palatino Linotype"/>
          <w:sz w:val="22"/>
          <w:szCs w:val="22"/>
        </w:rPr>
        <w:t>3 fracción XI de la Ley de Transparencia y Acceso a la Información Pública del Estado de México y Municipios, razón por la cual estimó procedente desechar el requerimiento al considerar que no actualiza la hipótesis que contempla el Derecho de acceso a la información pública, al no describir el documento público que se solicita según lo estipulado en el artículo 155 de la Ley de la materia.</w:t>
      </w:r>
    </w:p>
    <w:p w14:paraId="12F38074" w14:textId="320A36B8" w:rsidR="005D55D0" w:rsidRPr="004628FD" w:rsidRDefault="005D55D0"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Lo anterior motivó la interposición del recurso de revisión que nos ocupa, donde la persona solicitante reiteró el requerimiento de información, puntualizando que requería en lo medular cuantas reuniones, talleres, seminarios y cursos ha tomado la Contralora Municipal en razón de obtener las actitudes, habilidades y conocimientos necesarios para el cumplimiento de sus funciones.</w:t>
      </w:r>
    </w:p>
    <w:p w14:paraId="2E7309E7" w14:textId="68E575A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Durante el periodo de manifestaciones el </w:t>
      </w:r>
      <w:r w:rsidRPr="004628FD">
        <w:rPr>
          <w:rFonts w:ascii="Palatino Linotype" w:eastAsia="Palatino Linotype" w:hAnsi="Palatino Linotype" w:cs="Palatino Linotype"/>
          <w:b/>
          <w:sz w:val="22"/>
          <w:szCs w:val="22"/>
        </w:rPr>
        <w:t xml:space="preserve">Sujeto Obligado </w:t>
      </w:r>
      <w:r w:rsidR="004A322D" w:rsidRPr="004628FD">
        <w:rPr>
          <w:rFonts w:ascii="Palatino Linotype" w:eastAsia="Palatino Linotype" w:hAnsi="Palatino Linotype" w:cs="Palatino Linotype"/>
          <w:sz w:val="22"/>
          <w:szCs w:val="22"/>
        </w:rPr>
        <w:t>ratificó en lo sustancial la respuesta proporcionada en primera instancia</w:t>
      </w:r>
      <w:r w:rsidRPr="004628FD">
        <w:rPr>
          <w:rFonts w:ascii="Palatino Linotype" w:eastAsia="Palatino Linotype" w:hAnsi="Palatino Linotype" w:cs="Palatino Linotype"/>
          <w:sz w:val="22"/>
          <w:szCs w:val="22"/>
        </w:rPr>
        <w:t xml:space="preserve">, y la parte </w:t>
      </w:r>
      <w:r w:rsidRPr="004628FD">
        <w:rPr>
          <w:rFonts w:ascii="Palatino Linotype" w:eastAsia="Palatino Linotype" w:hAnsi="Palatino Linotype" w:cs="Palatino Linotype"/>
          <w:b/>
          <w:sz w:val="22"/>
          <w:szCs w:val="22"/>
        </w:rPr>
        <w:t xml:space="preserve">Recurrente </w:t>
      </w:r>
      <w:r w:rsidRPr="004628FD">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0E4FA35C" w14:textId="77777777" w:rsidR="00C8599E" w:rsidRPr="004628FD" w:rsidRDefault="00812BF1" w:rsidP="00B24180">
      <w:pPr>
        <w:spacing w:before="280" w:after="28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4628FD">
        <w:rPr>
          <w:rFonts w:ascii="Palatino Linotype" w:eastAsia="Palatino Linotype" w:hAnsi="Palatino Linotype" w:cs="Palatino Linotype"/>
          <w:b/>
          <w:sz w:val="22"/>
          <w:szCs w:val="22"/>
        </w:rPr>
        <w:t xml:space="preserve">Sujeto Obligado, </w:t>
      </w:r>
      <w:r w:rsidRPr="004628FD">
        <w:rPr>
          <w:rFonts w:ascii="Palatino Linotype" w:eastAsia="Palatino Linotype" w:hAnsi="Palatino Linotype" w:cs="Palatino Linotype"/>
          <w:sz w:val="22"/>
          <w:szCs w:val="22"/>
        </w:rPr>
        <w:t xml:space="preserve">en contraposición con el motivo de inconformidad alegado por la parte </w:t>
      </w:r>
      <w:r w:rsidRPr="004628FD">
        <w:rPr>
          <w:rFonts w:ascii="Palatino Linotype" w:eastAsia="Palatino Linotype" w:hAnsi="Palatino Linotype" w:cs="Palatino Linotype"/>
          <w:b/>
          <w:sz w:val="22"/>
          <w:szCs w:val="22"/>
        </w:rPr>
        <w:t xml:space="preserve">Recurrente, </w:t>
      </w:r>
      <w:r w:rsidRPr="004628FD">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4AD551B" w14:textId="536D13F0" w:rsidR="00EB4AA0" w:rsidRPr="004628FD" w:rsidRDefault="00812BF1" w:rsidP="00B24180">
      <w:pPr>
        <w:spacing w:before="240" w:after="240" w:line="360" w:lineRule="auto"/>
        <w:ind w:right="49"/>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En este tenor,</w:t>
      </w:r>
      <w:r w:rsidR="004A322D" w:rsidRPr="004628FD">
        <w:rPr>
          <w:rFonts w:ascii="Palatino Linotype" w:eastAsia="Palatino Linotype" w:hAnsi="Palatino Linotype" w:cs="Palatino Linotype"/>
          <w:sz w:val="22"/>
          <w:szCs w:val="22"/>
        </w:rPr>
        <w:t xml:space="preserve"> </w:t>
      </w:r>
      <w:r w:rsidR="004D1FEE" w:rsidRPr="004628FD">
        <w:rPr>
          <w:rFonts w:ascii="Palatino Linotype" w:eastAsia="Palatino Linotype" w:hAnsi="Palatino Linotype" w:cs="Palatino Linotype"/>
          <w:sz w:val="22"/>
          <w:szCs w:val="22"/>
        </w:rPr>
        <w:t xml:space="preserve">de la lectura de la solicitud se advierte que la persona solicitante pretende acceder a la preparación laboral de la Contralora Municipal para el desempeño de sus </w:t>
      </w:r>
      <w:r w:rsidR="00FF658B" w:rsidRPr="004628FD">
        <w:rPr>
          <w:rFonts w:ascii="Palatino Linotype" w:eastAsia="Palatino Linotype" w:hAnsi="Palatino Linotype" w:cs="Palatino Linotype"/>
          <w:sz w:val="22"/>
          <w:szCs w:val="22"/>
        </w:rPr>
        <w:t>funciones</w:t>
      </w:r>
      <w:r w:rsidR="00382805" w:rsidRPr="004628FD">
        <w:rPr>
          <w:rFonts w:ascii="Palatino Linotype" w:eastAsia="Palatino Linotype" w:hAnsi="Palatino Linotype" w:cs="Palatino Linotype"/>
          <w:sz w:val="22"/>
          <w:szCs w:val="22"/>
        </w:rPr>
        <w:t>, en otras palabras</w:t>
      </w:r>
      <w:r w:rsidR="00FF658B" w:rsidRPr="004628FD">
        <w:rPr>
          <w:rFonts w:ascii="Palatino Linotype" w:eastAsia="Palatino Linotype" w:hAnsi="Palatino Linotype" w:cs="Palatino Linotype"/>
          <w:sz w:val="22"/>
          <w:szCs w:val="22"/>
        </w:rPr>
        <w:t xml:space="preserve">, su pretensión se encamina a </w:t>
      </w:r>
      <w:r w:rsidR="00EB4AA0" w:rsidRPr="004628FD">
        <w:rPr>
          <w:rFonts w:ascii="Palatino Linotype" w:eastAsia="Palatino Linotype" w:hAnsi="Palatino Linotype" w:cs="Palatino Linotype"/>
          <w:sz w:val="22"/>
          <w:szCs w:val="22"/>
        </w:rPr>
        <w:t>conocer las habilidades y méritos obtenidos por la persona que ostenta el cargo de Contralora Municipal.</w:t>
      </w:r>
    </w:p>
    <w:p w14:paraId="2FEFF816" w14:textId="2A729C6E" w:rsidR="00382805" w:rsidRPr="004628FD" w:rsidRDefault="00382805" w:rsidP="00382805">
      <w:pPr>
        <w:spacing w:before="280" w:after="28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En este sentido, conviene precisar que de conformidad con el artículo 113 de la Ley Orgánica Municipal del Estado de México, para ser Contralor Municipal es necesario cumplir con los requisitos que se exigen para ser Tesorero Municipal, con excepción de la caución correspondiente. Dichos requisitos se encuentran establecidos en el artículo 96 de la misma Ley, a saber:</w:t>
      </w:r>
    </w:p>
    <w:p w14:paraId="240D4015" w14:textId="77777777" w:rsidR="00382805" w:rsidRPr="004628FD" w:rsidRDefault="00382805" w:rsidP="00382805">
      <w:pPr>
        <w:spacing w:before="120" w:after="120"/>
        <w:ind w:left="851" w:right="902"/>
        <w:jc w:val="both"/>
        <w:rPr>
          <w:rFonts w:ascii="Palatino Linotype" w:hAnsi="Palatino Linotype"/>
          <w:i/>
          <w:sz w:val="22"/>
          <w:szCs w:val="22"/>
        </w:rPr>
      </w:pPr>
      <w:r w:rsidRPr="004628FD">
        <w:rPr>
          <w:rFonts w:ascii="Palatino Linotype" w:eastAsia="Palatino Linotype" w:hAnsi="Palatino Linotype" w:cs="Palatino Linotype"/>
          <w:i/>
          <w:sz w:val="22"/>
          <w:szCs w:val="22"/>
        </w:rPr>
        <w:t xml:space="preserve"> “</w:t>
      </w:r>
      <w:r w:rsidRPr="004628FD">
        <w:rPr>
          <w:rFonts w:ascii="Palatino Linotype" w:hAnsi="Palatino Linotype"/>
          <w:b/>
          <w:i/>
          <w:sz w:val="22"/>
          <w:szCs w:val="22"/>
        </w:rPr>
        <w:t>Artículo 96.-</w:t>
      </w:r>
      <w:r w:rsidRPr="004628FD">
        <w:rPr>
          <w:rFonts w:ascii="Palatino Linotype" w:hAnsi="Palatino Linotype"/>
          <w:i/>
          <w:sz w:val="22"/>
          <w:szCs w:val="22"/>
        </w:rPr>
        <w:t xml:space="preserve"> Para ser tesorero municipal se requiere, además de los requisitos del artículos 32 de esta Ley:</w:t>
      </w:r>
    </w:p>
    <w:p w14:paraId="2B60222C" w14:textId="77777777" w:rsidR="00382805" w:rsidRPr="004628FD" w:rsidRDefault="00382805" w:rsidP="00382805">
      <w:pPr>
        <w:spacing w:before="120" w:after="120"/>
        <w:ind w:left="851" w:right="902"/>
        <w:jc w:val="both"/>
        <w:rPr>
          <w:rFonts w:ascii="Palatino Linotype" w:hAnsi="Palatino Linotype"/>
          <w:b/>
          <w:i/>
          <w:sz w:val="22"/>
          <w:szCs w:val="22"/>
        </w:rPr>
      </w:pPr>
      <w:r w:rsidRPr="004628FD">
        <w:rPr>
          <w:rFonts w:ascii="Palatino Linotype" w:hAnsi="Palatino Linotype"/>
          <w:b/>
          <w:i/>
          <w:sz w:val="22"/>
          <w:szCs w:val="22"/>
        </w:rPr>
        <w:t>I</w:t>
      </w:r>
      <w:r w:rsidRPr="004628FD">
        <w:rPr>
          <w:rFonts w:ascii="Palatino Linotype" w:hAnsi="Palatino Linotype"/>
          <w:i/>
          <w:sz w:val="22"/>
          <w:szCs w:val="22"/>
        </w:rPr>
        <w:t xml:space="preserve">. </w:t>
      </w:r>
      <w:r w:rsidRPr="004628FD">
        <w:rPr>
          <w:rFonts w:ascii="Palatino Linotype" w:hAnsi="Palatino Linotype"/>
          <w:b/>
          <w:i/>
          <w:sz w:val="22"/>
          <w:szCs w:val="22"/>
          <w:u w:val="single"/>
        </w:rPr>
        <w:t>Tener los conocimientos suficientes para poder desempeñar el cargo</w:t>
      </w:r>
      <w:r w:rsidRPr="004628FD">
        <w:rPr>
          <w:rFonts w:ascii="Palatino Linotype" w:hAnsi="Palatino Linotype"/>
          <w:b/>
          <w:i/>
          <w:sz w:val="22"/>
          <w:szCs w:val="22"/>
        </w:rPr>
        <w:t xml:space="preserve">, </w:t>
      </w:r>
      <w:r w:rsidRPr="004628FD">
        <w:rPr>
          <w:rFonts w:ascii="Palatino Linotype" w:hAnsi="Palatino Linotype"/>
          <w:b/>
          <w:i/>
          <w:sz w:val="22"/>
          <w:szCs w:val="22"/>
          <w:u w:val="single"/>
        </w:rPr>
        <w:t>a juicio del Ayuntamiento</w:t>
      </w:r>
      <w:r w:rsidRPr="004628FD">
        <w:rPr>
          <w:rFonts w:ascii="Palatino Linotype" w:hAnsi="Palatino Linotype"/>
          <w:b/>
          <w:i/>
          <w:sz w:val="22"/>
          <w:szCs w:val="22"/>
        </w:rPr>
        <w:t xml:space="preserve">; contar con título profesional en las áreas jurídicas, económicas o contables administrativas, </w:t>
      </w:r>
      <w:r w:rsidRPr="004628FD">
        <w:rPr>
          <w:rFonts w:ascii="Palatino Linotype" w:hAnsi="Palatino Linotype"/>
          <w:b/>
          <w:i/>
          <w:sz w:val="22"/>
          <w:szCs w:val="22"/>
          <w:u w:val="single"/>
        </w:rPr>
        <w:t>con experiencia mínima de un año, con anterioridad a la fecha de su designación</w:t>
      </w:r>
      <w:r w:rsidRPr="004628FD">
        <w:rPr>
          <w:rFonts w:ascii="Palatino Linotype" w:hAnsi="Palatino Linotype"/>
          <w:b/>
          <w:i/>
          <w:sz w:val="22"/>
          <w:szCs w:val="22"/>
        </w:rPr>
        <w:t xml:space="preserve">,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14:paraId="220BC2D6" w14:textId="77777777" w:rsidR="00382805" w:rsidRPr="004628FD" w:rsidRDefault="00382805" w:rsidP="00382805">
      <w:pPr>
        <w:spacing w:before="120" w:after="120"/>
        <w:ind w:left="851" w:right="902"/>
        <w:jc w:val="both"/>
        <w:rPr>
          <w:rFonts w:ascii="Palatino Linotype" w:hAnsi="Palatino Linotype"/>
          <w:b/>
          <w:i/>
          <w:sz w:val="22"/>
          <w:szCs w:val="22"/>
        </w:rPr>
      </w:pPr>
      <w:r w:rsidRPr="004628FD">
        <w:rPr>
          <w:rFonts w:ascii="Palatino Linotype" w:hAnsi="Palatino Linotype"/>
          <w:b/>
          <w:i/>
          <w:sz w:val="22"/>
          <w:szCs w:val="22"/>
        </w:rPr>
        <w:t xml:space="preserve">El requisito de la certificación de competencia laboral, deberá acreditarse dentro de los seis meses siguientes a la fecha en que inicie funciones. </w:t>
      </w:r>
    </w:p>
    <w:p w14:paraId="383E3ED8" w14:textId="77777777" w:rsidR="00382805" w:rsidRPr="004628FD" w:rsidRDefault="00382805" w:rsidP="00382805">
      <w:pPr>
        <w:spacing w:before="120" w:after="120"/>
        <w:ind w:left="851" w:right="902"/>
        <w:jc w:val="both"/>
        <w:rPr>
          <w:rFonts w:ascii="Palatino Linotype" w:hAnsi="Palatino Linotype"/>
          <w:i/>
          <w:sz w:val="22"/>
          <w:szCs w:val="22"/>
        </w:rPr>
      </w:pPr>
      <w:r w:rsidRPr="004628FD">
        <w:rPr>
          <w:rFonts w:ascii="Palatino Linotype" w:hAnsi="Palatino Linotype"/>
          <w:b/>
          <w:i/>
          <w:sz w:val="22"/>
          <w:szCs w:val="22"/>
        </w:rPr>
        <w:t>II.</w:t>
      </w:r>
      <w:r w:rsidRPr="004628FD">
        <w:rPr>
          <w:rFonts w:ascii="Palatino Linotype" w:hAnsi="Palatino Linotype"/>
          <w:i/>
          <w:sz w:val="22"/>
          <w:szCs w:val="22"/>
        </w:rPr>
        <w:t xml:space="preserve">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14:paraId="46FDB9AA" w14:textId="77777777" w:rsidR="00382805" w:rsidRPr="004628FD" w:rsidRDefault="00382805" w:rsidP="00382805">
      <w:pPr>
        <w:spacing w:before="120" w:after="120"/>
        <w:ind w:left="851" w:right="902"/>
        <w:jc w:val="both"/>
        <w:rPr>
          <w:rFonts w:ascii="Palatino Linotype" w:hAnsi="Palatino Linotype"/>
          <w:i/>
          <w:sz w:val="22"/>
          <w:szCs w:val="22"/>
        </w:rPr>
      </w:pPr>
      <w:r w:rsidRPr="004628FD">
        <w:rPr>
          <w:rFonts w:ascii="Palatino Linotype" w:hAnsi="Palatino Linotype"/>
          <w:b/>
          <w:i/>
          <w:sz w:val="22"/>
          <w:szCs w:val="22"/>
        </w:rPr>
        <w:t>III.</w:t>
      </w:r>
      <w:r w:rsidRPr="004628FD">
        <w:rPr>
          <w:rFonts w:ascii="Palatino Linotype" w:hAnsi="Palatino Linotype"/>
          <w:i/>
          <w:sz w:val="22"/>
          <w:szCs w:val="22"/>
        </w:rPr>
        <w:t xml:space="preserve"> Derogada </w:t>
      </w:r>
    </w:p>
    <w:p w14:paraId="0EC87665" w14:textId="77777777" w:rsidR="00382805" w:rsidRPr="004628FD" w:rsidRDefault="00382805" w:rsidP="00382805">
      <w:pPr>
        <w:spacing w:before="120" w:after="120"/>
        <w:ind w:left="851" w:right="902"/>
        <w:jc w:val="both"/>
        <w:rPr>
          <w:rFonts w:ascii="Palatino Linotype" w:eastAsia="Palatino Linotype" w:hAnsi="Palatino Linotype" w:cs="Palatino Linotype"/>
          <w:i/>
          <w:sz w:val="22"/>
          <w:szCs w:val="22"/>
        </w:rPr>
      </w:pPr>
      <w:r w:rsidRPr="004628FD">
        <w:rPr>
          <w:rFonts w:ascii="Palatino Linotype" w:hAnsi="Palatino Linotype"/>
          <w:b/>
          <w:i/>
          <w:sz w:val="22"/>
          <w:szCs w:val="22"/>
        </w:rPr>
        <w:t>IV.</w:t>
      </w:r>
      <w:r w:rsidRPr="004628FD">
        <w:rPr>
          <w:rFonts w:ascii="Palatino Linotype" w:hAnsi="Palatino Linotype"/>
          <w:i/>
          <w:sz w:val="22"/>
          <w:szCs w:val="22"/>
        </w:rPr>
        <w:t xml:space="preserve"> Cumplir con otros requisitos que señalen las leyes, o acuerde el ayuntamiento.”</w:t>
      </w:r>
    </w:p>
    <w:p w14:paraId="3B72A6AE" w14:textId="78D423B5" w:rsidR="00382805" w:rsidRPr="004628FD" w:rsidRDefault="00382805" w:rsidP="00382805">
      <w:pPr>
        <w:spacing w:before="280" w:after="28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Del precepto en cita se desprende que para ocupar el cargo de Contralor Municipal se debe contar, entre otros requisitos, con los conocimientos necesarios </w:t>
      </w:r>
      <w:r w:rsidRPr="004628FD">
        <w:rPr>
          <w:rFonts w:ascii="Palatino Linotype" w:eastAsia="Palatino Linotype" w:hAnsi="Palatino Linotype" w:cs="Palatino Linotype"/>
          <w:b/>
          <w:sz w:val="22"/>
          <w:szCs w:val="22"/>
          <w:u w:val="single"/>
        </w:rPr>
        <w:t>a juicio del ayuntamiento</w:t>
      </w:r>
      <w:r w:rsidRPr="004628FD">
        <w:rPr>
          <w:rFonts w:ascii="Palatino Linotype" w:eastAsia="Palatino Linotype" w:hAnsi="Palatino Linotype" w:cs="Palatino Linotype"/>
          <w:sz w:val="22"/>
          <w:szCs w:val="22"/>
        </w:rPr>
        <w:t xml:space="preserve">, </w:t>
      </w:r>
      <w:r w:rsidRPr="004628FD">
        <w:rPr>
          <w:rFonts w:ascii="Palatino Linotype" w:hAnsi="Palatino Linotype"/>
          <w:sz w:val="22"/>
          <w:szCs w:val="22"/>
        </w:rPr>
        <w:t>título profesional en las áreas jurídicas, económicas o contables administrativas</w:t>
      </w:r>
      <w:r w:rsidRPr="004628FD">
        <w:rPr>
          <w:rFonts w:ascii="Palatino Linotype" w:eastAsia="Palatino Linotype" w:hAnsi="Palatino Linotype" w:cs="Palatino Linotype"/>
          <w:sz w:val="22"/>
          <w:szCs w:val="22"/>
        </w:rPr>
        <w:t>, así como con experiencia mínimo de un año</w:t>
      </w:r>
      <w:r w:rsidRPr="004628FD">
        <w:rPr>
          <w:rFonts w:ascii="Palatino Linotype" w:hAnsi="Palatino Linotype"/>
          <w:sz w:val="22"/>
          <w:szCs w:val="22"/>
        </w:rPr>
        <w:t xml:space="preserve"> con anterioridad a la fecha de la designación, y con certificación de competencia laboral en funciones expedida por el Instituto Hacendario del Estado de México o por alguna institución con reconocimiento de validez oficial, que asegure los conocimientos y habilidades para desempeñar el cargo, sin embargo, no se establece la obligación de contar específicamente con reuniones, </w:t>
      </w:r>
      <w:r w:rsidRPr="004628FD">
        <w:rPr>
          <w:rFonts w:ascii="Palatino Linotype" w:eastAsia="Palatino Linotype" w:hAnsi="Palatino Linotype" w:cs="Palatino Linotype"/>
          <w:sz w:val="22"/>
          <w:szCs w:val="22"/>
        </w:rPr>
        <w:t>talleres, seminarios y/o cursos.</w:t>
      </w:r>
    </w:p>
    <w:p w14:paraId="53FDC0AE" w14:textId="1F374ACF" w:rsidR="00EB4AA0" w:rsidRPr="004628FD" w:rsidRDefault="00382805" w:rsidP="00953E53">
      <w:pPr>
        <w:spacing w:before="280" w:after="28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Sin embargo, </w:t>
      </w:r>
      <w:r w:rsidR="00D0053F" w:rsidRPr="004628FD">
        <w:rPr>
          <w:rFonts w:ascii="Palatino Linotype" w:eastAsia="Palatino Linotype" w:hAnsi="Palatino Linotype" w:cs="Palatino Linotype"/>
          <w:sz w:val="22"/>
          <w:szCs w:val="22"/>
        </w:rPr>
        <w:t xml:space="preserve">se estima que el documento mediante el cual el </w:t>
      </w:r>
      <w:r w:rsidR="00D0053F" w:rsidRPr="004628FD">
        <w:rPr>
          <w:rFonts w:ascii="Palatino Linotype" w:eastAsia="Palatino Linotype" w:hAnsi="Palatino Linotype" w:cs="Palatino Linotype"/>
          <w:b/>
          <w:sz w:val="22"/>
          <w:szCs w:val="22"/>
        </w:rPr>
        <w:t>Sujeto Obligado</w:t>
      </w:r>
      <w:r w:rsidR="00D0053F" w:rsidRPr="004628FD">
        <w:rPr>
          <w:rFonts w:ascii="Palatino Linotype" w:eastAsia="Palatino Linotype" w:hAnsi="Palatino Linotype" w:cs="Palatino Linotype"/>
          <w:sz w:val="22"/>
          <w:szCs w:val="22"/>
        </w:rPr>
        <w:t xml:space="preserve"> </w:t>
      </w:r>
      <w:proofErr w:type="spellStart"/>
      <w:r w:rsidRPr="004628FD">
        <w:rPr>
          <w:rFonts w:ascii="Palatino Linotype" w:eastAsia="Palatino Linotype" w:hAnsi="Palatino Linotype" w:cs="Palatino Linotype"/>
          <w:sz w:val="22"/>
          <w:szCs w:val="22"/>
        </w:rPr>
        <w:t>podria</w:t>
      </w:r>
      <w:proofErr w:type="spellEnd"/>
      <w:r w:rsidR="00D0053F" w:rsidRPr="004628FD">
        <w:rPr>
          <w:rFonts w:ascii="Palatino Linotype" w:eastAsia="Palatino Linotype" w:hAnsi="Palatino Linotype" w:cs="Palatino Linotype"/>
          <w:sz w:val="22"/>
          <w:szCs w:val="22"/>
        </w:rPr>
        <w:t xml:space="preserve"> atender el requerimiento de información es, de manera enunciativa más no limitativa el </w:t>
      </w:r>
      <w:proofErr w:type="spellStart"/>
      <w:r w:rsidR="00D0053F" w:rsidRPr="004628FD">
        <w:rPr>
          <w:rFonts w:ascii="Palatino Linotype" w:eastAsia="Palatino Linotype" w:hAnsi="Palatino Linotype" w:cs="Palatino Linotype"/>
          <w:sz w:val="22"/>
          <w:szCs w:val="22"/>
        </w:rPr>
        <w:t>curriculu</w:t>
      </w:r>
      <w:r w:rsidR="00953E53" w:rsidRPr="004628FD">
        <w:rPr>
          <w:rFonts w:ascii="Palatino Linotype" w:eastAsia="Palatino Linotype" w:hAnsi="Palatino Linotype" w:cs="Palatino Linotype"/>
          <w:sz w:val="22"/>
          <w:szCs w:val="22"/>
        </w:rPr>
        <w:t>m</w:t>
      </w:r>
      <w:proofErr w:type="spellEnd"/>
      <w:r w:rsidR="00953E53" w:rsidRPr="004628FD">
        <w:rPr>
          <w:rFonts w:ascii="Palatino Linotype" w:eastAsia="Palatino Linotype" w:hAnsi="Palatino Linotype" w:cs="Palatino Linotype"/>
          <w:sz w:val="22"/>
          <w:szCs w:val="22"/>
        </w:rPr>
        <w:t xml:space="preserve"> vitae de la servidora pública, o bien las constancias de las </w:t>
      </w:r>
      <w:r w:rsidR="00953E53" w:rsidRPr="004628FD">
        <w:rPr>
          <w:rFonts w:ascii="Palatino Linotype" w:hAnsi="Palatino Linotype"/>
          <w:sz w:val="22"/>
          <w:szCs w:val="22"/>
        </w:rPr>
        <w:t xml:space="preserve">reuniones, </w:t>
      </w:r>
      <w:r w:rsidR="00953E53" w:rsidRPr="004628FD">
        <w:rPr>
          <w:rFonts w:ascii="Palatino Linotype" w:eastAsia="Palatino Linotype" w:hAnsi="Palatino Linotype" w:cs="Palatino Linotype"/>
          <w:sz w:val="22"/>
          <w:szCs w:val="22"/>
        </w:rPr>
        <w:t>talleres, seminarios y/o cursos, que hubiese tomado en su caso.</w:t>
      </w:r>
    </w:p>
    <w:p w14:paraId="7FEF624F" w14:textId="77777777" w:rsidR="00D0053F" w:rsidRPr="004628FD" w:rsidRDefault="00D0053F" w:rsidP="00D0053F">
      <w:pPr>
        <w:spacing w:before="240" w:after="240" w:line="360" w:lineRule="auto"/>
        <w:ind w:right="51"/>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Para sustentar lo anterior, es </w:t>
      </w:r>
      <w:r w:rsidRPr="004628FD">
        <w:rPr>
          <w:rFonts w:ascii="Palatino Linotype" w:hAnsi="Palatino Linotype" w:cs="Arial"/>
          <w:sz w:val="22"/>
          <w:szCs w:val="22"/>
        </w:rPr>
        <w:t xml:space="preserve">oportuno mencionar que </w:t>
      </w:r>
      <w:r w:rsidRPr="004628FD">
        <w:rPr>
          <w:rFonts w:ascii="Palatino Linotype" w:eastAsia="Palatino Linotype" w:hAnsi="Palatino Linotype" w:cs="Palatino Linotype"/>
          <w:sz w:val="22"/>
          <w:szCs w:val="22"/>
        </w:rPr>
        <w:t>el concepto “</w:t>
      </w:r>
      <w:proofErr w:type="spellStart"/>
      <w:r w:rsidRPr="004628FD">
        <w:rPr>
          <w:rFonts w:ascii="Palatino Linotype" w:eastAsia="Palatino Linotype" w:hAnsi="Palatino Linotype" w:cs="Palatino Linotype"/>
          <w:sz w:val="22"/>
          <w:szCs w:val="22"/>
        </w:rPr>
        <w:t>curriculum</w:t>
      </w:r>
      <w:proofErr w:type="spellEnd"/>
      <w:r w:rsidRPr="004628FD">
        <w:rPr>
          <w:rFonts w:ascii="Palatino Linotype" w:eastAsia="Palatino Linotype" w:hAnsi="Palatino Linotype" w:cs="Palatino Linotype"/>
          <w:sz w:val="22"/>
          <w:szCs w:val="22"/>
        </w:rPr>
        <w:t>” corresponde a una locución latina cuyo significado es “</w:t>
      </w:r>
      <w:r w:rsidRPr="004628FD">
        <w:rPr>
          <w:rFonts w:ascii="Palatino Linotype" w:eastAsia="Palatino Linotype" w:hAnsi="Palatino Linotype" w:cs="Palatino Linotype"/>
          <w:i/>
          <w:sz w:val="22"/>
          <w:szCs w:val="22"/>
        </w:rPr>
        <w:t>carrera de vida”, Se usa como locución nominal masculina para designar la relación de los datos personales, formación académica, actividad laboral y méritos de una persona.”</w:t>
      </w:r>
      <w:r w:rsidRPr="004628FD">
        <w:rPr>
          <w:rFonts w:ascii="Palatino Linotype" w:eastAsia="Palatino Linotype" w:hAnsi="Palatino Linotype" w:cs="Palatino Linotype"/>
          <w:sz w:val="22"/>
          <w:szCs w:val="22"/>
        </w:rPr>
        <w:t xml:space="preserve"> (Sic)</w:t>
      </w:r>
    </w:p>
    <w:p w14:paraId="1D9B7D0B" w14:textId="416112DA" w:rsidR="00D0053F" w:rsidRPr="004628FD" w:rsidRDefault="00D0053F" w:rsidP="00D0053F">
      <w:pPr>
        <w:spacing w:before="240" w:after="240" w:line="360" w:lineRule="auto"/>
        <w:ind w:right="51"/>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De la interpretación a esta definición se desprende que el currículum vitae está relacionado con la hoja de vida o carrera de vida de una persona, donde se podría apreciar la preparación académica y laboral que tiene, además de los méritos </w:t>
      </w:r>
      <w:r w:rsidRPr="004628FD">
        <w:rPr>
          <w:rFonts w:ascii="Palatino Linotype" w:eastAsia="Palatino Linotype" w:hAnsi="Palatino Linotype" w:cs="Palatino Linotype"/>
          <w:b/>
          <w:sz w:val="22"/>
          <w:szCs w:val="22"/>
        </w:rPr>
        <w:t>obtenidos tal y como podrían ser cursos, certificaciones o capacitaciones.</w:t>
      </w:r>
    </w:p>
    <w:p w14:paraId="7118CAB6" w14:textId="77777777" w:rsidR="00D0053F" w:rsidRPr="004628FD" w:rsidRDefault="00D0053F" w:rsidP="00D0053F">
      <w:pPr>
        <w:spacing w:before="240" w:after="240" w:line="360" w:lineRule="auto"/>
        <w:ind w:right="51"/>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Por su lado, la Real Academia Española, lo define como a continuación se cita: </w:t>
      </w:r>
    </w:p>
    <w:p w14:paraId="5F259F67" w14:textId="77777777" w:rsidR="00D0053F" w:rsidRPr="004628FD" w:rsidRDefault="00D0053F" w:rsidP="00D0053F">
      <w:pPr>
        <w:spacing w:before="240" w:after="240"/>
        <w:ind w:left="851" w:right="1127"/>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w:t>
      </w:r>
      <w:r w:rsidRPr="004628FD">
        <w:rPr>
          <w:rFonts w:ascii="Palatino Linotype" w:eastAsia="Palatino Linotype" w:hAnsi="Palatino Linotype" w:cs="Palatino Linotype"/>
          <w:i/>
          <w:sz w:val="22"/>
          <w:szCs w:val="22"/>
        </w:rPr>
        <w:t xml:space="preserve">Relación de los títulos, honores, cargos, trabajos realizados, datos biográficos, </w:t>
      </w:r>
      <w:proofErr w:type="spellStart"/>
      <w:r w:rsidRPr="004628FD">
        <w:rPr>
          <w:rFonts w:ascii="Palatino Linotype" w:eastAsia="Palatino Linotype" w:hAnsi="Palatino Linotype" w:cs="Palatino Linotype"/>
          <w:i/>
          <w:sz w:val="22"/>
          <w:szCs w:val="22"/>
        </w:rPr>
        <w:t>etc</w:t>
      </w:r>
      <w:proofErr w:type="spellEnd"/>
      <w:r w:rsidRPr="004628FD">
        <w:rPr>
          <w:rFonts w:ascii="Palatino Linotype" w:eastAsia="Palatino Linotype" w:hAnsi="Palatino Linotype" w:cs="Palatino Linotype"/>
          <w:i/>
          <w:sz w:val="22"/>
          <w:szCs w:val="22"/>
        </w:rPr>
        <w:t>, que califican a una persona</w:t>
      </w:r>
      <w:r w:rsidRPr="004628FD">
        <w:rPr>
          <w:rFonts w:ascii="Palatino Linotype" w:eastAsia="Palatino Linotype" w:hAnsi="Palatino Linotype" w:cs="Palatino Linotype"/>
          <w:sz w:val="22"/>
          <w:szCs w:val="22"/>
        </w:rPr>
        <w:t>” (Sic)</w:t>
      </w:r>
    </w:p>
    <w:p w14:paraId="43479ABC" w14:textId="77777777" w:rsidR="00D0053F" w:rsidRPr="004628FD" w:rsidRDefault="00D0053F" w:rsidP="00D0053F">
      <w:pPr>
        <w:spacing w:before="240" w:after="240" w:line="360" w:lineRule="auto"/>
        <w:ind w:right="51"/>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Desde esta perspectiva, a través del currículum vitae se pueden conocer los estudios realizados o bien el nivel académico, así como la experiencia laboral de los servidores públicos que se encuentran adscritos a un Sujeto Obligado, información que es de carácter público de conformidad con el criterio orientador 03/2009, emitido por el entonces Instituto Federal de Acceso a la Información y Protección de Datos, IFAI, después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2D07E70E" w14:textId="77777777" w:rsidR="00D0053F" w:rsidRPr="004628FD" w:rsidRDefault="00D0053F" w:rsidP="00D0053F">
      <w:pPr>
        <w:spacing w:before="120" w:after="120"/>
        <w:ind w:left="851" w:right="1127"/>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i/>
          <w:sz w:val="22"/>
          <w:szCs w:val="22"/>
        </w:rPr>
        <w:t>“</w:t>
      </w:r>
      <w:proofErr w:type="spellStart"/>
      <w:r w:rsidRPr="004628FD">
        <w:rPr>
          <w:rFonts w:ascii="Palatino Linotype" w:eastAsia="Palatino Linotype" w:hAnsi="Palatino Linotype" w:cs="Palatino Linotype"/>
          <w:b/>
          <w:i/>
          <w:sz w:val="22"/>
          <w:szCs w:val="22"/>
        </w:rPr>
        <w:t>Curriculum</w:t>
      </w:r>
      <w:proofErr w:type="spellEnd"/>
      <w:r w:rsidRPr="004628FD">
        <w:rPr>
          <w:rFonts w:ascii="Palatino Linotype" w:eastAsia="Palatino Linotype" w:hAnsi="Palatino Linotype" w:cs="Palatino Linotype"/>
          <w:b/>
          <w:i/>
          <w:sz w:val="22"/>
          <w:szCs w:val="22"/>
        </w:rPr>
        <w:t xml:space="preserve"> Vitae de servidores públicos. Es obligación de los sujetos obligados otorgar acceso a versiones públicas de los mismos ante una solicitud de acceso</w:t>
      </w:r>
      <w:r w:rsidRPr="004628FD">
        <w:rPr>
          <w:rFonts w:ascii="Palatino Linotype" w:eastAsia="Palatino Linotype" w:hAnsi="Palatino Linotype" w:cs="Palatino Linotype"/>
          <w:i/>
          <w:sz w:val="22"/>
          <w:szCs w:val="22"/>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w:t>
      </w:r>
      <w:r w:rsidRPr="004628FD">
        <w:rPr>
          <w:rFonts w:ascii="Palatino Linotype" w:eastAsia="Palatino Linotype" w:hAnsi="Palatino Linotype" w:cs="Palatino Linotype"/>
          <w:b/>
          <w:i/>
          <w:sz w:val="22"/>
          <w:szCs w:val="22"/>
        </w:rPr>
        <w:t xml:space="preserve">Si bien en el </w:t>
      </w:r>
      <w:proofErr w:type="spellStart"/>
      <w:r w:rsidRPr="004628FD">
        <w:rPr>
          <w:rFonts w:ascii="Palatino Linotype" w:eastAsia="Palatino Linotype" w:hAnsi="Palatino Linotype" w:cs="Palatino Linotype"/>
          <w:b/>
          <w:i/>
          <w:sz w:val="22"/>
          <w:szCs w:val="22"/>
        </w:rPr>
        <w:t>curriculum</w:t>
      </w:r>
      <w:proofErr w:type="spellEnd"/>
      <w:r w:rsidRPr="004628FD">
        <w:rPr>
          <w:rFonts w:ascii="Palatino Linotype" w:eastAsia="Palatino Linotype" w:hAnsi="Palatino Linotype" w:cs="Palatino Linotype"/>
          <w:b/>
          <w:i/>
          <w:sz w:val="22"/>
          <w:szCs w:val="22"/>
        </w:rPr>
        <w:t xml:space="preserve"> vitae se describe información de una persona relacionada con su formación académica, trayectoria profesional, datos de contacto, datos biográficos, entre otros, los cuales constituyen datos personales</w:t>
      </w:r>
      <w:r w:rsidRPr="004628FD">
        <w:rPr>
          <w:rFonts w:ascii="Palatino Linotype" w:eastAsia="Palatino Linotype" w:hAnsi="Palatino Linotype" w:cs="Palatino Linotype"/>
          <w:i/>
          <w:sz w:val="22"/>
          <w:szCs w:val="22"/>
        </w:rPr>
        <w:t xml:space="preserve">,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4628FD">
        <w:rPr>
          <w:rFonts w:ascii="Palatino Linotype" w:eastAsia="Palatino Linotype" w:hAnsi="Palatino Linotype" w:cs="Palatino Linotype"/>
          <w:b/>
          <w:i/>
          <w:sz w:val="22"/>
          <w:szCs w:val="22"/>
        </w:rPr>
        <w:t xml:space="preserve">tratándose del </w:t>
      </w:r>
      <w:proofErr w:type="spellStart"/>
      <w:r w:rsidRPr="004628FD">
        <w:rPr>
          <w:rFonts w:ascii="Palatino Linotype" w:eastAsia="Palatino Linotype" w:hAnsi="Palatino Linotype" w:cs="Palatino Linotype"/>
          <w:b/>
          <w:i/>
          <w:sz w:val="22"/>
          <w:szCs w:val="22"/>
        </w:rPr>
        <w:t>curriculum</w:t>
      </w:r>
      <w:proofErr w:type="spellEnd"/>
      <w:r w:rsidRPr="004628FD">
        <w:rPr>
          <w:rFonts w:ascii="Palatino Linotype" w:eastAsia="Palatino Linotype" w:hAnsi="Palatino Linotype" w:cs="Palatino Linotype"/>
          <w:b/>
          <w:i/>
          <w:sz w:val="22"/>
          <w:szCs w:val="22"/>
        </w:rPr>
        <w:t xml:space="preserve"> vitae de un servidor público, una de las formas en que los ciudadanos pueden evaluar sus aptitudes para desempeñar el cargo público que le ha sido encomendado, es mediante la publicidad de ciertos datos de los ahí contenidos</w:t>
      </w:r>
      <w:r w:rsidRPr="004628FD">
        <w:rPr>
          <w:rFonts w:ascii="Palatino Linotype" w:eastAsia="Palatino Linotype" w:hAnsi="Palatino Linotype" w:cs="Palatino Linotype"/>
          <w:i/>
          <w:sz w:val="22"/>
          <w:szCs w:val="22"/>
        </w:rPr>
        <w:t xml:space="preserve">. En esa tesitura, entre los datos personales del </w:t>
      </w:r>
      <w:proofErr w:type="spellStart"/>
      <w:r w:rsidRPr="004628FD">
        <w:rPr>
          <w:rFonts w:ascii="Palatino Linotype" w:eastAsia="Palatino Linotype" w:hAnsi="Palatino Linotype" w:cs="Palatino Linotype"/>
          <w:i/>
          <w:sz w:val="22"/>
          <w:szCs w:val="22"/>
        </w:rPr>
        <w:t>curriculum</w:t>
      </w:r>
      <w:proofErr w:type="spellEnd"/>
      <w:r w:rsidRPr="004628FD">
        <w:rPr>
          <w:rFonts w:ascii="Palatino Linotype" w:eastAsia="Palatino Linotype" w:hAnsi="Palatino Linotype" w:cs="Palatino Linotype"/>
          <w:i/>
          <w:sz w:val="22"/>
          <w:szCs w:val="22"/>
        </w:rPr>
        <w:t xml:space="preserve"> vitae de un servidor público </w:t>
      </w:r>
      <w:r w:rsidRPr="004628FD">
        <w:rPr>
          <w:rFonts w:ascii="Palatino Linotype" w:eastAsia="Palatino Linotype" w:hAnsi="Palatino Linotype" w:cs="Palatino Linotype"/>
          <w:b/>
          <w:i/>
          <w:sz w:val="22"/>
          <w:szCs w:val="22"/>
        </w:rPr>
        <w:t>susceptibles de hacerse del conocimiento público, ante una solicitud de acceso, se encuentran los relativos a su trayectoria académica, profesional, laboral, así como todos aquellos que acrediten su capacidad, habilidades o pericia para ocupar el cargo público</w:t>
      </w:r>
      <w:r w:rsidRPr="004628FD">
        <w:rPr>
          <w:rFonts w:ascii="Palatino Linotype" w:eastAsia="Palatino Linotype" w:hAnsi="Palatino Linotype" w:cs="Palatino Linotype"/>
          <w:i/>
          <w:sz w:val="22"/>
          <w:szCs w:val="22"/>
        </w:rPr>
        <w:t>.”</w:t>
      </w:r>
    </w:p>
    <w:p w14:paraId="2A11FE0E" w14:textId="77777777" w:rsidR="00D0053F" w:rsidRPr="004628FD" w:rsidRDefault="00D0053F" w:rsidP="00D0053F">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w:t>
      </w:r>
    </w:p>
    <w:p w14:paraId="013B97F3" w14:textId="77777777" w:rsidR="00F36DE8" w:rsidRPr="004628FD" w:rsidRDefault="00F36DE8" w:rsidP="00F36DE8">
      <w:pPr>
        <w:spacing w:before="240" w:after="240" w:line="360" w:lineRule="auto"/>
        <w:ind w:right="51"/>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Por lo que es posible determinar que el currículum vitae contiene información relacionada con la </w:t>
      </w:r>
      <w:r w:rsidRPr="004628FD">
        <w:rPr>
          <w:rFonts w:ascii="Palatino Linotype" w:eastAsia="Palatino Linotype" w:hAnsi="Palatino Linotype" w:cs="Palatino Linotype"/>
          <w:b/>
          <w:bCs/>
          <w:sz w:val="22"/>
          <w:szCs w:val="22"/>
        </w:rPr>
        <w:t>trayectoria académica</w:t>
      </w:r>
      <w:r w:rsidRPr="004628FD">
        <w:rPr>
          <w:rFonts w:ascii="Palatino Linotype" w:eastAsia="Palatino Linotype" w:hAnsi="Palatino Linotype" w:cs="Palatino Linotype"/>
          <w:sz w:val="22"/>
          <w:szCs w:val="22"/>
        </w:rPr>
        <w:t xml:space="preserve">, </w:t>
      </w:r>
      <w:r w:rsidRPr="004628FD">
        <w:rPr>
          <w:rFonts w:ascii="Palatino Linotype" w:eastAsia="Palatino Linotype" w:hAnsi="Palatino Linotype" w:cs="Palatino Linotype"/>
          <w:b/>
          <w:bCs/>
          <w:sz w:val="22"/>
          <w:szCs w:val="22"/>
        </w:rPr>
        <w:t xml:space="preserve">profesional </w:t>
      </w:r>
      <w:r w:rsidRPr="004628FD">
        <w:rPr>
          <w:rFonts w:ascii="Palatino Linotype" w:eastAsia="Palatino Linotype" w:hAnsi="Palatino Linotype" w:cs="Palatino Linotype"/>
          <w:sz w:val="22"/>
          <w:szCs w:val="22"/>
        </w:rPr>
        <w:t xml:space="preserve">y </w:t>
      </w:r>
      <w:r w:rsidRPr="004628FD">
        <w:rPr>
          <w:rFonts w:ascii="Palatino Linotype" w:eastAsia="Palatino Linotype" w:hAnsi="Palatino Linotype" w:cs="Palatino Linotype"/>
          <w:b/>
          <w:bCs/>
          <w:sz w:val="22"/>
          <w:szCs w:val="22"/>
        </w:rPr>
        <w:t>laboral,</w:t>
      </w:r>
      <w:r w:rsidRPr="004628FD">
        <w:rPr>
          <w:rFonts w:ascii="Palatino Linotype" w:eastAsia="Palatino Linotype" w:hAnsi="Palatino Linotype" w:cs="Palatino Linotype"/>
          <w:sz w:val="22"/>
          <w:szCs w:val="22"/>
        </w:rPr>
        <w:t xml:space="preserve">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342775AF" w14:textId="77777777" w:rsidR="00F36DE8" w:rsidRPr="004628FD" w:rsidRDefault="00F36DE8" w:rsidP="00F36DE8">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Y, si bien es cierto que no existe disposición legal que ordene de manera expresa que los Sujetos Obligados, deban contar en sus archivos con un documento denominado “currículum vitae” de sus servidores públicos, también lo es que para el desempeño de un empleo, cargo o comisión en el servicio público sí es requisito, entre otros, presentar una solicitud del empleo, que es un documento en el que se pudiera advertir también la experiencia académica, capacitaciones o aprendizajes de un Servidor Público, por así determinarlo el artículo 47, fracción I de la Ley del Trabajo de los Servidores Públicos del Estado y Municipios, vigente en la entidad, el cual a la letra dice lo siguiente:</w:t>
      </w:r>
    </w:p>
    <w:p w14:paraId="68DA8221" w14:textId="77777777" w:rsidR="00F36DE8" w:rsidRPr="004628FD" w:rsidRDefault="00F36DE8" w:rsidP="00F36DE8">
      <w:pPr>
        <w:spacing w:before="120" w:after="120"/>
        <w:ind w:left="851" w:right="900"/>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w:t>
      </w:r>
      <w:r w:rsidRPr="004628FD">
        <w:rPr>
          <w:rFonts w:ascii="Palatino Linotype" w:eastAsia="Palatino Linotype" w:hAnsi="Palatino Linotype" w:cs="Palatino Linotype"/>
          <w:b/>
          <w:i/>
          <w:sz w:val="22"/>
          <w:szCs w:val="22"/>
        </w:rPr>
        <w:t>ARTÍCULO 47</w:t>
      </w:r>
      <w:r w:rsidRPr="004628FD">
        <w:rPr>
          <w:rFonts w:ascii="Palatino Linotype" w:eastAsia="Palatino Linotype" w:hAnsi="Palatino Linotype" w:cs="Palatino Linotype"/>
          <w:i/>
          <w:sz w:val="22"/>
          <w:szCs w:val="22"/>
        </w:rPr>
        <w:t xml:space="preserve">. Para ingresar al servicio público se requiere: </w:t>
      </w:r>
    </w:p>
    <w:p w14:paraId="21BF17BD" w14:textId="77777777" w:rsidR="00F36DE8" w:rsidRPr="004628FD" w:rsidRDefault="00F36DE8" w:rsidP="00F36DE8">
      <w:pPr>
        <w:spacing w:before="120" w:after="120"/>
        <w:ind w:left="851" w:right="900"/>
        <w:jc w:val="both"/>
        <w:rPr>
          <w:rFonts w:ascii="Palatino Linotype" w:eastAsia="Palatino Linotype" w:hAnsi="Palatino Linotype" w:cs="Palatino Linotype"/>
          <w:b/>
          <w:i/>
          <w:sz w:val="22"/>
          <w:szCs w:val="22"/>
        </w:rPr>
      </w:pPr>
      <w:r w:rsidRPr="004628FD">
        <w:rPr>
          <w:rFonts w:ascii="Palatino Linotype" w:eastAsia="Palatino Linotype" w:hAnsi="Palatino Linotype" w:cs="Palatino Linotype"/>
          <w:b/>
          <w:i/>
          <w:sz w:val="22"/>
          <w:szCs w:val="22"/>
        </w:rPr>
        <w:t>I</w:t>
      </w:r>
      <w:r w:rsidRPr="004628FD">
        <w:rPr>
          <w:rFonts w:ascii="Palatino Linotype" w:eastAsia="Palatino Linotype" w:hAnsi="Palatino Linotype" w:cs="Palatino Linotype"/>
          <w:i/>
          <w:sz w:val="22"/>
          <w:szCs w:val="22"/>
        </w:rPr>
        <w:t xml:space="preserve">. </w:t>
      </w:r>
      <w:r w:rsidRPr="004628FD">
        <w:rPr>
          <w:rFonts w:ascii="Palatino Linotype" w:eastAsia="Palatino Linotype" w:hAnsi="Palatino Linotype" w:cs="Palatino Linotype"/>
          <w:b/>
          <w:i/>
          <w:sz w:val="22"/>
          <w:szCs w:val="22"/>
        </w:rPr>
        <w:t>Presentar una solicitud utilizando la forma oficial</w:t>
      </w:r>
      <w:r w:rsidRPr="004628FD">
        <w:rPr>
          <w:rFonts w:ascii="Palatino Linotype" w:eastAsia="Palatino Linotype" w:hAnsi="Palatino Linotype" w:cs="Palatino Linotype"/>
          <w:i/>
          <w:sz w:val="22"/>
          <w:szCs w:val="22"/>
        </w:rPr>
        <w:t xml:space="preserve"> que se autorice por la institución pública o dependencia correspondiente, </w:t>
      </w:r>
      <w:r w:rsidRPr="004628FD">
        <w:rPr>
          <w:rFonts w:ascii="Palatino Linotype" w:eastAsia="Palatino Linotype" w:hAnsi="Palatino Linotype" w:cs="Palatino Linotype"/>
          <w:b/>
          <w:i/>
          <w:sz w:val="22"/>
          <w:szCs w:val="22"/>
        </w:rPr>
        <w:t>a la cual se le prohíbe incluir la fotografía de quien solicita el empleo;”</w:t>
      </w:r>
    </w:p>
    <w:p w14:paraId="3AFE68C7" w14:textId="77777777" w:rsidR="00F36DE8" w:rsidRPr="004628FD" w:rsidRDefault="00F36DE8" w:rsidP="00F36DE8">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Por otro lado, debe apuntarse que la información curricular constituye una obligación de transparencia, pues los Sujetos Obligados cuentan con el deber de poner a disposición del público en el portal de Información Pública de Oficio Mexiquense, IPOMEX, la información curricular de sus servidores públicos, ello con la finalidad de enaltecer los principios de máxima publicidad, transparencia y certeza, como lo estipula  el artículo 92, fracción XXI de la Ley de Transparencia y Acceso a la Información Pública del Estado de México y Municipios, que es del tenor literal siguiente: </w:t>
      </w:r>
    </w:p>
    <w:p w14:paraId="4D068032" w14:textId="77777777" w:rsidR="00F36DE8" w:rsidRPr="004628FD" w:rsidRDefault="00F36DE8" w:rsidP="00F36DE8">
      <w:pPr>
        <w:spacing w:before="120" w:after="120"/>
        <w:ind w:left="851" w:right="1128"/>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w:t>
      </w:r>
      <w:r w:rsidRPr="004628FD">
        <w:rPr>
          <w:rFonts w:ascii="Palatino Linotype" w:eastAsia="Palatino Linotype" w:hAnsi="Palatino Linotype" w:cs="Palatino Linotype"/>
          <w:b/>
          <w:i/>
          <w:sz w:val="22"/>
          <w:szCs w:val="22"/>
        </w:rPr>
        <w:t>Artículo 92</w:t>
      </w:r>
      <w:r w:rsidRPr="004628FD">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D70D935" w14:textId="77777777" w:rsidR="00F36DE8" w:rsidRPr="004628FD" w:rsidRDefault="00F36DE8" w:rsidP="00F36DE8">
      <w:pPr>
        <w:tabs>
          <w:tab w:val="left" w:pos="2535"/>
        </w:tabs>
        <w:spacing w:before="120" w:after="120"/>
        <w:ind w:left="1276" w:right="1128"/>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w:t>
      </w:r>
      <w:r w:rsidRPr="004628FD">
        <w:rPr>
          <w:rFonts w:ascii="Palatino Linotype" w:eastAsia="Palatino Linotype" w:hAnsi="Palatino Linotype" w:cs="Palatino Linotype"/>
          <w:i/>
          <w:sz w:val="22"/>
          <w:szCs w:val="22"/>
        </w:rPr>
        <w:tab/>
      </w:r>
    </w:p>
    <w:p w14:paraId="3D496DF7" w14:textId="77777777" w:rsidR="00F36DE8" w:rsidRPr="004628FD" w:rsidRDefault="00F36DE8" w:rsidP="00F36DE8">
      <w:pPr>
        <w:spacing w:before="120" w:after="120"/>
        <w:ind w:left="1276" w:right="1128"/>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 xml:space="preserve">XXI. La </w:t>
      </w:r>
      <w:r w:rsidRPr="004628FD">
        <w:rPr>
          <w:rFonts w:ascii="Palatino Linotype" w:eastAsia="Palatino Linotype" w:hAnsi="Palatino Linotype" w:cs="Palatino Linotype"/>
          <w:b/>
          <w:i/>
          <w:sz w:val="22"/>
          <w:szCs w:val="22"/>
          <w:u w:val="single"/>
        </w:rPr>
        <w:t>información curricular</w:t>
      </w:r>
      <w:r w:rsidRPr="004628FD">
        <w:rPr>
          <w:rFonts w:ascii="Palatino Linotype" w:eastAsia="Palatino Linotype" w:hAnsi="Palatino Linotype" w:cs="Palatino Linotype"/>
          <w:b/>
          <w:i/>
          <w:sz w:val="22"/>
          <w:szCs w:val="22"/>
        </w:rPr>
        <w:t>, desde el nivel de jefe de departamento o equivalente, hasta el titular del sujeto obligado</w:t>
      </w:r>
      <w:r w:rsidRPr="004628FD">
        <w:rPr>
          <w:rFonts w:ascii="Palatino Linotype" w:eastAsia="Palatino Linotype" w:hAnsi="Palatino Linotype" w:cs="Palatino Linotype"/>
          <w:i/>
          <w:sz w:val="22"/>
          <w:szCs w:val="22"/>
        </w:rPr>
        <w:t>, así como, en su caso, las sanciones administrativas de que haya sido objeto;”</w:t>
      </w:r>
    </w:p>
    <w:p w14:paraId="1125EFD4" w14:textId="77777777" w:rsidR="00F36DE8" w:rsidRPr="004628FD" w:rsidRDefault="00F36DE8" w:rsidP="00F36DE8">
      <w:pPr>
        <w:spacing w:before="240" w:after="240" w:line="360" w:lineRule="auto"/>
        <w:ind w:right="51"/>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6FFF7B29" w14:textId="77777777" w:rsidR="00F36DE8" w:rsidRPr="004628FD" w:rsidRDefault="00F36DE8" w:rsidP="00F36DE8">
      <w:pPr>
        <w:spacing w:before="240" w:after="240" w:line="360" w:lineRule="auto"/>
        <w:jc w:val="both"/>
        <w:rPr>
          <w:rFonts w:ascii="Palatino Linotype" w:eastAsia="Palatino Linotype" w:hAnsi="Palatino Linotype" w:cs="Palatino Linotype"/>
          <w:b/>
          <w:sz w:val="22"/>
          <w:szCs w:val="22"/>
        </w:rPr>
      </w:pPr>
      <w:r w:rsidRPr="004628FD">
        <w:rPr>
          <w:rFonts w:ascii="Palatino Linotype" w:eastAsia="Palatino Linotype" w:hAnsi="Palatino Linotype" w:cs="Palatino Linotype"/>
          <w:sz w:val="22"/>
          <w:szCs w:val="22"/>
        </w:rPr>
        <w:t xml:space="preserve">En este orden de ideas, según Islas, Jorge (2016), en la “Ley General de Transparencia y Acceso a la Información Pública Comentada” (p. 244), refirió que el </w:t>
      </w:r>
      <w:proofErr w:type="spellStart"/>
      <w:r w:rsidRPr="004628FD">
        <w:rPr>
          <w:rFonts w:ascii="Palatino Linotype" w:eastAsia="Palatino Linotype" w:hAnsi="Palatino Linotype" w:cs="Palatino Linotype"/>
          <w:b/>
          <w:i/>
          <w:sz w:val="22"/>
          <w:szCs w:val="22"/>
        </w:rPr>
        <w:t>curriculum</w:t>
      </w:r>
      <w:proofErr w:type="spellEnd"/>
      <w:r w:rsidRPr="004628FD">
        <w:rPr>
          <w:rFonts w:ascii="Palatino Linotype" w:eastAsia="Palatino Linotype" w:hAnsi="Palatino Linotype" w:cs="Palatino Linotype"/>
          <w:b/>
          <w:i/>
          <w:sz w:val="22"/>
          <w:szCs w:val="22"/>
        </w:rPr>
        <w:t xml:space="preserve"> vitae</w:t>
      </w:r>
      <w:r w:rsidRPr="004628FD">
        <w:rPr>
          <w:rFonts w:ascii="Palatino Linotype" w:eastAsia="Palatino Linotype" w:hAnsi="Palatino Linotype" w:cs="Palatino Linotype"/>
          <w:b/>
          <w:sz w:val="22"/>
          <w:szCs w:val="22"/>
        </w:rPr>
        <w:t xml:space="preserve"> </w:t>
      </w:r>
      <w:r w:rsidRPr="004628FD">
        <w:rPr>
          <w:rFonts w:ascii="Palatino Linotype" w:eastAsia="Palatino Linotype" w:hAnsi="Palatino Linotype" w:cs="Palatino Linotype"/>
          <w:sz w:val="22"/>
          <w:szCs w:val="22"/>
        </w:rPr>
        <w:t>d</w:t>
      </w:r>
      <w:r w:rsidRPr="004628FD">
        <w:rPr>
          <w:rFonts w:ascii="Palatino Linotype" w:eastAsia="Palatino Linotype" w:hAnsi="Palatino Linotype" w:cs="Palatino Linotype"/>
          <w:b/>
          <w:sz w:val="22"/>
          <w:szCs w:val="22"/>
        </w:rPr>
        <w:t>e un servidor público, justifica que su formación académica resulta viable para el desempeño eficiente y correcto de su encargo; lo anterior, con el fin de acreditar que dichos trabajadores sean los más capacitados acordes al área solicitada.</w:t>
      </w:r>
    </w:p>
    <w:p w14:paraId="668C4397" w14:textId="0AEAABD9" w:rsidR="00F36DE8" w:rsidRPr="004628FD" w:rsidRDefault="00F36DE8" w:rsidP="00F36DE8">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De esta manera, se estima que con la entrega que se realice del </w:t>
      </w:r>
      <w:proofErr w:type="spellStart"/>
      <w:r w:rsidRPr="004628FD">
        <w:rPr>
          <w:rFonts w:ascii="Palatino Linotype" w:eastAsia="Palatino Linotype" w:hAnsi="Palatino Linotype" w:cs="Palatino Linotype"/>
          <w:sz w:val="22"/>
          <w:szCs w:val="22"/>
        </w:rPr>
        <w:t>curriculum</w:t>
      </w:r>
      <w:proofErr w:type="spellEnd"/>
      <w:r w:rsidRPr="004628FD">
        <w:rPr>
          <w:rFonts w:ascii="Palatino Linotype" w:eastAsia="Palatino Linotype" w:hAnsi="Palatino Linotype" w:cs="Palatino Linotype"/>
          <w:sz w:val="22"/>
          <w:szCs w:val="22"/>
        </w:rPr>
        <w:t xml:space="preserve"> vitae, ficha curricular, solicitud de empleo o documento análogo, también se daría cuenta del perfil profesional de la servidora pública solicitada, así como </w:t>
      </w:r>
      <w:r w:rsidR="007A172B" w:rsidRPr="004628FD">
        <w:rPr>
          <w:rFonts w:ascii="Palatino Linotype" w:eastAsia="Palatino Linotype" w:hAnsi="Palatino Linotype" w:cs="Palatino Linotype"/>
          <w:sz w:val="22"/>
          <w:szCs w:val="22"/>
        </w:rPr>
        <w:t xml:space="preserve">de </w:t>
      </w:r>
      <w:r w:rsidR="00382805" w:rsidRPr="004628FD">
        <w:rPr>
          <w:rFonts w:ascii="Palatino Linotype" w:eastAsia="Palatino Linotype" w:hAnsi="Palatino Linotype" w:cs="Palatino Linotype"/>
          <w:sz w:val="22"/>
          <w:szCs w:val="22"/>
        </w:rPr>
        <w:t xml:space="preserve">las </w:t>
      </w:r>
      <w:r w:rsidR="00382805" w:rsidRPr="004628FD">
        <w:rPr>
          <w:rFonts w:ascii="Palatino Linotype" w:eastAsia="Palatino Linotype" w:hAnsi="Palatino Linotype" w:cs="Palatino Linotype"/>
          <w:b/>
          <w:sz w:val="22"/>
          <w:szCs w:val="22"/>
          <w:u w:val="single"/>
        </w:rPr>
        <w:t xml:space="preserve">reuniones, </w:t>
      </w:r>
      <w:r w:rsidR="003B027F" w:rsidRPr="004628FD">
        <w:rPr>
          <w:rFonts w:ascii="Palatino Linotype" w:eastAsia="Palatino Linotype" w:hAnsi="Palatino Linotype" w:cs="Palatino Linotype"/>
          <w:b/>
          <w:sz w:val="22"/>
          <w:szCs w:val="22"/>
          <w:u w:val="single"/>
        </w:rPr>
        <w:t xml:space="preserve">talleres, seminarios y/o </w:t>
      </w:r>
      <w:r w:rsidR="007A172B" w:rsidRPr="004628FD">
        <w:rPr>
          <w:rFonts w:ascii="Palatino Linotype" w:eastAsia="Palatino Linotype" w:hAnsi="Palatino Linotype" w:cs="Palatino Linotype"/>
          <w:b/>
          <w:sz w:val="22"/>
          <w:szCs w:val="22"/>
          <w:u w:val="single"/>
        </w:rPr>
        <w:t>cursos que en su caso hubiese tomad</w:t>
      </w:r>
      <w:r w:rsidR="007A172B" w:rsidRPr="004628FD">
        <w:rPr>
          <w:rFonts w:ascii="Palatino Linotype" w:eastAsia="Palatino Linotype" w:hAnsi="Palatino Linotype" w:cs="Palatino Linotype"/>
          <w:sz w:val="22"/>
          <w:szCs w:val="22"/>
        </w:rPr>
        <w:t>o, de cuyo análisis la persona solicitante podrá advertir el número de estos.</w:t>
      </w:r>
    </w:p>
    <w:p w14:paraId="203ABBFE" w14:textId="2EFA62EE" w:rsidR="00C8599E" w:rsidRPr="004628FD" w:rsidRDefault="007A172B" w:rsidP="00B24180">
      <w:pPr>
        <w:spacing w:before="240" w:after="240" w:line="360" w:lineRule="auto"/>
        <w:ind w:right="49"/>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Por otro lado, </w:t>
      </w:r>
      <w:r w:rsidR="00812BF1" w:rsidRPr="004628FD">
        <w:rPr>
          <w:rFonts w:ascii="Palatino Linotype" w:eastAsia="Palatino Linotype" w:hAnsi="Palatino Linotype" w:cs="Palatino Linotype"/>
          <w:sz w:val="22"/>
          <w:szCs w:val="22"/>
        </w:rPr>
        <w:t>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084AC243"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370B46A7" w14:textId="77777777" w:rsidR="00C8599E" w:rsidRPr="004628FD" w:rsidRDefault="00812BF1" w:rsidP="00B24180">
      <w:pPr>
        <w:spacing w:before="240" w:after="240" w:line="360" w:lineRule="auto"/>
        <w:ind w:right="51"/>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46A244FE"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509ACFC" w14:textId="42A296A2" w:rsidR="005E73F0" w:rsidRPr="004628FD" w:rsidRDefault="00812BF1" w:rsidP="00B24180">
      <w:pPr>
        <w:spacing w:before="280" w:after="28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En esta línea de pensamiento, derivado del análisis de las constancias que obran en el expediente </w:t>
      </w:r>
      <w:r w:rsidR="008670A6" w:rsidRPr="004628FD">
        <w:rPr>
          <w:rFonts w:ascii="Palatino Linotype" w:eastAsia="Palatino Linotype" w:hAnsi="Palatino Linotype" w:cs="Palatino Linotype"/>
          <w:sz w:val="22"/>
          <w:szCs w:val="22"/>
        </w:rPr>
        <w:t xml:space="preserve">electrónico en el que se actúa </w:t>
      </w:r>
      <w:r w:rsidRPr="004628FD">
        <w:rPr>
          <w:rFonts w:ascii="Palatino Linotype" w:eastAsia="Palatino Linotype" w:hAnsi="Palatino Linotype" w:cs="Palatino Linotype"/>
          <w:sz w:val="22"/>
          <w:szCs w:val="22"/>
        </w:rPr>
        <w:t xml:space="preserve">se advirtió que la </w:t>
      </w:r>
      <w:r w:rsidR="008670A6" w:rsidRPr="004628FD">
        <w:rPr>
          <w:rFonts w:ascii="Palatino Linotype" w:eastAsia="Palatino Linotype" w:hAnsi="Palatino Linotype" w:cs="Palatino Linotype"/>
          <w:sz w:val="22"/>
          <w:szCs w:val="22"/>
        </w:rPr>
        <w:t xml:space="preserve">Coordinación </w:t>
      </w:r>
      <w:r w:rsidRPr="004628FD">
        <w:rPr>
          <w:rFonts w:ascii="Palatino Linotype" w:eastAsia="Palatino Linotype" w:hAnsi="Palatino Linotype" w:cs="Palatino Linotype"/>
          <w:sz w:val="22"/>
          <w:szCs w:val="22"/>
        </w:rPr>
        <w:t xml:space="preserve">de Transparencia, </w:t>
      </w:r>
      <w:r w:rsidR="008670A6" w:rsidRPr="004628FD">
        <w:rPr>
          <w:rFonts w:ascii="Palatino Linotype" w:eastAsia="Palatino Linotype" w:hAnsi="Palatino Linotype" w:cs="Palatino Linotype"/>
          <w:sz w:val="22"/>
          <w:szCs w:val="22"/>
        </w:rPr>
        <w:t xml:space="preserve">atendió por cuenta propia la solicitud, por lo tanto, </w:t>
      </w:r>
      <w:r w:rsidR="007A172B" w:rsidRPr="004628FD">
        <w:rPr>
          <w:rFonts w:ascii="Palatino Linotype" w:eastAsia="Palatino Linotype" w:hAnsi="Palatino Linotype" w:cs="Palatino Linotype"/>
          <w:sz w:val="22"/>
          <w:szCs w:val="22"/>
        </w:rPr>
        <w:t xml:space="preserve">no cumplió con el </w:t>
      </w:r>
      <w:r w:rsidR="00CF3CAC" w:rsidRPr="004628FD">
        <w:rPr>
          <w:rFonts w:ascii="Palatino Linotype" w:eastAsia="Palatino Linotype" w:hAnsi="Palatino Linotype" w:cs="Palatino Linotype"/>
          <w:sz w:val="22"/>
          <w:szCs w:val="22"/>
        </w:rPr>
        <w:t>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w:t>
      </w:r>
      <w:r w:rsidR="008670A6" w:rsidRPr="004628FD">
        <w:rPr>
          <w:rFonts w:ascii="Palatino Linotype" w:eastAsia="Palatino Linotype" w:hAnsi="Palatino Linotype" w:cs="Palatino Linotype"/>
          <w:sz w:val="22"/>
          <w:szCs w:val="22"/>
        </w:rPr>
        <w:t>ción más amplia de éste derecho, ya que no turnó la solicitud a el área que de acuerdo con sus competencias pudiera contar con la información que es del interés de la persona solicitante.</w:t>
      </w:r>
    </w:p>
    <w:p w14:paraId="6C5952E0" w14:textId="7DB86429" w:rsidR="003235C6" w:rsidRPr="004628FD" w:rsidRDefault="008670A6" w:rsidP="003235C6">
      <w:pPr>
        <w:spacing w:before="280" w:after="28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Ahora bien, </w:t>
      </w:r>
      <w:r w:rsidR="005C06D7" w:rsidRPr="004628FD">
        <w:rPr>
          <w:rFonts w:ascii="Palatino Linotype" w:eastAsia="Palatino Linotype" w:hAnsi="Palatino Linotype" w:cs="Palatino Linotype"/>
          <w:sz w:val="22"/>
          <w:szCs w:val="22"/>
        </w:rPr>
        <w:t xml:space="preserve">cabe mencionar que de conformidad con el artículo 198 del Reglamento Orgánico de la Administración Pública, </w:t>
      </w:r>
      <w:r w:rsidR="0004321C" w:rsidRPr="004628FD">
        <w:rPr>
          <w:rFonts w:ascii="Palatino Linotype" w:eastAsia="Palatino Linotype" w:hAnsi="Palatino Linotype" w:cs="Palatino Linotype"/>
          <w:sz w:val="22"/>
          <w:szCs w:val="22"/>
        </w:rPr>
        <w:t xml:space="preserve">la Dirección de Administración es la dependencia </w:t>
      </w:r>
      <w:r w:rsidR="00004FFD" w:rsidRPr="004628FD">
        <w:rPr>
          <w:rFonts w:ascii="Palatino Linotype" w:eastAsia="Palatino Linotype" w:hAnsi="Palatino Linotype" w:cs="Palatino Linotype"/>
          <w:sz w:val="22"/>
          <w:szCs w:val="22"/>
        </w:rPr>
        <w:t xml:space="preserve">responsable del análisis, estudio, planeación y despacho de los asuntos de su competencia, para lo cual se auxilia de diversas áreas entre las que se encuentra la Subdirección de Recursos Humanos, </w:t>
      </w:r>
      <w:r w:rsidR="00F24B90" w:rsidRPr="004628FD">
        <w:rPr>
          <w:rFonts w:ascii="Palatino Linotype" w:eastAsia="Palatino Linotype" w:hAnsi="Palatino Linotype" w:cs="Palatino Linotype"/>
          <w:sz w:val="22"/>
          <w:szCs w:val="22"/>
        </w:rPr>
        <w:t xml:space="preserve">la cual </w:t>
      </w:r>
      <w:r w:rsidR="003235C6" w:rsidRPr="004628FD">
        <w:rPr>
          <w:rFonts w:ascii="Palatino Linotype" w:eastAsia="Palatino Linotype" w:hAnsi="Palatino Linotype" w:cs="Palatino Linotype"/>
          <w:sz w:val="22"/>
          <w:szCs w:val="22"/>
        </w:rPr>
        <w:t xml:space="preserve">se encarga de </w:t>
      </w:r>
      <w:r w:rsidR="003235C6" w:rsidRPr="004628FD">
        <w:rPr>
          <w:rFonts w:ascii="Palatino Linotype" w:eastAsia="Palatino Linotype" w:hAnsi="Palatino Linotype" w:cs="Palatino Linotype"/>
          <w:b/>
          <w:sz w:val="22"/>
          <w:szCs w:val="22"/>
        </w:rPr>
        <w:t>supervisar la integración y actualización de los expedientes laborales de las personas servidoras públicas</w:t>
      </w:r>
      <w:r w:rsidR="003235C6" w:rsidRPr="004628FD">
        <w:rPr>
          <w:rFonts w:ascii="Palatino Linotype" w:eastAsia="Palatino Linotype" w:hAnsi="Palatino Linotype" w:cs="Palatino Linotype"/>
          <w:sz w:val="22"/>
          <w:szCs w:val="22"/>
        </w:rPr>
        <w:t xml:space="preserve"> en términos de la normatividad aplicable.</w:t>
      </w:r>
    </w:p>
    <w:p w14:paraId="3DFA0E95" w14:textId="1CDF10F3" w:rsidR="00212601" w:rsidRPr="004628FD" w:rsidRDefault="00092FC0" w:rsidP="00B24180">
      <w:pPr>
        <w:spacing w:before="280" w:after="28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En este orden de ideas, toda vez que no hubo pronunciamiento por parte del área competente para conocer de la información que es del interés de la persona solicitante, se estima dable ordenar que previa búsqueda exhaustiva y razonable se haga entrega del o los documentos que den cuenta del número talleres, seminarios y cursos ha tomado la Contralora  Municipal en funciones al dieciocho de junio de dos mil veinticinco</w:t>
      </w:r>
      <w:r w:rsidR="004566DE" w:rsidRPr="004628FD">
        <w:rPr>
          <w:rFonts w:ascii="Palatino Linotype" w:eastAsia="Palatino Linotype" w:hAnsi="Palatino Linotype" w:cs="Palatino Linotype"/>
          <w:sz w:val="22"/>
          <w:szCs w:val="22"/>
        </w:rPr>
        <w:t xml:space="preserve">, </w:t>
      </w:r>
      <w:r w:rsidR="005B0A3D" w:rsidRPr="004628FD">
        <w:rPr>
          <w:rFonts w:ascii="Palatino Linotype" w:eastAsia="Palatino Linotype" w:hAnsi="Palatino Linotype" w:cs="Palatino Linotype"/>
          <w:sz w:val="22"/>
          <w:szCs w:val="22"/>
        </w:rPr>
        <w:t>para el cumplimiento de sus funciones,</w:t>
      </w:r>
      <w:r w:rsidR="004566DE" w:rsidRPr="004628FD">
        <w:rPr>
          <w:rFonts w:ascii="Palatino Linotype" w:eastAsia="Palatino Linotype" w:hAnsi="Palatino Linotype" w:cs="Palatino Linotype"/>
          <w:sz w:val="22"/>
          <w:szCs w:val="22"/>
        </w:rPr>
        <w:t xml:space="preserve"> en versión pública de ser procedente, pudiendo ser, de manera enunciativa, más no limitativa </w:t>
      </w:r>
      <w:r w:rsidR="004F2ACC" w:rsidRPr="004628FD">
        <w:rPr>
          <w:rFonts w:ascii="Palatino Linotype" w:eastAsia="Palatino Linotype" w:hAnsi="Palatino Linotype" w:cs="Palatino Linotype"/>
          <w:sz w:val="22"/>
          <w:szCs w:val="22"/>
        </w:rPr>
        <w:t xml:space="preserve">el </w:t>
      </w:r>
      <w:proofErr w:type="spellStart"/>
      <w:r w:rsidR="004F2ACC" w:rsidRPr="004628FD">
        <w:rPr>
          <w:rFonts w:ascii="Palatino Linotype" w:eastAsia="Palatino Linotype" w:hAnsi="Palatino Linotype" w:cs="Palatino Linotype"/>
          <w:sz w:val="22"/>
          <w:szCs w:val="22"/>
        </w:rPr>
        <w:t>curriculum</w:t>
      </w:r>
      <w:proofErr w:type="spellEnd"/>
      <w:r w:rsidR="004F2ACC" w:rsidRPr="004628FD">
        <w:rPr>
          <w:rFonts w:ascii="Palatino Linotype" w:eastAsia="Palatino Linotype" w:hAnsi="Palatino Linotype" w:cs="Palatino Linotype"/>
          <w:sz w:val="22"/>
          <w:szCs w:val="22"/>
        </w:rPr>
        <w:t xml:space="preserve"> vitae, o las constancias de  reuniones, talleres, seminarios y cursos</w:t>
      </w:r>
      <w:r w:rsidR="00382805" w:rsidRPr="004628FD">
        <w:rPr>
          <w:rFonts w:ascii="Palatino Linotype" w:eastAsia="Palatino Linotype" w:hAnsi="Palatino Linotype" w:cs="Palatino Linotype"/>
          <w:sz w:val="22"/>
          <w:szCs w:val="22"/>
        </w:rPr>
        <w:t xml:space="preserve"> que hubiese tomado a la fecha de presentación de la solicitud.</w:t>
      </w:r>
    </w:p>
    <w:p w14:paraId="0F8C864C" w14:textId="630278DB" w:rsidR="00CF7678" w:rsidRPr="004628FD" w:rsidRDefault="00CF7678"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Sin embargo, para el caso de que no se llegara a localizar información derivado de la búsqueda que se ordena,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1D08CAB5" w14:textId="77777777" w:rsidR="00CF7678" w:rsidRPr="004628FD" w:rsidRDefault="00CF7678" w:rsidP="00B24180">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w:t>
      </w:r>
      <w:r w:rsidRPr="004628FD">
        <w:rPr>
          <w:rFonts w:ascii="Palatino Linotype" w:eastAsia="Palatino Linotype" w:hAnsi="Palatino Linotype" w:cs="Palatino Linotype"/>
          <w:b/>
          <w:i/>
          <w:sz w:val="22"/>
          <w:szCs w:val="22"/>
        </w:rPr>
        <w:t>Artículo 19</w:t>
      </w:r>
      <w:r w:rsidRPr="004628FD">
        <w:rPr>
          <w:rFonts w:ascii="Palatino Linotype" w:eastAsia="Palatino Linotype" w:hAnsi="Palatino Linotype" w:cs="Palatino Linotype"/>
          <w:i/>
          <w:sz w:val="22"/>
          <w:szCs w:val="22"/>
        </w:rPr>
        <w:t>…</w:t>
      </w:r>
    </w:p>
    <w:p w14:paraId="755544F6" w14:textId="77777777" w:rsidR="00CF7678" w:rsidRPr="004628FD" w:rsidRDefault="00CF7678" w:rsidP="00B24180">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19F85B73" w14:textId="18C2CFAA" w:rsidR="00C8599E" w:rsidRPr="004628FD" w:rsidRDefault="00812BF1" w:rsidP="00B24180">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De lo hasta aquí expuesto, se concluye que los motivos de inconformidad de la parte </w:t>
      </w:r>
      <w:r w:rsidRPr="004628FD">
        <w:rPr>
          <w:rFonts w:ascii="Palatino Linotype" w:eastAsia="Palatino Linotype" w:hAnsi="Palatino Linotype" w:cs="Palatino Linotype"/>
          <w:b/>
          <w:sz w:val="22"/>
          <w:szCs w:val="22"/>
        </w:rPr>
        <w:t xml:space="preserve">Recurrente </w:t>
      </w:r>
      <w:r w:rsidRPr="004628FD">
        <w:rPr>
          <w:rFonts w:ascii="Palatino Linotype" w:eastAsia="Palatino Linotype" w:hAnsi="Palatino Linotype" w:cs="Palatino Linotype"/>
          <w:sz w:val="22"/>
          <w:szCs w:val="22"/>
        </w:rPr>
        <w:t xml:space="preserve">devienen fundados, siendo procedente </w:t>
      </w:r>
      <w:r w:rsidR="00CF7678" w:rsidRPr="004628FD">
        <w:rPr>
          <w:rFonts w:ascii="Palatino Linotype" w:eastAsia="Palatino Linotype" w:hAnsi="Palatino Linotype" w:cs="Palatino Linotype"/>
          <w:i/>
          <w:sz w:val="22"/>
          <w:szCs w:val="22"/>
        </w:rPr>
        <w:t>Revocar</w:t>
      </w:r>
      <w:r w:rsidRPr="004628FD">
        <w:rPr>
          <w:rFonts w:ascii="Palatino Linotype" w:eastAsia="Palatino Linotype" w:hAnsi="Palatino Linotype" w:cs="Palatino Linotype"/>
          <w:i/>
          <w:sz w:val="22"/>
          <w:szCs w:val="22"/>
        </w:rPr>
        <w:t xml:space="preserve"> </w:t>
      </w:r>
      <w:r w:rsidRPr="004628FD">
        <w:rPr>
          <w:rFonts w:ascii="Palatino Linotype" w:eastAsia="Palatino Linotype" w:hAnsi="Palatino Linotype" w:cs="Palatino Linotype"/>
          <w:sz w:val="22"/>
          <w:szCs w:val="22"/>
        </w:rPr>
        <w:t xml:space="preserve">la respuesta proporcionada por el </w:t>
      </w:r>
      <w:r w:rsidRPr="004628FD">
        <w:rPr>
          <w:rFonts w:ascii="Palatino Linotype" w:eastAsia="Palatino Linotype" w:hAnsi="Palatino Linotype" w:cs="Palatino Linotype"/>
          <w:b/>
          <w:sz w:val="22"/>
          <w:szCs w:val="22"/>
        </w:rPr>
        <w:t xml:space="preserve">Sujeto Obligado </w:t>
      </w:r>
      <w:r w:rsidRPr="004628FD">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32BDEDD8" w14:textId="77777777" w:rsidR="005B0A3D" w:rsidRPr="004628FD" w:rsidRDefault="005B0A3D" w:rsidP="005B0A3D">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b/>
          <w:sz w:val="22"/>
          <w:szCs w:val="22"/>
        </w:rPr>
        <w:t>Quinto. Versión Pública.</w:t>
      </w:r>
      <w:r w:rsidRPr="004628FD">
        <w:rPr>
          <w:rFonts w:ascii="Palatino Linotype" w:eastAsia="Palatino Linotype" w:hAnsi="Palatino Linotype" w:cs="Palatino Linotype"/>
          <w:sz w:val="22"/>
          <w:szCs w:val="22"/>
        </w:rPr>
        <w:t xml:space="preserve"> Finalmente, debe señalarse que de ser el caso en que los documentos que vayan a ser entregados para dar cumplimiento a la presente resolución, contengan datos que deban ser clasificados, el </w:t>
      </w:r>
      <w:r w:rsidRPr="004628FD">
        <w:rPr>
          <w:rFonts w:ascii="Palatino Linotype" w:eastAsia="Palatino Linotype" w:hAnsi="Palatino Linotype" w:cs="Palatino Linotype"/>
          <w:b/>
          <w:sz w:val="22"/>
          <w:szCs w:val="22"/>
        </w:rPr>
        <w:t>Sujeto Obligado</w:t>
      </w:r>
      <w:r w:rsidRPr="004628FD">
        <w:rPr>
          <w:rFonts w:ascii="Palatino Linotype" w:eastAsia="Palatino Linotype" w:hAnsi="Palatino Linotype" w:cs="Palatino Linotype"/>
          <w:sz w:val="22"/>
          <w:szCs w:val="22"/>
        </w:rPr>
        <w:t xml:space="preserve"> deberá hacer la elaboración de la versión pública de tales documentos a fin de satisfacer el derecho de acceso a la información pública de la parte </w:t>
      </w:r>
      <w:r w:rsidRPr="004628FD">
        <w:rPr>
          <w:rFonts w:ascii="Palatino Linotype" w:eastAsia="Palatino Linotype" w:hAnsi="Palatino Linotype" w:cs="Palatino Linotype"/>
          <w:b/>
          <w:sz w:val="22"/>
          <w:szCs w:val="22"/>
        </w:rPr>
        <w:t>Recurrente</w:t>
      </w:r>
      <w:r w:rsidRPr="004628FD">
        <w:rPr>
          <w:rFonts w:ascii="Palatino Linotype" w:eastAsia="Palatino Linotype" w:hAnsi="Palatino Linotype" w:cs="Palatino Linotype"/>
          <w:sz w:val="22"/>
          <w:szCs w:val="22"/>
        </w:rPr>
        <w:t xml:space="preserve"> sin menoscabo al derecho a la protección de los datos personales de terceros.</w:t>
      </w:r>
    </w:p>
    <w:p w14:paraId="3B5A547E" w14:textId="77777777" w:rsidR="005B0A3D" w:rsidRPr="004628FD" w:rsidRDefault="005B0A3D" w:rsidP="005B0A3D">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Para efectos de la elaboración de la versión pública se deberá observar lo dispuesto por los artículos 3 fracciones IX, XX, XXI y XLV, 91, 132, 137 y 143, fracción I de la Ley de Transparencia y Acceso a la Información Pública del Estado de México y Municipios, que establecen:</w:t>
      </w:r>
    </w:p>
    <w:p w14:paraId="13683FE1"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w:t>
      </w:r>
      <w:r w:rsidRPr="004628FD">
        <w:rPr>
          <w:rFonts w:ascii="Palatino Linotype" w:eastAsia="Palatino Linotype" w:hAnsi="Palatino Linotype" w:cs="Palatino Linotype"/>
          <w:b/>
          <w:i/>
          <w:sz w:val="22"/>
          <w:szCs w:val="22"/>
        </w:rPr>
        <w:t>Artículo 3</w:t>
      </w:r>
      <w:r w:rsidRPr="004628FD">
        <w:rPr>
          <w:rFonts w:ascii="Palatino Linotype" w:eastAsia="Palatino Linotype" w:hAnsi="Palatino Linotype" w:cs="Palatino Linotype"/>
          <w:i/>
          <w:sz w:val="22"/>
          <w:szCs w:val="22"/>
        </w:rPr>
        <w:t>. Para los efectos de la presente Ley se entenderá por:</w:t>
      </w:r>
    </w:p>
    <w:p w14:paraId="21674B4B"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w:t>
      </w:r>
    </w:p>
    <w:p w14:paraId="12C04AB3"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IX. Datos personales</w:t>
      </w:r>
      <w:r w:rsidRPr="004628FD">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75FE6F52"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XX. Información clasificada</w:t>
      </w:r>
      <w:r w:rsidRPr="004628FD">
        <w:rPr>
          <w:rFonts w:ascii="Palatino Linotype" w:eastAsia="Palatino Linotype" w:hAnsi="Palatino Linotype" w:cs="Palatino Linotype"/>
          <w:i/>
          <w:sz w:val="22"/>
          <w:szCs w:val="22"/>
        </w:rPr>
        <w:t>: Aquella considerada por la presente Ley como reservada o confidencial;</w:t>
      </w:r>
    </w:p>
    <w:p w14:paraId="3D0182C4"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 xml:space="preserve">XXI. Información confidencial: </w:t>
      </w:r>
      <w:r w:rsidRPr="004628FD">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E027B48"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XLV. Versión pública:</w:t>
      </w:r>
      <w:r w:rsidRPr="004628FD">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40407071"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w:t>
      </w:r>
    </w:p>
    <w:p w14:paraId="03267F7D"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Artículo 91.</w:t>
      </w:r>
      <w:r w:rsidRPr="004628FD">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6F5891E"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Artículo 132.</w:t>
      </w:r>
      <w:r w:rsidRPr="004628FD">
        <w:rPr>
          <w:rFonts w:ascii="Palatino Linotype" w:eastAsia="Palatino Linotype" w:hAnsi="Palatino Linotype" w:cs="Palatino Linotype"/>
          <w:i/>
          <w:sz w:val="22"/>
          <w:szCs w:val="22"/>
        </w:rPr>
        <w:t xml:space="preserve"> La clasificación de la información se llevará a cabo en el momento en que:</w:t>
      </w:r>
    </w:p>
    <w:p w14:paraId="449A3245"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I</w:t>
      </w:r>
      <w:r w:rsidRPr="004628FD">
        <w:rPr>
          <w:rFonts w:ascii="Palatino Linotype" w:eastAsia="Palatino Linotype" w:hAnsi="Palatino Linotype" w:cs="Palatino Linotype"/>
          <w:i/>
          <w:sz w:val="22"/>
          <w:szCs w:val="22"/>
        </w:rPr>
        <w:t>. Se reciba una solicitud de acceso a la información;</w:t>
      </w:r>
    </w:p>
    <w:p w14:paraId="6A8760E6"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II.</w:t>
      </w:r>
      <w:r w:rsidRPr="004628FD">
        <w:rPr>
          <w:rFonts w:ascii="Palatino Linotype" w:eastAsia="Palatino Linotype" w:hAnsi="Palatino Linotype" w:cs="Palatino Linotype"/>
          <w:i/>
          <w:sz w:val="22"/>
          <w:szCs w:val="22"/>
        </w:rPr>
        <w:t xml:space="preserve"> Se determine mediante resolución de autoridad competente; o</w:t>
      </w:r>
    </w:p>
    <w:p w14:paraId="669D3D9B"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III.</w:t>
      </w:r>
      <w:r w:rsidRPr="004628FD">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39514C49"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w:t>
      </w:r>
    </w:p>
    <w:p w14:paraId="7EE85259"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Artículo 137.</w:t>
      </w:r>
      <w:r w:rsidRPr="004628FD">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1AC2BA0" w14:textId="77777777" w:rsidR="005B0A3D" w:rsidRPr="004628FD" w:rsidRDefault="005B0A3D" w:rsidP="00953E53">
      <w:pPr>
        <w:spacing w:before="120" w:after="120"/>
        <w:ind w:left="851" w:right="902"/>
        <w:jc w:val="both"/>
        <w:rPr>
          <w:rFonts w:ascii="Palatino Linotype" w:eastAsia="Palatino Linotype" w:hAnsi="Palatino Linotype" w:cs="Palatino Linotype"/>
          <w:b/>
          <w:i/>
          <w:sz w:val="22"/>
          <w:szCs w:val="22"/>
        </w:rPr>
      </w:pPr>
      <w:r w:rsidRPr="004628FD">
        <w:rPr>
          <w:rFonts w:ascii="Palatino Linotype" w:eastAsia="Palatino Linotype" w:hAnsi="Palatino Linotype" w:cs="Palatino Linotype"/>
          <w:b/>
          <w:i/>
          <w:sz w:val="22"/>
          <w:szCs w:val="22"/>
        </w:rPr>
        <w:t>…</w:t>
      </w:r>
    </w:p>
    <w:p w14:paraId="35126661"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Artículo 143</w:t>
      </w:r>
      <w:r w:rsidRPr="004628FD">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DEE5522"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I.</w:t>
      </w:r>
      <w:r w:rsidRPr="004628FD">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B44AE2D" w14:textId="77777777" w:rsidR="005B0A3D" w:rsidRPr="004628FD" w:rsidRDefault="005B0A3D" w:rsidP="005B0A3D">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4DAD05B" w14:textId="77777777" w:rsidR="005B0A3D" w:rsidRPr="004628FD" w:rsidRDefault="005B0A3D" w:rsidP="005B0A3D">
      <w:pPr>
        <w:spacing w:before="240" w:after="240" w:line="360" w:lineRule="auto"/>
        <w:ind w:right="50"/>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4628FD">
        <w:rPr>
          <w:rFonts w:ascii="Palatino Linotype" w:eastAsia="Palatino Linotype" w:hAnsi="Palatino Linotype" w:cs="Palatino Linotype"/>
          <w:b/>
          <w:sz w:val="22"/>
          <w:szCs w:val="22"/>
        </w:rPr>
        <w:t>Sujeto Obligado</w:t>
      </w:r>
      <w:r w:rsidRPr="004628FD">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978355D" w14:textId="77777777" w:rsidR="005B0A3D" w:rsidRPr="004628FD" w:rsidRDefault="005B0A3D" w:rsidP="005B0A3D">
      <w:pPr>
        <w:spacing w:before="240" w:after="240" w:line="360" w:lineRule="auto"/>
        <w:ind w:right="50"/>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3A3DF77" w14:textId="77777777" w:rsidR="005B0A3D" w:rsidRPr="004628FD" w:rsidRDefault="005B0A3D" w:rsidP="005B0A3D">
      <w:pPr>
        <w:spacing w:before="240" w:after="240" w:line="360" w:lineRule="auto"/>
        <w:ind w:right="-93"/>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Por lo que se refiere al </w:t>
      </w:r>
      <w:r w:rsidRPr="004628FD">
        <w:rPr>
          <w:rFonts w:ascii="Palatino Linotype" w:eastAsia="Palatino Linotype" w:hAnsi="Palatino Linotype" w:cs="Palatino Linotype"/>
          <w:b/>
          <w:sz w:val="22"/>
          <w:szCs w:val="22"/>
        </w:rPr>
        <w:t>teléfono particular</w:t>
      </w:r>
      <w:r w:rsidRPr="004628FD">
        <w:rPr>
          <w:rFonts w:ascii="Palatino Linotype" w:eastAsia="Palatino Linotype" w:hAnsi="Palatino Linotype" w:cs="Palatino Linotype"/>
          <w:sz w:val="22"/>
          <w:szCs w:val="22"/>
        </w:rPr>
        <w:t>, se trata de información que le compete únicamente al servidor público, pues es un medio mediante el cual puede ser ubicado, es susceptible de ser clasificado como confidencial de conformidad con la fracción I, del artículo 143 de la Ley de Transparencia y Acceso a la Información Pública del Estado de México y Municipios, citado con antelación.</w:t>
      </w:r>
    </w:p>
    <w:p w14:paraId="20C0B84A" w14:textId="77777777" w:rsidR="005B0A3D" w:rsidRPr="004628FD" w:rsidRDefault="005B0A3D" w:rsidP="005B0A3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El </w:t>
      </w:r>
      <w:r w:rsidRPr="004628FD">
        <w:rPr>
          <w:rFonts w:ascii="Palatino Linotype" w:eastAsia="Palatino Linotype" w:hAnsi="Palatino Linotype" w:cs="Palatino Linotype"/>
          <w:b/>
          <w:sz w:val="22"/>
          <w:szCs w:val="22"/>
        </w:rPr>
        <w:t xml:space="preserve">correo electrónico personal </w:t>
      </w:r>
      <w:r w:rsidRPr="004628FD">
        <w:rPr>
          <w:rFonts w:ascii="Palatino Linotype" w:eastAsia="Palatino Linotype" w:hAnsi="Palatino Linotype" w:cs="Palatino Linotype"/>
          <w:sz w:val="22"/>
          <w:szCs w:val="22"/>
        </w:rPr>
        <w:t>al ser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 En ese sentido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1C6AC37B" w14:textId="77777777" w:rsidR="005B0A3D" w:rsidRPr="004628FD" w:rsidRDefault="005B0A3D" w:rsidP="005B0A3D">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El </w:t>
      </w:r>
      <w:r w:rsidRPr="004628FD">
        <w:rPr>
          <w:rFonts w:ascii="Palatino Linotype" w:eastAsia="Palatino Linotype" w:hAnsi="Palatino Linotype" w:cs="Palatino Linotype"/>
          <w:b/>
          <w:sz w:val="22"/>
          <w:szCs w:val="22"/>
        </w:rPr>
        <w:t>domicilio particular</w:t>
      </w:r>
      <w:r w:rsidRPr="004628FD">
        <w:rPr>
          <w:rFonts w:ascii="Palatino Linotype" w:eastAsia="Palatino Linotype" w:hAnsi="Palatino Linotype" w:cs="Palatino Linotype"/>
          <w:sz w:val="22"/>
          <w:szCs w:val="22"/>
        </w:rPr>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46D9FBEE" w14:textId="77777777" w:rsidR="005B0A3D" w:rsidRPr="004628FD" w:rsidRDefault="005B0A3D" w:rsidP="005B0A3D">
      <w:pPr>
        <w:spacing w:before="240" w:after="240" w:line="360" w:lineRule="auto"/>
        <w:ind w:right="-93"/>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del domicilio y su comprobante, de conformidad con la fracción I, del artículo 143 de la Ley de Transparencia y Acceso a la Información Pública del Estado de México y Municipios.</w:t>
      </w:r>
    </w:p>
    <w:p w14:paraId="2E13AD41" w14:textId="77777777" w:rsidR="00CA3D09" w:rsidRPr="004628FD" w:rsidRDefault="00CA3D09" w:rsidP="00CA3D09">
      <w:pPr>
        <w:spacing w:before="240" w:after="240" w:line="360" w:lineRule="auto"/>
        <w:jc w:val="both"/>
        <w:rPr>
          <w:rFonts w:ascii="Palatino Linotype" w:eastAsia="Palatino Linotype" w:hAnsi="Palatino Linotype"/>
          <w:sz w:val="22"/>
          <w:szCs w:val="22"/>
        </w:rPr>
      </w:pPr>
      <w:r w:rsidRPr="004628FD">
        <w:rPr>
          <w:rFonts w:ascii="Palatino Linotype" w:eastAsia="Palatino Linotype" w:hAnsi="Palatino Linotype"/>
          <w:sz w:val="22"/>
          <w:szCs w:val="22"/>
        </w:rPr>
        <w:t xml:space="preserve">Respecto a las </w:t>
      </w:r>
      <w:r w:rsidRPr="004628FD">
        <w:rPr>
          <w:rFonts w:ascii="Palatino Linotype" w:eastAsia="Palatino Linotype" w:hAnsi="Palatino Linotype" w:cs="Palatino Linotype"/>
          <w:b/>
          <w:sz w:val="22"/>
          <w:szCs w:val="22"/>
        </w:rPr>
        <w:t>calificaciones, créditos y promedio</w:t>
      </w:r>
      <w:r w:rsidRPr="004628FD">
        <w:rPr>
          <w:rFonts w:ascii="Palatino Linotype" w:eastAsia="Palatino Linotype" w:hAnsi="Palatino Linotype" w:cs="Palatino Linotype"/>
          <w:sz w:val="22"/>
          <w:szCs w:val="22"/>
        </w:rPr>
        <w:t>, dan cuenta del grado de conocimientos adquiridos en una materia o durante el desarrollo escolar de una persona, es decir de su desarrollo escolar, por lo que corresponde a información que concierne a su vida privada que debe clasificarse como confidencial en términos del artículo 143, fracción I de la Ley de Transparencia y Acceso a la Información Pública del Estado de México y Municipios.</w:t>
      </w:r>
    </w:p>
    <w:p w14:paraId="098141C2" w14:textId="77777777" w:rsidR="001977D5" w:rsidRPr="004628FD" w:rsidRDefault="001977D5" w:rsidP="001977D5">
      <w:pPr>
        <w:tabs>
          <w:tab w:val="left" w:pos="4962"/>
        </w:tabs>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En el mismo sentido, por cuanto hace a la </w:t>
      </w:r>
      <w:r w:rsidRPr="004628FD">
        <w:rPr>
          <w:rFonts w:ascii="Palatino Linotype" w:eastAsia="Palatino Linotype" w:hAnsi="Palatino Linotype" w:cs="Palatino Linotype"/>
          <w:b/>
          <w:sz w:val="22"/>
          <w:szCs w:val="22"/>
        </w:rPr>
        <w:t xml:space="preserve">fotografía </w:t>
      </w:r>
      <w:r w:rsidRPr="004628FD">
        <w:rPr>
          <w:rFonts w:ascii="Palatino Linotype" w:eastAsia="Palatino Linotype" w:hAnsi="Palatino Linotype" w:cs="Palatino Linotype"/>
          <w:sz w:val="22"/>
          <w:szCs w:val="22"/>
        </w:rPr>
        <w:t>es de señalar que dicho dato constituye la reproducción fiel de las características físicas de una persona en un momento determinado, además, de que representa un instrumento de identificación, proyección exterior y factor imprescindible para su propio reconocimiento como sujeto individual; por tanto, es considerada por regla general, como un dato personal confidencial susceptible de protegerse en los documentos que lo contengan, en términos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3EC47469" w14:textId="77777777" w:rsidR="001977D5" w:rsidRPr="004628FD" w:rsidRDefault="001977D5" w:rsidP="001977D5">
      <w:pPr>
        <w:tabs>
          <w:tab w:val="left" w:pos="4962"/>
        </w:tabs>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Sin embargo, en materia de administración pública acreditaría e identificaría a una persona como servidor público, por lo que es posible advertir que existe cierto interés público, cuando la fotografía obra en documentos de servidores públicos vinculados con el cumplimiento de disposiciones legales.</w:t>
      </w:r>
    </w:p>
    <w:p w14:paraId="11B2BE2F" w14:textId="77777777" w:rsidR="001977D5" w:rsidRPr="004628FD" w:rsidRDefault="001977D5" w:rsidP="001977D5">
      <w:pPr>
        <w:tabs>
          <w:tab w:val="left" w:pos="4962"/>
        </w:tabs>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Así, cuando las fotografías de los servidores públicos obran en documentos que dan cuenta del cumplimiento de funciones, requisitos legales o los acredita como servidores públicos, no puede ser un dato que se clasifique como confidencial, pues en este caso, es superado por el interés público de conocer si en realidad la persona que se ostenta en carácter de servidor público, se encuentra en ese encargo, si realiza las funciones o si cumple con los requisitos legales.</w:t>
      </w:r>
    </w:p>
    <w:p w14:paraId="1136C2FB" w14:textId="77777777" w:rsidR="001977D5" w:rsidRPr="004628FD" w:rsidRDefault="001977D5" w:rsidP="001977D5">
      <w:pPr>
        <w:tabs>
          <w:tab w:val="left" w:pos="4962"/>
        </w:tabs>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emitan, no podrá clasificarse esa información.</w:t>
      </w:r>
    </w:p>
    <w:p w14:paraId="33A2C6C8" w14:textId="77777777" w:rsidR="005B0A3D" w:rsidRPr="004628FD" w:rsidRDefault="005B0A3D" w:rsidP="005B0A3D">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Cabe señalar que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628FD">
        <w:rPr>
          <w:rFonts w:ascii="Palatino Linotype" w:eastAsia="Palatino Linotype" w:hAnsi="Palatino Linotype" w:cs="Palatino Linotype"/>
          <w:b/>
          <w:sz w:val="22"/>
          <w:szCs w:val="22"/>
        </w:rPr>
        <w:t>Sujeto Obligado</w:t>
      </w:r>
      <w:r w:rsidRPr="004628FD">
        <w:rPr>
          <w:rFonts w:ascii="Palatino Linotype" w:eastAsia="Palatino Linotype" w:hAnsi="Palatino Linotype" w:cs="Palatino Linotype"/>
          <w:sz w:val="22"/>
          <w:szCs w:val="22"/>
        </w:rPr>
        <w:t xml:space="preserve"> a testar, suprimir o eliminar datos de dicho soporte documental, ya que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6B0C106" w14:textId="77777777" w:rsidR="005B0A3D" w:rsidRPr="004628FD" w:rsidRDefault="005B0A3D" w:rsidP="005B0A3D">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Respecto a las formalidades que deberá llevar el acuerdo de clasificación que deberá emitir el </w:t>
      </w:r>
      <w:r w:rsidRPr="004628FD">
        <w:rPr>
          <w:rFonts w:ascii="Palatino Linotype" w:eastAsia="Palatino Linotype" w:hAnsi="Palatino Linotype" w:cs="Palatino Linotype"/>
          <w:b/>
          <w:sz w:val="22"/>
          <w:szCs w:val="22"/>
        </w:rPr>
        <w:t>Sujeto Obligado</w:t>
      </w:r>
      <w:r w:rsidRPr="004628FD">
        <w:rPr>
          <w:rFonts w:ascii="Palatino Linotype" w:eastAsia="Palatino Linotype" w:hAnsi="Palatino Linotype" w:cs="Palatino Linotype"/>
          <w:sz w:val="22"/>
          <w:szCs w:val="22"/>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señalan lo siguiente:</w:t>
      </w:r>
    </w:p>
    <w:p w14:paraId="45E9B8E7"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 xml:space="preserve"> “Quincuagésimo. </w:t>
      </w:r>
      <w:r w:rsidRPr="004628FD">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26758D3" w14:textId="77777777" w:rsidR="005B0A3D" w:rsidRPr="004628FD" w:rsidRDefault="005B0A3D" w:rsidP="00953E5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 xml:space="preserve">Quincuagésimo primero. </w:t>
      </w:r>
      <w:r w:rsidRPr="004628FD">
        <w:rPr>
          <w:rFonts w:ascii="Palatino Linotype" w:eastAsia="Palatino Linotype" w:hAnsi="Palatino Linotype" w:cs="Palatino Linotype"/>
          <w:i/>
          <w:sz w:val="22"/>
          <w:szCs w:val="22"/>
        </w:rPr>
        <w:t xml:space="preserve">Toda acta del Comité de Transparencia deberá contener: </w:t>
      </w:r>
    </w:p>
    <w:p w14:paraId="41C76780" w14:textId="77777777" w:rsidR="005B0A3D" w:rsidRPr="004628FD" w:rsidRDefault="005B0A3D" w:rsidP="00953E5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I.</w:t>
      </w:r>
      <w:r w:rsidRPr="004628FD">
        <w:rPr>
          <w:rFonts w:ascii="Palatino Linotype" w:eastAsia="Palatino Linotype" w:hAnsi="Palatino Linotype" w:cs="Palatino Linotype"/>
          <w:i/>
          <w:sz w:val="22"/>
          <w:szCs w:val="22"/>
        </w:rPr>
        <w:t xml:space="preserve"> El número de sesión y fecha; </w:t>
      </w:r>
    </w:p>
    <w:p w14:paraId="19DA72F8" w14:textId="77777777" w:rsidR="005B0A3D" w:rsidRPr="004628FD" w:rsidRDefault="005B0A3D" w:rsidP="00953E5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II</w:t>
      </w:r>
      <w:r w:rsidRPr="004628FD">
        <w:rPr>
          <w:rFonts w:ascii="Palatino Linotype" w:eastAsia="Palatino Linotype" w:hAnsi="Palatino Linotype" w:cs="Palatino Linotype"/>
          <w:i/>
          <w:sz w:val="22"/>
          <w:szCs w:val="22"/>
        </w:rPr>
        <w:t xml:space="preserve">. El nombre del área que solicitó la clasificación de información; </w:t>
      </w:r>
    </w:p>
    <w:p w14:paraId="6C7942EC" w14:textId="77777777" w:rsidR="005B0A3D" w:rsidRPr="004628FD" w:rsidRDefault="005B0A3D" w:rsidP="00953E5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III</w:t>
      </w:r>
      <w:r w:rsidRPr="004628FD">
        <w:rPr>
          <w:rFonts w:ascii="Palatino Linotype" w:eastAsia="Palatino Linotype" w:hAnsi="Palatino Linotype" w:cs="Palatino Linotype"/>
          <w:i/>
          <w:sz w:val="22"/>
          <w:szCs w:val="22"/>
        </w:rPr>
        <w:t xml:space="preserve">. La fundamentación legal y motivación correspondiente; </w:t>
      </w:r>
    </w:p>
    <w:p w14:paraId="030945BC" w14:textId="77777777" w:rsidR="005B0A3D" w:rsidRPr="004628FD" w:rsidRDefault="005B0A3D" w:rsidP="00953E5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IV</w:t>
      </w:r>
      <w:r w:rsidRPr="004628FD">
        <w:rPr>
          <w:rFonts w:ascii="Palatino Linotype" w:eastAsia="Palatino Linotype" w:hAnsi="Palatino Linotype" w:cs="Palatino Linotype"/>
          <w:i/>
          <w:sz w:val="22"/>
          <w:szCs w:val="22"/>
        </w:rPr>
        <w:t xml:space="preserve">. La resolución o resoluciones aprobadas; y </w:t>
      </w:r>
    </w:p>
    <w:p w14:paraId="15C4E34A" w14:textId="77777777" w:rsidR="005B0A3D" w:rsidRPr="004628FD" w:rsidRDefault="005B0A3D" w:rsidP="00953E5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V</w:t>
      </w:r>
      <w:r w:rsidRPr="004628FD">
        <w:rPr>
          <w:rFonts w:ascii="Palatino Linotype" w:eastAsia="Palatino Linotype" w:hAnsi="Palatino Linotype" w:cs="Palatino Linotype"/>
          <w:i/>
          <w:sz w:val="22"/>
          <w:szCs w:val="22"/>
        </w:rPr>
        <w:t xml:space="preserve">. La rúbrica o firma digital de cada integrante del Comité de Transparencia. </w:t>
      </w:r>
    </w:p>
    <w:p w14:paraId="3D5044E2" w14:textId="77777777" w:rsidR="005B0A3D" w:rsidRPr="004628FD" w:rsidRDefault="005B0A3D" w:rsidP="00953E5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B6F6905" w14:textId="77777777" w:rsidR="005B0A3D" w:rsidRPr="004628FD" w:rsidRDefault="005B0A3D" w:rsidP="00953E5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I.</w:t>
      </w:r>
      <w:r w:rsidRPr="004628FD">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C1CB345" w14:textId="77777777" w:rsidR="005B0A3D" w:rsidRPr="004628FD" w:rsidRDefault="005B0A3D" w:rsidP="00953E53">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4628FD">
        <w:rPr>
          <w:rFonts w:ascii="Palatino Linotype" w:eastAsia="Palatino Linotype" w:hAnsi="Palatino Linotype" w:cs="Palatino Linotype"/>
          <w:b/>
          <w:i/>
          <w:sz w:val="22"/>
          <w:szCs w:val="22"/>
        </w:rPr>
        <w:t>II</w:t>
      </w:r>
      <w:r w:rsidRPr="004628FD">
        <w:rPr>
          <w:rFonts w:ascii="Palatino Linotype" w:eastAsia="Palatino Linotype" w:hAnsi="Palatino Linotype" w:cs="Palatino Linotype"/>
          <w:i/>
          <w:sz w:val="22"/>
          <w:szCs w:val="22"/>
        </w:rPr>
        <w:t>. Descripción de las partes o secciones reservadas, en caso de clasificación parcial</w:t>
      </w:r>
      <w:r w:rsidRPr="004628FD">
        <w:rPr>
          <w:rFonts w:ascii="Palatino Linotype" w:eastAsia="Palatino Linotype" w:hAnsi="Palatino Linotype" w:cs="Palatino Linotype"/>
          <w:b/>
          <w:i/>
          <w:sz w:val="22"/>
          <w:szCs w:val="22"/>
        </w:rPr>
        <w:t xml:space="preserve">; </w:t>
      </w:r>
    </w:p>
    <w:p w14:paraId="4416185C" w14:textId="77777777" w:rsidR="005B0A3D" w:rsidRPr="004628FD" w:rsidRDefault="005B0A3D" w:rsidP="00953E5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III.</w:t>
      </w:r>
      <w:r w:rsidRPr="004628FD">
        <w:rPr>
          <w:rFonts w:ascii="Palatino Linotype" w:eastAsia="Palatino Linotype" w:hAnsi="Palatino Linotype" w:cs="Palatino Linotype"/>
          <w:i/>
          <w:sz w:val="22"/>
          <w:szCs w:val="22"/>
        </w:rPr>
        <w:t xml:space="preserve"> El periodo por el que mantendrá su clasificación y fecha de expiración; y </w:t>
      </w:r>
    </w:p>
    <w:p w14:paraId="1EB16767" w14:textId="77777777" w:rsidR="005B0A3D" w:rsidRPr="004628FD" w:rsidRDefault="005B0A3D" w:rsidP="00953E5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IV.</w:t>
      </w:r>
      <w:r w:rsidRPr="004628FD">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16D89610" w14:textId="77777777" w:rsidR="005B0A3D" w:rsidRPr="004628FD" w:rsidRDefault="005B0A3D" w:rsidP="00953E5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E01ADC5" w14:textId="77777777" w:rsidR="005B0A3D" w:rsidRPr="004628FD" w:rsidRDefault="005B0A3D" w:rsidP="00953E5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1741CC1" w14:textId="77777777" w:rsidR="005B0A3D" w:rsidRPr="004628FD" w:rsidRDefault="005B0A3D" w:rsidP="00953E53">
      <w:pPr>
        <w:spacing w:before="120" w:after="120"/>
        <w:ind w:left="851" w:right="900"/>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Quincuagésimo segundo</w:t>
      </w:r>
      <w:r w:rsidRPr="004628FD">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E800F2D" w14:textId="77777777" w:rsidR="005B0A3D" w:rsidRPr="004628FD" w:rsidRDefault="005B0A3D" w:rsidP="00953E53">
      <w:pPr>
        <w:spacing w:before="120" w:after="120"/>
        <w:ind w:left="851" w:right="900"/>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 xml:space="preserve">En el caso </w:t>
      </w:r>
      <w:proofErr w:type="spellStart"/>
      <w:r w:rsidRPr="004628FD">
        <w:rPr>
          <w:rFonts w:ascii="Palatino Linotype" w:eastAsia="Palatino Linotype" w:hAnsi="Palatino Linotype" w:cs="Palatino Linotype"/>
          <w:i/>
          <w:sz w:val="22"/>
          <w:szCs w:val="22"/>
        </w:rPr>
        <w:t>especifico</w:t>
      </w:r>
      <w:proofErr w:type="spellEnd"/>
      <w:r w:rsidRPr="004628FD">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61D2FCF3" w14:textId="77777777" w:rsidR="005B0A3D" w:rsidRPr="004628FD" w:rsidRDefault="005B0A3D" w:rsidP="00953E53">
      <w:pPr>
        <w:spacing w:before="120" w:after="120"/>
        <w:ind w:left="851" w:right="900"/>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I.</w:t>
      </w:r>
      <w:r w:rsidRPr="004628FD">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763EDAAE" w14:textId="77777777" w:rsidR="005B0A3D" w:rsidRPr="004628FD" w:rsidRDefault="005B0A3D" w:rsidP="00953E53">
      <w:pPr>
        <w:spacing w:before="120" w:after="120"/>
        <w:ind w:left="851" w:right="900"/>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II.</w:t>
      </w:r>
      <w:r w:rsidRPr="004628FD">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64582E55" w14:textId="77777777" w:rsidR="005B0A3D" w:rsidRPr="004628FD" w:rsidRDefault="005B0A3D" w:rsidP="00953E53">
      <w:pPr>
        <w:spacing w:before="120" w:after="120"/>
        <w:ind w:left="851" w:right="900"/>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III.</w:t>
      </w:r>
      <w:r w:rsidRPr="004628FD">
        <w:rPr>
          <w:rFonts w:ascii="Palatino Linotype" w:eastAsia="Palatino Linotype" w:hAnsi="Palatino Linotype" w:cs="Palatino Linotype"/>
          <w:i/>
          <w:sz w:val="22"/>
          <w:szCs w:val="22"/>
        </w:rPr>
        <w:t xml:space="preserve"> Señalar las personas o instancias autorizadas a acceder a la información clasificada.</w:t>
      </w:r>
    </w:p>
    <w:p w14:paraId="25F66D17" w14:textId="77777777" w:rsidR="005B0A3D" w:rsidRPr="004628FD" w:rsidRDefault="005B0A3D" w:rsidP="00953E53">
      <w:pPr>
        <w:spacing w:before="120" w:after="120"/>
        <w:ind w:left="851" w:right="900"/>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9C3C8A5" w14:textId="77777777" w:rsidR="005B0A3D" w:rsidRPr="004628FD" w:rsidRDefault="005B0A3D" w:rsidP="005B0A3D">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Asimismo, deberá observar los Lineamientos Quincuagésimo cuarto, Quincuagésimo quinto, Quincuagésimo sexto, Quincuagésimo séptimo y Quincuagésimo octavo, establecen lo siguiente:</w:t>
      </w:r>
    </w:p>
    <w:p w14:paraId="66F5521B" w14:textId="77777777" w:rsidR="005B0A3D" w:rsidRPr="004628FD" w:rsidRDefault="005B0A3D" w:rsidP="00953E53">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4628FD">
        <w:rPr>
          <w:rFonts w:ascii="Palatino Linotype" w:eastAsia="Palatino Linotype" w:hAnsi="Palatino Linotype" w:cs="Palatino Linotype"/>
          <w:i/>
          <w:sz w:val="22"/>
          <w:szCs w:val="22"/>
        </w:rPr>
        <w:t>“</w:t>
      </w:r>
      <w:r w:rsidRPr="004628FD">
        <w:rPr>
          <w:rFonts w:ascii="Palatino Linotype" w:eastAsia="Palatino Linotype" w:hAnsi="Palatino Linotype" w:cs="Palatino Linotype"/>
          <w:b/>
          <w:i/>
          <w:sz w:val="22"/>
          <w:szCs w:val="22"/>
        </w:rPr>
        <w:t xml:space="preserve">Quincuagésimo cuarto. </w:t>
      </w:r>
      <w:r w:rsidRPr="004628FD">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4628FD">
        <w:rPr>
          <w:rFonts w:ascii="Palatino Linotype" w:eastAsia="Palatino Linotype" w:hAnsi="Palatino Linotype" w:cs="Palatino Linotype"/>
          <w:b/>
          <w:i/>
          <w:sz w:val="22"/>
          <w:szCs w:val="22"/>
        </w:rPr>
        <w:t xml:space="preserve"> </w:t>
      </w:r>
    </w:p>
    <w:p w14:paraId="6C5BD2DD"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 xml:space="preserve">Quincuagésimo quinto. </w:t>
      </w:r>
      <w:r w:rsidRPr="004628FD">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4628FD">
        <w:rPr>
          <w:rFonts w:ascii="Palatino Linotype" w:eastAsia="Palatino Linotype" w:hAnsi="Palatino Linotype" w:cs="Palatino Linotype"/>
          <w:i/>
          <w:sz w:val="22"/>
          <w:szCs w:val="22"/>
        </w:rPr>
        <w:t>testado</w:t>
      </w:r>
      <w:proofErr w:type="spellEnd"/>
      <w:r w:rsidRPr="004628FD">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9B54832" w14:textId="77777777" w:rsidR="005B0A3D" w:rsidRPr="004628FD" w:rsidRDefault="005B0A3D" w:rsidP="00953E53">
      <w:pPr>
        <w:spacing w:before="120" w:after="120"/>
        <w:ind w:left="851" w:right="902"/>
        <w:jc w:val="both"/>
        <w:rPr>
          <w:rFonts w:ascii="Palatino Linotype" w:eastAsia="Palatino Linotype" w:hAnsi="Palatino Linotype" w:cs="Palatino Linotype"/>
          <w:b/>
          <w:i/>
          <w:sz w:val="22"/>
          <w:szCs w:val="22"/>
        </w:rPr>
      </w:pPr>
      <w:r w:rsidRPr="004628FD">
        <w:rPr>
          <w:rFonts w:ascii="Palatino Linotype" w:eastAsia="Palatino Linotype" w:hAnsi="Palatino Linotype" w:cs="Palatino Linotype"/>
          <w:b/>
          <w:i/>
          <w:sz w:val="22"/>
          <w:szCs w:val="22"/>
        </w:rPr>
        <w:t>...</w:t>
      </w:r>
    </w:p>
    <w:p w14:paraId="5A9F6CD2"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Quincuagésimo séptimo</w:t>
      </w:r>
      <w:r w:rsidRPr="004628FD">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11E9925"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I</w:t>
      </w:r>
      <w:r w:rsidRPr="004628FD">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DE5E6A5"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II.</w:t>
      </w:r>
      <w:r w:rsidRPr="004628FD">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77CE4FB5"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III</w:t>
      </w:r>
      <w:r w:rsidRPr="004628FD">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0D4D80D"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407149F5" w14:textId="77777777" w:rsidR="005B0A3D" w:rsidRPr="004628FD" w:rsidRDefault="005B0A3D" w:rsidP="00953E53">
      <w:pPr>
        <w:spacing w:before="120" w:after="120"/>
        <w:ind w:left="851" w:right="902"/>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b/>
          <w:i/>
          <w:sz w:val="22"/>
          <w:szCs w:val="22"/>
        </w:rPr>
        <w:t>Quincuagésimo octavo</w:t>
      </w:r>
      <w:r w:rsidRPr="004628FD">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552F10AC" w14:textId="77777777" w:rsidR="005B0A3D" w:rsidRPr="004628FD" w:rsidRDefault="005B0A3D" w:rsidP="005B0A3D">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7FA99318" w14:textId="77777777" w:rsidR="00C8599E" w:rsidRPr="004628FD" w:rsidRDefault="00812BF1" w:rsidP="00B24180">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4628FD">
        <w:rPr>
          <w:rFonts w:ascii="Palatino Linotype" w:eastAsia="Palatino Linotype" w:hAnsi="Palatino Linotype" w:cs="Palatino Linotype"/>
          <w:b/>
          <w:sz w:val="22"/>
          <w:szCs w:val="22"/>
        </w:rPr>
        <w:t>III. R E S U E L V E</w:t>
      </w:r>
    </w:p>
    <w:p w14:paraId="277CEF24" w14:textId="324AA71B"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bookmarkStart w:id="9" w:name="_heading=h.1t3h5sf" w:colFirst="0" w:colLast="0"/>
      <w:bookmarkEnd w:id="9"/>
      <w:r w:rsidRPr="004628FD">
        <w:rPr>
          <w:rFonts w:ascii="Palatino Linotype" w:eastAsia="Palatino Linotype" w:hAnsi="Palatino Linotype" w:cs="Palatino Linotype"/>
          <w:b/>
          <w:sz w:val="22"/>
          <w:szCs w:val="22"/>
        </w:rPr>
        <w:t xml:space="preserve">Primero. </w:t>
      </w:r>
      <w:r w:rsidRPr="004628FD">
        <w:rPr>
          <w:rFonts w:ascii="Palatino Linotype" w:eastAsia="Palatino Linotype" w:hAnsi="Palatino Linotype" w:cs="Palatino Linotype"/>
          <w:sz w:val="22"/>
          <w:szCs w:val="22"/>
        </w:rPr>
        <w:t>Resultan</w:t>
      </w:r>
      <w:r w:rsidRPr="004628FD">
        <w:rPr>
          <w:rFonts w:ascii="Palatino Linotype" w:eastAsia="Palatino Linotype" w:hAnsi="Palatino Linotype" w:cs="Palatino Linotype"/>
          <w:b/>
          <w:sz w:val="22"/>
          <w:szCs w:val="22"/>
        </w:rPr>
        <w:t xml:space="preserve"> fundadas</w:t>
      </w:r>
      <w:r w:rsidRPr="004628FD">
        <w:rPr>
          <w:rFonts w:ascii="Palatino Linotype" w:eastAsia="Palatino Linotype" w:hAnsi="Palatino Linotype" w:cs="Palatino Linotype"/>
          <w:sz w:val="22"/>
          <w:szCs w:val="22"/>
        </w:rPr>
        <w:t xml:space="preserve"> las razones o motivos de inconformidad hechos valer por la parte</w:t>
      </w:r>
      <w:r w:rsidRPr="004628FD">
        <w:rPr>
          <w:rFonts w:ascii="Palatino Linotype" w:eastAsia="Palatino Linotype" w:hAnsi="Palatino Linotype" w:cs="Palatino Linotype"/>
          <w:b/>
          <w:sz w:val="22"/>
          <w:szCs w:val="22"/>
        </w:rPr>
        <w:t xml:space="preserve"> Recurrente</w:t>
      </w:r>
      <w:r w:rsidRPr="004628FD">
        <w:rPr>
          <w:rFonts w:ascii="Palatino Linotype" w:eastAsia="Palatino Linotype" w:hAnsi="Palatino Linotype" w:cs="Palatino Linotype"/>
          <w:sz w:val="22"/>
          <w:szCs w:val="22"/>
        </w:rPr>
        <w:t xml:space="preserve"> en el recurso de revisión </w:t>
      </w:r>
      <w:r w:rsidR="00CF7678" w:rsidRPr="004628FD">
        <w:rPr>
          <w:rFonts w:ascii="Palatino Linotype" w:eastAsia="Palatino Linotype" w:hAnsi="Palatino Linotype" w:cs="Palatino Linotype"/>
          <w:b/>
          <w:bCs/>
          <w:sz w:val="22"/>
          <w:szCs w:val="22"/>
        </w:rPr>
        <w:t>0</w:t>
      </w:r>
      <w:r w:rsidR="00116B26" w:rsidRPr="004628FD">
        <w:rPr>
          <w:rFonts w:ascii="Palatino Linotype" w:eastAsia="Palatino Linotype" w:hAnsi="Palatino Linotype" w:cs="Palatino Linotype"/>
          <w:b/>
          <w:bCs/>
          <w:sz w:val="22"/>
          <w:szCs w:val="22"/>
        </w:rPr>
        <w:t>7504</w:t>
      </w:r>
      <w:r w:rsidRPr="004628FD">
        <w:rPr>
          <w:rFonts w:ascii="Palatino Linotype" w:eastAsia="Palatino Linotype" w:hAnsi="Palatino Linotype" w:cs="Palatino Linotype"/>
          <w:b/>
          <w:sz w:val="22"/>
          <w:szCs w:val="22"/>
        </w:rPr>
        <w:t>/INFOEM/IP/RR/2025</w:t>
      </w:r>
      <w:r w:rsidRPr="004628FD">
        <w:rPr>
          <w:rFonts w:ascii="Palatino Linotype" w:eastAsia="Palatino Linotype" w:hAnsi="Palatino Linotype" w:cs="Palatino Linotype"/>
          <w:sz w:val="22"/>
          <w:szCs w:val="22"/>
        </w:rPr>
        <w:t xml:space="preserve">; por lo que, en términos del </w:t>
      </w:r>
      <w:r w:rsidRPr="004628FD">
        <w:rPr>
          <w:rFonts w:ascii="Palatino Linotype" w:eastAsia="Palatino Linotype" w:hAnsi="Palatino Linotype" w:cs="Palatino Linotype"/>
          <w:b/>
          <w:sz w:val="22"/>
          <w:szCs w:val="22"/>
        </w:rPr>
        <w:t>Considerando</w:t>
      </w:r>
      <w:r w:rsidRPr="004628FD">
        <w:rPr>
          <w:rFonts w:ascii="Palatino Linotype" w:eastAsia="Palatino Linotype" w:hAnsi="Palatino Linotype" w:cs="Palatino Linotype"/>
          <w:sz w:val="22"/>
          <w:szCs w:val="22"/>
        </w:rPr>
        <w:t xml:space="preserve"> </w:t>
      </w:r>
      <w:r w:rsidRPr="004628FD">
        <w:rPr>
          <w:rFonts w:ascii="Palatino Linotype" w:eastAsia="Palatino Linotype" w:hAnsi="Palatino Linotype" w:cs="Palatino Linotype"/>
          <w:b/>
          <w:sz w:val="22"/>
          <w:szCs w:val="22"/>
        </w:rPr>
        <w:t xml:space="preserve">Cuarto </w:t>
      </w:r>
      <w:r w:rsidRPr="004628FD">
        <w:rPr>
          <w:rFonts w:ascii="Palatino Linotype" w:eastAsia="Palatino Linotype" w:hAnsi="Palatino Linotype" w:cs="Palatino Linotype"/>
          <w:sz w:val="22"/>
          <w:szCs w:val="22"/>
        </w:rPr>
        <w:t xml:space="preserve">de esta resolución, se </w:t>
      </w:r>
      <w:r w:rsidR="00CF7678" w:rsidRPr="004628FD">
        <w:rPr>
          <w:rFonts w:ascii="Palatino Linotype" w:eastAsia="Palatino Linotype" w:hAnsi="Palatino Linotype" w:cs="Palatino Linotype"/>
          <w:b/>
          <w:sz w:val="22"/>
          <w:szCs w:val="22"/>
        </w:rPr>
        <w:t>Revoca</w:t>
      </w:r>
      <w:r w:rsidRPr="004628FD">
        <w:rPr>
          <w:rFonts w:ascii="Palatino Linotype" w:eastAsia="Palatino Linotype" w:hAnsi="Palatino Linotype" w:cs="Palatino Linotype"/>
          <w:sz w:val="22"/>
          <w:szCs w:val="22"/>
        </w:rPr>
        <w:t xml:space="preserve"> la respuesta emitida por el </w:t>
      </w:r>
      <w:r w:rsidRPr="004628FD">
        <w:rPr>
          <w:rFonts w:ascii="Palatino Linotype" w:eastAsia="Palatino Linotype" w:hAnsi="Palatino Linotype" w:cs="Palatino Linotype"/>
          <w:b/>
          <w:sz w:val="22"/>
          <w:szCs w:val="22"/>
        </w:rPr>
        <w:t xml:space="preserve">Sujeto Obligado. </w:t>
      </w:r>
    </w:p>
    <w:p w14:paraId="7EEF0660" w14:textId="29164A35" w:rsidR="00C8599E" w:rsidRPr="004628FD" w:rsidRDefault="00812BF1" w:rsidP="00B24180">
      <w:pPr>
        <w:spacing w:before="240" w:after="240" w:line="360" w:lineRule="auto"/>
        <w:ind w:right="49"/>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b/>
          <w:sz w:val="22"/>
          <w:szCs w:val="22"/>
        </w:rPr>
        <w:t xml:space="preserve">Segundo. </w:t>
      </w:r>
      <w:r w:rsidRPr="004628FD">
        <w:rPr>
          <w:rFonts w:ascii="Palatino Linotype" w:eastAsia="Palatino Linotype" w:hAnsi="Palatino Linotype" w:cs="Palatino Linotype"/>
          <w:sz w:val="22"/>
          <w:szCs w:val="22"/>
        </w:rPr>
        <w:t xml:space="preserve">Se </w:t>
      </w:r>
      <w:r w:rsidRPr="004628FD">
        <w:rPr>
          <w:rFonts w:ascii="Palatino Linotype" w:eastAsia="Palatino Linotype" w:hAnsi="Palatino Linotype" w:cs="Palatino Linotype"/>
          <w:b/>
          <w:sz w:val="22"/>
          <w:szCs w:val="22"/>
        </w:rPr>
        <w:t xml:space="preserve">Ordena </w:t>
      </w:r>
      <w:r w:rsidRPr="004628FD">
        <w:rPr>
          <w:rFonts w:ascii="Palatino Linotype" w:eastAsia="Palatino Linotype" w:hAnsi="Palatino Linotype" w:cs="Palatino Linotype"/>
          <w:sz w:val="22"/>
          <w:szCs w:val="22"/>
        </w:rPr>
        <w:t xml:space="preserve">al </w:t>
      </w:r>
      <w:r w:rsidRPr="004628FD">
        <w:rPr>
          <w:rFonts w:ascii="Palatino Linotype" w:eastAsia="Palatino Linotype" w:hAnsi="Palatino Linotype" w:cs="Palatino Linotype"/>
          <w:b/>
          <w:sz w:val="22"/>
          <w:szCs w:val="22"/>
        </w:rPr>
        <w:t xml:space="preserve">Sujeto Obligado, </w:t>
      </w:r>
      <w:r w:rsidRPr="004628FD">
        <w:rPr>
          <w:rFonts w:ascii="Palatino Linotype" w:eastAsia="Palatino Linotype" w:hAnsi="Palatino Linotype" w:cs="Palatino Linotype"/>
          <w:sz w:val="22"/>
          <w:szCs w:val="22"/>
        </w:rPr>
        <w:t>en términos de</w:t>
      </w:r>
      <w:r w:rsidR="005B0A3D" w:rsidRPr="004628FD">
        <w:rPr>
          <w:rFonts w:ascii="Palatino Linotype" w:eastAsia="Palatino Linotype" w:hAnsi="Palatino Linotype" w:cs="Palatino Linotype"/>
          <w:sz w:val="22"/>
          <w:szCs w:val="22"/>
        </w:rPr>
        <w:t xml:space="preserve"> </w:t>
      </w:r>
      <w:r w:rsidR="00CF7678" w:rsidRPr="004628FD">
        <w:rPr>
          <w:rFonts w:ascii="Palatino Linotype" w:eastAsia="Palatino Linotype" w:hAnsi="Palatino Linotype" w:cs="Palatino Linotype"/>
          <w:sz w:val="22"/>
          <w:szCs w:val="22"/>
        </w:rPr>
        <w:t>l</w:t>
      </w:r>
      <w:r w:rsidR="005B0A3D" w:rsidRPr="004628FD">
        <w:rPr>
          <w:rFonts w:ascii="Palatino Linotype" w:eastAsia="Palatino Linotype" w:hAnsi="Palatino Linotype" w:cs="Palatino Linotype"/>
          <w:sz w:val="22"/>
          <w:szCs w:val="22"/>
        </w:rPr>
        <w:t>os</w:t>
      </w:r>
      <w:r w:rsidR="00CF7678" w:rsidRPr="004628FD">
        <w:rPr>
          <w:rFonts w:ascii="Palatino Linotype" w:eastAsia="Palatino Linotype" w:hAnsi="Palatino Linotype" w:cs="Palatino Linotype"/>
          <w:sz w:val="22"/>
          <w:szCs w:val="22"/>
        </w:rPr>
        <w:t xml:space="preserve"> </w:t>
      </w:r>
      <w:r w:rsidRPr="004628FD">
        <w:rPr>
          <w:rFonts w:ascii="Palatino Linotype" w:eastAsia="Palatino Linotype" w:hAnsi="Palatino Linotype" w:cs="Palatino Linotype"/>
          <w:b/>
          <w:sz w:val="22"/>
          <w:szCs w:val="22"/>
        </w:rPr>
        <w:t>Considerando</w:t>
      </w:r>
      <w:r w:rsidR="005B0A3D" w:rsidRPr="004628FD">
        <w:rPr>
          <w:rFonts w:ascii="Palatino Linotype" w:eastAsia="Palatino Linotype" w:hAnsi="Palatino Linotype" w:cs="Palatino Linotype"/>
          <w:b/>
          <w:sz w:val="22"/>
          <w:szCs w:val="22"/>
        </w:rPr>
        <w:t>s</w:t>
      </w:r>
      <w:r w:rsidRPr="004628FD">
        <w:rPr>
          <w:rFonts w:ascii="Palatino Linotype" w:eastAsia="Palatino Linotype" w:hAnsi="Palatino Linotype" w:cs="Palatino Linotype"/>
          <w:sz w:val="22"/>
          <w:szCs w:val="22"/>
        </w:rPr>
        <w:t xml:space="preserve"> </w:t>
      </w:r>
      <w:r w:rsidRPr="004628FD">
        <w:rPr>
          <w:rFonts w:ascii="Palatino Linotype" w:eastAsia="Palatino Linotype" w:hAnsi="Palatino Linotype" w:cs="Palatino Linotype"/>
          <w:b/>
          <w:sz w:val="22"/>
          <w:szCs w:val="22"/>
        </w:rPr>
        <w:t>Cuarto</w:t>
      </w:r>
      <w:r w:rsidR="005B0A3D" w:rsidRPr="004628FD">
        <w:rPr>
          <w:rFonts w:ascii="Palatino Linotype" w:eastAsia="Palatino Linotype" w:hAnsi="Palatino Linotype" w:cs="Palatino Linotype"/>
          <w:b/>
          <w:sz w:val="22"/>
          <w:szCs w:val="22"/>
        </w:rPr>
        <w:t xml:space="preserve"> </w:t>
      </w:r>
      <w:r w:rsidR="005B0A3D" w:rsidRPr="004628FD">
        <w:rPr>
          <w:rFonts w:ascii="Palatino Linotype" w:eastAsia="Palatino Linotype" w:hAnsi="Palatino Linotype" w:cs="Palatino Linotype"/>
          <w:sz w:val="22"/>
          <w:szCs w:val="22"/>
        </w:rPr>
        <w:t xml:space="preserve">y </w:t>
      </w:r>
      <w:r w:rsidR="005B0A3D" w:rsidRPr="004628FD">
        <w:rPr>
          <w:rFonts w:ascii="Palatino Linotype" w:eastAsia="Palatino Linotype" w:hAnsi="Palatino Linotype" w:cs="Palatino Linotype"/>
          <w:b/>
          <w:sz w:val="22"/>
          <w:szCs w:val="22"/>
        </w:rPr>
        <w:t>Quinto</w:t>
      </w:r>
      <w:r w:rsidR="005B0A3D" w:rsidRPr="004628FD">
        <w:rPr>
          <w:rFonts w:ascii="Palatino Linotype" w:eastAsia="Palatino Linotype" w:hAnsi="Palatino Linotype" w:cs="Palatino Linotype"/>
          <w:sz w:val="22"/>
          <w:szCs w:val="22"/>
        </w:rPr>
        <w:t xml:space="preserve"> </w:t>
      </w:r>
      <w:r w:rsidRPr="004628FD">
        <w:rPr>
          <w:rFonts w:ascii="Palatino Linotype" w:eastAsia="Palatino Linotype" w:hAnsi="Palatino Linotype" w:cs="Palatino Linotype"/>
          <w:sz w:val="22"/>
          <w:szCs w:val="22"/>
        </w:rPr>
        <w:t xml:space="preserve">de esta resolución, haga entrega, vía </w:t>
      </w:r>
      <w:r w:rsidRPr="004628FD">
        <w:rPr>
          <w:rFonts w:ascii="Palatino Linotype" w:eastAsia="Palatino Linotype" w:hAnsi="Palatino Linotype" w:cs="Palatino Linotype"/>
          <w:b/>
          <w:sz w:val="22"/>
          <w:szCs w:val="22"/>
        </w:rPr>
        <w:t>SAIMEX</w:t>
      </w:r>
      <w:r w:rsidRPr="004628FD">
        <w:rPr>
          <w:rFonts w:ascii="Palatino Linotype" w:eastAsia="Palatino Linotype" w:hAnsi="Palatino Linotype" w:cs="Palatino Linotype"/>
          <w:sz w:val="22"/>
          <w:szCs w:val="22"/>
        </w:rPr>
        <w:t>, previa búsqueda exh</w:t>
      </w:r>
      <w:r w:rsidR="005B0A3D" w:rsidRPr="004628FD">
        <w:rPr>
          <w:rFonts w:ascii="Palatino Linotype" w:eastAsia="Palatino Linotype" w:hAnsi="Palatino Linotype" w:cs="Palatino Linotype"/>
          <w:sz w:val="22"/>
          <w:szCs w:val="22"/>
        </w:rPr>
        <w:t xml:space="preserve">austiva y razonable, en versión pública de ser procedente, </w:t>
      </w:r>
      <w:r w:rsidRPr="004628FD">
        <w:rPr>
          <w:rFonts w:ascii="Palatino Linotype" w:eastAsia="Palatino Linotype" w:hAnsi="Palatino Linotype" w:cs="Palatino Linotype"/>
          <w:sz w:val="22"/>
          <w:szCs w:val="22"/>
        </w:rPr>
        <w:t>de lo siguiente:</w:t>
      </w:r>
    </w:p>
    <w:p w14:paraId="52C76563" w14:textId="7F3BBF3B" w:rsidR="005B0A3D" w:rsidRPr="004628FD" w:rsidRDefault="00812BF1" w:rsidP="00B24180">
      <w:pPr>
        <w:spacing w:before="240" w:after="240" w:line="360" w:lineRule="auto"/>
        <w:ind w:left="284"/>
        <w:jc w:val="both"/>
        <w:rPr>
          <w:rFonts w:ascii="Palatino Linotype" w:eastAsia="Palatino Linotype" w:hAnsi="Palatino Linotype" w:cs="Palatino Linotype"/>
          <w:sz w:val="22"/>
          <w:szCs w:val="22"/>
        </w:rPr>
      </w:pPr>
      <w:bookmarkStart w:id="10" w:name="_heading=h.1fob9te" w:colFirst="0" w:colLast="0"/>
      <w:bookmarkEnd w:id="10"/>
      <w:r w:rsidRPr="004628FD">
        <w:rPr>
          <w:rFonts w:ascii="Palatino Linotype" w:eastAsia="Palatino Linotype" w:hAnsi="Palatino Linotype" w:cs="Palatino Linotype"/>
          <w:sz w:val="22"/>
          <w:szCs w:val="22"/>
        </w:rPr>
        <w:t xml:space="preserve">1. </w:t>
      </w:r>
      <w:r w:rsidR="00CF7678" w:rsidRPr="004628FD">
        <w:rPr>
          <w:rFonts w:ascii="Palatino Linotype" w:eastAsia="Palatino Linotype" w:hAnsi="Palatino Linotype" w:cs="Palatino Linotype"/>
          <w:sz w:val="22"/>
          <w:szCs w:val="22"/>
        </w:rPr>
        <w:t>El o los d</w:t>
      </w:r>
      <w:r w:rsidRPr="004628FD">
        <w:rPr>
          <w:rFonts w:ascii="Palatino Linotype" w:eastAsia="Palatino Linotype" w:hAnsi="Palatino Linotype" w:cs="Palatino Linotype"/>
          <w:sz w:val="22"/>
          <w:szCs w:val="22"/>
        </w:rPr>
        <w:t>ocumento</w:t>
      </w:r>
      <w:r w:rsidR="00CF7678" w:rsidRPr="004628FD">
        <w:rPr>
          <w:rFonts w:ascii="Palatino Linotype" w:eastAsia="Palatino Linotype" w:hAnsi="Palatino Linotype" w:cs="Palatino Linotype"/>
          <w:sz w:val="22"/>
          <w:szCs w:val="22"/>
        </w:rPr>
        <w:t>s</w:t>
      </w:r>
      <w:r w:rsidRPr="004628FD">
        <w:rPr>
          <w:rFonts w:ascii="Palatino Linotype" w:eastAsia="Palatino Linotype" w:hAnsi="Palatino Linotype" w:cs="Palatino Linotype"/>
          <w:sz w:val="22"/>
          <w:szCs w:val="22"/>
        </w:rPr>
        <w:t xml:space="preserve"> </w:t>
      </w:r>
      <w:r w:rsidR="009D7227" w:rsidRPr="004628FD">
        <w:rPr>
          <w:rFonts w:ascii="Palatino Linotype" w:eastAsia="Palatino Linotype" w:hAnsi="Palatino Linotype" w:cs="Palatino Linotype"/>
          <w:sz w:val="22"/>
          <w:szCs w:val="22"/>
        </w:rPr>
        <w:t>que den cuenta d</w:t>
      </w:r>
      <w:r w:rsidR="001977D5" w:rsidRPr="004628FD">
        <w:rPr>
          <w:rFonts w:ascii="Palatino Linotype" w:eastAsia="Palatino Linotype" w:hAnsi="Palatino Linotype" w:cs="Palatino Linotype"/>
          <w:sz w:val="22"/>
          <w:szCs w:val="22"/>
        </w:rPr>
        <w:t xml:space="preserve">el número de </w:t>
      </w:r>
      <w:r w:rsidR="005B0A3D" w:rsidRPr="004628FD">
        <w:rPr>
          <w:rFonts w:ascii="Palatino Linotype" w:eastAsia="Palatino Linotype" w:hAnsi="Palatino Linotype" w:cs="Palatino Linotype"/>
          <w:sz w:val="22"/>
          <w:szCs w:val="22"/>
        </w:rPr>
        <w:t>reuniones, talleres, seminarios y cursos ha tomado la Contralora  Municipal en funciones al dieciocho de junio de dos mil veinticin</w:t>
      </w:r>
      <w:r w:rsidR="009D7227" w:rsidRPr="004628FD">
        <w:rPr>
          <w:rFonts w:ascii="Palatino Linotype" w:eastAsia="Palatino Linotype" w:hAnsi="Palatino Linotype" w:cs="Palatino Linotype"/>
          <w:sz w:val="22"/>
          <w:szCs w:val="22"/>
        </w:rPr>
        <w:t>co</w:t>
      </w:r>
      <w:r w:rsidR="005B0A3D" w:rsidRPr="004628FD">
        <w:rPr>
          <w:rFonts w:ascii="Palatino Linotype" w:eastAsia="Palatino Linotype" w:hAnsi="Palatino Linotype" w:cs="Palatino Linotype"/>
          <w:sz w:val="22"/>
          <w:szCs w:val="22"/>
        </w:rPr>
        <w:t>.</w:t>
      </w:r>
    </w:p>
    <w:p w14:paraId="49C6010A" w14:textId="77777777" w:rsidR="001977D5" w:rsidRPr="004628FD" w:rsidRDefault="001977D5" w:rsidP="001977D5">
      <w:pPr>
        <w:spacing w:before="120" w:after="120"/>
        <w:ind w:left="284" w:right="49"/>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De ser necesaria la versión pública, se deberán proporcionar junto con el Acuerdo de Clasificación donde el Comité de Transparencia, confirme la eliminación de los datos clasificados como confidenciales, de conformidad con los artículos 49, fracciones II y VIII, 132, fracción II, 143, fracción I y 149 de la Ley de Transparencia y Acceso a la Información Pública del Estado de México y Municipios.</w:t>
      </w:r>
    </w:p>
    <w:p w14:paraId="67C69720" w14:textId="55076BE3" w:rsidR="00CF7678" w:rsidRPr="004628FD" w:rsidRDefault="00CF7678" w:rsidP="00B24180">
      <w:pPr>
        <w:spacing w:before="120" w:after="120"/>
        <w:ind w:left="284"/>
        <w:jc w:val="both"/>
        <w:rPr>
          <w:rFonts w:ascii="Palatino Linotype" w:eastAsia="Palatino Linotype" w:hAnsi="Palatino Linotype" w:cs="Palatino Linotype"/>
          <w:i/>
          <w:sz w:val="22"/>
          <w:szCs w:val="22"/>
        </w:rPr>
      </w:pPr>
      <w:r w:rsidRPr="004628FD">
        <w:rPr>
          <w:rFonts w:ascii="Palatino Linotype" w:eastAsia="Palatino Linotype" w:hAnsi="Palatino Linotype" w:cs="Palatino Linotype"/>
          <w:i/>
          <w:sz w:val="22"/>
          <w:szCs w:val="22"/>
        </w:rPr>
        <w:t xml:space="preserve">En el supuesto que la información ordenada no obre en los archivos del </w:t>
      </w:r>
      <w:r w:rsidRPr="004628FD">
        <w:rPr>
          <w:rFonts w:ascii="Palatino Linotype" w:eastAsia="Palatino Linotype" w:hAnsi="Palatino Linotype" w:cs="Palatino Linotype"/>
          <w:b/>
          <w:i/>
          <w:sz w:val="22"/>
          <w:szCs w:val="22"/>
        </w:rPr>
        <w:t>Sujeto Obligado</w:t>
      </w:r>
      <w:r w:rsidRPr="004628FD">
        <w:rPr>
          <w:rFonts w:ascii="Palatino Linotype" w:eastAsia="Palatino Linotype" w:hAnsi="Palatino Linotype" w:cs="Palatino Linotype"/>
          <w:i/>
          <w:sz w:val="22"/>
          <w:szCs w:val="22"/>
        </w:rPr>
        <w:t xml:space="preserve">, bastará con que así lo haga del conocimiento de la parte </w:t>
      </w:r>
      <w:r w:rsidRPr="004628FD">
        <w:rPr>
          <w:rFonts w:ascii="Palatino Linotype" w:eastAsia="Palatino Linotype" w:hAnsi="Palatino Linotype" w:cs="Palatino Linotype"/>
          <w:b/>
          <w:i/>
          <w:sz w:val="22"/>
          <w:szCs w:val="22"/>
        </w:rPr>
        <w:t>Recurrente</w:t>
      </w:r>
      <w:r w:rsidRPr="004628FD">
        <w:rPr>
          <w:rFonts w:ascii="Palatino Linotype" w:eastAsia="Palatino Linotype" w:hAnsi="Palatino Linotype" w:cs="Palatino Linotype"/>
          <w:i/>
          <w:sz w:val="22"/>
          <w:szCs w:val="22"/>
        </w:rPr>
        <w:t>, en términos del artículo 19, párrafo segundo de la Ley de Transparencia y Acceso a la Información Pública del Estado de México y Municipios, para tener por colmado el requerimiento de información.</w:t>
      </w:r>
    </w:p>
    <w:p w14:paraId="2FD5EDBB"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b/>
          <w:sz w:val="22"/>
          <w:szCs w:val="22"/>
        </w:rPr>
        <w:t xml:space="preserve">Tercero. Notifíquese, </w:t>
      </w:r>
      <w:r w:rsidRPr="004628FD">
        <w:rPr>
          <w:rFonts w:ascii="Palatino Linotype" w:eastAsia="Palatino Linotype" w:hAnsi="Palatino Linotype" w:cs="Palatino Linotype"/>
          <w:sz w:val="22"/>
          <w:szCs w:val="22"/>
        </w:rPr>
        <w:t xml:space="preserve">vía </w:t>
      </w:r>
      <w:r w:rsidRPr="004628FD">
        <w:rPr>
          <w:rFonts w:ascii="Palatino Linotype" w:eastAsia="Palatino Linotype" w:hAnsi="Palatino Linotype" w:cs="Palatino Linotype"/>
          <w:b/>
          <w:sz w:val="22"/>
          <w:szCs w:val="22"/>
        </w:rPr>
        <w:t>SAIMEX</w:t>
      </w:r>
      <w:r w:rsidRPr="004628FD">
        <w:rPr>
          <w:rFonts w:ascii="Palatino Linotype" w:eastAsia="Palatino Linotype" w:hAnsi="Palatino Linotype" w:cs="Palatino Linotype"/>
          <w:sz w:val="22"/>
          <w:szCs w:val="22"/>
        </w:rPr>
        <w:t xml:space="preserve">, al Titular de la Unidad de Transparencia del </w:t>
      </w:r>
      <w:r w:rsidRPr="004628FD">
        <w:rPr>
          <w:rFonts w:ascii="Palatino Linotype" w:eastAsia="Palatino Linotype" w:hAnsi="Palatino Linotype" w:cs="Palatino Linotype"/>
          <w:b/>
          <w:sz w:val="22"/>
          <w:szCs w:val="22"/>
        </w:rPr>
        <w:t>Sujeto Obligado,</w:t>
      </w:r>
      <w:r w:rsidRPr="004628FD">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0DDFF9"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r w:rsidRPr="004628FD">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4628FD">
        <w:rPr>
          <w:rFonts w:ascii="Palatino Linotype" w:eastAsia="Palatino Linotype" w:hAnsi="Palatino Linotype" w:cs="Palatino Linotype"/>
          <w:b/>
          <w:sz w:val="22"/>
          <w:szCs w:val="22"/>
        </w:rPr>
        <w:t>Sujeto Obligado</w:t>
      </w:r>
      <w:r w:rsidRPr="004628FD">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8562068" w14:textId="77777777" w:rsidR="00C8599E" w:rsidRPr="004628FD" w:rsidRDefault="00812BF1" w:rsidP="00B24180">
      <w:pPr>
        <w:spacing w:before="240" w:after="240" w:line="360" w:lineRule="auto"/>
        <w:jc w:val="both"/>
        <w:rPr>
          <w:rFonts w:ascii="Palatino Linotype" w:eastAsia="Palatino Linotype" w:hAnsi="Palatino Linotype" w:cs="Palatino Linotype"/>
          <w:sz w:val="22"/>
          <w:szCs w:val="22"/>
        </w:rPr>
      </w:pPr>
      <w:bookmarkStart w:id="11" w:name="_heading=h.ot3qq6vxa08f" w:colFirst="0" w:colLast="0"/>
      <w:bookmarkEnd w:id="11"/>
      <w:r w:rsidRPr="004628FD">
        <w:rPr>
          <w:rFonts w:ascii="Palatino Linotype" w:eastAsia="Palatino Linotype" w:hAnsi="Palatino Linotype" w:cs="Palatino Linotype"/>
          <w:b/>
          <w:sz w:val="22"/>
          <w:szCs w:val="22"/>
        </w:rPr>
        <w:t xml:space="preserve">Cuarto.  Notifíquese, </w:t>
      </w:r>
      <w:r w:rsidRPr="004628FD">
        <w:rPr>
          <w:rFonts w:ascii="Palatino Linotype" w:eastAsia="Palatino Linotype" w:hAnsi="Palatino Linotype" w:cs="Palatino Linotype"/>
          <w:sz w:val="22"/>
          <w:szCs w:val="22"/>
        </w:rPr>
        <w:t xml:space="preserve">vía </w:t>
      </w:r>
      <w:r w:rsidRPr="004628FD">
        <w:rPr>
          <w:rFonts w:ascii="Palatino Linotype" w:eastAsia="Palatino Linotype" w:hAnsi="Palatino Linotype" w:cs="Palatino Linotype"/>
          <w:b/>
          <w:sz w:val="22"/>
          <w:szCs w:val="22"/>
        </w:rPr>
        <w:t>SAIMEX</w:t>
      </w:r>
      <w:r w:rsidRPr="004628FD">
        <w:rPr>
          <w:rFonts w:ascii="Palatino Linotype" w:eastAsia="Palatino Linotype" w:hAnsi="Palatino Linotype" w:cs="Palatino Linotype"/>
          <w:sz w:val="22"/>
          <w:szCs w:val="22"/>
        </w:rPr>
        <w:t xml:space="preserve"> a la parte </w:t>
      </w:r>
      <w:r w:rsidRPr="004628FD">
        <w:rPr>
          <w:rFonts w:ascii="Palatino Linotype" w:eastAsia="Palatino Linotype" w:hAnsi="Palatino Linotype" w:cs="Palatino Linotype"/>
          <w:b/>
          <w:sz w:val="22"/>
          <w:szCs w:val="22"/>
        </w:rPr>
        <w:t>Recurrente</w:t>
      </w:r>
      <w:r w:rsidRPr="004628FD">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FEB658D" w14:textId="551DB411" w:rsidR="00C8599E" w:rsidRPr="00953E53" w:rsidRDefault="00812BF1" w:rsidP="00C06466">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2" w:name="_heading=h.lnxbz9" w:colFirst="0" w:colLast="0"/>
      <w:bookmarkEnd w:id="12"/>
      <w:r w:rsidRPr="004628FD">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06466" w:rsidRPr="004628FD">
        <w:rPr>
          <w:rFonts w:ascii="Palatino Linotype" w:eastAsia="Palatino Linotype" w:hAnsi="Palatino Linotype" w:cs="Palatino Linotype"/>
          <w:sz w:val="22"/>
          <w:szCs w:val="22"/>
        </w:rPr>
        <w:t>, EMITIENDO VOTO PARTICULAR</w:t>
      </w:r>
      <w:r w:rsidRPr="004628FD">
        <w:rPr>
          <w:rFonts w:ascii="Palatino Linotype" w:eastAsia="Palatino Linotype" w:hAnsi="Palatino Linotype" w:cs="Palatino Linotype"/>
          <w:sz w:val="22"/>
          <w:szCs w:val="22"/>
        </w:rPr>
        <w:t xml:space="preserve">, EN LA </w:t>
      </w:r>
      <w:r w:rsidR="00ED23A8" w:rsidRPr="004628FD">
        <w:rPr>
          <w:rFonts w:ascii="Palatino Linotype" w:eastAsia="Palatino Linotype" w:hAnsi="Palatino Linotype" w:cs="Palatino Linotype"/>
          <w:sz w:val="22"/>
          <w:szCs w:val="22"/>
        </w:rPr>
        <w:t xml:space="preserve">TRIGÉSIMA </w:t>
      </w:r>
      <w:r w:rsidR="00116B26" w:rsidRPr="004628FD">
        <w:rPr>
          <w:rFonts w:ascii="Palatino Linotype" w:eastAsia="Palatino Linotype" w:hAnsi="Palatino Linotype" w:cs="Palatino Linotype"/>
          <w:sz w:val="22"/>
          <w:szCs w:val="22"/>
        </w:rPr>
        <w:t>SÉPTIMA</w:t>
      </w:r>
      <w:r w:rsidR="00ED23A8" w:rsidRPr="004628FD">
        <w:rPr>
          <w:rFonts w:ascii="Palatino Linotype" w:eastAsia="Palatino Linotype" w:hAnsi="Palatino Linotype" w:cs="Palatino Linotype"/>
          <w:sz w:val="22"/>
          <w:szCs w:val="22"/>
        </w:rPr>
        <w:t xml:space="preserve"> </w:t>
      </w:r>
      <w:r w:rsidRPr="004628FD">
        <w:rPr>
          <w:rFonts w:ascii="Palatino Linotype" w:eastAsia="Palatino Linotype" w:hAnsi="Palatino Linotype" w:cs="Palatino Linotype"/>
          <w:sz w:val="22"/>
          <w:szCs w:val="22"/>
        </w:rPr>
        <w:t xml:space="preserve">SESIÓN ORDINARIA CELEBRADA EL </w:t>
      </w:r>
      <w:r w:rsidR="00116B26" w:rsidRPr="004628FD">
        <w:rPr>
          <w:rFonts w:ascii="Palatino Linotype" w:eastAsia="Palatino Linotype" w:hAnsi="Palatino Linotype" w:cs="Palatino Linotype"/>
          <w:sz w:val="22"/>
          <w:szCs w:val="22"/>
        </w:rPr>
        <w:t>QUINCE</w:t>
      </w:r>
      <w:r w:rsidR="00ED23A8" w:rsidRPr="004628FD">
        <w:rPr>
          <w:rFonts w:ascii="Palatino Linotype" w:eastAsia="Palatino Linotype" w:hAnsi="Palatino Linotype" w:cs="Palatino Linotype"/>
          <w:sz w:val="22"/>
          <w:szCs w:val="22"/>
        </w:rPr>
        <w:t xml:space="preserve"> DE OCTUBRE</w:t>
      </w:r>
      <w:r w:rsidRPr="004628FD">
        <w:rPr>
          <w:rFonts w:ascii="Palatino Linotype" w:eastAsia="Palatino Linotype" w:hAnsi="Palatino Linotype" w:cs="Palatino Linotype"/>
          <w:sz w:val="22"/>
          <w:szCs w:val="22"/>
        </w:rPr>
        <w:t xml:space="preserve"> DE DOS MIL VEINTICINCO, ANTE EL SECRETARIO TÉCNICO DEL PLENO ALEXIS TAPIA RAMÍREZ.</w:t>
      </w:r>
    </w:p>
    <w:p w14:paraId="44A3A851"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p>
    <w:p w14:paraId="557CF9F3"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p>
    <w:p w14:paraId="368DC6E7"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p>
    <w:p w14:paraId="78146DC5"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p>
    <w:p w14:paraId="42C42750"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p>
    <w:p w14:paraId="7A24EE91"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p>
    <w:p w14:paraId="75E12DF4"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p>
    <w:p w14:paraId="5AACDE74"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p>
    <w:p w14:paraId="34DEE8E0"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p>
    <w:p w14:paraId="66989FF5"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p>
    <w:p w14:paraId="083D57E5"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p>
    <w:p w14:paraId="34619028"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p>
    <w:p w14:paraId="1DE42F91"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p>
    <w:p w14:paraId="560189C4"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p>
    <w:p w14:paraId="140F17F8"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p>
    <w:p w14:paraId="221750EC"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p>
    <w:p w14:paraId="738840AD"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p>
    <w:p w14:paraId="4D262FF9"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p>
    <w:p w14:paraId="4D0B3880"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p>
    <w:p w14:paraId="4283668F" w14:textId="77777777" w:rsidR="00C8599E" w:rsidRPr="00953E53" w:rsidRDefault="00C8599E" w:rsidP="00B24180">
      <w:pPr>
        <w:spacing w:line="360" w:lineRule="auto"/>
        <w:jc w:val="both"/>
        <w:rPr>
          <w:rFonts w:ascii="Palatino Linotype" w:eastAsia="Palatino Linotype" w:hAnsi="Palatino Linotype" w:cs="Palatino Linotype"/>
          <w:sz w:val="22"/>
          <w:szCs w:val="22"/>
        </w:rPr>
      </w:pPr>
      <w:bookmarkStart w:id="13" w:name="_heading=h.dluxxr715a9d" w:colFirst="0" w:colLast="0"/>
      <w:bookmarkEnd w:id="13"/>
    </w:p>
    <w:p w14:paraId="72274280" w14:textId="77777777" w:rsidR="00C536D8" w:rsidRPr="00953E53" w:rsidRDefault="00C536D8">
      <w:pPr>
        <w:spacing w:line="360" w:lineRule="auto"/>
        <w:jc w:val="both"/>
        <w:rPr>
          <w:rFonts w:ascii="Palatino Linotype" w:eastAsia="Palatino Linotype" w:hAnsi="Palatino Linotype" w:cs="Palatino Linotype"/>
          <w:sz w:val="22"/>
          <w:szCs w:val="22"/>
        </w:rPr>
      </w:pPr>
    </w:p>
    <w:p w14:paraId="1AD90BC5" w14:textId="77777777" w:rsidR="005B0A3D" w:rsidRPr="00953E53" w:rsidRDefault="005B0A3D">
      <w:pPr>
        <w:spacing w:line="360" w:lineRule="auto"/>
        <w:jc w:val="both"/>
        <w:rPr>
          <w:rFonts w:ascii="Palatino Linotype" w:eastAsia="Palatino Linotype" w:hAnsi="Palatino Linotype" w:cs="Palatino Linotype"/>
          <w:sz w:val="22"/>
          <w:szCs w:val="22"/>
        </w:rPr>
      </w:pPr>
    </w:p>
    <w:sectPr w:rsidR="005B0A3D" w:rsidRPr="00953E53">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DF352" w14:textId="77777777" w:rsidR="001D4280" w:rsidRDefault="001D4280">
      <w:r>
        <w:separator/>
      </w:r>
    </w:p>
  </w:endnote>
  <w:endnote w:type="continuationSeparator" w:id="0">
    <w:p w14:paraId="12C6DF24" w14:textId="77777777" w:rsidR="001D4280" w:rsidRDefault="001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B7BD" w14:textId="51CD7C27" w:rsidR="003235C6" w:rsidRDefault="003235C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14851">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14851">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409C8316" w14:textId="77777777" w:rsidR="003235C6" w:rsidRDefault="003235C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AFD19" w14:textId="4FE32C6E" w:rsidR="003235C6" w:rsidRDefault="003235C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D1BC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D1BC5">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13DC87EB" w14:textId="77777777" w:rsidR="003235C6" w:rsidRDefault="003235C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94937" w14:textId="77777777" w:rsidR="001D4280" w:rsidRDefault="001D4280">
      <w:r>
        <w:separator/>
      </w:r>
    </w:p>
  </w:footnote>
  <w:footnote w:type="continuationSeparator" w:id="0">
    <w:p w14:paraId="3CDEC460" w14:textId="77777777" w:rsidR="001D4280" w:rsidRDefault="001D42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859D0" w14:textId="77777777" w:rsidR="003235C6" w:rsidRDefault="003235C6">
    <w:pPr>
      <w:rPr>
        <w:rFonts w:ascii="Cambria" w:eastAsia="Cambria" w:hAnsi="Cambria" w:cs="Cambria"/>
        <w:color w:val="000000"/>
      </w:rPr>
    </w:pPr>
    <w:r>
      <w:rPr>
        <w:noProof/>
      </w:rPr>
      <w:drawing>
        <wp:anchor distT="0" distB="0" distL="0" distR="0" simplePos="0" relativeHeight="251658240" behindDoc="1" locked="0" layoutInCell="1" hidden="0" allowOverlap="1" wp14:anchorId="1A9F9F53" wp14:editId="78AFF217">
          <wp:simplePos x="0" y="0"/>
          <wp:positionH relativeFrom="column">
            <wp:posOffset>-1080132</wp:posOffset>
          </wp:positionH>
          <wp:positionV relativeFrom="paragraph">
            <wp:posOffset>-488259</wp:posOffset>
          </wp:positionV>
          <wp:extent cx="7809865" cy="10165715"/>
          <wp:effectExtent l="0" t="0" r="0" b="0"/>
          <wp:wrapNone/>
          <wp:docPr id="21401318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e"/>
      <w:tblW w:w="5528" w:type="dxa"/>
      <w:tblInd w:w="3261" w:type="dxa"/>
      <w:tblLayout w:type="fixed"/>
      <w:tblLook w:val="0400" w:firstRow="0" w:lastRow="0" w:firstColumn="0" w:lastColumn="0" w:noHBand="0" w:noVBand="1"/>
    </w:tblPr>
    <w:tblGrid>
      <w:gridCol w:w="2409"/>
      <w:gridCol w:w="3119"/>
    </w:tblGrid>
    <w:tr w:rsidR="003235C6" w14:paraId="6EDDB215" w14:textId="77777777" w:rsidTr="005920EA">
      <w:tc>
        <w:tcPr>
          <w:tcW w:w="2409" w:type="dxa"/>
        </w:tcPr>
        <w:p w14:paraId="302A7228" w14:textId="77777777" w:rsidR="003235C6" w:rsidRDefault="003235C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76A2A17" w14:textId="28E8F7AB" w:rsidR="003235C6" w:rsidRDefault="003235C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07504/INFOEM/IP/RR/2025</w:t>
          </w:r>
        </w:p>
      </w:tc>
    </w:tr>
    <w:tr w:rsidR="003235C6" w14:paraId="4E9B0392" w14:textId="77777777" w:rsidTr="005920EA">
      <w:trPr>
        <w:trHeight w:val="228"/>
      </w:trPr>
      <w:tc>
        <w:tcPr>
          <w:tcW w:w="2409" w:type="dxa"/>
          <w:vAlign w:val="center"/>
        </w:tcPr>
        <w:p w14:paraId="4A05C7E3" w14:textId="77777777" w:rsidR="003235C6" w:rsidRDefault="003235C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AD23DD5" w14:textId="3EBDC83A" w:rsidR="003235C6" w:rsidRDefault="003235C6">
          <w:pPr>
            <w:ind w:left="-45" w:right="176"/>
            <w:jc w:val="both"/>
            <w:rPr>
              <w:rFonts w:ascii="Palatino Linotype" w:eastAsia="Palatino Linotype" w:hAnsi="Palatino Linotype" w:cs="Palatino Linotype"/>
              <w:b/>
              <w:sz w:val="22"/>
              <w:szCs w:val="22"/>
            </w:rPr>
          </w:pPr>
          <w:r w:rsidRPr="005920EA">
            <w:rPr>
              <w:rFonts w:ascii="Palatino Linotype" w:eastAsia="Palatino Linotype" w:hAnsi="Palatino Linotype" w:cs="Palatino Linotype"/>
              <w:b/>
              <w:sz w:val="22"/>
              <w:szCs w:val="22"/>
            </w:rPr>
            <w:t>Ayuntamiento de Cuautitlán Izcalli</w:t>
          </w:r>
        </w:p>
      </w:tc>
    </w:tr>
    <w:tr w:rsidR="003235C6" w14:paraId="0D6CEC7C" w14:textId="77777777" w:rsidTr="005920EA">
      <w:tc>
        <w:tcPr>
          <w:tcW w:w="2409" w:type="dxa"/>
          <w:vAlign w:val="center"/>
        </w:tcPr>
        <w:p w14:paraId="2BE4E729" w14:textId="77777777" w:rsidR="003235C6" w:rsidRDefault="003235C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784D1AF" w14:textId="77777777" w:rsidR="003235C6" w:rsidRDefault="003235C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6B91695" w14:textId="77777777" w:rsidR="003235C6" w:rsidRDefault="003235C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8983" w14:textId="77777777" w:rsidR="003235C6" w:rsidRDefault="003235C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0E74C60" wp14:editId="1469C7A2">
          <wp:simplePos x="0" y="0"/>
          <wp:positionH relativeFrom="column">
            <wp:posOffset>-1080131</wp:posOffset>
          </wp:positionH>
          <wp:positionV relativeFrom="paragraph">
            <wp:posOffset>-369890</wp:posOffset>
          </wp:positionV>
          <wp:extent cx="7809865" cy="10165715"/>
          <wp:effectExtent l="0" t="0" r="0" b="0"/>
          <wp:wrapNone/>
          <wp:docPr id="21401318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
      <w:tblW w:w="5670" w:type="dxa"/>
      <w:tblInd w:w="3261" w:type="dxa"/>
      <w:tblLayout w:type="fixed"/>
      <w:tblLook w:val="0400" w:firstRow="0" w:lastRow="0" w:firstColumn="0" w:lastColumn="0" w:noHBand="0" w:noVBand="1"/>
    </w:tblPr>
    <w:tblGrid>
      <w:gridCol w:w="2489"/>
      <w:gridCol w:w="3181"/>
    </w:tblGrid>
    <w:tr w:rsidR="003235C6" w14:paraId="204201FA" w14:textId="77777777" w:rsidTr="005920EA">
      <w:tc>
        <w:tcPr>
          <w:tcW w:w="2489" w:type="dxa"/>
        </w:tcPr>
        <w:p w14:paraId="47B83E8E" w14:textId="77777777" w:rsidR="003235C6" w:rsidRDefault="003235C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81" w:type="dxa"/>
          <w:vAlign w:val="center"/>
        </w:tcPr>
        <w:p w14:paraId="0244B0DF" w14:textId="78A9FA12" w:rsidR="003235C6" w:rsidRDefault="003235C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07504/INFOEM/IP/RR/2025</w:t>
          </w:r>
        </w:p>
      </w:tc>
    </w:tr>
    <w:tr w:rsidR="003235C6" w14:paraId="3C7A527A" w14:textId="77777777" w:rsidTr="005920EA">
      <w:tc>
        <w:tcPr>
          <w:tcW w:w="2489" w:type="dxa"/>
        </w:tcPr>
        <w:p w14:paraId="1F5298AF" w14:textId="77777777" w:rsidR="003235C6" w:rsidRDefault="003235C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81" w:type="dxa"/>
          <w:vAlign w:val="center"/>
        </w:tcPr>
        <w:p w14:paraId="3EB83948" w14:textId="21722277" w:rsidR="003235C6" w:rsidRDefault="009D1BC5" w:rsidP="009D1BC5">
          <w:pPr>
            <w:ind w:right="175"/>
            <w:jc w:val="both"/>
            <w:rPr>
              <w:rFonts w:ascii="Palatino Linotype" w:eastAsia="Palatino Linotype" w:hAnsi="Palatino Linotype" w:cs="Palatino Linotype"/>
              <w:b/>
              <w:color w:val="FF0000"/>
              <w:sz w:val="22"/>
              <w:szCs w:val="22"/>
              <w:highlight w:val="yellow"/>
            </w:rPr>
          </w:pPr>
          <w:r>
            <w:rPr>
              <w:rFonts w:ascii="Palatino Linotype" w:eastAsia="Palatino Linotype" w:hAnsi="Palatino Linotype" w:cs="Palatino Linotype"/>
              <w:b/>
              <w:sz w:val="22"/>
              <w:szCs w:val="22"/>
            </w:rPr>
            <w:t xml:space="preserve">XXXXXXX XXXXXXXX </w:t>
          </w:r>
        </w:p>
      </w:tc>
    </w:tr>
    <w:tr w:rsidR="003235C6" w14:paraId="4955EEF1" w14:textId="77777777" w:rsidTr="005920EA">
      <w:trPr>
        <w:trHeight w:val="228"/>
      </w:trPr>
      <w:tc>
        <w:tcPr>
          <w:tcW w:w="2489" w:type="dxa"/>
          <w:vAlign w:val="center"/>
        </w:tcPr>
        <w:p w14:paraId="3BBAEB8F" w14:textId="77777777" w:rsidR="003235C6" w:rsidRDefault="003235C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81" w:type="dxa"/>
          <w:vAlign w:val="center"/>
        </w:tcPr>
        <w:p w14:paraId="0CEBB39B" w14:textId="70009CBF" w:rsidR="003235C6" w:rsidRDefault="003235C6">
          <w:pPr>
            <w:ind w:left="-45" w:right="176"/>
            <w:jc w:val="both"/>
            <w:rPr>
              <w:rFonts w:ascii="Palatino Linotype" w:eastAsia="Palatino Linotype" w:hAnsi="Palatino Linotype" w:cs="Palatino Linotype"/>
              <w:b/>
              <w:sz w:val="22"/>
              <w:szCs w:val="22"/>
            </w:rPr>
          </w:pPr>
          <w:r w:rsidRPr="005920EA">
            <w:rPr>
              <w:rFonts w:ascii="Palatino Linotype" w:eastAsia="Palatino Linotype" w:hAnsi="Palatino Linotype" w:cs="Palatino Linotype"/>
              <w:b/>
              <w:sz w:val="22"/>
              <w:szCs w:val="22"/>
            </w:rPr>
            <w:t>Ayuntamiento de Cuautitlán Izcalli</w:t>
          </w:r>
        </w:p>
      </w:tc>
    </w:tr>
    <w:tr w:rsidR="003235C6" w14:paraId="18829BB7" w14:textId="77777777" w:rsidTr="005920EA">
      <w:tc>
        <w:tcPr>
          <w:tcW w:w="2489" w:type="dxa"/>
          <w:vAlign w:val="center"/>
        </w:tcPr>
        <w:p w14:paraId="00BC5EC8" w14:textId="77777777" w:rsidR="003235C6" w:rsidRDefault="003235C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81" w:type="dxa"/>
          <w:vAlign w:val="center"/>
        </w:tcPr>
        <w:p w14:paraId="558CE038" w14:textId="77777777" w:rsidR="003235C6" w:rsidRDefault="003235C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59C727A" w14:textId="77777777" w:rsidR="003235C6" w:rsidRDefault="003235C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D3330D"/>
    <w:multiLevelType w:val="multilevel"/>
    <w:tmpl w:val="7CAE87EE"/>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9E"/>
    <w:rsid w:val="00004FFD"/>
    <w:rsid w:val="00021536"/>
    <w:rsid w:val="00040F29"/>
    <w:rsid w:val="0004321C"/>
    <w:rsid w:val="00043B5E"/>
    <w:rsid w:val="0007660B"/>
    <w:rsid w:val="00083734"/>
    <w:rsid w:val="00092FC0"/>
    <w:rsid w:val="000D61B5"/>
    <w:rsid w:val="00116B26"/>
    <w:rsid w:val="00141E19"/>
    <w:rsid w:val="00157369"/>
    <w:rsid w:val="001614A0"/>
    <w:rsid w:val="00161E36"/>
    <w:rsid w:val="001748C3"/>
    <w:rsid w:val="001977D5"/>
    <w:rsid w:val="001B3413"/>
    <w:rsid w:val="001C0D7C"/>
    <w:rsid w:val="001C1EF8"/>
    <w:rsid w:val="001D4280"/>
    <w:rsid w:val="001F642E"/>
    <w:rsid w:val="00212601"/>
    <w:rsid w:val="002165ED"/>
    <w:rsid w:val="00251742"/>
    <w:rsid w:val="00267C10"/>
    <w:rsid w:val="00277A28"/>
    <w:rsid w:val="00291E2D"/>
    <w:rsid w:val="002C3C3F"/>
    <w:rsid w:val="002F3A5F"/>
    <w:rsid w:val="003235C6"/>
    <w:rsid w:val="00381837"/>
    <w:rsid w:val="00382805"/>
    <w:rsid w:val="00393E6B"/>
    <w:rsid w:val="003B027F"/>
    <w:rsid w:val="003D454C"/>
    <w:rsid w:val="00401AE4"/>
    <w:rsid w:val="004145A4"/>
    <w:rsid w:val="004566DE"/>
    <w:rsid w:val="004628FD"/>
    <w:rsid w:val="00470D01"/>
    <w:rsid w:val="0048315A"/>
    <w:rsid w:val="00485F32"/>
    <w:rsid w:val="004909CF"/>
    <w:rsid w:val="004909E1"/>
    <w:rsid w:val="004946BC"/>
    <w:rsid w:val="004A322D"/>
    <w:rsid w:val="004D1FEE"/>
    <w:rsid w:val="004F2ACC"/>
    <w:rsid w:val="00514851"/>
    <w:rsid w:val="0053319D"/>
    <w:rsid w:val="005464BF"/>
    <w:rsid w:val="0056181C"/>
    <w:rsid w:val="005830AB"/>
    <w:rsid w:val="00591E70"/>
    <w:rsid w:val="005920EA"/>
    <w:rsid w:val="00597BEC"/>
    <w:rsid w:val="005A1C30"/>
    <w:rsid w:val="005B0A3D"/>
    <w:rsid w:val="005B1976"/>
    <w:rsid w:val="005C06D7"/>
    <w:rsid w:val="005D55D0"/>
    <w:rsid w:val="005E73F0"/>
    <w:rsid w:val="006044DA"/>
    <w:rsid w:val="006321B6"/>
    <w:rsid w:val="00635DF2"/>
    <w:rsid w:val="00657AC9"/>
    <w:rsid w:val="00724AE6"/>
    <w:rsid w:val="00761680"/>
    <w:rsid w:val="00761E4F"/>
    <w:rsid w:val="00782376"/>
    <w:rsid w:val="00782C32"/>
    <w:rsid w:val="00783695"/>
    <w:rsid w:val="007A172B"/>
    <w:rsid w:val="007B3847"/>
    <w:rsid w:val="007E0AB9"/>
    <w:rsid w:val="00801DB1"/>
    <w:rsid w:val="00812BF1"/>
    <w:rsid w:val="008445CF"/>
    <w:rsid w:val="008670A6"/>
    <w:rsid w:val="00895395"/>
    <w:rsid w:val="008A6067"/>
    <w:rsid w:val="008B4DFE"/>
    <w:rsid w:val="009474C2"/>
    <w:rsid w:val="00953E53"/>
    <w:rsid w:val="00964BF0"/>
    <w:rsid w:val="00972A0A"/>
    <w:rsid w:val="009B0D0A"/>
    <w:rsid w:val="009B5B05"/>
    <w:rsid w:val="009C1DCB"/>
    <w:rsid w:val="009D1BC5"/>
    <w:rsid w:val="009D7227"/>
    <w:rsid w:val="009D7BCF"/>
    <w:rsid w:val="00A15511"/>
    <w:rsid w:val="00AA4ED8"/>
    <w:rsid w:val="00AB5798"/>
    <w:rsid w:val="00AD16A1"/>
    <w:rsid w:val="00AE7275"/>
    <w:rsid w:val="00B24180"/>
    <w:rsid w:val="00B87048"/>
    <w:rsid w:val="00BA045E"/>
    <w:rsid w:val="00BB6FD2"/>
    <w:rsid w:val="00BC58DA"/>
    <w:rsid w:val="00BD3F67"/>
    <w:rsid w:val="00BF0A93"/>
    <w:rsid w:val="00C00B62"/>
    <w:rsid w:val="00C02A3B"/>
    <w:rsid w:val="00C0463D"/>
    <w:rsid w:val="00C06466"/>
    <w:rsid w:val="00C3718E"/>
    <w:rsid w:val="00C536D8"/>
    <w:rsid w:val="00C8599E"/>
    <w:rsid w:val="00CA3D09"/>
    <w:rsid w:val="00CF3CAC"/>
    <w:rsid w:val="00CF7678"/>
    <w:rsid w:val="00D0053F"/>
    <w:rsid w:val="00D33B8E"/>
    <w:rsid w:val="00D4752F"/>
    <w:rsid w:val="00D506F5"/>
    <w:rsid w:val="00D80601"/>
    <w:rsid w:val="00D86C25"/>
    <w:rsid w:val="00D922DE"/>
    <w:rsid w:val="00D93A6B"/>
    <w:rsid w:val="00DF7027"/>
    <w:rsid w:val="00E50201"/>
    <w:rsid w:val="00E54D20"/>
    <w:rsid w:val="00EB4AA0"/>
    <w:rsid w:val="00ED23A8"/>
    <w:rsid w:val="00EF46DC"/>
    <w:rsid w:val="00F24B90"/>
    <w:rsid w:val="00F36DE8"/>
    <w:rsid w:val="00F72403"/>
    <w:rsid w:val="00FA27C0"/>
    <w:rsid w:val="00FF65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807D"/>
  <w15:docId w15:val="{A40F929D-76F9-49F9-A018-66F60709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a">
    <w:basedOn w:val="TableNormalf3"/>
    <w:tblPr>
      <w:tblStyleRowBandSize w:val="1"/>
      <w:tblStyleColBandSize w:val="1"/>
      <w:tblCellMar>
        <w:left w:w="115" w:type="dxa"/>
        <w:right w:w="115" w:type="dxa"/>
      </w:tblCellMar>
    </w:tblPr>
  </w:style>
  <w:style w:type="table" w:customStyle="1" w:styleId="a0">
    <w:basedOn w:val="TableNormalf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2"/>
    <w:tblPr>
      <w:tblStyleRowBandSize w:val="1"/>
      <w:tblStyleColBandSize w:val="1"/>
      <w:tblCellMar>
        <w:left w:w="115" w:type="dxa"/>
        <w:right w:w="115" w:type="dxa"/>
      </w:tblCellMar>
    </w:tblPr>
  </w:style>
  <w:style w:type="table" w:customStyle="1" w:styleId="a4">
    <w:basedOn w:val="TableNormalf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1"/>
    <w:tblPr>
      <w:tblStyleRowBandSize w:val="1"/>
      <w:tblStyleColBandSize w:val="1"/>
      <w:tblCellMar>
        <w:left w:w="108" w:type="dxa"/>
        <w:right w:w="108" w:type="dxa"/>
      </w:tblCellMar>
    </w:tblPr>
  </w:style>
  <w:style w:type="table" w:customStyle="1" w:styleId="a6">
    <w:basedOn w:val="TableNormalf1"/>
    <w:tblPr>
      <w:tblStyleRowBandSize w:val="1"/>
      <w:tblStyleColBandSize w:val="1"/>
      <w:tblCellMar>
        <w:left w:w="108" w:type="dxa"/>
        <w:right w:w="108" w:type="dxa"/>
      </w:tblCellMar>
    </w:tblPr>
  </w:style>
  <w:style w:type="table" w:customStyle="1" w:styleId="a7">
    <w:basedOn w:val="TableNormalf1"/>
    <w:tblPr>
      <w:tblStyleRowBandSize w:val="1"/>
      <w:tblStyleColBandSize w:val="1"/>
      <w:tblCellMar>
        <w:left w:w="108" w:type="dxa"/>
        <w:right w:w="108" w:type="dxa"/>
      </w:tblCellMar>
    </w:tblPr>
  </w:style>
  <w:style w:type="table" w:customStyle="1" w:styleId="a8">
    <w:basedOn w:val="TableNormalf1"/>
    <w:tblPr>
      <w:tblStyleRowBandSize w:val="1"/>
      <w:tblStyleColBandSize w:val="1"/>
      <w:tblCellMar>
        <w:left w:w="108" w:type="dxa"/>
        <w:right w:w="108" w:type="dxa"/>
      </w:tblCellMar>
    </w:tblPr>
  </w:style>
  <w:style w:type="table" w:customStyle="1" w:styleId="a9">
    <w:basedOn w:val="TableNormalf1"/>
    <w:tblPr>
      <w:tblStyleRowBandSize w:val="1"/>
      <w:tblStyleColBandSize w:val="1"/>
      <w:tblCellMar>
        <w:left w:w="108" w:type="dxa"/>
        <w:right w:w="108" w:type="dxa"/>
      </w:tblCellMar>
    </w:tblPr>
  </w:style>
  <w:style w:type="table" w:customStyle="1" w:styleId="aa">
    <w:basedOn w:val="TableNormalf1"/>
    <w:tblPr>
      <w:tblStyleRowBandSize w:val="1"/>
      <w:tblStyleColBandSize w:val="1"/>
      <w:tblCellMar>
        <w:left w:w="115" w:type="dxa"/>
        <w:right w:w="115" w:type="dxa"/>
      </w:tblCellMar>
    </w:tblPr>
  </w:style>
  <w:style w:type="table" w:customStyle="1" w:styleId="ab">
    <w:basedOn w:val="TableNormalf1"/>
    <w:tblPr>
      <w:tblStyleRowBandSize w:val="1"/>
      <w:tblStyleColBandSize w:val="1"/>
      <w:tblCellMar>
        <w:left w:w="115" w:type="dxa"/>
        <w:right w:w="115" w:type="dxa"/>
      </w:tblCellMar>
    </w:tblPr>
  </w:style>
  <w:style w:type="table" w:customStyle="1" w:styleId="ac">
    <w:basedOn w:val="TableNormalf0"/>
    <w:tblPr>
      <w:tblStyleRowBandSize w:val="1"/>
      <w:tblStyleColBandSize w:val="1"/>
      <w:tblCellMar>
        <w:left w:w="108" w:type="dxa"/>
        <w:right w:w="108" w:type="dxa"/>
      </w:tblCellMar>
    </w:tblPr>
  </w:style>
  <w:style w:type="table" w:customStyle="1" w:styleId="ad">
    <w:basedOn w:val="TableNormalf0"/>
    <w:tblPr>
      <w:tblStyleRowBandSize w:val="1"/>
      <w:tblStyleColBandSize w:val="1"/>
      <w:tblCellMar>
        <w:left w:w="115" w:type="dxa"/>
        <w:right w:w="115" w:type="dxa"/>
      </w:tblCellMar>
    </w:tblPr>
  </w:style>
  <w:style w:type="table" w:customStyle="1" w:styleId="ae">
    <w:basedOn w:val="TableNormalf0"/>
    <w:tblPr>
      <w:tblStyleRowBandSize w:val="1"/>
      <w:tblStyleColBandSize w:val="1"/>
      <w:tblCellMar>
        <w:left w:w="115" w:type="dxa"/>
        <w:right w:w="115" w:type="dxa"/>
      </w:tblCellMar>
    </w:tblPr>
  </w:style>
  <w:style w:type="table" w:customStyle="1" w:styleId="af">
    <w:basedOn w:val="TableNormalf"/>
    <w:tblPr>
      <w:tblStyleRowBandSize w:val="1"/>
      <w:tblStyleColBandSize w:val="1"/>
      <w:tblCellMar>
        <w:left w:w="115" w:type="dxa"/>
        <w:right w:w="115" w:type="dxa"/>
      </w:tblCellMar>
    </w:tblPr>
  </w:style>
  <w:style w:type="table" w:customStyle="1" w:styleId="af0">
    <w:basedOn w:val="TableNormalf"/>
    <w:tblPr>
      <w:tblStyleRowBandSize w:val="1"/>
      <w:tblStyleColBandSize w:val="1"/>
      <w:tblCellMar>
        <w:left w:w="115" w:type="dxa"/>
        <w:right w:w="115" w:type="dxa"/>
      </w:tblCellMar>
    </w:tblPr>
  </w:style>
  <w:style w:type="table" w:customStyle="1" w:styleId="af1">
    <w:basedOn w:val="TableNormalf"/>
    <w:tblPr>
      <w:tblStyleRowBandSize w:val="1"/>
      <w:tblStyleColBandSize w:val="1"/>
      <w:tblCellMar>
        <w:left w:w="115" w:type="dxa"/>
        <w:right w:w="115" w:type="dxa"/>
      </w:tblCellMar>
    </w:tblPr>
  </w:style>
  <w:style w:type="table" w:customStyle="1" w:styleId="af2">
    <w:basedOn w:val="TableNormale"/>
    <w:tblPr>
      <w:tblStyleRowBandSize w:val="1"/>
      <w:tblStyleColBandSize w:val="1"/>
      <w:tblCellMar>
        <w:left w:w="115" w:type="dxa"/>
        <w:right w:w="115" w:type="dxa"/>
      </w:tblCellMar>
    </w:tblPr>
  </w:style>
  <w:style w:type="table" w:customStyle="1" w:styleId="af3">
    <w:basedOn w:val="TableNormale"/>
    <w:tblPr>
      <w:tblStyleRowBandSize w:val="1"/>
      <w:tblStyleColBandSize w:val="1"/>
      <w:tblCellMar>
        <w:left w:w="115" w:type="dxa"/>
        <w:right w:w="115" w:type="dxa"/>
      </w:tblCellMar>
    </w:tblPr>
  </w:style>
  <w:style w:type="table" w:customStyle="1" w:styleId="af4">
    <w:basedOn w:val="TableNormald"/>
    <w:tblPr>
      <w:tblStyleRowBandSize w:val="1"/>
      <w:tblStyleColBandSize w:val="1"/>
      <w:tblCellMar>
        <w:left w:w="115" w:type="dxa"/>
        <w:right w:w="115" w:type="dxa"/>
      </w:tblCellMar>
    </w:tblPr>
  </w:style>
  <w:style w:type="table" w:customStyle="1" w:styleId="af5">
    <w:basedOn w:val="TableNormald"/>
    <w:tblPr>
      <w:tblStyleRowBandSize w:val="1"/>
      <w:tblStyleColBandSize w:val="1"/>
      <w:tblCellMar>
        <w:left w:w="115" w:type="dxa"/>
        <w:right w:w="115" w:type="dxa"/>
      </w:tblCellMar>
    </w:tblPr>
  </w:style>
  <w:style w:type="table" w:customStyle="1" w:styleId="af6">
    <w:basedOn w:val="TableNormalc"/>
    <w:tblPr>
      <w:tblStyleRowBandSize w:val="1"/>
      <w:tblStyleColBandSize w:val="1"/>
      <w:tblCellMar>
        <w:left w:w="115" w:type="dxa"/>
        <w:right w:w="115" w:type="dxa"/>
      </w:tblCellMar>
    </w:tblPr>
  </w:style>
  <w:style w:type="table" w:customStyle="1" w:styleId="af7">
    <w:basedOn w:val="TableNormalc"/>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b"/>
    <w:tblPr>
      <w:tblStyleRowBandSize w:val="1"/>
      <w:tblStyleColBandSize w:val="1"/>
      <w:tblCellMar>
        <w:left w:w="115" w:type="dxa"/>
        <w:right w:w="115" w:type="dxa"/>
      </w:tblCellMar>
    </w:tblPr>
  </w:style>
  <w:style w:type="table" w:customStyle="1" w:styleId="af9">
    <w:basedOn w:val="TableNormalb"/>
    <w:tblPr>
      <w:tblStyleRowBandSize w:val="1"/>
      <w:tblStyleColBandSize w:val="1"/>
      <w:tblCellMar>
        <w:left w:w="115" w:type="dxa"/>
        <w:right w:w="115" w:type="dxa"/>
      </w:tblCellMar>
    </w:tblPr>
  </w:style>
  <w:style w:type="table" w:customStyle="1" w:styleId="afa">
    <w:basedOn w:val="TableNormala"/>
    <w:tblPr>
      <w:tblStyleRowBandSize w:val="1"/>
      <w:tblStyleColBandSize w:val="1"/>
      <w:tblCellMar>
        <w:left w:w="115" w:type="dxa"/>
        <w:right w:w="115" w:type="dxa"/>
      </w:tblCellMar>
    </w:tblPr>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9"/>
    <w:tblPr>
      <w:tblStyleRowBandSize w:val="1"/>
      <w:tblStyleColBandSize w:val="1"/>
      <w:tblCellMar>
        <w:left w:w="115" w:type="dxa"/>
        <w:right w:w="115" w:type="dxa"/>
      </w:tblCellMar>
    </w:tblPr>
  </w:style>
  <w:style w:type="table" w:customStyle="1" w:styleId="afd">
    <w:basedOn w:val="TableNormal9"/>
    <w:tblPr>
      <w:tblStyleRowBandSize w:val="1"/>
      <w:tblStyleColBandSize w:val="1"/>
      <w:tblCellMar>
        <w:left w:w="115" w:type="dxa"/>
        <w:right w:w="115" w:type="dxa"/>
      </w:tblCellMar>
    </w:tblPr>
  </w:style>
  <w:style w:type="table" w:customStyle="1" w:styleId="afe">
    <w:basedOn w:val="TableNormal8"/>
    <w:tblPr>
      <w:tblStyleRowBandSize w:val="1"/>
      <w:tblStyleColBandSize w:val="1"/>
      <w:tblCellMar>
        <w:left w:w="115" w:type="dxa"/>
        <w:right w:w="115" w:type="dxa"/>
      </w:tblCellMar>
    </w:tblPr>
  </w:style>
  <w:style w:type="table" w:customStyle="1" w:styleId="aff">
    <w:basedOn w:val="TableNormal8"/>
    <w:tblPr>
      <w:tblStyleRowBandSize w:val="1"/>
      <w:tblStyleColBandSize w:val="1"/>
      <w:tblCellMar>
        <w:left w:w="115" w:type="dxa"/>
        <w:right w:w="115" w:type="dxa"/>
      </w:tblCellMar>
    </w:tblPr>
  </w:style>
  <w:style w:type="table" w:customStyle="1" w:styleId="aff0">
    <w:basedOn w:val="TableNormal7"/>
    <w:tblPr>
      <w:tblStyleRowBandSize w:val="1"/>
      <w:tblStyleColBandSize w:val="1"/>
      <w:tblCellMar>
        <w:left w:w="115" w:type="dxa"/>
        <w:right w:w="115" w:type="dxa"/>
      </w:tblCellMar>
    </w:tblPr>
  </w:style>
  <w:style w:type="table" w:customStyle="1" w:styleId="aff1">
    <w:basedOn w:val="TableNormal7"/>
    <w:tblPr>
      <w:tblStyleRowBandSize w:val="1"/>
      <w:tblStyleColBandSize w:val="1"/>
      <w:tblCellMar>
        <w:left w:w="115" w:type="dxa"/>
        <w:right w:w="115" w:type="dxa"/>
      </w:tblCellMar>
    </w:tblPr>
  </w:style>
  <w:style w:type="table" w:customStyle="1" w:styleId="aff2">
    <w:basedOn w:val="TableNormal6"/>
    <w:tblPr>
      <w:tblStyleRowBandSize w:val="1"/>
      <w:tblStyleColBandSize w:val="1"/>
      <w:tblCellMar>
        <w:left w:w="115" w:type="dxa"/>
        <w:right w:w="115" w:type="dxa"/>
      </w:tblCellMar>
    </w:tblPr>
  </w:style>
  <w:style w:type="table" w:customStyle="1" w:styleId="aff3">
    <w:basedOn w:val="TableNormal6"/>
    <w:tblPr>
      <w:tblStyleRowBandSize w:val="1"/>
      <w:tblStyleColBandSize w:val="1"/>
      <w:tblCellMar>
        <w:left w:w="115" w:type="dxa"/>
        <w:right w:w="115" w:type="dxa"/>
      </w:tblCellMar>
    </w:tblPr>
  </w:style>
  <w:style w:type="table" w:customStyle="1" w:styleId="aff4">
    <w:basedOn w:val="TableNormal5"/>
    <w:tblPr>
      <w:tblStyleRowBandSize w:val="1"/>
      <w:tblStyleColBandSize w:val="1"/>
      <w:tblCellMar>
        <w:left w:w="115" w:type="dxa"/>
        <w:right w:w="115" w:type="dxa"/>
      </w:tblCellMar>
    </w:tblPr>
  </w:style>
  <w:style w:type="table" w:customStyle="1" w:styleId="aff5">
    <w:basedOn w:val="TableNormal5"/>
    <w:tblPr>
      <w:tblStyleRowBandSize w:val="1"/>
      <w:tblStyleColBandSize w:val="1"/>
      <w:tblCellMar>
        <w:left w:w="115" w:type="dxa"/>
        <w:right w:w="115" w:type="dxa"/>
      </w:tblCellMar>
    </w:tblPr>
  </w:style>
  <w:style w:type="table" w:customStyle="1" w:styleId="aff6">
    <w:basedOn w:val="TableNormal4"/>
    <w:tblPr>
      <w:tblStyleRowBandSize w:val="1"/>
      <w:tblStyleColBandSize w:val="1"/>
      <w:tblCellMar>
        <w:left w:w="115" w:type="dxa"/>
        <w:right w:w="115" w:type="dxa"/>
      </w:tblCellMar>
    </w:tblPr>
  </w:style>
  <w:style w:type="table" w:customStyle="1" w:styleId="aff7">
    <w:basedOn w:val="TableNormal4"/>
    <w:tblPr>
      <w:tblStyleRowBandSize w:val="1"/>
      <w:tblStyleColBandSize w:val="1"/>
      <w:tblCellMar>
        <w:left w:w="115" w:type="dxa"/>
        <w:right w:w="115" w:type="dxa"/>
      </w:tblCellMar>
    </w:tblPr>
  </w:style>
  <w:style w:type="table" w:customStyle="1" w:styleId="aff8">
    <w:basedOn w:val="TableNormal3"/>
    <w:tblPr>
      <w:tblStyleRowBandSize w:val="1"/>
      <w:tblStyleColBandSize w:val="1"/>
      <w:tblCellMar>
        <w:left w:w="115" w:type="dxa"/>
        <w:right w:w="115" w:type="dxa"/>
      </w:tblCellMar>
    </w:tblPr>
  </w:style>
  <w:style w:type="table" w:customStyle="1" w:styleId="aff9">
    <w:basedOn w:val="TableNormal3"/>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87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Mi9+B5xi+r+YBIpValnNc0xA3g==">CgMxLjAyDmguZGFqM2oyeG82cTY2MghoLmdqZGd4czIJaC4zZHk2dmttMgloLjMwajB6bGwyCWguMnM4ZXlvMTIIaC50eWpjd3QyCWguM3pueXNoNzIJaC4yZXQ5MnAwMgloLjF0M2g1c2YyCWguMWZvYjl0ZTIOaC5obnp4c2NoNWd5c3oyDmgub3QzcXE2dnhhMDhmMghoLmxueGJ6OTIOaC5kbHV4eHI3MTVhOWQ4AHIhMXllTk0xZE5yaFRXN25XZTR1cjE5RWdlMlJENGdUaE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11067</Words>
  <Characters>60869</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2025-10-17T01:37:00Z</cp:lastPrinted>
  <dcterms:created xsi:type="dcterms:W3CDTF">2025-11-14T17:49:00Z</dcterms:created>
  <dcterms:modified xsi:type="dcterms:W3CDTF">2025-11-14T17:49:00Z</dcterms:modified>
</cp:coreProperties>
</file>