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D6792B" w:rsidRDefault="0072148B">
      <w:pPr>
        <w:widowControl w:val="0"/>
        <w:pBdr>
          <w:top w:val="nil"/>
          <w:left w:val="nil"/>
          <w:bottom w:val="nil"/>
          <w:right w:val="nil"/>
          <w:between w:val="nil"/>
        </w:pBdr>
        <w:spacing w:line="276" w:lineRule="auto"/>
        <w:rPr>
          <w:rFonts w:ascii="Palatino Linotype" w:hAnsi="Palatino Linotype"/>
        </w:rPr>
      </w:pPr>
    </w:p>
    <w:p w:rsidR="0072148B" w:rsidRPr="00D6792B" w:rsidRDefault="0072148B">
      <w:pPr>
        <w:widowControl w:val="0"/>
        <w:pBdr>
          <w:top w:val="nil"/>
          <w:left w:val="nil"/>
          <w:bottom w:val="nil"/>
          <w:right w:val="nil"/>
          <w:between w:val="nil"/>
        </w:pBdr>
        <w:spacing w:line="276" w:lineRule="auto"/>
        <w:rPr>
          <w:rFonts w:ascii="Palatino Linotype" w:hAnsi="Palatino Linotype"/>
        </w:rPr>
      </w:pPr>
    </w:p>
    <w:p w:rsidR="0072148B" w:rsidRPr="00DF29DA" w:rsidRDefault="00A077F4">
      <w:pPr>
        <w:tabs>
          <w:tab w:val="left" w:pos="3465"/>
        </w:tabs>
        <w:spacing w:line="360" w:lineRule="auto"/>
        <w:ind w:right="-787"/>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E1194" w:rsidRPr="00DF29DA">
        <w:rPr>
          <w:rFonts w:ascii="Palatino Linotype" w:eastAsia="Palatino Linotype" w:hAnsi="Palatino Linotype" w:cs="Palatino Linotype"/>
        </w:rPr>
        <w:t>veintitrés (23)</w:t>
      </w:r>
      <w:r w:rsidRPr="00DF29DA">
        <w:rPr>
          <w:rFonts w:ascii="Palatino Linotype" w:eastAsia="Palatino Linotype" w:hAnsi="Palatino Linotype" w:cs="Palatino Linotype"/>
        </w:rPr>
        <w:t xml:space="preserve"> de abril de dos mil veinticinco.</w:t>
      </w:r>
    </w:p>
    <w:p w:rsidR="0072148B" w:rsidRPr="00DF29DA" w:rsidRDefault="0072148B">
      <w:pPr>
        <w:tabs>
          <w:tab w:val="left" w:pos="3465"/>
        </w:tabs>
        <w:spacing w:line="360" w:lineRule="auto"/>
        <w:ind w:right="-787"/>
        <w:jc w:val="both"/>
        <w:rPr>
          <w:rFonts w:ascii="Palatino Linotype" w:eastAsia="Palatino Linotype" w:hAnsi="Palatino Linotype" w:cs="Palatino Linotype"/>
        </w:rPr>
      </w:pPr>
    </w:p>
    <w:p w:rsidR="0072148B" w:rsidRPr="00DF29DA" w:rsidRDefault="00A077F4" w:rsidP="00892CE6">
      <w:pPr>
        <w:spacing w:line="360" w:lineRule="auto"/>
        <w:ind w:right="-787"/>
        <w:jc w:val="both"/>
        <w:rPr>
          <w:rFonts w:ascii="Palatino Linotype" w:eastAsia="Palatino Linotype" w:hAnsi="Palatino Linotype" w:cs="Palatino Linotype"/>
          <w:b/>
          <w:color w:val="000000"/>
        </w:rPr>
      </w:pPr>
      <w:r w:rsidRPr="00DF29DA">
        <w:rPr>
          <w:rFonts w:ascii="Palatino Linotype" w:eastAsia="Palatino Linotype" w:hAnsi="Palatino Linotype" w:cs="Palatino Linotype"/>
          <w:b/>
        </w:rPr>
        <w:t xml:space="preserve">VISTAS </w:t>
      </w:r>
      <w:r w:rsidRPr="00DF29DA">
        <w:rPr>
          <w:rFonts w:ascii="Palatino Linotype" w:eastAsia="Palatino Linotype" w:hAnsi="Palatino Linotype" w:cs="Palatino Linotype"/>
        </w:rPr>
        <w:t xml:space="preserve">las constancias para resolver </w:t>
      </w:r>
      <w:r w:rsidR="00892CE6" w:rsidRPr="00DF29DA">
        <w:rPr>
          <w:rFonts w:ascii="Palatino Linotype" w:eastAsia="Palatino Linotype" w:hAnsi="Palatino Linotype" w:cs="Palatino Linotype"/>
          <w:color w:val="000000"/>
        </w:rPr>
        <w:t>el Recurso</w:t>
      </w:r>
      <w:r w:rsidRPr="00DF29DA">
        <w:rPr>
          <w:rFonts w:ascii="Palatino Linotype" w:eastAsia="Palatino Linotype" w:hAnsi="Palatino Linotype" w:cs="Palatino Linotype"/>
          <w:color w:val="000000"/>
        </w:rPr>
        <w:t xml:space="preserve"> de Revisión </w:t>
      </w:r>
      <w:r w:rsidR="009A3600" w:rsidRPr="00DF29DA">
        <w:rPr>
          <w:rFonts w:ascii="Palatino Linotype" w:eastAsia="Palatino Linotype" w:hAnsi="Palatino Linotype" w:cs="Palatino Linotype"/>
          <w:b/>
          <w:color w:val="000000"/>
        </w:rPr>
        <w:t>00158</w:t>
      </w:r>
      <w:r w:rsidR="00892CE6" w:rsidRPr="00DF29DA">
        <w:rPr>
          <w:rFonts w:ascii="Palatino Linotype" w:eastAsia="Palatino Linotype" w:hAnsi="Palatino Linotype" w:cs="Palatino Linotype"/>
          <w:b/>
          <w:color w:val="000000"/>
        </w:rPr>
        <w:t>/INFOEM/IP/RR/2025</w:t>
      </w:r>
      <w:r w:rsidR="00892CE6" w:rsidRPr="00DF29DA">
        <w:rPr>
          <w:rFonts w:ascii="Palatino Linotype" w:eastAsia="Palatino Linotype" w:hAnsi="Palatino Linotype" w:cs="Palatino Linotype"/>
          <w:color w:val="000000"/>
        </w:rPr>
        <w:t>, promovido</w:t>
      </w:r>
      <w:r w:rsidRPr="00DF29DA">
        <w:rPr>
          <w:rFonts w:ascii="Palatino Linotype" w:eastAsia="Palatino Linotype" w:hAnsi="Palatino Linotype" w:cs="Palatino Linotype"/>
          <w:color w:val="000000"/>
        </w:rPr>
        <w:t xml:space="preserve"> por </w:t>
      </w:r>
      <w:r w:rsidR="009A3600" w:rsidRPr="00DF29DA">
        <w:rPr>
          <w:rFonts w:ascii="Palatino Linotype" w:eastAsia="Palatino Linotype" w:hAnsi="Palatino Linotype" w:cs="Palatino Linotype"/>
          <w:color w:val="000000"/>
        </w:rPr>
        <w:t>una persona que no registró nombre</w:t>
      </w:r>
      <w:r w:rsidRPr="00DF29DA">
        <w:rPr>
          <w:rFonts w:ascii="Palatino Linotype" w:eastAsia="Palatino Linotype" w:hAnsi="Palatino Linotype" w:cs="Palatino Linotype"/>
          <w:color w:val="000000"/>
        </w:rPr>
        <w:t>,</w:t>
      </w:r>
      <w:r w:rsidRPr="00DF29DA">
        <w:rPr>
          <w:rFonts w:ascii="Palatino Linotype" w:eastAsia="Palatino Linotype" w:hAnsi="Palatino Linotype" w:cs="Palatino Linotype"/>
        </w:rPr>
        <w:t xml:space="preserve"> en lo sucesivo </w:t>
      </w:r>
      <w:r w:rsidRPr="00DF29DA">
        <w:rPr>
          <w:rFonts w:ascii="Palatino Linotype" w:eastAsia="Palatino Linotype" w:hAnsi="Palatino Linotype" w:cs="Palatino Linotype"/>
          <w:b/>
        </w:rPr>
        <w:t>EL RECURRENTE</w:t>
      </w:r>
      <w:r w:rsidRPr="00DF29DA">
        <w:rPr>
          <w:rFonts w:ascii="Palatino Linotype" w:eastAsia="Palatino Linotype" w:hAnsi="Palatino Linotype" w:cs="Palatino Linotype"/>
        </w:rPr>
        <w:t xml:space="preserve">, en contra de la respuesta otorgada a </w:t>
      </w:r>
      <w:r w:rsidR="006B5B63" w:rsidRPr="00DF29DA">
        <w:rPr>
          <w:rFonts w:ascii="Palatino Linotype" w:eastAsia="Palatino Linotype" w:hAnsi="Palatino Linotype" w:cs="Palatino Linotype"/>
        </w:rPr>
        <w:t>la solicitud de</w:t>
      </w:r>
      <w:r w:rsidRPr="00DF29DA">
        <w:rPr>
          <w:rFonts w:ascii="Palatino Linotype" w:eastAsia="Palatino Linotype" w:hAnsi="Palatino Linotype" w:cs="Palatino Linotype"/>
        </w:rPr>
        <w:t xml:space="preserve"> información </w:t>
      </w:r>
      <w:r w:rsidR="009A3600" w:rsidRPr="00DF29DA">
        <w:rPr>
          <w:rFonts w:ascii="Palatino Linotype" w:eastAsia="Palatino Linotype" w:hAnsi="Palatino Linotype" w:cs="Palatino Linotype"/>
          <w:b/>
        </w:rPr>
        <w:t>01159/UAEM/IP/2024</w:t>
      </w:r>
      <w:r w:rsidRPr="00DF29DA">
        <w:rPr>
          <w:rFonts w:ascii="Palatino Linotype" w:eastAsia="Palatino Linotype" w:hAnsi="Palatino Linotype" w:cs="Palatino Linotype"/>
        </w:rPr>
        <w:t xml:space="preserve">, por parte </w:t>
      </w:r>
      <w:r w:rsidR="009A3600" w:rsidRPr="00DF29DA">
        <w:rPr>
          <w:rFonts w:ascii="Palatino Linotype" w:eastAsia="Palatino Linotype" w:hAnsi="Palatino Linotype" w:cs="Palatino Linotype"/>
        </w:rPr>
        <w:t>de la</w:t>
      </w:r>
      <w:r w:rsidRPr="00DF29DA">
        <w:rPr>
          <w:rFonts w:ascii="Palatino Linotype" w:eastAsia="Palatino Linotype" w:hAnsi="Palatino Linotype" w:cs="Palatino Linotype"/>
        </w:rPr>
        <w:t xml:space="preserve"> </w:t>
      </w:r>
      <w:r w:rsidR="009A3600" w:rsidRPr="00DF29DA">
        <w:rPr>
          <w:rFonts w:ascii="Palatino Linotype" w:eastAsia="Palatino Linotype" w:hAnsi="Palatino Linotype" w:cs="Palatino Linotype"/>
          <w:b/>
          <w:bCs/>
        </w:rPr>
        <w:t>Universidad Autónoma del Estado de México</w:t>
      </w:r>
      <w:r w:rsidRPr="00DF29DA">
        <w:rPr>
          <w:rFonts w:ascii="Palatino Linotype" w:eastAsia="Palatino Linotype" w:hAnsi="Palatino Linotype" w:cs="Palatino Linotype"/>
          <w:b/>
        </w:rPr>
        <w:t xml:space="preserve">, </w:t>
      </w:r>
      <w:r w:rsidRPr="00DF29DA">
        <w:rPr>
          <w:rFonts w:ascii="Palatino Linotype" w:eastAsia="Palatino Linotype" w:hAnsi="Palatino Linotype" w:cs="Palatino Linotype"/>
        </w:rPr>
        <w:t xml:space="preserve">en adelante el </w:t>
      </w:r>
      <w:r w:rsidRPr="00DF29DA">
        <w:rPr>
          <w:rFonts w:ascii="Palatino Linotype" w:eastAsia="Palatino Linotype" w:hAnsi="Palatino Linotype" w:cs="Palatino Linotype"/>
          <w:b/>
        </w:rPr>
        <w:t>SUJETO OBLIGADO</w:t>
      </w:r>
      <w:r w:rsidRPr="00DF29DA">
        <w:rPr>
          <w:rFonts w:ascii="Palatino Linotype" w:eastAsia="Palatino Linotype" w:hAnsi="Palatino Linotype" w:cs="Palatino Linotype"/>
        </w:rPr>
        <w:t>, se emite la presente resolución con base en los siguientes:</w:t>
      </w:r>
    </w:p>
    <w:p w:rsidR="0072148B" w:rsidRPr="00DF29DA" w:rsidRDefault="0072148B">
      <w:pPr>
        <w:spacing w:line="360" w:lineRule="auto"/>
        <w:ind w:right="-787"/>
        <w:jc w:val="both"/>
        <w:rPr>
          <w:rFonts w:ascii="Palatino Linotype" w:eastAsia="Palatino Linotype" w:hAnsi="Palatino Linotype" w:cs="Palatino Linotype"/>
        </w:rPr>
      </w:pPr>
    </w:p>
    <w:p w:rsidR="0072148B" w:rsidRPr="00DF29DA" w:rsidRDefault="00A077F4">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DF29DA">
        <w:rPr>
          <w:rFonts w:ascii="Palatino Linotype" w:eastAsia="Palatino Linotype" w:hAnsi="Palatino Linotype" w:cs="Palatino Linotype"/>
          <w:b/>
          <w:color w:val="000000"/>
          <w:sz w:val="24"/>
          <w:szCs w:val="24"/>
        </w:rPr>
        <w:t>A N T E C E D E N T E S</w:t>
      </w:r>
    </w:p>
    <w:p w:rsidR="0072148B" w:rsidRPr="00DF29DA" w:rsidRDefault="0072148B">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72148B" w:rsidRPr="00DF29DA" w:rsidRDefault="00A077F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El </w:t>
      </w:r>
      <w:r w:rsidR="009A3600" w:rsidRPr="00DF29DA">
        <w:rPr>
          <w:rFonts w:ascii="Palatino Linotype" w:eastAsia="Palatino Linotype" w:hAnsi="Palatino Linotype" w:cs="Palatino Linotype"/>
          <w:b/>
          <w:color w:val="000000"/>
        </w:rPr>
        <w:t>diecinueve de noviembre de dos mil veinticuatro</w:t>
      </w:r>
      <w:r w:rsidRPr="00DF29DA">
        <w:rPr>
          <w:rFonts w:ascii="Palatino Linotype" w:eastAsia="Palatino Linotype" w:hAnsi="Palatino Linotype" w:cs="Palatino Linotype"/>
          <w:color w:val="000000"/>
        </w:rPr>
        <w:t>,</w:t>
      </w:r>
      <w:r w:rsidRPr="00DF29DA">
        <w:rPr>
          <w:rFonts w:ascii="Palatino Linotype" w:eastAsia="Palatino Linotype" w:hAnsi="Palatino Linotype" w:cs="Palatino Linotype"/>
          <w:b/>
          <w:color w:val="000000"/>
        </w:rPr>
        <w:t xml:space="preserve"> </w:t>
      </w:r>
      <w:r w:rsidRPr="00DF29DA">
        <w:rPr>
          <w:rFonts w:ascii="Palatino Linotype" w:eastAsia="Palatino Linotype" w:hAnsi="Palatino Linotype" w:cs="Palatino Linotype"/>
          <w:color w:val="000000"/>
        </w:rPr>
        <w:t>se presentó ante el Sujeto Obligado vía Sistema de Acceso a la Información Mex</w:t>
      </w:r>
      <w:r w:rsidR="006B5B63" w:rsidRPr="00DF29DA">
        <w:rPr>
          <w:rFonts w:ascii="Palatino Linotype" w:eastAsia="Palatino Linotype" w:hAnsi="Palatino Linotype" w:cs="Palatino Linotype"/>
          <w:color w:val="000000"/>
        </w:rPr>
        <w:t xml:space="preserve">iquense, en adelante SAIMEX, la siguiente </w:t>
      </w:r>
      <w:r w:rsidR="006B5B63" w:rsidRPr="00DF29DA">
        <w:rPr>
          <w:rFonts w:ascii="Palatino Linotype" w:eastAsia="Palatino Linotype" w:hAnsi="Palatino Linotype" w:cs="Palatino Linotype"/>
          <w:b/>
          <w:color w:val="000000"/>
        </w:rPr>
        <w:t>solicitud</w:t>
      </w:r>
      <w:r w:rsidRPr="00DF29DA">
        <w:rPr>
          <w:rFonts w:ascii="Palatino Linotype" w:eastAsia="Palatino Linotype" w:hAnsi="Palatino Linotype" w:cs="Palatino Linotype"/>
          <w:b/>
          <w:color w:val="000000"/>
        </w:rPr>
        <w:t xml:space="preserve"> de información</w:t>
      </w:r>
      <w:r w:rsidRPr="00DF29DA">
        <w:rPr>
          <w:rFonts w:ascii="Palatino Linotype" w:eastAsia="Palatino Linotype" w:hAnsi="Palatino Linotype" w:cs="Palatino Linotype"/>
          <w:color w:val="000000"/>
        </w:rPr>
        <w:t xml:space="preserve"> pública:</w:t>
      </w:r>
    </w:p>
    <w:p w:rsidR="0072148B" w:rsidRPr="00DF29DA" w:rsidRDefault="0072148B">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2148B" w:rsidRPr="00DF29DA" w:rsidRDefault="006B5B63" w:rsidP="006B5B63">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 </w:t>
      </w:r>
      <w:r w:rsidR="00A077F4" w:rsidRPr="00DF29DA">
        <w:rPr>
          <w:rFonts w:ascii="Palatino Linotype" w:eastAsia="Palatino Linotype" w:hAnsi="Palatino Linotype" w:cs="Palatino Linotype"/>
          <w:i/>
          <w:color w:val="000000"/>
        </w:rPr>
        <w:t>“</w:t>
      </w:r>
      <w:r w:rsidR="009A3600" w:rsidRPr="00DF29DA">
        <w:rPr>
          <w:rFonts w:ascii="Palatino Linotype" w:eastAsia="Palatino Linotype" w:hAnsi="Palatino Linotype" w:cs="Palatino Linotype"/>
          <w:i/>
          <w:color w:val="000000"/>
        </w:rPr>
        <w:t>acta de instalación del comité de transparencia vigente del sujeto obligado y acuse de recibido de las invitaciones a los integrantes para que acudan a la sesión de instalación. acuse de recibido de las invitaciones a los integrantes del comite de transparencia para la sesión ordinaria del 14 de noviembre de 2024, orden del día, documentación soporte generada para la reunión y acta del comite de esa fecha</w:t>
      </w:r>
      <w:r w:rsidRPr="00DF29DA">
        <w:rPr>
          <w:rFonts w:ascii="Palatino Linotype" w:eastAsia="Palatino Linotype" w:hAnsi="Palatino Linotype" w:cs="Palatino Linotype"/>
          <w:i/>
          <w:color w:val="000000"/>
        </w:rPr>
        <w:t>.”</w:t>
      </w:r>
      <w:r w:rsidR="00A077F4" w:rsidRPr="00DF29DA">
        <w:rPr>
          <w:rFonts w:ascii="Palatino Linotype" w:eastAsia="Palatino Linotype" w:hAnsi="Palatino Linotype" w:cs="Palatino Linotype"/>
          <w:i/>
          <w:color w:val="000000"/>
        </w:rPr>
        <w:t xml:space="preserve"> (Sic)</w:t>
      </w:r>
    </w:p>
    <w:p w:rsidR="0072148B" w:rsidRPr="00DF29DA" w:rsidRDefault="0072148B" w:rsidP="006B5B63">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2148B" w:rsidRPr="00DF29DA" w:rsidRDefault="00A077F4">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lastRenderedPageBreak/>
        <w:t xml:space="preserve">Se eligió como modalidad de entrega de la información: A través del </w:t>
      </w:r>
      <w:r w:rsidRPr="00DF29DA">
        <w:rPr>
          <w:rFonts w:ascii="Palatino Linotype" w:eastAsia="Palatino Linotype" w:hAnsi="Palatino Linotype" w:cs="Palatino Linotype"/>
          <w:b/>
          <w:color w:val="000000"/>
        </w:rPr>
        <w:t>SAIMEX.</w:t>
      </w:r>
    </w:p>
    <w:p w:rsidR="0072148B" w:rsidRPr="00DF29DA" w:rsidRDefault="0072148B">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b/>
          <w:color w:val="000000"/>
          <w:u w:val="single"/>
        </w:rPr>
      </w:pPr>
    </w:p>
    <w:p w:rsidR="009A3600" w:rsidRPr="00DF29DA" w:rsidRDefault="009A3600">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El </w:t>
      </w:r>
      <w:r w:rsidRPr="00DF29DA">
        <w:rPr>
          <w:rFonts w:ascii="Palatino Linotype" w:eastAsia="Palatino Linotype" w:hAnsi="Palatino Linotype" w:cs="Palatino Linotype"/>
          <w:b/>
          <w:color w:val="000000"/>
        </w:rPr>
        <w:t>veintiséis de noviembre de dos mil veinticuatro</w:t>
      </w:r>
      <w:r w:rsidRPr="00DF29DA">
        <w:rPr>
          <w:rFonts w:ascii="Palatino Linotype" w:eastAsia="Palatino Linotype" w:hAnsi="Palatino Linotype" w:cs="Palatino Linotype"/>
          <w:color w:val="000000"/>
        </w:rPr>
        <w:t>,</w:t>
      </w:r>
      <w:r w:rsidRPr="00DF29DA">
        <w:rPr>
          <w:rFonts w:ascii="Palatino Linotype" w:eastAsia="Palatino Linotype" w:hAnsi="Palatino Linotype" w:cs="Palatino Linotype"/>
          <w:b/>
          <w:color w:val="000000"/>
        </w:rPr>
        <w:t xml:space="preserve"> </w:t>
      </w:r>
      <w:r w:rsidRPr="00DF29DA">
        <w:rPr>
          <w:rFonts w:ascii="Palatino Linotype" w:eastAsia="Palatino Linotype" w:hAnsi="Palatino Linotype" w:cs="Palatino Linotype"/>
          <w:color w:val="000000"/>
        </w:rPr>
        <w:t xml:space="preserve">el Sujeto Obligado realizó un </w:t>
      </w:r>
      <w:r w:rsidRPr="00DF29DA">
        <w:rPr>
          <w:rFonts w:ascii="Palatino Linotype" w:eastAsia="Palatino Linotype" w:hAnsi="Palatino Linotype" w:cs="Palatino Linotype"/>
          <w:b/>
          <w:color w:val="000000"/>
        </w:rPr>
        <w:t>requerimiento de aclaración</w:t>
      </w:r>
      <w:r w:rsidRPr="00DF29DA">
        <w:rPr>
          <w:rFonts w:ascii="Palatino Linotype" w:eastAsia="Palatino Linotype" w:hAnsi="Palatino Linotype" w:cs="Palatino Linotype"/>
          <w:color w:val="000000"/>
        </w:rPr>
        <w:t xml:space="preserve"> en los siguientes términos:</w:t>
      </w:r>
    </w:p>
    <w:p w:rsidR="00E7284C" w:rsidRPr="00DF29DA" w:rsidRDefault="00E7284C" w:rsidP="00E7284C">
      <w:pPr>
        <w:pBdr>
          <w:top w:val="nil"/>
          <w:left w:val="nil"/>
          <w:bottom w:val="nil"/>
          <w:right w:val="nil"/>
          <w:between w:val="nil"/>
        </w:pBdr>
        <w:ind w:left="567" w:right="-220"/>
        <w:jc w:val="right"/>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Metepec, México a 26 de Noviembre de 2024</w:t>
      </w:r>
    </w:p>
    <w:p w:rsidR="00E7284C" w:rsidRPr="00DF29DA" w:rsidRDefault="00E7284C" w:rsidP="00E7284C">
      <w:pPr>
        <w:pBdr>
          <w:top w:val="nil"/>
          <w:left w:val="nil"/>
          <w:bottom w:val="nil"/>
          <w:right w:val="nil"/>
          <w:between w:val="nil"/>
        </w:pBdr>
        <w:ind w:left="567" w:right="-220"/>
        <w:jc w:val="right"/>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Nombre del solicitante: C. Solicitante</w:t>
      </w:r>
    </w:p>
    <w:p w:rsidR="00E7284C" w:rsidRPr="00DF29DA" w:rsidRDefault="00E7284C" w:rsidP="00E7284C">
      <w:pPr>
        <w:pBdr>
          <w:top w:val="nil"/>
          <w:left w:val="nil"/>
          <w:bottom w:val="nil"/>
          <w:right w:val="nil"/>
          <w:between w:val="nil"/>
        </w:pBdr>
        <w:ind w:left="567" w:right="-220"/>
        <w:jc w:val="right"/>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Folio de la solicitud: 01159/UAEM/IP/2024</w:t>
      </w:r>
    </w:p>
    <w:p w:rsidR="00E7284C" w:rsidRPr="00DF29DA" w:rsidRDefault="00E7284C" w:rsidP="00E7284C">
      <w:pPr>
        <w:pBdr>
          <w:top w:val="nil"/>
          <w:left w:val="nil"/>
          <w:bottom w:val="nil"/>
          <w:right w:val="nil"/>
          <w:between w:val="nil"/>
        </w:pBdr>
        <w:ind w:left="567" w:right="-220"/>
        <w:jc w:val="right"/>
        <w:rPr>
          <w:rFonts w:ascii="Palatino Linotype" w:eastAsia="Palatino Linotype" w:hAnsi="Palatino Linotype" w:cs="Palatino Linotype"/>
          <w:i/>
          <w:color w:val="000000"/>
        </w:rPr>
      </w:pP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Con fundamento en el articulo 159 de la Ley de Transparencia y Acceso a la Información Pública del Estado de México y Municipios, se le requiere para que dentro del plazo de diez días hábiles realice lo siguiente:</w:t>
      </w: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Con el envío de un cordial saludo, nos referimos a su solicitud de información 001159/UAEM/IP/2024, le solicitamos especifique a que se refiere con la “documentación soporte generada para la reunión” (sic), si es que se refiere a los acuerdos tomados en la sesión del día 14 de noviembre de 2024. Así mismo le comentamos que mientras más datos proporcione para atender su petición, estaremos en la posibilidad de brindarle un mejor servicio. Lo anterior encuentra su fundamento en los artículos 159 de la Ley de Transparencia y Acceso a la Información pública del Estado de México y Municipios, que a la letra dicen: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caso de que no se desahogue el requerimiento señalado dentro del plazo citado se tendrá por no presentada la solicitud de información, quedando a salvo sus derechos para volver a </w:t>
      </w:r>
      <w:r w:rsidRPr="00DF29DA">
        <w:rPr>
          <w:rFonts w:ascii="Palatino Linotype" w:eastAsia="Palatino Linotype" w:hAnsi="Palatino Linotype" w:cs="Palatino Linotype"/>
          <w:i/>
          <w:color w:val="000000"/>
        </w:rPr>
        <w:lastRenderedPageBreak/>
        <w:t>presentar la solicitud, lo anterior con fundamento en el artículo 159 de la Ley invocada.</w:t>
      </w: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ATENTAMENTE</w:t>
      </w:r>
    </w:p>
    <w:p w:rsidR="009A3600"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M. EN D. HUGO EDGAR CHAPARRO CAMPOS</w:t>
      </w: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p>
    <w:p w:rsidR="00E7284C" w:rsidRPr="00DF29DA" w:rsidRDefault="00E7284C">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El </w:t>
      </w:r>
      <w:r w:rsidRPr="00DF29DA">
        <w:rPr>
          <w:rFonts w:ascii="Palatino Linotype" w:eastAsia="Palatino Linotype" w:hAnsi="Palatino Linotype" w:cs="Palatino Linotype"/>
          <w:b/>
          <w:color w:val="000000"/>
        </w:rPr>
        <w:t>veintiocho de noviembre de dos mil veinticuatro</w:t>
      </w:r>
      <w:r w:rsidRPr="00DF29DA">
        <w:rPr>
          <w:rFonts w:ascii="Palatino Linotype" w:eastAsia="Palatino Linotype" w:hAnsi="Palatino Linotype" w:cs="Palatino Linotype"/>
          <w:color w:val="000000"/>
        </w:rPr>
        <w:t>,</w:t>
      </w:r>
      <w:r w:rsidRPr="00DF29DA">
        <w:rPr>
          <w:rFonts w:ascii="Palatino Linotype" w:eastAsia="Palatino Linotype" w:hAnsi="Palatino Linotype" w:cs="Palatino Linotype"/>
          <w:b/>
          <w:color w:val="000000"/>
        </w:rPr>
        <w:t xml:space="preserve"> </w:t>
      </w:r>
      <w:r w:rsidRPr="00DF29DA">
        <w:rPr>
          <w:rFonts w:ascii="Palatino Linotype" w:eastAsia="Palatino Linotype" w:hAnsi="Palatino Linotype" w:cs="Palatino Linotype"/>
          <w:color w:val="000000"/>
        </w:rPr>
        <w:t xml:space="preserve">el solicitante realizó la </w:t>
      </w:r>
      <w:r w:rsidRPr="00DF29DA">
        <w:rPr>
          <w:rFonts w:ascii="Palatino Linotype" w:eastAsia="Palatino Linotype" w:hAnsi="Palatino Linotype" w:cs="Palatino Linotype"/>
          <w:b/>
          <w:color w:val="000000"/>
        </w:rPr>
        <w:t>aclaración</w:t>
      </w:r>
      <w:r w:rsidRPr="00DF29DA">
        <w:rPr>
          <w:rFonts w:ascii="Palatino Linotype" w:eastAsia="Palatino Linotype" w:hAnsi="Palatino Linotype" w:cs="Palatino Linotype"/>
          <w:color w:val="000000"/>
        </w:rPr>
        <w:t xml:space="preserve"> a su solicitud de información en los términos siguientes:</w:t>
      </w:r>
    </w:p>
    <w:p w:rsidR="00E7284C" w:rsidRPr="00DF29DA" w:rsidRDefault="00E7284C" w:rsidP="00E7284C">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“cada documento remitido a los integrantes previamente a la sesión, no te hagas pendejo hugo, para eso sirve tu nivel de estudios para ser opaco y saber actuar asi” (Sic)</w:t>
      </w:r>
    </w:p>
    <w:p w:rsidR="00E7284C" w:rsidRPr="00DF29DA" w:rsidRDefault="00E7284C" w:rsidP="00E7284C">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AD0448" w:rsidRPr="00DF29DA" w:rsidRDefault="00AD0448" w:rsidP="00AD0448">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El</w:t>
      </w:r>
      <w:r w:rsidRPr="00DF29DA">
        <w:rPr>
          <w:rFonts w:ascii="Palatino Linotype" w:eastAsia="Palatino Linotype" w:hAnsi="Palatino Linotype" w:cs="Palatino Linotype"/>
          <w:b/>
          <w:color w:val="000000"/>
        </w:rPr>
        <w:t xml:space="preserve"> dieciocho de diciembre de dos mil veinticuatro</w:t>
      </w:r>
      <w:r w:rsidRPr="00DF29DA">
        <w:rPr>
          <w:rFonts w:ascii="Palatino Linotype" w:eastAsia="Palatino Linotype" w:hAnsi="Palatino Linotype" w:cs="Palatino Linotype"/>
          <w:color w:val="000000"/>
        </w:rPr>
        <w:t>, el Sujeto Obligado</w:t>
      </w:r>
      <w:r w:rsidRPr="00DF29DA">
        <w:rPr>
          <w:rFonts w:ascii="Palatino Linotype" w:eastAsia="Palatino Linotype" w:hAnsi="Palatino Linotype" w:cs="Palatino Linotype"/>
          <w:b/>
          <w:color w:val="000000"/>
        </w:rPr>
        <w:t>,</w:t>
      </w:r>
      <w:r w:rsidRPr="00DF29DA">
        <w:rPr>
          <w:rFonts w:ascii="Palatino Linotype" w:eastAsia="Palatino Linotype" w:hAnsi="Palatino Linotype" w:cs="Palatino Linotype"/>
          <w:color w:val="000000"/>
        </w:rPr>
        <w:t xml:space="preserve"> aprobó la </w:t>
      </w:r>
      <w:r w:rsidRPr="00DF29DA">
        <w:rPr>
          <w:rFonts w:ascii="Palatino Linotype" w:eastAsia="Palatino Linotype" w:hAnsi="Palatino Linotype" w:cs="Palatino Linotype"/>
          <w:b/>
          <w:color w:val="000000"/>
        </w:rPr>
        <w:t>prórroga</w:t>
      </w:r>
      <w:r w:rsidRPr="00DF29DA">
        <w:rPr>
          <w:rFonts w:ascii="Palatino Linotype" w:eastAsia="Palatino Linotype" w:hAnsi="Palatino Linotype" w:cs="Palatino Linotype"/>
          <w:color w:val="000000"/>
        </w:rPr>
        <w:t xml:space="preserve"> para atender la solicitud de información por 7 días en virtud de las siguientes razones:</w:t>
      </w:r>
    </w:p>
    <w:p w:rsidR="00AD0448" w:rsidRPr="00DF29DA" w:rsidRDefault="00AD0448" w:rsidP="00AD0448">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“…el Comité de Transparencia de la Universidad Autónoma del Estado de México aprobó la prórroga de la solicitud de información con número de folio 01159/UAEM/IP/2024, toda vez que se está realizando una búsqueda de la información solicitada, de conformidad con el Acuerdo de Prorrogas UAEM/AP/052/2024” (Sic)</w:t>
      </w:r>
    </w:p>
    <w:p w:rsidR="00AD0448" w:rsidRPr="00DF29DA" w:rsidRDefault="00AD0448" w:rsidP="00AD044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2148B" w:rsidRPr="00DF29DA" w:rsidRDefault="00A077F4" w:rsidP="00CF35BB">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El</w:t>
      </w:r>
      <w:r w:rsidRPr="00DF29DA">
        <w:rPr>
          <w:rFonts w:ascii="Palatino Linotype" w:eastAsia="Palatino Linotype" w:hAnsi="Palatino Linotype" w:cs="Palatino Linotype"/>
          <w:b/>
          <w:color w:val="000000"/>
        </w:rPr>
        <w:t xml:space="preserve"> </w:t>
      </w:r>
      <w:r w:rsidR="00CF35BB" w:rsidRPr="00DF29DA">
        <w:rPr>
          <w:rFonts w:ascii="Palatino Linotype" w:eastAsia="Palatino Linotype" w:hAnsi="Palatino Linotype" w:cs="Palatino Linotype"/>
          <w:b/>
          <w:color w:val="000000"/>
        </w:rPr>
        <w:t>veinte de enero</w:t>
      </w:r>
      <w:r w:rsidRPr="00DF29DA">
        <w:rPr>
          <w:rFonts w:ascii="Palatino Linotype" w:eastAsia="Palatino Linotype" w:hAnsi="Palatino Linotype" w:cs="Palatino Linotype"/>
          <w:b/>
          <w:color w:val="000000"/>
        </w:rPr>
        <w:t xml:space="preserve"> de dos mil veinticinco</w:t>
      </w:r>
      <w:r w:rsidRPr="00DF29DA">
        <w:rPr>
          <w:rFonts w:ascii="Palatino Linotype" w:eastAsia="Palatino Linotype" w:hAnsi="Palatino Linotype" w:cs="Palatino Linotype"/>
          <w:color w:val="000000"/>
        </w:rPr>
        <w:t>, el Sujeto Obligado</w:t>
      </w:r>
      <w:r w:rsidRPr="00DF29DA">
        <w:rPr>
          <w:rFonts w:ascii="Palatino Linotype" w:eastAsia="Palatino Linotype" w:hAnsi="Palatino Linotype" w:cs="Palatino Linotype"/>
          <w:b/>
          <w:color w:val="000000"/>
        </w:rPr>
        <w:t>,</w:t>
      </w:r>
      <w:r w:rsidRPr="00DF29DA">
        <w:rPr>
          <w:rFonts w:ascii="Palatino Linotype" w:eastAsia="Palatino Linotype" w:hAnsi="Palatino Linotype" w:cs="Palatino Linotype"/>
          <w:color w:val="000000"/>
        </w:rPr>
        <w:t xml:space="preserve"> dio </w:t>
      </w:r>
      <w:r w:rsidRPr="00DF29DA">
        <w:rPr>
          <w:rFonts w:ascii="Palatino Linotype" w:eastAsia="Palatino Linotype" w:hAnsi="Palatino Linotype" w:cs="Palatino Linotype"/>
          <w:b/>
          <w:color w:val="000000"/>
        </w:rPr>
        <w:t>respuesta</w:t>
      </w:r>
      <w:r w:rsidRPr="00DF29DA">
        <w:rPr>
          <w:rFonts w:ascii="Palatino Linotype" w:eastAsia="Palatino Linotype" w:hAnsi="Palatino Linotype" w:cs="Palatino Linotype"/>
          <w:color w:val="000000"/>
        </w:rPr>
        <w:t xml:space="preserve"> </w:t>
      </w:r>
      <w:r w:rsidR="00CF35BB" w:rsidRPr="00DF29DA">
        <w:rPr>
          <w:rFonts w:ascii="Palatino Linotype" w:eastAsia="Palatino Linotype" w:hAnsi="Palatino Linotype" w:cs="Palatino Linotype"/>
          <w:color w:val="000000"/>
        </w:rPr>
        <w:t>en los términos siguientes, y adjuntando los</w:t>
      </w:r>
      <w:r w:rsidRPr="00DF29DA">
        <w:rPr>
          <w:rFonts w:ascii="Palatino Linotype" w:eastAsia="Palatino Linotype" w:hAnsi="Palatino Linotype" w:cs="Palatino Linotype"/>
          <w:color w:val="000000"/>
        </w:rPr>
        <w:t xml:space="preserve"> </w:t>
      </w:r>
      <w:r w:rsidR="00B16349" w:rsidRPr="00DF29DA">
        <w:rPr>
          <w:rFonts w:ascii="Palatino Linotype" w:eastAsia="Palatino Linotype" w:hAnsi="Palatino Linotype" w:cs="Palatino Linotype"/>
          <w:color w:val="000000"/>
        </w:rPr>
        <w:t>siguiente</w:t>
      </w:r>
      <w:r w:rsidR="00CF35BB" w:rsidRPr="00DF29DA">
        <w:rPr>
          <w:rFonts w:ascii="Palatino Linotype" w:eastAsia="Palatino Linotype" w:hAnsi="Palatino Linotype" w:cs="Palatino Linotype"/>
          <w:color w:val="000000"/>
        </w:rPr>
        <w:t>s</w:t>
      </w:r>
      <w:r w:rsidR="00B16349" w:rsidRPr="00DF29DA">
        <w:rPr>
          <w:rFonts w:ascii="Palatino Linotype" w:eastAsia="Palatino Linotype" w:hAnsi="Palatino Linotype" w:cs="Palatino Linotype"/>
          <w:color w:val="000000"/>
        </w:rPr>
        <w:t xml:space="preserve"> archivo</w:t>
      </w:r>
      <w:r w:rsidR="00CF35BB" w:rsidRPr="00DF29DA">
        <w:rPr>
          <w:rFonts w:ascii="Palatino Linotype" w:eastAsia="Palatino Linotype" w:hAnsi="Palatino Linotype" w:cs="Palatino Linotype"/>
          <w:color w:val="000000"/>
        </w:rPr>
        <w:t>s</w:t>
      </w:r>
      <w:r w:rsidR="00B16349" w:rsidRPr="00DF29DA">
        <w:rPr>
          <w:rFonts w:ascii="Palatino Linotype" w:eastAsia="Palatino Linotype" w:hAnsi="Palatino Linotype" w:cs="Palatino Linotype"/>
          <w:color w:val="000000"/>
        </w:rPr>
        <w:t xml:space="preserve"> electrónico</w:t>
      </w:r>
      <w:r w:rsidR="00CF35BB" w:rsidRPr="00DF29DA">
        <w:rPr>
          <w:rFonts w:ascii="Palatino Linotype" w:eastAsia="Palatino Linotype" w:hAnsi="Palatino Linotype" w:cs="Palatino Linotype"/>
          <w:color w:val="000000"/>
        </w:rPr>
        <w:t>s</w:t>
      </w:r>
      <w:r w:rsidRPr="00DF29DA">
        <w:rPr>
          <w:rFonts w:ascii="Palatino Linotype" w:eastAsia="Palatino Linotype" w:hAnsi="Palatino Linotype" w:cs="Palatino Linotype"/>
          <w:b/>
          <w:i/>
          <w:color w:val="000000"/>
        </w:rPr>
        <w:t>:</w:t>
      </w:r>
    </w:p>
    <w:p w:rsidR="00CF35BB" w:rsidRPr="00DF29DA" w:rsidRDefault="00CF35BB" w:rsidP="00CF35BB">
      <w:pPr>
        <w:pBdr>
          <w:top w:val="nil"/>
          <w:left w:val="nil"/>
          <w:bottom w:val="nil"/>
          <w:right w:val="nil"/>
          <w:between w:val="nil"/>
        </w:pBdr>
        <w:ind w:left="567" w:right="-220"/>
        <w:jc w:val="right"/>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Metepec, México a 20 de Enero de 2025</w:t>
      </w:r>
    </w:p>
    <w:p w:rsidR="00CF35BB" w:rsidRPr="00DF29DA" w:rsidRDefault="00CF35BB" w:rsidP="00CF35BB">
      <w:pPr>
        <w:pBdr>
          <w:top w:val="nil"/>
          <w:left w:val="nil"/>
          <w:bottom w:val="nil"/>
          <w:right w:val="nil"/>
          <w:between w:val="nil"/>
        </w:pBdr>
        <w:ind w:left="567" w:right="-220"/>
        <w:jc w:val="right"/>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Nombre del solicitante: C. Solicitante</w:t>
      </w:r>
    </w:p>
    <w:p w:rsidR="00CF35BB" w:rsidRPr="00DF29DA" w:rsidRDefault="00CF35BB" w:rsidP="00CF35BB">
      <w:pPr>
        <w:pBdr>
          <w:top w:val="nil"/>
          <w:left w:val="nil"/>
          <w:bottom w:val="nil"/>
          <w:right w:val="nil"/>
          <w:between w:val="nil"/>
        </w:pBdr>
        <w:ind w:left="567" w:right="-220"/>
        <w:jc w:val="right"/>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Folio de la solicitud: 01159/UAEM/IP/2024</w:t>
      </w:r>
    </w:p>
    <w:p w:rsidR="00CF35BB" w:rsidRPr="00DF29DA" w:rsidRDefault="00CF35BB" w:rsidP="00CF35BB">
      <w:pPr>
        <w:pBdr>
          <w:top w:val="nil"/>
          <w:left w:val="nil"/>
          <w:bottom w:val="nil"/>
          <w:right w:val="nil"/>
          <w:between w:val="nil"/>
        </w:pBdr>
        <w:ind w:left="567" w:right="-220"/>
        <w:jc w:val="right"/>
        <w:rPr>
          <w:rFonts w:ascii="Palatino Linotype" w:eastAsia="Palatino Linotype" w:hAnsi="Palatino Linotype" w:cs="Palatino Linotype"/>
          <w:i/>
          <w:color w:val="000000"/>
        </w:rPr>
      </w:pPr>
    </w:p>
    <w:p w:rsidR="00CF35BB" w:rsidRPr="00DF29DA" w:rsidRDefault="00CF35BB" w:rsidP="00CF35BB">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F35BB" w:rsidRPr="00DF29DA" w:rsidRDefault="00CF35BB" w:rsidP="00CF35BB">
      <w:pPr>
        <w:pBdr>
          <w:top w:val="nil"/>
          <w:left w:val="nil"/>
          <w:bottom w:val="nil"/>
          <w:right w:val="nil"/>
          <w:between w:val="nil"/>
        </w:pBdr>
        <w:ind w:left="567" w:right="-220"/>
        <w:jc w:val="both"/>
        <w:rPr>
          <w:rFonts w:ascii="Palatino Linotype" w:eastAsia="Palatino Linotype" w:hAnsi="Palatino Linotype" w:cs="Palatino Linotype"/>
          <w:i/>
          <w:color w:val="000000"/>
        </w:rPr>
      </w:pPr>
    </w:p>
    <w:p w:rsidR="00CF35BB" w:rsidRPr="00DF29DA" w:rsidRDefault="00CF35BB" w:rsidP="00CF35BB">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En respuesta a la solicitud de acceso a la información pública con número de folio 01159/UAEM/IP/2024,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la Dirección de Transparencia Universitaria lo siguiente: En archivo electrónico adjunto encontrará el Reglamento de Transparencia y Acceso a la Información Pública de la Universidad Autónoma del Estado de México, en el que se establece la integración del Comité de Transparencia de la Universidad Autónoma del Estado de México, particularmente en el TÍTULO SEGUNDO RESPONSABLES EN MATERIA DE TRANSPARENCIA Y ACCESO A LA INFORMACIÓN PÚBLICA, CAPÍTULO I DEL COMITÉ DE TRANSPARENCIA Por cuanto hace a: “…acuse de recibido de las invitaciones a los integrantes para que acudan a la sesión de instalación. acuse de recibido de las invitaciones a los integrantes del comite de transparencia para la sesión ordinaria del 14 de noviembre de 2024…” (sic), le comentamos que no se generó evidencia documental que permita dar atención a su solicitud de manera positiva. En atención a: “…orden del día, documentación soporte generada para la reunión y acta del comite de esa fecha.” (sic), en archivo electrónico adjunto encontrará la información relativa al orden del día y el Acta de Acuerdos del Comité de Transparencia de la sesión de fecha de 14 noviembre de 2024. Ahora bien, en atención a su aclaración “…no te hagas pendejo hugo, para eso sirve tu nivel de estudios para ser opaco y saber actuar asi” (sic), es oportuno comentarle que el derecho humano de acceso a la información pública se encuentra reconocido como la prerrogativa de las personas para buscar, difundir, investigar, recabar, recibir y solicitar información pública, sin necesidad de acreditar personalidad ni interés </w:t>
      </w:r>
      <w:r w:rsidRPr="00DF29DA">
        <w:rPr>
          <w:rFonts w:ascii="Palatino Linotype" w:eastAsia="Palatino Linotype" w:hAnsi="Palatino Linotype" w:cs="Palatino Linotype"/>
          <w:i/>
          <w:color w:val="000000"/>
        </w:rPr>
        <w:lastRenderedPageBreak/>
        <w:t xml:space="preserve">jurídico. Dicho lo anterior, es pertinente comentarle que, se advierte que la misma no se refiere al ejercicio del derecho de acceso a la información pública con la pretensión de obtener documento o similar por este Sujeto Obligado al tenor de las funciones y atribuciones establecidas en las leyes de la materia; al no permitir identificar documentos para atenderlas. Cualquier manifestación que no permita identificar documentos y que los particulares expongan ideas de naturaleza eminentemente individual e inherente al pensamiento del solicitante, se consideran como realizadas en el ejercicio de su derecho de expresión, la cual, no puede ser coartada por un ente público Aunado a ello le recordamos que la Declaración Universal de los Derechos Humanos (1948), Convención Americana sobre Derechos Humanos (1969) y la Declaración Universal sobre Bioética y Derechos Humanos (2005), por mencionar por mencionar algunos refieren en esencia refieren que la libertad, la justicia y la paz en el mundo tienen por base el reconocimiento de la dignidad intrínseca […] y que toda persona tiene derecho al respeto de su honra y al reconocimiento de su dignidad. En los instrumentos señalados se advierte que el respeto a la dignidad humana emerge del reconocimiento que todas las personas poseen un valor intrínseco, dado que todos tenemos la capacidad de determinar nuestro propio destino moral. El desprecio de la dignidad humana conduce a la instrumentalización de la persona humana; a considerarla como un medio, y no un fin en sí mismo. En este sentido se advierte que la persona humana es el fin supremo de la sociedad y del Estado. Todos tienen la obligación de respetarla y protegerla, el hecho de cumplir con una función o servicio público no constriñe a los particulares a conducirse con menosprecio a la dignidad de los que ostentan el servicio público, no se soslaya referir que ningún derecho es absoluto que el límite de cualquier derecho se sitúa dónde empieza el de alguien más, el respeto a la ley y a los derechos de los demás, son fundamento del orden político y de la paz social. Por lo que se hace un atento llamado a la autoridad competente para que, en el ejercicio de sus funciones y atribuciones, actúe conforme a derecho afín de conservar el orden social. Es menester señalar que de conformidad con lo establecido en los artículos 53 y 162 de la Ley de Transparencia, Acceso a la Información Pública del Estado de México y Municipios, las unidades de transparencia deberán recibir, tramitar y dar respuesta a las solicitudes de acceso a la información, con la información que las áreas competentes cuenten de acuerdo a sus facultades, competencias y funciones. Finalmente se hace de su conocimiento que de conformidad con los artículos 176, 177, 178 y demás relativos y aplicables de la Ley de Transparencia, Acceso a la Información Pública del Estado de México y Municipios, </w:t>
      </w:r>
      <w:r w:rsidRPr="00DF29DA">
        <w:rPr>
          <w:rFonts w:ascii="Palatino Linotype" w:eastAsia="Palatino Linotype" w:hAnsi="Palatino Linotype" w:cs="Palatino Linotype"/>
          <w:i/>
          <w:color w:val="000000"/>
        </w:rPr>
        <w:lastRenderedPageBreak/>
        <w:t>el solicitante tiene derecho de presentar recurso de revisión, dentro de los quince días hábiles siguientes a la fecha de notificación de la respuesta.</w:t>
      </w:r>
    </w:p>
    <w:p w:rsidR="00CF35BB" w:rsidRPr="00DF29DA" w:rsidRDefault="00CF35BB" w:rsidP="00CF35BB">
      <w:pPr>
        <w:pBdr>
          <w:top w:val="nil"/>
          <w:left w:val="nil"/>
          <w:bottom w:val="nil"/>
          <w:right w:val="nil"/>
          <w:between w:val="nil"/>
        </w:pBdr>
        <w:ind w:left="567" w:right="-220"/>
        <w:jc w:val="both"/>
        <w:rPr>
          <w:rFonts w:ascii="Palatino Linotype" w:eastAsia="Palatino Linotype" w:hAnsi="Palatino Linotype" w:cs="Palatino Linotype"/>
          <w:i/>
          <w:color w:val="000000"/>
        </w:rPr>
      </w:pPr>
    </w:p>
    <w:p w:rsidR="00CF35BB" w:rsidRPr="00DF29DA" w:rsidRDefault="00CF35BB" w:rsidP="00CF35BB">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ATENTAMENTE</w:t>
      </w:r>
    </w:p>
    <w:p w:rsidR="00CF35BB" w:rsidRPr="00DF29DA" w:rsidRDefault="00CF35BB" w:rsidP="00CF35BB">
      <w:pPr>
        <w:pBdr>
          <w:top w:val="nil"/>
          <w:left w:val="nil"/>
          <w:bottom w:val="nil"/>
          <w:right w:val="nil"/>
          <w:between w:val="nil"/>
        </w:pBdr>
        <w:ind w:left="567"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M. EN D. HUGO EDGAR CHAPARRO CAMPOS</w:t>
      </w:r>
    </w:p>
    <w:p w:rsidR="00CF35BB" w:rsidRPr="00DF29DA" w:rsidRDefault="00CF35BB" w:rsidP="00B16349">
      <w:pPr>
        <w:pBdr>
          <w:top w:val="nil"/>
          <w:left w:val="nil"/>
          <w:bottom w:val="nil"/>
          <w:right w:val="nil"/>
          <w:between w:val="nil"/>
        </w:pBdr>
        <w:spacing w:line="360" w:lineRule="auto"/>
        <w:ind w:left="709" w:right="-787"/>
        <w:jc w:val="both"/>
        <w:rPr>
          <w:rFonts w:ascii="Palatino Linotype" w:eastAsia="Palatino Linotype" w:hAnsi="Palatino Linotype" w:cs="Palatino Linotype"/>
          <w:b/>
          <w:i/>
          <w:color w:val="000000"/>
        </w:rPr>
      </w:pPr>
    </w:p>
    <w:p w:rsidR="00CF35BB" w:rsidRPr="00DF29DA" w:rsidRDefault="00CF35BB" w:rsidP="00CF35BB">
      <w:pPr>
        <w:pBdr>
          <w:top w:val="nil"/>
          <w:left w:val="nil"/>
          <w:bottom w:val="nil"/>
          <w:right w:val="nil"/>
          <w:between w:val="nil"/>
        </w:pBdr>
        <w:spacing w:line="360" w:lineRule="auto"/>
        <w:ind w:left="709" w:right="-787"/>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t>ACTA_NOV.pdf</w:t>
      </w:r>
    </w:p>
    <w:p w:rsidR="00CF35BB" w:rsidRPr="00DF29DA" w:rsidRDefault="00CF35BB" w:rsidP="00CF35BB">
      <w:pPr>
        <w:pBdr>
          <w:top w:val="nil"/>
          <w:left w:val="nil"/>
          <w:bottom w:val="nil"/>
          <w:right w:val="nil"/>
          <w:between w:val="nil"/>
        </w:pBdr>
        <w:ind w:left="709"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Documento que contiene el Acta de la Reunión Ordinaria del Comité de Transparencia correspondiente al 14 de noviembre de 2024. Acta 46/2024</w:t>
      </w:r>
    </w:p>
    <w:p w:rsidR="00CF35BB" w:rsidRPr="00DF29DA" w:rsidRDefault="00CF35BB" w:rsidP="00CF35BB">
      <w:pPr>
        <w:pBdr>
          <w:top w:val="nil"/>
          <w:left w:val="nil"/>
          <w:bottom w:val="nil"/>
          <w:right w:val="nil"/>
          <w:between w:val="nil"/>
        </w:pBdr>
        <w:spacing w:line="360" w:lineRule="auto"/>
        <w:ind w:left="709" w:right="-787"/>
        <w:jc w:val="both"/>
        <w:rPr>
          <w:rFonts w:ascii="Palatino Linotype" w:eastAsia="Palatino Linotype" w:hAnsi="Palatino Linotype" w:cs="Palatino Linotype"/>
          <w:color w:val="000000"/>
        </w:rPr>
      </w:pPr>
    </w:p>
    <w:p w:rsidR="00CF35BB" w:rsidRPr="00DF29DA" w:rsidRDefault="00CF35BB" w:rsidP="00CF35BB">
      <w:pPr>
        <w:pBdr>
          <w:top w:val="nil"/>
          <w:left w:val="nil"/>
          <w:bottom w:val="nil"/>
          <w:right w:val="nil"/>
          <w:between w:val="nil"/>
        </w:pBdr>
        <w:spacing w:line="360" w:lineRule="auto"/>
        <w:ind w:left="709" w:right="-787"/>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t xml:space="preserve">CONVOCATORIA.pdf </w:t>
      </w:r>
    </w:p>
    <w:p w:rsidR="00CF35BB" w:rsidRPr="00DF29DA" w:rsidRDefault="00CF35BB" w:rsidP="00CF35BB">
      <w:pPr>
        <w:pBdr>
          <w:top w:val="nil"/>
          <w:left w:val="nil"/>
          <w:bottom w:val="nil"/>
          <w:right w:val="nil"/>
          <w:between w:val="nil"/>
        </w:pBdr>
        <w:spacing w:line="360" w:lineRule="auto"/>
        <w:ind w:left="709" w:right="-787"/>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Documento de fecha 12 de noviembre de 2024, suscrito por el Secretario Técnico del Comité de Trasparencia, que contiene la Primera Convocatoria a los integrantes del Comité de Transparencia, citando a la reunión Ordinaria del Comité de Transparencia, el jueves 14 de noviembre de 2024, vía TEAMS, en el que se señala la propuesta del orden del día</w:t>
      </w:r>
      <w:r w:rsidR="00EC5472" w:rsidRPr="00DF29DA">
        <w:rPr>
          <w:rFonts w:ascii="Palatino Linotype" w:eastAsia="Palatino Linotype" w:hAnsi="Palatino Linotype" w:cs="Palatino Linotype"/>
          <w:color w:val="000000"/>
        </w:rPr>
        <w:t>.</w:t>
      </w:r>
    </w:p>
    <w:p w:rsidR="00B16349" w:rsidRPr="00DF29DA" w:rsidRDefault="00B16349" w:rsidP="001636AD">
      <w:pPr>
        <w:pBdr>
          <w:top w:val="nil"/>
          <w:left w:val="nil"/>
          <w:bottom w:val="nil"/>
          <w:right w:val="nil"/>
          <w:between w:val="nil"/>
        </w:pBdr>
        <w:spacing w:line="360" w:lineRule="auto"/>
        <w:ind w:right="-787"/>
        <w:jc w:val="both"/>
        <w:rPr>
          <w:rFonts w:ascii="Palatino Linotype" w:eastAsia="Palatino Linotype" w:hAnsi="Palatino Linotype" w:cs="Palatino Linotype"/>
          <w:b/>
          <w:i/>
          <w:color w:val="000000"/>
        </w:rPr>
      </w:pPr>
    </w:p>
    <w:p w:rsidR="00DC40CA" w:rsidRPr="00DF29DA" w:rsidRDefault="00A077F4" w:rsidP="00D80BFC">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El</w:t>
      </w:r>
      <w:r w:rsidRPr="00DF29DA">
        <w:rPr>
          <w:rFonts w:ascii="Palatino Linotype" w:eastAsia="Palatino Linotype" w:hAnsi="Palatino Linotype" w:cs="Palatino Linotype"/>
          <w:b/>
          <w:color w:val="000000"/>
        </w:rPr>
        <w:t xml:space="preserve"> </w:t>
      </w:r>
      <w:r w:rsidR="007A4327" w:rsidRPr="00DF29DA">
        <w:rPr>
          <w:rFonts w:ascii="Palatino Linotype" w:eastAsia="Palatino Linotype" w:hAnsi="Palatino Linotype" w:cs="Palatino Linotype"/>
          <w:b/>
          <w:color w:val="000000"/>
        </w:rPr>
        <w:t>veintidós de enero</w:t>
      </w:r>
      <w:r w:rsidRPr="00DF29DA">
        <w:rPr>
          <w:rFonts w:ascii="Palatino Linotype" w:eastAsia="Palatino Linotype" w:hAnsi="Palatino Linotype" w:cs="Palatino Linotype"/>
          <w:b/>
          <w:color w:val="000000"/>
        </w:rPr>
        <w:t xml:space="preserve"> de dos mil veinticinco</w:t>
      </w:r>
      <w:r w:rsidRPr="00DF29DA">
        <w:rPr>
          <w:rFonts w:ascii="Palatino Linotype" w:eastAsia="Palatino Linotype" w:hAnsi="Palatino Linotype" w:cs="Palatino Linotype"/>
          <w:color w:val="000000"/>
        </w:rPr>
        <w:t xml:space="preserve">, el particular interpuso </w:t>
      </w:r>
      <w:r w:rsidR="00C72A3B" w:rsidRPr="00DF29DA">
        <w:rPr>
          <w:rFonts w:ascii="Palatino Linotype" w:eastAsia="Palatino Linotype" w:hAnsi="Palatino Linotype" w:cs="Palatino Linotype"/>
          <w:color w:val="000000"/>
        </w:rPr>
        <w:t>recurso</w:t>
      </w:r>
      <w:r w:rsidRPr="00DF29DA">
        <w:rPr>
          <w:rFonts w:ascii="Palatino Linotype" w:eastAsia="Palatino Linotype" w:hAnsi="Palatino Linotype" w:cs="Palatino Linotype"/>
          <w:color w:val="000000"/>
        </w:rPr>
        <w:t xml:space="preserve"> de revisión a</w:t>
      </w:r>
      <w:r w:rsidR="00C72A3B" w:rsidRPr="00DF29DA">
        <w:rPr>
          <w:rFonts w:ascii="Palatino Linotype" w:eastAsia="Palatino Linotype" w:hAnsi="Palatino Linotype" w:cs="Palatino Linotype"/>
          <w:color w:val="000000"/>
        </w:rPr>
        <w:t>l</w:t>
      </w:r>
      <w:r w:rsidRPr="00DF29DA">
        <w:rPr>
          <w:rFonts w:ascii="Palatino Linotype" w:eastAsia="Palatino Linotype" w:hAnsi="Palatino Linotype" w:cs="Palatino Linotype"/>
          <w:color w:val="000000"/>
        </w:rPr>
        <w:t xml:space="preserve"> </w:t>
      </w:r>
      <w:r w:rsidR="00C72A3B" w:rsidRPr="00DF29DA">
        <w:rPr>
          <w:rFonts w:ascii="Palatino Linotype" w:eastAsia="Palatino Linotype" w:hAnsi="Palatino Linotype" w:cs="Palatino Linotype"/>
          <w:color w:val="000000"/>
        </w:rPr>
        <w:t>que se le</w:t>
      </w:r>
      <w:r w:rsidRPr="00DF29DA">
        <w:rPr>
          <w:rFonts w:ascii="Palatino Linotype" w:eastAsia="Palatino Linotype" w:hAnsi="Palatino Linotype" w:cs="Palatino Linotype"/>
          <w:color w:val="000000"/>
        </w:rPr>
        <w:t xml:space="preserve"> </w:t>
      </w:r>
      <w:r w:rsidR="00C72A3B" w:rsidRPr="00DF29DA">
        <w:rPr>
          <w:rFonts w:ascii="Palatino Linotype" w:eastAsia="Palatino Linotype" w:hAnsi="Palatino Linotype" w:cs="Palatino Linotype"/>
          <w:color w:val="000000"/>
        </w:rPr>
        <w:t>asignó el folio</w:t>
      </w:r>
      <w:r w:rsidRPr="00DF29DA">
        <w:rPr>
          <w:rFonts w:ascii="Palatino Linotype" w:eastAsia="Palatino Linotype" w:hAnsi="Palatino Linotype" w:cs="Palatino Linotype"/>
          <w:color w:val="000000"/>
        </w:rPr>
        <w:t xml:space="preserve"> </w:t>
      </w:r>
      <w:r w:rsidR="007A4327" w:rsidRPr="00DF29DA">
        <w:rPr>
          <w:rFonts w:ascii="Palatino Linotype" w:eastAsia="Palatino Linotype" w:hAnsi="Palatino Linotype" w:cs="Palatino Linotype"/>
          <w:b/>
          <w:color w:val="000000"/>
        </w:rPr>
        <w:t>00158</w:t>
      </w:r>
      <w:r w:rsidR="00C72A3B" w:rsidRPr="00DF29DA">
        <w:rPr>
          <w:rFonts w:ascii="Palatino Linotype" w:eastAsia="Palatino Linotype" w:hAnsi="Palatino Linotype" w:cs="Palatino Linotype"/>
          <w:b/>
          <w:color w:val="000000"/>
        </w:rPr>
        <w:t xml:space="preserve">/INFOEM/IP/RR/2025, </w:t>
      </w:r>
      <w:r w:rsidR="00C72A3B" w:rsidRPr="00DF29DA">
        <w:rPr>
          <w:rFonts w:ascii="Palatino Linotype" w:eastAsia="Palatino Linotype" w:hAnsi="Palatino Linotype" w:cs="Palatino Linotype"/>
          <w:color w:val="000000"/>
        </w:rPr>
        <w:t>en contra de la respuesta emitida</w:t>
      </w:r>
      <w:r w:rsidRPr="00DF29DA">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rsidR="00D80BFC" w:rsidRPr="00DF29DA" w:rsidRDefault="00D80BFC" w:rsidP="00D80BFC">
      <w:pPr>
        <w:pBdr>
          <w:top w:val="nil"/>
          <w:left w:val="nil"/>
          <w:bottom w:val="nil"/>
          <w:right w:val="nil"/>
          <w:between w:val="nil"/>
        </w:pBdr>
        <w:tabs>
          <w:tab w:val="left" w:pos="0"/>
        </w:tabs>
        <w:spacing w:line="360" w:lineRule="auto"/>
        <w:ind w:left="360" w:right="-787"/>
        <w:jc w:val="both"/>
        <w:rPr>
          <w:rFonts w:ascii="Palatino Linotype" w:eastAsia="Palatino Linotype" w:hAnsi="Palatino Linotype" w:cs="Palatino Linotype"/>
          <w:color w:val="000000"/>
        </w:rPr>
      </w:pPr>
    </w:p>
    <w:p w:rsidR="00386CEB" w:rsidRPr="00DF29DA" w:rsidRDefault="00A077F4" w:rsidP="007A4327">
      <w:pPr>
        <w:pBdr>
          <w:top w:val="nil"/>
          <w:left w:val="nil"/>
          <w:bottom w:val="nil"/>
          <w:right w:val="nil"/>
          <w:between w:val="nil"/>
        </w:pBdr>
        <w:ind w:left="851" w:right="-787"/>
        <w:jc w:val="both"/>
        <w:rPr>
          <w:rFonts w:ascii="Palatino Linotype" w:eastAsia="Palatino Linotype" w:hAnsi="Palatino Linotype" w:cs="Palatino Linotype"/>
          <w:b/>
          <w:color w:val="000000"/>
        </w:rPr>
      </w:pPr>
      <w:bookmarkStart w:id="1" w:name="_heading=h.30j0zll" w:colFirst="0" w:colLast="0"/>
      <w:bookmarkEnd w:id="1"/>
      <w:r w:rsidRPr="00DF29DA">
        <w:rPr>
          <w:rFonts w:ascii="Palatino Linotype" w:eastAsia="Palatino Linotype" w:hAnsi="Palatino Linotype" w:cs="Palatino Linotype"/>
          <w:b/>
          <w:color w:val="000000"/>
        </w:rPr>
        <w:t>Acto impugnado</w:t>
      </w:r>
      <w:r w:rsidR="007A4327" w:rsidRPr="00DF29DA">
        <w:rPr>
          <w:rFonts w:ascii="Palatino Linotype" w:eastAsia="Palatino Linotype" w:hAnsi="Palatino Linotype" w:cs="Palatino Linotype"/>
          <w:b/>
          <w:color w:val="000000"/>
        </w:rPr>
        <w:t xml:space="preserve">; y Razones o Motivos de </w:t>
      </w:r>
      <w:r w:rsidR="00386CEB" w:rsidRPr="00DF29DA">
        <w:rPr>
          <w:rFonts w:ascii="Palatino Linotype" w:eastAsia="Palatino Linotype" w:hAnsi="Palatino Linotype" w:cs="Palatino Linotype"/>
          <w:b/>
          <w:color w:val="000000"/>
        </w:rPr>
        <w:t>inconformidad:</w:t>
      </w:r>
      <w:r w:rsidRPr="00DF29DA">
        <w:rPr>
          <w:rFonts w:ascii="Palatino Linotype" w:eastAsia="Palatino Linotype" w:hAnsi="Palatino Linotype" w:cs="Palatino Linotype"/>
          <w:b/>
          <w:color w:val="000000"/>
        </w:rPr>
        <w:t xml:space="preserve"> </w:t>
      </w:r>
    </w:p>
    <w:p w:rsidR="00386CEB" w:rsidRPr="00DF29DA" w:rsidRDefault="00386CEB" w:rsidP="007A4327">
      <w:pPr>
        <w:pBdr>
          <w:top w:val="nil"/>
          <w:left w:val="nil"/>
          <w:bottom w:val="nil"/>
          <w:right w:val="nil"/>
          <w:between w:val="nil"/>
        </w:pBdr>
        <w:ind w:left="851" w:right="-787"/>
        <w:jc w:val="both"/>
        <w:rPr>
          <w:rFonts w:ascii="Palatino Linotype" w:eastAsia="Palatino Linotype" w:hAnsi="Palatino Linotype" w:cs="Palatino Linotype"/>
          <w:b/>
          <w:color w:val="000000"/>
        </w:rPr>
      </w:pPr>
    </w:p>
    <w:p w:rsidR="0072148B" w:rsidRPr="00DF29DA" w:rsidRDefault="00A077F4" w:rsidP="007A4327">
      <w:pPr>
        <w:pBdr>
          <w:top w:val="nil"/>
          <w:left w:val="nil"/>
          <w:bottom w:val="nil"/>
          <w:right w:val="nil"/>
          <w:between w:val="nil"/>
        </w:pBdr>
        <w:ind w:left="851" w:right="-787"/>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w:t>
      </w:r>
      <w:r w:rsidR="007A4327" w:rsidRPr="00DF29DA">
        <w:rPr>
          <w:rFonts w:ascii="Palatino Linotype" w:eastAsia="Palatino Linotype" w:hAnsi="Palatino Linotype" w:cs="Palatino Linotype"/>
          <w:i/>
          <w:color w:val="000000"/>
        </w:rPr>
        <w:t xml:space="preserve">Negativa a entregar la información solicitada, entrega una invitación a solicitud del rector que en su caso no es el presidente o secretario del comite, entrega la simulación de un acta que no toma las decisiones por votación, no distingue la aprobación o no del comité, refiere reservas sin sustento, integración del comite sin apegarse a la ley en </w:t>
      </w:r>
      <w:r w:rsidR="007A4327" w:rsidRPr="00DF29DA">
        <w:rPr>
          <w:rFonts w:ascii="Palatino Linotype" w:eastAsia="Palatino Linotype" w:hAnsi="Palatino Linotype" w:cs="Palatino Linotype"/>
          <w:i/>
          <w:color w:val="000000"/>
        </w:rPr>
        <w:lastRenderedPageBreak/>
        <w:t>materia, acaso INFOEM permite que la transparencia se maneje de forma simulada sin un comite instalado correctamente, con un sustento de los acuerdos tomados y sobre todo que se simulen los actos de autoridad competente.</w:t>
      </w:r>
      <w:r w:rsidR="00DC40CA" w:rsidRPr="00DF29DA">
        <w:rPr>
          <w:rFonts w:ascii="Palatino Linotype" w:eastAsia="Palatino Linotype" w:hAnsi="Palatino Linotype" w:cs="Palatino Linotype"/>
          <w:i/>
          <w:color w:val="000000"/>
        </w:rPr>
        <w:t>” (Sic)</w:t>
      </w:r>
      <w:bookmarkStart w:id="2" w:name="_heading=h.1fob9te" w:colFirst="0" w:colLast="0"/>
      <w:bookmarkEnd w:id="2"/>
    </w:p>
    <w:p w:rsidR="0072148B" w:rsidRPr="00DF29DA" w:rsidRDefault="0072148B" w:rsidP="005845B2">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5845B2" w:rsidRPr="00DF29DA" w:rsidRDefault="005845B2" w:rsidP="00D80BFC">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DF29DA">
        <w:rPr>
          <w:rFonts w:ascii="Palatino Linotype" w:eastAsia="Palatino Linotype" w:hAnsi="Palatino Linotype" w:cs="Palatino Linotype"/>
          <w:b/>
          <w:color w:val="000000"/>
        </w:rPr>
        <w:t xml:space="preserve">acuerdo de admisión </w:t>
      </w:r>
      <w:r w:rsidRPr="00DF29DA">
        <w:rPr>
          <w:rFonts w:ascii="Palatino Linotype" w:eastAsia="Palatino Linotype" w:hAnsi="Palatino Linotype" w:cs="Palatino Linotype"/>
          <w:color w:val="000000"/>
        </w:rPr>
        <w:t xml:space="preserve">de fecha </w:t>
      </w:r>
      <w:r w:rsidR="004E49C5" w:rsidRPr="00DF29DA">
        <w:rPr>
          <w:rFonts w:ascii="Palatino Linotype" w:eastAsia="Palatino Linotype" w:hAnsi="Palatino Linotype" w:cs="Palatino Linotype"/>
          <w:b/>
          <w:color w:val="000000"/>
        </w:rPr>
        <w:t>veinticuatro de enero</w:t>
      </w:r>
      <w:r w:rsidRPr="00DF29DA">
        <w:rPr>
          <w:rFonts w:ascii="Palatino Linotype" w:eastAsia="Palatino Linotype" w:hAnsi="Palatino Linotype" w:cs="Palatino Linotype"/>
          <w:b/>
          <w:color w:val="000000"/>
        </w:rPr>
        <w:t xml:space="preserve"> dos mil veinticinco, </w:t>
      </w:r>
      <w:r w:rsidRPr="00DF29DA">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DF29DA">
        <w:rPr>
          <w:rFonts w:ascii="Palatino Linotype" w:eastAsia="Palatino Linotype" w:hAnsi="Palatino Linotype" w:cs="Palatino Linotype"/>
        </w:rPr>
        <w:t>manifestara</w:t>
      </w:r>
      <w:r w:rsidRPr="00DF29DA">
        <w:rPr>
          <w:rFonts w:ascii="Palatino Linotype" w:eastAsia="Palatino Linotype" w:hAnsi="Palatino Linotype" w:cs="Palatino Linotype"/>
          <w:color w:val="000000"/>
        </w:rPr>
        <w:t xml:space="preserve"> lo que a su derecho conviniera, </w:t>
      </w:r>
      <w:r w:rsidRPr="00DF29DA">
        <w:rPr>
          <w:rFonts w:ascii="Palatino Linotype" w:eastAsia="Palatino Linotype" w:hAnsi="Palatino Linotype" w:cs="Palatino Linotype"/>
        </w:rPr>
        <w:t>ofreciera</w:t>
      </w:r>
      <w:r w:rsidRPr="00DF29DA">
        <w:rPr>
          <w:rFonts w:ascii="Palatino Linotype" w:eastAsia="Palatino Linotype" w:hAnsi="Palatino Linotype" w:cs="Palatino Linotype"/>
          <w:color w:val="000000"/>
        </w:rPr>
        <w:t xml:space="preserve"> pruebas y alegatos según corresponda al caso concreto, de esta forma para que el </w:t>
      </w:r>
      <w:r w:rsidRPr="00DF29DA">
        <w:rPr>
          <w:rFonts w:ascii="Palatino Linotype" w:eastAsia="Palatino Linotype" w:hAnsi="Palatino Linotype" w:cs="Palatino Linotype"/>
          <w:b/>
          <w:color w:val="000000"/>
        </w:rPr>
        <w:t xml:space="preserve">SUJETO OBLIGADO </w:t>
      </w:r>
      <w:r w:rsidRPr="00DF29DA">
        <w:rPr>
          <w:rFonts w:ascii="Palatino Linotype" w:eastAsia="Palatino Linotype" w:hAnsi="Palatino Linotype" w:cs="Palatino Linotype"/>
        </w:rPr>
        <w:t>presentará</w:t>
      </w:r>
      <w:r w:rsidRPr="00DF29DA">
        <w:rPr>
          <w:rFonts w:ascii="Palatino Linotype" w:eastAsia="Palatino Linotype" w:hAnsi="Palatino Linotype" w:cs="Palatino Linotype"/>
          <w:color w:val="000000"/>
        </w:rPr>
        <w:t xml:space="preserve"> el Informe Justificado procedente.</w:t>
      </w:r>
    </w:p>
    <w:p w:rsidR="005845B2" w:rsidRPr="00DF29DA" w:rsidRDefault="005845B2" w:rsidP="005845B2">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5845B2" w:rsidRPr="00DF29DA" w:rsidRDefault="005845B2" w:rsidP="006C7CBE">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rPr>
      </w:pPr>
      <w:r w:rsidRPr="00DF29DA">
        <w:rPr>
          <w:rFonts w:ascii="Palatino Linotype" w:eastAsia="Palatino Linotype" w:hAnsi="Palatino Linotype" w:cs="Palatino Linotype"/>
          <w:color w:val="000000"/>
        </w:rPr>
        <w:t>El Recurrente</w:t>
      </w:r>
      <w:r w:rsidRPr="00DF29DA">
        <w:rPr>
          <w:rFonts w:ascii="Palatino Linotype" w:eastAsia="Palatino Linotype" w:hAnsi="Palatino Linotype" w:cs="Palatino Linotype"/>
          <w:b/>
          <w:color w:val="000000"/>
        </w:rPr>
        <w:t xml:space="preserve"> </w:t>
      </w:r>
      <w:r w:rsidRPr="00DF29DA">
        <w:rPr>
          <w:rFonts w:ascii="Palatino Linotype" w:eastAsia="Palatino Linotype" w:hAnsi="Palatino Linotype" w:cs="Palatino Linotype"/>
          <w:color w:val="000000"/>
        </w:rPr>
        <w:t>dejó de realizar manifestaciones que a su derecho conviniera y asistiera. Por su parte, el Sujeto Obligado,</w:t>
      </w:r>
      <w:r w:rsidRPr="00DF29DA">
        <w:rPr>
          <w:rFonts w:ascii="Palatino Linotype" w:eastAsia="Palatino Linotype" w:hAnsi="Palatino Linotype" w:cs="Palatino Linotype"/>
          <w:b/>
          <w:color w:val="000000"/>
        </w:rPr>
        <w:t xml:space="preserve"> </w:t>
      </w:r>
      <w:r w:rsidRPr="00DF29DA">
        <w:rPr>
          <w:rFonts w:ascii="Palatino Linotype" w:eastAsia="Palatino Linotype" w:hAnsi="Palatino Linotype" w:cs="Palatino Linotype"/>
          <w:color w:val="000000"/>
        </w:rPr>
        <w:t xml:space="preserve">presentó informe justificado, </w:t>
      </w:r>
      <w:r w:rsidR="006C7CBE" w:rsidRPr="00DF29DA">
        <w:rPr>
          <w:rFonts w:ascii="Palatino Linotype" w:eastAsia="Palatino Linotype" w:hAnsi="Palatino Linotype" w:cs="Palatino Linotype"/>
          <w:color w:val="000000"/>
        </w:rPr>
        <w:t xml:space="preserve">adjuntando </w:t>
      </w:r>
      <w:r w:rsidR="00F817B8" w:rsidRPr="00DF29DA">
        <w:rPr>
          <w:rFonts w:ascii="Palatino Linotype" w:eastAsia="Palatino Linotype" w:hAnsi="Palatino Linotype" w:cs="Palatino Linotype"/>
          <w:color w:val="000000"/>
        </w:rPr>
        <w:t>los</w:t>
      </w:r>
      <w:r w:rsidR="006C7CBE" w:rsidRPr="00DF29DA">
        <w:rPr>
          <w:rFonts w:ascii="Palatino Linotype" w:eastAsia="Palatino Linotype" w:hAnsi="Palatino Linotype" w:cs="Palatino Linotype"/>
          <w:color w:val="000000"/>
        </w:rPr>
        <w:t xml:space="preserve"> archivo</w:t>
      </w:r>
      <w:r w:rsidR="00F817B8" w:rsidRPr="00DF29DA">
        <w:rPr>
          <w:rFonts w:ascii="Palatino Linotype" w:eastAsia="Palatino Linotype" w:hAnsi="Palatino Linotype" w:cs="Palatino Linotype"/>
          <w:color w:val="000000"/>
        </w:rPr>
        <w:t>s</w:t>
      </w:r>
      <w:r w:rsidR="006C7CBE" w:rsidRPr="00DF29DA">
        <w:rPr>
          <w:rFonts w:ascii="Palatino Linotype" w:eastAsia="Palatino Linotype" w:hAnsi="Palatino Linotype" w:cs="Palatino Linotype"/>
          <w:color w:val="000000"/>
        </w:rPr>
        <w:t xml:space="preserve"> que se describe</w:t>
      </w:r>
      <w:r w:rsidR="00F817B8" w:rsidRPr="00DF29DA">
        <w:rPr>
          <w:rFonts w:ascii="Palatino Linotype" w:eastAsia="Palatino Linotype" w:hAnsi="Palatino Linotype" w:cs="Palatino Linotype"/>
          <w:color w:val="000000"/>
        </w:rPr>
        <w:t>n</w:t>
      </w:r>
      <w:r w:rsidR="006C7CBE" w:rsidRPr="00DF29DA">
        <w:rPr>
          <w:rFonts w:ascii="Palatino Linotype" w:eastAsia="Palatino Linotype" w:hAnsi="Palatino Linotype" w:cs="Palatino Linotype"/>
          <w:color w:val="000000"/>
        </w:rPr>
        <w:t xml:space="preserve"> a continuación:</w:t>
      </w:r>
    </w:p>
    <w:p w:rsidR="005845B2" w:rsidRPr="00DF29DA" w:rsidRDefault="00F817B8" w:rsidP="00F817B8">
      <w:pPr>
        <w:pBdr>
          <w:top w:val="nil"/>
          <w:left w:val="nil"/>
          <w:bottom w:val="nil"/>
          <w:right w:val="nil"/>
          <w:between w:val="nil"/>
        </w:pBdr>
        <w:ind w:left="851" w:right="-788"/>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t>Mayo2021Web.pdf</w:t>
      </w:r>
    </w:p>
    <w:p w:rsidR="00F817B8" w:rsidRPr="00DF29DA" w:rsidRDefault="00F817B8"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Documento que contiene la Gaceta Universitaria, número 308, de Mayo 2021. (</w:t>
      </w:r>
      <w:r w:rsidR="005B6EB9" w:rsidRPr="00DF29DA">
        <w:rPr>
          <w:rFonts w:ascii="Palatino Linotype" w:eastAsia="Palatino Linotype" w:hAnsi="Palatino Linotype" w:cs="Palatino Linotype"/>
          <w:color w:val="000000"/>
        </w:rPr>
        <w:t>En</w:t>
      </w:r>
      <w:r w:rsidRPr="00DF29DA">
        <w:rPr>
          <w:rFonts w:ascii="Palatino Linotype" w:eastAsia="Palatino Linotype" w:hAnsi="Palatino Linotype" w:cs="Palatino Linotype"/>
          <w:color w:val="000000"/>
        </w:rPr>
        <w:t xml:space="preserve"> versión pública)</w:t>
      </w:r>
    </w:p>
    <w:p w:rsidR="00F817B8" w:rsidRPr="00DF29DA" w:rsidRDefault="00F817B8" w:rsidP="00F817B8">
      <w:pPr>
        <w:pBdr>
          <w:top w:val="nil"/>
          <w:left w:val="nil"/>
          <w:bottom w:val="nil"/>
          <w:right w:val="nil"/>
          <w:between w:val="nil"/>
        </w:pBdr>
        <w:ind w:left="851" w:right="-788"/>
        <w:jc w:val="both"/>
        <w:rPr>
          <w:rFonts w:ascii="Palatino Linotype" w:eastAsia="Palatino Linotype" w:hAnsi="Palatino Linotype" w:cs="Palatino Linotype"/>
          <w:b/>
          <w:i/>
          <w:color w:val="000000"/>
        </w:rPr>
      </w:pPr>
    </w:p>
    <w:p w:rsidR="00F817B8" w:rsidRPr="00DF29DA" w:rsidRDefault="00F817B8" w:rsidP="00F817B8">
      <w:pPr>
        <w:pBdr>
          <w:top w:val="nil"/>
          <w:left w:val="nil"/>
          <w:bottom w:val="nil"/>
          <w:right w:val="nil"/>
          <w:between w:val="nil"/>
        </w:pBdr>
        <w:ind w:left="851" w:right="-788"/>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t>rr158-25_05-02-2025-203544.pdf</w:t>
      </w:r>
    </w:p>
    <w:p w:rsidR="009B6C44" w:rsidRPr="00DF29DA" w:rsidRDefault="009B6C44"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Documento de fecha 04 de febrero de 2025, firmado por el Director de Transparencia Universitaria, en el que se rinde informe justificado manifestando que en respuesta primigenia se entregó la información requerida por el solicitante, siendo la que obra en los archivos del Sujeto Obligado. </w:t>
      </w:r>
    </w:p>
    <w:p w:rsidR="009B6C44" w:rsidRPr="00DF29DA" w:rsidRDefault="009B6C44"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9B6C44" w:rsidRPr="00DF29DA" w:rsidRDefault="009B6C44"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En relación al recurso de revisión interpuesto</w:t>
      </w:r>
      <w:r w:rsidR="00677E2A" w:rsidRPr="00DF29DA">
        <w:rPr>
          <w:rFonts w:ascii="Palatino Linotype" w:eastAsia="Palatino Linotype" w:hAnsi="Palatino Linotype" w:cs="Palatino Linotype"/>
          <w:color w:val="000000"/>
        </w:rPr>
        <w:t>,</w:t>
      </w:r>
      <w:r w:rsidRPr="00DF29DA">
        <w:rPr>
          <w:rFonts w:ascii="Palatino Linotype" w:eastAsia="Palatino Linotype" w:hAnsi="Palatino Linotype" w:cs="Palatino Linotype"/>
          <w:color w:val="000000"/>
        </w:rPr>
        <w:t xml:space="preserve"> el Suje</w:t>
      </w:r>
      <w:r w:rsidR="00677E2A" w:rsidRPr="00DF29DA">
        <w:rPr>
          <w:rFonts w:ascii="Palatino Linotype" w:eastAsia="Palatino Linotype" w:hAnsi="Palatino Linotype" w:cs="Palatino Linotype"/>
          <w:color w:val="000000"/>
        </w:rPr>
        <w:t xml:space="preserve">to Obligado manifiesta que se logra advertir que el recurrente duda de la veracidad de la información entregada, por lo que el recurso deberá ser desechado. Asimismo la información </w:t>
      </w:r>
      <w:r w:rsidR="00677E2A" w:rsidRPr="00DF29DA">
        <w:rPr>
          <w:rFonts w:ascii="Palatino Linotype" w:eastAsia="Palatino Linotype" w:hAnsi="Palatino Linotype" w:cs="Palatino Linotype"/>
          <w:color w:val="000000"/>
        </w:rPr>
        <w:lastRenderedPageBreak/>
        <w:t>entregada cumple con todos los requerimientos de la solicitud de información, atendiendo los principios de congruencia y exhaustividad.</w:t>
      </w:r>
    </w:p>
    <w:p w:rsidR="00677E2A" w:rsidRPr="00DF29DA" w:rsidRDefault="00677E2A"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677E2A" w:rsidRPr="00DF29DA" w:rsidRDefault="00677E2A"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En relación a la integración del Comité de Transparencia, y de conformidad al artículo 46 de la Ley de Transparencia Local, manifiesta los nombres de los servidores públicos que lo integran quinees tienen los cargos de:</w:t>
      </w:r>
    </w:p>
    <w:p w:rsidR="00677E2A" w:rsidRPr="00DF29DA" w:rsidRDefault="00677E2A" w:rsidP="00677E2A">
      <w:pPr>
        <w:pStyle w:val="Prrafodelista"/>
        <w:numPr>
          <w:ilvl w:val="0"/>
          <w:numId w:val="16"/>
        </w:numPr>
        <w:pBdr>
          <w:top w:val="nil"/>
          <w:left w:val="nil"/>
          <w:bottom w:val="nil"/>
          <w:right w:val="nil"/>
          <w:between w:val="nil"/>
        </w:pBdr>
        <w:ind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000000"/>
        </w:rPr>
        <w:t>Titular de la Unidad d Transparencia</w:t>
      </w:r>
      <w:r w:rsidRPr="00DF29DA">
        <w:rPr>
          <w:rFonts w:ascii="Palatino Linotype" w:eastAsia="Palatino Linotype" w:hAnsi="Palatino Linotype" w:cs="Palatino Linotype"/>
          <w:color w:val="000000"/>
        </w:rPr>
        <w:t>. Director de la Unidad de Transparencia Universitaria y Titular de la Unidad de Transparencia y Secretario Técnico del Comité.</w:t>
      </w:r>
    </w:p>
    <w:p w:rsidR="00677E2A" w:rsidRPr="00DF29DA" w:rsidRDefault="00677E2A" w:rsidP="00677E2A">
      <w:pPr>
        <w:pStyle w:val="Prrafodelista"/>
        <w:numPr>
          <w:ilvl w:val="0"/>
          <w:numId w:val="16"/>
        </w:numPr>
        <w:pBdr>
          <w:top w:val="nil"/>
          <w:left w:val="nil"/>
          <w:bottom w:val="nil"/>
          <w:right w:val="nil"/>
          <w:between w:val="nil"/>
        </w:pBdr>
        <w:ind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000000"/>
        </w:rPr>
        <w:t>El responsable del área coordinadora de archivo o equivalente</w:t>
      </w:r>
      <w:r w:rsidRPr="00DF29DA">
        <w:rPr>
          <w:rFonts w:ascii="Palatino Linotype" w:eastAsia="Palatino Linotype" w:hAnsi="Palatino Linotype" w:cs="Palatino Linotype"/>
          <w:color w:val="000000"/>
        </w:rPr>
        <w:t>: Encargada del Despacho de la Dirección de Archivo Universitario.</w:t>
      </w:r>
    </w:p>
    <w:p w:rsidR="00677E2A" w:rsidRPr="00DF29DA" w:rsidRDefault="00677E2A" w:rsidP="00677E2A">
      <w:pPr>
        <w:pStyle w:val="Prrafodelista"/>
        <w:numPr>
          <w:ilvl w:val="0"/>
          <w:numId w:val="16"/>
        </w:numPr>
        <w:pBdr>
          <w:top w:val="nil"/>
          <w:left w:val="nil"/>
          <w:bottom w:val="nil"/>
          <w:right w:val="nil"/>
          <w:between w:val="nil"/>
        </w:pBdr>
        <w:ind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000000"/>
        </w:rPr>
        <w:t>El Titular del Órgano Interno de Control o equivalente</w:t>
      </w:r>
      <w:r w:rsidRPr="00DF29DA">
        <w:rPr>
          <w:rFonts w:ascii="Palatino Linotype" w:eastAsia="Palatino Linotype" w:hAnsi="Palatino Linotype" w:cs="Palatino Linotype"/>
          <w:color w:val="000000"/>
        </w:rPr>
        <w:t xml:space="preserve">: </w:t>
      </w:r>
      <w:r w:rsidR="00806768" w:rsidRPr="00DF29DA">
        <w:rPr>
          <w:rFonts w:ascii="Palatino Linotype" w:eastAsia="Palatino Linotype" w:hAnsi="Palatino Linotype" w:cs="Palatino Linotype"/>
          <w:color w:val="000000"/>
        </w:rPr>
        <w:t>se cuenta con dos figuras que regulan el comportamiento de los servidores universitarios:</w:t>
      </w:r>
    </w:p>
    <w:p w:rsidR="00806768" w:rsidRPr="00DF29DA" w:rsidRDefault="00806768" w:rsidP="00806768">
      <w:pPr>
        <w:pStyle w:val="Prrafodelista"/>
        <w:numPr>
          <w:ilvl w:val="1"/>
          <w:numId w:val="16"/>
        </w:numPr>
        <w:pBdr>
          <w:top w:val="nil"/>
          <w:left w:val="nil"/>
          <w:bottom w:val="nil"/>
          <w:right w:val="nil"/>
          <w:between w:val="nil"/>
        </w:pBdr>
        <w:ind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u w:val="single"/>
        </w:rPr>
        <w:t>Órgano Interno de Control en la Universidad</w:t>
      </w:r>
      <w:r w:rsidRPr="00DF29DA">
        <w:rPr>
          <w:rFonts w:ascii="Palatino Linotype" w:eastAsia="Palatino Linotype" w:hAnsi="Palatino Linotype" w:cs="Palatino Linotype"/>
          <w:color w:val="000000"/>
        </w:rPr>
        <w:t>. Cuando se trate de asuntos relacionados con el ejercicio, manejo o disposición de recursos públicos, declaraciones patrimoniales o auditorías, y expedientes de responsabilidad administrativa.</w:t>
      </w:r>
    </w:p>
    <w:p w:rsidR="00806768" w:rsidRPr="00DF29DA" w:rsidRDefault="00806768" w:rsidP="00806768">
      <w:pPr>
        <w:pStyle w:val="Prrafodelista"/>
        <w:numPr>
          <w:ilvl w:val="1"/>
          <w:numId w:val="16"/>
        </w:numPr>
        <w:pBdr>
          <w:top w:val="nil"/>
          <w:left w:val="nil"/>
          <w:bottom w:val="nil"/>
          <w:right w:val="nil"/>
          <w:between w:val="nil"/>
        </w:pBdr>
        <w:ind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u w:val="single"/>
        </w:rPr>
        <w:t>Dirección General de Evaluación y Control de la Gestión Universitaria</w:t>
      </w:r>
      <w:r w:rsidRPr="00DF29DA">
        <w:rPr>
          <w:rFonts w:ascii="Palatino Linotype" w:eastAsia="Palatino Linotype" w:hAnsi="Palatino Linotype" w:cs="Palatino Linotype"/>
          <w:color w:val="000000"/>
        </w:rPr>
        <w:t>. Participa cuando no intervenga con la competencia del Órgano Interno de Control.</w:t>
      </w:r>
    </w:p>
    <w:p w:rsidR="00806768" w:rsidRPr="00DF29DA" w:rsidRDefault="00806768" w:rsidP="00806768">
      <w:pPr>
        <w:pBdr>
          <w:top w:val="nil"/>
          <w:left w:val="nil"/>
          <w:bottom w:val="nil"/>
          <w:right w:val="nil"/>
          <w:between w:val="nil"/>
        </w:pBdr>
        <w:ind w:left="1560"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000000"/>
        </w:rPr>
        <w:t>Servidor Público Encargado de la protección de datos personales</w:t>
      </w:r>
      <w:r w:rsidRPr="00DF29DA">
        <w:rPr>
          <w:rFonts w:ascii="Palatino Linotype" w:eastAsia="Palatino Linotype" w:hAnsi="Palatino Linotype" w:cs="Palatino Linotype"/>
          <w:color w:val="000000"/>
        </w:rPr>
        <w:t xml:space="preserve"> (cuando se sesionen cuestiones relacionadas en la materia). Encargado de la Protección de los Datos Personales.</w:t>
      </w:r>
    </w:p>
    <w:p w:rsidR="00C96120" w:rsidRPr="00DF29DA" w:rsidRDefault="00C96120"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p>
    <w:p w:rsidR="00C96120" w:rsidRPr="00DF29DA" w:rsidRDefault="00C96120"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Señala también que la integración del Comité de Transparencia está publicado en el artículo </w:t>
      </w:r>
      <w:r w:rsidR="00570DE4" w:rsidRPr="00DF29DA">
        <w:rPr>
          <w:rFonts w:ascii="Palatino Linotype" w:eastAsia="Palatino Linotype" w:hAnsi="Palatino Linotype" w:cs="Palatino Linotype"/>
          <w:color w:val="000000"/>
        </w:rPr>
        <w:t>“92, fracción XLIII C Integrantes del comité de transparencia”</w:t>
      </w:r>
    </w:p>
    <w:p w:rsidR="00570DE4" w:rsidRPr="00DF29DA" w:rsidRDefault="00570DE4"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p>
    <w:p w:rsidR="00570DE4" w:rsidRPr="00DF29DA" w:rsidRDefault="00570DE4"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Explica también que de conformidad al artículo 12 del Reglamento de Transparencia y Acceso a la Información Pública de la Universidad Autónoma del Estado de México señala la integración del Comité de Transparencia y todos los acuerdos son tomados por votación de los integrantes del mismo. En ese orden de ideas, manifiesta que las razones o motivos de inconformidad, el recurrente vierte juicios de valor e ideas carentes de fundamento, posturas subjetivas y personales que no abonan al derecho de acceso a la información.</w:t>
      </w:r>
    </w:p>
    <w:p w:rsidR="00570DE4" w:rsidRPr="00DF29DA" w:rsidRDefault="00570DE4"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p>
    <w:p w:rsidR="00570DE4" w:rsidRPr="00DF29DA" w:rsidRDefault="00570DE4"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De lo anterior, solicita se confirme la respuesta </w:t>
      </w:r>
      <w:r w:rsidR="00AF78B0" w:rsidRPr="00DF29DA">
        <w:rPr>
          <w:rFonts w:ascii="Palatino Linotype" w:eastAsia="Palatino Linotype" w:hAnsi="Palatino Linotype" w:cs="Palatino Linotype"/>
          <w:color w:val="000000"/>
        </w:rPr>
        <w:t>proporcionada</w:t>
      </w:r>
      <w:r w:rsidRPr="00DF29DA">
        <w:rPr>
          <w:rFonts w:ascii="Palatino Linotype" w:eastAsia="Palatino Linotype" w:hAnsi="Palatino Linotype" w:cs="Palatino Linotype"/>
          <w:color w:val="000000"/>
        </w:rPr>
        <w:t xml:space="preserve"> por el Sujeto Obligado.</w:t>
      </w:r>
    </w:p>
    <w:p w:rsidR="00AF78B0" w:rsidRPr="00DF29DA" w:rsidRDefault="00AF78B0"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p>
    <w:p w:rsidR="00AF78B0" w:rsidRPr="00DF29DA" w:rsidRDefault="00AF78B0" w:rsidP="00C96120">
      <w:pPr>
        <w:pBdr>
          <w:top w:val="nil"/>
          <w:left w:val="nil"/>
          <w:bottom w:val="nil"/>
          <w:right w:val="nil"/>
          <w:between w:val="nil"/>
        </w:pBdr>
        <w:ind w:left="993"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Se adjuntan al archivo las documentales entregadas en respuesta.</w:t>
      </w:r>
    </w:p>
    <w:p w:rsidR="009B6C44" w:rsidRPr="00DF29DA" w:rsidRDefault="009B6C44" w:rsidP="009B6C44">
      <w:pPr>
        <w:pBdr>
          <w:top w:val="nil"/>
          <w:left w:val="nil"/>
          <w:bottom w:val="nil"/>
          <w:right w:val="nil"/>
          <w:between w:val="nil"/>
        </w:pBdr>
        <w:ind w:right="-788"/>
        <w:jc w:val="both"/>
        <w:rPr>
          <w:rFonts w:ascii="Palatino Linotype" w:eastAsia="Palatino Linotype" w:hAnsi="Palatino Linotype" w:cs="Palatino Linotype"/>
          <w:color w:val="000000"/>
        </w:rPr>
      </w:pPr>
    </w:p>
    <w:p w:rsidR="00F817B8" w:rsidRPr="00DF29DA" w:rsidRDefault="00F817B8" w:rsidP="00F817B8">
      <w:pPr>
        <w:pBdr>
          <w:top w:val="nil"/>
          <w:left w:val="nil"/>
          <w:bottom w:val="nil"/>
          <w:right w:val="nil"/>
          <w:between w:val="nil"/>
        </w:pBdr>
        <w:ind w:left="851" w:right="-788"/>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t>REGLAMENTO DE TRASNAPRENCIA.pdf</w:t>
      </w:r>
    </w:p>
    <w:p w:rsidR="00B9210D" w:rsidRPr="00DF29DA" w:rsidRDefault="00B9210D"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Documento que contiene el Reglamento de Transparencia </w:t>
      </w:r>
      <w:r w:rsidR="00565E2F" w:rsidRPr="00DF29DA">
        <w:rPr>
          <w:rFonts w:ascii="Palatino Linotype" w:eastAsia="Palatino Linotype" w:hAnsi="Palatino Linotype" w:cs="Palatino Linotype"/>
          <w:color w:val="000000"/>
        </w:rPr>
        <w:t xml:space="preserve">y </w:t>
      </w:r>
      <w:r w:rsidRPr="00DF29DA">
        <w:rPr>
          <w:rFonts w:ascii="Palatino Linotype" w:eastAsia="Palatino Linotype" w:hAnsi="Palatino Linotype" w:cs="Palatino Linotype"/>
          <w:color w:val="000000"/>
        </w:rPr>
        <w:t>Acceso a la Información Pública</w:t>
      </w:r>
      <w:r w:rsidR="00565E2F" w:rsidRPr="00DF29DA">
        <w:rPr>
          <w:rFonts w:ascii="Palatino Linotype" w:eastAsia="Palatino Linotype" w:hAnsi="Palatino Linotype" w:cs="Palatino Linotype"/>
          <w:color w:val="000000"/>
        </w:rPr>
        <w:t xml:space="preserve"> de la Universidad Autónoma del Estado de México.</w:t>
      </w:r>
    </w:p>
    <w:p w:rsidR="00565E2F" w:rsidRPr="00DF29DA" w:rsidRDefault="00565E2F"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F817B8" w:rsidRPr="00DF29DA" w:rsidRDefault="00F817B8" w:rsidP="00F817B8">
      <w:pPr>
        <w:pBdr>
          <w:top w:val="nil"/>
          <w:left w:val="nil"/>
          <w:bottom w:val="nil"/>
          <w:right w:val="nil"/>
          <w:between w:val="nil"/>
        </w:pBdr>
        <w:ind w:left="851" w:right="-788"/>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t>158-25_06-02-2025-192434.pdf</w:t>
      </w:r>
    </w:p>
    <w:p w:rsidR="00486875" w:rsidRPr="00DF29DA" w:rsidRDefault="00486875" w:rsidP="00F817B8">
      <w:pPr>
        <w:pBdr>
          <w:top w:val="nil"/>
          <w:left w:val="nil"/>
          <w:bottom w:val="nil"/>
          <w:right w:val="nil"/>
          <w:between w:val="nil"/>
        </w:pBdr>
        <w:ind w:left="851" w:right="-788"/>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Documento que contiene a grandes rasgos el informe justificado ya descrito con antelación, eliminando la prueba en la que se señala un video de grabación del Comité, así como los documentos entregados en respuesta. </w:t>
      </w:r>
    </w:p>
    <w:p w:rsidR="00F817B8" w:rsidRPr="00DF29DA" w:rsidRDefault="00F817B8" w:rsidP="00F817B8">
      <w:pPr>
        <w:pBdr>
          <w:top w:val="nil"/>
          <w:left w:val="nil"/>
          <w:bottom w:val="nil"/>
          <w:right w:val="nil"/>
          <w:between w:val="nil"/>
        </w:pBdr>
        <w:spacing w:line="360" w:lineRule="auto"/>
        <w:ind w:right="-787"/>
        <w:jc w:val="both"/>
        <w:rPr>
          <w:rFonts w:ascii="Palatino Linotype" w:eastAsia="Palatino Linotype" w:hAnsi="Palatino Linotype" w:cs="Palatino Linotype"/>
          <w:b/>
          <w:i/>
          <w:color w:val="000000"/>
        </w:rPr>
      </w:pPr>
    </w:p>
    <w:p w:rsidR="005845B2" w:rsidRPr="00DF29DA" w:rsidRDefault="005845B2" w:rsidP="006C7CBE">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Este Órgano Garante no pasa por alto justificar, que la dilación en la resolución del presente asunto, encuentra justificación en el incremento de recursos de revisión a resolverse por este Instituto, circunstancia atípica que ha rebasado las capacidades técnicas y humanas para la emisión de las resoluciones a dichos medios de impugnación, motivo por el que el</w:t>
      </w:r>
      <w:r w:rsidRPr="00DF29DA">
        <w:rPr>
          <w:rFonts w:ascii="Palatino Linotype" w:eastAsia="Palatino Linotype" w:hAnsi="Palatino Linotype" w:cs="Palatino Linotype"/>
          <w:b/>
          <w:color w:val="000000"/>
        </w:rPr>
        <w:t xml:space="preserve"> </w:t>
      </w:r>
      <w:r w:rsidR="00B83BD7" w:rsidRPr="00DF29DA">
        <w:rPr>
          <w:rFonts w:ascii="Palatino Linotype" w:eastAsia="Palatino Linotype" w:hAnsi="Palatino Linotype" w:cs="Palatino Linotype"/>
          <w:b/>
          <w:color w:val="000000"/>
        </w:rPr>
        <w:t>trece de marzo</w:t>
      </w:r>
      <w:r w:rsidRPr="00DF29DA">
        <w:rPr>
          <w:rFonts w:ascii="Palatino Linotype" w:eastAsia="Palatino Linotype" w:hAnsi="Palatino Linotype" w:cs="Palatino Linotype"/>
          <w:b/>
          <w:color w:val="000000"/>
        </w:rPr>
        <w:t xml:space="preserve"> de dos mil veinticinco</w:t>
      </w:r>
      <w:r w:rsidRPr="00DF29DA">
        <w:rPr>
          <w:rFonts w:ascii="Palatino Linotype" w:eastAsia="Palatino Linotype" w:hAnsi="Palatino Linotype" w:cs="Palatino Linotype"/>
          <w:color w:val="000000"/>
        </w:rPr>
        <w:t xml:space="preserve"> se acordó </w:t>
      </w:r>
      <w:r w:rsidRPr="00DF29DA">
        <w:rPr>
          <w:rFonts w:ascii="Palatino Linotype" w:eastAsia="Palatino Linotype" w:hAnsi="Palatino Linotype" w:cs="Palatino Linotype"/>
          <w:b/>
          <w:color w:val="000000"/>
        </w:rPr>
        <w:t>ampliar el término para resolver</w:t>
      </w:r>
      <w:r w:rsidRPr="00DF29DA">
        <w:rPr>
          <w:rFonts w:ascii="Palatino Linotype" w:eastAsia="Palatino Linotype" w:hAnsi="Palatino Linotype" w:cs="Palatino Linotype"/>
          <w:color w:val="000000"/>
        </w:rPr>
        <w:t xml:space="preserve"> el presente asunto.</w:t>
      </w:r>
    </w:p>
    <w:p w:rsidR="005845B2" w:rsidRPr="00DF29DA" w:rsidRDefault="005845B2" w:rsidP="005845B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5845B2" w:rsidRPr="00DF29DA" w:rsidRDefault="005845B2" w:rsidP="006C7CBE">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845B2" w:rsidRPr="00DF29DA" w:rsidRDefault="005845B2" w:rsidP="005845B2">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5845B2" w:rsidRPr="00DF29DA" w:rsidRDefault="005845B2" w:rsidP="006C7CBE">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b/>
          <w:color w:val="000000"/>
        </w:rPr>
      </w:pPr>
      <w:bookmarkStart w:id="3" w:name="_heading=h.3znysh7" w:colFirst="0" w:colLast="0"/>
      <w:bookmarkEnd w:id="3"/>
      <w:r w:rsidRPr="00DF29DA">
        <w:rPr>
          <w:rFonts w:ascii="Palatino Linotype" w:eastAsia="Palatino Linotype" w:hAnsi="Palatino Linotype" w:cs="Palatino Linotype"/>
          <w:color w:val="000000"/>
        </w:rPr>
        <w:t xml:space="preserve">Seguidamente, en fecha </w:t>
      </w:r>
      <w:r w:rsidR="000E2518" w:rsidRPr="00DF29DA">
        <w:rPr>
          <w:rFonts w:ascii="Palatino Linotype" w:eastAsia="Palatino Linotype" w:hAnsi="Palatino Linotype" w:cs="Palatino Linotype"/>
          <w:b/>
          <w:color w:val="000000"/>
        </w:rPr>
        <w:t>veintiuno</w:t>
      </w:r>
      <w:r w:rsidR="00764880" w:rsidRPr="00DF29DA">
        <w:rPr>
          <w:rFonts w:ascii="Palatino Linotype" w:eastAsia="Palatino Linotype" w:hAnsi="Palatino Linotype" w:cs="Palatino Linotype"/>
          <w:b/>
          <w:color w:val="000000"/>
        </w:rPr>
        <w:t xml:space="preserve"> de abril</w:t>
      </w:r>
      <w:r w:rsidRPr="00DF29DA">
        <w:rPr>
          <w:rFonts w:ascii="Palatino Linotype" w:eastAsia="Palatino Linotype" w:hAnsi="Palatino Linotype" w:cs="Palatino Linotype"/>
          <w:b/>
          <w:color w:val="000000"/>
        </w:rPr>
        <w:t xml:space="preserve"> de dos mil veinticinco</w:t>
      </w:r>
      <w:r w:rsidRPr="00DF29DA">
        <w:rPr>
          <w:rFonts w:ascii="Palatino Linotype" w:eastAsia="Palatino Linotype" w:hAnsi="Palatino Linotype" w:cs="Palatino Linotype"/>
          <w:color w:val="000000"/>
        </w:rPr>
        <w:t xml:space="preserve">, la Comisionada Ponente dictó el </w:t>
      </w:r>
      <w:r w:rsidRPr="00DF29DA">
        <w:rPr>
          <w:rFonts w:ascii="Palatino Linotype" w:eastAsia="Palatino Linotype" w:hAnsi="Palatino Linotype" w:cs="Palatino Linotype"/>
          <w:b/>
          <w:color w:val="000000"/>
        </w:rPr>
        <w:t>cierre del periodo de instrucción</w:t>
      </w:r>
      <w:r w:rsidRPr="00DF29DA">
        <w:rPr>
          <w:rFonts w:ascii="Palatino Linotype" w:eastAsia="Palatino Linotype" w:hAnsi="Palatino Linotype" w:cs="Palatino Linotype"/>
          <w:color w:val="000000"/>
        </w:rPr>
        <w:t xml:space="preserve"> y, ordenó la resolución que conforme a Derecho proceda.-------------------------------------------------------------------------------------------------</w:t>
      </w:r>
    </w:p>
    <w:p w:rsidR="0072148B" w:rsidRPr="00DF29DA" w:rsidRDefault="0072148B">
      <w:pPr>
        <w:pBdr>
          <w:top w:val="nil"/>
          <w:left w:val="nil"/>
          <w:bottom w:val="nil"/>
          <w:right w:val="nil"/>
          <w:between w:val="nil"/>
        </w:pBdr>
        <w:ind w:left="720" w:right="-787"/>
        <w:rPr>
          <w:rFonts w:ascii="Palatino Linotype" w:eastAsia="Palatino Linotype" w:hAnsi="Palatino Linotype" w:cs="Palatino Linotype"/>
          <w:b/>
          <w:color w:val="000000"/>
        </w:rPr>
      </w:pPr>
    </w:p>
    <w:p w:rsidR="0072148B" w:rsidRPr="00DF29DA" w:rsidRDefault="00A077F4">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C O N S I D E R A C I O N E S</w:t>
      </w:r>
    </w:p>
    <w:p w:rsidR="0072148B" w:rsidRPr="00DF29DA" w:rsidRDefault="0072148B">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p>
    <w:p w:rsidR="0072148B" w:rsidRPr="00DF29DA"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4" w:name="_heading=h.2et92p0" w:colFirst="0" w:colLast="0"/>
      <w:bookmarkEnd w:id="4"/>
      <w:r w:rsidRPr="00DF29DA">
        <w:rPr>
          <w:rFonts w:ascii="Palatino Linotype" w:eastAsia="Palatino Linotype" w:hAnsi="Palatino Linotype" w:cs="Palatino Linotype"/>
          <w:b/>
          <w:color w:val="000000"/>
          <w:sz w:val="24"/>
          <w:szCs w:val="24"/>
        </w:rPr>
        <w:t>PRIMERA. Competencia</w:t>
      </w:r>
    </w:p>
    <w:p w:rsidR="0072148B" w:rsidRPr="00DF29DA"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DF29DA">
        <w:rPr>
          <w:rFonts w:ascii="Palatino Linotype" w:eastAsia="Palatino Linotype" w:hAnsi="Palatino Linotype" w:cs="Palatino Linotype"/>
          <w:color w:val="000000"/>
          <w:lang w:val="es-MX"/>
        </w:rPr>
        <w:t xml:space="preserve">párrafos trigésimo séptimo, trigésimo octavo y trigésimo noveno fracciones IV y V </w:t>
      </w:r>
      <w:r w:rsidRPr="00DF29DA">
        <w:rPr>
          <w:rFonts w:ascii="Palatino Linotype" w:eastAsia="Palatino Linotype" w:hAnsi="Palatino Linotype" w:cs="Palatino Linotype"/>
          <w:color w:val="000000"/>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DF29DA" w:rsidRDefault="0072148B">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72148B" w:rsidRPr="00DF29DA"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5" w:name="_heading=h.tyjcwt" w:colFirst="0" w:colLast="0"/>
      <w:bookmarkEnd w:id="5"/>
      <w:r w:rsidRPr="00DF29DA">
        <w:rPr>
          <w:rFonts w:ascii="Palatino Linotype" w:eastAsia="Palatino Linotype" w:hAnsi="Palatino Linotype" w:cs="Palatino Linotype"/>
          <w:b/>
          <w:color w:val="000000"/>
          <w:sz w:val="24"/>
          <w:szCs w:val="24"/>
        </w:rPr>
        <w:lastRenderedPageBreak/>
        <w:t>SEGUNDA. Procedencia.</w:t>
      </w: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Este Órgano Garante considera que el medio de impugnación reúne los requisitos de procedencia </w:t>
      </w:r>
      <w:r w:rsidRPr="00DF29DA">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DF29DA" w:rsidRDefault="0072148B">
      <w:pPr>
        <w:spacing w:line="360" w:lineRule="auto"/>
        <w:ind w:right="-787"/>
        <w:jc w:val="both"/>
        <w:rPr>
          <w:rFonts w:ascii="Palatino Linotype" w:eastAsia="Palatino Linotype" w:hAnsi="Palatino Linotype" w:cs="Palatino Linotype"/>
        </w:rPr>
      </w:pP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5612FD" w:rsidRPr="00DF29DA" w:rsidRDefault="005612FD" w:rsidP="005612FD">
      <w:pPr>
        <w:spacing w:line="360" w:lineRule="auto"/>
        <w:ind w:right="-787"/>
        <w:jc w:val="both"/>
        <w:rPr>
          <w:rFonts w:ascii="Palatino Linotype" w:eastAsia="Palatino Linotype" w:hAnsi="Palatino Linotype" w:cs="Palatino Linotype"/>
        </w:rPr>
      </w:pPr>
    </w:p>
    <w:p w:rsidR="005612FD" w:rsidRPr="00DF29DA" w:rsidRDefault="005612FD" w:rsidP="005612FD">
      <w:pP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De la prorroga indebida</w:t>
      </w:r>
    </w:p>
    <w:p w:rsidR="005612FD" w:rsidRPr="00DF29DA" w:rsidRDefault="005612FD" w:rsidP="005612FD">
      <w:pPr>
        <w:numPr>
          <w:ilvl w:val="0"/>
          <w:numId w:val="6"/>
        </w:numPr>
        <w:spacing w:line="360" w:lineRule="auto"/>
        <w:ind w:left="0" w:right="-787" w:firstLine="0"/>
        <w:jc w:val="both"/>
        <w:rPr>
          <w:rFonts w:ascii="Palatino Linotype" w:eastAsia="Palatino Linotype" w:hAnsi="Palatino Linotype" w:cs="Palatino Linotype"/>
          <w:color w:val="222222"/>
        </w:rPr>
      </w:pPr>
      <w:r w:rsidRPr="00DF29DA">
        <w:rPr>
          <w:rFonts w:ascii="Palatino Linotype" w:eastAsia="Palatino Linotype" w:hAnsi="Palatino Linotype" w:cs="Palatino Linotype"/>
          <w:color w:val="000000"/>
        </w:rPr>
        <w:t>Por otro lado</w:t>
      </w:r>
      <w:r w:rsidRPr="00DF29DA">
        <w:rPr>
          <w:rFonts w:ascii="Palatino Linotype" w:eastAsia="Palatino Linotype" w:hAnsi="Palatino Linotype" w:cs="Palatino Linotype"/>
        </w:rPr>
        <w:t>, es menester señalar en un primer momento</w:t>
      </w:r>
      <w:r w:rsidRPr="00DF29DA">
        <w:rPr>
          <w:rFonts w:ascii="Palatino Linotype" w:eastAsia="Palatino Linotype" w:hAnsi="Palatino Linotype" w:cs="Palatino Linotype"/>
          <w:color w:val="222222"/>
        </w:rPr>
        <w:t xml:space="preserve"> el </w:t>
      </w:r>
      <w:r w:rsidRPr="00DF29DA">
        <w:rPr>
          <w:rFonts w:ascii="Palatino Linotype" w:eastAsia="Palatino Linotype" w:hAnsi="Palatino Linotype" w:cs="Palatino Linotype"/>
          <w:b/>
          <w:color w:val="222222"/>
        </w:rPr>
        <w:t>SUJETO OBLIGADO</w:t>
      </w:r>
      <w:r w:rsidRPr="00DF29DA">
        <w:rPr>
          <w:rFonts w:ascii="Palatino Linotype" w:eastAsia="Palatino Linotype" w:hAnsi="Palatino Linotype" w:cs="Palatino Linotype"/>
          <w:color w:val="222222"/>
        </w:rPr>
        <w:t> </w:t>
      </w:r>
      <w:r w:rsidRPr="00DF29DA">
        <w:rPr>
          <w:rFonts w:ascii="Palatino Linotype" w:eastAsia="Palatino Linotype" w:hAnsi="Palatino Linotype" w:cs="Palatino Linotype"/>
        </w:rPr>
        <w:t>solicitó</w:t>
      </w:r>
      <w:r w:rsidRPr="00DF29DA">
        <w:rPr>
          <w:rFonts w:ascii="Palatino Linotype" w:eastAsia="Palatino Linotype" w:hAnsi="Palatino Linotype" w:cs="Palatino Linotype"/>
          <w:color w:val="222222"/>
        </w:rPr>
        <w:t xml:space="preserve"> una prórroga que resulta</w:t>
      </w:r>
      <w:r w:rsidRPr="00DF29DA">
        <w:rPr>
          <w:rFonts w:ascii="Palatino Linotype" w:eastAsia="Palatino Linotype" w:hAnsi="Palatino Linotype" w:cs="Palatino Linotype"/>
          <w:b/>
          <w:i/>
          <w:color w:val="222222"/>
        </w:rPr>
        <w:t xml:space="preserve"> </w:t>
      </w:r>
      <w:r w:rsidRPr="00DF29DA">
        <w:rPr>
          <w:rFonts w:ascii="Palatino Linotype" w:eastAsia="Palatino Linotype" w:hAnsi="Palatino Linotype" w:cs="Palatino Linotype"/>
          <w:color w:val="000000"/>
        </w:rPr>
        <w:t xml:space="preserve">indebida, infundada </w:t>
      </w:r>
      <w:r w:rsidRPr="00DF29DA">
        <w:rPr>
          <w:rFonts w:ascii="Palatino Linotype" w:eastAsia="Palatino Linotype" w:hAnsi="Palatino Linotype" w:cs="Palatino Linotype"/>
          <w:color w:val="222222"/>
        </w:rPr>
        <w:t>y con falta de motivación, que si bien, fue otorgada, carece de toda validez; toda vez que el artículo 163 de la ley de la materia señala lo siguiente:</w:t>
      </w:r>
    </w:p>
    <w:p w:rsidR="005612FD" w:rsidRPr="00DF29DA" w:rsidRDefault="005612FD" w:rsidP="005612FD">
      <w:pPr>
        <w:spacing w:line="360" w:lineRule="auto"/>
        <w:jc w:val="both"/>
        <w:rPr>
          <w:rFonts w:ascii="Palatino Linotype" w:eastAsia="Palatino Linotype" w:hAnsi="Palatino Linotype" w:cs="Palatino Linotype"/>
          <w:color w:val="222222"/>
        </w:rPr>
      </w:pPr>
    </w:p>
    <w:p w:rsidR="005612FD" w:rsidRPr="00DF29DA" w:rsidRDefault="005612FD" w:rsidP="005612FD">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DF29DA">
        <w:rPr>
          <w:rFonts w:ascii="Palatino Linotype" w:eastAsia="Palatino Linotype" w:hAnsi="Palatino Linotype" w:cs="Palatino Linotype"/>
          <w:b/>
          <w:i/>
          <w:color w:val="222222"/>
        </w:rPr>
        <w:t>Artículo 163. </w:t>
      </w:r>
      <w:r w:rsidRPr="00DF29DA">
        <w:rPr>
          <w:rFonts w:ascii="Palatino Linotype" w:eastAsia="Palatino Linotype" w:hAnsi="Palatino Linotype" w:cs="Palatino Linotype"/>
          <w:i/>
          <w:color w:val="222222"/>
        </w:rPr>
        <w:t>La Unidad de Transparencia deberá notificar la respuesta a la solicitud al interesado en el menor tiempo posible, que no podrá exceder de quince días hábiles, contados a partir del día siguiente a la presentación de aquélla.</w:t>
      </w:r>
    </w:p>
    <w:p w:rsidR="005612FD" w:rsidRPr="00DF29DA" w:rsidRDefault="005612FD" w:rsidP="005612FD">
      <w:pPr>
        <w:pBdr>
          <w:top w:val="nil"/>
          <w:left w:val="nil"/>
          <w:bottom w:val="nil"/>
          <w:right w:val="nil"/>
          <w:between w:val="nil"/>
        </w:pBdr>
        <w:ind w:left="709" w:right="900"/>
        <w:jc w:val="both"/>
        <w:rPr>
          <w:rFonts w:ascii="Palatino Linotype" w:eastAsia="Palatino Linotype" w:hAnsi="Palatino Linotype" w:cs="Palatino Linotype"/>
          <w:color w:val="222222"/>
        </w:rPr>
      </w:pPr>
    </w:p>
    <w:p w:rsidR="005612FD" w:rsidRPr="00DF29DA" w:rsidRDefault="005612FD" w:rsidP="005612FD">
      <w:pPr>
        <w:pBdr>
          <w:top w:val="nil"/>
          <w:left w:val="nil"/>
          <w:bottom w:val="nil"/>
          <w:right w:val="nil"/>
          <w:between w:val="nil"/>
        </w:pBdr>
        <w:ind w:left="709" w:right="900"/>
        <w:jc w:val="both"/>
        <w:rPr>
          <w:rFonts w:ascii="Palatino Linotype" w:eastAsia="Palatino Linotype" w:hAnsi="Palatino Linotype" w:cs="Palatino Linotype"/>
          <w:i/>
          <w:color w:val="222222"/>
        </w:rPr>
      </w:pPr>
      <w:r w:rsidRPr="00DF29DA">
        <w:rPr>
          <w:rFonts w:ascii="Palatino Linotype" w:eastAsia="Palatino Linotype" w:hAnsi="Palatino Linotype" w:cs="Palatino Linotype"/>
          <w:i/>
          <w:color w:val="2222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DF29DA">
        <w:rPr>
          <w:rFonts w:ascii="Palatino Linotype" w:eastAsia="Palatino Linotype" w:hAnsi="Palatino Linotype" w:cs="Palatino Linotype"/>
          <w:i/>
          <w:color w:val="222222"/>
        </w:rPr>
        <w:lastRenderedPageBreak/>
        <w:t>invocarse como causales de ampliación del plazo motivos que supongan negligencia o descuido del sujeto obligado en el desahogo de la solicitud.”</w:t>
      </w:r>
    </w:p>
    <w:p w:rsidR="005612FD" w:rsidRPr="00DF29DA" w:rsidRDefault="005612FD" w:rsidP="005612FD">
      <w:pPr>
        <w:pBdr>
          <w:top w:val="nil"/>
          <w:left w:val="nil"/>
          <w:bottom w:val="nil"/>
          <w:right w:val="nil"/>
          <w:between w:val="nil"/>
        </w:pBdr>
        <w:ind w:left="709" w:right="900"/>
        <w:jc w:val="both"/>
        <w:rPr>
          <w:rFonts w:ascii="Palatino Linotype" w:eastAsia="Palatino Linotype" w:hAnsi="Palatino Linotype" w:cs="Palatino Linotype"/>
          <w:i/>
          <w:color w:val="222222"/>
        </w:rPr>
      </w:pPr>
    </w:p>
    <w:p w:rsidR="005612FD" w:rsidRPr="00DF29DA" w:rsidRDefault="005612FD" w:rsidP="005612FD">
      <w:pPr>
        <w:numPr>
          <w:ilvl w:val="0"/>
          <w:numId w:val="6"/>
        </w:numPr>
        <w:spacing w:line="360" w:lineRule="auto"/>
        <w:ind w:left="0" w:right="-787" w:firstLine="0"/>
        <w:jc w:val="both"/>
        <w:rPr>
          <w:rFonts w:ascii="Palatino Linotype" w:eastAsia="Palatino Linotype" w:hAnsi="Palatino Linotype" w:cs="Palatino Linotype"/>
          <w:b/>
          <w:color w:val="222222"/>
        </w:rPr>
      </w:pPr>
      <w:r w:rsidRPr="00DF29DA">
        <w:rPr>
          <w:rFonts w:ascii="Palatino Linotype" w:eastAsia="Palatino Linotype" w:hAnsi="Palatino Linotype" w:cs="Palatino Linotype"/>
          <w:color w:val="222222"/>
        </w:rPr>
        <w:t xml:space="preserve">Solo en aquellos </w:t>
      </w:r>
      <w:r w:rsidRPr="00DF29DA">
        <w:rPr>
          <w:rFonts w:ascii="Palatino Linotype" w:eastAsia="Palatino Linotype" w:hAnsi="Palatino Linotype" w:cs="Palatino Linotype"/>
          <w:b/>
          <w:color w:val="222222"/>
        </w:rPr>
        <w:t>casos excepcionales</w:t>
      </w:r>
      <w:r w:rsidRPr="00DF29DA">
        <w:rPr>
          <w:rFonts w:ascii="Palatino Linotype" w:eastAsia="Palatino Linotype" w:hAnsi="Palatino Linotype" w:cs="Palatino Linotype"/>
          <w:color w:val="222222"/>
        </w:rPr>
        <w:t xml:space="preserve"> el </w:t>
      </w:r>
      <w:r w:rsidRPr="00DF29DA">
        <w:rPr>
          <w:rFonts w:ascii="Palatino Linotype" w:eastAsia="Palatino Linotype" w:hAnsi="Palatino Linotype" w:cs="Palatino Linotype"/>
          <w:b/>
          <w:color w:val="222222"/>
        </w:rPr>
        <w:t xml:space="preserve">SUJETO OBLIGADO </w:t>
      </w:r>
      <w:r w:rsidRPr="00DF29DA">
        <w:rPr>
          <w:rFonts w:ascii="Palatino Linotype" w:eastAsia="Palatino Linotype" w:hAnsi="Palatino Linotype" w:cs="Palatino Linotype"/>
          <w:color w:val="222222"/>
        </w:rPr>
        <w:t xml:space="preserve">podrá solicitar se amplíe el </w:t>
      </w:r>
      <w:r w:rsidRPr="00DF29DA">
        <w:rPr>
          <w:rFonts w:ascii="Palatino Linotype" w:eastAsia="Palatino Linotype" w:hAnsi="Palatino Linotype" w:cs="Palatino Linotype"/>
          <w:b/>
          <w:color w:val="222222"/>
        </w:rPr>
        <w:t>termino</w:t>
      </w:r>
      <w:r w:rsidRPr="00DF29DA">
        <w:rPr>
          <w:rFonts w:ascii="Palatino Linotype" w:eastAsia="Palatino Linotype" w:hAnsi="Palatino Linotype" w:cs="Palatino Linotype"/>
          <w:color w:val="222222"/>
        </w:rPr>
        <w:t xml:space="preserve"> de quince días para proporcionar respuesta a cualquier solicitud de </w:t>
      </w:r>
      <w:r w:rsidRPr="00DF29DA">
        <w:rPr>
          <w:rFonts w:ascii="Palatino Linotype" w:eastAsia="Palatino Linotype" w:hAnsi="Palatino Linotype" w:cs="Palatino Linotype"/>
          <w:color w:val="000000"/>
        </w:rPr>
        <w:t>información</w:t>
      </w:r>
      <w:r w:rsidRPr="00DF29DA">
        <w:rPr>
          <w:rFonts w:ascii="Palatino Linotype" w:eastAsia="Palatino Linotype" w:hAnsi="Palatino Linotype" w:cs="Palatino Linotype"/>
          <w:color w:val="222222"/>
        </w:rPr>
        <w:t xml:space="preserve">, plazo que podrá ser prorrogado por otros siete días más, siempre y cuando medien razones que justifiquen la ampliación, las cuales deberán estar </w:t>
      </w:r>
      <w:r w:rsidRPr="00DF29DA">
        <w:rPr>
          <w:rFonts w:ascii="Palatino Linotype" w:eastAsia="Palatino Linotype" w:hAnsi="Palatino Linotype" w:cs="Palatino Linotype"/>
          <w:b/>
          <w:color w:val="222222"/>
          <w:u w:val="single"/>
        </w:rPr>
        <w:t>fundadas y motivadas</w:t>
      </w:r>
      <w:r w:rsidRPr="00DF29DA">
        <w:rPr>
          <w:rFonts w:ascii="Palatino Linotype" w:eastAsia="Palatino Linotype" w:hAnsi="Palatino Linotype" w:cs="Palatino Linotype"/>
          <w:color w:val="222222"/>
        </w:rPr>
        <w:t xml:space="preserve">,  mismas que </w:t>
      </w:r>
      <w:r w:rsidRPr="00DF29DA">
        <w:rPr>
          <w:rFonts w:ascii="Palatino Linotype" w:eastAsia="Palatino Linotype" w:hAnsi="Palatino Linotype" w:cs="Palatino Linotype"/>
          <w:b/>
          <w:color w:val="222222"/>
        </w:rPr>
        <w:t xml:space="preserve">deberán ser aprobadas por los integrantes de su Comité de Transparencia mediante la emisión de una resolución </w:t>
      </w:r>
      <w:r w:rsidRPr="00DF29DA">
        <w:rPr>
          <w:rFonts w:ascii="Palatino Linotype" w:eastAsia="Palatino Linotype" w:hAnsi="Palatino Linotype" w:cs="Palatino Linotype"/>
          <w:color w:val="222222"/>
        </w:rPr>
        <w:t xml:space="preserve">que deberá notificarse al solicitante. Situación que, en el caso concreto, evidentemente no ocurrió. </w:t>
      </w:r>
    </w:p>
    <w:p w:rsidR="005612FD" w:rsidRPr="00DF29DA" w:rsidRDefault="005612FD" w:rsidP="005612FD">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rsidR="005612FD" w:rsidRPr="00DF29DA" w:rsidRDefault="005612FD" w:rsidP="005612FD">
      <w:pPr>
        <w:numPr>
          <w:ilvl w:val="0"/>
          <w:numId w:val="6"/>
        </w:numPr>
        <w:spacing w:line="360" w:lineRule="auto"/>
        <w:ind w:left="0" w:right="-787" w:firstLine="0"/>
        <w:jc w:val="both"/>
        <w:rPr>
          <w:rFonts w:ascii="Palatino Linotype" w:eastAsia="Palatino Linotype" w:hAnsi="Palatino Linotype" w:cs="Palatino Linotype"/>
          <w:color w:val="222222"/>
        </w:rPr>
      </w:pPr>
      <w:r w:rsidRPr="00DF29DA">
        <w:rPr>
          <w:rFonts w:ascii="Palatino Linotype" w:eastAsia="Palatino Linotype" w:hAnsi="Palatino Linotype" w:cs="Palatino Linotype"/>
          <w:color w:val="222222"/>
        </w:rPr>
        <w:t xml:space="preserve">Lo anterior implica una alta responsabilidad, toda vez que dicha prórroga deberá recaer en un documento, debidamente </w:t>
      </w:r>
      <w:r w:rsidRPr="00DF29DA">
        <w:rPr>
          <w:rFonts w:ascii="Palatino Linotype" w:eastAsia="Palatino Linotype" w:hAnsi="Palatino Linotype" w:cs="Palatino Linotype"/>
          <w:b/>
          <w:color w:val="222222"/>
        </w:rPr>
        <w:t>validado y firmado</w:t>
      </w:r>
      <w:r w:rsidRPr="00DF29DA">
        <w:rPr>
          <w:rFonts w:ascii="Palatino Linotype" w:eastAsia="Palatino Linotype" w:hAnsi="Palatino Linotype" w:cs="Palatino Linotype"/>
          <w:color w:val="222222"/>
        </w:rPr>
        <w:t xml:space="preserve"> por los integrantes del Comité, lo cual obviamente no ocurrió en la prorroga emitida por la </w:t>
      </w:r>
      <w:r w:rsidRPr="00DF29DA">
        <w:rPr>
          <w:rFonts w:ascii="Palatino Linotype" w:eastAsia="Palatino Linotype" w:hAnsi="Palatino Linotype" w:cs="Palatino Linotype"/>
          <w:b/>
          <w:color w:val="222222"/>
        </w:rPr>
        <w:t>Universidad Autónoma del Estado de México</w:t>
      </w:r>
      <w:r w:rsidRPr="00DF29DA">
        <w:rPr>
          <w:rFonts w:ascii="Palatino Linotype" w:eastAsia="Palatino Linotype" w:hAnsi="Palatino Linotype" w:cs="Palatino Linotype"/>
          <w:color w:val="222222"/>
        </w:rPr>
        <w:t xml:space="preserve">, toda vez que en la prórroga requerida, no se señalan de por medio razones fundadas y motivadas, y si bien se señala existir </w:t>
      </w:r>
      <w:r w:rsidRPr="00DF29DA">
        <w:rPr>
          <w:rFonts w:ascii="Palatino Linotype" w:eastAsia="Palatino Linotype" w:hAnsi="Palatino Linotype" w:cs="Palatino Linotype"/>
          <w:i/>
          <w:color w:val="000000"/>
        </w:rPr>
        <w:t xml:space="preserve">el Acuerdo de Prorrogas UAEM/AP/052/2024 </w:t>
      </w:r>
      <w:r w:rsidRPr="00DF29DA">
        <w:rPr>
          <w:rFonts w:ascii="Palatino Linotype" w:eastAsia="Palatino Linotype" w:hAnsi="Palatino Linotype" w:cs="Palatino Linotype"/>
          <w:color w:val="222222"/>
        </w:rPr>
        <w:t>del Comité de Transparencia, no se notificó al solicitante, violentando lo dispuesto en el artículo 163 de la Ley de Transparencia y Acceso a la Información Pública del Estado de México y Municipios</w:t>
      </w:r>
      <w:r w:rsidRPr="00DF29DA">
        <w:rPr>
          <w:rFonts w:ascii="Palatino Linotype" w:eastAsia="Palatino Linotype" w:hAnsi="Palatino Linotype" w:cs="Palatino Linotype"/>
          <w:i/>
          <w:color w:val="222222"/>
        </w:rPr>
        <w:t>.</w:t>
      </w:r>
    </w:p>
    <w:p w:rsidR="0072148B" w:rsidRPr="00DF29DA" w:rsidRDefault="0072148B">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72148B" w:rsidRPr="00DF29DA" w:rsidRDefault="00A077F4">
      <w:pPr>
        <w:pStyle w:val="Ttulo1"/>
        <w:spacing w:before="0" w:line="360" w:lineRule="auto"/>
        <w:ind w:right="-787"/>
        <w:rPr>
          <w:rFonts w:ascii="Palatino Linotype" w:eastAsia="Palatino Linotype" w:hAnsi="Palatino Linotype" w:cs="Palatino Linotype"/>
          <w:b/>
          <w:color w:val="000000"/>
          <w:sz w:val="24"/>
          <w:szCs w:val="24"/>
        </w:rPr>
      </w:pPr>
      <w:bookmarkStart w:id="6" w:name="_heading=h.3dy6vkm" w:colFirst="0" w:colLast="0"/>
      <w:bookmarkEnd w:id="6"/>
      <w:r w:rsidRPr="00DF29DA">
        <w:rPr>
          <w:rFonts w:ascii="Palatino Linotype" w:eastAsia="Palatino Linotype" w:hAnsi="Palatino Linotype" w:cs="Palatino Linotype"/>
          <w:b/>
          <w:color w:val="000000"/>
          <w:sz w:val="24"/>
          <w:szCs w:val="24"/>
        </w:rPr>
        <w:t>TERCERA. Descripción de hechos y planteamiento de la controversia.</w:t>
      </w:r>
    </w:p>
    <w:p w:rsidR="0072148B" w:rsidRPr="00DF29DA" w:rsidRDefault="00A077F4">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Se solicitó tener acceso, a la información que a continuación se simplifica:</w:t>
      </w:r>
    </w:p>
    <w:p w:rsidR="00F84855" w:rsidRPr="00DF29DA" w:rsidRDefault="00F84855" w:rsidP="00F84855">
      <w:pPr>
        <w:pStyle w:val="Prrafodelista"/>
        <w:numPr>
          <w:ilvl w:val="1"/>
          <w:numId w:val="17"/>
        </w:numPr>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Acta de instalación del Comité de Transparencia vigente </w:t>
      </w:r>
    </w:p>
    <w:p w:rsidR="00F84855" w:rsidRPr="00DF29DA" w:rsidRDefault="00F84855" w:rsidP="00F84855">
      <w:pPr>
        <w:pStyle w:val="Prrafodelista"/>
        <w:numPr>
          <w:ilvl w:val="1"/>
          <w:numId w:val="17"/>
        </w:numPr>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Acuse de recibido de las invitaciones a los integrantes del Comité para acudir a la sesión de instalación. </w:t>
      </w:r>
    </w:p>
    <w:p w:rsidR="00F84855" w:rsidRPr="00DF29DA" w:rsidRDefault="00F84855" w:rsidP="00F84855">
      <w:pPr>
        <w:ind w:left="567"/>
        <w:rPr>
          <w:rFonts w:ascii="Palatino Linotype" w:eastAsia="Palatino Linotype" w:hAnsi="Palatino Linotype" w:cs="Palatino Linotype"/>
          <w:i/>
          <w:color w:val="000000"/>
        </w:rPr>
      </w:pPr>
    </w:p>
    <w:p w:rsidR="00F84855" w:rsidRPr="00DF29DA" w:rsidRDefault="00F84855" w:rsidP="00F84855">
      <w:pPr>
        <w:ind w:left="567"/>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lastRenderedPageBreak/>
        <w:t>De la sesión ordinaria del Comité de Transparencia, de fecha 14 de noviembre de 2024:</w:t>
      </w:r>
    </w:p>
    <w:p w:rsidR="00F84855" w:rsidRPr="00DF29DA" w:rsidRDefault="00F84855" w:rsidP="00F84855">
      <w:pPr>
        <w:ind w:left="567"/>
        <w:rPr>
          <w:rFonts w:ascii="Palatino Linotype" w:eastAsia="Palatino Linotype" w:hAnsi="Palatino Linotype" w:cs="Palatino Linotype"/>
          <w:i/>
          <w:color w:val="000000"/>
        </w:rPr>
      </w:pPr>
    </w:p>
    <w:p w:rsidR="00F84855" w:rsidRPr="00DF29DA" w:rsidRDefault="00F84855" w:rsidP="00F84855">
      <w:pPr>
        <w:pStyle w:val="Prrafodelista"/>
        <w:numPr>
          <w:ilvl w:val="1"/>
          <w:numId w:val="17"/>
        </w:numPr>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Acuse de recibido de las invitaciones a los integrantes del Comité de Transparencia para acudir a la sesión,</w:t>
      </w:r>
    </w:p>
    <w:p w:rsidR="00F84855" w:rsidRPr="00DF29DA" w:rsidRDefault="00F84855" w:rsidP="00F84855">
      <w:pPr>
        <w:pStyle w:val="Prrafodelista"/>
        <w:numPr>
          <w:ilvl w:val="1"/>
          <w:numId w:val="17"/>
        </w:numPr>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Orden del día, </w:t>
      </w:r>
    </w:p>
    <w:p w:rsidR="00F84855" w:rsidRPr="00DF29DA" w:rsidRDefault="00F84855" w:rsidP="00F84855">
      <w:pPr>
        <w:pStyle w:val="Prrafodelista"/>
        <w:numPr>
          <w:ilvl w:val="1"/>
          <w:numId w:val="17"/>
        </w:numPr>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Documentación soporte generada para la reunión,</w:t>
      </w:r>
    </w:p>
    <w:p w:rsidR="00F84855" w:rsidRPr="00DF29DA" w:rsidRDefault="00F84855" w:rsidP="00F84855">
      <w:pPr>
        <w:pStyle w:val="Prrafodelista"/>
        <w:numPr>
          <w:ilvl w:val="1"/>
          <w:numId w:val="17"/>
        </w:numPr>
        <w:rPr>
          <w:rFonts w:ascii="Palatino Linotype" w:hAnsi="Palatino Linotype"/>
        </w:rPr>
      </w:pPr>
      <w:r w:rsidRPr="00DF29DA">
        <w:rPr>
          <w:rFonts w:ascii="Palatino Linotype" w:eastAsia="Palatino Linotype" w:hAnsi="Palatino Linotype" w:cs="Palatino Linotype"/>
          <w:i/>
          <w:color w:val="000000"/>
        </w:rPr>
        <w:t>Acta de la Sesión.</w:t>
      </w:r>
    </w:p>
    <w:p w:rsidR="00764880" w:rsidRPr="00DF29DA" w:rsidRDefault="00764880">
      <w:pPr>
        <w:spacing w:line="360" w:lineRule="auto"/>
        <w:ind w:right="-787"/>
        <w:jc w:val="both"/>
        <w:rPr>
          <w:rFonts w:ascii="Palatino Linotype" w:eastAsia="Palatino Linotype" w:hAnsi="Palatino Linotype" w:cs="Palatino Linotype"/>
          <w:b/>
        </w:rPr>
      </w:pP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rPr>
        <w:t>En respuesta, el Sujeto Obligado</w:t>
      </w:r>
      <w:r w:rsidRPr="00DF29DA">
        <w:rPr>
          <w:rFonts w:ascii="Palatino Linotype" w:eastAsia="Palatino Linotype" w:hAnsi="Palatino Linotype" w:cs="Palatino Linotype"/>
          <w:b/>
        </w:rPr>
        <w:t xml:space="preserve"> </w:t>
      </w:r>
      <w:r w:rsidRPr="00DF29DA">
        <w:rPr>
          <w:rFonts w:ascii="Palatino Linotype" w:eastAsia="Palatino Linotype" w:hAnsi="Palatino Linotype" w:cs="Palatino Linotype"/>
        </w:rPr>
        <w:t xml:space="preserve">remitió </w:t>
      </w:r>
      <w:r w:rsidR="00764880" w:rsidRPr="00DF29DA">
        <w:rPr>
          <w:rFonts w:ascii="Palatino Linotype" w:eastAsia="Palatino Linotype" w:hAnsi="Palatino Linotype" w:cs="Palatino Linotype"/>
        </w:rPr>
        <w:t>el</w:t>
      </w:r>
      <w:r w:rsidR="00DC117F" w:rsidRPr="00DF29DA">
        <w:rPr>
          <w:rFonts w:ascii="Palatino Linotype" w:eastAsia="Palatino Linotype" w:hAnsi="Palatino Linotype" w:cs="Palatino Linotype"/>
        </w:rPr>
        <w:t xml:space="preserve"> archivo ya descrito</w:t>
      </w:r>
      <w:r w:rsidRPr="00DF29DA">
        <w:rPr>
          <w:rFonts w:ascii="Palatino Linotype" w:eastAsia="Palatino Linotype" w:hAnsi="Palatino Linotype" w:cs="Palatino Linotype"/>
        </w:rPr>
        <w:t xml:space="preserve"> en el anteri</w:t>
      </w:r>
      <w:r w:rsidR="00DC117F" w:rsidRPr="00DF29DA">
        <w:rPr>
          <w:rFonts w:ascii="Palatino Linotype" w:eastAsia="Palatino Linotype" w:hAnsi="Palatino Linotype" w:cs="Palatino Linotype"/>
        </w:rPr>
        <w:t>or Párrafo 2, inconforme con la respuesta</w:t>
      </w:r>
      <w:r w:rsidRPr="00DF29DA">
        <w:rPr>
          <w:rFonts w:ascii="Palatino Linotype" w:eastAsia="Palatino Linotype" w:hAnsi="Palatino Linotype" w:cs="Palatino Linotype"/>
        </w:rPr>
        <w:t xml:space="preserve">, se interpuso recurso de revisión argumentando sustancialmente </w:t>
      </w:r>
      <w:r w:rsidRPr="00DF29DA">
        <w:rPr>
          <w:rFonts w:ascii="Palatino Linotype" w:eastAsia="Palatino Linotype" w:hAnsi="Palatino Linotype" w:cs="Palatino Linotype"/>
          <w:b/>
        </w:rPr>
        <w:t xml:space="preserve">la </w:t>
      </w:r>
      <w:r w:rsidR="004E7B4F" w:rsidRPr="00DF29DA">
        <w:rPr>
          <w:rFonts w:ascii="Palatino Linotype" w:eastAsia="Palatino Linotype" w:hAnsi="Palatino Linotype" w:cs="Palatino Linotype"/>
          <w:b/>
        </w:rPr>
        <w:t>negativa a entregar la información solicitada</w:t>
      </w:r>
      <w:r w:rsidRPr="00DF29DA">
        <w:rPr>
          <w:rFonts w:ascii="Palatino Linotype" w:eastAsia="Palatino Linotype" w:hAnsi="Palatino Linotype" w:cs="Palatino Linotype"/>
          <w:b/>
        </w:rPr>
        <w:t>.</w:t>
      </w:r>
    </w:p>
    <w:p w:rsidR="0072148B" w:rsidRPr="00DF29DA" w:rsidRDefault="0072148B">
      <w:pPr>
        <w:spacing w:line="360" w:lineRule="auto"/>
        <w:ind w:right="-787"/>
        <w:jc w:val="both"/>
        <w:rPr>
          <w:rFonts w:ascii="Palatino Linotype" w:eastAsia="Palatino Linotype" w:hAnsi="Palatino Linotype" w:cs="Palatino Linotype"/>
          <w:i/>
          <w:color w:val="000000"/>
        </w:rPr>
      </w:pP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179, fracción </w:t>
      </w:r>
      <w:r w:rsidR="004E7B4F" w:rsidRPr="00DF29DA">
        <w:rPr>
          <w:rFonts w:ascii="Palatino Linotype" w:eastAsia="Palatino Linotype" w:hAnsi="Palatino Linotype" w:cs="Palatino Linotype"/>
        </w:rPr>
        <w:t>I</w:t>
      </w:r>
      <w:r w:rsidRPr="00DF29DA">
        <w:rPr>
          <w:rFonts w:ascii="Palatino Linotype" w:eastAsia="Palatino Linotype" w:hAnsi="Palatino Linotype" w:cs="Palatino Linotype"/>
        </w:rPr>
        <w:t>,</w:t>
      </w:r>
      <w:r w:rsidRPr="00DF29DA">
        <w:rPr>
          <w:rFonts w:ascii="Palatino Linotype" w:eastAsia="Palatino Linotype" w:hAnsi="Palatino Linotype" w:cs="Palatino Linotype"/>
          <w:b/>
        </w:rPr>
        <w:t xml:space="preserve"> </w:t>
      </w:r>
      <w:r w:rsidRPr="00DF29DA">
        <w:rPr>
          <w:rFonts w:ascii="Palatino Linotype" w:eastAsia="Palatino Linotype" w:hAnsi="Palatino Linotype" w:cs="Palatino Linotype"/>
        </w:rPr>
        <w:t>de la Ley de Transparencia y Acceso a la Información Pública del Estado de</w:t>
      </w:r>
      <w:r w:rsidRPr="00DF29DA">
        <w:rPr>
          <w:rFonts w:ascii="Palatino Linotype" w:eastAsia="Palatino Linotype" w:hAnsi="Palatino Linotype" w:cs="Palatino Linotype"/>
          <w:b/>
        </w:rPr>
        <w:t xml:space="preserve"> </w:t>
      </w:r>
      <w:r w:rsidRPr="00DF29DA">
        <w:rPr>
          <w:rFonts w:ascii="Palatino Linotype" w:eastAsia="Palatino Linotype" w:hAnsi="Palatino Linotype" w:cs="Palatino Linotype"/>
        </w:rPr>
        <w:t>México</w:t>
      </w:r>
      <w:r w:rsidRPr="00DF29DA">
        <w:rPr>
          <w:rFonts w:ascii="Palatino Linotype" w:eastAsia="Palatino Linotype" w:hAnsi="Palatino Linotype" w:cs="Palatino Linotype"/>
          <w:b/>
        </w:rPr>
        <w:t xml:space="preserve"> </w:t>
      </w:r>
      <w:r w:rsidRPr="00DF29DA">
        <w:rPr>
          <w:rFonts w:ascii="Palatino Linotype" w:eastAsia="Palatino Linotype" w:hAnsi="Palatino Linotype" w:cs="Palatino Linotype"/>
        </w:rPr>
        <w:t>y</w:t>
      </w:r>
      <w:r w:rsidRPr="00DF29DA">
        <w:rPr>
          <w:rFonts w:ascii="Palatino Linotype" w:eastAsia="Palatino Linotype" w:hAnsi="Palatino Linotype" w:cs="Palatino Linotype"/>
          <w:b/>
        </w:rPr>
        <w:t xml:space="preserve"> </w:t>
      </w:r>
      <w:r w:rsidRPr="00DF29DA">
        <w:rPr>
          <w:rFonts w:ascii="Palatino Linotype" w:eastAsia="Palatino Linotype" w:hAnsi="Palatino Linotype" w:cs="Palatino Linotype"/>
        </w:rPr>
        <w:t xml:space="preserve">Municipios; </w:t>
      </w:r>
      <w:r w:rsidRPr="00DF29DA">
        <w:rPr>
          <w:rFonts w:ascii="Palatino Linotype" w:eastAsia="Palatino Linotype" w:hAnsi="Palatino Linotype" w:cs="Palatino Linotype"/>
          <w:color w:val="000000"/>
        </w:rPr>
        <w:t xml:space="preserve">fracción que determina la hipótesis relativa a </w:t>
      </w:r>
      <w:r w:rsidR="009F34AC" w:rsidRPr="00DF29DA">
        <w:rPr>
          <w:rFonts w:ascii="Palatino Linotype" w:eastAsia="Palatino Linotype" w:hAnsi="Palatino Linotype" w:cs="Palatino Linotype"/>
          <w:color w:val="000000"/>
        </w:rPr>
        <w:t>la negativa a la información solicitada</w:t>
      </w:r>
      <w:r w:rsidRPr="00DF29DA">
        <w:rPr>
          <w:rFonts w:ascii="Palatino Linotype" w:eastAsia="Palatino Linotype" w:hAnsi="Palatino Linotype" w:cs="Palatino Linotype"/>
          <w:color w:val="000000"/>
        </w:rPr>
        <w:t xml:space="preserve">; </w:t>
      </w:r>
      <w:r w:rsidRPr="00DF29DA">
        <w:rPr>
          <w:rFonts w:ascii="Palatino Linotype" w:eastAsia="Palatino Linotype" w:hAnsi="Palatino Linotype" w:cs="Palatino Linotype"/>
        </w:rPr>
        <w:t>contexto del cual se dolió el Recurrente al momento de interponer su inconformidad.</w:t>
      </w:r>
      <w:r w:rsidRPr="00DF29DA">
        <w:rPr>
          <w:rFonts w:ascii="Palatino Linotype" w:eastAsia="Palatino Linotype" w:hAnsi="Palatino Linotype" w:cs="Palatino Linotype"/>
          <w:color w:val="000000"/>
        </w:rPr>
        <w:t xml:space="preserve"> De modo tal que el presente recurso de revisión se </w:t>
      </w:r>
      <w:r w:rsidRPr="00DF29DA">
        <w:rPr>
          <w:rFonts w:ascii="Palatino Linotype" w:eastAsia="Palatino Linotype" w:hAnsi="Palatino Linotype" w:cs="Palatino Linotype"/>
        </w:rPr>
        <w:t>abocará</w:t>
      </w:r>
      <w:r w:rsidRPr="00DF29DA">
        <w:rPr>
          <w:rFonts w:ascii="Palatino Linotype" w:eastAsia="Palatino Linotype" w:hAnsi="Palatino Linotype" w:cs="Palatino Linotype"/>
          <w:color w:val="000000"/>
        </w:rPr>
        <w:t xml:space="preserve"> en determinar si el Sujeto Obligado con su respuesta ciertamente actualiza la causal de procedencia</w:t>
      </w:r>
      <w:r w:rsidRPr="00DF29DA">
        <w:rPr>
          <w:rFonts w:ascii="Palatino Linotype" w:eastAsia="Palatino Linotype" w:hAnsi="Palatino Linotype" w:cs="Palatino Linotype"/>
          <w:b/>
          <w:color w:val="000000"/>
        </w:rPr>
        <w:t xml:space="preserve"> </w:t>
      </w:r>
      <w:r w:rsidRPr="00DF29DA">
        <w:rPr>
          <w:rFonts w:ascii="Palatino Linotype" w:eastAsia="Palatino Linotype" w:hAnsi="Palatino Linotype" w:cs="Palatino Linotype"/>
          <w:color w:val="000000"/>
        </w:rPr>
        <w:t xml:space="preserve">señalada. </w:t>
      </w:r>
    </w:p>
    <w:p w:rsidR="0072148B" w:rsidRPr="00DF29DA" w:rsidRDefault="0072148B">
      <w:pPr>
        <w:spacing w:line="360" w:lineRule="auto"/>
        <w:ind w:right="-787"/>
        <w:rPr>
          <w:rFonts w:ascii="Palatino Linotype" w:eastAsia="Palatino Linotype" w:hAnsi="Palatino Linotype" w:cs="Palatino Linotype"/>
        </w:rPr>
      </w:pPr>
    </w:p>
    <w:p w:rsidR="0072148B" w:rsidRPr="00DF29DA" w:rsidRDefault="00A077F4">
      <w:pPr>
        <w:pStyle w:val="Ttulo2"/>
        <w:spacing w:before="0" w:line="360" w:lineRule="auto"/>
        <w:ind w:right="-787"/>
        <w:rPr>
          <w:rFonts w:ascii="Palatino Linotype" w:eastAsia="Palatino Linotype" w:hAnsi="Palatino Linotype" w:cs="Palatino Linotype"/>
          <w:b/>
          <w:color w:val="000000"/>
          <w:sz w:val="24"/>
          <w:szCs w:val="24"/>
        </w:rPr>
      </w:pPr>
      <w:bookmarkStart w:id="7" w:name="_heading=h.1t3h5sf" w:colFirst="0" w:colLast="0"/>
      <w:bookmarkEnd w:id="7"/>
      <w:r w:rsidRPr="00DF29DA">
        <w:rPr>
          <w:rFonts w:ascii="Palatino Linotype" w:eastAsia="Palatino Linotype" w:hAnsi="Palatino Linotype" w:cs="Palatino Linotype"/>
          <w:b/>
          <w:color w:val="000000"/>
          <w:sz w:val="24"/>
          <w:szCs w:val="24"/>
        </w:rPr>
        <w:t>CUARTA. Estudio de la controversia.</w:t>
      </w: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w:t>
      </w:r>
      <w:r w:rsidRPr="00DF29DA">
        <w:rPr>
          <w:rFonts w:ascii="Palatino Linotype" w:eastAsia="Palatino Linotype" w:hAnsi="Palatino Linotype" w:cs="Palatino Linotype"/>
        </w:rPr>
        <w:lastRenderedPageBreak/>
        <w:t>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DF29DA" w:rsidRDefault="0072148B">
      <w:pPr>
        <w:spacing w:line="360" w:lineRule="auto"/>
        <w:ind w:right="-787"/>
        <w:jc w:val="both"/>
        <w:rPr>
          <w:rFonts w:ascii="Palatino Linotype" w:eastAsia="Palatino Linotype" w:hAnsi="Palatino Linotype" w:cs="Palatino Linotype"/>
        </w:rPr>
      </w:pP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DF29DA" w:rsidRDefault="0072148B">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2148B" w:rsidRPr="00DF29DA" w:rsidRDefault="0072148B">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72148B" w:rsidRPr="00DF29DA" w:rsidRDefault="00A077F4">
      <w:pPr>
        <w:numPr>
          <w:ilvl w:val="0"/>
          <w:numId w:val="9"/>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lastRenderedPageBreak/>
        <w:t>Del Sujeto Obligado.</w:t>
      </w:r>
    </w:p>
    <w:p w:rsidR="0072148B" w:rsidRPr="00DF29DA" w:rsidRDefault="006D3B66">
      <w:pPr>
        <w:numPr>
          <w:ilvl w:val="0"/>
          <w:numId w:val="6"/>
        </w:numPr>
        <w:spacing w:line="360" w:lineRule="auto"/>
        <w:ind w:left="0" w:right="-787" w:firstLine="0"/>
        <w:jc w:val="both"/>
        <w:rPr>
          <w:rFonts w:ascii="Palatino Linotype" w:hAnsi="Palatino Linotype"/>
        </w:rPr>
      </w:pPr>
      <w:r w:rsidRPr="00DF29DA">
        <w:rPr>
          <w:rFonts w:ascii="Palatino Linotype" w:eastAsia="Palatino Linotype" w:hAnsi="Palatino Linotype" w:cs="Palatino Linotype"/>
        </w:rPr>
        <w:t xml:space="preserve">La estructura orgánico-funcional de la Oficina de Rectoría de la Universidad Autónoma del Estado de México, para el cumplimiento de su objetivo y funciones se integra por diversas dependencias </w:t>
      </w:r>
      <w:r w:rsidR="005B551C" w:rsidRPr="00DF29DA">
        <w:rPr>
          <w:rFonts w:ascii="Palatino Linotype" w:eastAsia="Palatino Linotype" w:hAnsi="Palatino Linotype" w:cs="Palatino Linotype"/>
        </w:rPr>
        <w:t>administrativas</w:t>
      </w:r>
      <w:r w:rsidRPr="00DF29DA">
        <w:rPr>
          <w:rFonts w:ascii="Palatino Linotype" w:eastAsia="Palatino Linotype" w:hAnsi="Palatino Linotype" w:cs="Palatino Linotype"/>
        </w:rPr>
        <w:t>, entre ellas la Unidad de Transparencia, de conformidad con lo establecido en el Manual de Organización de la Oficina de Rectoría, numeral V, de la Estructura Orgánica</w:t>
      </w:r>
      <w:r w:rsidR="00A077F4" w:rsidRPr="00DF29DA">
        <w:rPr>
          <w:rFonts w:ascii="Palatino Linotype" w:eastAsia="Palatino Linotype" w:hAnsi="Palatino Linotype" w:cs="Palatino Linotype"/>
        </w:rPr>
        <w:t>:</w:t>
      </w:r>
    </w:p>
    <w:p w:rsidR="0072148B" w:rsidRPr="00DF29DA" w:rsidRDefault="006D3B66" w:rsidP="006D3B66">
      <w:pPr>
        <w:ind w:left="567" w:right="-716"/>
        <w:jc w:val="center"/>
        <w:rPr>
          <w:rFonts w:ascii="Palatino Linotype" w:eastAsia="Palatino Linotype" w:hAnsi="Palatino Linotype" w:cs="Palatino Linotype"/>
          <w:b/>
          <w:i/>
        </w:rPr>
      </w:pPr>
      <w:r w:rsidRPr="00DF29DA">
        <w:rPr>
          <w:rFonts w:ascii="Palatino Linotype" w:eastAsia="Palatino Linotype" w:hAnsi="Palatino Linotype" w:cs="Palatino Linotype"/>
          <w:b/>
          <w:i/>
        </w:rPr>
        <w:t>Manual de Organización</w:t>
      </w:r>
    </w:p>
    <w:p w:rsidR="006D3B66" w:rsidRPr="00DF29DA" w:rsidRDefault="006D3B66" w:rsidP="006D3B66">
      <w:pPr>
        <w:ind w:left="567" w:right="-716"/>
        <w:jc w:val="center"/>
        <w:rPr>
          <w:rFonts w:ascii="Palatino Linotype" w:eastAsia="Palatino Linotype" w:hAnsi="Palatino Linotype" w:cs="Palatino Linotype"/>
          <w:b/>
          <w:i/>
        </w:rPr>
      </w:pPr>
      <w:r w:rsidRPr="00DF29DA">
        <w:rPr>
          <w:rFonts w:ascii="Palatino Linotype" w:eastAsia="Palatino Linotype" w:hAnsi="Palatino Linotype" w:cs="Palatino Linotype"/>
          <w:b/>
          <w:i/>
        </w:rPr>
        <w:t>Oficina de Rectoría</w:t>
      </w:r>
    </w:p>
    <w:p w:rsidR="0072148B" w:rsidRPr="00DF29DA" w:rsidRDefault="0072148B" w:rsidP="006D3B66">
      <w:pPr>
        <w:ind w:left="567" w:right="-716"/>
        <w:jc w:val="center"/>
        <w:rPr>
          <w:rFonts w:ascii="Palatino Linotype" w:eastAsia="Palatino Linotype" w:hAnsi="Palatino Linotype" w:cs="Palatino Linotype"/>
          <w:b/>
          <w:i/>
        </w:rPr>
      </w:pPr>
    </w:p>
    <w:p w:rsidR="006D3B66" w:rsidRPr="00DF29DA" w:rsidRDefault="006D3B66" w:rsidP="006D3B66">
      <w:pPr>
        <w:ind w:left="567" w:right="-716"/>
        <w:jc w:val="center"/>
        <w:rPr>
          <w:rFonts w:ascii="Palatino Linotype" w:eastAsia="Palatino Linotype" w:hAnsi="Palatino Linotype" w:cs="Palatino Linotype"/>
          <w:b/>
          <w:i/>
        </w:rPr>
      </w:pPr>
      <w:r w:rsidRPr="00DF29DA">
        <w:rPr>
          <w:rFonts w:ascii="Palatino Linotype" w:eastAsia="Palatino Linotype" w:hAnsi="Palatino Linotype" w:cs="Palatino Linotype"/>
          <w:b/>
          <w:i/>
        </w:rPr>
        <w:t>V. Estructura Orgánica</w:t>
      </w:r>
    </w:p>
    <w:p w:rsidR="006D3B66" w:rsidRPr="00DF29DA" w:rsidRDefault="006D3B66" w:rsidP="006D3B66">
      <w:pPr>
        <w:ind w:left="567" w:right="-716"/>
        <w:jc w:val="center"/>
        <w:rPr>
          <w:rFonts w:ascii="Palatino Linotype" w:eastAsia="Palatino Linotype" w:hAnsi="Palatino Linotype" w:cs="Palatino Linotype"/>
          <w:b/>
          <w:i/>
        </w:rPr>
      </w:pPr>
    </w:p>
    <w:p w:rsidR="006D3B66" w:rsidRPr="00DF29DA" w:rsidRDefault="006D3B66" w:rsidP="006D3B66">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1. Oficina de Rectoría </w:t>
      </w:r>
    </w:p>
    <w:p w:rsidR="006D3B66" w:rsidRPr="00DF29DA" w:rsidRDefault="006D3B66" w:rsidP="006D3B66">
      <w:pPr>
        <w:ind w:left="993"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1.01 Secretaría Particular </w:t>
      </w:r>
    </w:p>
    <w:p w:rsidR="006D3B66" w:rsidRPr="00DF29DA" w:rsidRDefault="006D3B66" w:rsidP="006D3B66">
      <w:pPr>
        <w:ind w:left="993"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1.02 Secretaría Particular Adjunta </w:t>
      </w:r>
    </w:p>
    <w:p w:rsidR="006D3B66" w:rsidRPr="00DF29DA" w:rsidRDefault="006D3B66" w:rsidP="006D3B66">
      <w:pPr>
        <w:ind w:left="993"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1.03 Secretaría Auxiliar </w:t>
      </w:r>
    </w:p>
    <w:p w:rsidR="006D3B66" w:rsidRPr="00DF29DA" w:rsidRDefault="006D3B66" w:rsidP="006D3B66">
      <w:pPr>
        <w:ind w:left="993"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1.04 Secretaría Técnica </w:t>
      </w:r>
    </w:p>
    <w:p w:rsidR="006D3B66" w:rsidRPr="00DF29DA" w:rsidRDefault="006D3B66" w:rsidP="006D3B66">
      <w:pPr>
        <w:ind w:left="993" w:right="-716"/>
        <w:jc w:val="both"/>
        <w:rPr>
          <w:rFonts w:ascii="Palatino Linotype" w:eastAsia="Palatino Linotype" w:hAnsi="Palatino Linotype" w:cs="Palatino Linotype"/>
          <w:b/>
          <w:i/>
        </w:rPr>
      </w:pPr>
      <w:r w:rsidRPr="00DF29DA">
        <w:rPr>
          <w:rFonts w:ascii="Palatino Linotype" w:eastAsia="Palatino Linotype" w:hAnsi="Palatino Linotype" w:cs="Palatino Linotype"/>
          <w:b/>
          <w:i/>
        </w:rPr>
        <w:t xml:space="preserve">1.05 Unidad de Transparencia </w:t>
      </w:r>
    </w:p>
    <w:p w:rsidR="006D3B66" w:rsidRPr="00DF29DA" w:rsidRDefault="006D3B66" w:rsidP="006D3B66">
      <w:pPr>
        <w:ind w:left="993" w:right="-716"/>
        <w:jc w:val="both"/>
        <w:rPr>
          <w:rFonts w:ascii="Palatino Linotype" w:eastAsia="Palatino Linotype" w:hAnsi="Palatino Linotype" w:cs="Palatino Linotype"/>
          <w:b/>
          <w:i/>
        </w:rPr>
      </w:pPr>
      <w:r w:rsidRPr="00DF29DA">
        <w:rPr>
          <w:rFonts w:ascii="Palatino Linotype" w:eastAsia="Palatino Linotype" w:hAnsi="Palatino Linotype" w:cs="Palatino Linotype"/>
          <w:b/>
          <w:i/>
        </w:rPr>
        <w:t>…</w:t>
      </w:r>
    </w:p>
    <w:p w:rsidR="006D3B66" w:rsidRPr="00DF29DA" w:rsidRDefault="006D3B66" w:rsidP="006D3B66">
      <w:pPr>
        <w:ind w:left="567" w:right="-716"/>
        <w:jc w:val="both"/>
        <w:rPr>
          <w:rFonts w:ascii="Palatino Linotype" w:eastAsia="Palatino Linotype" w:hAnsi="Palatino Linotype" w:cs="Palatino Linotype"/>
          <w:b/>
          <w:i/>
        </w:rPr>
      </w:pPr>
    </w:p>
    <w:p w:rsidR="004907F2" w:rsidRPr="00DF29DA" w:rsidRDefault="005B551C" w:rsidP="005B551C">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La </w:t>
      </w:r>
      <w:r w:rsidRPr="00DF29DA">
        <w:rPr>
          <w:rFonts w:ascii="Palatino Linotype" w:eastAsia="Palatino Linotype" w:hAnsi="Palatino Linotype" w:cs="Palatino Linotype"/>
          <w:b/>
        </w:rPr>
        <w:t>Unidad de Transparencia (Dirección de Transparencia Universitaria),</w:t>
      </w:r>
      <w:r w:rsidRPr="00DF29DA">
        <w:rPr>
          <w:rFonts w:ascii="Palatino Linotype" w:eastAsia="Palatino Linotype" w:hAnsi="Palatino Linotype" w:cs="Palatino Linotype"/>
        </w:rPr>
        <w:t xml:space="preserve"> tiene como objetivo “Transparentar la gestión universitaria, mediante la difusión de la información que generen las autoridades y dependencias de la Universidad, así como llevar a cabo las acciones necesarias para la protección de datos personales”, y dentro de sus funciones tiene las siguientes:</w:t>
      </w:r>
    </w:p>
    <w:p w:rsidR="005B551C" w:rsidRPr="00DF29DA" w:rsidRDefault="005B551C" w:rsidP="005B551C">
      <w:pPr>
        <w:ind w:left="567" w:right="-716"/>
        <w:jc w:val="both"/>
        <w:rPr>
          <w:rFonts w:ascii="Palatino Linotype" w:eastAsia="Palatino Linotype" w:hAnsi="Palatino Linotype" w:cs="Palatino Linotype"/>
          <w:b/>
          <w:i/>
        </w:rPr>
      </w:pPr>
      <w:r w:rsidRPr="00DF29DA">
        <w:rPr>
          <w:rFonts w:ascii="Palatino Linotype" w:eastAsia="Palatino Linotype" w:hAnsi="Palatino Linotype" w:cs="Palatino Linotype"/>
          <w:b/>
          <w:i/>
        </w:rPr>
        <w:t xml:space="preserve">Funciones: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1. Acordar con el Rector de la Universidad Autónoma del Estado de México, los asuntos de su competencia.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2. Contribuir en la formulación, ejecución y seguimiento de los programas, proyectos y metas contemplados en los Instrumentos de Planeación Institucionales, relacionados con su ámbito de competencia.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lastRenderedPageBreak/>
        <w:t xml:space="preserve">3. Recabar, difundir y actualizar la información relativa a las obligaciones de transparencia comunes y específicas a la que se refiere la Ley General, la Ley Estatal, las que determine el Instituto de Transparencia, Acceso a la Información Pública y Protección de Datos Personales del Estado de México y Municipios y las demás disposiciones de la materia, así como propiciar que las áreas la actualicen periódicamente conforme a la normatividad aplicable.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4. Recibir, tramitar y dar respuesta a las solicitudes de acceso a la información pública.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5. Auxiliar a los particulares en la elaboración de solicitudes de acceso a la información y, en su caso, orientarlos sobre los sujetos obligados competentes conforme a la normatividad aplicable.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6. Realizar, con efectividad, los trámites internos necesarios para la atención de las solicitudes de acceso a la información.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7. Efectuar las notificaciones necesarias a los servidores universitarios habilitados para la atención de los requerimientos de información.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8. Proponer al Comité de Transparencia, los procedimientos internos que aseguren la mayor eficiencia en la gestión de las solicitudes de acceso a la información, conforme a la normatividad aplicable.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 xml:space="preserve">9. Proponer al presidente del Comité de Transparencia de la Universidad, al personal habilitado para recibir y atender las solicitudes de acceso a la información. </w:t>
      </w:r>
    </w:p>
    <w:p w:rsidR="005B551C" w:rsidRPr="00DF29DA" w:rsidRDefault="005B551C" w:rsidP="005B551C">
      <w:pPr>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t>10. Llevar un registro de las solicitudes de acceso a la información, sus respuestas, resultados, costos de reproducción y envío, resolución a los recursos de revisión que se hayan emitido en contra de sus respuestas y del cumplimiento de las mismas.</w:t>
      </w:r>
    </w:p>
    <w:p w:rsidR="005B551C" w:rsidRPr="00DF29DA" w:rsidRDefault="005B551C" w:rsidP="005B551C">
      <w:pPr>
        <w:ind w:left="567" w:right="-716"/>
        <w:jc w:val="both"/>
        <w:rPr>
          <w:rFonts w:ascii="Palatino Linotype" w:eastAsia="Palatino Linotype" w:hAnsi="Palatino Linotype" w:cs="Palatino Linotype"/>
          <w:i/>
        </w:rPr>
      </w:pPr>
    </w:p>
    <w:p w:rsidR="0072148B" w:rsidRPr="00DF29DA" w:rsidRDefault="00A077F4">
      <w:pPr>
        <w:numPr>
          <w:ilvl w:val="0"/>
          <w:numId w:val="6"/>
        </w:numPr>
        <w:spacing w:line="360" w:lineRule="auto"/>
        <w:ind w:left="0" w:right="-787" w:firstLine="0"/>
        <w:jc w:val="both"/>
        <w:rPr>
          <w:rFonts w:ascii="Palatino Linotype" w:hAnsi="Palatino Linotype"/>
        </w:rPr>
      </w:pPr>
      <w:r w:rsidRPr="00DF29DA">
        <w:rPr>
          <w:rFonts w:ascii="Palatino Linotype" w:eastAsia="Palatino Linotype" w:hAnsi="Palatino Linotype" w:cs="Palatino Linotype"/>
        </w:rPr>
        <w:t>De lo</w:t>
      </w:r>
      <w:r w:rsidR="00007763" w:rsidRPr="00DF29DA">
        <w:rPr>
          <w:rFonts w:ascii="Palatino Linotype" w:eastAsia="Palatino Linotype" w:hAnsi="Palatino Linotype" w:cs="Palatino Linotype"/>
        </w:rPr>
        <w:t xml:space="preserve"> expuesto es de precisar que la respuesta</w:t>
      </w:r>
      <w:r w:rsidRPr="00DF29DA">
        <w:rPr>
          <w:rFonts w:ascii="Palatino Linotype" w:eastAsia="Palatino Linotype" w:hAnsi="Palatino Linotype" w:cs="Palatino Linotype"/>
        </w:rPr>
        <w:t xml:space="preserve"> </w:t>
      </w:r>
      <w:r w:rsidR="00007763" w:rsidRPr="00DF29DA">
        <w:rPr>
          <w:rFonts w:ascii="Palatino Linotype" w:eastAsia="Palatino Linotype" w:hAnsi="Palatino Linotype" w:cs="Palatino Linotype"/>
        </w:rPr>
        <w:t>fue emitida</w:t>
      </w:r>
      <w:r w:rsidRPr="00DF29DA">
        <w:rPr>
          <w:rFonts w:ascii="Palatino Linotype" w:eastAsia="Palatino Linotype" w:hAnsi="Palatino Linotype" w:cs="Palatino Linotype"/>
        </w:rPr>
        <w:t xml:space="preserve"> por la unidad administrativa competente, a través </w:t>
      </w:r>
      <w:r w:rsidR="00E132E5" w:rsidRPr="00DF29DA">
        <w:rPr>
          <w:rFonts w:ascii="Palatino Linotype" w:eastAsia="Palatino Linotype" w:hAnsi="Palatino Linotype" w:cs="Palatino Linotype"/>
        </w:rPr>
        <w:t>del Servidor Público Habilitado de la Dirección de Transparencia Universitaria</w:t>
      </w:r>
      <w:r w:rsidRPr="00DF29DA">
        <w:rPr>
          <w:rFonts w:ascii="Palatino Linotype" w:eastAsia="Palatino Linotype" w:hAnsi="Palatino Linotype" w:cs="Palatino Linotype"/>
        </w:rPr>
        <w:t xml:space="preserve">, por lo que podemos advertir que </w:t>
      </w:r>
      <w:r w:rsidRPr="00DF29DA">
        <w:rPr>
          <w:rFonts w:ascii="Palatino Linotype" w:eastAsia="Palatino Linotype" w:hAnsi="Palatino Linotype" w:cs="Palatino Linotype"/>
          <w:b/>
        </w:rPr>
        <w:t xml:space="preserve">EL SUJETO OBLIGADO </w:t>
      </w:r>
      <w:r w:rsidRPr="00DF29DA">
        <w:rPr>
          <w:rFonts w:ascii="Palatino Linotype" w:eastAsia="Palatino Linotype" w:hAnsi="Palatino Linotype" w:cs="Palatino Linotype"/>
        </w:rPr>
        <w:t xml:space="preserve">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w:t>
      </w:r>
      <w:r w:rsidRPr="00DF29DA">
        <w:rPr>
          <w:rFonts w:ascii="Palatino Linotype" w:eastAsia="Palatino Linotype" w:hAnsi="Palatino Linotype" w:cs="Palatino Linotype"/>
        </w:rPr>
        <w:lastRenderedPageBreak/>
        <w:t>en la que pudiera obrar la información de conformidad con la fracción XXXIX del artículo tercero de la legislación local vigente en materia de transparencia:</w:t>
      </w:r>
    </w:p>
    <w:p w:rsidR="0072148B" w:rsidRPr="00DF29DA" w:rsidRDefault="00A077F4">
      <w:pPr>
        <w:ind w:left="708" w:right="62"/>
        <w:jc w:val="both"/>
        <w:rPr>
          <w:rFonts w:ascii="Palatino Linotype" w:eastAsia="Palatino Linotype" w:hAnsi="Palatino Linotype" w:cs="Palatino Linotype"/>
          <w:i/>
        </w:rPr>
      </w:pPr>
      <w:r w:rsidRPr="00DF29DA">
        <w:rPr>
          <w:rFonts w:ascii="Palatino Linotype" w:eastAsia="Palatino Linotype" w:hAnsi="Palatino Linotype" w:cs="Palatino Linotype"/>
          <w:b/>
          <w:i/>
        </w:rPr>
        <w:t>XXXIX.</w:t>
      </w:r>
      <w:r w:rsidRPr="00DF29DA">
        <w:rPr>
          <w:rFonts w:ascii="Palatino Linotype" w:eastAsia="Palatino Linotype" w:hAnsi="Palatino Linotype" w:cs="Palatino Linotype"/>
          <w:i/>
        </w:rPr>
        <w:t xml:space="preserve"> </w:t>
      </w:r>
      <w:r w:rsidRPr="00DF29DA">
        <w:rPr>
          <w:rFonts w:ascii="Palatino Linotype" w:eastAsia="Palatino Linotype" w:hAnsi="Palatino Linotype" w:cs="Palatino Linotype"/>
          <w:b/>
          <w:i/>
        </w:rPr>
        <w:t>Servidor público habilitado</w:t>
      </w:r>
      <w:r w:rsidRPr="00DF29DA">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72148B" w:rsidRPr="00DF29DA" w:rsidRDefault="0072148B">
      <w:pPr>
        <w:spacing w:line="360" w:lineRule="auto"/>
        <w:ind w:left="708" w:right="62"/>
        <w:jc w:val="both"/>
        <w:rPr>
          <w:rFonts w:ascii="Palatino Linotype" w:eastAsia="Palatino Linotype" w:hAnsi="Palatino Linotype" w:cs="Palatino Linotype"/>
        </w:rPr>
      </w:pPr>
    </w:p>
    <w:p w:rsidR="0072148B" w:rsidRPr="00DF29DA" w:rsidRDefault="00A077F4">
      <w:pPr>
        <w:numPr>
          <w:ilvl w:val="0"/>
          <w:numId w:val="6"/>
        </w:numPr>
        <w:spacing w:line="360" w:lineRule="auto"/>
        <w:ind w:left="0" w:right="-787" w:firstLine="0"/>
        <w:jc w:val="both"/>
        <w:rPr>
          <w:rFonts w:ascii="Palatino Linotype" w:hAnsi="Palatino Linotype"/>
        </w:rPr>
      </w:pPr>
      <w:r w:rsidRPr="00DF29DA">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72148B" w:rsidRPr="00DF29DA" w:rsidRDefault="00A077F4">
      <w:pPr>
        <w:ind w:left="425" w:right="-220"/>
        <w:jc w:val="both"/>
        <w:rPr>
          <w:rFonts w:ascii="Palatino Linotype" w:eastAsia="Palatino Linotype" w:hAnsi="Palatino Linotype" w:cs="Palatino Linotype"/>
          <w:i/>
        </w:rPr>
      </w:pPr>
      <w:r w:rsidRPr="00DF29DA">
        <w:rPr>
          <w:rFonts w:ascii="Palatino Linotype" w:eastAsia="Palatino Linotype" w:hAnsi="Palatino Linotype" w:cs="Palatino Linotype"/>
          <w:i/>
        </w:rPr>
        <w:t>“</w:t>
      </w:r>
      <w:r w:rsidRPr="00DF29DA">
        <w:rPr>
          <w:rFonts w:ascii="Palatino Linotype" w:eastAsia="Palatino Linotype" w:hAnsi="Palatino Linotype" w:cs="Palatino Linotype"/>
          <w:b/>
          <w:i/>
        </w:rPr>
        <w:t>Artículo 162.</w:t>
      </w:r>
      <w:r w:rsidRPr="00DF29DA">
        <w:rPr>
          <w:rFonts w:ascii="Palatino Linotype" w:eastAsia="Palatino Linotype" w:hAnsi="Palatino Linotype" w:cs="Palatino Linotype"/>
          <w:i/>
        </w:rPr>
        <w:t xml:space="preserve"> Las unidades de transparencia deberán garantizar que las solicitudes se turnen a </w:t>
      </w:r>
      <w:r w:rsidRPr="00DF29DA">
        <w:rPr>
          <w:rFonts w:ascii="Palatino Linotype" w:eastAsia="Palatino Linotype" w:hAnsi="Palatino Linotype" w:cs="Palatino Linotype"/>
          <w:b/>
          <w:i/>
        </w:rPr>
        <w:t>todas las Áreas competentes</w:t>
      </w:r>
      <w:r w:rsidRPr="00DF29DA">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72148B" w:rsidRPr="00DF29DA" w:rsidRDefault="0072148B">
      <w:pPr>
        <w:spacing w:line="360" w:lineRule="auto"/>
        <w:ind w:right="-787"/>
        <w:jc w:val="both"/>
        <w:rPr>
          <w:rFonts w:ascii="Palatino Linotype" w:eastAsia="Palatino Linotype" w:hAnsi="Palatino Linotype" w:cs="Palatino Linotype"/>
          <w:color w:val="000000"/>
        </w:rPr>
      </w:pPr>
    </w:p>
    <w:p w:rsidR="0072148B" w:rsidRPr="00DF29DA" w:rsidRDefault="00A077F4">
      <w:pPr>
        <w:numPr>
          <w:ilvl w:val="0"/>
          <w:numId w:val="6"/>
        </w:numPr>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2148B" w:rsidRPr="00DF29DA" w:rsidRDefault="0072148B">
      <w:pPr>
        <w:spacing w:line="360" w:lineRule="auto"/>
        <w:ind w:right="-787"/>
        <w:jc w:val="both"/>
        <w:rPr>
          <w:rFonts w:ascii="Palatino Linotype" w:hAnsi="Palatino Linotype"/>
          <w:color w:val="000000"/>
        </w:rPr>
      </w:pPr>
    </w:p>
    <w:p w:rsidR="0072148B" w:rsidRPr="00DF29DA" w:rsidRDefault="00A077F4">
      <w:pPr>
        <w:ind w:left="1134"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lastRenderedPageBreak/>
        <w:t>“</w:t>
      </w:r>
      <w:r w:rsidRPr="00DF29DA">
        <w:rPr>
          <w:rFonts w:ascii="Palatino Linotype" w:eastAsia="Palatino Linotype" w:hAnsi="Palatino Linotype" w:cs="Palatino Linotype"/>
          <w:b/>
          <w:i/>
          <w:color w:val="000000"/>
        </w:rPr>
        <w:t xml:space="preserve">Artículo 3. </w:t>
      </w:r>
      <w:r w:rsidRPr="00DF29DA">
        <w:rPr>
          <w:rFonts w:ascii="Palatino Linotype" w:eastAsia="Palatino Linotype" w:hAnsi="Palatino Linotype" w:cs="Palatino Linotype"/>
          <w:i/>
          <w:color w:val="000000"/>
        </w:rPr>
        <w:t>Para los efectos de la presente Ley se entenderá por:</w:t>
      </w:r>
    </w:p>
    <w:p w:rsidR="0072148B" w:rsidRPr="00DF29DA" w:rsidRDefault="00A077F4">
      <w:pPr>
        <w:ind w:left="1134"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w:t>
      </w:r>
    </w:p>
    <w:p w:rsidR="0072148B" w:rsidRPr="00DF29DA" w:rsidRDefault="00A077F4">
      <w:pPr>
        <w:ind w:left="1134"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b/>
          <w:i/>
          <w:color w:val="000000"/>
        </w:rPr>
        <w:t>XI. Documento:</w:t>
      </w:r>
      <w:r w:rsidRPr="00DF29DA">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2148B" w:rsidRPr="00DF29DA" w:rsidRDefault="00A077F4">
      <w:pPr>
        <w:spacing w:line="360" w:lineRule="auto"/>
        <w:ind w:left="1134" w:right="-22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w:t>
      </w:r>
    </w:p>
    <w:p w:rsidR="0072148B" w:rsidRPr="00DF29DA" w:rsidRDefault="0072148B">
      <w:pPr>
        <w:ind w:right="-787"/>
        <w:jc w:val="both"/>
        <w:rPr>
          <w:rFonts w:ascii="Palatino Linotype" w:eastAsia="Palatino Linotype" w:hAnsi="Palatino Linotype" w:cs="Palatino Linotype"/>
        </w:rPr>
      </w:pPr>
    </w:p>
    <w:p w:rsidR="0072148B" w:rsidRPr="00DF29DA" w:rsidRDefault="00A077F4">
      <w:pPr>
        <w:numPr>
          <w:ilvl w:val="0"/>
          <w:numId w:val="6"/>
        </w:numPr>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2148B" w:rsidRPr="00DF29DA" w:rsidRDefault="00A077F4">
      <w:pPr>
        <w:ind w:left="850" w:right="-220"/>
        <w:jc w:val="both"/>
        <w:rPr>
          <w:rFonts w:ascii="Palatino Linotype" w:eastAsia="Palatino Linotype" w:hAnsi="Palatino Linotype" w:cs="Palatino Linotype"/>
          <w:b/>
          <w:i/>
        </w:rPr>
      </w:pPr>
      <w:r w:rsidRPr="00DF29DA">
        <w:rPr>
          <w:rFonts w:ascii="Palatino Linotype" w:eastAsia="Palatino Linotype" w:hAnsi="Palatino Linotype" w:cs="Palatino Linotype"/>
          <w:b/>
        </w:rPr>
        <w:t>“</w:t>
      </w:r>
      <w:r w:rsidRPr="00DF29DA">
        <w:rPr>
          <w:rFonts w:ascii="Palatino Linotype" w:eastAsia="Palatino Linotype" w:hAnsi="Palatino Linotype" w:cs="Palatino Linotype"/>
          <w:b/>
          <w:i/>
        </w:rPr>
        <w:t>CRITERIO 0002-11</w:t>
      </w:r>
    </w:p>
    <w:p w:rsidR="0072148B" w:rsidRPr="00DF29DA" w:rsidRDefault="00A077F4">
      <w:pPr>
        <w:ind w:left="850" w:right="-220"/>
        <w:jc w:val="both"/>
        <w:rPr>
          <w:rFonts w:ascii="Palatino Linotype" w:eastAsia="Palatino Linotype" w:hAnsi="Palatino Linotype" w:cs="Palatino Linotype"/>
          <w:i/>
        </w:rPr>
      </w:pPr>
      <w:r w:rsidRPr="00DF29D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F29D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2148B" w:rsidRPr="00DF29DA" w:rsidRDefault="00A077F4">
      <w:pPr>
        <w:ind w:left="850" w:right="-220"/>
        <w:jc w:val="both"/>
        <w:rPr>
          <w:rFonts w:ascii="Palatino Linotype" w:eastAsia="Palatino Linotype" w:hAnsi="Palatino Linotype" w:cs="Palatino Linotype"/>
          <w:i/>
        </w:rPr>
      </w:pPr>
      <w:r w:rsidRPr="00DF29DA">
        <w:rPr>
          <w:rFonts w:ascii="Palatino Linotype" w:eastAsia="Palatino Linotype" w:hAnsi="Palatino Linotype" w:cs="Palatino Linotype"/>
          <w:i/>
        </w:rPr>
        <w:t>En consecuencia el acceso a la información se refiere a que se cumplan cualquiera de los siguientes tres supuestos:</w:t>
      </w:r>
    </w:p>
    <w:p w:rsidR="0072148B" w:rsidRPr="00DF29DA" w:rsidRDefault="00A077F4">
      <w:pPr>
        <w:ind w:left="850" w:right="-220"/>
        <w:jc w:val="both"/>
        <w:rPr>
          <w:rFonts w:ascii="Palatino Linotype" w:eastAsia="Palatino Linotype" w:hAnsi="Palatino Linotype" w:cs="Palatino Linotype"/>
          <w:b/>
          <w:i/>
        </w:rPr>
      </w:pPr>
      <w:r w:rsidRPr="00DF29DA">
        <w:rPr>
          <w:rFonts w:ascii="Palatino Linotype" w:eastAsia="Palatino Linotype" w:hAnsi="Palatino Linotype" w:cs="Palatino Linotype"/>
          <w:b/>
          <w:i/>
        </w:rPr>
        <w:t xml:space="preserve">1) </w:t>
      </w:r>
      <w:r w:rsidRPr="00DF29DA">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72148B" w:rsidRPr="00DF29DA" w:rsidRDefault="00A077F4">
      <w:pPr>
        <w:ind w:left="850" w:right="-220"/>
        <w:jc w:val="both"/>
        <w:rPr>
          <w:rFonts w:ascii="Palatino Linotype" w:eastAsia="Palatino Linotype" w:hAnsi="Palatino Linotype" w:cs="Palatino Linotype"/>
          <w:i/>
        </w:rPr>
      </w:pPr>
      <w:r w:rsidRPr="00DF29DA">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72148B" w:rsidRPr="00DF29DA" w:rsidRDefault="00A077F4">
      <w:pPr>
        <w:ind w:left="850" w:right="-220"/>
        <w:jc w:val="both"/>
        <w:rPr>
          <w:rFonts w:ascii="Palatino Linotype" w:eastAsia="Palatino Linotype" w:hAnsi="Palatino Linotype" w:cs="Palatino Linotype"/>
          <w:i/>
        </w:rPr>
      </w:pPr>
      <w:r w:rsidRPr="00DF29D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72148B" w:rsidRPr="00DF29DA" w:rsidRDefault="00A077F4">
      <w:pPr>
        <w:tabs>
          <w:tab w:val="left" w:pos="851"/>
        </w:tabs>
        <w:spacing w:line="360" w:lineRule="auto"/>
        <w:ind w:left="850" w:right="-220"/>
        <w:rPr>
          <w:rFonts w:ascii="Palatino Linotype" w:eastAsia="Palatino Linotype" w:hAnsi="Palatino Linotype" w:cs="Palatino Linotype"/>
        </w:rPr>
      </w:pPr>
      <w:r w:rsidRPr="00DF29DA">
        <w:rPr>
          <w:rFonts w:ascii="Palatino Linotype" w:eastAsia="Palatino Linotype" w:hAnsi="Palatino Linotype" w:cs="Palatino Linotype"/>
        </w:rPr>
        <w:t>(Énfasis Añadido)</w:t>
      </w:r>
    </w:p>
    <w:p w:rsidR="0072148B" w:rsidRPr="00DF29DA" w:rsidRDefault="0072148B">
      <w:pPr>
        <w:pBdr>
          <w:top w:val="nil"/>
          <w:left w:val="nil"/>
          <w:bottom w:val="nil"/>
          <w:right w:val="nil"/>
          <w:between w:val="nil"/>
        </w:pBdr>
        <w:ind w:right="-787"/>
        <w:jc w:val="both"/>
        <w:rPr>
          <w:rFonts w:ascii="Palatino Linotype" w:eastAsia="Palatino Linotype" w:hAnsi="Palatino Linotype" w:cs="Palatino Linotype"/>
          <w:color w:val="000000"/>
        </w:rPr>
      </w:pPr>
    </w:p>
    <w:p w:rsidR="0072148B" w:rsidRPr="00DF29DA" w:rsidRDefault="00A077F4">
      <w:pPr>
        <w:numPr>
          <w:ilvl w:val="0"/>
          <w:numId w:val="6"/>
        </w:numPr>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Por su parte los artículos 160 y 166, de la Ley local en la materia, que se reproduce de la siguiente forma:</w:t>
      </w:r>
    </w:p>
    <w:p w:rsidR="0072148B" w:rsidRPr="00DF29DA" w:rsidRDefault="00A077F4">
      <w:pPr>
        <w:ind w:left="566" w:right="-220"/>
        <w:jc w:val="both"/>
        <w:rPr>
          <w:rFonts w:ascii="Palatino Linotype" w:eastAsia="Palatino Linotype" w:hAnsi="Palatino Linotype" w:cs="Palatino Linotype"/>
          <w:i/>
        </w:rPr>
      </w:pPr>
      <w:r w:rsidRPr="00DF29DA">
        <w:rPr>
          <w:rFonts w:ascii="Palatino Linotype" w:eastAsia="Palatino Linotype" w:hAnsi="Palatino Linotype" w:cs="Palatino Linotype"/>
          <w:i/>
        </w:rPr>
        <w:t>“</w:t>
      </w:r>
      <w:r w:rsidRPr="00DF29DA">
        <w:rPr>
          <w:rFonts w:ascii="Palatino Linotype" w:eastAsia="Palatino Linotype" w:hAnsi="Palatino Linotype" w:cs="Palatino Linotype"/>
          <w:b/>
          <w:i/>
        </w:rPr>
        <w:t>Artículo 160.</w:t>
      </w:r>
      <w:r w:rsidRPr="00DF29DA">
        <w:rPr>
          <w:rFonts w:ascii="Palatino Linotype" w:eastAsia="Palatino Linotype" w:hAnsi="Palatino Linotype" w:cs="Palatino Linotype"/>
          <w:i/>
        </w:rPr>
        <w:t xml:space="preserve"> </w:t>
      </w:r>
      <w:r w:rsidRPr="00DF29DA">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DF29DA">
        <w:rPr>
          <w:rFonts w:ascii="Palatino Linotype" w:eastAsia="Palatino Linotype" w:hAnsi="Palatino Linotype" w:cs="Palatino Linotype"/>
          <w:i/>
        </w:rPr>
        <w:t>.</w:t>
      </w:r>
    </w:p>
    <w:p w:rsidR="0072148B" w:rsidRPr="00DF29DA" w:rsidRDefault="0072148B">
      <w:pPr>
        <w:ind w:left="566" w:right="-220"/>
        <w:jc w:val="both"/>
        <w:rPr>
          <w:rFonts w:ascii="Palatino Linotype" w:eastAsia="Palatino Linotype" w:hAnsi="Palatino Linotype" w:cs="Palatino Linotype"/>
          <w:i/>
        </w:rPr>
      </w:pPr>
    </w:p>
    <w:p w:rsidR="0072148B" w:rsidRPr="00DF29DA" w:rsidRDefault="00A077F4">
      <w:pPr>
        <w:ind w:left="566" w:right="-220"/>
        <w:jc w:val="both"/>
        <w:rPr>
          <w:rFonts w:ascii="Palatino Linotype" w:eastAsia="Palatino Linotype" w:hAnsi="Palatino Linotype" w:cs="Palatino Linotype"/>
          <w:i/>
        </w:rPr>
      </w:pPr>
      <w:r w:rsidRPr="00DF29DA">
        <w:rPr>
          <w:rFonts w:ascii="Palatino Linotype" w:eastAsia="Palatino Linotype" w:hAnsi="Palatino Linotype" w:cs="Palatino Linotype"/>
          <w:i/>
        </w:rPr>
        <w:t>En caso que la información solicitada consista en bases de datos se deberá privilegiar la entrega de la misma en formatos abiertos.</w:t>
      </w:r>
    </w:p>
    <w:p w:rsidR="0072148B" w:rsidRPr="00DF29DA" w:rsidRDefault="00A077F4">
      <w:pPr>
        <w:ind w:left="566" w:right="-220"/>
        <w:jc w:val="both"/>
        <w:rPr>
          <w:rFonts w:ascii="Palatino Linotype" w:eastAsia="Palatino Linotype" w:hAnsi="Palatino Linotype" w:cs="Palatino Linotype"/>
          <w:i/>
          <w:u w:val="single"/>
        </w:rPr>
      </w:pPr>
      <w:r w:rsidRPr="00DF29DA">
        <w:rPr>
          <w:rFonts w:ascii="Palatino Linotype" w:eastAsia="Palatino Linotype" w:hAnsi="Palatino Linotype" w:cs="Palatino Linotype"/>
          <w:b/>
          <w:i/>
        </w:rPr>
        <w:t>Artículo 166.</w:t>
      </w:r>
      <w:r w:rsidRPr="00DF29DA">
        <w:rPr>
          <w:rFonts w:ascii="Palatino Linotype" w:eastAsia="Palatino Linotype" w:hAnsi="Palatino Linotype" w:cs="Palatino Linotype"/>
          <w:i/>
        </w:rPr>
        <w:t xml:space="preserve"> </w:t>
      </w:r>
      <w:r w:rsidRPr="00DF29DA">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72148B" w:rsidRPr="00DF29DA" w:rsidRDefault="00A077F4">
      <w:pPr>
        <w:spacing w:line="360" w:lineRule="auto"/>
        <w:ind w:left="566" w:right="-220"/>
        <w:jc w:val="both"/>
        <w:rPr>
          <w:rFonts w:ascii="Palatino Linotype" w:eastAsia="Palatino Linotype" w:hAnsi="Palatino Linotype" w:cs="Palatino Linotype"/>
        </w:rPr>
      </w:pPr>
      <w:r w:rsidRPr="00DF29DA">
        <w:rPr>
          <w:rFonts w:ascii="Palatino Linotype" w:eastAsia="Palatino Linotype" w:hAnsi="Palatino Linotype" w:cs="Palatino Linotype"/>
        </w:rPr>
        <w:t>(Énfasis añadido)</w:t>
      </w:r>
    </w:p>
    <w:p w:rsidR="0072148B" w:rsidRPr="00DF29DA" w:rsidRDefault="0072148B">
      <w:pPr>
        <w:ind w:right="-787"/>
        <w:jc w:val="both"/>
        <w:rPr>
          <w:rFonts w:ascii="Palatino Linotype" w:eastAsia="Palatino Linotype" w:hAnsi="Palatino Linotype" w:cs="Palatino Linotype"/>
        </w:rPr>
      </w:pPr>
    </w:p>
    <w:p w:rsidR="0072148B" w:rsidRPr="00DF29DA" w:rsidRDefault="00A077F4">
      <w:pPr>
        <w:numPr>
          <w:ilvl w:val="0"/>
          <w:numId w:val="6"/>
        </w:numPr>
        <w:spacing w:line="360" w:lineRule="auto"/>
        <w:ind w:left="0" w:right="-787" w:firstLine="0"/>
        <w:jc w:val="both"/>
        <w:rPr>
          <w:rFonts w:ascii="Palatino Linotype" w:hAnsi="Palatino Linotype"/>
          <w:color w:val="000000"/>
        </w:rPr>
      </w:pPr>
      <w:r w:rsidRPr="00DF29DA">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456A7C" w:rsidRPr="00DF29DA" w:rsidRDefault="00456A7C" w:rsidP="00456A7C">
      <w:pPr>
        <w:numPr>
          <w:ilvl w:val="0"/>
          <w:numId w:val="13"/>
        </w:numPr>
        <w:pBdr>
          <w:top w:val="nil"/>
          <w:left w:val="nil"/>
          <w:bottom w:val="nil"/>
          <w:right w:val="nil"/>
          <w:between w:val="nil"/>
        </w:pBdr>
        <w:tabs>
          <w:tab w:val="left" w:pos="0"/>
          <w:tab w:val="left" w:pos="567"/>
        </w:tabs>
        <w:spacing w:before="240" w:after="240" w:line="360" w:lineRule="auto"/>
        <w:ind w:left="-566"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000000"/>
        </w:rPr>
        <w:t xml:space="preserve">De la naturaleza de la información solicitada. </w:t>
      </w:r>
    </w:p>
    <w:p w:rsidR="00456A7C" w:rsidRPr="00DF29DA" w:rsidRDefault="00456A7C" w:rsidP="008B51D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lastRenderedPageBreak/>
        <w:t xml:space="preserve">Primeramente, se precisa que se obvia el análisis de la competencia por parte del </w:t>
      </w:r>
      <w:r w:rsidRPr="00DF29DA">
        <w:rPr>
          <w:rFonts w:ascii="Palatino Linotype" w:eastAsia="Palatino Linotype" w:hAnsi="Palatino Linotype" w:cs="Palatino Linotype"/>
          <w:b/>
        </w:rPr>
        <w:t>SUJETO OBLIGADO</w:t>
      </w:r>
      <w:r w:rsidRPr="00DF29DA">
        <w:rPr>
          <w:rFonts w:ascii="Palatino Linotype" w:eastAsia="Palatino Linotype" w:hAnsi="Palatino Linotype" w:cs="Palatino Linotype"/>
        </w:rPr>
        <w:t xml:space="preserve">, para generar, administrar o poseer la información solicitada, dado que éste ha asumido la misma, en razón de que en su respuesta admitió contar con dicha información, tan es así que </w:t>
      </w:r>
      <w:r w:rsidR="00325B01" w:rsidRPr="00DF29DA">
        <w:rPr>
          <w:rFonts w:ascii="Palatino Linotype" w:eastAsia="Palatino Linotype" w:hAnsi="Palatino Linotype" w:cs="Palatino Linotype"/>
        </w:rPr>
        <w:t xml:space="preserve">remitió en respuesta </w:t>
      </w:r>
      <w:r w:rsidR="008B51D4" w:rsidRPr="00DF29DA">
        <w:rPr>
          <w:rFonts w:ascii="Palatino Linotype" w:eastAsia="Palatino Linotype" w:hAnsi="Palatino Linotype" w:cs="Palatino Linotype"/>
        </w:rPr>
        <w:t>el Acta de la Reunión Ordinaria del Comité de Transparencia correspondiente al 14 de noviembre de 2024. Acta 46/2024 y la convocatoria a la misma.</w:t>
      </w:r>
    </w:p>
    <w:p w:rsidR="00456A7C" w:rsidRPr="00DF29DA" w:rsidRDefault="00456A7C" w:rsidP="00456A7C">
      <w:pPr>
        <w:tabs>
          <w:tab w:val="left" w:pos="0"/>
          <w:tab w:val="left" w:pos="567"/>
        </w:tabs>
        <w:spacing w:line="360" w:lineRule="auto"/>
        <w:ind w:left="-566" w:right="-787"/>
        <w:jc w:val="both"/>
        <w:rPr>
          <w:rFonts w:ascii="Palatino Linotype" w:eastAsia="Palatino Linotype" w:hAnsi="Palatino Linotype" w:cs="Palatino Linotype"/>
        </w:rPr>
      </w:pPr>
    </w:p>
    <w:p w:rsidR="00456A7C" w:rsidRPr="00DF29DA" w:rsidRDefault="00456A7C" w:rsidP="00325B01">
      <w:pPr>
        <w:numPr>
          <w:ilvl w:val="0"/>
          <w:numId w:val="6"/>
        </w:numPr>
        <w:spacing w:line="360" w:lineRule="auto"/>
        <w:ind w:left="0" w:right="-787" w:firstLine="0"/>
        <w:jc w:val="both"/>
        <w:rPr>
          <w:rFonts w:ascii="Palatino Linotype" w:hAnsi="Palatino Linotype"/>
        </w:rPr>
      </w:pPr>
      <w:bookmarkStart w:id="8" w:name="_heading=h.2s8eyo1" w:colFirst="0" w:colLast="0"/>
      <w:bookmarkEnd w:id="8"/>
      <w:r w:rsidRPr="00DF29DA">
        <w:rPr>
          <w:rFonts w:ascii="Palatino Linotype" w:eastAsia="Palatino Linotype" w:hAnsi="Palatino Linotype" w:cs="Palatino Linotype"/>
        </w:rPr>
        <w:t xml:space="preserve">En efecto, el hecho de que </w:t>
      </w:r>
      <w:r w:rsidRPr="00DF29DA">
        <w:rPr>
          <w:rFonts w:ascii="Palatino Linotype" w:eastAsia="Palatino Linotype" w:hAnsi="Palatino Linotype" w:cs="Palatino Linotype"/>
          <w:b/>
        </w:rPr>
        <w:t>EL SUJETO OBLIGADO</w:t>
      </w:r>
      <w:r w:rsidRPr="00DF29DA">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456A7C" w:rsidRPr="00DF29DA" w:rsidRDefault="00456A7C" w:rsidP="00D83071">
      <w:pPr>
        <w:tabs>
          <w:tab w:val="left" w:pos="8505"/>
        </w:tabs>
        <w:ind w:left="709" w:right="-858"/>
        <w:jc w:val="both"/>
        <w:rPr>
          <w:rFonts w:ascii="Palatino Linotype" w:eastAsia="Palatino Linotype" w:hAnsi="Palatino Linotype" w:cs="Palatino Linotype"/>
          <w:i/>
        </w:rPr>
      </w:pPr>
      <w:r w:rsidRPr="00DF29DA">
        <w:rPr>
          <w:rFonts w:ascii="Palatino Linotype" w:eastAsia="Palatino Linotype" w:hAnsi="Palatino Linotype" w:cs="Palatino Linotype"/>
          <w:i/>
        </w:rPr>
        <w:t>“</w:t>
      </w:r>
      <w:r w:rsidRPr="00DF29DA">
        <w:rPr>
          <w:rFonts w:ascii="Palatino Linotype" w:eastAsia="Palatino Linotype" w:hAnsi="Palatino Linotype" w:cs="Palatino Linotype"/>
          <w:b/>
          <w:i/>
        </w:rPr>
        <w:t>Artículo 12.</w:t>
      </w:r>
      <w:r w:rsidRPr="00DF29DA">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456A7C" w:rsidRPr="00DF29DA" w:rsidRDefault="00456A7C" w:rsidP="00D83071">
      <w:pPr>
        <w:tabs>
          <w:tab w:val="left" w:pos="8505"/>
        </w:tabs>
        <w:ind w:left="709" w:right="-858"/>
        <w:jc w:val="both"/>
        <w:rPr>
          <w:rFonts w:ascii="Palatino Linotype" w:eastAsia="Palatino Linotype" w:hAnsi="Palatino Linotype" w:cs="Palatino Linotype"/>
          <w:i/>
        </w:rPr>
      </w:pPr>
    </w:p>
    <w:p w:rsidR="00456A7C" w:rsidRPr="00DF29DA" w:rsidRDefault="00456A7C" w:rsidP="00D83071">
      <w:pPr>
        <w:tabs>
          <w:tab w:val="left" w:pos="8505"/>
        </w:tabs>
        <w:ind w:left="709" w:right="-858"/>
        <w:jc w:val="both"/>
        <w:rPr>
          <w:rFonts w:ascii="Palatino Linotype" w:eastAsia="Palatino Linotype" w:hAnsi="Palatino Linotype" w:cs="Palatino Linotype"/>
          <w:i/>
        </w:rPr>
      </w:pPr>
      <w:r w:rsidRPr="00DF29DA">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56A7C" w:rsidRPr="00DF29DA" w:rsidRDefault="00456A7C" w:rsidP="00456A7C">
      <w:pPr>
        <w:pBdr>
          <w:top w:val="nil"/>
          <w:left w:val="nil"/>
          <w:bottom w:val="nil"/>
          <w:right w:val="nil"/>
          <w:between w:val="nil"/>
        </w:pBdr>
        <w:ind w:left="-566" w:right="-787"/>
        <w:rPr>
          <w:rFonts w:ascii="Palatino Linotype" w:eastAsia="Palatino Linotype" w:hAnsi="Palatino Linotype" w:cs="Palatino Linotype"/>
          <w:color w:val="000000"/>
        </w:rPr>
      </w:pPr>
    </w:p>
    <w:p w:rsidR="00456A7C" w:rsidRPr="00DF29DA" w:rsidRDefault="00456A7C" w:rsidP="00325B01">
      <w:pPr>
        <w:numPr>
          <w:ilvl w:val="0"/>
          <w:numId w:val="6"/>
        </w:numPr>
        <w:spacing w:line="360" w:lineRule="auto"/>
        <w:ind w:left="0" w:right="-787" w:firstLine="0"/>
        <w:jc w:val="both"/>
        <w:rPr>
          <w:rFonts w:ascii="Palatino Linotype" w:hAnsi="Palatino Linotype"/>
        </w:rPr>
      </w:pPr>
      <w:r w:rsidRPr="00DF29DA">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DF29DA">
        <w:rPr>
          <w:rFonts w:ascii="Palatino Linotype" w:eastAsia="Palatino Linotype" w:hAnsi="Palatino Linotype" w:cs="Palatino Linotype"/>
          <w:b/>
        </w:rPr>
        <w:t>EL SUJETO OBLIGADO</w:t>
      </w:r>
      <w:r w:rsidRPr="00DF29DA">
        <w:rPr>
          <w:rFonts w:ascii="Palatino Linotype" w:eastAsia="Palatino Linotype" w:hAnsi="Palatino Linotype" w:cs="Palatino Linotype"/>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por </w:t>
      </w:r>
      <w:r w:rsidRPr="00DF29DA">
        <w:rPr>
          <w:rFonts w:ascii="Palatino Linotype" w:eastAsia="Palatino Linotype" w:hAnsi="Palatino Linotype" w:cs="Palatino Linotype"/>
        </w:rPr>
        <w:lastRenderedPageBreak/>
        <w:t>el cual, se actualiza el supuesto jurídico, previsto en el artículo 12 de la Ley de la materia, anteriormente referido.</w:t>
      </w:r>
    </w:p>
    <w:p w:rsidR="0072148B" w:rsidRPr="00DF29DA" w:rsidRDefault="0072148B">
      <w:pPr>
        <w:spacing w:line="360" w:lineRule="auto"/>
        <w:ind w:right="-787"/>
        <w:jc w:val="both"/>
        <w:rPr>
          <w:rFonts w:ascii="Palatino Linotype" w:eastAsia="Palatino Linotype" w:hAnsi="Palatino Linotype" w:cs="Palatino Linotype"/>
          <w:color w:val="000000"/>
        </w:rPr>
      </w:pPr>
    </w:p>
    <w:p w:rsidR="008C52A6" w:rsidRPr="00DF29DA" w:rsidRDefault="008C52A6" w:rsidP="008C52A6">
      <w:pPr>
        <w:numPr>
          <w:ilvl w:val="0"/>
          <w:numId w:val="6"/>
        </w:numPr>
        <w:spacing w:line="360" w:lineRule="auto"/>
        <w:ind w:left="0" w:right="-787" w:firstLine="0"/>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 xml:space="preserve">Ahora bien, de la respuesta proporcionada, se interpuso recurso de revisión argumentando sustancialmente </w:t>
      </w:r>
      <w:r w:rsidR="006D2648" w:rsidRPr="00DF29DA">
        <w:rPr>
          <w:rFonts w:ascii="Palatino Linotype" w:eastAsia="Palatino Linotype" w:hAnsi="Palatino Linotype" w:cs="Palatino Linotype"/>
          <w:color w:val="000000"/>
        </w:rPr>
        <w:t>la negativa a la información solicitada</w:t>
      </w:r>
      <w:r w:rsidRPr="00DF29DA">
        <w:rPr>
          <w:rFonts w:ascii="Palatino Linotype" w:eastAsia="Palatino Linotype" w:hAnsi="Palatino Linotype" w:cs="Palatino Linotype"/>
          <w:color w:val="000000"/>
        </w:rPr>
        <w:t>, posteriormente el S</w:t>
      </w:r>
      <w:r w:rsidR="006D2648" w:rsidRPr="00DF29DA">
        <w:rPr>
          <w:rFonts w:ascii="Palatino Linotype" w:eastAsia="Palatino Linotype" w:hAnsi="Palatino Linotype" w:cs="Palatino Linotype"/>
          <w:color w:val="000000"/>
        </w:rPr>
        <w:t>ujeto Obligado presento informe justificado</w:t>
      </w:r>
      <w:r w:rsidRPr="00DF29DA">
        <w:rPr>
          <w:rFonts w:ascii="Palatino Linotype" w:eastAsia="Palatino Linotype" w:hAnsi="Palatino Linotype" w:cs="Palatino Linotype"/>
          <w:color w:val="000000"/>
        </w:rPr>
        <w:t xml:space="preserve"> en </w:t>
      </w:r>
      <w:r w:rsidR="006D2648" w:rsidRPr="00DF29DA">
        <w:rPr>
          <w:rFonts w:ascii="Palatino Linotype" w:eastAsia="Palatino Linotype" w:hAnsi="Palatino Linotype" w:cs="Palatino Linotype"/>
          <w:color w:val="000000"/>
        </w:rPr>
        <w:t>el que</w:t>
      </w:r>
      <w:r w:rsidRPr="00DF29DA">
        <w:rPr>
          <w:rFonts w:ascii="Palatino Linotype" w:eastAsia="Palatino Linotype" w:hAnsi="Palatino Linotype" w:cs="Palatino Linotype"/>
          <w:color w:val="000000"/>
        </w:rPr>
        <w:t xml:space="preserve"> </w:t>
      </w:r>
      <w:r w:rsidR="006D2648" w:rsidRPr="00DF29DA">
        <w:rPr>
          <w:rFonts w:ascii="Palatino Linotype" w:eastAsia="Palatino Linotype" w:hAnsi="Palatino Linotype" w:cs="Palatino Linotype"/>
          <w:color w:val="000000"/>
        </w:rPr>
        <w:t>en términos generales ratificó su respuesta inicial</w:t>
      </w:r>
      <w:r w:rsidRPr="00DF29DA">
        <w:rPr>
          <w:rFonts w:ascii="Palatino Linotype" w:eastAsia="Palatino Linotype" w:hAnsi="Palatino Linotype" w:cs="Palatino Linotype"/>
          <w:color w:val="000000"/>
        </w:rPr>
        <w:t>, por lo que es necesario traer a contexto la información so</w:t>
      </w:r>
      <w:r w:rsidR="006D2648" w:rsidRPr="00DF29DA">
        <w:rPr>
          <w:rFonts w:ascii="Palatino Linotype" w:eastAsia="Palatino Linotype" w:hAnsi="Palatino Linotype" w:cs="Palatino Linotype"/>
          <w:color w:val="000000"/>
        </w:rPr>
        <w:t>licitada, la respuesta otorgada y</w:t>
      </w:r>
      <w:r w:rsidRPr="00DF29DA">
        <w:rPr>
          <w:rFonts w:ascii="Palatino Linotype" w:eastAsia="Palatino Linotype" w:hAnsi="Palatino Linotype" w:cs="Palatino Linotype"/>
          <w:color w:val="000000"/>
        </w:rPr>
        <w:t xml:space="preserve"> los motivos de inconformidad</w:t>
      </w:r>
      <w:r w:rsidR="006D2648" w:rsidRPr="00DF29DA">
        <w:rPr>
          <w:rFonts w:ascii="Palatino Linotype" w:eastAsia="Palatino Linotype" w:hAnsi="Palatino Linotype" w:cs="Palatino Linotype"/>
          <w:color w:val="000000"/>
        </w:rPr>
        <w:t>,</w:t>
      </w:r>
      <w:r w:rsidRPr="00DF29DA">
        <w:rPr>
          <w:rFonts w:ascii="Palatino Linotype" w:eastAsia="Palatino Linotype" w:hAnsi="Palatino Linotype" w:cs="Palatino Linotype"/>
          <w:color w:val="000000"/>
        </w:rPr>
        <w:t xml:space="preserve"> a fin de determinar si el Sujeto Obligado atiende</w:t>
      </w:r>
      <w:r w:rsidR="006D2648" w:rsidRPr="00DF29DA">
        <w:rPr>
          <w:rFonts w:ascii="Palatino Linotype" w:eastAsia="Palatino Linotype" w:hAnsi="Palatino Linotype" w:cs="Palatino Linotype"/>
          <w:color w:val="000000"/>
        </w:rPr>
        <w:t xml:space="preserve"> el requerimiento hecho en la solicitud</w:t>
      </w:r>
      <w:r w:rsidRPr="00DF29DA">
        <w:rPr>
          <w:rFonts w:ascii="Palatino Linotype" w:eastAsia="Palatino Linotype" w:hAnsi="Palatino Linotype" w:cs="Palatino Linotype"/>
          <w:color w:val="000000"/>
        </w:rPr>
        <w:t xml:space="preserve"> de información:</w:t>
      </w:r>
    </w:p>
    <w:p w:rsidR="008C52A6" w:rsidRPr="00DF29DA" w:rsidRDefault="008C52A6" w:rsidP="008C52A6">
      <w:pPr>
        <w:ind w:right="-787"/>
        <w:jc w:val="both"/>
        <w:rPr>
          <w:rFonts w:ascii="Palatino Linotype" w:eastAsia="Palatino Linotype" w:hAnsi="Palatino Linotype" w:cs="Palatino Linotype"/>
          <w:color w:val="000000"/>
        </w:rPr>
      </w:pPr>
    </w:p>
    <w:tbl>
      <w:tblPr>
        <w:tblW w:w="5477"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2072"/>
        <w:gridCol w:w="2447"/>
        <w:gridCol w:w="2395"/>
        <w:gridCol w:w="2391"/>
      </w:tblGrid>
      <w:tr w:rsidR="00481E02" w:rsidRPr="00DF29DA" w:rsidTr="006F5C09">
        <w:tc>
          <w:tcPr>
            <w:tcW w:w="1113" w:type="pct"/>
            <w:shd w:val="clear" w:color="auto" w:fill="D9D9D9"/>
            <w:vAlign w:val="center"/>
          </w:tcPr>
          <w:p w:rsidR="00481E02" w:rsidRPr="00DF29DA" w:rsidRDefault="00481E02" w:rsidP="00481E02">
            <w:pPr>
              <w:pBdr>
                <w:top w:val="nil"/>
                <w:left w:val="nil"/>
                <w:bottom w:val="nil"/>
                <w:right w:val="nil"/>
                <w:between w:val="nil"/>
              </w:pBdr>
              <w:ind w:right="100"/>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Información solicitada</w:t>
            </w:r>
          </w:p>
        </w:tc>
        <w:tc>
          <w:tcPr>
            <w:tcW w:w="1315" w:type="pct"/>
            <w:shd w:val="clear" w:color="auto" w:fill="D9D9D9"/>
            <w:vAlign w:val="center"/>
          </w:tcPr>
          <w:p w:rsidR="00481E02" w:rsidRPr="00DF29DA" w:rsidRDefault="00481E02" w:rsidP="00C440CF">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Información proporcionada</w:t>
            </w:r>
          </w:p>
        </w:tc>
        <w:tc>
          <w:tcPr>
            <w:tcW w:w="1287" w:type="pct"/>
            <w:shd w:val="clear" w:color="auto" w:fill="D9D9D9"/>
            <w:vAlign w:val="center"/>
          </w:tcPr>
          <w:p w:rsidR="00481E02" w:rsidRPr="00DF29DA" w:rsidRDefault="00481E02" w:rsidP="00C440CF">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Razones o motivos de inconformidad</w:t>
            </w:r>
          </w:p>
        </w:tc>
        <w:tc>
          <w:tcPr>
            <w:tcW w:w="1285" w:type="pct"/>
            <w:shd w:val="clear" w:color="auto" w:fill="D9D9D9"/>
            <w:vAlign w:val="center"/>
          </w:tcPr>
          <w:p w:rsidR="00481E02" w:rsidRPr="00DF29DA" w:rsidRDefault="00481E02" w:rsidP="00C440CF">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¿Colma?</w:t>
            </w:r>
          </w:p>
        </w:tc>
      </w:tr>
      <w:tr w:rsidR="00481E02" w:rsidRPr="00DF29DA" w:rsidTr="006F5C09">
        <w:tc>
          <w:tcPr>
            <w:tcW w:w="1113" w:type="pct"/>
          </w:tcPr>
          <w:p w:rsidR="00481E02" w:rsidRPr="00DF29DA" w:rsidRDefault="00481E02" w:rsidP="00481E02">
            <w:pPr>
              <w:ind w:right="100"/>
              <w:jc w:val="both"/>
              <w:rPr>
                <w:rFonts w:ascii="Palatino Linotype" w:eastAsia="Palatino Linotype" w:hAnsi="Palatino Linotype" w:cs="Palatino Linotype"/>
                <w:i/>
              </w:rPr>
            </w:pPr>
            <w:r w:rsidRPr="00DF29DA">
              <w:rPr>
                <w:rFonts w:ascii="Palatino Linotype" w:eastAsia="Palatino Linotype" w:hAnsi="Palatino Linotype" w:cs="Palatino Linotype"/>
                <w:i/>
              </w:rPr>
              <w:t>1. Acta de instalación del Comité de Transparencia vigente.</w:t>
            </w:r>
          </w:p>
        </w:tc>
        <w:tc>
          <w:tcPr>
            <w:tcW w:w="1315" w:type="pct"/>
            <w:vAlign w:val="center"/>
          </w:tcPr>
          <w:p w:rsidR="00481E02" w:rsidRPr="00DF29DA" w:rsidRDefault="000C7E4E" w:rsidP="001917E5">
            <w:pPr>
              <w:pBdr>
                <w:top w:val="nil"/>
                <w:left w:val="nil"/>
                <w:bottom w:val="nil"/>
                <w:right w:val="nil"/>
                <w:between w:val="nil"/>
              </w:pBdr>
              <w:ind w:left="-22"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Sin pronunciamiento</w:t>
            </w:r>
          </w:p>
        </w:tc>
        <w:tc>
          <w:tcPr>
            <w:tcW w:w="1287" w:type="pct"/>
            <w:vAlign w:val="center"/>
          </w:tcPr>
          <w:p w:rsidR="00481E02" w:rsidRPr="00DF29DA" w:rsidRDefault="005812D5" w:rsidP="001917E5">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Sin inconformidad</w:t>
            </w:r>
          </w:p>
        </w:tc>
        <w:tc>
          <w:tcPr>
            <w:tcW w:w="1285" w:type="pct"/>
            <w:vAlign w:val="center"/>
          </w:tcPr>
          <w:p w:rsidR="00481E02" w:rsidRPr="00DF29DA" w:rsidRDefault="001917E5" w:rsidP="001917E5">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Actos consentidos</w:t>
            </w:r>
          </w:p>
        </w:tc>
      </w:tr>
      <w:tr w:rsidR="00481E02" w:rsidRPr="00DF29DA" w:rsidTr="006F5C09">
        <w:tc>
          <w:tcPr>
            <w:tcW w:w="1113" w:type="pct"/>
          </w:tcPr>
          <w:p w:rsidR="00481E02" w:rsidRPr="00DF29DA" w:rsidRDefault="00481E02" w:rsidP="00481E02">
            <w:pPr>
              <w:tabs>
                <w:tab w:val="left" w:pos="1230"/>
              </w:tabs>
              <w:ind w:right="100"/>
              <w:jc w:val="both"/>
              <w:rPr>
                <w:rFonts w:ascii="Palatino Linotype" w:eastAsia="Palatino Linotype" w:hAnsi="Palatino Linotype" w:cs="Palatino Linotype"/>
                <w:i/>
              </w:rPr>
            </w:pPr>
            <w:r w:rsidRPr="00DF29DA">
              <w:rPr>
                <w:rFonts w:ascii="Palatino Linotype" w:eastAsia="Palatino Linotype" w:hAnsi="Palatino Linotype" w:cs="Palatino Linotype"/>
                <w:i/>
              </w:rPr>
              <w:t>2. Acuse de recibido de las invitaciones a los integrantes del Comité para acudir a la sesión de instalación.</w:t>
            </w:r>
          </w:p>
        </w:tc>
        <w:tc>
          <w:tcPr>
            <w:tcW w:w="1315" w:type="pct"/>
            <w:vAlign w:val="center"/>
          </w:tcPr>
          <w:p w:rsidR="00481E02" w:rsidRPr="00DF29DA" w:rsidRDefault="000C7E4E" w:rsidP="001917E5">
            <w:pPr>
              <w:pBdr>
                <w:top w:val="nil"/>
                <w:left w:val="nil"/>
                <w:bottom w:val="nil"/>
                <w:right w:val="nil"/>
                <w:between w:val="nil"/>
              </w:pBdr>
              <w:ind w:left="-22" w:right="12"/>
              <w:jc w:val="center"/>
              <w:rPr>
                <w:rFonts w:ascii="Palatino Linotype" w:eastAsia="Palatino Linotype" w:hAnsi="Palatino Linotype" w:cs="Palatino Linotype"/>
                <w:color w:val="000000"/>
              </w:rPr>
            </w:pPr>
            <w:r w:rsidRPr="00DF29DA">
              <w:rPr>
                <w:rFonts w:ascii="Palatino Linotype" w:eastAsia="Palatino Linotype" w:hAnsi="Palatino Linotype" w:cs="Palatino Linotype"/>
                <w:i/>
                <w:color w:val="000000"/>
              </w:rPr>
              <w:t xml:space="preserve">No </w:t>
            </w:r>
            <w:r w:rsidR="00481E02" w:rsidRPr="00DF29DA">
              <w:rPr>
                <w:rFonts w:ascii="Palatino Linotype" w:eastAsia="Palatino Linotype" w:hAnsi="Palatino Linotype" w:cs="Palatino Linotype"/>
                <w:i/>
                <w:color w:val="000000"/>
              </w:rPr>
              <w:t>se generó evidencia documental</w:t>
            </w:r>
          </w:p>
        </w:tc>
        <w:tc>
          <w:tcPr>
            <w:tcW w:w="1287" w:type="pct"/>
            <w:vAlign w:val="center"/>
          </w:tcPr>
          <w:p w:rsidR="00481E02" w:rsidRPr="00DF29DA" w:rsidRDefault="005812D5" w:rsidP="001917E5">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Sin inconformidad</w:t>
            </w:r>
          </w:p>
        </w:tc>
        <w:tc>
          <w:tcPr>
            <w:tcW w:w="1285" w:type="pct"/>
            <w:vAlign w:val="center"/>
          </w:tcPr>
          <w:p w:rsidR="00481E02" w:rsidRPr="00DF29DA" w:rsidRDefault="001917E5" w:rsidP="001917E5">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Actos consentidos</w:t>
            </w:r>
          </w:p>
        </w:tc>
      </w:tr>
      <w:tr w:rsidR="00481E02" w:rsidRPr="00DF29DA" w:rsidTr="006F5C09">
        <w:tc>
          <w:tcPr>
            <w:tcW w:w="1113" w:type="pct"/>
            <w:shd w:val="clear" w:color="auto" w:fill="D9D9D9" w:themeFill="background1" w:themeFillShade="D9"/>
          </w:tcPr>
          <w:p w:rsidR="00481E02" w:rsidRPr="00DF29DA" w:rsidRDefault="00481E02" w:rsidP="00481E02">
            <w:pPr>
              <w:ind w:right="100"/>
              <w:jc w:val="both"/>
              <w:rPr>
                <w:rFonts w:ascii="Palatino Linotype" w:eastAsia="Palatino Linotype" w:hAnsi="Palatino Linotype" w:cs="Palatino Linotype"/>
              </w:rPr>
            </w:pPr>
            <w:r w:rsidRPr="00DF29DA">
              <w:rPr>
                <w:rFonts w:ascii="Palatino Linotype" w:eastAsia="Palatino Linotype" w:hAnsi="Palatino Linotype" w:cs="Palatino Linotype"/>
              </w:rPr>
              <w:t>De la sesión ordinaria del Comité de Transparencia, de fecha 14 de noviembre de 2024</w:t>
            </w:r>
          </w:p>
        </w:tc>
        <w:tc>
          <w:tcPr>
            <w:tcW w:w="1315" w:type="pct"/>
            <w:shd w:val="clear" w:color="auto" w:fill="D9D9D9" w:themeFill="background1" w:themeFillShade="D9"/>
            <w:vAlign w:val="center"/>
          </w:tcPr>
          <w:p w:rsidR="00481E02" w:rsidRPr="00DF29DA" w:rsidRDefault="00481E02" w:rsidP="001917E5">
            <w:pPr>
              <w:pBdr>
                <w:top w:val="nil"/>
                <w:left w:val="nil"/>
                <w:bottom w:val="nil"/>
                <w:right w:val="nil"/>
                <w:between w:val="nil"/>
              </w:pBdr>
              <w:ind w:left="-22" w:right="12"/>
              <w:jc w:val="center"/>
              <w:rPr>
                <w:rFonts w:ascii="Palatino Linotype" w:eastAsia="Palatino Linotype" w:hAnsi="Palatino Linotype" w:cs="Palatino Linotype"/>
                <w:color w:val="000000"/>
              </w:rPr>
            </w:pPr>
          </w:p>
        </w:tc>
        <w:tc>
          <w:tcPr>
            <w:tcW w:w="1287" w:type="pct"/>
            <w:shd w:val="clear" w:color="auto" w:fill="D9D9D9" w:themeFill="background1" w:themeFillShade="D9"/>
            <w:vAlign w:val="center"/>
          </w:tcPr>
          <w:p w:rsidR="00481E02" w:rsidRPr="00DF29DA" w:rsidRDefault="00481E02" w:rsidP="001917E5">
            <w:pPr>
              <w:pBdr>
                <w:top w:val="nil"/>
                <w:left w:val="nil"/>
                <w:bottom w:val="nil"/>
                <w:right w:val="nil"/>
                <w:between w:val="nil"/>
              </w:pBdr>
              <w:ind w:right="12"/>
              <w:jc w:val="center"/>
              <w:rPr>
                <w:rFonts w:ascii="Palatino Linotype" w:eastAsia="Palatino Linotype" w:hAnsi="Palatino Linotype" w:cs="Palatino Linotype"/>
                <w:b/>
                <w:color w:val="000000"/>
              </w:rPr>
            </w:pPr>
          </w:p>
        </w:tc>
        <w:tc>
          <w:tcPr>
            <w:tcW w:w="1285" w:type="pct"/>
            <w:shd w:val="clear" w:color="auto" w:fill="D9D9D9" w:themeFill="background1" w:themeFillShade="D9"/>
            <w:vAlign w:val="center"/>
          </w:tcPr>
          <w:p w:rsidR="00481E02" w:rsidRPr="00DF29DA" w:rsidRDefault="00481E02" w:rsidP="001917E5">
            <w:pPr>
              <w:pBdr>
                <w:top w:val="nil"/>
                <w:left w:val="nil"/>
                <w:bottom w:val="nil"/>
                <w:right w:val="nil"/>
                <w:between w:val="nil"/>
              </w:pBdr>
              <w:ind w:right="12"/>
              <w:jc w:val="center"/>
              <w:rPr>
                <w:rFonts w:ascii="Palatino Linotype" w:eastAsia="Palatino Linotype" w:hAnsi="Palatino Linotype" w:cs="Palatino Linotype"/>
                <w:b/>
                <w:color w:val="000000"/>
              </w:rPr>
            </w:pPr>
          </w:p>
        </w:tc>
      </w:tr>
      <w:tr w:rsidR="006F5C09" w:rsidRPr="00DF29DA" w:rsidTr="006F5C09">
        <w:tc>
          <w:tcPr>
            <w:tcW w:w="1113" w:type="pct"/>
          </w:tcPr>
          <w:p w:rsidR="006F5C09" w:rsidRPr="00DF29DA" w:rsidRDefault="006F5C09" w:rsidP="006F5C09">
            <w:pPr>
              <w:ind w:right="100"/>
              <w:jc w:val="both"/>
              <w:rPr>
                <w:rFonts w:ascii="Palatino Linotype" w:eastAsia="Palatino Linotype" w:hAnsi="Palatino Linotype" w:cs="Palatino Linotype"/>
                <w:i/>
              </w:rPr>
            </w:pPr>
            <w:r w:rsidRPr="00DF29DA">
              <w:rPr>
                <w:rFonts w:ascii="Palatino Linotype" w:eastAsia="Palatino Linotype" w:hAnsi="Palatino Linotype" w:cs="Palatino Linotype"/>
                <w:i/>
              </w:rPr>
              <w:lastRenderedPageBreak/>
              <w:t>3. Acuse de recibido de las invitaciones a los integrantes del Comité de Transparencia para acudir a la sesión</w:t>
            </w:r>
          </w:p>
        </w:tc>
        <w:tc>
          <w:tcPr>
            <w:tcW w:w="1315" w:type="pct"/>
            <w:vAlign w:val="center"/>
          </w:tcPr>
          <w:p w:rsidR="006F5C09" w:rsidRPr="00DF29DA" w:rsidRDefault="006F5C09" w:rsidP="006F5C09">
            <w:pPr>
              <w:pBdr>
                <w:top w:val="nil"/>
                <w:left w:val="nil"/>
                <w:bottom w:val="nil"/>
                <w:right w:val="nil"/>
                <w:between w:val="nil"/>
              </w:pBdr>
              <w:ind w:left="-22" w:right="12"/>
              <w:jc w:val="center"/>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No se generó evidencia documental.</w:t>
            </w:r>
          </w:p>
        </w:tc>
        <w:tc>
          <w:tcPr>
            <w:tcW w:w="1287" w:type="pct"/>
            <w:vAlign w:val="center"/>
          </w:tcPr>
          <w:p w:rsidR="006F5C09" w:rsidRPr="00DF29DA" w:rsidRDefault="006F5C09" w:rsidP="006F5C09">
            <w:pPr>
              <w:pBdr>
                <w:top w:val="nil"/>
                <w:left w:val="nil"/>
                <w:bottom w:val="nil"/>
                <w:right w:val="nil"/>
                <w:between w:val="nil"/>
              </w:pBdr>
              <w:ind w:right="12"/>
              <w:jc w:val="both"/>
              <w:rPr>
                <w:rFonts w:ascii="Palatino Linotype" w:eastAsia="Palatino Linotype" w:hAnsi="Palatino Linotype" w:cs="Palatino Linotype"/>
                <w:b/>
                <w:color w:val="000000"/>
              </w:rPr>
            </w:pPr>
            <w:r w:rsidRPr="00DF29DA">
              <w:rPr>
                <w:rFonts w:ascii="Palatino Linotype" w:eastAsia="Palatino Linotype" w:hAnsi="Palatino Linotype" w:cs="Palatino Linotype"/>
                <w:i/>
                <w:color w:val="000000"/>
              </w:rPr>
              <w:t>Entrega una invitación a solicitud del rector que en su caso no es el presidente o secretario del comité</w:t>
            </w:r>
          </w:p>
        </w:tc>
        <w:tc>
          <w:tcPr>
            <w:tcW w:w="1285" w:type="pct"/>
            <w:vAlign w:val="center"/>
          </w:tcPr>
          <w:p w:rsidR="006F5C09" w:rsidRPr="00DF29DA" w:rsidRDefault="006F5C09" w:rsidP="006F5C09">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Inconformidad que no guarda relación con la información requerida.</w:t>
            </w:r>
          </w:p>
        </w:tc>
      </w:tr>
      <w:tr w:rsidR="00481E02" w:rsidRPr="00DF29DA" w:rsidTr="006F5C09">
        <w:tc>
          <w:tcPr>
            <w:tcW w:w="1113" w:type="pct"/>
          </w:tcPr>
          <w:p w:rsidR="00481E02" w:rsidRPr="00DF29DA" w:rsidRDefault="00481E02" w:rsidP="00481E02">
            <w:pPr>
              <w:ind w:right="100"/>
              <w:jc w:val="both"/>
              <w:rPr>
                <w:rFonts w:ascii="Palatino Linotype" w:eastAsia="Palatino Linotype" w:hAnsi="Palatino Linotype" w:cs="Palatino Linotype"/>
                <w:i/>
              </w:rPr>
            </w:pPr>
            <w:r w:rsidRPr="00DF29DA">
              <w:rPr>
                <w:rFonts w:ascii="Palatino Linotype" w:eastAsia="Palatino Linotype" w:hAnsi="Palatino Linotype" w:cs="Palatino Linotype"/>
                <w:i/>
              </w:rPr>
              <w:t>4. Orden del día</w:t>
            </w:r>
          </w:p>
        </w:tc>
        <w:tc>
          <w:tcPr>
            <w:tcW w:w="1315" w:type="pct"/>
          </w:tcPr>
          <w:p w:rsidR="00481E02" w:rsidRPr="00DF29DA" w:rsidRDefault="000C7E4E" w:rsidP="00C440CF">
            <w:pPr>
              <w:pBdr>
                <w:top w:val="nil"/>
                <w:left w:val="nil"/>
                <w:bottom w:val="nil"/>
                <w:right w:val="nil"/>
                <w:between w:val="nil"/>
              </w:pBdr>
              <w:ind w:left="-22" w:right="12"/>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En </w:t>
            </w:r>
            <w:r w:rsidR="00481E02" w:rsidRPr="00DF29DA">
              <w:rPr>
                <w:rFonts w:ascii="Palatino Linotype" w:eastAsia="Palatino Linotype" w:hAnsi="Palatino Linotype" w:cs="Palatino Linotype"/>
                <w:i/>
                <w:color w:val="000000"/>
              </w:rPr>
              <w:t>archivo electrónico adjunto encontrará la información</w:t>
            </w:r>
          </w:p>
          <w:p w:rsidR="00C40970" w:rsidRPr="00DF29DA" w:rsidRDefault="00C40970" w:rsidP="00C440CF">
            <w:pPr>
              <w:pBdr>
                <w:top w:val="nil"/>
                <w:left w:val="nil"/>
                <w:bottom w:val="nil"/>
                <w:right w:val="nil"/>
                <w:between w:val="nil"/>
              </w:pBdr>
              <w:ind w:left="-22" w:right="12"/>
              <w:jc w:val="both"/>
              <w:rPr>
                <w:rFonts w:ascii="Palatino Linotype" w:eastAsia="Palatino Linotype" w:hAnsi="Palatino Linotype" w:cs="Palatino Linotype"/>
                <w:i/>
                <w:color w:val="000000"/>
              </w:rPr>
            </w:pPr>
          </w:p>
          <w:p w:rsidR="00C40970" w:rsidRPr="00DF29DA" w:rsidRDefault="00C40970" w:rsidP="00C40970">
            <w:pPr>
              <w:pBdr>
                <w:top w:val="nil"/>
                <w:left w:val="nil"/>
                <w:bottom w:val="nil"/>
                <w:right w:val="nil"/>
                <w:between w:val="nil"/>
              </w:pBdr>
              <w:ind w:left="-22" w:right="12"/>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Se remite el documento que contiene la Primera Convocatoria a los integrantes del Comité de Transparencia, citando a la reunión Ordinaria del Comité de Transparencia, el jueves 14 de noviembre de 2024, en el que se señala la propuesta del orden del día.</w:t>
            </w:r>
          </w:p>
        </w:tc>
        <w:tc>
          <w:tcPr>
            <w:tcW w:w="1287" w:type="pct"/>
          </w:tcPr>
          <w:p w:rsidR="00481E02" w:rsidRPr="00DF29DA" w:rsidRDefault="005812D5" w:rsidP="005812D5">
            <w:pPr>
              <w:pBdr>
                <w:top w:val="nil"/>
                <w:left w:val="nil"/>
                <w:bottom w:val="nil"/>
                <w:right w:val="nil"/>
                <w:between w:val="nil"/>
              </w:pBdr>
              <w:ind w:right="12"/>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i/>
                <w:color w:val="000000"/>
              </w:rPr>
              <w:t>Entrega una invitación a solicitud del rector que en su caso no es el presidente o secretario del comité</w:t>
            </w:r>
          </w:p>
        </w:tc>
        <w:tc>
          <w:tcPr>
            <w:tcW w:w="1285" w:type="pct"/>
          </w:tcPr>
          <w:p w:rsidR="00481E02" w:rsidRPr="00DF29DA" w:rsidRDefault="001917E5" w:rsidP="00C440CF">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t>Inconformidad que no guarda relación con la información requerida</w:t>
            </w:r>
            <w:r w:rsidR="00576C02" w:rsidRPr="00DF29DA">
              <w:rPr>
                <w:rFonts w:ascii="Palatino Linotype" w:eastAsia="Palatino Linotype" w:hAnsi="Palatino Linotype" w:cs="Palatino Linotype"/>
                <w:b/>
                <w:color w:val="000000"/>
              </w:rPr>
              <w:t>.</w:t>
            </w:r>
          </w:p>
        </w:tc>
      </w:tr>
      <w:tr w:rsidR="00481E02" w:rsidRPr="00DF29DA" w:rsidTr="006F5C09">
        <w:tc>
          <w:tcPr>
            <w:tcW w:w="1113" w:type="pct"/>
          </w:tcPr>
          <w:p w:rsidR="00481E02" w:rsidRPr="00DF29DA" w:rsidRDefault="00481E02" w:rsidP="00481E02">
            <w:pPr>
              <w:ind w:right="100"/>
              <w:jc w:val="both"/>
              <w:rPr>
                <w:rFonts w:ascii="Palatino Linotype" w:eastAsia="Palatino Linotype" w:hAnsi="Palatino Linotype" w:cs="Palatino Linotype"/>
                <w:i/>
              </w:rPr>
            </w:pPr>
            <w:r w:rsidRPr="00DF29DA">
              <w:rPr>
                <w:rFonts w:ascii="Palatino Linotype" w:eastAsia="Palatino Linotype" w:hAnsi="Palatino Linotype" w:cs="Palatino Linotype"/>
                <w:i/>
              </w:rPr>
              <w:t>5.Documentación soporte generada para la reunión</w:t>
            </w:r>
          </w:p>
        </w:tc>
        <w:tc>
          <w:tcPr>
            <w:tcW w:w="1315" w:type="pct"/>
          </w:tcPr>
          <w:p w:rsidR="00481E02" w:rsidRPr="00DF29DA" w:rsidRDefault="000C7E4E" w:rsidP="00C440CF">
            <w:pPr>
              <w:pBdr>
                <w:top w:val="nil"/>
                <w:left w:val="nil"/>
                <w:bottom w:val="nil"/>
                <w:right w:val="nil"/>
                <w:between w:val="nil"/>
              </w:pBdr>
              <w:ind w:left="-22" w:right="12"/>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En</w:t>
            </w:r>
            <w:r w:rsidR="00481E02" w:rsidRPr="00DF29DA">
              <w:rPr>
                <w:rFonts w:ascii="Palatino Linotype" w:eastAsia="Palatino Linotype" w:hAnsi="Palatino Linotype" w:cs="Palatino Linotype"/>
                <w:i/>
                <w:color w:val="000000"/>
              </w:rPr>
              <w:t xml:space="preserve"> archivo electrónico adjunto encontrará la información relativa al orden del día y acta se la sesión.</w:t>
            </w:r>
          </w:p>
          <w:p w:rsidR="00C40970" w:rsidRPr="00DF29DA" w:rsidRDefault="00C40970" w:rsidP="00C440CF">
            <w:pPr>
              <w:pBdr>
                <w:top w:val="nil"/>
                <w:left w:val="nil"/>
                <w:bottom w:val="nil"/>
                <w:right w:val="nil"/>
                <w:between w:val="nil"/>
              </w:pBdr>
              <w:ind w:left="-22" w:right="12"/>
              <w:jc w:val="both"/>
              <w:rPr>
                <w:rFonts w:ascii="Palatino Linotype" w:eastAsia="Palatino Linotype" w:hAnsi="Palatino Linotype" w:cs="Palatino Linotype"/>
                <w:i/>
                <w:color w:val="000000"/>
              </w:rPr>
            </w:pPr>
          </w:p>
          <w:p w:rsidR="00C40970" w:rsidRPr="00DF29DA" w:rsidRDefault="00C40970" w:rsidP="00C440CF">
            <w:pPr>
              <w:pBdr>
                <w:top w:val="nil"/>
                <w:left w:val="nil"/>
                <w:bottom w:val="nil"/>
                <w:right w:val="nil"/>
                <w:between w:val="nil"/>
              </w:pBdr>
              <w:ind w:left="-22" w:right="12"/>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lastRenderedPageBreak/>
              <w:t>Se remite acta de la sesión y convocatoria.</w:t>
            </w:r>
          </w:p>
        </w:tc>
        <w:tc>
          <w:tcPr>
            <w:tcW w:w="1287" w:type="pct"/>
          </w:tcPr>
          <w:p w:rsidR="00481E02" w:rsidRPr="00DF29DA" w:rsidRDefault="005812D5" w:rsidP="005812D5">
            <w:pPr>
              <w:pBdr>
                <w:top w:val="nil"/>
                <w:left w:val="nil"/>
                <w:bottom w:val="nil"/>
                <w:right w:val="nil"/>
                <w:between w:val="nil"/>
              </w:pBdr>
              <w:ind w:right="12"/>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i/>
                <w:color w:val="000000"/>
              </w:rPr>
              <w:lastRenderedPageBreak/>
              <w:t xml:space="preserve">Entrega una invitación a solicitud del rector que en su caso no es el presidente o secretario del comité, entrega la simulación de un acta que no toma </w:t>
            </w:r>
            <w:r w:rsidRPr="00DF29DA">
              <w:rPr>
                <w:rFonts w:ascii="Palatino Linotype" w:eastAsia="Palatino Linotype" w:hAnsi="Palatino Linotype" w:cs="Palatino Linotype"/>
                <w:i/>
                <w:color w:val="000000"/>
              </w:rPr>
              <w:lastRenderedPageBreak/>
              <w:t>las decisiones por votación, no distingue la aprobación o no del comité, refiere reservas sin sustento, integración del comité sin apegarse a la ley en materia, acaso INFOEM permite que la transparencia se maneje de forma simulada sin un comité instalado correctamente, con un sustento de los acuerdos tomados y sobre todo que se simulen los actos de autoridad competente</w:t>
            </w:r>
          </w:p>
        </w:tc>
        <w:tc>
          <w:tcPr>
            <w:tcW w:w="1285" w:type="pct"/>
          </w:tcPr>
          <w:p w:rsidR="00481E02" w:rsidRPr="00DF29DA" w:rsidRDefault="00EC3094" w:rsidP="00C440CF">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lastRenderedPageBreak/>
              <w:t>Inconformidad que no guarda relación con la información requerida.</w:t>
            </w:r>
          </w:p>
        </w:tc>
      </w:tr>
      <w:tr w:rsidR="00481E02" w:rsidRPr="00DF29DA" w:rsidTr="006F5C09">
        <w:tc>
          <w:tcPr>
            <w:tcW w:w="1113" w:type="pct"/>
          </w:tcPr>
          <w:p w:rsidR="00481E02" w:rsidRPr="00DF29DA" w:rsidRDefault="00481E02" w:rsidP="00481E02">
            <w:pPr>
              <w:ind w:right="100"/>
              <w:jc w:val="both"/>
              <w:rPr>
                <w:rFonts w:ascii="Palatino Linotype" w:eastAsia="Palatino Linotype" w:hAnsi="Palatino Linotype" w:cs="Palatino Linotype"/>
                <w:i/>
              </w:rPr>
            </w:pPr>
            <w:r w:rsidRPr="00DF29DA">
              <w:rPr>
                <w:rFonts w:ascii="Palatino Linotype" w:eastAsia="Palatino Linotype" w:hAnsi="Palatino Linotype" w:cs="Palatino Linotype"/>
                <w:i/>
              </w:rPr>
              <w:lastRenderedPageBreak/>
              <w:t>6. Acta de la Sesión</w:t>
            </w:r>
          </w:p>
        </w:tc>
        <w:tc>
          <w:tcPr>
            <w:tcW w:w="1315" w:type="pct"/>
          </w:tcPr>
          <w:p w:rsidR="00481E02" w:rsidRPr="00DF29DA" w:rsidRDefault="000C7E4E" w:rsidP="00C440CF">
            <w:pPr>
              <w:pBdr>
                <w:top w:val="nil"/>
                <w:left w:val="nil"/>
                <w:bottom w:val="nil"/>
                <w:right w:val="nil"/>
                <w:between w:val="nil"/>
              </w:pBdr>
              <w:ind w:left="-22" w:right="12"/>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En </w:t>
            </w:r>
            <w:r w:rsidR="00481E02" w:rsidRPr="00DF29DA">
              <w:rPr>
                <w:rFonts w:ascii="Palatino Linotype" w:eastAsia="Palatino Linotype" w:hAnsi="Palatino Linotype" w:cs="Palatino Linotype"/>
                <w:i/>
                <w:color w:val="000000"/>
              </w:rPr>
              <w:t>archivo electrónico adjunto encontrará la información</w:t>
            </w:r>
          </w:p>
          <w:p w:rsidR="00C40970" w:rsidRPr="00DF29DA" w:rsidRDefault="00C40970" w:rsidP="00C440CF">
            <w:pPr>
              <w:pBdr>
                <w:top w:val="nil"/>
                <w:left w:val="nil"/>
                <w:bottom w:val="nil"/>
                <w:right w:val="nil"/>
                <w:between w:val="nil"/>
              </w:pBdr>
              <w:ind w:left="-22" w:right="12"/>
              <w:jc w:val="both"/>
              <w:rPr>
                <w:rFonts w:ascii="Palatino Linotype" w:eastAsia="Palatino Linotype" w:hAnsi="Palatino Linotype" w:cs="Palatino Linotype"/>
                <w:i/>
                <w:color w:val="000000"/>
              </w:rPr>
            </w:pPr>
          </w:p>
          <w:p w:rsidR="00C40970" w:rsidRPr="00DF29DA" w:rsidRDefault="00C40970" w:rsidP="00C440CF">
            <w:pPr>
              <w:pBdr>
                <w:top w:val="nil"/>
                <w:left w:val="nil"/>
                <w:bottom w:val="nil"/>
                <w:right w:val="nil"/>
                <w:between w:val="nil"/>
              </w:pBdr>
              <w:ind w:left="-22" w:right="12"/>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color w:val="000000"/>
              </w:rPr>
              <w:t>Se remite el Acta de la Reunión Ordinaria del Comité de Transparencia correspondiente al 14 de noviembre de 2024. Acta 46/2024</w:t>
            </w:r>
          </w:p>
        </w:tc>
        <w:tc>
          <w:tcPr>
            <w:tcW w:w="1287" w:type="pct"/>
          </w:tcPr>
          <w:p w:rsidR="00481E02" w:rsidRPr="00DF29DA" w:rsidRDefault="005812D5" w:rsidP="005812D5">
            <w:pPr>
              <w:pBdr>
                <w:top w:val="nil"/>
                <w:left w:val="nil"/>
                <w:bottom w:val="nil"/>
                <w:right w:val="nil"/>
                <w:between w:val="nil"/>
              </w:pBdr>
              <w:ind w:right="12"/>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Entrega la simulación de un acta que no toma las decisiones por votación, no distingue la aprobación o no del comité, refiere reservas sin sustento, integración del comité sin apegarse a la ley en materia, acaso INFOEM permite que la transparencia se maneje de forma simulada sin un comité instalado correctamente, con un </w:t>
            </w:r>
            <w:r w:rsidRPr="00DF29DA">
              <w:rPr>
                <w:rFonts w:ascii="Palatino Linotype" w:eastAsia="Palatino Linotype" w:hAnsi="Palatino Linotype" w:cs="Palatino Linotype"/>
                <w:i/>
                <w:color w:val="000000"/>
              </w:rPr>
              <w:lastRenderedPageBreak/>
              <w:t>sustento de los acuerdos tomados y sobre todo que se simulen los actos de autoridad competente.</w:t>
            </w:r>
          </w:p>
        </w:tc>
        <w:tc>
          <w:tcPr>
            <w:tcW w:w="1285" w:type="pct"/>
          </w:tcPr>
          <w:p w:rsidR="00481E02" w:rsidRPr="00DF29DA" w:rsidRDefault="00EC3094" w:rsidP="00C440CF">
            <w:pPr>
              <w:pBdr>
                <w:top w:val="nil"/>
                <w:left w:val="nil"/>
                <w:bottom w:val="nil"/>
                <w:right w:val="nil"/>
                <w:between w:val="nil"/>
              </w:pBdr>
              <w:ind w:right="12"/>
              <w:jc w:val="center"/>
              <w:rPr>
                <w:rFonts w:ascii="Palatino Linotype" w:eastAsia="Palatino Linotype" w:hAnsi="Palatino Linotype" w:cs="Palatino Linotype"/>
                <w:b/>
                <w:color w:val="000000"/>
              </w:rPr>
            </w:pPr>
            <w:r w:rsidRPr="00DF29DA">
              <w:rPr>
                <w:rFonts w:ascii="Palatino Linotype" w:eastAsia="Palatino Linotype" w:hAnsi="Palatino Linotype" w:cs="Palatino Linotype"/>
                <w:b/>
                <w:color w:val="000000"/>
              </w:rPr>
              <w:lastRenderedPageBreak/>
              <w:t>Inconformidad que no guarda relación con la información requerida.</w:t>
            </w:r>
          </w:p>
        </w:tc>
      </w:tr>
    </w:tbl>
    <w:p w:rsidR="008C52A6" w:rsidRPr="00DF29DA" w:rsidRDefault="008C52A6" w:rsidP="008C52A6">
      <w:pPr>
        <w:spacing w:line="360" w:lineRule="auto"/>
        <w:jc w:val="both"/>
        <w:rPr>
          <w:rFonts w:ascii="Palatino Linotype" w:hAnsi="Palatino Linotype"/>
          <w:color w:val="000000" w:themeColor="text1"/>
        </w:rPr>
      </w:pPr>
    </w:p>
    <w:p w:rsidR="00FB65CD" w:rsidRPr="00DF29DA" w:rsidRDefault="003050A2" w:rsidP="00FB65CD">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Es </w:t>
      </w:r>
      <w:r w:rsidR="008C52A6" w:rsidRPr="00DF29DA">
        <w:rPr>
          <w:rFonts w:ascii="Palatino Linotype" w:eastAsia="Palatino Linotype" w:hAnsi="Palatino Linotype" w:cs="Palatino Linotype"/>
        </w:rPr>
        <w:t xml:space="preserve">de referir que de la información proporcionada por el Sujeto Obligado en </w:t>
      </w:r>
      <w:r w:rsidR="008C52A6" w:rsidRPr="00DF29DA">
        <w:rPr>
          <w:rFonts w:ascii="Palatino Linotype" w:eastAsia="Palatino Linotype" w:hAnsi="Palatino Linotype" w:cs="Palatino Linotype"/>
          <w:b/>
        </w:rPr>
        <w:t>Informe Justificado</w:t>
      </w:r>
      <w:r w:rsidR="008C52A6" w:rsidRPr="00DF29DA">
        <w:rPr>
          <w:rFonts w:ascii="Palatino Linotype" w:eastAsia="Palatino Linotype" w:hAnsi="Palatino Linotype" w:cs="Palatino Linotype"/>
        </w:rPr>
        <w:t xml:space="preserve">, </w:t>
      </w:r>
      <w:r w:rsidR="008C52A6" w:rsidRPr="00DF29DA">
        <w:rPr>
          <w:rFonts w:ascii="Palatino Linotype" w:eastAsia="Palatino Linotype" w:hAnsi="Palatino Linotype" w:cs="Palatino Linotype"/>
          <w:b/>
        </w:rPr>
        <w:t>no se puso a la vista</w:t>
      </w:r>
      <w:r w:rsidR="008C52A6" w:rsidRPr="00DF29DA">
        <w:rPr>
          <w:rFonts w:ascii="Palatino Linotype" w:eastAsia="Palatino Linotype" w:hAnsi="Palatino Linotype" w:cs="Palatino Linotype"/>
        </w:rPr>
        <w:t xml:space="preserve"> </w:t>
      </w:r>
      <w:r w:rsidRPr="00DF29DA">
        <w:rPr>
          <w:rFonts w:ascii="Palatino Linotype" w:eastAsia="Palatino Linotype" w:hAnsi="Palatino Linotype" w:cs="Palatino Linotype"/>
        </w:rPr>
        <w:t xml:space="preserve">el archivo denominado </w:t>
      </w:r>
      <w:r w:rsidRPr="00DF29DA">
        <w:rPr>
          <w:rFonts w:ascii="Palatino Linotype" w:eastAsia="Palatino Linotype" w:hAnsi="Palatino Linotype" w:cs="Palatino Linotype"/>
          <w:b/>
          <w:i/>
        </w:rPr>
        <w:t>Mayo2021Web.pdf</w:t>
      </w:r>
      <w:r w:rsidRPr="00DF29DA">
        <w:rPr>
          <w:rFonts w:ascii="Palatino Linotype" w:eastAsia="Palatino Linotype" w:hAnsi="Palatino Linotype" w:cs="Palatino Linotype"/>
        </w:rPr>
        <w:t>, consistente en la Gaceta Universitaria, número 308, de Mayo 2021, mismo que se encuentra en versión pública incorrecta, ya que aparentemente se testaron datos personales como nombres de alumnos y servidores universitarios en procedimientos de responsabilidades, y al copiar y pegar dichos datos suprimidos, pueden visualizarse datos personales.</w:t>
      </w:r>
    </w:p>
    <w:p w:rsidR="00C440CF" w:rsidRPr="00DF29DA" w:rsidRDefault="00C440CF" w:rsidP="00C440CF">
      <w:pPr>
        <w:spacing w:line="360" w:lineRule="auto"/>
        <w:ind w:right="-787"/>
        <w:jc w:val="both"/>
        <w:rPr>
          <w:rFonts w:ascii="Palatino Linotype" w:eastAsia="Palatino Linotype" w:hAnsi="Palatino Linotype" w:cs="Palatino Linotype"/>
        </w:rPr>
      </w:pPr>
    </w:p>
    <w:p w:rsidR="00C440CF" w:rsidRPr="00DF29DA" w:rsidRDefault="00C440CF" w:rsidP="00C440CF">
      <w:pPr>
        <w:numPr>
          <w:ilvl w:val="0"/>
          <w:numId w:val="6"/>
        </w:numPr>
        <w:spacing w:line="360" w:lineRule="auto"/>
        <w:ind w:left="0" w:right="-787" w:firstLine="0"/>
        <w:jc w:val="both"/>
        <w:rPr>
          <w:rFonts w:ascii="Palatino Linotype" w:eastAsia="MS Mincho" w:hAnsi="Palatino Linotype" w:cs="Arial"/>
        </w:rPr>
      </w:pPr>
      <w:r w:rsidRPr="00DF29DA">
        <w:rPr>
          <w:rFonts w:ascii="Palatino Linotype" w:eastAsia="Palatino Linotype" w:hAnsi="Palatino Linotype" w:cs="Palatino Linotype"/>
        </w:rPr>
        <w:t>Siguiendo el estudio de la presente resolución</w:t>
      </w:r>
      <w:r w:rsidRPr="00DF29DA">
        <w:rPr>
          <w:rFonts w:ascii="Palatino Linotype" w:eastAsia="Palatino Linotype" w:hAnsi="Palatino Linotype" w:cs="Palatino Linotype"/>
          <w:color w:val="000000"/>
        </w:rPr>
        <w:t xml:space="preserve">, en relación a los puntos de solicitud relativos a: </w:t>
      </w:r>
      <w:r w:rsidRPr="00DF29DA">
        <w:rPr>
          <w:rFonts w:ascii="Palatino Linotype" w:eastAsia="Palatino Linotype" w:hAnsi="Palatino Linotype" w:cs="Palatino Linotype"/>
          <w:b/>
          <w:i/>
          <w:color w:val="000000"/>
        </w:rPr>
        <w:t>Acta de instalación del Comité de Transparencia vigente;</w:t>
      </w:r>
      <w:r w:rsidR="006F5C09" w:rsidRPr="00DF29DA">
        <w:rPr>
          <w:rFonts w:ascii="Palatino Linotype" w:eastAsia="Palatino Linotype" w:hAnsi="Palatino Linotype" w:cs="Palatino Linotype"/>
          <w:b/>
          <w:i/>
          <w:color w:val="000000"/>
        </w:rPr>
        <w:t xml:space="preserve"> y</w:t>
      </w:r>
      <w:r w:rsidRPr="00DF29DA">
        <w:rPr>
          <w:rFonts w:ascii="Palatino Linotype" w:eastAsia="Palatino Linotype" w:hAnsi="Palatino Linotype" w:cs="Palatino Linotype"/>
          <w:b/>
          <w:i/>
          <w:color w:val="000000"/>
        </w:rPr>
        <w:t xml:space="preserve"> Acuse de recibido de las invitaciones a los integrantes del Comité para acudir a la sesión de instalación</w:t>
      </w:r>
      <w:r w:rsidR="006F5C09" w:rsidRPr="00DF29DA">
        <w:rPr>
          <w:rFonts w:ascii="Palatino Linotype" w:eastAsia="Palatino Linotype" w:hAnsi="Palatino Linotype" w:cs="Palatino Linotype"/>
          <w:b/>
          <w:i/>
          <w:color w:val="000000"/>
        </w:rPr>
        <w:t xml:space="preserve">, </w:t>
      </w:r>
      <w:r w:rsidRPr="00DF29DA">
        <w:rPr>
          <w:rFonts w:ascii="Palatino Linotype" w:hAnsi="Palatino Linotype"/>
          <w:color w:val="000000" w:themeColor="text1"/>
        </w:rPr>
        <w:t xml:space="preserve">se deben tener como </w:t>
      </w:r>
      <w:r w:rsidRPr="00DF29DA">
        <w:rPr>
          <w:rFonts w:ascii="Palatino Linotype" w:hAnsi="Palatino Linotype"/>
          <w:b/>
          <w:color w:val="000000" w:themeColor="text1"/>
        </w:rPr>
        <w:t>actos consentidos</w:t>
      </w:r>
      <w:r w:rsidRPr="00DF29DA">
        <w:rPr>
          <w:rFonts w:ascii="Palatino Linotype" w:hAnsi="Palatino Linotype"/>
          <w:color w:val="000000" w:themeColor="text1"/>
        </w:rPr>
        <w:t>, por no haber pronunciamiento de impugnación a estos puntos de la solicitud.</w:t>
      </w:r>
    </w:p>
    <w:p w:rsidR="00C440CF" w:rsidRPr="00DF29DA" w:rsidRDefault="00C440CF" w:rsidP="00C440CF">
      <w:pPr>
        <w:spacing w:line="360" w:lineRule="auto"/>
        <w:ind w:right="-787"/>
        <w:jc w:val="both"/>
        <w:rPr>
          <w:rFonts w:ascii="Palatino Linotype" w:eastAsia="MS Mincho" w:hAnsi="Palatino Linotype" w:cs="Arial"/>
        </w:rPr>
      </w:pPr>
    </w:p>
    <w:p w:rsidR="00C440CF" w:rsidRPr="00DF29DA" w:rsidRDefault="00C440CF" w:rsidP="00C440CF">
      <w:pPr>
        <w:numPr>
          <w:ilvl w:val="0"/>
          <w:numId w:val="6"/>
        </w:numPr>
        <w:spacing w:line="360" w:lineRule="auto"/>
        <w:ind w:left="0" w:right="-787" w:firstLine="0"/>
        <w:jc w:val="both"/>
        <w:rPr>
          <w:rFonts w:ascii="Palatino Linotype" w:eastAsia="MS Mincho" w:hAnsi="Palatino Linotype" w:cs="Arial"/>
        </w:rPr>
      </w:pPr>
      <w:r w:rsidRPr="00DF29DA">
        <w:rPr>
          <w:rFonts w:ascii="Palatino Linotype" w:eastAsia="MS Mincho" w:hAnsi="Palatino Linotype" w:cs="Arial"/>
        </w:rPr>
        <w:t xml:space="preserve">Luego </w:t>
      </w:r>
      <w:r w:rsidRPr="00DF29DA">
        <w:rPr>
          <w:rFonts w:ascii="Palatino Linotype" w:eastAsia="Palatino Linotype" w:hAnsi="Palatino Linotype" w:cs="Palatino Linotype"/>
        </w:rPr>
        <w:t>entonces</w:t>
      </w:r>
      <w:r w:rsidRPr="00DF29DA">
        <w:rPr>
          <w:rFonts w:ascii="Palatino Linotype" w:eastAsia="MS Mincho" w:hAnsi="Palatino Linotype" w:cs="Arial"/>
        </w:rPr>
        <w:t xml:space="preserve">, al no existir inconformidad, la información se tiene por </w:t>
      </w:r>
      <w:r w:rsidRPr="00DF29DA">
        <w:rPr>
          <w:rFonts w:ascii="Palatino Linotype" w:hAnsi="Palatino Linotype"/>
          <w:color w:val="000000" w:themeColor="text1"/>
        </w:rPr>
        <w:t>consentida</w:t>
      </w:r>
      <w:r w:rsidRPr="00DF29DA">
        <w:rPr>
          <w:rFonts w:ascii="Palatino Linotype" w:eastAsia="MS Mincho" w:hAnsi="Palatino Linotype" w:cs="Arial"/>
        </w:rPr>
        <w:t>, ya</w:t>
      </w:r>
      <w:r w:rsidRPr="00DF29DA">
        <w:rPr>
          <w:rFonts w:ascii="Palatino Linotype" w:hAnsi="Palatino Linotype" w:cs="Arial"/>
          <w:b/>
          <w:bCs/>
        </w:rPr>
        <w:t xml:space="preserve"> </w:t>
      </w:r>
      <w:r w:rsidRPr="00DF29DA">
        <w:rPr>
          <w:rFonts w:ascii="Palatino Linotype" w:hAnsi="Palatino Linotype" w:cs="Arial"/>
        </w:rPr>
        <w:t xml:space="preserve">que la falta de impugnación respecto de los requerimientos que no fueron manifestados en el recurso de revisión, debe entenderse como </w:t>
      </w:r>
      <w:r w:rsidRPr="00DF29DA">
        <w:rPr>
          <w:rFonts w:ascii="Palatino Linotype" w:hAnsi="Palatino Linotype" w:cs="Arial"/>
          <w:b/>
          <w:bCs/>
        </w:rPr>
        <w:t>actos consentidos</w:t>
      </w:r>
      <w:r w:rsidRPr="00DF29DA">
        <w:rPr>
          <w:rFonts w:ascii="Palatino Linotype" w:hAnsi="Palatino Linotype" w:cs="Arial"/>
        </w:rPr>
        <w:t>.</w:t>
      </w:r>
    </w:p>
    <w:p w:rsidR="00C440CF" w:rsidRPr="00DF29DA" w:rsidRDefault="00C440CF" w:rsidP="00C440CF">
      <w:pPr>
        <w:pStyle w:val="Prrafodelista"/>
        <w:spacing w:line="360" w:lineRule="auto"/>
        <w:ind w:left="0"/>
        <w:rPr>
          <w:rFonts w:ascii="Palatino Linotype" w:eastAsia="MS Mincho" w:hAnsi="Palatino Linotype" w:cs="Arial"/>
        </w:rPr>
      </w:pPr>
    </w:p>
    <w:p w:rsidR="00C440CF" w:rsidRPr="00DF29DA" w:rsidRDefault="00C440CF" w:rsidP="00C440CF">
      <w:pPr>
        <w:numPr>
          <w:ilvl w:val="0"/>
          <w:numId w:val="6"/>
        </w:numPr>
        <w:spacing w:line="360" w:lineRule="auto"/>
        <w:ind w:left="0" w:right="-787" w:firstLine="0"/>
        <w:jc w:val="both"/>
        <w:rPr>
          <w:rFonts w:ascii="Palatino Linotype" w:hAnsi="Palatino Linotype" w:cs="Arial"/>
        </w:rPr>
      </w:pPr>
      <w:r w:rsidRPr="00DF29DA">
        <w:rPr>
          <w:rFonts w:ascii="Palatino Linotype" w:eastAsia="MS Mincho" w:hAnsi="Palatino Linotype" w:cs="Arial"/>
        </w:rPr>
        <w:lastRenderedPageBreak/>
        <w:t>Esto</w:t>
      </w:r>
      <w:r w:rsidRPr="00DF29DA">
        <w:rPr>
          <w:rFonts w:ascii="Palatino Linotype" w:hAnsi="Palatino Linotype" w:cs="Arial"/>
        </w:rPr>
        <w:t xml:space="preserve"> es así, debido a que cuando el recurrente impugna la respuesta del sujeto obligado y éste no </w:t>
      </w:r>
      <w:r w:rsidRPr="00DF29DA">
        <w:rPr>
          <w:rFonts w:ascii="Palatino Linotype" w:eastAsia="MS Mincho" w:hAnsi="Palatino Linotype" w:cstheme="majorBidi"/>
        </w:rPr>
        <w:t>expresa</w:t>
      </w:r>
      <w:r w:rsidRPr="00DF29DA">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C440CF" w:rsidRPr="00DF29DA" w:rsidRDefault="00C440CF" w:rsidP="00C440CF">
      <w:pPr>
        <w:pStyle w:val="Prrafodelista"/>
        <w:spacing w:line="360" w:lineRule="auto"/>
        <w:rPr>
          <w:rFonts w:ascii="Palatino Linotype" w:hAnsi="Palatino Linotype" w:cs="Arial"/>
        </w:rPr>
      </w:pPr>
    </w:p>
    <w:p w:rsidR="00C440CF" w:rsidRPr="00DF29DA" w:rsidRDefault="00C440CF" w:rsidP="00C440CF">
      <w:pPr>
        <w:pStyle w:val="Prrafodelista"/>
        <w:ind w:left="1134" w:right="-716"/>
        <w:jc w:val="both"/>
        <w:rPr>
          <w:rFonts w:ascii="Palatino Linotype" w:hAnsi="Palatino Linotype" w:cs="Arial"/>
          <w:i/>
        </w:rPr>
      </w:pPr>
      <w:r w:rsidRPr="00DF29DA">
        <w:rPr>
          <w:rFonts w:ascii="Palatino Linotype" w:hAnsi="Palatino Linotype" w:cs="Arial"/>
          <w:b/>
          <w:bCs/>
          <w:i/>
          <w:iCs/>
        </w:rPr>
        <w:t>“REVISIÓN EN AMPARO. LOS RESOLUTIVOS NO COMBATIDOS DEBEN DECLARARSE FIRMES. </w:t>
      </w:r>
      <w:r w:rsidRPr="00DF29DA">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DF29DA">
        <w:rPr>
          <w:rFonts w:ascii="Palatino Linotype" w:hAnsi="Palatino Linotype" w:cs="Arial"/>
          <w:i/>
          <w:iCs/>
        </w:rPr>
        <w:t> Esto es, en el caso referido, no obstante que la materia de la revisión comprende a todos los resolutivos que afectan a EL RECURRENTE, </w:t>
      </w:r>
      <w:r w:rsidRPr="00DF29DA">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F29DA">
        <w:rPr>
          <w:rFonts w:ascii="Palatino Linotype" w:hAnsi="Palatino Linotype" w:cs="Arial"/>
          <w:i/>
          <w:iCs/>
        </w:rPr>
        <w:t>.”</w:t>
      </w:r>
    </w:p>
    <w:p w:rsidR="00C440CF" w:rsidRPr="00DF29DA" w:rsidRDefault="00C440CF" w:rsidP="00C440CF">
      <w:pPr>
        <w:pStyle w:val="Prrafodelista"/>
        <w:ind w:left="1134" w:right="426"/>
        <w:jc w:val="both"/>
        <w:rPr>
          <w:rFonts w:ascii="Palatino Linotype" w:hAnsi="Palatino Linotype" w:cs="Arial"/>
        </w:rPr>
      </w:pPr>
      <w:r w:rsidRPr="00DF29DA">
        <w:rPr>
          <w:rFonts w:ascii="Palatino Linotype" w:hAnsi="Palatino Linotype" w:cs="Arial"/>
        </w:rPr>
        <w:t>(Énfasis añadido)</w:t>
      </w:r>
    </w:p>
    <w:p w:rsidR="00C440CF" w:rsidRPr="00DF29DA" w:rsidRDefault="00C440CF" w:rsidP="00C440CF">
      <w:pPr>
        <w:pStyle w:val="Prrafodelista"/>
        <w:spacing w:line="360" w:lineRule="auto"/>
        <w:ind w:left="426" w:right="426"/>
        <w:jc w:val="center"/>
        <w:rPr>
          <w:rFonts w:ascii="Palatino Linotype" w:hAnsi="Palatino Linotype" w:cs="Arial"/>
        </w:rPr>
      </w:pPr>
    </w:p>
    <w:p w:rsidR="00C440CF" w:rsidRPr="00DF29DA" w:rsidRDefault="00C440CF" w:rsidP="00C440CF">
      <w:pPr>
        <w:numPr>
          <w:ilvl w:val="0"/>
          <w:numId w:val="6"/>
        </w:numPr>
        <w:spacing w:line="360" w:lineRule="auto"/>
        <w:ind w:left="0" w:right="-787" w:firstLine="0"/>
        <w:jc w:val="both"/>
        <w:rPr>
          <w:rFonts w:ascii="Palatino Linotype" w:hAnsi="Palatino Linotype" w:cs="Arial"/>
        </w:rPr>
      </w:pPr>
      <w:r w:rsidRPr="00DF29DA">
        <w:rPr>
          <w:rFonts w:ascii="Palatino Linotype" w:hAnsi="Palatino Linotype" w:cs="Arial"/>
        </w:rPr>
        <w:t xml:space="preserve">Consecutivamente, </w:t>
      </w:r>
      <w:r w:rsidRPr="00DF29DA">
        <w:rPr>
          <w:rFonts w:ascii="Palatino Linotype" w:hAnsi="Palatino Linotype" w:cs="Arial"/>
          <w:b/>
          <w:bCs/>
        </w:rPr>
        <w:t xml:space="preserve">la parte de la respuesta que no fue impugnada debe </w:t>
      </w:r>
      <w:r w:rsidRPr="00DF29DA">
        <w:rPr>
          <w:rFonts w:ascii="Palatino Linotype" w:eastAsia="MS Mincho" w:hAnsi="Palatino Linotype" w:cs="Arial"/>
        </w:rPr>
        <w:t>declararse</w:t>
      </w:r>
      <w:r w:rsidRPr="00DF29DA">
        <w:rPr>
          <w:rFonts w:ascii="Palatino Linotype" w:hAnsi="Palatino Linotype" w:cs="Arial"/>
          <w:b/>
          <w:bCs/>
        </w:rPr>
        <w:t xml:space="preserve"> </w:t>
      </w:r>
      <w:r w:rsidRPr="00DF29DA">
        <w:rPr>
          <w:rFonts w:ascii="Palatino Linotype" w:eastAsia="MS Mincho" w:hAnsi="Palatino Linotype" w:cs="Arial"/>
        </w:rPr>
        <w:t>consentida</w:t>
      </w:r>
      <w:r w:rsidRPr="00DF29DA">
        <w:rPr>
          <w:rFonts w:ascii="Palatino Linotype" w:hAnsi="Palatino Linotype" w:cs="Arial"/>
          <w:b/>
          <w:bCs/>
        </w:rPr>
        <w:t xml:space="preserve"> por el recurrente, toda vez que no realizó </w:t>
      </w:r>
      <w:r w:rsidRPr="00DF29DA">
        <w:rPr>
          <w:rFonts w:ascii="Palatino Linotype" w:eastAsia="MS Mincho" w:hAnsi="Palatino Linotype" w:cs="Arial"/>
        </w:rPr>
        <w:t>manifestaciones</w:t>
      </w:r>
      <w:r w:rsidRPr="00DF29DA">
        <w:rPr>
          <w:rFonts w:ascii="Palatino Linotype" w:hAnsi="Palatino Linotype" w:cs="Arial"/>
          <w:b/>
          <w:bCs/>
        </w:rPr>
        <w:t xml:space="preserve"> de inconformidad</w:t>
      </w:r>
      <w:r w:rsidRPr="00DF29DA">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C440CF" w:rsidRPr="00DF29DA" w:rsidRDefault="00C440CF" w:rsidP="00C440CF">
      <w:pPr>
        <w:spacing w:line="360" w:lineRule="auto"/>
        <w:ind w:left="360"/>
        <w:contextualSpacing/>
        <w:jc w:val="both"/>
        <w:rPr>
          <w:rFonts w:ascii="Palatino Linotype" w:hAnsi="Palatino Linotype" w:cs="Arial"/>
        </w:rPr>
      </w:pPr>
    </w:p>
    <w:p w:rsidR="00C440CF" w:rsidRPr="00DF29DA" w:rsidRDefault="00C440CF" w:rsidP="00C440CF">
      <w:pPr>
        <w:pStyle w:val="Prrafodelista"/>
        <w:ind w:left="1134" w:right="-716"/>
        <w:jc w:val="both"/>
        <w:rPr>
          <w:rFonts w:ascii="Palatino Linotype" w:hAnsi="Palatino Linotype" w:cs="Arial"/>
          <w:i/>
          <w:iCs/>
        </w:rPr>
      </w:pPr>
      <w:r w:rsidRPr="00DF29DA">
        <w:rPr>
          <w:rFonts w:ascii="Palatino Linotype" w:hAnsi="Palatino Linotype" w:cs="Arial"/>
          <w:b/>
          <w:bCs/>
          <w:i/>
          <w:iCs/>
        </w:rPr>
        <w:lastRenderedPageBreak/>
        <w:t>“ACTOS CONSENTIDOS. SON LOS QUE NO SE IMPUGNAN MEDIANTE EL RECURSO IDÓNEO. </w:t>
      </w:r>
      <w:r w:rsidRPr="00DF29DA">
        <w:rPr>
          <w:rFonts w:ascii="Palatino Linotype" w:hAnsi="Palatino Linotype" w:cs="Arial"/>
          <w:i/>
          <w:iCs/>
          <w:u w:val="single"/>
        </w:rPr>
        <w:t>Debe reputarse como consentido el acto que no se impugnó por el medio establecido por la ley</w:t>
      </w:r>
      <w:r w:rsidRPr="00DF29DA">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440CF" w:rsidRPr="00DF29DA" w:rsidRDefault="00C440CF" w:rsidP="00C440CF">
      <w:pPr>
        <w:pStyle w:val="Prrafodelista"/>
        <w:ind w:left="1134" w:right="902"/>
        <w:jc w:val="both"/>
        <w:rPr>
          <w:rFonts w:ascii="Palatino Linotype" w:hAnsi="Palatino Linotype" w:cs="Arial"/>
        </w:rPr>
      </w:pPr>
      <w:r w:rsidRPr="00DF29DA">
        <w:rPr>
          <w:rFonts w:ascii="Palatino Linotype" w:hAnsi="Palatino Linotype" w:cs="Arial"/>
        </w:rPr>
        <w:t>(Énfasis añadido)</w:t>
      </w:r>
    </w:p>
    <w:p w:rsidR="00C440CF" w:rsidRPr="00DF29DA" w:rsidRDefault="00C440CF" w:rsidP="00C440CF">
      <w:pPr>
        <w:spacing w:line="360" w:lineRule="auto"/>
        <w:jc w:val="both"/>
        <w:rPr>
          <w:rFonts w:ascii="Palatino Linotype" w:hAnsi="Palatino Linotype"/>
          <w:lang w:val="es-MX"/>
        </w:rPr>
      </w:pPr>
    </w:p>
    <w:p w:rsidR="00C440CF" w:rsidRPr="00DF29DA" w:rsidRDefault="00C440CF" w:rsidP="00C440CF">
      <w:pPr>
        <w:numPr>
          <w:ilvl w:val="0"/>
          <w:numId w:val="6"/>
        </w:numPr>
        <w:spacing w:line="360" w:lineRule="auto"/>
        <w:ind w:left="0" w:right="-787" w:firstLine="0"/>
        <w:jc w:val="both"/>
        <w:rPr>
          <w:rFonts w:ascii="Palatino Linotype" w:hAnsi="Palatino Linotype"/>
          <w:lang w:val="es-MX"/>
        </w:rPr>
      </w:pPr>
      <w:r w:rsidRPr="00DF29DA">
        <w:rPr>
          <w:rFonts w:ascii="Palatino Linotype" w:hAnsi="Palatino Linotype" w:cs="Arial"/>
        </w:rPr>
        <w:t xml:space="preserve">Luego entonces, </w:t>
      </w:r>
      <w:r w:rsidRPr="00DF29DA">
        <w:rPr>
          <w:rFonts w:ascii="Palatino Linotype" w:hAnsi="Palatino Linotype" w:cs="Arial"/>
          <w:bCs/>
        </w:rPr>
        <w:t xml:space="preserve">la parte de la respuesta que no fue impugnada por el recurrente debe </w:t>
      </w:r>
      <w:r w:rsidRPr="00DF29DA">
        <w:rPr>
          <w:rFonts w:ascii="Palatino Linotype" w:eastAsia="MS Mincho" w:hAnsi="Palatino Linotype" w:cs="Arial"/>
        </w:rPr>
        <w:t>declararse</w:t>
      </w:r>
      <w:r w:rsidRPr="00DF29DA">
        <w:rPr>
          <w:rFonts w:ascii="Palatino Linotype" w:hAnsi="Palatino Linotype" w:cs="Arial"/>
          <w:bCs/>
        </w:rPr>
        <w:t xml:space="preserve"> </w:t>
      </w:r>
      <w:r w:rsidRPr="00DF29DA">
        <w:rPr>
          <w:rFonts w:ascii="Palatino Linotype" w:eastAsia="MS Mincho" w:hAnsi="Palatino Linotype" w:cs="Arial"/>
        </w:rPr>
        <w:t>consentida</w:t>
      </w:r>
      <w:r w:rsidRPr="00DF29DA">
        <w:rPr>
          <w:rFonts w:ascii="Palatino Linotype" w:hAnsi="Palatino Linotype" w:cs="Arial"/>
          <w:bCs/>
        </w:rPr>
        <w:t>.</w:t>
      </w:r>
    </w:p>
    <w:p w:rsidR="006F5C09" w:rsidRPr="00DF29DA" w:rsidRDefault="006F5C09" w:rsidP="006F5C09">
      <w:pPr>
        <w:spacing w:line="360" w:lineRule="auto"/>
        <w:ind w:right="-787"/>
        <w:jc w:val="both"/>
        <w:rPr>
          <w:rFonts w:ascii="Palatino Linotype" w:hAnsi="Palatino Linotype"/>
          <w:lang w:val="es-MX"/>
        </w:rPr>
      </w:pPr>
    </w:p>
    <w:p w:rsidR="006F5C09" w:rsidRPr="00DF29DA" w:rsidRDefault="006F5C09" w:rsidP="006F5C09">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Continuando con el análisis, como se puede observar, en la solicitud de información, se requirieron </w:t>
      </w:r>
      <w:r w:rsidR="00E37638" w:rsidRPr="00DF29DA">
        <w:rPr>
          <w:rFonts w:ascii="Palatino Linotype" w:eastAsia="Palatino Linotype" w:hAnsi="Palatino Linotype" w:cs="Palatino Linotype"/>
          <w:b/>
          <w:u w:val="single"/>
        </w:rPr>
        <w:t>d</w:t>
      </w:r>
      <w:r w:rsidRPr="00DF29DA">
        <w:rPr>
          <w:rFonts w:ascii="Palatino Linotype" w:eastAsia="Palatino Linotype" w:hAnsi="Palatino Linotype" w:cs="Palatino Linotype"/>
          <w:b/>
          <w:u w:val="single"/>
        </w:rPr>
        <w:t>e la sesión ordinaria del Comité de Transparencia, de fecha 14 de noviembre de 2024:</w:t>
      </w:r>
      <w:r w:rsidRPr="00DF29DA">
        <w:rPr>
          <w:rFonts w:ascii="Palatino Linotype" w:eastAsia="Palatino Linotype" w:hAnsi="Palatino Linotype" w:cs="Palatino Linotype"/>
          <w:b/>
          <w:i/>
          <w:u w:val="single"/>
        </w:rPr>
        <w:t xml:space="preserve"> Acuse de recibido de las invitaciones a los integrantes del Comité de Transparencia para acudir a la sesión; Orden del día; Documentación soporte generada para la reunión; y Acta de la Sesión</w:t>
      </w:r>
      <w:r w:rsidR="000103CF" w:rsidRPr="00DF29DA">
        <w:rPr>
          <w:rFonts w:ascii="Palatino Linotype" w:eastAsia="Palatino Linotype" w:hAnsi="Palatino Linotype" w:cs="Palatino Linotype"/>
          <w:b/>
        </w:rPr>
        <w:t xml:space="preserve">; </w:t>
      </w:r>
      <w:r w:rsidR="000103CF" w:rsidRPr="00DF29DA">
        <w:rPr>
          <w:rFonts w:ascii="Palatino Linotype" w:eastAsia="Palatino Linotype" w:hAnsi="Palatino Linotype" w:cs="Palatino Linotype"/>
        </w:rPr>
        <w:t xml:space="preserve">por lo que, el Sujeto Obligado remite en respuesta el acta de la sesión y la convocatoria a la misma; </w:t>
      </w:r>
      <w:r w:rsidR="00E37638" w:rsidRPr="00DF29DA">
        <w:rPr>
          <w:rFonts w:ascii="Palatino Linotype" w:eastAsia="Palatino Linotype" w:hAnsi="Palatino Linotype" w:cs="Palatino Linotype"/>
        </w:rPr>
        <w:t>en consecuencia,</w:t>
      </w:r>
      <w:r w:rsidR="000103CF" w:rsidRPr="00DF29DA">
        <w:rPr>
          <w:rFonts w:ascii="Palatino Linotype" w:eastAsia="Palatino Linotype" w:hAnsi="Palatino Linotype" w:cs="Palatino Linotype"/>
        </w:rPr>
        <w:t xml:space="preserve"> el </w:t>
      </w:r>
      <w:r w:rsidRPr="00DF29DA">
        <w:rPr>
          <w:rFonts w:ascii="Palatino Linotype" w:eastAsia="Palatino Linotype" w:hAnsi="Palatino Linotype" w:cs="Palatino Linotype"/>
        </w:rPr>
        <w:t xml:space="preserve">recurrente se inconformó </w:t>
      </w:r>
      <w:r w:rsidR="000103CF" w:rsidRPr="00DF29DA">
        <w:rPr>
          <w:rFonts w:ascii="Palatino Linotype" w:eastAsia="Palatino Linotype" w:hAnsi="Palatino Linotype" w:cs="Palatino Linotype"/>
        </w:rPr>
        <w:t>del contenido de dichos documentos, señalando que se “</w:t>
      </w:r>
      <w:r w:rsidR="000103CF" w:rsidRPr="00DF29DA">
        <w:rPr>
          <w:rFonts w:ascii="Palatino Linotype" w:eastAsia="Palatino Linotype" w:hAnsi="Palatino Linotype" w:cs="Palatino Linotype"/>
          <w:i/>
        </w:rPr>
        <w:t>Entrega una invitación a solicitud del rector que en su caso no es el presidente o secretario del comité, entrega la simulación de un acta que no toma las decisiones por votación, no distingue la aprobación o no del comité, refiere reservas sin sustento, integración del comité sin apegarse a la ley en materia”</w:t>
      </w:r>
      <w:r w:rsidRPr="00DF29DA">
        <w:rPr>
          <w:rFonts w:ascii="Palatino Linotype" w:eastAsia="Palatino Linotype" w:hAnsi="Palatino Linotype" w:cs="Palatino Linotype"/>
        </w:rPr>
        <w:t xml:space="preserve">, circunstancia que a todas luces no guardan relación con </w:t>
      </w:r>
      <w:r w:rsidR="000103CF" w:rsidRPr="00DF29DA">
        <w:rPr>
          <w:rFonts w:ascii="Palatino Linotype" w:eastAsia="Palatino Linotype" w:hAnsi="Palatino Linotype" w:cs="Palatino Linotype"/>
        </w:rPr>
        <w:t>la información requerida.</w:t>
      </w:r>
    </w:p>
    <w:p w:rsidR="006F5C09" w:rsidRPr="00DF29DA" w:rsidRDefault="006F5C09" w:rsidP="006F5C09">
      <w:pPr>
        <w:spacing w:line="360" w:lineRule="auto"/>
        <w:jc w:val="both"/>
        <w:rPr>
          <w:rFonts w:ascii="Palatino Linotype" w:eastAsia="Palatino Linotype" w:hAnsi="Palatino Linotype" w:cs="Palatino Linotype"/>
          <w:i/>
        </w:rPr>
      </w:pPr>
    </w:p>
    <w:p w:rsidR="006F5C09" w:rsidRPr="00DF29DA" w:rsidRDefault="006F5C09" w:rsidP="006F5C09">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color w:val="000000"/>
        </w:rPr>
        <w:lastRenderedPageBreak/>
        <w:t>Sirve de sustento la Jurisprudencia No. 29 visible a foja 19 del Apéndice al Semanario Judicial de la Federación 1917-1995, Torno VI, Materia Común, Primera Parte, Tesis de la Suprema Corte de Justicia, que contiene:</w:t>
      </w:r>
    </w:p>
    <w:p w:rsidR="006F5C09" w:rsidRPr="00DF29DA" w:rsidRDefault="006F5C09" w:rsidP="006F5C09">
      <w:pPr>
        <w:pBdr>
          <w:top w:val="nil"/>
          <w:left w:val="nil"/>
          <w:bottom w:val="nil"/>
          <w:right w:val="nil"/>
          <w:between w:val="nil"/>
        </w:pBdr>
        <w:ind w:left="720"/>
        <w:rPr>
          <w:rFonts w:ascii="Palatino Linotype" w:eastAsia="Palatino Linotype" w:hAnsi="Palatino Linotype" w:cs="Palatino Linotype"/>
          <w:color w:val="000000"/>
        </w:rPr>
      </w:pPr>
    </w:p>
    <w:p w:rsidR="006F5C09" w:rsidRPr="00DF29DA" w:rsidRDefault="006F5C09" w:rsidP="00E37638">
      <w:pPr>
        <w:shd w:val="clear" w:color="auto" w:fill="FFFFFF"/>
        <w:ind w:left="567" w:right="-716"/>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b/>
          <w:i/>
          <w:color w:val="000000"/>
        </w:rPr>
        <w:t>AGRAVIOS EN LA REVISION. DEBEN ESTAR EN RELACION DIRECTA CON LOS FUNDAMENTOS Y CONSIDERACIONES DE LA SENTENCIA</w:t>
      </w:r>
      <w:r w:rsidRPr="00DF29DA">
        <w:rPr>
          <w:rFonts w:ascii="Palatino Linotype" w:eastAsia="Palatino Linotype" w:hAnsi="Palatino Linotype" w:cs="Palatino Linotype"/>
          <w:i/>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6F5C09" w:rsidRPr="00DF29DA" w:rsidRDefault="006F5C09" w:rsidP="006F5C09">
      <w:pPr>
        <w:shd w:val="clear" w:color="auto" w:fill="FFFFFF"/>
        <w:spacing w:line="360" w:lineRule="auto"/>
        <w:ind w:left="567" w:right="567"/>
        <w:jc w:val="both"/>
        <w:rPr>
          <w:rFonts w:ascii="Palatino Linotype" w:eastAsia="Palatino Linotype" w:hAnsi="Palatino Linotype" w:cs="Palatino Linotype"/>
          <w:i/>
          <w:color w:val="000000"/>
        </w:rPr>
      </w:pPr>
    </w:p>
    <w:p w:rsidR="006F5C09" w:rsidRPr="00DF29DA" w:rsidRDefault="006F5C09" w:rsidP="006F5C09">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color w:val="000000"/>
        </w:rPr>
        <w:t xml:space="preserve">Una vez analizado que </w:t>
      </w:r>
      <w:r w:rsidR="00E37638" w:rsidRPr="00DF29DA">
        <w:rPr>
          <w:rFonts w:ascii="Palatino Linotype" w:eastAsia="Palatino Linotype" w:hAnsi="Palatino Linotype" w:cs="Palatino Linotype"/>
          <w:b/>
          <w:color w:val="000000"/>
        </w:rPr>
        <w:t>el recurrente se inconforma por el contenido de la documentación entregada en respuesta</w:t>
      </w:r>
      <w:r w:rsidRPr="00DF29DA">
        <w:rPr>
          <w:rFonts w:ascii="Palatino Linotype" w:eastAsia="Palatino Linotype" w:hAnsi="Palatino Linotype" w:cs="Palatino Linotype"/>
          <w:color w:val="000000"/>
        </w:rPr>
        <w:t>, se determina que el escrito recursal no actualizan ninguna causal de procedenci</w:t>
      </w:r>
      <w:r w:rsidR="00E37638" w:rsidRPr="00DF29DA">
        <w:rPr>
          <w:rFonts w:ascii="Palatino Linotype" w:eastAsia="Palatino Linotype" w:hAnsi="Palatino Linotype" w:cs="Palatino Linotype"/>
          <w:color w:val="000000"/>
        </w:rPr>
        <w:t xml:space="preserve">a ya que no guarda relación </w:t>
      </w:r>
      <w:r w:rsidRPr="00DF29DA">
        <w:rPr>
          <w:rFonts w:ascii="Palatino Linotype" w:eastAsia="Palatino Linotype" w:hAnsi="Palatino Linotype" w:cs="Palatino Linotype"/>
          <w:color w:val="000000"/>
        </w:rPr>
        <w:t xml:space="preserve">con la solicitud de información. </w:t>
      </w:r>
    </w:p>
    <w:p w:rsidR="006F5C09" w:rsidRPr="00DF29DA" w:rsidRDefault="006F5C09" w:rsidP="006F5C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5C09" w:rsidRPr="00DF29DA" w:rsidRDefault="006F5C09" w:rsidP="006F5C09">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color w:val="000000"/>
        </w:rPr>
        <w:t>En consecuencia, l</w:t>
      </w:r>
      <w:r w:rsidRPr="00DF29DA">
        <w:rPr>
          <w:rFonts w:ascii="Palatino Linotype" w:eastAsia="Palatino Linotype" w:hAnsi="Palatino Linotype" w:cs="Palatino Linotype"/>
        </w:rPr>
        <w:t>a falta de actualización de causal de procedencia, trae consigo que el Recurso de Revisión sea desechado por improcedente, de acuerdo al artículo 191, fracción III, de la ley de transparencia local:</w:t>
      </w:r>
    </w:p>
    <w:p w:rsidR="006F5C09" w:rsidRPr="00DF29DA" w:rsidRDefault="006F5C09" w:rsidP="006F5C09">
      <w:pPr>
        <w:pBdr>
          <w:top w:val="nil"/>
          <w:left w:val="nil"/>
          <w:bottom w:val="nil"/>
          <w:right w:val="nil"/>
          <w:between w:val="nil"/>
        </w:pBdr>
        <w:ind w:left="720"/>
        <w:rPr>
          <w:rFonts w:ascii="Palatino Linotype" w:eastAsia="Palatino Linotype" w:hAnsi="Palatino Linotype" w:cs="Palatino Linotype"/>
          <w:color w:val="000000"/>
        </w:rPr>
      </w:pP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Artículo 191. El recurso será desechado por improcedente cuando:</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I. Sea extemporáneo por haber transcurrido el plazo establecido en la presente Ley, a partir de la respuesta; </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II. Se esté tramitando ante el Poder Judicial de la Federación algún recurso o medio de defensa interpuesto por el recurrente; </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b/>
          <w:i/>
          <w:color w:val="000000"/>
        </w:rPr>
      </w:pPr>
      <w:r w:rsidRPr="00DF29DA">
        <w:rPr>
          <w:rFonts w:ascii="Palatino Linotype" w:eastAsia="Palatino Linotype" w:hAnsi="Palatino Linotype" w:cs="Palatino Linotype"/>
          <w:b/>
          <w:i/>
          <w:color w:val="000000"/>
        </w:rPr>
        <w:lastRenderedPageBreak/>
        <w:t xml:space="preserve">III. No actualice alguno de los supuestos previstos en la presente Ley; </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IV. No se haya desahogado la prevención en los términos establecidos en la presente Ley; </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V. Se impugne la veracidad de la información proporcionada; </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 xml:space="preserve">VI. Se trate de una consulta, o trámite en específico; y </w:t>
      </w:r>
    </w:p>
    <w:p w:rsidR="006F5C09" w:rsidRPr="00DF29DA" w:rsidRDefault="006F5C09" w:rsidP="006F5C09">
      <w:pPr>
        <w:pBdr>
          <w:top w:val="nil"/>
          <w:left w:val="nil"/>
          <w:bottom w:val="nil"/>
          <w:right w:val="nil"/>
          <w:between w:val="nil"/>
        </w:pBdr>
        <w:tabs>
          <w:tab w:val="left" w:pos="567"/>
        </w:tabs>
        <w:ind w:left="567" w:right="900"/>
        <w:jc w:val="both"/>
        <w:rPr>
          <w:rFonts w:ascii="Palatino Linotype" w:eastAsia="Palatino Linotype" w:hAnsi="Palatino Linotype" w:cs="Palatino Linotype"/>
          <w:i/>
          <w:color w:val="000000"/>
        </w:rPr>
      </w:pPr>
      <w:r w:rsidRPr="00DF29DA">
        <w:rPr>
          <w:rFonts w:ascii="Palatino Linotype" w:eastAsia="Palatino Linotype" w:hAnsi="Palatino Linotype" w:cs="Palatino Linotype"/>
          <w:i/>
          <w:color w:val="000000"/>
        </w:rPr>
        <w:t>VII. El recurrente amplíe su solicitud en el recurso de revisión, únicamente respecto de los nuevos contenidos.</w:t>
      </w:r>
    </w:p>
    <w:p w:rsidR="006F5C09" w:rsidRPr="00DF29DA" w:rsidRDefault="006F5C09" w:rsidP="006F5C09">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rPr>
      </w:pPr>
    </w:p>
    <w:p w:rsidR="006F5C09" w:rsidRPr="00DF29DA" w:rsidRDefault="006F5C09" w:rsidP="006F5C09">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Es así que, </w:t>
      </w:r>
      <w:r w:rsidRPr="00DF29DA">
        <w:rPr>
          <w:rFonts w:ascii="Palatino Linotype" w:eastAsia="Palatino Linotype" w:hAnsi="Palatino Linotype" w:cs="Palatino Linotype"/>
          <w:b/>
        </w:rPr>
        <w:t xml:space="preserve">el Recurso de Revisión </w:t>
      </w:r>
      <w:r w:rsidR="00620DD1" w:rsidRPr="00DF29DA">
        <w:rPr>
          <w:rFonts w:ascii="Palatino Linotype" w:eastAsia="Palatino Linotype" w:hAnsi="Palatino Linotype" w:cs="Palatino Linotype"/>
          <w:b/>
        </w:rPr>
        <w:t xml:space="preserve">00158/INFOEM/IP/RR/2025 </w:t>
      </w:r>
      <w:r w:rsidRPr="00DF29DA">
        <w:rPr>
          <w:rFonts w:ascii="Palatino Linotype" w:eastAsia="Palatino Linotype" w:hAnsi="Palatino Linotype" w:cs="Palatino Linotype"/>
          <w:b/>
        </w:rPr>
        <w:t xml:space="preserve">actualiza la causal de </w:t>
      </w:r>
      <w:r w:rsidR="00956F13" w:rsidRPr="00DF29DA">
        <w:rPr>
          <w:rFonts w:ascii="Palatino Linotype" w:eastAsia="Palatino Linotype" w:hAnsi="Palatino Linotype" w:cs="Palatino Linotype"/>
          <w:b/>
        </w:rPr>
        <w:t>SOBRESEIMIENTO</w:t>
      </w:r>
      <w:r w:rsidR="00956F13" w:rsidRPr="00DF29DA">
        <w:rPr>
          <w:rFonts w:ascii="Palatino Linotype" w:eastAsia="Palatino Linotype" w:hAnsi="Palatino Linotype" w:cs="Palatino Linotype"/>
        </w:rPr>
        <w:t xml:space="preserve"> </w:t>
      </w:r>
      <w:r w:rsidRPr="00DF29DA">
        <w:rPr>
          <w:rFonts w:ascii="Palatino Linotype" w:eastAsia="Palatino Linotype" w:hAnsi="Palatino Linotype" w:cs="Palatino Linotype"/>
        </w:rPr>
        <w:t>establecida en la fracción IV, del artículo 192, en relación a la fracción III del artículo 191, ambos de la Ley de Transparencia y Acceso a la Información Pública del Estado de México y Municipios.</w:t>
      </w:r>
    </w:p>
    <w:p w:rsidR="00BF14D1" w:rsidRPr="00DF29DA" w:rsidRDefault="00BF14D1" w:rsidP="00BF14D1">
      <w:pPr>
        <w:spacing w:line="360" w:lineRule="auto"/>
        <w:ind w:right="-787"/>
        <w:jc w:val="both"/>
        <w:rPr>
          <w:rFonts w:ascii="Palatino Linotype" w:eastAsia="Palatino Linotype" w:hAnsi="Palatino Linotype" w:cs="Palatino Linotype"/>
        </w:rPr>
      </w:pPr>
    </w:p>
    <w:p w:rsidR="00BF14D1" w:rsidRPr="00DF29DA" w:rsidRDefault="00BF14D1" w:rsidP="00BF14D1">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No pasa desapercibido para este Órgano Garante que, </w:t>
      </w:r>
      <w:r w:rsidRPr="00DF29DA">
        <w:rPr>
          <w:rFonts w:ascii="Palatino Linotype" w:eastAsia="Palatino Linotype" w:hAnsi="Palatino Linotype" w:cs="Palatino Linotype"/>
          <w:b/>
        </w:rPr>
        <w:t>LA PARTE RECURRENTE</w:t>
      </w:r>
      <w:r w:rsidRPr="00DF29DA">
        <w:rPr>
          <w:rFonts w:ascii="Palatino Linotype" w:eastAsia="Palatino Linotype" w:hAnsi="Palatino Linotype" w:cs="Palatino Linotype"/>
        </w:rPr>
        <w:t xml:space="preserve">, realizó </w:t>
      </w:r>
      <w:r w:rsidR="00624FDF" w:rsidRPr="00DF29DA">
        <w:rPr>
          <w:rFonts w:ascii="Palatino Linotype" w:eastAsia="Palatino Linotype" w:hAnsi="Palatino Linotype" w:cs="Palatino Linotype"/>
        </w:rPr>
        <w:t xml:space="preserve">la </w:t>
      </w:r>
      <w:r w:rsidRPr="00DF29DA">
        <w:rPr>
          <w:rFonts w:ascii="Palatino Linotype" w:eastAsia="Palatino Linotype" w:hAnsi="Palatino Linotype" w:cs="Palatino Linotype"/>
        </w:rPr>
        <w:t xml:space="preserve">aclaración de información utilizando una expresión que atenta contra el honor e imagen del servidor público referido en la misma, con un término cargado de opinión y juicios de valor, lo cual es subjetivo, ya que refleja la opinión de quien lo dice, y de su lectura se advierte la intención de </w:t>
      </w:r>
      <w:r w:rsidR="00624FDF" w:rsidRPr="00DF29DA">
        <w:rPr>
          <w:rFonts w:ascii="Palatino Linotype" w:eastAsia="Palatino Linotype" w:hAnsi="Palatino Linotype" w:cs="Palatino Linotype"/>
        </w:rPr>
        <w:t>injuriar e insultar a la persona en comento.</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624FDF" w:rsidP="00624FDF">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En </w:t>
      </w:r>
      <w:r w:rsidR="00BF14D1" w:rsidRPr="00DF29DA">
        <w:rPr>
          <w:rFonts w:ascii="Palatino Linotype" w:eastAsia="Palatino Linotype" w:hAnsi="Palatino Linotype" w:cs="Palatino Linotype"/>
        </w:rPr>
        <w:t>cuanto al derecho al honor, la jurisprudencia número 1a./J. 118/2013 (10a.), emitida por la Primera Sala de la Suprema Corte de Justicia de la Nación, publicada en la Gaceta del Semanario Judicial de la Federación, Tomo I, Libro 3, de febrero de 2014, página 470, de la Décima Época, materia constitucional, dispone:</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BF14D1" w:rsidP="00770484">
      <w:pPr>
        <w:tabs>
          <w:tab w:val="left" w:pos="7938"/>
        </w:tabs>
        <w:spacing w:line="276" w:lineRule="auto"/>
        <w:ind w:left="567" w:right="-716"/>
        <w:jc w:val="both"/>
        <w:rPr>
          <w:rFonts w:ascii="Palatino Linotype" w:eastAsia="Palatino Linotype" w:hAnsi="Palatino Linotype" w:cs="Palatino Linotype"/>
          <w:i/>
        </w:rPr>
      </w:pPr>
      <w:r w:rsidRPr="00DF29DA">
        <w:rPr>
          <w:rFonts w:ascii="Palatino Linotype" w:eastAsia="Palatino Linotype" w:hAnsi="Palatino Linotype" w:cs="Palatino Linotype"/>
          <w:i/>
        </w:rPr>
        <w:lastRenderedPageBreak/>
        <w:t>“</w:t>
      </w:r>
      <w:r w:rsidRPr="00DF29DA">
        <w:rPr>
          <w:rFonts w:ascii="Palatino Linotype" w:eastAsia="Palatino Linotype" w:hAnsi="Palatino Linotype" w:cs="Palatino Linotype"/>
          <w:b/>
          <w:i/>
        </w:rPr>
        <w:t xml:space="preserve">DERECHO FUNDAMENTAL AL HONOR. SU DIMENSIÓN SUBJETIVA Y OBJETIVA. </w:t>
      </w:r>
      <w:r w:rsidRPr="00DF29DA">
        <w:rPr>
          <w:rFonts w:ascii="Palatino Linotype" w:eastAsia="Palatino Linotype" w:hAnsi="Palatino Linotype" w:cs="Palatino Linotype"/>
          <w:i/>
        </w:rPr>
        <w:t xml:space="preserve">A juicio de esta Primera Sala de la Suprema Corte de Justicia de la Nación, es posible definir al honor como el </w:t>
      </w:r>
      <w:r w:rsidRPr="00DF29DA">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DF29DA">
        <w:rPr>
          <w:rFonts w:ascii="Palatino Linotype" w:eastAsia="Palatino Linotype" w:hAnsi="Palatino Linotype" w:cs="Palatino Linotype"/>
          <w:i/>
        </w:rPr>
        <w:t xml:space="preserve">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BF14D1" w:rsidP="00624FDF">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En el campo jurídico,</w:t>
      </w:r>
      <w:r w:rsidRPr="00DF29DA">
        <w:rPr>
          <w:rFonts w:ascii="Palatino Linotype" w:eastAsia="Palatino Linotype" w:hAnsi="Palatino Linotype" w:cs="Palatino Linotype"/>
          <w:b/>
        </w:rPr>
        <w:t xml:space="preserve"> es un derecho humano que involucra la facultad de cada </w:t>
      </w:r>
      <w:r w:rsidRPr="00DF29DA">
        <w:rPr>
          <w:rFonts w:ascii="Palatino Linotype" w:eastAsia="Palatino Linotype" w:hAnsi="Palatino Linotype" w:cs="Palatino Linotype"/>
        </w:rPr>
        <w:t>individuo</w:t>
      </w:r>
      <w:r w:rsidRPr="00DF29DA">
        <w:rPr>
          <w:rFonts w:ascii="Palatino Linotype" w:eastAsia="Palatino Linotype" w:hAnsi="Palatino Linotype" w:cs="Palatino Linotype"/>
          <w:b/>
        </w:rPr>
        <w:t xml:space="preserve"> de ser tratado de forma decorosa</w:t>
      </w:r>
      <w:r w:rsidRPr="00DF29DA">
        <w:rPr>
          <w:rFonts w:ascii="Palatino Linotype" w:eastAsia="Palatino Linotype" w:hAnsi="Palatino Linotype" w:cs="Palatino Linotype"/>
        </w:rPr>
        <w:t>.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BF14D1" w:rsidP="00624FDF">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lastRenderedPageBreak/>
        <w:t>Asimismo, el artículo 12 de la Declaración Universal de los Derechos Humanos</w:t>
      </w:r>
      <w:r w:rsidRPr="00DF29DA">
        <w:rPr>
          <w:rFonts w:ascii="Palatino Linotype" w:eastAsia="Palatino Linotype" w:hAnsi="Palatino Linotype" w:cs="Palatino Linotype"/>
          <w:i/>
        </w:rPr>
        <w:t xml:space="preserve"> </w:t>
      </w:r>
      <w:r w:rsidRPr="00DF29DA">
        <w:rPr>
          <w:rFonts w:ascii="Palatino Linotype" w:eastAsia="Palatino Linotype" w:hAnsi="Palatino Linotype" w:cs="Palatino Linotype"/>
        </w:rPr>
        <w:t>prevé que nadie será objeto de injerencias arbitrarias en su vida privada, su familia, su domicilio o su correspondencia, ni de ataques a su honra o a su reputación. Toda persona tiene derecho a la protección de la ley contra tales injerencias o ataques.</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BF14D1" w:rsidP="00624FDF">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BF14D1" w:rsidP="00624FDF">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Finalmente, el artículo 17 del Pacto Internacional de los Derechos Civiles y Políticos señala que nadie será objeto de injerencias arbitrarias o ilegales en su vida privada, su familia, su domicilio o su correspondencia, ni de ataques ilegales a </w:t>
      </w:r>
      <w:r w:rsidRPr="00DF29DA">
        <w:rPr>
          <w:rFonts w:ascii="Palatino Linotype" w:eastAsia="Palatino Linotype" w:hAnsi="Palatino Linotype" w:cs="Palatino Linotype"/>
          <w:b/>
        </w:rPr>
        <w:t>su honra</w:t>
      </w:r>
      <w:r w:rsidRPr="00DF29DA">
        <w:rPr>
          <w:rFonts w:ascii="Palatino Linotype" w:eastAsia="Palatino Linotype" w:hAnsi="Palatino Linotype" w:cs="Palatino Linotype"/>
        </w:rPr>
        <w:t xml:space="preserve"> y </w:t>
      </w:r>
      <w:r w:rsidRPr="00DF29DA">
        <w:rPr>
          <w:rFonts w:ascii="Palatino Linotype" w:eastAsia="Palatino Linotype" w:hAnsi="Palatino Linotype" w:cs="Palatino Linotype"/>
          <w:b/>
        </w:rPr>
        <w:t>reputación</w:t>
      </w:r>
      <w:r w:rsidRPr="00DF29DA">
        <w:rPr>
          <w:rFonts w:ascii="Palatino Linotype" w:eastAsia="Palatino Linotype" w:hAnsi="Palatino Linotype" w:cs="Palatino Linotype"/>
        </w:rPr>
        <w:t>; y que toda persona tiene derecho a la protección de la ley contra esas injerencias o esos ataques.</w:t>
      </w:r>
    </w:p>
    <w:p w:rsidR="00BF14D1" w:rsidRPr="00DF29DA" w:rsidRDefault="00BF14D1" w:rsidP="00BF14D1">
      <w:pPr>
        <w:spacing w:line="360" w:lineRule="auto"/>
        <w:ind w:right="134"/>
        <w:jc w:val="both"/>
        <w:rPr>
          <w:rFonts w:ascii="Palatino Linotype" w:eastAsia="Palatino Linotype" w:hAnsi="Palatino Linotype" w:cs="Palatino Linotype"/>
        </w:rPr>
      </w:pPr>
    </w:p>
    <w:p w:rsidR="00BF14D1" w:rsidRPr="00DF29DA" w:rsidRDefault="00BF14D1" w:rsidP="00624FDF">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 xml:space="preserve">En conclusión, se considera que el derecho de acceso a la información pública </w:t>
      </w:r>
      <w:r w:rsidRPr="00DF29DA">
        <w:rPr>
          <w:rFonts w:ascii="Palatino Linotype" w:eastAsia="Palatino Linotype" w:hAnsi="Palatino Linotype" w:cs="Palatino Linotype"/>
          <w:b/>
        </w:rPr>
        <w:t>debe ser ejercido de forma respetuosa,</w:t>
      </w:r>
      <w:r w:rsidRPr="00DF29DA">
        <w:rPr>
          <w:rFonts w:ascii="Palatino Linotype" w:eastAsia="Palatino Linotype" w:hAnsi="Palatino Linotype" w:cs="Palatino Linotype"/>
        </w:rPr>
        <w:t xml:space="preserve"> sin usar lenguaje altisonante, usando groserías o expresiones insultantes, en doble sentido, o bien, apoyándose de apodos para referirse a personas relacionadas con la función pública, cuya finalidad o intención sea ocasionar agravios en la moral de estas.</w:t>
      </w:r>
    </w:p>
    <w:p w:rsidR="00BF14D1" w:rsidRPr="00DF29DA" w:rsidRDefault="00BF14D1" w:rsidP="00BF14D1">
      <w:pPr>
        <w:pBdr>
          <w:top w:val="nil"/>
          <w:left w:val="nil"/>
          <w:bottom w:val="nil"/>
          <w:right w:val="nil"/>
          <w:between w:val="nil"/>
        </w:pBdr>
        <w:spacing w:line="360" w:lineRule="auto"/>
        <w:jc w:val="both"/>
        <w:rPr>
          <w:rFonts w:ascii="Palatino Linotype" w:eastAsia="Palatino Linotype" w:hAnsi="Palatino Linotype" w:cs="Palatino Linotype"/>
        </w:rPr>
      </w:pPr>
    </w:p>
    <w:p w:rsidR="00C440CF" w:rsidRPr="00DF29DA" w:rsidRDefault="00AB73F5" w:rsidP="00BF14D1">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lastRenderedPageBreak/>
        <w:t xml:space="preserve">Por </w:t>
      </w:r>
      <w:r w:rsidR="00BF14D1" w:rsidRPr="00DF29DA">
        <w:rPr>
          <w:rFonts w:ascii="Palatino Linotype" w:eastAsia="Palatino Linotype" w:hAnsi="Palatino Linotype" w:cs="Palatino Linotype"/>
        </w:rPr>
        <w:t xml:space="preserve">lo tanto, </w:t>
      </w:r>
      <w:r w:rsidR="00BF14D1" w:rsidRPr="00DF29DA">
        <w:rPr>
          <w:rFonts w:ascii="Palatino Linotype" w:eastAsia="Palatino Linotype" w:hAnsi="Palatino Linotype" w:cs="Palatino Linotype"/>
          <w:b/>
        </w:rPr>
        <w:t>se exhorta a la persona solicitante a que se abstenga de usar expresiones irrespetuosas</w:t>
      </w:r>
      <w:r w:rsidRPr="00DF29DA">
        <w:rPr>
          <w:rFonts w:ascii="Palatino Linotype" w:eastAsia="Palatino Linotype" w:hAnsi="Palatino Linotype" w:cs="Palatino Linotype"/>
          <w:b/>
        </w:rPr>
        <w:t>,</w:t>
      </w:r>
      <w:r w:rsidR="00BF14D1" w:rsidRPr="00DF29DA">
        <w:rPr>
          <w:rFonts w:ascii="Palatino Linotype" w:eastAsia="Palatino Linotype" w:hAnsi="Palatino Linotype" w:cs="Palatino Linotype"/>
          <w:b/>
        </w:rPr>
        <w:t xml:space="preserve"> pues primigeniamente </w:t>
      </w:r>
      <w:r w:rsidRPr="00DF29DA">
        <w:rPr>
          <w:rFonts w:ascii="Palatino Linotype" w:eastAsia="Palatino Linotype" w:hAnsi="Palatino Linotype" w:cs="Palatino Linotype"/>
          <w:b/>
        </w:rPr>
        <w:t>debe prevalecer</w:t>
      </w:r>
      <w:r w:rsidR="00BF14D1" w:rsidRPr="00DF29DA">
        <w:rPr>
          <w:rFonts w:ascii="Palatino Linotype" w:eastAsia="Palatino Linotype" w:hAnsi="Palatino Linotype" w:cs="Palatino Linotype"/>
          <w:b/>
        </w:rPr>
        <w:t xml:space="preserve"> un lenguaje que respete a las personas servidoras públicas o relacionadas con la función pública</w:t>
      </w:r>
      <w:r w:rsidR="00BF14D1" w:rsidRPr="00DF29DA">
        <w:rPr>
          <w:rFonts w:ascii="Palatino Linotype" w:eastAsia="Palatino Linotype" w:hAnsi="Palatino Linotype" w:cs="Palatino Linotype"/>
        </w:rPr>
        <w:t>.</w:t>
      </w:r>
    </w:p>
    <w:p w:rsidR="0072148B" w:rsidRPr="00DF29DA" w:rsidRDefault="0072148B">
      <w:pPr>
        <w:spacing w:line="360" w:lineRule="auto"/>
        <w:jc w:val="both"/>
        <w:rPr>
          <w:rFonts w:ascii="Palatino Linotype" w:hAnsi="Palatino Linotype"/>
          <w:color w:val="000000"/>
        </w:rPr>
      </w:pPr>
    </w:p>
    <w:p w:rsidR="0072148B" w:rsidRPr="00DF29DA" w:rsidRDefault="00A077F4">
      <w:pPr>
        <w:numPr>
          <w:ilvl w:val="0"/>
          <w:numId w:val="6"/>
        </w:numPr>
        <w:spacing w:line="360" w:lineRule="auto"/>
        <w:ind w:left="0" w:right="-787" w:firstLine="0"/>
        <w:jc w:val="both"/>
        <w:rPr>
          <w:rFonts w:ascii="Palatino Linotype" w:eastAsia="Palatino Linotype" w:hAnsi="Palatino Linotype" w:cs="Palatino Linotype"/>
        </w:rPr>
      </w:pPr>
      <w:r w:rsidRPr="00DF29DA">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72148B" w:rsidRPr="00DF29DA" w:rsidRDefault="0072148B">
      <w:pPr>
        <w:ind w:right="278"/>
        <w:rPr>
          <w:rFonts w:ascii="Palatino Linotype" w:eastAsia="Palatino Linotype" w:hAnsi="Palatino Linotype" w:cs="Palatino Linotype"/>
        </w:rPr>
      </w:pPr>
    </w:p>
    <w:p w:rsidR="0072148B" w:rsidRPr="00DF29DA" w:rsidRDefault="00A077F4">
      <w:pPr>
        <w:spacing w:line="360" w:lineRule="auto"/>
        <w:ind w:right="276"/>
        <w:jc w:val="center"/>
        <w:rPr>
          <w:rFonts w:ascii="Palatino Linotype" w:eastAsia="Palatino Linotype" w:hAnsi="Palatino Linotype" w:cs="Palatino Linotype"/>
          <w:b/>
        </w:rPr>
      </w:pPr>
      <w:r w:rsidRPr="00DF29DA">
        <w:rPr>
          <w:rFonts w:ascii="Palatino Linotype" w:eastAsia="Palatino Linotype" w:hAnsi="Palatino Linotype" w:cs="Palatino Linotype"/>
          <w:b/>
        </w:rPr>
        <w:t>R E S U E L V E</w:t>
      </w:r>
    </w:p>
    <w:p w:rsidR="0072148B" w:rsidRPr="00DF29DA" w:rsidRDefault="0072148B" w:rsidP="000B74E0">
      <w:pPr>
        <w:spacing w:line="360" w:lineRule="auto"/>
        <w:ind w:right="-787"/>
        <w:rPr>
          <w:rFonts w:ascii="Palatino Linotype" w:eastAsia="Palatino Linotype" w:hAnsi="Palatino Linotype" w:cs="Palatino Linotype"/>
          <w:b/>
        </w:rPr>
      </w:pPr>
    </w:p>
    <w:p w:rsidR="006105CE" w:rsidRPr="00DF29DA" w:rsidRDefault="006105CE" w:rsidP="006105CE">
      <w:pPr>
        <w:spacing w:line="360" w:lineRule="auto"/>
        <w:ind w:right="-787"/>
        <w:jc w:val="both"/>
        <w:rPr>
          <w:rFonts w:ascii="Palatino Linotype" w:eastAsia="Palatino Linotype" w:hAnsi="Palatino Linotype" w:cs="Palatino Linotype"/>
        </w:rPr>
      </w:pPr>
      <w:r w:rsidRPr="00DF29DA">
        <w:rPr>
          <w:rFonts w:ascii="Palatino Linotype" w:eastAsia="Palatino Linotype" w:hAnsi="Palatino Linotype" w:cs="Palatino Linotype"/>
          <w:b/>
        </w:rPr>
        <w:t>PRIMERO</w:t>
      </w:r>
      <w:r w:rsidRPr="00DF29DA">
        <w:rPr>
          <w:rFonts w:ascii="Palatino Linotype" w:eastAsia="Palatino Linotype" w:hAnsi="Palatino Linotype" w:cs="Palatino Linotype"/>
        </w:rPr>
        <w:t xml:space="preserve">. </w:t>
      </w:r>
      <w:r w:rsidR="00B8678D" w:rsidRPr="00DF29DA">
        <w:rPr>
          <w:rFonts w:ascii="Palatino Linotype" w:eastAsia="Palatino Linotype" w:hAnsi="Palatino Linotype" w:cs="Palatino Linotype"/>
        </w:rPr>
        <w:t>Se</w:t>
      </w:r>
      <w:r w:rsidR="00B8678D" w:rsidRPr="00DF29DA">
        <w:rPr>
          <w:rFonts w:ascii="Palatino Linotype" w:eastAsia="Palatino Linotype" w:hAnsi="Palatino Linotype" w:cs="Palatino Linotype"/>
          <w:b/>
        </w:rPr>
        <w:t xml:space="preserve"> SOBRESEE </w:t>
      </w:r>
      <w:r w:rsidR="00B8678D" w:rsidRPr="00DF29DA">
        <w:rPr>
          <w:rFonts w:ascii="Palatino Linotype" w:eastAsia="Palatino Linotype" w:hAnsi="Palatino Linotype" w:cs="Palatino Linotype"/>
        </w:rPr>
        <w:t xml:space="preserve">el Recurso de Revisión número </w:t>
      </w:r>
      <w:r w:rsidR="00B8678D" w:rsidRPr="00DF29DA">
        <w:rPr>
          <w:rFonts w:ascii="Palatino Linotype" w:eastAsia="Palatino Linotype" w:hAnsi="Palatino Linotype" w:cs="Palatino Linotype"/>
          <w:b/>
        </w:rPr>
        <w:t xml:space="preserve">00158/INFOEM/IP/RR/2025, </w:t>
      </w:r>
      <w:r w:rsidR="00B8678D" w:rsidRPr="00DF29DA">
        <w:rPr>
          <w:rFonts w:ascii="Palatino Linotype" w:eastAsia="Palatino Linotype" w:hAnsi="Palatino Linotype" w:cs="Palatino Linotype"/>
        </w:rPr>
        <w:t xml:space="preserve">porque una vez admitido se actualizó la causal de improcedencia prevista en artículo 192, fracción IV, en relación con la fracción III, del artículo 191, de la Ley de Transparencia vigente en la entidad, quedando sin materia en términos del </w:t>
      </w:r>
      <w:r w:rsidR="00B8678D" w:rsidRPr="00DF29DA">
        <w:rPr>
          <w:rFonts w:ascii="Palatino Linotype" w:eastAsia="Palatino Linotype" w:hAnsi="Palatino Linotype" w:cs="Palatino Linotype"/>
          <w:b/>
        </w:rPr>
        <w:t>Considerando CUARTO</w:t>
      </w:r>
      <w:r w:rsidR="00B8678D" w:rsidRPr="00DF29DA">
        <w:rPr>
          <w:rFonts w:ascii="Palatino Linotype" w:eastAsia="Palatino Linotype" w:hAnsi="Palatino Linotype" w:cs="Palatino Linotype"/>
        </w:rPr>
        <w:t xml:space="preserve"> de la presente Resolución</w:t>
      </w:r>
      <w:r w:rsidRPr="00DF29DA">
        <w:rPr>
          <w:rFonts w:ascii="Palatino Linotype" w:eastAsia="Palatino Linotype" w:hAnsi="Palatino Linotype" w:cs="Palatino Linotype"/>
        </w:rPr>
        <w:t>.</w:t>
      </w:r>
    </w:p>
    <w:p w:rsidR="006105CE" w:rsidRPr="00DF29DA" w:rsidRDefault="006105CE" w:rsidP="006105CE">
      <w:pPr>
        <w:spacing w:line="360" w:lineRule="auto"/>
        <w:ind w:right="-787"/>
        <w:jc w:val="both"/>
        <w:rPr>
          <w:rFonts w:ascii="Palatino Linotype" w:eastAsia="Palatino Linotype" w:hAnsi="Palatino Linotype" w:cs="Palatino Linotype"/>
          <w:b/>
        </w:rPr>
      </w:pPr>
    </w:p>
    <w:p w:rsidR="006105CE" w:rsidRPr="00DF29DA" w:rsidRDefault="006105CE" w:rsidP="006105CE">
      <w:pPr>
        <w:shd w:val="clear" w:color="auto" w:fill="FFFFFF"/>
        <w:spacing w:line="360" w:lineRule="auto"/>
        <w:ind w:right="-787"/>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rPr>
        <w:t xml:space="preserve">SEGUNDO. Notifíquese </w:t>
      </w:r>
      <w:r w:rsidRPr="00DF29DA">
        <w:rPr>
          <w:rFonts w:ascii="Palatino Linotype" w:eastAsia="Palatino Linotype" w:hAnsi="Palatino Linotype" w:cs="Palatino Linotype"/>
        </w:rPr>
        <w:t xml:space="preserve">al Titular de la Unidad de Transparencia del </w:t>
      </w:r>
      <w:r w:rsidRPr="00DF29DA">
        <w:rPr>
          <w:rFonts w:ascii="Palatino Linotype" w:eastAsia="Palatino Linotype" w:hAnsi="Palatino Linotype" w:cs="Palatino Linotype"/>
          <w:b/>
        </w:rPr>
        <w:t xml:space="preserve">SUJETO OBLIGADO </w:t>
      </w:r>
      <w:r w:rsidRPr="00DF29DA">
        <w:rPr>
          <w:rFonts w:ascii="Palatino Linotype" w:eastAsia="Palatino Linotype" w:hAnsi="Palatino Linotype" w:cs="Palatino Linotype"/>
        </w:rPr>
        <w:t>vía SAIMEX, para su conocimiento</w:t>
      </w:r>
      <w:r w:rsidRPr="00DF29DA">
        <w:rPr>
          <w:rFonts w:ascii="Palatino Linotype" w:eastAsia="Palatino Linotype" w:hAnsi="Palatino Linotype" w:cs="Palatino Linotype"/>
          <w:color w:val="000000"/>
        </w:rPr>
        <w:t>.</w:t>
      </w:r>
    </w:p>
    <w:p w:rsidR="006105CE" w:rsidRPr="00DF29DA" w:rsidRDefault="006105CE" w:rsidP="006105CE">
      <w:pPr>
        <w:shd w:val="clear" w:color="auto" w:fill="FFFFFF"/>
        <w:spacing w:line="360" w:lineRule="auto"/>
        <w:ind w:right="-787"/>
        <w:jc w:val="both"/>
        <w:rPr>
          <w:rFonts w:ascii="Palatino Linotype" w:eastAsia="Palatino Linotype" w:hAnsi="Palatino Linotype" w:cs="Palatino Linotype"/>
          <w:color w:val="000000"/>
        </w:rPr>
      </w:pPr>
    </w:p>
    <w:p w:rsidR="006105CE" w:rsidRPr="00DF29DA" w:rsidRDefault="006105CE" w:rsidP="006105CE">
      <w:pPr>
        <w:widowControl w:val="0"/>
        <w:pBdr>
          <w:top w:val="nil"/>
          <w:left w:val="nil"/>
          <w:bottom w:val="nil"/>
          <w:right w:val="nil"/>
          <w:between w:val="nil"/>
        </w:pBdr>
        <w:tabs>
          <w:tab w:val="left" w:pos="1701"/>
        </w:tabs>
        <w:spacing w:line="360" w:lineRule="auto"/>
        <w:ind w:right="-787"/>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000000"/>
        </w:rPr>
        <w:t>TERCERO</w:t>
      </w:r>
      <w:r w:rsidRPr="00DF29DA">
        <w:rPr>
          <w:rFonts w:ascii="Palatino Linotype" w:eastAsia="Palatino Linotype" w:hAnsi="Palatino Linotype" w:cs="Palatino Linotype"/>
          <w:b/>
          <w:color w:val="222222"/>
        </w:rPr>
        <w:t xml:space="preserve">. Notifíquese </w:t>
      </w:r>
      <w:r w:rsidRPr="00DF29DA">
        <w:rPr>
          <w:rFonts w:ascii="Palatino Linotype" w:eastAsia="Palatino Linotype" w:hAnsi="Palatino Linotype" w:cs="Palatino Linotype"/>
          <w:color w:val="222222"/>
        </w:rPr>
        <w:t xml:space="preserve">a </w:t>
      </w:r>
      <w:r w:rsidRPr="00DF29DA">
        <w:rPr>
          <w:rFonts w:ascii="Palatino Linotype" w:eastAsia="Palatino Linotype" w:hAnsi="Palatino Linotype" w:cs="Palatino Linotype"/>
          <w:b/>
          <w:color w:val="222222"/>
        </w:rPr>
        <w:t>EL RECURRENTE</w:t>
      </w:r>
      <w:r w:rsidRPr="00DF29DA">
        <w:rPr>
          <w:rFonts w:ascii="Palatino Linotype" w:eastAsia="Palatino Linotype" w:hAnsi="Palatino Linotype" w:cs="Palatino Linotype"/>
          <w:color w:val="222222"/>
        </w:rPr>
        <w:t xml:space="preserve"> la presente resolución vía SAIMEX</w:t>
      </w:r>
      <w:r w:rsidRPr="00DF29DA">
        <w:rPr>
          <w:rFonts w:ascii="Palatino Linotype" w:eastAsia="Palatino Linotype" w:hAnsi="Palatino Linotype" w:cs="Palatino Linotype"/>
          <w:color w:val="000000"/>
        </w:rPr>
        <w:t>.</w:t>
      </w:r>
    </w:p>
    <w:p w:rsidR="006105CE" w:rsidRPr="00DF29DA" w:rsidRDefault="006105CE" w:rsidP="006105CE">
      <w:pPr>
        <w:widowControl w:val="0"/>
        <w:pBdr>
          <w:top w:val="nil"/>
          <w:left w:val="nil"/>
          <w:bottom w:val="nil"/>
          <w:right w:val="nil"/>
          <w:between w:val="nil"/>
        </w:pBdr>
        <w:tabs>
          <w:tab w:val="left" w:pos="1701"/>
        </w:tabs>
        <w:spacing w:line="360" w:lineRule="auto"/>
        <w:ind w:right="-787"/>
        <w:jc w:val="both"/>
        <w:rPr>
          <w:rFonts w:ascii="Palatino Linotype" w:eastAsia="Palatino Linotype" w:hAnsi="Palatino Linotype" w:cs="Palatino Linotype"/>
          <w:color w:val="222222"/>
        </w:rPr>
      </w:pPr>
    </w:p>
    <w:p w:rsidR="006105CE" w:rsidRPr="00DF29DA" w:rsidRDefault="006105CE" w:rsidP="006105CE">
      <w:pPr>
        <w:widowControl w:val="0"/>
        <w:pBdr>
          <w:top w:val="nil"/>
          <w:left w:val="nil"/>
          <w:bottom w:val="nil"/>
          <w:right w:val="nil"/>
          <w:between w:val="nil"/>
        </w:pBdr>
        <w:tabs>
          <w:tab w:val="left" w:pos="1701"/>
        </w:tabs>
        <w:spacing w:line="360" w:lineRule="auto"/>
        <w:ind w:right="-787"/>
        <w:jc w:val="both"/>
        <w:rPr>
          <w:rFonts w:ascii="Palatino Linotype" w:eastAsia="Palatino Linotype" w:hAnsi="Palatino Linotype" w:cs="Palatino Linotype"/>
          <w:color w:val="000000"/>
        </w:rPr>
      </w:pPr>
      <w:r w:rsidRPr="00DF29DA">
        <w:rPr>
          <w:rFonts w:ascii="Palatino Linotype" w:eastAsia="Palatino Linotype" w:hAnsi="Palatino Linotype" w:cs="Palatino Linotype"/>
          <w:b/>
          <w:color w:val="222222"/>
        </w:rPr>
        <w:t xml:space="preserve">CUARTO. </w:t>
      </w:r>
      <w:r w:rsidRPr="00DF29DA">
        <w:rPr>
          <w:rFonts w:ascii="Palatino Linotype" w:eastAsia="Palatino Linotype" w:hAnsi="Palatino Linotype" w:cs="Palatino Linotype"/>
          <w:color w:val="000000"/>
        </w:rPr>
        <w:t xml:space="preserve">Se hace del conocimiento de </w:t>
      </w:r>
      <w:r w:rsidRPr="00DF29DA">
        <w:rPr>
          <w:rFonts w:ascii="Palatino Linotype" w:eastAsia="Palatino Linotype" w:hAnsi="Palatino Linotype" w:cs="Palatino Linotype"/>
          <w:b/>
          <w:color w:val="000000"/>
        </w:rPr>
        <w:t>EL RECURRENTE</w:t>
      </w:r>
      <w:r w:rsidRPr="00DF29DA">
        <w:rPr>
          <w:rFonts w:ascii="Palatino Linotype" w:eastAsia="Palatino Linotype" w:hAnsi="Palatino Linotype" w:cs="Palatino Linotype"/>
          <w:color w:val="000000"/>
        </w:rPr>
        <w:t xml:space="preserve"> que, de conformidad con lo </w:t>
      </w:r>
      <w:r w:rsidRPr="00DF29DA">
        <w:rPr>
          <w:rFonts w:ascii="Palatino Linotype" w:eastAsia="Palatino Linotype" w:hAnsi="Palatino Linotype" w:cs="Palatino Linotype"/>
          <w:color w:val="000000"/>
        </w:rPr>
        <w:lastRenderedPageBreak/>
        <w:t xml:space="preserve">establecido en el artículo 196 de la Ley de Transparencia y Acceso a la Información Pública del Estado de México y Municipios, en caso de que considere que la resolución le cause algún perjuicio podrá </w:t>
      </w:r>
      <w:r w:rsidRPr="00DF29DA">
        <w:rPr>
          <w:rFonts w:ascii="Palatino Linotype" w:eastAsia="Palatino Linotype" w:hAnsi="Palatino Linotype" w:cs="Palatino Linotype"/>
        </w:rPr>
        <w:t>impugnar vía</w:t>
      </w:r>
      <w:r w:rsidRPr="00DF29DA">
        <w:rPr>
          <w:rFonts w:ascii="Palatino Linotype" w:eastAsia="Palatino Linotype" w:hAnsi="Palatino Linotype" w:cs="Palatino Linotype"/>
          <w:color w:val="000000"/>
        </w:rPr>
        <w:t xml:space="preserve"> juicio de amparo en los términos de las leyes aplicables.</w:t>
      </w:r>
    </w:p>
    <w:p w:rsidR="0025280A" w:rsidRPr="00DF29DA" w:rsidRDefault="0025280A" w:rsidP="006105CE">
      <w:pPr>
        <w:widowControl w:val="0"/>
        <w:pBdr>
          <w:top w:val="nil"/>
          <w:left w:val="nil"/>
          <w:bottom w:val="nil"/>
          <w:right w:val="nil"/>
          <w:between w:val="nil"/>
        </w:pBdr>
        <w:tabs>
          <w:tab w:val="left" w:pos="1701"/>
        </w:tabs>
        <w:spacing w:line="360" w:lineRule="auto"/>
        <w:ind w:right="-787"/>
        <w:jc w:val="both"/>
        <w:rPr>
          <w:rFonts w:ascii="Palatino Linotype" w:eastAsia="Palatino Linotype" w:hAnsi="Palatino Linotype" w:cs="Palatino Linotype"/>
          <w:color w:val="000000"/>
        </w:rPr>
      </w:pPr>
    </w:p>
    <w:p w:rsidR="0025280A" w:rsidRPr="00DF29DA" w:rsidRDefault="0025280A" w:rsidP="006105CE">
      <w:pPr>
        <w:widowControl w:val="0"/>
        <w:pBdr>
          <w:top w:val="nil"/>
          <w:left w:val="nil"/>
          <w:bottom w:val="nil"/>
          <w:right w:val="nil"/>
          <w:between w:val="nil"/>
        </w:pBdr>
        <w:tabs>
          <w:tab w:val="left" w:pos="1701"/>
        </w:tabs>
        <w:spacing w:line="360" w:lineRule="auto"/>
        <w:ind w:right="-787"/>
        <w:jc w:val="both"/>
        <w:rPr>
          <w:rFonts w:ascii="Palatino Linotype" w:eastAsia="Palatino Linotype" w:hAnsi="Palatino Linotype" w:cs="Palatino Linotype"/>
          <w:color w:val="000000"/>
        </w:rPr>
      </w:pPr>
    </w:p>
    <w:p w:rsidR="0072148B" w:rsidRDefault="00D6792B">
      <w:pPr>
        <w:spacing w:before="240" w:after="240" w:line="360" w:lineRule="auto"/>
        <w:ind w:right="-800"/>
        <w:jc w:val="both"/>
        <w:rPr>
          <w:rFonts w:ascii="Palatino Linotype" w:eastAsia="Palatino Linotype" w:hAnsi="Palatino Linotype" w:cs="Palatino Linotype"/>
        </w:rPr>
      </w:pPr>
      <w:r w:rsidRPr="00DF29D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9" w:name="_GoBack"/>
      <w:bookmarkEnd w:id="9"/>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Default="00D6792B">
      <w:pPr>
        <w:spacing w:before="240" w:after="240" w:line="360" w:lineRule="auto"/>
        <w:ind w:right="-800"/>
        <w:jc w:val="both"/>
        <w:rPr>
          <w:rFonts w:ascii="Palatino Linotype" w:eastAsia="Palatino Linotype" w:hAnsi="Palatino Linotype" w:cs="Palatino Linotype"/>
        </w:rPr>
      </w:pPr>
    </w:p>
    <w:p w:rsidR="00D6792B" w:rsidRPr="00D6792B" w:rsidRDefault="00D6792B">
      <w:pPr>
        <w:spacing w:before="240" w:after="240" w:line="360" w:lineRule="auto"/>
        <w:ind w:right="-800"/>
        <w:jc w:val="both"/>
        <w:rPr>
          <w:rFonts w:ascii="Palatino Linotype" w:eastAsia="Palatino Linotype" w:hAnsi="Palatino Linotype" w:cs="Palatino Linotype"/>
        </w:rPr>
      </w:pPr>
    </w:p>
    <w:p w:rsidR="0072148B" w:rsidRPr="00D6792B" w:rsidRDefault="0072148B">
      <w:pPr>
        <w:spacing w:line="360" w:lineRule="auto"/>
        <w:ind w:right="-787"/>
        <w:jc w:val="both"/>
        <w:rPr>
          <w:rFonts w:ascii="Palatino Linotype" w:eastAsia="Palatino Linotype" w:hAnsi="Palatino Linotype" w:cs="Palatino Linotype"/>
        </w:rPr>
      </w:pPr>
    </w:p>
    <w:p w:rsidR="0072148B" w:rsidRPr="00D6792B" w:rsidRDefault="0072148B">
      <w:pPr>
        <w:spacing w:line="360" w:lineRule="auto"/>
        <w:ind w:right="-787"/>
        <w:jc w:val="both"/>
        <w:rPr>
          <w:rFonts w:ascii="Palatino Linotype" w:eastAsia="Palatino Linotype" w:hAnsi="Palatino Linotype" w:cs="Palatino Linotype"/>
        </w:rPr>
      </w:pPr>
    </w:p>
    <w:p w:rsidR="0072148B" w:rsidRPr="00D6792B" w:rsidRDefault="00A077F4">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r w:rsidRPr="00D6792B">
        <w:rPr>
          <w:rFonts w:ascii="Palatino Linotype" w:eastAsia="Palatino Linotype" w:hAnsi="Palatino Linotype" w:cs="Palatino Linotype"/>
        </w:rPr>
        <w:tab/>
      </w:r>
    </w:p>
    <w:sectPr w:rsidR="0072148B" w:rsidRPr="00D6792B" w:rsidSect="00D6792B">
      <w:headerReference w:type="even" r:id="rId8"/>
      <w:headerReference w:type="default" r:id="rId9"/>
      <w:footerReference w:type="default" r:id="rId10"/>
      <w:headerReference w:type="first" r:id="rId11"/>
      <w:footerReference w:type="first" r:id="rId12"/>
      <w:pgSz w:w="12240" w:h="15840"/>
      <w:pgMar w:top="2268" w:right="203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76E" w:rsidRDefault="000A476E">
      <w:r>
        <w:separator/>
      </w:r>
    </w:p>
  </w:endnote>
  <w:endnote w:type="continuationSeparator" w:id="0">
    <w:p w:rsidR="000A476E" w:rsidRDefault="000A4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CF" w:rsidRDefault="00C440C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F29DA">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F29D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C440CF" w:rsidRDefault="00C440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CF" w:rsidRDefault="00C440C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F29D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F29D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C440CF" w:rsidRDefault="00C440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76E" w:rsidRDefault="000A476E">
      <w:r>
        <w:separator/>
      </w:r>
    </w:p>
  </w:footnote>
  <w:footnote w:type="continuationSeparator" w:id="0">
    <w:p w:rsidR="000A476E" w:rsidRDefault="000A4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CF" w:rsidRDefault="000A476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CF" w:rsidRDefault="00C440CF">
    <w:pPr>
      <w:widowControl w:val="0"/>
      <w:pBdr>
        <w:top w:val="nil"/>
        <w:left w:val="nil"/>
        <w:bottom w:val="nil"/>
        <w:right w:val="nil"/>
        <w:between w:val="nil"/>
      </w:pBdr>
      <w:spacing w:line="276" w:lineRule="auto"/>
      <w:rPr>
        <w:color w:val="000000"/>
      </w:rPr>
    </w:pPr>
  </w:p>
  <w:tbl>
    <w:tblPr>
      <w:tblStyle w:val="a7"/>
      <w:tblW w:w="6761" w:type="dxa"/>
      <w:tblInd w:w="3261" w:type="dxa"/>
      <w:tblLayout w:type="fixed"/>
      <w:tblLook w:val="0400" w:firstRow="0" w:lastRow="0" w:firstColumn="0" w:lastColumn="0" w:noHBand="0" w:noVBand="1"/>
    </w:tblPr>
    <w:tblGrid>
      <w:gridCol w:w="2509"/>
      <w:gridCol w:w="4252"/>
    </w:tblGrid>
    <w:tr w:rsidR="00C440CF" w:rsidRPr="00D6792B" w:rsidTr="009B6C44">
      <w:trPr>
        <w:trHeight w:val="227"/>
      </w:trPr>
      <w:tc>
        <w:tcPr>
          <w:tcW w:w="2509" w:type="dxa"/>
        </w:tcPr>
        <w:p w:rsidR="00C440CF" w:rsidRPr="00D6792B" w:rsidRDefault="00C440CF" w:rsidP="00D6792B">
          <w:pPr>
            <w:ind w:left="-354"/>
            <w:jc w:val="right"/>
            <w:rPr>
              <w:rFonts w:ascii="Palatino Linotype" w:eastAsia="Palatino Linotype" w:hAnsi="Palatino Linotype" w:cs="Palatino Linotype"/>
              <w:b/>
            </w:rPr>
          </w:pPr>
          <w:r w:rsidRPr="00D6792B">
            <w:rPr>
              <w:rFonts w:ascii="Palatino Linotype" w:eastAsia="Palatino Linotype" w:hAnsi="Palatino Linotype" w:cs="Palatino Linotype"/>
              <w:b/>
            </w:rPr>
            <w:t>Recurso de Revisión:</w:t>
          </w:r>
        </w:p>
      </w:tc>
      <w:tc>
        <w:tcPr>
          <w:tcW w:w="4252" w:type="dxa"/>
        </w:tcPr>
        <w:p w:rsidR="00C440CF" w:rsidRPr="00D6792B" w:rsidRDefault="00C440CF" w:rsidP="00CC4C0B">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6792B">
            <w:rPr>
              <w:rFonts w:ascii="Palatino Linotype" w:eastAsia="Palatino Linotype" w:hAnsi="Palatino Linotype" w:cs="Palatino Linotype"/>
              <w:color w:val="000000"/>
            </w:rPr>
            <w:t>00158/INFOEM/IP/RR/2025</w:t>
          </w:r>
        </w:p>
      </w:tc>
    </w:tr>
    <w:tr w:rsidR="00C440CF" w:rsidRPr="00D6792B" w:rsidTr="009B6C44">
      <w:trPr>
        <w:trHeight w:val="342"/>
      </w:trPr>
      <w:tc>
        <w:tcPr>
          <w:tcW w:w="2509" w:type="dxa"/>
        </w:tcPr>
        <w:p w:rsidR="00C440CF" w:rsidRPr="00D6792B" w:rsidRDefault="00C440CF" w:rsidP="00D6792B">
          <w:pPr>
            <w:ind w:left="-354"/>
            <w:jc w:val="right"/>
            <w:rPr>
              <w:rFonts w:ascii="Palatino Linotype" w:eastAsia="Palatino Linotype" w:hAnsi="Palatino Linotype" w:cs="Palatino Linotype"/>
              <w:b/>
            </w:rPr>
          </w:pPr>
          <w:r w:rsidRPr="00D6792B">
            <w:rPr>
              <w:rFonts w:ascii="Palatino Linotype" w:eastAsia="Palatino Linotype" w:hAnsi="Palatino Linotype" w:cs="Palatino Linotype"/>
              <w:b/>
            </w:rPr>
            <w:t>Sujeto Obligado:</w:t>
          </w:r>
        </w:p>
      </w:tc>
      <w:tc>
        <w:tcPr>
          <w:tcW w:w="4252" w:type="dxa"/>
        </w:tcPr>
        <w:p w:rsidR="00C440CF" w:rsidRPr="00D6792B" w:rsidRDefault="00C440CF" w:rsidP="00CC4C0B">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6792B">
            <w:rPr>
              <w:rFonts w:ascii="Palatino Linotype" w:eastAsia="Palatino Linotype" w:hAnsi="Palatino Linotype" w:cs="Palatino Linotype"/>
              <w:color w:val="000000"/>
            </w:rPr>
            <w:t>Universidad Autónoma del Estado de México</w:t>
          </w:r>
        </w:p>
      </w:tc>
    </w:tr>
    <w:tr w:rsidR="00C440CF" w:rsidRPr="00D6792B" w:rsidTr="009B6C44">
      <w:trPr>
        <w:trHeight w:val="342"/>
      </w:trPr>
      <w:tc>
        <w:tcPr>
          <w:tcW w:w="2509" w:type="dxa"/>
        </w:tcPr>
        <w:p w:rsidR="00C440CF" w:rsidRPr="00D6792B" w:rsidRDefault="00C440CF" w:rsidP="00D6792B">
          <w:pPr>
            <w:ind w:left="-354"/>
            <w:jc w:val="right"/>
            <w:rPr>
              <w:rFonts w:ascii="Palatino Linotype" w:eastAsia="Palatino Linotype" w:hAnsi="Palatino Linotype" w:cs="Palatino Linotype"/>
              <w:b/>
            </w:rPr>
          </w:pPr>
          <w:r w:rsidRPr="00D6792B">
            <w:rPr>
              <w:rFonts w:ascii="Palatino Linotype" w:eastAsia="Palatino Linotype" w:hAnsi="Palatino Linotype" w:cs="Palatino Linotype"/>
              <w:b/>
            </w:rPr>
            <w:t>Comisionada Ponente:</w:t>
          </w:r>
        </w:p>
      </w:tc>
      <w:tc>
        <w:tcPr>
          <w:tcW w:w="4252" w:type="dxa"/>
        </w:tcPr>
        <w:p w:rsidR="00C440CF" w:rsidRPr="00D6792B" w:rsidRDefault="00C440CF" w:rsidP="00CC4C0B">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6792B">
            <w:rPr>
              <w:rFonts w:ascii="Palatino Linotype" w:eastAsia="Palatino Linotype" w:hAnsi="Palatino Linotype" w:cs="Palatino Linotype"/>
              <w:color w:val="000000"/>
            </w:rPr>
            <w:t>María del Rosario Mejía Ayala</w:t>
          </w:r>
        </w:p>
      </w:tc>
    </w:tr>
  </w:tbl>
  <w:p w:rsidR="00C440CF" w:rsidRDefault="000A476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CF" w:rsidRDefault="00C440CF">
    <w:pPr>
      <w:widowControl w:val="0"/>
      <w:pBdr>
        <w:top w:val="nil"/>
        <w:left w:val="nil"/>
        <w:bottom w:val="nil"/>
        <w:right w:val="nil"/>
        <w:between w:val="nil"/>
      </w:pBdr>
      <w:spacing w:line="276" w:lineRule="auto"/>
      <w:rPr>
        <w:color w:val="000000"/>
        <w:sz w:val="14"/>
        <w:szCs w:val="14"/>
      </w:rPr>
    </w:pPr>
  </w:p>
  <w:tbl>
    <w:tblPr>
      <w:tblStyle w:val="a7"/>
      <w:tblW w:w="6761" w:type="dxa"/>
      <w:tblInd w:w="3261" w:type="dxa"/>
      <w:tblLayout w:type="fixed"/>
      <w:tblLook w:val="0400" w:firstRow="0" w:lastRow="0" w:firstColumn="0" w:lastColumn="0" w:noHBand="0" w:noVBand="1"/>
    </w:tblPr>
    <w:tblGrid>
      <w:gridCol w:w="2509"/>
      <w:gridCol w:w="4252"/>
    </w:tblGrid>
    <w:tr w:rsidR="00C440CF" w:rsidRPr="00D6792B">
      <w:trPr>
        <w:trHeight w:val="227"/>
      </w:trPr>
      <w:tc>
        <w:tcPr>
          <w:tcW w:w="2509" w:type="dxa"/>
        </w:tcPr>
        <w:p w:rsidR="00C440CF" w:rsidRPr="00D6792B" w:rsidRDefault="00C440CF" w:rsidP="00D6792B">
          <w:pPr>
            <w:ind w:left="-212"/>
            <w:jc w:val="right"/>
            <w:rPr>
              <w:rFonts w:ascii="Palatino Linotype" w:eastAsia="Palatino Linotype" w:hAnsi="Palatino Linotype" w:cs="Palatino Linotype"/>
              <w:b/>
            </w:rPr>
          </w:pPr>
          <w:r w:rsidRPr="00D6792B">
            <w:rPr>
              <w:rFonts w:ascii="Palatino Linotype" w:eastAsia="Palatino Linotype" w:hAnsi="Palatino Linotype" w:cs="Palatino Linotype"/>
              <w:b/>
            </w:rPr>
            <w:t>Recurso de Revisión:</w:t>
          </w:r>
        </w:p>
      </w:tc>
      <w:tc>
        <w:tcPr>
          <w:tcW w:w="4252" w:type="dxa"/>
        </w:tcPr>
        <w:p w:rsidR="00C440CF" w:rsidRPr="00D6792B" w:rsidRDefault="00C440C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D6792B">
            <w:rPr>
              <w:rFonts w:ascii="Palatino Linotype" w:eastAsia="Palatino Linotype" w:hAnsi="Palatino Linotype" w:cs="Palatino Linotype"/>
              <w:color w:val="000000"/>
            </w:rPr>
            <w:t>00158/INFOEM/IP/RR/2025</w:t>
          </w:r>
        </w:p>
      </w:tc>
    </w:tr>
    <w:tr w:rsidR="00C440CF" w:rsidRPr="00D6792B">
      <w:trPr>
        <w:trHeight w:val="242"/>
      </w:trPr>
      <w:tc>
        <w:tcPr>
          <w:tcW w:w="2509" w:type="dxa"/>
        </w:tcPr>
        <w:p w:rsidR="00C440CF" w:rsidRPr="00D6792B" w:rsidRDefault="00C440CF" w:rsidP="00D6792B">
          <w:pPr>
            <w:ind w:left="-212"/>
            <w:jc w:val="right"/>
            <w:rPr>
              <w:rFonts w:ascii="Palatino Linotype" w:eastAsia="Palatino Linotype" w:hAnsi="Palatino Linotype" w:cs="Palatino Linotype"/>
              <w:b/>
            </w:rPr>
          </w:pPr>
          <w:r w:rsidRPr="00D6792B">
            <w:rPr>
              <w:rFonts w:ascii="Palatino Linotype" w:eastAsia="Palatino Linotype" w:hAnsi="Palatino Linotype" w:cs="Palatino Linotype"/>
              <w:b/>
            </w:rPr>
            <w:t>Recurrente:</w:t>
          </w:r>
        </w:p>
      </w:tc>
      <w:tc>
        <w:tcPr>
          <w:tcW w:w="4252" w:type="dxa"/>
        </w:tcPr>
        <w:p w:rsidR="00C440CF" w:rsidRPr="00D6792B" w:rsidRDefault="00C440C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p>
      </w:tc>
    </w:tr>
    <w:tr w:rsidR="00C440CF" w:rsidRPr="00D6792B">
      <w:trPr>
        <w:trHeight w:val="342"/>
      </w:trPr>
      <w:tc>
        <w:tcPr>
          <w:tcW w:w="2509" w:type="dxa"/>
        </w:tcPr>
        <w:p w:rsidR="00C440CF" w:rsidRPr="00D6792B" w:rsidRDefault="00C440CF" w:rsidP="00D6792B">
          <w:pPr>
            <w:ind w:left="-212"/>
            <w:jc w:val="right"/>
            <w:rPr>
              <w:rFonts w:ascii="Palatino Linotype" w:eastAsia="Palatino Linotype" w:hAnsi="Palatino Linotype" w:cs="Palatino Linotype"/>
              <w:b/>
            </w:rPr>
          </w:pPr>
          <w:r w:rsidRPr="00D6792B">
            <w:rPr>
              <w:rFonts w:ascii="Palatino Linotype" w:eastAsia="Palatino Linotype" w:hAnsi="Palatino Linotype" w:cs="Palatino Linotype"/>
              <w:b/>
            </w:rPr>
            <w:t>Sujeto Obligado:</w:t>
          </w:r>
        </w:p>
      </w:tc>
      <w:tc>
        <w:tcPr>
          <w:tcW w:w="4252" w:type="dxa"/>
        </w:tcPr>
        <w:p w:rsidR="00C440CF" w:rsidRPr="00D6792B" w:rsidRDefault="00C440CF">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D6792B">
            <w:rPr>
              <w:rFonts w:ascii="Palatino Linotype" w:eastAsia="Palatino Linotype" w:hAnsi="Palatino Linotype" w:cs="Palatino Linotype"/>
              <w:color w:val="000000"/>
            </w:rPr>
            <w:t>Universidad Autónoma del Estado de México</w:t>
          </w:r>
        </w:p>
      </w:tc>
    </w:tr>
    <w:tr w:rsidR="00C440CF" w:rsidRPr="00D6792B">
      <w:trPr>
        <w:trHeight w:val="342"/>
      </w:trPr>
      <w:tc>
        <w:tcPr>
          <w:tcW w:w="2509" w:type="dxa"/>
        </w:tcPr>
        <w:p w:rsidR="00C440CF" w:rsidRPr="00D6792B" w:rsidRDefault="00C440CF" w:rsidP="00D6792B">
          <w:pPr>
            <w:ind w:left="-212"/>
            <w:jc w:val="right"/>
            <w:rPr>
              <w:rFonts w:ascii="Palatino Linotype" w:eastAsia="Palatino Linotype" w:hAnsi="Palatino Linotype" w:cs="Palatino Linotype"/>
              <w:b/>
            </w:rPr>
          </w:pPr>
          <w:r w:rsidRPr="00D6792B">
            <w:rPr>
              <w:rFonts w:ascii="Palatino Linotype" w:eastAsia="Palatino Linotype" w:hAnsi="Palatino Linotype" w:cs="Palatino Linotype"/>
              <w:b/>
            </w:rPr>
            <w:t>Comisionada Ponente:</w:t>
          </w:r>
        </w:p>
      </w:tc>
      <w:tc>
        <w:tcPr>
          <w:tcW w:w="4252" w:type="dxa"/>
        </w:tcPr>
        <w:p w:rsidR="00C440CF" w:rsidRPr="00D6792B" w:rsidRDefault="00C440C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D6792B">
            <w:rPr>
              <w:rFonts w:ascii="Palatino Linotype" w:eastAsia="Palatino Linotype" w:hAnsi="Palatino Linotype" w:cs="Palatino Linotype"/>
              <w:color w:val="000000"/>
            </w:rPr>
            <w:t>María del Rosario Mejía Ayala</w:t>
          </w:r>
        </w:p>
      </w:tc>
    </w:tr>
  </w:tbl>
  <w:p w:rsidR="00C440CF" w:rsidRDefault="000A476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11">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2">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6"/>
  </w:num>
  <w:num w:numId="3">
    <w:abstractNumId w:val="10"/>
  </w:num>
  <w:num w:numId="4">
    <w:abstractNumId w:val="15"/>
  </w:num>
  <w:num w:numId="5">
    <w:abstractNumId w:val="13"/>
  </w:num>
  <w:num w:numId="6">
    <w:abstractNumId w:val="18"/>
  </w:num>
  <w:num w:numId="7">
    <w:abstractNumId w:val="4"/>
  </w:num>
  <w:num w:numId="8">
    <w:abstractNumId w:val="6"/>
  </w:num>
  <w:num w:numId="9">
    <w:abstractNumId w:val="11"/>
  </w:num>
  <w:num w:numId="10">
    <w:abstractNumId w:val="12"/>
  </w:num>
  <w:num w:numId="11">
    <w:abstractNumId w:val="0"/>
  </w:num>
  <w:num w:numId="12">
    <w:abstractNumId w:val="8"/>
  </w:num>
  <w:num w:numId="13">
    <w:abstractNumId w:val="1"/>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7763"/>
    <w:rsid w:val="000103CF"/>
    <w:rsid w:val="00031D0E"/>
    <w:rsid w:val="00047CD1"/>
    <w:rsid w:val="0005134E"/>
    <w:rsid w:val="000515F3"/>
    <w:rsid w:val="00077434"/>
    <w:rsid w:val="000A476E"/>
    <w:rsid w:val="000B47EF"/>
    <w:rsid w:val="000B74E0"/>
    <w:rsid w:val="000C7E4E"/>
    <w:rsid w:val="000E2518"/>
    <w:rsid w:val="000F4C96"/>
    <w:rsid w:val="000F6F52"/>
    <w:rsid w:val="00120A69"/>
    <w:rsid w:val="001636AD"/>
    <w:rsid w:val="001917E5"/>
    <w:rsid w:val="001A547B"/>
    <w:rsid w:val="001C765C"/>
    <w:rsid w:val="00234E39"/>
    <w:rsid w:val="00246354"/>
    <w:rsid w:val="00247643"/>
    <w:rsid w:val="0025280A"/>
    <w:rsid w:val="0029293C"/>
    <w:rsid w:val="002D7E17"/>
    <w:rsid w:val="002F2579"/>
    <w:rsid w:val="002F53FA"/>
    <w:rsid w:val="003050A2"/>
    <w:rsid w:val="00325B01"/>
    <w:rsid w:val="00367C4B"/>
    <w:rsid w:val="00386CEB"/>
    <w:rsid w:val="00417A09"/>
    <w:rsid w:val="00434E54"/>
    <w:rsid w:val="00456A7C"/>
    <w:rsid w:val="00457D8A"/>
    <w:rsid w:val="00481E02"/>
    <w:rsid w:val="00486875"/>
    <w:rsid w:val="004907F2"/>
    <w:rsid w:val="004E49C5"/>
    <w:rsid w:val="004E7B4F"/>
    <w:rsid w:val="005612FD"/>
    <w:rsid w:val="00565E2F"/>
    <w:rsid w:val="00570DE4"/>
    <w:rsid w:val="00576C02"/>
    <w:rsid w:val="005812D5"/>
    <w:rsid w:val="005845B2"/>
    <w:rsid w:val="00596D9E"/>
    <w:rsid w:val="005A3450"/>
    <w:rsid w:val="005A5ECC"/>
    <w:rsid w:val="005B551C"/>
    <w:rsid w:val="005B613B"/>
    <w:rsid w:val="005B6EB9"/>
    <w:rsid w:val="006105CE"/>
    <w:rsid w:val="00620DD1"/>
    <w:rsid w:val="00624FDF"/>
    <w:rsid w:val="0063422F"/>
    <w:rsid w:val="0067389D"/>
    <w:rsid w:val="00677E2A"/>
    <w:rsid w:val="006B043B"/>
    <w:rsid w:val="006B5B63"/>
    <w:rsid w:val="006C175B"/>
    <w:rsid w:val="006C7CBE"/>
    <w:rsid w:val="006D2648"/>
    <w:rsid w:val="006D3B66"/>
    <w:rsid w:val="006D4B9E"/>
    <w:rsid w:val="006F26AA"/>
    <w:rsid w:val="006F5C09"/>
    <w:rsid w:val="00707D1A"/>
    <w:rsid w:val="0072148B"/>
    <w:rsid w:val="00764880"/>
    <w:rsid w:val="00764A93"/>
    <w:rsid w:val="00770484"/>
    <w:rsid w:val="007A4327"/>
    <w:rsid w:val="007B4A40"/>
    <w:rsid w:val="007C099E"/>
    <w:rsid w:val="008016DD"/>
    <w:rsid w:val="00806768"/>
    <w:rsid w:val="00890C6B"/>
    <w:rsid w:val="00892CE6"/>
    <w:rsid w:val="008A2D0D"/>
    <w:rsid w:val="008B51D4"/>
    <w:rsid w:val="008C52A6"/>
    <w:rsid w:val="008D7FBB"/>
    <w:rsid w:val="008F5223"/>
    <w:rsid w:val="009073A0"/>
    <w:rsid w:val="00932B26"/>
    <w:rsid w:val="0094529D"/>
    <w:rsid w:val="00947FC5"/>
    <w:rsid w:val="00956F13"/>
    <w:rsid w:val="00983F75"/>
    <w:rsid w:val="009A3600"/>
    <w:rsid w:val="009B6C44"/>
    <w:rsid w:val="009C0673"/>
    <w:rsid w:val="009E1194"/>
    <w:rsid w:val="009F34AC"/>
    <w:rsid w:val="009F74E4"/>
    <w:rsid w:val="00A05C0A"/>
    <w:rsid w:val="00A077F4"/>
    <w:rsid w:val="00A07EBE"/>
    <w:rsid w:val="00A13F5C"/>
    <w:rsid w:val="00A608C9"/>
    <w:rsid w:val="00A80919"/>
    <w:rsid w:val="00A818C8"/>
    <w:rsid w:val="00A93ED3"/>
    <w:rsid w:val="00AA45F5"/>
    <w:rsid w:val="00AB6DEC"/>
    <w:rsid w:val="00AB73F5"/>
    <w:rsid w:val="00AD0448"/>
    <w:rsid w:val="00AE4DA1"/>
    <w:rsid w:val="00AF78B0"/>
    <w:rsid w:val="00B16349"/>
    <w:rsid w:val="00B63039"/>
    <w:rsid w:val="00B83BD7"/>
    <w:rsid w:val="00B8678D"/>
    <w:rsid w:val="00B9210D"/>
    <w:rsid w:val="00BC4C3C"/>
    <w:rsid w:val="00BD62F1"/>
    <w:rsid w:val="00BF14D1"/>
    <w:rsid w:val="00C40970"/>
    <w:rsid w:val="00C440CF"/>
    <w:rsid w:val="00C72A3B"/>
    <w:rsid w:val="00C96120"/>
    <w:rsid w:val="00CC4C0B"/>
    <w:rsid w:val="00CE5FC3"/>
    <w:rsid w:val="00CF35BB"/>
    <w:rsid w:val="00D6792B"/>
    <w:rsid w:val="00D80BFC"/>
    <w:rsid w:val="00D83071"/>
    <w:rsid w:val="00DC117F"/>
    <w:rsid w:val="00DC40CA"/>
    <w:rsid w:val="00DD6697"/>
    <w:rsid w:val="00DE73C1"/>
    <w:rsid w:val="00DF29DA"/>
    <w:rsid w:val="00E044A8"/>
    <w:rsid w:val="00E132E5"/>
    <w:rsid w:val="00E13D7D"/>
    <w:rsid w:val="00E37638"/>
    <w:rsid w:val="00E7284C"/>
    <w:rsid w:val="00EA79F5"/>
    <w:rsid w:val="00EC3094"/>
    <w:rsid w:val="00EC5472"/>
    <w:rsid w:val="00EE51B5"/>
    <w:rsid w:val="00EE75AA"/>
    <w:rsid w:val="00EF1277"/>
    <w:rsid w:val="00F17FEE"/>
    <w:rsid w:val="00F817B8"/>
    <w:rsid w:val="00F84855"/>
    <w:rsid w:val="00F860D3"/>
    <w:rsid w:val="00FA4F72"/>
    <w:rsid w:val="00FB65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70" w:type="dxa"/>
        <w:bottom w:w="0" w:type="dxa"/>
        <w:right w:w="70"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70" w:type="dxa"/>
        <w:bottom w:w="0" w:type="dxa"/>
        <w:right w:w="70" w:type="dxa"/>
      </w:tblCellMar>
    </w:tblPr>
  </w:style>
  <w:style w:type="table" w:customStyle="1" w:styleId="a3">
    <w:basedOn w:val="TableNormal1"/>
    <w:tblPr>
      <w:tblStyleRowBandSize w:val="1"/>
      <w:tblStyleColBandSize w:val="1"/>
      <w:tblCellMar>
        <w:top w:w="0" w:type="dxa"/>
        <w:left w:w="70" w:type="dxa"/>
        <w:bottom w:w="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8077</Words>
  <Characters>44427</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43</cp:revision>
  <cp:lastPrinted>2025-04-24T16:26:00Z</cp:lastPrinted>
  <dcterms:created xsi:type="dcterms:W3CDTF">2025-04-08T20:33:00Z</dcterms:created>
  <dcterms:modified xsi:type="dcterms:W3CDTF">2025-04-24T16:26:00Z</dcterms:modified>
</cp:coreProperties>
</file>